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0C398FAA" w:rsidR="00EC6F8D" w:rsidRPr="00043B08" w:rsidRDefault="00EC6F8D" w:rsidP="00EC6F8D">
      <w:pPr>
        <w:spacing w:before="1440"/>
        <w:jc w:val="center"/>
        <w:rPr>
          <w:rFonts w:ascii="Arial" w:hAnsi="Arial" w:cs="Arial"/>
          <w:b/>
          <w:sz w:val="22"/>
          <w:szCs w:val="22"/>
          <w:lang w:val="en-GB"/>
        </w:rPr>
      </w:pPr>
      <w:r w:rsidRPr="00043B08">
        <w:rPr>
          <w:rFonts w:ascii="Arial" w:hAnsi="Arial" w:cs="Arial"/>
          <w:b/>
          <w:sz w:val="22"/>
          <w:szCs w:val="22"/>
          <w:lang w:val="en-GB"/>
        </w:rPr>
        <w:t>CONVENTION FOR THE SAFEGUARDING OF THE</w:t>
      </w:r>
      <w:r w:rsidRPr="00043B08">
        <w:rPr>
          <w:rFonts w:ascii="Arial" w:hAnsi="Arial" w:cs="Arial"/>
          <w:b/>
          <w:sz w:val="22"/>
          <w:szCs w:val="22"/>
          <w:lang w:val="en-GB"/>
        </w:rPr>
        <w:br/>
        <w:t>INTANGIBLE CULTURAL HERITAGE</w:t>
      </w:r>
    </w:p>
    <w:p w14:paraId="3F72B1D3" w14:textId="37133200" w:rsidR="00EC6F8D" w:rsidRPr="00043B08" w:rsidRDefault="005C792B" w:rsidP="00EC6F8D">
      <w:pPr>
        <w:spacing w:before="1200"/>
        <w:jc w:val="center"/>
        <w:rPr>
          <w:rFonts w:ascii="Arial" w:hAnsi="Arial" w:cs="Arial"/>
          <w:b/>
          <w:sz w:val="22"/>
          <w:szCs w:val="22"/>
          <w:lang w:val="en-GB"/>
        </w:rPr>
      </w:pPr>
      <w:r w:rsidRPr="00043B08">
        <w:rPr>
          <w:rFonts w:ascii="Arial" w:hAnsi="Arial" w:cs="Arial"/>
          <w:b/>
          <w:sz w:val="22"/>
          <w:szCs w:val="22"/>
          <w:lang w:val="en-GB"/>
        </w:rPr>
        <w:t>GENERAL ASSEMBLY OF THE STATES PARTIES TO THE CONVENTION</w:t>
      </w:r>
    </w:p>
    <w:p w14:paraId="2E1CD4B4" w14:textId="762C97E8" w:rsidR="00EC6F8D" w:rsidRPr="00043B08" w:rsidRDefault="0026085B" w:rsidP="001D14FE">
      <w:pPr>
        <w:spacing w:before="840"/>
        <w:jc w:val="center"/>
        <w:rPr>
          <w:rFonts w:ascii="Arial" w:hAnsi="Arial" w:cs="Arial"/>
          <w:b/>
          <w:sz w:val="22"/>
          <w:szCs w:val="22"/>
          <w:lang w:val="en-GB"/>
        </w:rPr>
      </w:pPr>
      <w:r w:rsidRPr="00043B08">
        <w:rPr>
          <w:rFonts w:ascii="Arial" w:eastAsiaTheme="minorEastAsia" w:hAnsi="Arial" w:cs="Arial"/>
          <w:b/>
          <w:sz w:val="22"/>
          <w:szCs w:val="22"/>
          <w:lang w:val="en-GB" w:eastAsia="ko-KR"/>
        </w:rPr>
        <w:t>Eleventh</w:t>
      </w:r>
      <w:r w:rsidR="00B2172B" w:rsidRPr="00043B08">
        <w:rPr>
          <w:rFonts w:ascii="Arial" w:eastAsiaTheme="minorEastAsia" w:hAnsi="Arial" w:cs="Arial"/>
          <w:b/>
          <w:sz w:val="22"/>
          <w:szCs w:val="22"/>
          <w:lang w:val="en-GB" w:eastAsia="ko-KR"/>
        </w:rPr>
        <w:t xml:space="preserve"> </w:t>
      </w:r>
      <w:r w:rsidR="00EC6F8D" w:rsidRPr="00043B08">
        <w:rPr>
          <w:rFonts w:ascii="Arial" w:hAnsi="Arial" w:cs="Arial"/>
          <w:b/>
          <w:sz w:val="22"/>
          <w:szCs w:val="22"/>
          <w:lang w:val="en-GB"/>
        </w:rPr>
        <w:t>session</w:t>
      </w:r>
    </w:p>
    <w:p w14:paraId="1FD89575" w14:textId="05D2C62D" w:rsidR="00B2172B" w:rsidRPr="00043B08" w:rsidRDefault="005C792B" w:rsidP="00B2172B">
      <w:pPr>
        <w:jc w:val="center"/>
        <w:rPr>
          <w:rFonts w:ascii="Arial" w:hAnsi="Arial" w:cs="Arial"/>
          <w:b/>
          <w:sz w:val="22"/>
          <w:szCs w:val="22"/>
          <w:lang w:val="en-GB"/>
        </w:rPr>
      </w:pPr>
      <w:r w:rsidRPr="00043B08">
        <w:rPr>
          <w:rFonts w:ascii="Arial" w:hAnsi="Arial" w:cs="Arial"/>
          <w:b/>
          <w:sz w:val="22"/>
          <w:szCs w:val="22"/>
          <w:lang w:val="en-GB"/>
        </w:rPr>
        <w:t>UNESCO Headquarters, Room I</w:t>
      </w:r>
    </w:p>
    <w:p w14:paraId="52EA6D50" w14:textId="46BCF87A" w:rsidR="00B2172B" w:rsidRPr="00043B08" w:rsidRDefault="00544C93" w:rsidP="00B2172B">
      <w:pPr>
        <w:jc w:val="center"/>
        <w:rPr>
          <w:rFonts w:ascii="Arial" w:hAnsi="Arial" w:cs="Arial"/>
          <w:b/>
          <w:sz w:val="22"/>
          <w:szCs w:val="22"/>
          <w:lang w:val="en-GB"/>
        </w:rPr>
      </w:pPr>
      <w:r w:rsidRPr="00043B08">
        <w:rPr>
          <w:rFonts w:ascii="Arial" w:hAnsi="Arial" w:cs="Arial"/>
          <w:b/>
          <w:sz w:val="22"/>
          <w:szCs w:val="22"/>
          <w:lang w:val="en-GB"/>
        </w:rPr>
        <w:t>17</w:t>
      </w:r>
      <w:r w:rsidR="0026221A" w:rsidRPr="00043B08">
        <w:rPr>
          <w:rFonts w:ascii="Arial" w:hAnsi="Arial" w:cs="Arial"/>
          <w:b/>
          <w:sz w:val="22"/>
          <w:szCs w:val="22"/>
          <w:lang w:val="en-GB"/>
        </w:rPr>
        <w:t xml:space="preserve"> to </w:t>
      </w:r>
      <w:r w:rsidRPr="00043B08">
        <w:rPr>
          <w:rFonts w:ascii="Arial" w:hAnsi="Arial" w:cs="Arial"/>
          <w:b/>
          <w:sz w:val="22"/>
          <w:szCs w:val="22"/>
          <w:lang w:val="en-GB"/>
        </w:rPr>
        <w:t>18</w:t>
      </w:r>
      <w:r w:rsidR="0054535F" w:rsidRPr="00043B08">
        <w:rPr>
          <w:rFonts w:ascii="Arial" w:hAnsi="Arial" w:cs="Arial"/>
          <w:b/>
          <w:sz w:val="22"/>
          <w:szCs w:val="22"/>
          <w:lang w:val="en-GB"/>
        </w:rPr>
        <w:t xml:space="preserve"> June</w:t>
      </w:r>
      <w:r w:rsidR="00B2172B" w:rsidRPr="00043B08">
        <w:rPr>
          <w:rFonts w:ascii="Arial" w:hAnsi="Arial" w:cs="Arial"/>
          <w:b/>
          <w:sz w:val="22"/>
          <w:szCs w:val="22"/>
          <w:lang w:val="en-GB"/>
        </w:rPr>
        <w:t xml:space="preserve"> 202</w:t>
      </w:r>
      <w:r w:rsidR="0026085B" w:rsidRPr="00043B08">
        <w:rPr>
          <w:rFonts w:ascii="Arial" w:hAnsi="Arial" w:cs="Arial"/>
          <w:b/>
          <w:sz w:val="22"/>
          <w:szCs w:val="22"/>
          <w:lang w:val="en-GB"/>
        </w:rPr>
        <w:t>6</w:t>
      </w:r>
    </w:p>
    <w:p w14:paraId="0365203A" w14:textId="7BFEA6C8" w:rsidR="00EC6F8D" w:rsidRPr="00043B08" w:rsidRDefault="00EC6F8D" w:rsidP="00EC6F8D">
      <w:pPr>
        <w:pStyle w:val="Sansinterligne2"/>
        <w:spacing w:before="1200"/>
        <w:jc w:val="center"/>
        <w:rPr>
          <w:rFonts w:ascii="Arial" w:hAnsi="Arial" w:cs="Arial"/>
          <w:b/>
          <w:sz w:val="22"/>
          <w:szCs w:val="22"/>
          <w:lang w:val="en-GB"/>
        </w:rPr>
      </w:pPr>
      <w:r w:rsidRPr="00043B08">
        <w:rPr>
          <w:rFonts w:ascii="Arial" w:hAnsi="Arial" w:cs="Arial"/>
          <w:b/>
          <w:sz w:val="22"/>
          <w:szCs w:val="22"/>
          <w:u w:val="single"/>
          <w:lang w:val="en-GB"/>
        </w:rPr>
        <w:t>Item</w:t>
      </w:r>
      <w:r w:rsidR="00327DA4" w:rsidRPr="00043B08">
        <w:rPr>
          <w:rFonts w:ascii="Arial" w:hAnsi="Arial" w:cs="Arial"/>
          <w:b/>
          <w:sz w:val="22"/>
          <w:szCs w:val="22"/>
          <w:u w:val="single"/>
          <w:lang w:val="en-GB"/>
        </w:rPr>
        <w:t xml:space="preserve"> 9</w:t>
      </w:r>
      <w:r w:rsidR="00651A5B" w:rsidRPr="00043B08">
        <w:rPr>
          <w:rFonts w:ascii="Arial" w:hAnsi="Arial" w:cs="Arial"/>
          <w:b/>
          <w:sz w:val="22"/>
          <w:szCs w:val="22"/>
          <w:u w:val="single"/>
          <w:lang w:val="en-GB"/>
        </w:rPr>
        <w:t xml:space="preserve"> </w:t>
      </w:r>
      <w:r w:rsidRPr="00043B08">
        <w:rPr>
          <w:rFonts w:ascii="Arial" w:hAnsi="Arial" w:cs="Arial"/>
          <w:b/>
          <w:sz w:val="22"/>
          <w:szCs w:val="22"/>
          <w:u w:val="single"/>
          <w:lang w:val="en-GB"/>
        </w:rPr>
        <w:t xml:space="preserve">of the </w:t>
      </w:r>
      <w:r w:rsidR="00937D53" w:rsidRPr="00043B08">
        <w:rPr>
          <w:rFonts w:ascii="Arial" w:hAnsi="Arial" w:cs="Arial"/>
          <w:b/>
          <w:sz w:val="22"/>
          <w:szCs w:val="22"/>
          <w:u w:val="single"/>
          <w:lang w:val="en-GB"/>
        </w:rPr>
        <w:t>p</w:t>
      </w:r>
      <w:r w:rsidRPr="00043B08">
        <w:rPr>
          <w:rFonts w:ascii="Arial" w:hAnsi="Arial" w:cs="Arial"/>
          <w:b/>
          <w:sz w:val="22"/>
          <w:szCs w:val="22"/>
          <w:u w:val="single"/>
          <w:lang w:val="en-GB"/>
        </w:rPr>
        <w:t xml:space="preserve">rovisional </w:t>
      </w:r>
      <w:r w:rsidR="00937D53" w:rsidRPr="00043B08">
        <w:rPr>
          <w:rFonts w:ascii="Arial" w:hAnsi="Arial" w:cs="Arial"/>
          <w:b/>
          <w:sz w:val="22"/>
          <w:szCs w:val="22"/>
          <w:u w:val="single"/>
          <w:lang w:val="en-GB"/>
        </w:rPr>
        <w:t>a</w:t>
      </w:r>
      <w:r w:rsidRPr="00043B08">
        <w:rPr>
          <w:rFonts w:ascii="Arial" w:hAnsi="Arial" w:cs="Arial"/>
          <w:b/>
          <w:sz w:val="22"/>
          <w:szCs w:val="22"/>
          <w:u w:val="single"/>
          <w:lang w:val="en-GB"/>
        </w:rPr>
        <w:t>genda</w:t>
      </w:r>
      <w:r w:rsidRPr="00043B08">
        <w:rPr>
          <w:rFonts w:ascii="Arial" w:hAnsi="Arial" w:cs="Arial"/>
          <w:b/>
          <w:sz w:val="22"/>
          <w:szCs w:val="22"/>
          <w:lang w:val="en-GB"/>
        </w:rPr>
        <w:t>:</w:t>
      </w:r>
    </w:p>
    <w:p w14:paraId="59920478" w14:textId="33FABFA9" w:rsidR="004A2875" w:rsidRPr="00043B08" w:rsidRDefault="00327DA4" w:rsidP="004A2875">
      <w:pPr>
        <w:pStyle w:val="Sansinterligne2"/>
        <w:spacing w:after="960"/>
        <w:jc w:val="center"/>
        <w:rPr>
          <w:rFonts w:ascii="Arial" w:hAnsi="Arial" w:cs="Arial"/>
          <w:bCs/>
          <w:sz w:val="22"/>
          <w:szCs w:val="22"/>
          <w:lang w:val="en-GB"/>
        </w:rPr>
      </w:pPr>
      <w:r w:rsidRPr="00043B08">
        <w:rPr>
          <w:rFonts w:ascii="Arial" w:hAnsi="Arial" w:cs="Arial"/>
          <w:b/>
          <w:sz w:val="22"/>
          <w:szCs w:val="22"/>
          <w:lang w:val="en-GB"/>
        </w:rPr>
        <w:t>Accreditation of non-governmental organizations to act</w:t>
      </w:r>
      <w:r w:rsidRPr="00043B08">
        <w:rPr>
          <w:rFonts w:ascii="Arial" w:hAnsi="Arial" w:cs="Arial"/>
          <w:b/>
          <w:sz w:val="22"/>
          <w:szCs w:val="22"/>
          <w:lang w:val="en-GB"/>
        </w:rPr>
        <w:br/>
        <w:t>in an advisory capacity to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43B08" w14:paraId="75AC6221" w14:textId="77777777" w:rsidTr="00EC6F8D">
        <w:trPr>
          <w:jc w:val="center"/>
        </w:trPr>
        <w:tc>
          <w:tcPr>
            <w:tcW w:w="5670" w:type="dxa"/>
            <w:vAlign w:val="center"/>
          </w:tcPr>
          <w:p w14:paraId="51C260A9" w14:textId="77777777" w:rsidR="00EC6F8D" w:rsidRPr="00043B08" w:rsidRDefault="00EC6F8D" w:rsidP="00CA56BB">
            <w:pPr>
              <w:pStyle w:val="Sansinterligne1"/>
              <w:spacing w:before="200" w:after="200"/>
              <w:jc w:val="center"/>
              <w:rPr>
                <w:rFonts w:ascii="Arial" w:hAnsi="Arial" w:cs="Arial"/>
                <w:b/>
                <w:sz w:val="22"/>
                <w:szCs w:val="22"/>
                <w:lang w:val="en-GB"/>
              </w:rPr>
            </w:pPr>
            <w:r w:rsidRPr="00043B08">
              <w:rPr>
                <w:rFonts w:ascii="Arial" w:hAnsi="Arial" w:cs="Arial"/>
                <w:b/>
                <w:sz w:val="22"/>
                <w:szCs w:val="22"/>
                <w:lang w:val="en-GB"/>
              </w:rPr>
              <w:t>Summary</w:t>
            </w:r>
          </w:p>
          <w:p w14:paraId="1DA7ACFC" w14:textId="2C0C6929" w:rsidR="00327DA4" w:rsidRPr="00043B08" w:rsidRDefault="00327DA4" w:rsidP="00327DA4">
            <w:pPr>
              <w:pStyle w:val="pf0"/>
              <w:spacing w:before="120" w:beforeAutospacing="0" w:after="120" w:afterAutospacing="0"/>
              <w:jc w:val="both"/>
              <w:rPr>
                <w:rFonts w:ascii="Arial" w:hAnsi="Arial" w:cs="Arial"/>
                <w:bCs/>
                <w:sz w:val="22"/>
                <w:szCs w:val="22"/>
                <w:lang w:val="en-GB" w:eastAsia="fr-FR"/>
              </w:rPr>
            </w:pPr>
            <w:r w:rsidRPr="00043B08">
              <w:rPr>
                <w:rFonts w:ascii="Arial" w:hAnsi="Arial" w:cs="Arial"/>
                <w:bCs/>
                <w:sz w:val="22"/>
                <w:szCs w:val="22"/>
                <w:lang w:val="en-GB" w:eastAsia="fr-FR"/>
              </w:rPr>
              <w:t xml:space="preserve">This document presents the fifty-nine </w:t>
            </w:r>
            <w:r w:rsidR="00C06C5B" w:rsidRPr="00043B08">
              <w:rPr>
                <w:rFonts w:ascii="Arial" w:hAnsi="Arial" w:cs="Arial"/>
                <w:bCs/>
                <w:sz w:val="22"/>
                <w:szCs w:val="22"/>
                <w:lang w:val="en-GB" w:eastAsia="fr-FR"/>
              </w:rPr>
              <w:t xml:space="preserve">new </w:t>
            </w:r>
            <w:r w:rsidRPr="00043B08">
              <w:rPr>
                <w:rFonts w:ascii="Arial" w:hAnsi="Arial" w:cs="Arial"/>
                <w:bCs/>
                <w:sz w:val="22"/>
                <w:szCs w:val="22"/>
                <w:lang w:val="en-GB" w:eastAsia="fr-FR"/>
              </w:rPr>
              <w:t xml:space="preserve">requests from </w:t>
            </w:r>
            <w:r w:rsidR="00C06C5B" w:rsidRPr="00043B08">
              <w:rPr>
                <w:rFonts w:ascii="Arial" w:hAnsi="Arial" w:cs="Arial"/>
                <w:bCs/>
                <w:sz w:val="22"/>
                <w:szCs w:val="22"/>
                <w:lang w:val="en-GB" w:eastAsia="fr-FR"/>
              </w:rPr>
              <w:t>n</w:t>
            </w:r>
            <w:r w:rsidRPr="00043B08">
              <w:rPr>
                <w:rFonts w:ascii="Arial" w:hAnsi="Arial" w:cs="Arial"/>
                <w:bCs/>
                <w:sz w:val="22"/>
                <w:szCs w:val="22"/>
                <w:lang w:val="en-GB" w:eastAsia="fr-FR"/>
              </w:rPr>
              <w:t xml:space="preserve">on-governmental organizations (NGOs) to be accredited to perform advisory functions for the Committee as recommended by its </w:t>
            </w:r>
            <w:r w:rsidR="005C58A4" w:rsidRPr="00043B08">
              <w:rPr>
                <w:rFonts w:ascii="Arial" w:hAnsi="Arial" w:cs="Arial"/>
                <w:bCs/>
                <w:sz w:val="22"/>
                <w:szCs w:val="22"/>
                <w:lang w:val="en-GB" w:eastAsia="fr-FR"/>
              </w:rPr>
              <w:t xml:space="preserve">twentieth </w:t>
            </w:r>
            <w:r w:rsidRPr="00043B08">
              <w:rPr>
                <w:rFonts w:ascii="Arial" w:hAnsi="Arial" w:cs="Arial"/>
                <w:bCs/>
                <w:sz w:val="22"/>
                <w:szCs w:val="22"/>
                <w:lang w:val="en-GB" w:eastAsia="fr-FR"/>
              </w:rPr>
              <w:t>session.</w:t>
            </w:r>
          </w:p>
          <w:p w14:paraId="290310E8" w14:textId="732B0CA7" w:rsidR="00EC6F8D" w:rsidRPr="00043B08" w:rsidRDefault="00327DA4" w:rsidP="00327DA4">
            <w:pPr>
              <w:pStyle w:val="Sansinterligne2"/>
              <w:spacing w:before="200" w:after="200"/>
              <w:jc w:val="both"/>
              <w:rPr>
                <w:rFonts w:ascii="Arial" w:hAnsi="Arial" w:cs="Arial"/>
                <w:b/>
                <w:sz w:val="22"/>
                <w:szCs w:val="22"/>
                <w:lang w:val="en-GB"/>
              </w:rPr>
            </w:pPr>
            <w:r w:rsidRPr="00043B08">
              <w:rPr>
                <w:rFonts w:ascii="Arial" w:hAnsi="Arial" w:cs="Arial"/>
                <w:b/>
                <w:sz w:val="22"/>
                <w:szCs w:val="22"/>
                <w:lang w:val="en-GB"/>
              </w:rPr>
              <w:t xml:space="preserve">Decision required: </w:t>
            </w:r>
            <w:r w:rsidRPr="00043B08">
              <w:rPr>
                <w:rFonts w:ascii="Arial" w:hAnsi="Arial" w:cs="Arial"/>
                <w:bCs/>
                <w:sz w:val="22"/>
                <w:szCs w:val="22"/>
                <w:lang w:val="en-GB"/>
              </w:rPr>
              <w:t>paragraph </w:t>
            </w:r>
            <w:r w:rsidR="00B40113" w:rsidRPr="00043B08">
              <w:rPr>
                <w:rFonts w:ascii="Arial" w:hAnsi="Arial" w:cs="Arial"/>
                <w:bCs/>
                <w:sz w:val="22"/>
                <w:szCs w:val="22"/>
                <w:lang w:val="en-GB"/>
              </w:rPr>
              <w:t>10</w:t>
            </w:r>
          </w:p>
        </w:tc>
      </w:tr>
    </w:tbl>
    <w:p w14:paraId="713D819F" w14:textId="77777777" w:rsidR="004A2875" w:rsidRPr="00043B0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043B08">
        <w:rPr>
          <w:rFonts w:ascii="Arial" w:hAnsi="Arial" w:cs="Arial"/>
          <w:lang w:val="en-GB"/>
        </w:rPr>
        <w:br w:type="page"/>
      </w:r>
    </w:p>
    <w:p w14:paraId="6C62585F" w14:textId="21742B01" w:rsidR="00F70CC5" w:rsidRPr="00043B08" w:rsidRDefault="00327DA4" w:rsidP="00F70CC5">
      <w:pPr>
        <w:pStyle w:val="COMPara"/>
        <w:numPr>
          <w:ilvl w:val="0"/>
          <w:numId w:val="0"/>
        </w:numPr>
        <w:spacing w:before="240"/>
        <w:jc w:val="both"/>
        <w:rPr>
          <w:b/>
          <w:bCs/>
        </w:rPr>
      </w:pPr>
      <w:bookmarkStart w:id="0" w:name="_Hlk124351255"/>
      <w:r w:rsidRPr="00043B08">
        <w:rPr>
          <w:b/>
          <w:bCs/>
        </w:rPr>
        <w:lastRenderedPageBreak/>
        <w:t>Introduction</w:t>
      </w:r>
    </w:p>
    <w:bookmarkEnd w:id="0"/>
    <w:p w14:paraId="376E896B" w14:textId="55915CCD" w:rsidR="00327DA4" w:rsidRPr="00043B08" w:rsidRDefault="00327DA4" w:rsidP="00CF750D">
      <w:pPr>
        <w:pStyle w:val="COMPara"/>
        <w:ind w:left="567" w:hanging="567"/>
        <w:jc w:val="both"/>
      </w:pPr>
      <w:r w:rsidRPr="00043B08">
        <w:t>Article 9.1 of the Convention requires that the Committee propose to the General Assembly the accreditation of non-governmental organizations (NGOs) with recognized competence in the field of intangible cultural heritage to act in an advisory capacity to the Committee. The criteria for, and modalities of, such accreditation are included in Chapter III.2.2 of the Operational Directives (paragraphs 91-99). To date, the General Assembly has accredited 358</w:t>
      </w:r>
      <w:r w:rsidR="00F33D91" w:rsidRPr="00043B08">
        <w:t> </w:t>
      </w:r>
      <w:r w:rsidRPr="00043B08">
        <w:t>organizations</w:t>
      </w:r>
      <w:r w:rsidR="00CF750D" w:rsidRPr="00043B08">
        <w:t>.</w:t>
      </w:r>
      <w:r w:rsidRPr="00043B08">
        <w:rPr>
          <w:rStyle w:val="FootnoteReference"/>
        </w:rPr>
        <w:footnoteReference w:id="1"/>
      </w:r>
    </w:p>
    <w:p w14:paraId="19AC5F4A" w14:textId="6EBE9540" w:rsidR="00937D53" w:rsidRPr="00043B08" w:rsidRDefault="00CF750D" w:rsidP="00F95E6F">
      <w:pPr>
        <w:pStyle w:val="COMPara"/>
        <w:spacing w:after="240"/>
        <w:ind w:left="567" w:hanging="567"/>
        <w:jc w:val="both"/>
      </w:pPr>
      <w:r w:rsidRPr="00043B08">
        <w:t xml:space="preserve">The contribution and commitment of accredited NGOs are subject to a review by the Committee every four years following accreditation, based on the modalities and procedures determined in Chapter III.2.2 of the Operational Directives (paragraphs 92–95). As a result of such </w:t>
      </w:r>
      <w:r w:rsidR="000106B9" w:rsidRPr="00043B08">
        <w:t xml:space="preserve">a </w:t>
      </w:r>
      <w:r w:rsidRPr="00043B08">
        <w:t>review, the Committee may decide to maintain or terminate relations with the NGOs concerned. Following the decisions of the Committee in this regard over the past cycles</w:t>
      </w:r>
      <w:r w:rsidR="00F05F3E" w:rsidRPr="00043B08">
        <w:rPr>
          <w:rStyle w:val="FootnoteReference"/>
        </w:rPr>
        <w:footnoteReference w:id="2"/>
      </w:r>
      <w:r w:rsidRPr="00043B08">
        <w:t>, 258</w:t>
      </w:r>
      <w:r w:rsidR="00F33D91" w:rsidRPr="00043B08">
        <w:t> </w:t>
      </w:r>
      <w:r w:rsidRPr="00043B08">
        <w:t>NGOs are currently accredited to perform advisory functions for the Committee. Their geographical distribution is as follows: Electoral Group I: 12</w:t>
      </w:r>
      <w:r w:rsidR="002471CD" w:rsidRPr="00043B08">
        <w:t>6</w:t>
      </w:r>
      <w:r w:rsidR="002471CD" w:rsidRPr="00043B08">
        <w:rPr>
          <w:rStyle w:val="FootnoteReference"/>
        </w:rPr>
        <w:footnoteReference w:id="3"/>
      </w:r>
      <w:r w:rsidRPr="00043B08">
        <w:t>; Electoral Group II: 27; Electoral Group III: 29; Electoral Group IV: 36; Electoral Group V(a): 25 and Electoral Group V(b): 15.</w:t>
      </w:r>
      <w:r w:rsidR="00C06C5B" w:rsidRPr="00043B08">
        <w:t xml:space="preserve"> </w:t>
      </w:r>
    </w:p>
    <w:p w14:paraId="31E9825E" w14:textId="5A76D550" w:rsidR="00CF750D" w:rsidRDefault="00425D69" w:rsidP="00BE6893">
      <w:pPr>
        <w:pStyle w:val="COMPara"/>
        <w:numPr>
          <w:ilvl w:val="0"/>
          <w:numId w:val="0"/>
        </w:numPr>
        <w:jc w:val="center"/>
        <w:rPr>
          <w:noProof/>
          <w:snapToGrid/>
        </w:rPr>
      </w:pPr>
      <w:r w:rsidRPr="00043B08">
        <w:rPr>
          <w:noProof/>
        </w:rPr>
        <w:drawing>
          <wp:inline distT="0" distB="0" distL="0" distR="0" wp14:anchorId="73A8C514" wp14:editId="471AF3FA">
            <wp:extent cx="4345200" cy="2743200"/>
            <wp:effectExtent l="0" t="0" r="17780" b="0"/>
            <wp:docPr id="648221707" name="Chart 1">
              <a:extLst xmlns:a="http://schemas.openxmlformats.org/drawingml/2006/main">
                <a:ext uri="{FF2B5EF4-FFF2-40B4-BE49-F238E27FC236}">
                  <a16:creationId xmlns:a16="http://schemas.microsoft.com/office/drawing/2014/main" id="{4EA41AE6-4910-BAEC-A240-023F46CC5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043B08" w:rsidDel="00425D69">
        <w:rPr>
          <w:noProof/>
          <w:snapToGrid/>
        </w:rPr>
        <w:t xml:space="preserve"> </w:t>
      </w:r>
    </w:p>
    <w:p w14:paraId="56A598A7" w14:textId="77777777" w:rsidR="00A0048C" w:rsidRPr="00043B08" w:rsidRDefault="00A0048C" w:rsidP="00BE6893">
      <w:pPr>
        <w:pStyle w:val="COMPara"/>
        <w:numPr>
          <w:ilvl w:val="0"/>
          <w:numId w:val="0"/>
        </w:numPr>
        <w:jc w:val="center"/>
      </w:pPr>
    </w:p>
    <w:p w14:paraId="35DBC711" w14:textId="20B64325" w:rsidR="00F05F3E" w:rsidRPr="00043B08" w:rsidRDefault="00F05F3E" w:rsidP="00BE6893">
      <w:pPr>
        <w:pStyle w:val="COMPara"/>
        <w:numPr>
          <w:ilvl w:val="0"/>
          <w:numId w:val="21"/>
        </w:numPr>
        <w:ind w:left="567" w:hanging="567"/>
        <w:jc w:val="both"/>
        <w:rPr>
          <w:bCs/>
        </w:rPr>
      </w:pPr>
      <w:r w:rsidRPr="00043B08">
        <w:rPr>
          <w:b/>
          <w:bCs/>
        </w:rPr>
        <w:t xml:space="preserve">Accreditation of NGOs recommended by the </w:t>
      </w:r>
      <w:r w:rsidR="0005126D" w:rsidRPr="00043B08">
        <w:rPr>
          <w:b/>
          <w:bCs/>
        </w:rPr>
        <w:t>twentieth</w:t>
      </w:r>
      <w:r w:rsidRPr="00043B08">
        <w:rPr>
          <w:b/>
          <w:bCs/>
        </w:rPr>
        <w:t xml:space="preserve"> session of the Committee</w:t>
      </w:r>
    </w:p>
    <w:p w14:paraId="1B08DF9D" w14:textId="0A4B9049" w:rsidR="00190205" w:rsidRPr="00043B08" w:rsidRDefault="0005126D" w:rsidP="00F95E6F">
      <w:pPr>
        <w:pStyle w:val="COMPara"/>
        <w:spacing w:after="240"/>
        <w:ind w:left="567" w:hanging="567"/>
        <w:jc w:val="both"/>
        <w:rPr>
          <w:rFonts w:eastAsia="SimSun"/>
        </w:rPr>
      </w:pPr>
      <w:r w:rsidRPr="00043B08">
        <w:rPr>
          <w:rFonts w:eastAsia="SimSun"/>
        </w:rPr>
        <w:t xml:space="preserve">At its twentieth session in 2025, the Committee examined new accreditation requests from ninety-six NGOs, and recommended that the General Assembly accredit fifty-nine of them (Decision </w:t>
      </w:r>
      <w:hyperlink r:id="rId9" w:history="1">
        <w:r w:rsidRPr="00043B08">
          <w:rPr>
            <w:rStyle w:val="Hyperlink"/>
            <w:rFonts w:eastAsia="SimSun"/>
          </w:rPr>
          <w:t>20.COM 16</w:t>
        </w:r>
      </w:hyperlink>
      <w:r w:rsidRPr="00043B08">
        <w:rPr>
          <w:rFonts w:eastAsia="SimSun"/>
        </w:rPr>
        <w:t xml:space="preserve">). These organizations are listed in the </w:t>
      </w:r>
      <w:r w:rsidR="00F20866" w:rsidRPr="00043B08">
        <w:rPr>
          <w:rFonts w:eastAsia="SimSun"/>
        </w:rPr>
        <w:t>a</w:t>
      </w:r>
      <w:r w:rsidRPr="00043B08">
        <w:rPr>
          <w:rFonts w:eastAsia="SimSun"/>
        </w:rPr>
        <w:t>nnex</w:t>
      </w:r>
      <w:r w:rsidR="00F20866" w:rsidRPr="00043B08">
        <w:rPr>
          <w:rFonts w:eastAsia="SimSun"/>
        </w:rPr>
        <w:t xml:space="preserve"> to the present document</w:t>
      </w:r>
      <w:r w:rsidRPr="00043B08">
        <w:rPr>
          <w:rFonts w:eastAsia="SimSun"/>
        </w:rPr>
        <w:t xml:space="preserve">. The </w:t>
      </w:r>
      <w:hyperlink r:id="rId10" w:history="1">
        <w:r w:rsidRPr="00043B08">
          <w:rPr>
            <w:rStyle w:val="Hyperlink"/>
            <w:rFonts w:eastAsia="SimSun"/>
          </w:rPr>
          <w:t>webpage of the Convention</w:t>
        </w:r>
      </w:hyperlink>
      <w:r w:rsidRPr="00043B08">
        <w:rPr>
          <w:rFonts w:eastAsia="SimSun"/>
        </w:rPr>
        <w:t xml:space="preserve"> makes available all requests that were completed in time for </w:t>
      </w:r>
      <w:r w:rsidRPr="00043B08">
        <w:rPr>
          <w:rFonts w:eastAsia="SimSun"/>
        </w:rPr>
        <w:lastRenderedPageBreak/>
        <w:t xml:space="preserve">the examination by the twentieth session of the Committee in the language in which they were submitted, namely Form </w:t>
      </w:r>
      <w:hyperlink r:id="rId11" w:history="1">
        <w:r w:rsidRPr="00043B08">
          <w:rPr>
            <w:rStyle w:val="Hyperlink"/>
            <w:rFonts w:eastAsia="SimSun"/>
          </w:rPr>
          <w:t>ICH-09</w:t>
        </w:r>
      </w:hyperlink>
      <w:r w:rsidRPr="00043B08">
        <w:rPr>
          <w:rFonts w:eastAsia="SimSun"/>
        </w:rPr>
        <w:t xml:space="preserve"> filled by each organization, together with supplementary documents regarding items 8.a, 8.b</w:t>
      </w:r>
      <w:r w:rsidR="00957A47" w:rsidRPr="00043B08">
        <w:rPr>
          <w:rFonts w:eastAsia="SimSun"/>
        </w:rPr>
        <w:t>,</w:t>
      </w:r>
      <w:r w:rsidRPr="00043B08">
        <w:rPr>
          <w:rFonts w:eastAsia="SimSun"/>
        </w:rPr>
        <w:t xml:space="preserve"> and 8.c of that form. The geographical distribution of the fifty-</w:t>
      </w:r>
      <w:r w:rsidR="00AE2B32" w:rsidRPr="00043B08">
        <w:rPr>
          <w:rFonts w:eastAsia="SimSun"/>
        </w:rPr>
        <w:t>nine</w:t>
      </w:r>
      <w:r w:rsidRPr="00043B08">
        <w:rPr>
          <w:rFonts w:eastAsia="SimSun"/>
        </w:rPr>
        <w:t xml:space="preserve"> NGOs proposed for accreditation is as follows: Electoral Group I: </w:t>
      </w:r>
      <w:r w:rsidR="00AE2B32" w:rsidRPr="00043B08">
        <w:rPr>
          <w:rFonts w:eastAsia="SimSun"/>
        </w:rPr>
        <w:t>2</w:t>
      </w:r>
      <w:r w:rsidR="00621720" w:rsidRPr="00043B08">
        <w:rPr>
          <w:rFonts w:eastAsia="SimSun"/>
        </w:rPr>
        <w:t>9</w:t>
      </w:r>
      <w:r w:rsidRPr="00043B08">
        <w:rPr>
          <w:rFonts w:eastAsia="SimSun"/>
        </w:rPr>
        <w:t>; Electoral Group</w:t>
      </w:r>
      <w:r w:rsidR="001671AF" w:rsidRPr="00043B08">
        <w:rPr>
          <w:rFonts w:eastAsia="SimSun"/>
        </w:rPr>
        <w:t> </w:t>
      </w:r>
      <w:r w:rsidRPr="00043B08">
        <w:rPr>
          <w:rFonts w:eastAsia="SimSun"/>
        </w:rPr>
        <w:t xml:space="preserve">II: </w:t>
      </w:r>
      <w:r w:rsidR="00621720" w:rsidRPr="00043B08">
        <w:rPr>
          <w:rFonts w:eastAsia="SimSun"/>
        </w:rPr>
        <w:t>7</w:t>
      </w:r>
      <w:r w:rsidRPr="00043B08">
        <w:rPr>
          <w:rFonts w:eastAsia="SimSun"/>
        </w:rPr>
        <w:t xml:space="preserve">; Electoral Group III: </w:t>
      </w:r>
      <w:r w:rsidR="00AE2B32" w:rsidRPr="00043B08">
        <w:rPr>
          <w:rFonts w:eastAsia="SimSun"/>
        </w:rPr>
        <w:t>4</w:t>
      </w:r>
      <w:r w:rsidRPr="00043B08">
        <w:rPr>
          <w:rFonts w:eastAsia="SimSun"/>
        </w:rPr>
        <w:t xml:space="preserve">; Electoral Group IV: </w:t>
      </w:r>
      <w:r w:rsidR="00AE2B32" w:rsidRPr="00043B08">
        <w:rPr>
          <w:rFonts w:eastAsia="SimSun"/>
        </w:rPr>
        <w:t>7</w:t>
      </w:r>
      <w:r w:rsidRPr="00043B08">
        <w:rPr>
          <w:rFonts w:eastAsia="SimSun"/>
        </w:rPr>
        <w:t xml:space="preserve">; Electoral Group V(a): </w:t>
      </w:r>
      <w:r w:rsidR="00AE2B32" w:rsidRPr="00043B08">
        <w:rPr>
          <w:rFonts w:eastAsia="SimSun"/>
        </w:rPr>
        <w:t>6</w:t>
      </w:r>
      <w:r w:rsidR="00957A47" w:rsidRPr="00043B08">
        <w:rPr>
          <w:rFonts w:eastAsia="SimSun"/>
        </w:rPr>
        <w:t>,</w:t>
      </w:r>
      <w:r w:rsidRPr="00043B08">
        <w:rPr>
          <w:rFonts w:eastAsia="SimSun"/>
        </w:rPr>
        <w:t xml:space="preserve"> and Electoral Group V(b): </w:t>
      </w:r>
      <w:r w:rsidR="00AE2B32" w:rsidRPr="00043B08">
        <w:rPr>
          <w:rFonts w:eastAsia="SimSun"/>
        </w:rPr>
        <w:t>6</w:t>
      </w:r>
      <w:r w:rsidRPr="00043B08">
        <w:rPr>
          <w:rFonts w:eastAsia="SimSun"/>
        </w:rPr>
        <w:t>.</w:t>
      </w:r>
    </w:p>
    <w:p w14:paraId="4FD43C64" w14:textId="2B27BEE5" w:rsidR="002A1481" w:rsidRPr="00043B08" w:rsidRDefault="00334348" w:rsidP="002A1481">
      <w:pPr>
        <w:pStyle w:val="COMPara"/>
        <w:numPr>
          <w:ilvl w:val="0"/>
          <w:numId w:val="0"/>
        </w:numPr>
        <w:ind w:left="567"/>
        <w:jc w:val="center"/>
        <w:rPr>
          <w:rFonts w:eastAsia="SimSun"/>
        </w:rPr>
      </w:pPr>
      <w:r w:rsidRPr="00043B08">
        <w:rPr>
          <w:noProof/>
        </w:rPr>
        <w:drawing>
          <wp:inline distT="0" distB="0" distL="0" distR="0" wp14:anchorId="3A201A9C" wp14:editId="0E81AADF">
            <wp:extent cx="4572000" cy="2743200"/>
            <wp:effectExtent l="0" t="0" r="0" b="0"/>
            <wp:docPr id="374475797" name="Chart 1">
              <a:extLst xmlns:a="http://schemas.openxmlformats.org/drawingml/2006/main">
                <a:ext uri="{FF2B5EF4-FFF2-40B4-BE49-F238E27FC236}">
                  <a16:creationId xmlns:a16="http://schemas.microsoft.com/office/drawing/2014/main" id="{387540B8-4A70-4ACF-BB1B-A87FEE1F0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675E4" w14:textId="2D9799BC" w:rsidR="002A1481" w:rsidRPr="00043B08" w:rsidRDefault="002A1481" w:rsidP="00F95E6F">
      <w:pPr>
        <w:pStyle w:val="COMPara"/>
        <w:spacing w:before="240"/>
        <w:ind w:left="567" w:hanging="567"/>
        <w:jc w:val="both"/>
        <w:rPr>
          <w:rFonts w:eastAsia="SimSun"/>
        </w:rPr>
      </w:pPr>
      <w:r w:rsidRPr="00043B08">
        <w:rPr>
          <w:rFonts w:eastAsia="SimSun"/>
        </w:rPr>
        <w:t>Requests for accreditation and renewal are reviewed by the Secretariat of the 2003 Convention against the criteria set out in the Operational Directives. The Secretariat registers the proposals in accordance with paragraph 99 of the Operational Directives, helps the organizations to provide any missing information, if necessary, and prepares recommendations to the Committee as requested in paragraph 92 of the Operational Directives. The relevant forms and corresponding working documents are made available through the webpage of the Convention at the latest four weeks before the opening of the relevant session of the Committee and</w:t>
      </w:r>
      <w:r w:rsidR="001671AF" w:rsidRPr="00043B08">
        <w:rPr>
          <w:rFonts w:eastAsia="SimSun"/>
        </w:rPr>
        <w:t xml:space="preserve"> thirty days before the opening of the relevant session of </w:t>
      </w:r>
      <w:r w:rsidRPr="00043B08">
        <w:rPr>
          <w:rFonts w:eastAsia="SimSun"/>
        </w:rPr>
        <w:t>the General Assembly.</w:t>
      </w:r>
    </w:p>
    <w:p w14:paraId="742EE503" w14:textId="494E4755" w:rsidR="00981850" w:rsidRPr="00043B08" w:rsidRDefault="002A1481" w:rsidP="00981850">
      <w:pPr>
        <w:pStyle w:val="COMPara"/>
        <w:ind w:left="567" w:hanging="567"/>
        <w:jc w:val="both"/>
        <w:rPr>
          <w:rFonts w:eastAsia="SimSun"/>
        </w:rPr>
      </w:pPr>
      <w:r w:rsidRPr="00043B08">
        <w:rPr>
          <w:rFonts w:eastAsia="SimSun"/>
        </w:rPr>
        <w:t xml:space="preserve">In line with Resolution </w:t>
      </w:r>
      <w:hyperlink r:id="rId13" w:history="1">
        <w:r w:rsidRPr="00043B08">
          <w:rPr>
            <w:rStyle w:val="Hyperlink"/>
            <w:rFonts w:eastAsia="SimSun"/>
          </w:rPr>
          <w:t>9.GA 7</w:t>
        </w:r>
      </w:hyperlink>
      <w:r w:rsidRPr="00043B08">
        <w:rPr>
          <w:rFonts w:eastAsia="SimSun"/>
        </w:rPr>
        <w:t xml:space="preserve"> adopted by the ninth session of the General Assembly in 2022,</w:t>
      </w:r>
      <w:r w:rsidR="00981850" w:rsidRPr="00043B08">
        <w:rPr>
          <w:rFonts w:eastAsia="SimSun"/>
        </w:rPr>
        <w:t xml:space="preserve"> </w:t>
      </w:r>
      <w:r w:rsidR="00981850" w:rsidRPr="00043B08">
        <w:t xml:space="preserve">as initiated by the eighteenth session of the Committee (Decision </w:t>
      </w:r>
      <w:hyperlink r:id="rId14" w:history="1">
        <w:r w:rsidR="00981850" w:rsidRPr="00043B08">
          <w:rPr>
            <w:rStyle w:val="Hyperlink"/>
          </w:rPr>
          <w:t>18.COM 16</w:t>
        </w:r>
      </w:hyperlink>
      <w:r w:rsidR="00981850" w:rsidRPr="00043B08">
        <w:t xml:space="preserve">), </w:t>
      </w:r>
      <w:r w:rsidRPr="00043B08">
        <w:rPr>
          <w:rFonts w:eastAsia="SimSun"/>
        </w:rPr>
        <w:t>the Secretariat sought cooperation from UNESCO Field Offices in the review of newly submitted accreditation requests.</w:t>
      </w:r>
      <w:r w:rsidR="00981850" w:rsidRPr="00043B08">
        <w:rPr>
          <w:rFonts w:eastAsia="SimSun"/>
        </w:rPr>
        <w:t xml:space="preserve"> The list of NGO accreditation and renewal requests was made available to Field Offices</w:t>
      </w:r>
      <w:r w:rsidR="00957A47" w:rsidRPr="00043B08">
        <w:rPr>
          <w:rFonts w:eastAsia="SimSun"/>
        </w:rPr>
        <w:t>,</w:t>
      </w:r>
      <w:r w:rsidR="00981850" w:rsidRPr="00043B08">
        <w:rPr>
          <w:rFonts w:eastAsia="SimSun"/>
        </w:rPr>
        <w:t xml:space="preserve"> and a form was provided to collect relevant information. Four UNESCO Field Offices supported the process, by providing complementary information to the requests for new accreditation by the non-governmental organizations with which they interacted.</w:t>
      </w:r>
    </w:p>
    <w:p w14:paraId="43CECCA6" w14:textId="7B49E628" w:rsidR="00F20866" w:rsidRPr="00043B08" w:rsidRDefault="006240B0" w:rsidP="00981850">
      <w:pPr>
        <w:pStyle w:val="COMPara"/>
        <w:ind w:left="567" w:hanging="567"/>
        <w:jc w:val="both"/>
        <w:rPr>
          <w:rFonts w:eastAsia="SimSun"/>
        </w:rPr>
      </w:pPr>
      <w:r w:rsidRPr="00043B08">
        <w:rPr>
          <w:rFonts w:eastAsia="SimSun"/>
        </w:rPr>
        <w:t>Furthermore, the accreditation system having been established in 2010, some accredited organizations expressed the wish to update the information provided at the time of submitting their initial accreditation</w:t>
      </w:r>
      <w:r w:rsidR="00EE721A" w:rsidRPr="00043B08">
        <w:rPr>
          <w:rFonts w:eastAsia="SimSun"/>
        </w:rPr>
        <w:t xml:space="preserve"> </w:t>
      </w:r>
      <w:r w:rsidRPr="00043B08">
        <w:rPr>
          <w:rFonts w:eastAsia="SimSun"/>
        </w:rPr>
        <w:t xml:space="preserve">to reflect the changing situation of the NGO concerned. Accordingly, the twentieth session of the Committee took note of updated administrative information by six accredited non-governmental organizations </w:t>
      </w:r>
      <w:r w:rsidRPr="00043B08">
        <w:rPr>
          <w:bCs/>
          <w:lang w:val="en-US"/>
        </w:rPr>
        <w:t xml:space="preserve">(see document </w:t>
      </w:r>
      <w:hyperlink r:id="rId15" w:history="1">
        <w:r w:rsidRPr="00043B08">
          <w:rPr>
            <w:rStyle w:val="Hyperlink"/>
            <w:bCs/>
            <w:lang w:val="en-US"/>
          </w:rPr>
          <w:t>LHE/25/20.COM/16 Rev.</w:t>
        </w:r>
      </w:hyperlink>
      <w:r w:rsidRPr="00043B08">
        <w:rPr>
          <w:bCs/>
          <w:lang w:val="en-US"/>
        </w:rPr>
        <w:t>)</w:t>
      </w:r>
      <w:r w:rsidRPr="00043B08">
        <w:rPr>
          <w:rFonts w:eastAsia="SimSun"/>
        </w:rPr>
        <w:t>.</w:t>
      </w:r>
    </w:p>
    <w:p w14:paraId="70851338" w14:textId="77777777" w:rsidR="00AB3F36" w:rsidRPr="00043B08" w:rsidRDefault="00AB3F36" w:rsidP="00AB3F36">
      <w:pPr>
        <w:pStyle w:val="COMPara"/>
        <w:numPr>
          <w:ilvl w:val="0"/>
          <w:numId w:val="21"/>
        </w:numPr>
        <w:ind w:left="567" w:hanging="567"/>
        <w:jc w:val="both"/>
        <w:rPr>
          <w:b/>
          <w:bCs/>
        </w:rPr>
      </w:pPr>
      <w:r w:rsidRPr="00043B08">
        <w:rPr>
          <w:b/>
          <w:bCs/>
        </w:rPr>
        <w:t xml:space="preserve">Geographical balance amongst accredited non-governmental organizations </w:t>
      </w:r>
    </w:p>
    <w:p w14:paraId="3C3F4EFE" w14:textId="59FB02B1" w:rsidR="00AB3F36" w:rsidRPr="00043B08" w:rsidRDefault="00AB3F36" w:rsidP="00AB3F36">
      <w:pPr>
        <w:pStyle w:val="COMPara"/>
        <w:ind w:left="567" w:hanging="567"/>
        <w:jc w:val="both"/>
      </w:pPr>
      <w:r w:rsidRPr="00043B08">
        <w:t>In conformity with the request of the ninth session of the General Assembly (Resolution</w:t>
      </w:r>
      <w:r w:rsidR="00BC4B4D" w:rsidRPr="00043B08">
        <w:t> </w:t>
      </w:r>
      <w:hyperlink r:id="rId16" w:history="1">
        <w:r w:rsidRPr="00043B08">
          <w:rPr>
            <w:rStyle w:val="Hyperlink"/>
          </w:rPr>
          <w:t>9.GA 7</w:t>
        </w:r>
      </w:hyperlink>
      <w:r w:rsidRPr="00043B08">
        <w:t>), the tenth session of the General Assembly, following a consultation with States Parties, the ICH NGO Forum and Category 2 Centres, adopted a plan for ensuring geographical balance amongst accredited NGOs under the 2003 Convention (Resolution</w:t>
      </w:r>
      <w:r w:rsidR="00BC4B4D" w:rsidRPr="00043B08">
        <w:t> </w:t>
      </w:r>
      <w:hyperlink r:id="rId17" w:history="1">
        <w:r w:rsidRPr="00043B08">
          <w:rPr>
            <w:rStyle w:val="Hyperlink"/>
          </w:rPr>
          <w:t>10.GA 9 Add.</w:t>
        </w:r>
      </w:hyperlink>
      <w:r w:rsidRPr="00043B08">
        <w:t xml:space="preserve">), to be implemented by the Secretariat, the ICH NGO Forum, Category 2 Centres and other stakeholders. </w:t>
      </w:r>
    </w:p>
    <w:p w14:paraId="63C645A8" w14:textId="77777777" w:rsidR="00AB3F36" w:rsidRPr="00043B08" w:rsidRDefault="00AB3F36" w:rsidP="00AB3F36">
      <w:pPr>
        <w:pStyle w:val="COMPara"/>
        <w:ind w:left="567" w:hanging="567"/>
        <w:jc w:val="both"/>
      </w:pPr>
      <w:r w:rsidRPr="00043B08">
        <w:lastRenderedPageBreak/>
        <w:t xml:space="preserve">In this regard, the ICH NGO Forum carried out activities in 2024 and 2025 specifically catered for NGOs in underrepresented regions that may benefit from the accreditation system under the 2003 Convention (Document </w:t>
      </w:r>
      <w:hyperlink r:id="rId18" w:history="1">
        <w:r w:rsidRPr="00043B08">
          <w:rPr>
            <w:rStyle w:val="Hyperlink"/>
          </w:rPr>
          <w:t>LHE/25/20.COM/15</w:t>
        </w:r>
      </w:hyperlink>
      <w:r w:rsidRPr="00043B08">
        <w:t>).</w:t>
      </w:r>
    </w:p>
    <w:p w14:paraId="486B20A3" w14:textId="09F9BA65" w:rsidR="00AB3F36" w:rsidRPr="00043B08" w:rsidRDefault="00AB3F36" w:rsidP="00AB3F36">
      <w:pPr>
        <w:pStyle w:val="COMPara"/>
        <w:numPr>
          <w:ilvl w:val="0"/>
          <w:numId w:val="24"/>
        </w:numPr>
        <w:ind w:left="1134" w:hanging="567"/>
        <w:jc w:val="both"/>
      </w:pPr>
      <w:r w:rsidRPr="00043B08">
        <w:t>Following similar pilot activities in 2023, the Forum coordinated a series of online information sessions for prospective applicants in March 2025, just before the submission deadline for accreditation requests (30 April 2025); these sessions were organised for Eastern Europe, Latin America, Asia-Pacific, Africa</w:t>
      </w:r>
      <w:r w:rsidR="00EE721A" w:rsidRPr="00043B08">
        <w:t>,</w:t>
      </w:r>
      <w:r w:rsidRPr="00043B08">
        <w:t xml:space="preserve"> and the Arab States. The webinars covered an introduction to the accreditation system, eligibility criteria and benefits of accreditation, as well as membership in the Forum. </w:t>
      </w:r>
    </w:p>
    <w:p w14:paraId="50CFE88D" w14:textId="5AFA20F5" w:rsidR="00AB3F36" w:rsidRPr="00043B08" w:rsidRDefault="00AB3F36" w:rsidP="00AB3F36">
      <w:pPr>
        <w:pStyle w:val="COMPara"/>
        <w:numPr>
          <w:ilvl w:val="0"/>
          <w:numId w:val="24"/>
        </w:numPr>
        <w:ind w:left="1134" w:hanging="567"/>
        <w:jc w:val="both"/>
      </w:pPr>
      <w:r w:rsidRPr="00043B08">
        <w:t>The Forum also continued the project on mapping the domains of competence of accredited NGOs. Based on the results of the initial phase in 2023-2024</w:t>
      </w:r>
      <w:r w:rsidR="00CB12B6" w:rsidRPr="00043B08">
        <w:t>,</w:t>
      </w:r>
      <w:r w:rsidR="00EE721A" w:rsidRPr="00043B08">
        <w:t xml:space="preserve"> visualized through the Convention’s </w:t>
      </w:r>
      <w:hyperlink r:id="rId19" w:history="1">
        <w:r w:rsidR="00EE721A" w:rsidRPr="00043B08">
          <w:rPr>
            <w:rStyle w:val="Hyperlink"/>
          </w:rPr>
          <w:t>webpage</w:t>
        </w:r>
      </w:hyperlink>
      <w:r w:rsidRPr="00043B08">
        <w:t xml:space="preserve">, the Forum </w:t>
      </w:r>
      <w:r w:rsidR="009C7242" w:rsidRPr="00043B08">
        <w:t>pursued</w:t>
      </w:r>
      <w:r w:rsidRPr="00043B08">
        <w:t xml:space="preserve"> its collaboration with the Secretariat to advance the second phase of the project in 2025</w:t>
      </w:r>
      <w:r w:rsidR="00CB12B6" w:rsidRPr="00043B08">
        <w:t xml:space="preserve">. </w:t>
      </w:r>
      <w:r w:rsidRPr="00043B08">
        <w:t xml:space="preserve">Once the second phase is completed, the profiles of 160 out of the </w:t>
      </w:r>
      <w:r w:rsidR="00576758" w:rsidRPr="00043B08">
        <w:t xml:space="preserve">258 </w:t>
      </w:r>
      <w:r w:rsidRPr="00043B08">
        <w:t xml:space="preserve">currently accredited NGOs will be available online. It is expected that the mapping results will clarify in which areas expertise is concentrated and where it is lacking, thereby guiding efforts to strengthen representation from underrepresented regions. </w:t>
      </w:r>
    </w:p>
    <w:p w14:paraId="5319532C" w14:textId="2D9EFD49" w:rsidR="00AB3F36" w:rsidRPr="00043B08" w:rsidRDefault="00AB3F36" w:rsidP="00930EF2">
      <w:pPr>
        <w:pStyle w:val="COMPara"/>
        <w:ind w:left="567" w:hanging="567"/>
        <w:jc w:val="both"/>
      </w:pPr>
      <w:r w:rsidRPr="00043B08">
        <w:t xml:space="preserve">The number of accreditation requests steadily </w:t>
      </w:r>
      <w:r w:rsidR="00CB12B6" w:rsidRPr="00043B08">
        <w:t>increases</w:t>
      </w:r>
      <w:r w:rsidRPr="00043B08">
        <w:t>, from 46 in the 2022 cycle</w:t>
      </w:r>
      <w:r w:rsidR="00CB12B6" w:rsidRPr="00043B08">
        <w:t xml:space="preserve"> to</w:t>
      </w:r>
      <w:r w:rsidR="00AA7F8A" w:rsidRPr="00043B08">
        <w:t xml:space="preserve"> </w:t>
      </w:r>
      <w:r w:rsidRPr="00043B08">
        <w:t>73 in the 2024 cycle</w:t>
      </w:r>
      <w:r w:rsidR="00CB12B6" w:rsidRPr="00043B08">
        <w:t xml:space="preserve"> and </w:t>
      </w:r>
      <w:r w:rsidRPr="00043B08">
        <w:t xml:space="preserve">96 in the 2026 accreditation cycle. </w:t>
      </w:r>
      <w:r w:rsidR="009C7242" w:rsidRPr="00043B08">
        <w:t xml:space="preserve">This positive development is the result of the abovementioned awareness-raising and capacity-building efforts, combined with the increased interest witnessed around the Convention and its mechanisms. However, it should be mentioned that the interest </w:t>
      </w:r>
      <w:r w:rsidR="00CB12B6" w:rsidRPr="00043B08">
        <w:t xml:space="preserve">in </w:t>
      </w:r>
      <w:r w:rsidR="009C7242" w:rsidRPr="00043B08">
        <w:t xml:space="preserve">living heritage also </w:t>
      </w:r>
      <w:r w:rsidR="001671AF" w:rsidRPr="00043B08">
        <w:t>attracts the attention</w:t>
      </w:r>
      <w:r w:rsidR="009C7242" w:rsidRPr="00043B08">
        <w:t xml:space="preserve"> of a new category of NGOs that seek accreditation</w:t>
      </w:r>
      <w:r w:rsidR="001671AF" w:rsidRPr="00043B08">
        <w:t xml:space="preserve"> and may not fully meet the criteria</w:t>
      </w:r>
      <w:r w:rsidR="008D3766" w:rsidRPr="00043B08">
        <w:t>.</w:t>
      </w:r>
      <w:r w:rsidR="00930EF2" w:rsidRPr="00043B08">
        <w:t xml:space="preserve"> </w:t>
      </w:r>
      <w:r w:rsidR="008D3766" w:rsidRPr="00043B08">
        <w:t xml:space="preserve">In </w:t>
      </w:r>
      <w:r w:rsidR="00CB12B6" w:rsidRPr="00043B08">
        <w:t>some</w:t>
      </w:r>
      <w:r w:rsidR="00930EF2" w:rsidRPr="00043B08">
        <w:t xml:space="preserve"> cases, these entities are rather generalist organizations active in several fields of sustainable development</w:t>
      </w:r>
      <w:r w:rsidR="001671AF" w:rsidRPr="00043B08">
        <w:t>,</w:t>
      </w:r>
      <w:r w:rsidR="00930EF2" w:rsidRPr="00043B08">
        <w:t xml:space="preserve"> but at times</w:t>
      </w:r>
      <w:r w:rsidR="001671AF" w:rsidRPr="00043B08">
        <w:t xml:space="preserve"> with</w:t>
      </w:r>
      <w:r w:rsidR="00930EF2" w:rsidRPr="00043B08">
        <w:t xml:space="preserve"> no or very limited specific </w:t>
      </w:r>
      <w:r w:rsidR="001671AF" w:rsidRPr="00043B08">
        <w:t xml:space="preserve">demonstrated </w:t>
      </w:r>
      <w:r w:rsidR="00930EF2" w:rsidRPr="00043B08">
        <w:t xml:space="preserve">expertise in safeguarding intangible cultural heritage. </w:t>
      </w:r>
      <w:r w:rsidRPr="00043B08">
        <w:t xml:space="preserve">Meanwhile, although the geographical distribution </w:t>
      </w:r>
      <w:r w:rsidR="00930EF2" w:rsidRPr="00043B08">
        <w:t>among</w:t>
      </w:r>
      <w:r w:rsidRPr="00043B08">
        <w:t xml:space="preserve"> NGOs </w:t>
      </w:r>
      <w:r w:rsidR="00930EF2" w:rsidRPr="00043B08">
        <w:t>recommended for accreditation</w:t>
      </w:r>
      <w:r w:rsidRPr="00043B08">
        <w:t xml:space="preserve"> remain</w:t>
      </w:r>
      <w:r w:rsidR="00930EF2" w:rsidRPr="00043B08">
        <w:t>s</w:t>
      </w:r>
      <w:r w:rsidRPr="00043B08">
        <w:t xml:space="preserve"> relatively stable this </w:t>
      </w:r>
      <w:r w:rsidR="00930EF2" w:rsidRPr="00043B08">
        <w:t>cycle</w:t>
      </w:r>
      <w:r w:rsidRPr="00043B08">
        <w:t xml:space="preserve"> in comparison to the previous </w:t>
      </w:r>
      <w:r w:rsidR="00930EF2" w:rsidRPr="00043B08">
        <w:t xml:space="preserve">one, </w:t>
      </w:r>
      <w:r w:rsidRPr="00043B08">
        <w:t xml:space="preserve">it is important to note that the number of NGOs from Electoral Group V(a) </w:t>
      </w:r>
      <w:r w:rsidR="00930EF2" w:rsidRPr="00043B08">
        <w:t xml:space="preserve">recommended for accreditation by the present session of the General Assembly </w:t>
      </w:r>
      <w:r w:rsidRPr="00043B08">
        <w:t>has increased: they represented 4% of the</w:t>
      </w:r>
      <w:r w:rsidR="00930EF2" w:rsidRPr="00043B08">
        <w:t xml:space="preserve"> </w:t>
      </w:r>
      <w:r w:rsidRPr="00043B08">
        <w:t xml:space="preserve">requests </w:t>
      </w:r>
      <w:r w:rsidR="00930EF2" w:rsidRPr="00043B08">
        <w:t>recommended</w:t>
      </w:r>
      <w:r w:rsidRPr="00043B08">
        <w:t xml:space="preserve"> in 2023</w:t>
      </w:r>
      <w:r w:rsidR="001671AF" w:rsidRPr="00043B08">
        <w:t>-2024</w:t>
      </w:r>
      <w:r w:rsidRPr="00043B08">
        <w:t xml:space="preserve">, </w:t>
      </w:r>
      <w:r w:rsidR="00930EF2" w:rsidRPr="00043B08">
        <w:t>against</w:t>
      </w:r>
      <w:r w:rsidRPr="00043B08">
        <w:t xml:space="preserve"> </w:t>
      </w:r>
      <w:r w:rsidR="00334348" w:rsidRPr="00043B08">
        <w:t>1</w:t>
      </w:r>
      <w:r w:rsidRPr="00043B08">
        <w:t xml:space="preserve">0% of the requests </w:t>
      </w:r>
      <w:r w:rsidR="00334348" w:rsidRPr="00043B08">
        <w:t xml:space="preserve">recommended </w:t>
      </w:r>
      <w:r w:rsidRPr="00043B08">
        <w:t xml:space="preserve">under the current cycle. </w:t>
      </w:r>
    </w:p>
    <w:p w14:paraId="70093D18" w14:textId="0E1FC756" w:rsidR="00981850" w:rsidRPr="00043B08" w:rsidRDefault="00981850" w:rsidP="00981850">
      <w:pPr>
        <w:pStyle w:val="COMPara"/>
        <w:ind w:left="567" w:hanging="567"/>
        <w:jc w:val="both"/>
        <w:rPr>
          <w:rFonts w:eastAsia="SimSun"/>
        </w:rPr>
      </w:pPr>
      <w:r w:rsidRPr="00043B08">
        <w:t xml:space="preserve">The </w:t>
      </w:r>
      <w:r w:rsidRPr="00043B08">
        <w:rPr>
          <w:rFonts w:eastAsia="SimSun"/>
          <w:bCs/>
        </w:rPr>
        <w:t>General</w:t>
      </w:r>
      <w:r w:rsidRPr="00043B08">
        <w:t xml:space="preserve"> </w:t>
      </w:r>
      <w:r w:rsidRPr="00043B08">
        <w:rPr>
          <w:rFonts w:eastAsia="SimSun"/>
          <w:bCs/>
        </w:rPr>
        <w:t>Assembly</w:t>
      </w:r>
      <w:r w:rsidRPr="00043B08">
        <w:t xml:space="preserve"> may wish to adopt the following resolution:</w:t>
      </w:r>
    </w:p>
    <w:p w14:paraId="2D79A4A0" w14:textId="1FAAD1AF" w:rsidR="00981850" w:rsidRPr="00043B08" w:rsidRDefault="00981850" w:rsidP="004306C2">
      <w:pPr>
        <w:pStyle w:val="GATitleResolution"/>
      </w:pPr>
      <w:r w:rsidRPr="00043B08">
        <w:t>DRAFT RESOLUTION 11.GA 9</w:t>
      </w:r>
    </w:p>
    <w:p w14:paraId="2EAD5EF9" w14:textId="77777777" w:rsidR="00981850" w:rsidRPr="00043B08" w:rsidRDefault="00981850" w:rsidP="00981850">
      <w:pPr>
        <w:pStyle w:val="GAPreambulaResolution"/>
      </w:pPr>
      <w:r w:rsidRPr="00043B08">
        <w:t>The General Assembly,</w:t>
      </w:r>
    </w:p>
    <w:p w14:paraId="4C214FEC" w14:textId="353A289F" w:rsidR="00981850" w:rsidRPr="00043B08" w:rsidRDefault="00981850" w:rsidP="00BE6893">
      <w:pPr>
        <w:pStyle w:val="COMParaDecision"/>
        <w:jc w:val="left"/>
      </w:pPr>
      <w:r w:rsidRPr="00043B08">
        <w:t>Having examined</w:t>
      </w:r>
      <w:r w:rsidRPr="00043B08">
        <w:rPr>
          <w:u w:val="none"/>
        </w:rPr>
        <w:t xml:space="preserve"> document LHE/26/11.GA/9 and its annex,</w:t>
      </w:r>
    </w:p>
    <w:p w14:paraId="3503E5EE" w14:textId="6CB17837" w:rsidR="00981850" w:rsidRPr="00043B08" w:rsidRDefault="00981850" w:rsidP="00BE6893">
      <w:pPr>
        <w:pStyle w:val="COMParaDecision"/>
      </w:pPr>
      <w:r w:rsidRPr="00043B08">
        <w:t>Recalling</w:t>
      </w:r>
      <w:r w:rsidRPr="00043B08">
        <w:rPr>
          <w:u w:val="none"/>
        </w:rPr>
        <w:t xml:space="preserve"> Article 9 of the Convention and paragraphs 91</w:t>
      </w:r>
      <w:r w:rsidR="001A6C99" w:rsidRPr="00043B08">
        <w:rPr>
          <w:u w:val="none"/>
        </w:rPr>
        <w:t xml:space="preserve"> to </w:t>
      </w:r>
      <w:r w:rsidRPr="00043B08">
        <w:rPr>
          <w:u w:val="none"/>
        </w:rPr>
        <w:t>99 of the Operational Directives,</w:t>
      </w:r>
    </w:p>
    <w:p w14:paraId="7198A317" w14:textId="68F3915E" w:rsidR="00981850" w:rsidRPr="00043B08" w:rsidRDefault="00981850" w:rsidP="00BE6893">
      <w:pPr>
        <w:pStyle w:val="COMParaDecision"/>
      </w:pPr>
      <w:r w:rsidRPr="00043B08">
        <w:t>Further recalling</w:t>
      </w:r>
      <w:r w:rsidRPr="00043B08">
        <w:rPr>
          <w:u w:val="none"/>
        </w:rPr>
        <w:t xml:space="preserve"> </w:t>
      </w:r>
      <w:r w:rsidR="001A6C99" w:rsidRPr="00043B08">
        <w:rPr>
          <w:u w:val="none"/>
        </w:rPr>
        <w:t xml:space="preserve">Resolution </w:t>
      </w:r>
      <w:hyperlink r:id="rId20" w:history="1">
        <w:r w:rsidR="001A6C99" w:rsidRPr="00043B08">
          <w:rPr>
            <w:rStyle w:val="Hyperlink"/>
          </w:rPr>
          <w:t>10.GA 9 Add.</w:t>
        </w:r>
      </w:hyperlink>
      <w:r w:rsidR="001A6C99" w:rsidRPr="00043B08">
        <w:rPr>
          <w:u w:val="none"/>
        </w:rPr>
        <w:t xml:space="preserve"> and </w:t>
      </w:r>
      <w:r w:rsidRPr="00043B08">
        <w:rPr>
          <w:u w:val="none"/>
        </w:rPr>
        <w:t xml:space="preserve">Decision </w:t>
      </w:r>
      <w:hyperlink r:id="rId21" w:history="1">
        <w:r w:rsidRPr="00043B08">
          <w:rPr>
            <w:rStyle w:val="Hyperlink"/>
          </w:rPr>
          <w:t>20.COM 16</w:t>
        </w:r>
      </w:hyperlink>
      <w:r w:rsidRPr="00043B08">
        <w:rPr>
          <w:rStyle w:val="Hyperlink"/>
          <w:color w:val="auto"/>
          <w:u w:val="none"/>
        </w:rPr>
        <w:t>,</w:t>
      </w:r>
    </w:p>
    <w:p w14:paraId="07B59C13" w14:textId="7FC527AB" w:rsidR="00981850" w:rsidRPr="00043B08" w:rsidRDefault="00981850" w:rsidP="00BE6893">
      <w:pPr>
        <w:pStyle w:val="COMParaDecision"/>
      </w:pPr>
      <w:r w:rsidRPr="00043B08">
        <w:t>Accredits</w:t>
      </w:r>
      <w:r w:rsidRPr="00043B08">
        <w:rPr>
          <w:u w:val="none"/>
        </w:rPr>
        <w:t xml:space="preserve"> the fifty-nine NGOs listed in the annex to this resolution to act in an advisory capacity to the Committee;</w:t>
      </w:r>
    </w:p>
    <w:p w14:paraId="2D6DFE8C" w14:textId="63AC1B0C" w:rsidR="00AB3F36" w:rsidRPr="00043B08" w:rsidRDefault="00AB3F36" w:rsidP="00BE6893">
      <w:pPr>
        <w:pStyle w:val="COMParaDecision"/>
      </w:pPr>
      <w:bookmarkStart w:id="2" w:name="_Hlk47615881"/>
      <w:r w:rsidRPr="00043B08">
        <w:t>Takes note</w:t>
      </w:r>
      <w:r w:rsidRPr="00043B08">
        <w:rPr>
          <w:u w:val="none"/>
        </w:rPr>
        <w:t xml:space="preserve"> of the actions taken to improve the geographical distribution of the accredited NGOs under the 2003 Convention, </w:t>
      </w:r>
      <w:r w:rsidRPr="00043B08">
        <w:t>encourages</w:t>
      </w:r>
      <w:r w:rsidRPr="00043B08">
        <w:rPr>
          <w:u w:val="none"/>
        </w:rPr>
        <w:t xml:space="preserve"> the Secretariat, the ICH NGO Forum, Category 2 Centres and other stakeholders to pursue their efforts, and </w:t>
      </w:r>
      <w:r w:rsidRPr="00043B08">
        <w:t>reiterates</w:t>
      </w:r>
      <w:r w:rsidRPr="00043B08">
        <w:rPr>
          <w:u w:val="none"/>
        </w:rPr>
        <w:t xml:space="preserve"> its invitation to States Parties from under-represented Electoral Groups to encourage NGOs operating within their territories and meeting the criteria for accreditation to submit requests for accreditation at the earliest opportunity</w:t>
      </w:r>
      <w:r w:rsidR="001671AF" w:rsidRPr="00043B08">
        <w:rPr>
          <w:u w:val="none"/>
        </w:rPr>
        <w:t>;</w:t>
      </w:r>
    </w:p>
    <w:bookmarkEnd w:id="2"/>
    <w:p w14:paraId="20CA9162" w14:textId="0CBB3B92" w:rsidR="008524D5" w:rsidRPr="00043B08" w:rsidRDefault="00981850" w:rsidP="00BE6893">
      <w:pPr>
        <w:pStyle w:val="COMParaDecision"/>
        <w:keepLines/>
      </w:pPr>
      <w:r w:rsidRPr="00043B08">
        <w:t>Reminds</w:t>
      </w:r>
      <w:r w:rsidRPr="00043B08">
        <w:rPr>
          <w:u w:val="none"/>
        </w:rPr>
        <w:t xml:space="preserve"> the NGOs accredited in 2010, 2014, 2018 and 2022 that they are to submit their quadrennial report to the Secretariat before the deadline of </w:t>
      </w:r>
      <w:r w:rsidR="001A6C99" w:rsidRPr="00043B08">
        <w:rPr>
          <w:u w:val="none"/>
        </w:rPr>
        <w:t>15 February</w:t>
      </w:r>
      <w:r w:rsidRPr="00043B08">
        <w:rPr>
          <w:u w:val="none"/>
        </w:rPr>
        <w:t xml:space="preserve"> 202</w:t>
      </w:r>
      <w:r w:rsidR="002D06C8" w:rsidRPr="00043B08">
        <w:rPr>
          <w:u w:val="none"/>
        </w:rPr>
        <w:t>7</w:t>
      </w:r>
      <w:r w:rsidRPr="00043B08">
        <w:rPr>
          <w:u w:val="none"/>
        </w:rPr>
        <w:t xml:space="preserve"> so that the twent</w:t>
      </w:r>
      <w:r w:rsidR="001A6C99" w:rsidRPr="00043B08">
        <w:rPr>
          <w:u w:val="none"/>
        </w:rPr>
        <w:t>y</w:t>
      </w:r>
      <w:r w:rsidR="002D06C8" w:rsidRPr="00043B08">
        <w:rPr>
          <w:u w:val="none"/>
        </w:rPr>
        <w:t>-second</w:t>
      </w:r>
      <w:r w:rsidRPr="00043B08">
        <w:rPr>
          <w:u w:val="none"/>
        </w:rPr>
        <w:t xml:space="preserve"> session of the Committee can review the contributions and commitment of each advisory organization.</w:t>
      </w:r>
      <w:r w:rsidR="008524D5" w:rsidRPr="00043B08">
        <w:br w:type="page"/>
      </w:r>
    </w:p>
    <w:p w14:paraId="03BE938C" w14:textId="5B96529C" w:rsidR="008524D5" w:rsidRPr="00043B08" w:rsidRDefault="008524D5" w:rsidP="00F2489D">
      <w:pPr>
        <w:pStyle w:val="COMParaDecision"/>
        <w:numPr>
          <w:ilvl w:val="0"/>
          <w:numId w:val="0"/>
        </w:numPr>
        <w:rPr>
          <w:b/>
          <w:bCs/>
          <w:snapToGrid w:val="0"/>
          <w:u w:val="none"/>
          <w:lang w:eastAsia="en-US"/>
        </w:rPr>
      </w:pPr>
      <w:r w:rsidRPr="00043B08">
        <w:rPr>
          <w:b/>
          <w:bCs/>
          <w:snapToGrid w:val="0"/>
          <w:u w:val="none"/>
          <w:lang w:eastAsia="en-US"/>
        </w:rPr>
        <w:lastRenderedPageBreak/>
        <w:t>Annex:</w:t>
      </w:r>
      <w:r w:rsidR="00F2489D" w:rsidRPr="00043B08">
        <w:rPr>
          <w:b/>
          <w:bCs/>
          <w:snapToGrid w:val="0"/>
          <w:u w:val="none"/>
          <w:lang w:eastAsia="en-US"/>
        </w:rPr>
        <w:t xml:space="preserve"> </w:t>
      </w:r>
      <w:r w:rsidRPr="00043B08">
        <w:rPr>
          <w:b/>
          <w:bCs/>
          <w:snapToGrid w:val="0"/>
          <w:u w:val="none"/>
          <w:lang w:eastAsia="en-US"/>
        </w:rPr>
        <w:t xml:space="preserve">Fifty-nine non-governmental organizations recommended for accreditation by the </w:t>
      </w:r>
      <w:r w:rsidR="001918D1" w:rsidRPr="00043B08">
        <w:rPr>
          <w:b/>
          <w:bCs/>
          <w:snapToGrid w:val="0"/>
          <w:u w:val="none"/>
          <w:lang w:eastAsia="en-US"/>
        </w:rPr>
        <w:t xml:space="preserve">twentieth </w:t>
      </w:r>
      <w:r w:rsidRPr="00043B08">
        <w:rPr>
          <w:b/>
          <w:bCs/>
          <w:snapToGrid w:val="0"/>
          <w:u w:val="none"/>
          <w:lang w:eastAsia="en-US"/>
        </w:rPr>
        <w:t>session of the Committee</w:t>
      </w:r>
    </w:p>
    <w:tbl>
      <w:tblPr>
        <w:tblStyle w:val="TableGrid"/>
        <w:tblW w:w="5000" w:type="pct"/>
        <w:tblInd w:w="-5" w:type="dxa"/>
        <w:tblLayout w:type="fixed"/>
        <w:tblLook w:val="04A0" w:firstRow="1" w:lastRow="0" w:firstColumn="1" w:lastColumn="0" w:noHBand="0" w:noVBand="1"/>
      </w:tblPr>
      <w:tblGrid>
        <w:gridCol w:w="5954"/>
        <w:gridCol w:w="2182"/>
        <w:gridCol w:w="1492"/>
      </w:tblGrid>
      <w:tr w:rsidR="008524D5" w:rsidRPr="00043B08" w14:paraId="4BE54AA7" w14:textId="77777777" w:rsidTr="008524D5">
        <w:trPr>
          <w:trHeight w:val="624"/>
        </w:trPr>
        <w:tc>
          <w:tcPr>
            <w:tcW w:w="3092" w:type="pct"/>
            <w:shd w:val="clear" w:color="auto" w:fill="365F91" w:themeFill="accent1" w:themeFillShade="BF"/>
            <w:noWrap/>
            <w:vAlign w:val="center"/>
            <w:hideMark/>
          </w:tcPr>
          <w:p w14:paraId="3801F2C1" w14:textId="77777777" w:rsidR="008524D5" w:rsidRPr="00043B08" w:rsidRDefault="008524D5" w:rsidP="00AA7D44">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Organization name</w:t>
            </w:r>
          </w:p>
        </w:tc>
        <w:tc>
          <w:tcPr>
            <w:tcW w:w="1133" w:type="pct"/>
            <w:shd w:val="clear" w:color="auto" w:fill="365F91" w:themeFill="accent1" w:themeFillShade="BF"/>
            <w:noWrap/>
            <w:vAlign w:val="center"/>
            <w:hideMark/>
          </w:tcPr>
          <w:p w14:paraId="3DCAAF21" w14:textId="77777777" w:rsidR="008524D5" w:rsidRPr="00043B08" w:rsidRDefault="008524D5" w:rsidP="00AA7D44">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Country of registered office</w:t>
            </w:r>
          </w:p>
        </w:tc>
        <w:tc>
          <w:tcPr>
            <w:tcW w:w="775" w:type="pct"/>
            <w:shd w:val="clear" w:color="auto" w:fill="365F91" w:themeFill="accent1" w:themeFillShade="BF"/>
            <w:noWrap/>
            <w:vAlign w:val="center"/>
            <w:hideMark/>
          </w:tcPr>
          <w:p w14:paraId="23AD56BD" w14:textId="77777777" w:rsidR="008524D5" w:rsidRPr="00043B08" w:rsidRDefault="008524D5" w:rsidP="00AA7D44">
            <w:pPr>
              <w:spacing w:before="120" w:after="120"/>
              <w:jc w:val="center"/>
              <w:rPr>
                <w:rFonts w:ascii="Arial" w:hAnsi="Arial" w:cs="Arial"/>
                <w:b/>
                <w:bCs/>
                <w:color w:val="FFFFFF" w:themeColor="background1"/>
                <w:sz w:val="20"/>
                <w:szCs w:val="20"/>
                <w:lang w:val="en-GB"/>
              </w:rPr>
            </w:pPr>
            <w:r w:rsidRPr="00043B08">
              <w:rPr>
                <w:rFonts w:ascii="Arial" w:hAnsi="Arial" w:cs="Arial"/>
                <w:b/>
                <w:bCs/>
                <w:color w:val="FFFFFF" w:themeColor="background1"/>
                <w:sz w:val="20"/>
                <w:szCs w:val="20"/>
                <w:lang w:val="en-GB"/>
              </w:rPr>
              <w:t>Application number</w:t>
            </w:r>
          </w:p>
        </w:tc>
      </w:tr>
      <w:tr w:rsidR="008524D5" w:rsidRPr="00043B08" w14:paraId="7374355F" w14:textId="77777777" w:rsidTr="008524D5">
        <w:trPr>
          <w:trHeight w:val="290"/>
        </w:trPr>
        <w:tc>
          <w:tcPr>
            <w:tcW w:w="3092" w:type="pct"/>
            <w:noWrap/>
            <w:vAlign w:val="center"/>
            <w:hideMark/>
          </w:tcPr>
          <w:p w14:paraId="366DD923"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94GREEN Foundation</w:t>
            </w:r>
          </w:p>
        </w:tc>
        <w:tc>
          <w:tcPr>
            <w:tcW w:w="1133" w:type="pct"/>
            <w:noWrap/>
            <w:vAlign w:val="center"/>
            <w:hideMark/>
          </w:tcPr>
          <w:p w14:paraId="2F2FDFD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Suriname</w:t>
            </w:r>
          </w:p>
        </w:tc>
        <w:tc>
          <w:tcPr>
            <w:tcW w:w="775" w:type="pct"/>
            <w:noWrap/>
            <w:vAlign w:val="center"/>
            <w:hideMark/>
          </w:tcPr>
          <w:p w14:paraId="5AAB29E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NGO-90665</w:t>
            </w:r>
          </w:p>
        </w:tc>
      </w:tr>
      <w:tr w:rsidR="008524D5" w:rsidRPr="00043B08" w14:paraId="3DBBA8BD" w14:textId="77777777" w:rsidTr="008524D5">
        <w:trPr>
          <w:trHeight w:val="624"/>
        </w:trPr>
        <w:tc>
          <w:tcPr>
            <w:tcW w:w="3092" w:type="pct"/>
            <w:shd w:val="clear" w:color="auto" w:fill="DBE5F1" w:themeFill="accent1" w:themeFillTint="33"/>
            <w:noWrap/>
            <w:vAlign w:val="center"/>
            <w:hideMark/>
          </w:tcPr>
          <w:p w14:paraId="4C307A44" w14:textId="4767A69F"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w:t>
            </w:r>
            <w:proofErr w:type="spellStart"/>
            <w:r w:rsidRPr="00043B08">
              <w:rPr>
                <w:rFonts w:ascii="Arial" w:hAnsi="Arial" w:cs="Arial"/>
                <w:b/>
                <w:bCs/>
                <w:sz w:val="20"/>
                <w:szCs w:val="20"/>
              </w:rPr>
              <w:t>Umrboqiy</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meros</w:t>
            </w:r>
            <w:proofErr w:type="spellEnd"/>
            <w:r w:rsidRPr="00043B08">
              <w:rPr>
                <w:rFonts w:ascii="Arial" w:hAnsi="Arial" w:cs="Arial"/>
                <w:b/>
                <w:bCs/>
                <w:sz w:val="20"/>
                <w:szCs w:val="20"/>
              </w:rPr>
              <w:t xml:space="preserve">" </w:t>
            </w:r>
            <w:proofErr w:type="spellStart"/>
            <w:r w:rsidR="003419AF" w:rsidRPr="00043B08">
              <w:rPr>
                <w:rFonts w:ascii="Arial" w:hAnsi="Arial" w:cs="Arial"/>
                <w:b/>
                <w:bCs/>
                <w:sz w:val="20"/>
                <w:szCs w:val="20"/>
              </w:rPr>
              <w:t>O'zbekiston</w:t>
            </w:r>
            <w:proofErr w:type="spellEnd"/>
            <w:r w:rsidR="003419AF" w:rsidRPr="00043B08">
              <w:rPr>
                <w:rFonts w:ascii="Arial" w:hAnsi="Arial" w:cs="Arial"/>
                <w:b/>
                <w:bCs/>
                <w:sz w:val="20"/>
                <w:szCs w:val="20"/>
              </w:rPr>
              <w:t xml:space="preserve"> </w:t>
            </w:r>
            <w:proofErr w:type="spellStart"/>
            <w:r w:rsidRPr="00043B08">
              <w:rPr>
                <w:rFonts w:ascii="Arial" w:hAnsi="Arial" w:cs="Arial"/>
                <w:b/>
                <w:bCs/>
                <w:sz w:val="20"/>
                <w:szCs w:val="20"/>
              </w:rPr>
              <w:t>madaniyati</w:t>
            </w:r>
            <w:proofErr w:type="spellEnd"/>
            <w:r w:rsidRPr="00043B08">
              <w:rPr>
                <w:rFonts w:ascii="Arial" w:hAnsi="Arial" w:cs="Arial"/>
                <w:b/>
                <w:bCs/>
                <w:sz w:val="20"/>
                <w:szCs w:val="20"/>
              </w:rPr>
              <w:t xml:space="preserve"> va </w:t>
            </w:r>
            <w:proofErr w:type="spellStart"/>
            <w:r w:rsidRPr="00043B08">
              <w:rPr>
                <w:rFonts w:ascii="Arial" w:hAnsi="Arial" w:cs="Arial"/>
                <w:b/>
                <w:bCs/>
                <w:sz w:val="20"/>
                <w:szCs w:val="20"/>
              </w:rPr>
              <w:t>san’ati</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targï</w:t>
            </w:r>
            <w:proofErr w:type="spellEnd"/>
            <w:r w:rsidRPr="00043B08">
              <w:rPr>
                <w:rFonts w:ascii="Arial" w:hAnsi="Arial" w:cs="Arial"/>
                <w:b/>
                <w:bCs/>
                <w:sz w:val="20"/>
                <w:szCs w:val="20"/>
              </w:rPr>
              <w:t xml:space="preserve"> bot </w:t>
            </w:r>
            <w:proofErr w:type="spellStart"/>
            <w:r w:rsidRPr="00043B08">
              <w:rPr>
                <w:rFonts w:ascii="Arial" w:hAnsi="Arial" w:cs="Arial"/>
                <w:b/>
                <w:bCs/>
                <w:sz w:val="20"/>
                <w:szCs w:val="20"/>
              </w:rPr>
              <w:t>Markazi</w:t>
            </w:r>
            <w:proofErr w:type="spellEnd"/>
          </w:p>
        </w:tc>
        <w:tc>
          <w:tcPr>
            <w:tcW w:w="1133" w:type="pct"/>
            <w:shd w:val="clear" w:color="auto" w:fill="DBE5F1" w:themeFill="accent1" w:themeFillTint="33"/>
            <w:noWrap/>
            <w:vAlign w:val="center"/>
            <w:hideMark/>
          </w:tcPr>
          <w:p w14:paraId="7ACF6D2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Uzbekistan</w:t>
            </w:r>
          </w:p>
        </w:tc>
        <w:tc>
          <w:tcPr>
            <w:tcW w:w="775" w:type="pct"/>
            <w:shd w:val="clear" w:color="auto" w:fill="DBE5F1" w:themeFill="accent1" w:themeFillTint="33"/>
            <w:noWrap/>
            <w:vAlign w:val="center"/>
            <w:hideMark/>
          </w:tcPr>
          <w:p w14:paraId="029C357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NGO-90616</w:t>
            </w:r>
          </w:p>
        </w:tc>
      </w:tr>
      <w:tr w:rsidR="008524D5" w:rsidRPr="00043B08" w14:paraId="77EAA09D" w14:textId="77777777" w:rsidTr="008524D5">
        <w:trPr>
          <w:trHeight w:val="290"/>
        </w:trPr>
        <w:tc>
          <w:tcPr>
            <w:tcW w:w="3092" w:type="pct"/>
            <w:noWrap/>
            <w:vAlign w:val="center"/>
          </w:tcPr>
          <w:p w14:paraId="63452F54" w14:textId="2CFF0240" w:rsidR="008524D5" w:rsidRPr="00043B08" w:rsidRDefault="008524D5" w:rsidP="00AA7D44">
            <w:pPr>
              <w:spacing w:before="120" w:after="120"/>
              <w:rPr>
                <w:rFonts w:ascii="Arial" w:hAnsi="Arial" w:cs="Arial"/>
                <w:b/>
                <w:bCs/>
                <w:sz w:val="20"/>
                <w:szCs w:val="20"/>
              </w:rPr>
            </w:pPr>
            <w:proofErr w:type="spellStart"/>
            <w:r w:rsidRPr="00043B08">
              <w:rPr>
                <w:rFonts w:ascii="Arial" w:hAnsi="Arial" w:cs="Arial"/>
                <w:b/>
                <w:bCs/>
                <w:sz w:val="20"/>
                <w:szCs w:val="20"/>
              </w:rPr>
              <w:t>Akademsko</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društvo</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za</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negovanje</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muzike</w:t>
            </w:r>
            <w:proofErr w:type="spellEnd"/>
            <w:r w:rsidRPr="00043B08">
              <w:rPr>
                <w:rFonts w:ascii="Arial" w:hAnsi="Arial" w:cs="Arial"/>
                <w:b/>
                <w:bCs/>
                <w:sz w:val="20"/>
                <w:szCs w:val="20"/>
              </w:rPr>
              <w:t xml:space="preserve"> </w:t>
            </w:r>
            <w:r w:rsidR="003419AF" w:rsidRPr="00043B08">
              <w:rPr>
                <w:rFonts w:ascii="Arial" w:hAnsi="Arial" w:cs="Arial"/>
                <w:b/>
                <w:bCs/>
                <w:sz w:val="20"/>
                <w:szCs w:val="20"/>
              </w:rPr>
              <w:t>"</w:t>
            </w:r>
            <w:r w:rsidRPr="00043B08">
              <w:rPr>
                <w:rFonts w:ascii="Arial" w:hAnsi="Arial" w:cs="Arial"/>
                <w:b/>
                <w:bCs/>
                <w:sz w:val="20"/>
                <w:szCs w:val="20"/>
              </w:rPr>
              <w:t>Gusle</w:t>
            </w:r>
            <w:r w:rsidR="003419AF" w:rsidRPr="00043B08">
              <w:rPr>
                <w:rFonts w:ascii="Arial" w:hAnsi="Arial" w:cs="Arial"/>
                <w:b/>
                <w:bCs/>
                <w:sz w:val="20"/>
                <w:szCs w:val="20"/>
              </w:rPr>
              <w:t>"</w:t>
            </w:r>
            <w:r w:rsidRPr="00043B08">
              <w:rPr>
                <w:rFonts w:ascii="Arial" w:hAnsi="Arial" w:cs="Arial"/>
                <w:b/>
                <w:bCs/>
                <w:sz w:val="20"/>
                <w:szCs w:val="20"/>
              </w:rPr>
              <w:t xml:space="preserve"> Kikinda - ADZNM </w:t>
            </w:r>
            <w:r w:rsidR="003419AF" w:rsidRPr="00043B08">
              <w:rPr>
                <w:rFonts w:ascii="Arial" w:hAnsi="Arial" w:cs="Arial"/>
                <w:b/>
                <w:bCs/>
                <w:sz w:val="20"/>
                <w:szCs w:val="20"/>
              </w:rPr>
              <w:t>"</w:t>
            </w:r>
            <w:r w:rsidRPr="00043B08">
              <w:rPr>
                <w:rFonts w:ascii="Arial" w:hAnsi="Arial" w:cs="Arial"/>
                <w:b/>
                <w:bCs/>
                <w:sz w:val="20"/>
                <w:szCs w:val="20"/>
              </w:rPr>
              <w:t>Gusle</w:t>
            </w:r>
            <w:r w:rsidR="003419AF" w:rsidRPr="00043B08">
              <w:rPr>
                <w:rFonts w:ascii="Arial" w:hAnsi="Arial" w:cs="Arial"/>
                <w:b/>
                <w:bCs/>
                <w:sz w:val="20"/>
                <w:szCs w:val="20"/>
              </w:rPr>
              <w:t>"</w:t>
            </w:r>
            <w:r w:rsidRPr="00043B08">
              <w:rPr>
                <w:rFonts w:ascii="Arial" w:hAnsi="Arial" w:cs="Arial"/>
                <w:b/>
                <w:bCs/>
                <w:sz w:val="20"/>
                <w:szCs w:val="20"/>
              </w:rPr>
              <w:t xml:space="preserve"> Kikinda</w:t>
            </w:r>
            <w:r w:rsidRPr="00043B08">
              <w:rPr>
                <w:rFonts w:ascii="Arial" w:hAnsi="Arial" w:cs="Arial"/>
                <w:b/>
                <w:bCs/>
                <w:sz w:val="20"/>
                <w:szCs w:val="20"/>
              </w:rPr>
              <w:br/>
            </w:r>
            <w:r w:rsidRPr="00043B08">
              <w:rPr>
                <w:rFonts w:ascii="Arial" w:hAnsi="Arial" w:cs="Arial"/>
                <w:sz w:val="20"/>
                <w:szCs w:val="20"/>
              </w:rPr>
              <w:t xml:space="preserve">Academic Society for music </w:t>
            </w:r>
            <w:proofErr w:type="spellStart"/>
            <w:r w:rsidRPr="00043B08">
              <w:rPr>
                <w:rFonts w:ascii="Arial" w:hAnsi="Arial" w:cs="Arial"/>
                <w:sz w:val="20"/>
                <w:szCs w:val="20"/>
              </w:rPr>
              <w:t>cherishing</w:t>
            </w:r>
            <w:proofErr w:type="spellEnd"/>
            <w:r w:rsidRPr="00043B08">
              <w:rPr>
                <w:rFonts w:ascii="Arial" w:hAnsi="Arial" w:cs="Arial"/>
                <w:sz w:val="20"/>
                <w:szCs w:val="20"/>
              </w:rPr>
              <w:t xml:space="preserve"> </w:t>
            </w:r>
            <w:r w:rsidR="00BC2CF0" w:rsidRPr="00043B08">
              <w:rPr>
                <w:rFonts w:ascii="Arial" w:hAnsi="Arial" w:cs="Arial"/>
                <w:sz w:val="20"/>
                <w:szCs w:val="20"/>
              </w:rPr>
              <w:t>"</w:t>
            </w:r>
            <w:r w:rsidRPr="00043B08">
              <w:rPr>
                <w:rFonts w:ascii="Arial" w:hAnsi="Arial" w:cs="Arial"/>
                <w:sz w:val="20"/>
                <w:szCs w:val="20"/>
              </w:rPr>
              <w:t>Gusle</w:t>
            </w:r>
            <w:r w:rsidR="00BC2CF0" w:rsidRPr="00043B08">
              <w:rPr>
                <w:rFonts w:ascii="Arial" w:hAnsi="Arial" w:cs="Arial"/>
                <w:sz w:val="20"/>
                <w:szCs w:val="20"/>
              </w:rPr>
              <w:t>"</w:t>
            </w:r>
            <w:r w:rsidRPr="00043B08">
              <w:rPr>
                <w:rFonts w:ascii="Arial" w:hAnsi="Arial" w:cs="Arial"/>
                <w:sz w:val="20"/>
                <w:szCs w:val="20"/>
              </w:rPr>
              <w:t xml:space="preserve"> Kikinda</w:t>
            </w:r>
          </w:p>
        </w:tc>
        <w:tc>
          <w:tcPr>
            <w:tcW w:w="1133" w:type="pct"/>
            <w:noWrap/>
            <w:vAlign w:val="center"/>
          </w:tcPr>
          <w:p w14:paraId="7035A41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Serbia</w:t>
            </w:r>
          </w:p>
        </w:tc>
        <w:tc>
          <w:tcPr>
            <w:tcW w:w="775" w:type="pct"/>
            <w:noWrap/>
            <w:vAlign w:val="center"/>
          </w:tcPr>
          <w:p w14:paraId="54E5333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NGO-90668</w:t>
            </w:r>
          </w:p>
        </w:tc>
      </w:tr>
      <w:tr w:rsidR="008524D5" w:rsidRPr="00043B08" w14:paraId="5BAA5AA6" w14:textId="77777777" w:rsidTr="008524D5">
        <w:trPr>
          <w:trHeight w:val="290"/>
        </w:trPr>
        <w:tc>
          <w:tcPr>
            <w:tcW w:w="3092" w:type="pct"/>
            <w:shd w:val="clear" w:color="auto" w:fill="DBE5F1" w:themeFill="accent1" w:themeFillTint="33"/>
            <w:noWrap/>
            <w:vAlign w:val="center"/>
          </w:tcPr>
          <w:p w14:paraId="7F20ACDB" w14:textId="77777777" w:rsidR="008524D5" w:rsidRPr="00043B08" w:rsidRDefault="008524D5" w:rsidP="00AA7D44">
            <w:pPr>
              <w:spacing w:before="120" w:after="120"/>
              <w:rPr>
                <w:rFonts w:ascii="Arial" w:hAnsi="Arial" w:cs="Arial"/>
                <w:b/>
                <w:bCs/>
                <w:sz w:val="20"/>
                <w:szCs w:val="20"/>
                <w:lang w:val="pt-PT"/>
              </w:rPr>
            </w:pPr>
            <w:r w:rsidRPr="00043B08">
              <w:rPr>
                <w:rFonts w:ascii="Arial" w:hAnsi="Arial" w:cs="Arial"/>
                <w:b/>
                <w:bCs/>
                <w:sz w:val="20"/>
                <w:szCs w:val="20"/>
                <w:lang w:val="pt-PT"/>
              </w:rPr>
              <w:t>Associação Portuguesa para a Salvaguarda do Património Cultural Imaterial</w:t>
            </w:r>
            <w:r w:rsidRPr="00043B08">
              <w:rPr>
                <w:rFonts w:ascii="Arial" w:hAnsi="Arial" w:cs="Arial"/>
                <w:b/>
                <w:bCs/>
                <w:sz w:val="20"/>
                <w:szCs w:val="20"/>
                <w:lang w:val="pt-PT"/>
              </w:rPr>
              <w:br/>
            </w:r>
            <w:r w:rsidRPr="00043B08">
              <w:rPr>
                <w:rFonts w:ascii="Arial" w:hAnsi="Arial" w:cs="Arial"/>
                <w:sz w:val="20"/>
                <w:szCs w:val="20"/>
                <w:lang w:val="pt-PT"/>
              </w:rPr>
              <w:t>Portuguese Association for the Safeguard of the Intangible Cultural Heritage</w:t>
            </w:r>
          </w:p>
        </w:tc>
        <w:tc>
          <w:tcPr>
            <w:tcW w:w="1133" w:type="pct"/>
            <w:shd w:val="clear" w:color="auto" w:fill="DBE5F1" w:themeFill="accent1" w:themeFillTint="33"/>
            <w:noWrap/>
            <w:vAlign w:val="center"/>
          </w:tcPr>
          <w:p w14:paraId="23943749"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Portugal</w:t>
            </w:r>
          </w:p>
        </w:tc>
        <w:tc>
          <w:tcPr>
            <w:tcW w:w="775" w:type="pct"/>
            <w:shd w:val="clear" w:color="auto" w:fill="DBE5F1" w:themeFill="accent1" w:themeFillTint="33"/>
            <w:noWrap/>
            <w:vAlign w:val="center"/>
          </w:tcPr>
          <w:p w14:paraId="0819AA6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NGO-90686</w:t>
            </w:r>
          </w:p>
        </w:tc>
      </w:tr>
      <w:tr w:rsidR="008524D5" w:rsidRPr="00043B08" w14:paraId="7AE124EE" w14:textId="77777777" w:rsidTr="008524D5">
        <w:trPr>
          <w:trHeight w:val="290"/>
        </w:trPr>
        <w:tc>
          <w:tcPr>
            <w:tcW w:w="3092" w:type="pct"/>
            <w:noWrap/>
            <w:vAlign w:val="center"/>
            <w:hideMark/>
          </w:tcPr>
          <w:p w14:paraId="31648578"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Association Culturelle de Wilaya "Biskra Takraa"</w:t>
            </w:r>
          </w:p>
        </w:tc>
        <w:tc>
          <w:tcPr>
            <w:tcW w:w="1133" w:type="pct"/>
            <w:noWrap/>
            <w:vAlign w:val="center"/>
            <w:hideMark/>
          </w:tcPr>
          <w:p w14:paraId="78612D6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noWrap/>
            <w:vAlign w:val="center"/>
            <w:hideMark/>
          </w:tcPr>
          <w:p w14:paraId="431795F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NGO-90688</w:t>
            </w:r>
          </w:p>
        </w:tc>
      </w:tr>
      <w:tr w:rsidR="008524D5" w:rsidRPr="00043B08" w14:paraId="61EC7299" w14:textId="77777777" w:rsidTr="008524D5">
        <w:trPr>
          <w:trHeight w:val="624"/>
        </w:trPr>
        <w:tc>
          <w:tcPr>
            <w:tcW w:w="3092" w:type="pct"/>
            <w:shd w:val="clear" w:color="auto" w:fill="DBE5F1" w:themeFill="accent1" w:themeFillTint="33"/>
            <w:noWrap/>
            <w:vAlign w:val="center"/>
            <w:hideMark/>
          </w:tcPr>
          <w:p w14:paraId="2A52B67F"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rPr>
              <w:t xml:space="preserve">Association El </w:t>
            </w:r>
            <w:proofErr w:type="spellStart"/>
            <w:r w:rsidRPr="00043B08">
              <w:rPr>
                <w:rFonts w:ascii="Arial" w:hAnsi="Arial" w:cs="Arial"/>
                <w:b/>
                <w:bCs/>
                <w:sz w:val="20"/>
                <w:szCs w:val="20"/>
              </w:rPr>
              <w:t>Mouahidia</w:t>
            </w:r>
            <w:proofErr w:type="spellEnd"/>
            <w:r w:rsidRPr="00043B08">
              <w:rPr>
                <w:rFonts w:ascii="Arial" w:hAnsi="Arial" w:cs="Arial"/>
                <w:b/>
                <w:bCs/>
                <w:sz w:val="20"/>
                <w:szCs w:val="20"/>
              </w:rPr>
              <w:t xml:space="preserve"> de sauvegarde du patrimoine historique, culturel et touristique. </w:t>
            </w:r>
            <w:proofErr w:type="spellStart"/>
            <w:r w:rsidRPr="00043B08">
              <w:rPr>
                <w:rFonts w:ascii="Arial" w:hAnsi="Arial" w:cs="Arial"/>
                <w:b/>
                <w:bCs/>
                <w:sz w:val="20"/>
                <w:szCs w:val="20"/>
                <w:lang w:val="en-GB"/>
              </w:rPr>
              <w:t>Nédroma</w:t>
            </w:r>
            <w:proofErr w:type="spellEnd"/>
            <w:r w:rsidRPr="00043B08">
              <w:rPr>
                <w:rFonts w:ascii="Arial" w:hAnsi="Arial" w:cs="Arial"/>
                <w:b/>
                <w:bCs/>
                <w:sz w:val="20"/>
                <w:szCs w:val="20"/>
                <w:lang w:val="en-GB"/>
              </w:rPr>
              <w:t xml:space="preserve"> Wilaya de </w:t>
            </w:r>
            <w:proofErr w:type="spellStart"/>
            <w:r w:rsidRPr="00043B08">
              <w:rPr>
                <w:rFonts w:ascii="Arial" w:hAnsi="Arial" w:cs="Arial"/>
                <w:b/>
                <w:bCs/>
                <w:sz w:val="20"/>
                <w:szCs w:val="20"/>
                <w:lang w:val="en-GB"/>
              </w:rPr>
              <w:t>Tlemcen</w:t>
            </w:r>
            <w:proofErr w:type="spellEnd"/>
            <w:r w:rsidRPr="00043B08">
              <w:rPr>
                <w:rFonts w:ascii="Arial" w:hAnsi="Arial" w:cs="Arial"/>
                <w:b/>
                <w:bCs/>
                <w:sz w:val="20"/>
                <w:szCs w:val="20"/>
                <w:lang w:val="en-GB"/>
              </w:rPr>
              <w:t xml:space="preserve"> – Algérie</w:t>
            </w:r>
          </w:p>
        </w:tc>
        <w:tc>
          <w:tcPr>
            <w:tcW w:w="1133" w:type="pct"/>
            <w:shd w:val="clear" w:color="auto" w:fill="DBE5F1" w:themeFill="accent1" w:themeFillTint="33"/>
            <w:noWrap/>
            <w:vAlign w:val="center"/>
            <w:hideMark/>
          </w:tcPr>
          <w:p w14:paraId="422FFFA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BE5F1" w:themeFill="accent1" w:themeFillTint="33"/>
            <w:noWrap/>
            <w:vAlign w:val="center"/>
            <w:hideMark/>
          </w:tcPr>
          <w:p w14:paraId="46706C0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NGO-90620</w:t>
            </w:r>
          </w:p>
        </w:tc>
      </w:tr>
      <w:tr w:rsidR="008524D5" w:rsidRPr="00043B08" w14:paraId="6B0D270A" w14:textId="77777777" w:rsidTr="008524D5">
        <w:trPr>
          <w:trHeight w:val="624"/>
        </w:trPr>
        <w:tc>
          <w:tcPr>
            <w:tcW w:w="3092" w:type="pct"/>
            <w:noWrap/>
            <w:vAlign w:val="center"/>
            <w:hideMark/>
          </w:tcPr>
          <w:p w14:paraId="46F54AAC"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Association for the Protection of Gastronomic Heritage</w:t>
            </w:r>
          </w:p>
        </w:tc>
        <w:tc>
          <w:tcPr>
            <w:tcW w:w="1133" w:type="pct"/>
            <w:noWrap/>
            <w:vAlign w:val="center"/>
            <w:hideMark/>
          </w:tcPr>
          <w:p w14:paraId="4B3E825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Spain</w:t>
            </w:r>
          </w:p>
        </w:tc>
        <w:tc>
          <w:tcPr>
            <w:tcW w:w="775" w:type="pct"/>
            <w:noWrap/>
            <w:vAlign w:val="center"/>
            <w:hideMark/>
          </w:tcPr>
          <w:p w14:paraId="381A7BD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NGO-90615</w:t>
            </w:r>
          </w:p>
        </w:tc>
      </w:tr>
      <w:tr w:rsidR="008524D5" w:rsidRPr="00043B08" w14:paraId="27F3124C" w14:textId="77777777" w:rsidTr="008524D5">
        <w:trPr>
          <w:trHeight w:val="290"/>
        </w:trPr>
        <w:tc>
          <w:tcPr>
            <w:tcW w:w="3092" w:type="pct"/>
            <w:shd w:val="clear" w:color="auto" w:fill="DBE5F1" w:themeFill="accent1" w:themeFillTint="33"/>
            <w:noWrap/>
            <w:vAlign w:val="center"/>
          </w:tcPr>
          <w:p w14:paraId="729F9F38"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Association imekres pour le patrimoine et le folklore</w:t>
            </w:r>
          </w:p>
        </w:tc>
        <w:tc>
          <w:tcPr>
            <w:tcW w:w="1133" w:type="pct"/>
            <w:shd w:val="clear" w:color="auto" w:fill="DBE5F1" w:themeFill="accent1" w:themeFillTint="33"/>
            <w:noWrap/>
            <w:vAlign w:val="center"/>
          </w:tcPr>
          <w:p w14:paraId="70AC197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BE5F1" w:themeFill="accent1" w:themeFillTint="33"/>
            <w:noWrap/>
            <w:vAlign w:val="center"/>
          </w:tcPr>
          <w:p w14:paraId="15598FE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NGO-90619</w:t>
            </w:r>
          </w:p>
        </w:tc>
      </w:tr>
      <w:tr w:rsidR="008524D5" w:rsidRPr="00043B08" w14:paraId="144AA228" w14:textId="77777777" w:rsidTr="008524D5">
        <w:trPr>
          <w:trHeight w:val="290"/>
        </w:trPr>
        <w:tc>
          <w:tcPr>
            <w:tcW w:w="3092" w:type="pct"/>
            <w:noWrap/>
            <w:vAlign w:val="center"/>
          </w:tcPr>
          <w:p w14:paraId="3311C4FA"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Association Métis</w:t>
            </w:r>
          </w:p>
        </w:tc>
        <w:tc>
          <w:tcPr>
            <w:tcW w:w="1133" w:type="pct"/>
            <w:noWrap/>
            <w:vAlign w:val="center"/>
          </w:tcPr>
          <w:p w14:paraId="4BBE7CB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tcPr>
          <w:p w14:paraId="65C366C6" w14:textId="469544FB"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NGO-90679</w:t>
            </w:r>
          </w:p>
        </w:tc>
      </w:tr>
      <w:tr w:rsidR="008524D5" w:rsidRPr="00043B08" w14:paraId="7E6CBC60" w14:textId="77777777" w:rsidTr="008524D5">
        <w:trPr>
          <w:trHeight w:val="290"/>
        </w:trPr>
        <w:tc>
          <w:tcPr>
            <w:tcW w:w="3092" w:type="pct"/>
            <w:shd w:val="clear" w:color="auto" w:fill="DBE5F1" w:themeFill="accent1" w:themeFillTint="33"/>
            <w:noWrap/>
            <w:vAlign w:val="center"/>
          </w:tcPr>
          <w:p w14:paraId="0E3BA569"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 xml:space="preserve">Association Nationale du Patrimoine </w:t>
            </w:r>
            <w:proofErr w:type="spellStart"/>
            <w:r w:rsidRPr="00043B08">
              <w:rPr>
                <w:rFonts w:ascii="Arial" w:hAnsi="Arial" w:cs="Arial"/>
                <w:b/>
                <w:bCs/>
                <w:sz w:val="20"/>
                <w:szCs w:val="20"/>
              </w:rPr>
              <w:t>Tourath</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rPr>
              <w:t>Djazairna</w:t>
            </w:r>
            <w:proofErr w:type="spellEnd"/>
          </w:p>
        </w:tc>
        <w:tc>
          <w:tcPr>
            <w:tcW w:w="1133" w:type="pct"/>
            <w:shd w:val="clear" w:color="auto" w:fill="DBE5F1" w:themeFill="accent1" w:themeFillTint="33"/>
            <w:noWrap/>
            <w:vAlign w:val="center"/>
          </w:tcPr>
          <w:p w14:paraId="21456E8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shd w:val="clear" w:color="auto" w:fill="DBE5F1" w:themeFill="accent1" w:themeFillTint="33"/>
            <w:noWrap/>
            <w:vAlign w:val="center"/>
          </w:tcPr>
          <w:p w14:paraId="7FAF2D6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NGO-90628</w:t>
            </w:r>
          </w:p>
        </w:tc>
      </w:tr>
      <w:tr w:rsidR="008524D5" w:rsidRPr="00043B08" w14:paraId="0F5BFE99" w14:textId="77777777" w:rsidTr="008524D5">
        <w:trPr>
          <w:trHeight w:val="624"/>
        </w:trPr>
        <w:tc>
          <w:tcPr>
            <w:tcW w:w="3092" w:type="pct"/>
            <w:noWrap/>
            <w:vAlign w:val="center"/>
            <w:hideMark/>
          </w:tcPr>
          <w:p w14:paraId="2C839C7F"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Association Les Savoir-faire du Cognac - ASFC </w:t>
            </w:r>
            <w:r w:rsidRPr="00043B08">
              <w:rPr>
                <w:rFonts w:ascii="Arial" w:hAnsi="Arial" w:cs="Arial"/>
                <w:b/>
                <w:bCs/>
                <w:sz w:val="20"/>
                <w:szCs w:val="20"/>
                <w:lang w:val="en-GB"/>
              </w:rPr>
              <w:br/>
            </w:r>
            <w:r w:rsidRPr="00043B08">
              <w:rPr>
                <w:rFonts w:ascii="Arial" w:hAnsi="Arial" w:cs="Arial"/>
                <w:sz w:val="20"/>
                <w:szCs w:val="20"/>
                <w:lang w:val="en-GB"/>
              </w:rPr>
              <w:t>Cognac Heritage and Know-How Association</w:t>
            </w:r>
          </w:p>
        </w:tc>
        <w:tc>
          <w:tcPr>
            <w:tcW w:w="1133" w:type="pct"/>
            <w:noWrap/>
            <w:vAlign w:val="center"/>
            <w:hideMark/>
          </w:tcPr>
          <w:p w14:paraId="5017841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hideMark/>
          </w:tcPr>
          <w:p w14:paraId="3133129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NGO-90635</w:t>
            </w:r>
          </w:p>
        </w:tc>
      </w:tr>
      <w:tr w:rsidR="008524D5" w:rsidRPr="00043B08" w14:paraId="25A9F146" w14:textId="77777777" w:rsidTr="008524D5">
        <w:trPr>
          <w:trHeight w:val="290"/>
        </w:trPr>
        <w:tc>
          <w:tcPr>
            <w:tcW w:w="3092" w:type="pct"/>
            <w:shd w:val="clear" w:color="auto" w:fill="DBE5F1" w:themeFill="accent1" w:themeFillTint="33"/>
            <w:noWrap/>
            <w:vAlign w:val="center"/>
          </w:tcPr>
          <w:p w14:paraId="5742F6B7"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Associazione</w:t>
            </w:r>
            <w:proofErr w:type="spellEnd"/>
            <w:r w:rsidRPr="00043B08">
              <w:rPr>
                <w:rFonts w:ascii="Arial" w:hAnsi="Arial" w:cs="Arial"/>
                <w:b/>
                <w:bCs/>
                <w:sz w:val="20"/>
                <w:szCs w:val="20"/>
                <w:lang w:val="en-GB"/>
              </w:rPr>
              <w:t xml:space="preserve"> Polo </w:t>
            </w:r>
            <w:proofErr w:type="spellStart"/>
            <w:r w:rsidRPr="00043B08">
              <w:rPr>
                <w:rFonts w:ascii="Arial" w:hAnsi="Arial" w:cs="Arial"/>
                <w:b/>
                <w:bCs/>
                <w:sz w:val="20"/>
                <w:szCs w:val="20"/>
                <w:lang w:val="en-GB"/>
              </w:rPr>
              <w:t>Poschiavo</w:t>
            </w:r>
            <w:proofErr w:type="spellEnd"/>
            <w:r w:rsidRPr="00043B08">
              <w:rPr>
                <w:rFonts w:ascii="Arial" w:hAnsi="Arial" w:cs="Arial"/>
                <w:b/>
                <w:bCs/>
                <w:sz w:val="20"/>
                <w:szCs w:val="20"/>
                <w:lang w:val="en-GB"/>
              </w:rPr>
              <w:tab/>
            </w:r>
          </w:p>
        </w:tc>
        <w:tc>
          <w:tcPr>
            <w:tcW w:w="1133" w:type="pct"/>
            <w:shd w:val="clear" w:color="auto" w:fill="DBE5F1" w:themeFill="accent1" w:themeFillTint="33"/>
            <w:noWrap/>
            <w:vAlign w:val="center"/>
          </w:tcPr>
          <w:p w14:paraId="3EFFC11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Switzerland</w:t>
            </w:r>
          </w:p>
        </w:tc>
        <w:tc>
          <w:tcPr>
            <w:tcW w:w="775" w:type="pct"/>
            <w:shd w:val="clear" w:color="auto" w:fill="DBE5F1" w:themeFill="accent1" w:themeFillTint="33"/>
            <w:noWrap/>
            <w:vAlign w:val="center"/>
          </w:tcPr>
          <w:p w14:paraId="749F7DC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NGO-90631</w:t>
            </w:r>
          </w:p>
        </w:tc>
      </w:tr>
      <w:tr w:rsidR="008524D5" w:rsidRPr="00043B08" w14:paraId="61533FC4" w14:textId="77777777" w:rsidTr="008524D5">
        <w:trPr>
          <w:trHeight w:val="624"/>
        </w:trPr>
        <w:tc>
          <w:tcPr>
            <w:tcW w:w="3092" w:type="pct"/>
            <w:noWrap/>
            <w:vAlign w:val="center"/>
            <w:hideMark/>
          </w:tcPr>
          <w:p w14:paraId="0399CF25"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Babatunde Development And Empowerment Initiative - BDEI</w:t>
            </w:r>
          </w:p>
        </w:tc>
        <w:tc>
          <w:tcPr>
            <w:tcW w:w="1133" w:type="pct"/>
            <w:noWrap/>
            <w:vAlign w:val="center"/>
            <w:hideMark/>
          </w:tcPr>
          <w:p w14:paraId="3EAC613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Nigeria</w:t>
            </w:r>
          </w:p>
        </w:tc>
        <w:tc>
          <w:tcPr>
            <w:tcW w:w="775" w:type="pct"/>
            <w:noWrap/>
            <w:vAlign w:val="center"/>
            <w:hideMark/>
          </w:tcPr>
          <w:p w14:paraId="761A12E1"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NGO-90608</w:t>
            </w:r>
          </w:p>
        </w:tc>
      </w:tr>
      <w:tr w:rsidR="008524D5" w:rsidRPr="00043B08" w14:paraId="29D55628" w14:textId="77777777" w:rsidTr="008524D5">
        <w:trPr>
          <w:trHeight w:val="290"/>
        </w:trPr>
        <w:tc>
          <w:tcPr>
            <w:tcW w:w="3092" w:type="pct"/>
            <w:shd w:val="clear" w:color="auto" w:fill="DBE5F1" w:themeFill="accent1" w:themeFillTint="33"/>
            <w:noWrap/>
            <w:vAlign w:val="center"/>
            <w:hideMark/>
          </w:tcPr>
          <w:p w14:paraId="51C2301F"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Cenan </w:t>
            </w:r>
            <w:proofErr w:type="spellStart"/>
            <w:r w:rsidRPr="00043B08">
              <w:rPr>
                <w:rFonts w:ascii="Arial" w:hAnsi="Arial" w:cs="Arial"/>
                <w:b/>
                <w:bCs/>
                <w:sz w:val="20"/>
                <w:szCs w:val="20"/>
                <w:lang w:val="en-GB"/>
              </w:rPr>
              <w:t>Eğitim</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Kültür</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Sağlık</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Vakfı</w:t>
            </w:r>
            <w:proofErr w:type="spellEnd"/>
            <w:r w:rsidRPr="00043B08">
              <w:rPr>
                <w:rFonts w:ascii="Arial" w:hAnsi="Arial" w:cs="Arial"/>
                <w:b/>
                <w:bCs/>
                <w:sz w:val="20"/>
                <w:szCs w:val="20"/>
                <w:lang w:val="en-GB"/>
              </w:rPr>
              <w:t xml:space="preserve"> </w:t>
            </w:r>
            <w:r w:rsidRPr="00043B08">
              <w:rPr>
                <w:rFonts w:ascii="Arial" w:hAnsi="Arial" w:cs="Arial"/>
                <w:b/>
                <w:bCs/>
                <w:sz w:val="20"/>
                <w:szCs w:val="20"/>
                <w:lang w:val="en-GB"/>
              </w:rPr>
              <w:br/>
            </w:r>
            <w:r w:rsidRPr="00043B08">
              <w:rPr>
                <w:rFonts w:ascii="Arial" w:hAnsi="Arial" w:cs="Arial"/>
                <w:sz w:val="20"/>
                <w:szCs w:val="20"/>
                <w:lang w:val="en-GB"/>
              </w:rPr>
              <w:t>Cenan Foundation for Education, Culture and Health</w:t>
            </w:r>
          </w:p>
        </w:tc>
        <w:tc>
          <w:tcPr>
            <w:tcW w:w="1133" w:type="pct"/>
            <w:shd w:val="clear" w:color="auto" w:fill="DBE5F1" w:themeFill="accent1" w:themeFillTint="33"/>
            <w:noWrap/>
            <w:vAlign w:val="center"/>
            <w:hideMark/>
          </w:tcPr>
          <w:p w14:paraId="21BD010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BE5F1" w:themeFill="accent1" w:themeFillTint="33"/>
            <w:noWrap/>
            <w:vAlign w:val="center"/>
            <w:hideMark/>
          </w:tcPr>
          <w:p w14:paraId="6ADC8B3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NGO-90653</w:t>
            </w:r>
          </w:p>
        </w:tc>
      </w:tr>
      <w:tr w:rsidR="008524D5" w:rsidRPr="00043B08" w14:paraId="5272A671" w14:textId="77777777" w:rsidTr="008524D5">
        <w:trPr>
          <w:trHeight w:val="624"/>
        </w:trPr>
        <w:tc>
          <w:tcPr>
            <w:tcW w:w="3092" w:type="pct"/>
            <w:noWrap/>
            <w:vAlign w:val="center"/>
            <w:hideMark/>
          </w:tcPr>
          <w:p w14:paraId="78571791"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Centre régional d’études des populations alpines - CREPA</w:t>
            </w:r>
          </w:p>
        </w:tc>
        <w:tc>
          <w:tcPr>
            <w:tcW w:w="1133" w:type="pct"/>
            <w:noWrap/>
            <w:vAlign w:val="center"/>
            <w:hideMark/>
          </w:tcPr>
          <w:p w14:paraId="40300A1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Switzerland</w:t>
            </w:r>
          </w:p>
        </w:tc>
        <w:tc>
          <w:tcPr>
            <w:tcW w:w="775" w:type="pct"/>
            <w:noWrap/>
            <w:vAlign w:val="center"/>
            <w:hideMark/>
          </w:tcPr>
          <w:p w14:paraId="0E00DEDE"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NGO-90618</w:t>
            </w:r>
          </w:p>
        </w:tc>
      </w:tr>
      <w:tr w:rsidR="008524D5" w:rsidRPr="00043B08" w14:paraId="4143A8C8" w14:textId="77777777" w:rsidTr="008524D5">
        <w:trPr>
          <w:trHeight w:val="290"/>
        </w:trPr>
        <w:tc>
          <w:tcPr>
            <w:tcW w:w="3092" w:type="pct"/>
            <w:shd w:val="clear" w:color="auto" w:fill="DBE5F1" w:themeFill="accent1" w:themeFillTint="33"/>
            <w:noWrap/>
            <w:vAlign w:val="center"/>
          </w:tcPr>
          <w:p w14:paraId="136814F2"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Centrum </w:t>
            </w:r>
            <w:proofErr w:type="spellStart"/>
            <w:r w:rsidRPr="00043B08">
              <w:rPr>
                <w:rFonts w:ascii="Arial" w:hAnsi="Arial" w:cs="Arial"/>
                <w:b/>
                <w:bCs/>
                <w:sz w:val="20"/>
                <w:szCs w:val="20"/>
                <w:lang w:val="en-GB"/>
              </w:rPr>
              <w:t>voor</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Muziek</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en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Podiumerfgoed</w:t>
            </w:r>
            <w:proofErr w:type="spellEnd"/>
            <w:r w:rsidRPr="00043B08">
              <w:rPr>
                <w:rFonts w:ascii="Arial" w:hAnsi="Arial" w:cs="Arial"/>
                <w:b/>
                <w:bCs/>
                <w:sz w:val="20"/>
                <w:szCs w:val="20"/>
                <w:lang w:val="en-GB"/>
              </w:rPr>
              <w:t xml:space="preserve"> – CEMPER</w:t>
            </w:r>
            <w:r w:rsidRPr="00043B08">
              <w:rPr>
                <w:rFonts w:ascii="Arial" w:hAnsi="Arial" w:cs="Arial"/>
                <w:b/>
                <w:bCs/>
                <w:sz w:val="20"/>
                <w:szCs w:val="20"/>
                <w:lang w:val="en-GB"/>
              </w:rPr>
              <w:br/>
            </w:r>
            <w:r w:rsidRPr="00043B08">
              <w:rPr>
                <w:rFonts w:ascii="Arial" w:hAnsi="Arial" w:cs="Arial"/>
                <w:sz w:val="20"/>
                <w:szCs w:val="20"/>
                <w:lang w:val="en-GB"/>
              </w:rPr>
              <w:t>Centre for Music and Performing Arts Heritage – CEMPER</w:t>
            </w:r>
          </w:p>
        </w:tc>
        <w:tc>
          <w:tcPr>
            <w:tcW w:w="1133" w:type="pct"/>
            <w:shd w:val="clear" w:color="auto" w:fill="DBE5F1" w:themeFill="accent1" w:themeFillTint="33"/>
            <w:noWrap/>
            <w:vAlign w:val="center"/>
          </w:tcPr>
          <w:p w14:paraId="1AF83DD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Belgium</w:t>
            </w:r>
          </w:p>
        </w:tc>
        <w:tc>
          <w:tcPr>
            <w:tcW w:w="775" w:type="pct"/>
            <w:shd w:val="clear" w:color="auto" w:fill="DBE5F1" w:themeFill="accent1" w:themeFillTint="33"/>
            <w:noWrap/>
            <w:vAlign w:val="center"/>
          </w:tcPr>
          <w:p w14:paraId="406A18B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NGO-90613</w:t>
            </w:r>
          </w:p>
        </w:tc>
      </w:tr>
      <w:tr w:rsidR="008524D5" w:rsidRPr="00043B08" w14:paraId="66F2DA1B" w14:textId="77777777" w:rsidTr="008524D5">
        <w:trPr>
          <w:trHeight w:val="290"/>
        </w:trPr>
        <w:tc>
          <w:tcPr>
            <w:tcW w:w="3092" w:type="pct"/>
            <w:noWrap/>
            <w:vAlign w:val="center"/>
            <w:hideMark/>
          </w:tcPr>
          <w:p w14:paraId="5BAEDB3E"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Clean Climate And Environment Campaign Initiative - CCAECI</w:t>
            </w:r>
          </w:p>
        </w:tc>
        <w:tc>
          <w:tcPr>
            <w:tcW w:w="1133" w:type="pct"/>
            <w:noWrap/>
            <w:vAlign w:val="center"/>
            <w:hideMark/>
          </w:tcPr>
          <w:p w14:paraId="5E1DCA8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Nigeria</w:t>
            </w:r>
          </w:p>
        </w:tc>
        <w:tc>
          <w:tcPr>
            <w:tcW w:w="775" w:type="pct"/>
            <w:noWrap/>
            <w:vAlign w:val="center"/>
            <w:hideMark/>
          </w:tcPr>
          <w:p w14:paraId="37EF007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NGO-90599</w:t>
            </w:r>
          </w:p>
        </w:tc>
      </w:tr>
      <w:tr w:rsidR="008524D5" w:rsidRPr="00043B08" w14:paraId="59D20C0E" w14:textId="77777777" w:rsidTr="008524D5">
        <w:trPr>
          <w:trHeight w:val="290"/>
        </w:trPr>
        <w:tc>
          <w:tcPr>
            <w:tcW w:w="3092" w:type="pct"/>
            <w:shd w:val="clear" w:color="auto" w:fill="DBE5F1" w:themeFill="accent1" w:themeFillTint="33"/>
            <w:noWrap/>
            <w:vAlign w:val="center"/>
            <w:hideMark/>
          </w:tcPr>
          <w:p w14:paraId="0DA63313"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Cultural Association </w:t>
            </w:r>
            <w:proofErr w:type="spellStart"/>
            <w:r w:rsidRPr="00043B08">
              <w:rPr>
                <w:rFonts w:ascii="Arial" w:hAnsi="Arial" w:cs="Arial"/>
                <w:b/>
                <w:bCs/>
                <w:sz w:val="20"/>
                <w:szCs w:val="20"/>
                <w:lang w:val="en-GB"/>
              </w:rPr>
              <w:t>Baizara</w:t>
            </w:r>
            <w:proofErr w:type="spellEnd"/>
          </w:p>
        </w:tc>
        <w:tc>
          <w:tcPr>
            <w:tcW w:w="1133" w:type="pct"/>
            <w:shd w:val="clear" w:color="auto" w:fill="DBE5F1" w:themeFill="accent1" w:themeFillTint="33"/>
            <w:noWrap/>
            <w:vAlign w:val="center"/>
            <w:hideMark/>
          </w:tcPr>
          <w:p w14:paraId="3C021DA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Spain</w:t>
            </w:r>
          </w:p>
        </w:tc>
        <w:tc>
          <w:tcPr>
            <w:tcW w:w="775" w:type="pct"/>
            <w:shd w:val="clear" w:color="auto" w:fill="DBE5F1" w:themeFill="accent1" w:themeFillTint="33"/>
            <w:noWrap/>
            <w:vAlign w:val="center"/>
            <w:hideMark/>
          </w:tcPr>
          <w:p w14:paraId="38381031" w14:textId="30FBCA86"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NGO-90657</w:t>
            </w:r>
          </w:p>
        </w:tc>
      </w:tr>
      <w:tr w:rsidR="008524D5" w:rsidRPr="00043B08" w14:paraId="734591E0" w14:textId="77777777" w:rsidTr="008524D5">
        <w:trPr>
          <w:trHeight w:val="624"/>
        </w:trPr>
        <w:tc>
          <w:tcPr>
            <w:tcW w:w="3092" w:type="pct"/>
            <w:noWrap/>
            <w:vAlign w:val="center"/>
            <w:hideMark/>
          </w:tcPr>
          <w:p w14:paraId="6A255045"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Doğu </w:t>
            </w:r>
            <w:proofErr w:type="spellStart"/>
            <w:r w:rsidRPr="00043B08">
              <w:rPr>
                <w:rFonts w:ascii="Arial" w:hAnsi="Arial" w:cs="Arial"/>
                <w:b/>
                <w:bCs/>
                <w:sz w:val="20"/>
                <w:szCs w:val="20"/>
                <w:lang w:val="en-GB"/>
              </w:rPr>
              <w:t>Kültür</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ve</w:t>
            </w:r>
            <w:proofErr w:type="spellEnd"/>
            <w:r w:rsidRPr="00043B08">
              <w:rPr>
                <w:rFonts w:ascii="Arial" w:hAnsi="Arial" w:cs="Arial"/>
                <w:b/>
                <w:bCs/>
                <w:sz w:val="20"/>
                <w:szCs w:val="20"/>
                <w:lang w:val="en-GB"/>
              </w:rPr>
              <w:t xml:space="preserve"> Sanat </w:t>
            </w:r>
            <w:proofErr w:type="spellStart"/>
            <w:r w:rsidRPr="00043B08">
              <w:rPr>
                <w:rFonts w:ascii="Arial" w:hAnsi="Arial" w:cs="Arial"/>
                <w:b/>
                <w:bCs/>
                <w:sz w:val="20"/>
                <w:szCs w:val="20"/>
                <w:lang w:val="en-GB"/>
              </w:rPr>
              <w:t>Merkezi</w:t>
            </w:r>
            <w:proofErr w:type="spellEnd"/>
            <w:r w:rsidRPr="00043B08">
              <w:rPr>
                <w:rFonts w:ascii="Arial" w:hAnsi="Arial" w:cs="Arial"/>
                <w:b/>
                <w:bCs/>
                <w:sz w:val="20"/>
                <w:szCs w:val="20"/>
                <w:lang w:val="en-GB"/>
              </w:rPr>
              <w:t xml:space="preserve"> Derneği - DKSM </w:t>
            </w:r>
            <w:r w:rsidRPr="00043B08">
              <w:rPr>
                <w:rFonts w:ascii="Arial" w:hAnsi="Arial" w:cs="Arial"/>
                <w:b/>
                <w:bCs/>
                <w:sz w:val="20"/>
                <w:szCs w:val="20"/>
                <w:lang w:val="en-GB"/>
              </w:rPr>
              <w:br/>
            </w:r>
            <w:r w:rsidRPr="00043B08">
              <w:rPr>
                <w:rFonts w:ascii="Arial" w:hAnsi="Arial" w:cs="Arial"/>
                <w:sz w:val="20"/>
                <w:szCs w:val="20"/>
                <w:lang w:val="en-GB"/>
              </w:rPr>
              <w:t>Eastern Culture and Art Center Association - DKSM</w:t>
            </w:r>
          </w:p>
        </w:tc>
        <w:tc>
          <w:tcPr>
            <w:tcW w:w="1133" w:type="pct"/>
            <w:noWrap/>
            <w:vAlign w:val="center"/>
            <w:hideMark/>
          </w:tcPr>
          <w:p w14:paraId="34856971"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7D2AEFF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NGO-90661</w:t>
            </w:r>
          </w:p>
        </w:tc>
      </w:tr>
      <w:tr w:rsidR="008524D5" w:rsidRPr="00043B08" w14:paraId="39D3FCE9" w14:textId="77777777" w:rsidTr="008524D5">
        <w:trPr>
          <w:trHeight w:val="290"/>
        </w:trPr>
        <w:tc>
          <w:tcPr>
            <w:tcW w:w="3092" w:type="pct"/>
            <w:shd w:val="clear" w:color="auto" w:fill="DBE5F1" w:themeFill="accent1" w:themeFillTint="33"/>
            <w:noWrap/>
            <w:vAlign w:val="center"/>
            <w:hideMark/>
          </w:tcPr>
          <w:p w14:paraId="4EFA3DFA"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lastRenderedPageBreak/>
              <w:t xml:space="preserve">Dünya </w:t>
            </w:r>
            <w:proofErr w:type="spellStart"/>
            <w:r w:rsidRPr="00043B08">
              <w:rPr>
                <w:rFonts w:ascii="Arial" w:hAnsi="Arial" w:cs="Arial"/>
                <w:b/>
                <w:bCs/>
                <w:sz w:val="20"/>
                <w:szCs w:val="20"/>
                <w:lang w:val="en-GB"/>
              </w:rPr>
              <w:t>Etnospor</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Konfederasyonu</w:t>
            </w:r>
            <w:proofErr w:type="spellEnd"/>
            <w:r w:rsidRPr="00043B08">
              <w:rPr>
                <w:rFonts w:ascii="Arial" w:hAnsi="Arial" w:cs="Arial"/>
                <w:b/>
                <w:bCs/>
                <w:sz w:val="20"/>
                <w:szCs w:val="20"/>
                <w:lang w:val="en-GB"/>
              </w:rPr>
              <w:t xml:space="preserve"> - DEK </w:t>
            </w:r>
            <w:r w:rsidRPr="00043B08">
              <w:rPr>
                <w:rFonts w:ascii="Arial" w:hAnsi="Arial" w:cs="Arial"/>
                <w:b/>
                <w:bCs/>
                <w:sz w:val="20"/>
                <w:szCs w:val="20"/>
                <w:lang w:val="en-GB"/>
              </w:rPr>
              <w:br/>
            </w:r>
            <w:r w:rsidRPr="00043B08">
              <w:rPr>
                <w:rFonts w:ascii="Arial" w:hAnsi="Arial" w:cs="Arial"/>
                <w:sz w:val="20"/>
                <w:szCs w:val="20"/>
                <w:lang w:val="en-GB"/>
              </w:rPr>
              <w:t>World</w:t>
            </w:r>
            <w:r w:rsidRPr="00043B08">
              <w:rPr>
                <w:rFonts w:ascii="Arial" w:hAnsi="Arial" w:cs="Arial"/>
                <w:b/>
                <w:bCs/>
                <w:sz w:val="20"/>
                <w:szCs w:val="20"/>
                <w:lang w:val="en-GB"/>
              </w:rPr>
              <w:t xml:space="preserve"> </w:t>
            </w:r>
            <w:r w:rsidRPr="00043B08">
              <w:rPr>
                <w:rFonts w:ascii="Arial" w:hAnsi="Arial" w:cs="Arial"/>
                <w:sz w:val="20"/>
                <w:szCs w:val="20"/>
                <w:lang w:val="en-GB"/>
              </w:rPr>
              <w:t>Ethnosport Confederation - WEC</w:t>
            </w:r>
          </w:p>
        </w:tc>
        <w:tc>
          <w:tcPr>
            <w:tcW w:w="1133" w:type="pct"/>
            <w:shd w:val="clear" w:color="auto" w:fill="DBE5F1" w:themeFill="accent1" w:themeFillTint="33"/>
            <w:noWrap/>
            <w:vAlign w:val="center"/>
            <w:hideMark/>
          </w:tcPr>
          <w:p w14:paraId="7128868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BE5F1" w:themeFill="accent1" w:themeFillTint="33"/>
            <w:noWrap/>
            <w:vAlign w:val="center"/>
            <w:hideMark/>
          </w:tcPr>
          <w:p w14:paraId="3ABE83D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NGO-90659</w:t>
            </w:r>
          </w:p>
        </w:tc>
      </w:tr>
      <w:tr w:rsidR="008524D5" w:rsidRPr="00043B08" w14:paraId="3BA0030E" w14:textId="77777777" w:rsidTr="008524D5">
        <w:trPr>
          <w:trHeight w:val="624"/>
        </w:trPr>
        <w:tc>
          <w:tcPr>
            <w:tcW w:w="3092" w:type="pct"/>
            <w:noWrap/>
            <w:vAlign w:val="center"/>
            <w:hideMark/>
          </w:tcPr>
          <w:p w14:paraId="149A4685"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Folkdansringen</w:t>
            </w:r>
            <w:proofErr w:type="spellEnd"/>
            <w:r w:rsidRPr="00043B08">
              <w:rPr>
                <w:rFonts w:ascii="Arial" w:hAnsi="Arial" w:cs="Arial"/>
                <w:b/>
                <w:bCs/>
                <w:sz w:val="20"/>
                <w:szCs w:val="20"/>
                <w:lang w:val="en-GB"/>
              </w:rPr>
              <w:t xml:space="preserve"> Dalarna - </w:t>
            </w:r>
            <w:proofErr w:type="spellStart"/>
            <w:r w:rsidRPr="00043B08">
              <w:rPr>
                <w:rFonts w:ascii="Arial" w:hAnsi="Arial" w:cs="Arial"/>
                <w:b/>
                <w:bCs/>
                <w:sz w:val="20"/>
                <w:szCs w:val="20"/>
                <w:lang w:val="en-GB"/>
              </w:rPr>
              <w:t>Polskmärkesuppdansningen</w:t>
            </w:r>
            <w:proofErr w:type="spellEnd"/>
            <w:r w:rsidRPr="00043B08">
              <w:rPr>
                <w:rFonts w:ascii="Arial" w:hAnsi="Arial" w:cs="Arial"/>
                <w:b/>
                <w:bCs/>
                <w:sz w:val="20"/>
                <w:szCs w:val="20"/>
                <w:lang w:val="en-GB"/>
              </w:rPr>
              <w:t xml:space="preserve"> </w:t>
            </w:r>
            <w:r w:rsidRPr="00043B08">
              <w:rPr>
                <w:rFonts w:ascii="Arial" w:hAnsi="Arial" w:cs="Arial"/>
                <w:b/>
                <w:bCs/>
                <w:sz w:val="20"/>
                <w:szCs w:val="20"/>
                <w:lang w:val="en-GB"/>
              </w:rPr>
              <w:br/>
            </w:r>
            <w:r w:rsidRPr="00043B08">
              <w:rPr>
                <w:rFonts w:ascii="Arial" w:hAnsi="Arial" w:cs="Arial"/>
                <w:sz w:val="20"/>
                <w:szCs w:val="20"/>
                <w:lang w:val="en-GB"/>
              </w:rPr>
              <w:t>Folk dance society in Dalarna County - The Polska Medal &amp; Reward</w:t>
            </w:r>
          </w:p>
        </w:tc>
        <w:tc>
          <w:tcPr>
            <w:tcW w:w="1133" w:type="pct"/>
            <w:noWrap/>
            <w:vAlign w:val="center"/>
            <w:hideMark/>
          </w:tcPr>
          <w:p w14:paraId="7D9027EA"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Sweden</w:t>
            </w:r>
          </w:p>
        </w:tc>
        <w:tc>
          <w:tcPr>
            <w:tcW w:w="775" w:type="pct"/>
            <w:noWrap/>
            <w:vAlign w:val="center"/>
            <w:hideMark/>
          </w:tcPr>
          <w:p w14:paraId="1E5846C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NGO-90633</w:t>
            </w:r>
          </w:p>
        </w:tc>
      </w:tr>
      <w:tr w:rsidR="008524D5" w:rsidRPr="00043B08" w14:paraId="444A34CE" w14:textId="77777777" w:rsidTr="008524D5">
        <w:trPr>
          <w:trHeight w:val="624"/>
        </w:trPr>
        <w:tc>
          <w:tcPr>
            <w:tcW w:w="3092" w:type="pct"/>
            <w:shd w:val="clear" w:color="auto" w:fill="DBE5F1" w:themeFill="accent1" w:themeFillTint="33"/>
            <w:noWrap/>
            <w:vAlign w:val="center"/>
            <w:hideMark/>
          </w:tcPr>
          <w:p w14:paraId="04A203DC" w14:textId="77777777" w:rsidR="008524D5" w:rsidRPr="00043B08" w:rsidRDefault="008524D5" w:rsidP="00AA7D44">
            <w:pPr>
              <w:spacing w:before="120" w:after="120"/>
              <w:rPr>
                <w:rFonts w:ascii="Arial" w:hAnsi="Arial" w:cs="Arial"/>
                <w:b/>
                <w:bCs/>
                <w:sz w:val="20"/>
                <w:szCs w:val="20"/>
              </w:rPr>
            </w:pPr>
            <w:proofErr w:type="spellStart"/>
            <w:r w:rsidRPr="00043B08">
              <w:rPr>
                <w:rFonts w:ascii="Arial" w:hAnsi="Arial" w:cs="Arial"/>
                <w:b/>
                <w:bCs/>
                <w:sz w:val="20"/>
                <w:szCs w:val="20"/>
              </w:rPr>
              <w:t>Folklor</w:t>
            </w:r>
            <w:proofErr w:type="spellEnd"/>
            <w:r w:rsidRPr="00043B08">
              <w:rPr>
                <w:rFonts w:ascii="Arial" w:hAnsi="Arial" w:cs="Arial"/>
                <w:b/>
                <w:bCs/>
                <w:sz w:val="20"/>
                <w:szCs w:val="20"/>
              </w:rPr>
              <w:t xml:space="preserve"> Kurumu Derneği </w:t>
            </w:r>
            <w:r w:rsidRPr="00043B08">
              <w:rPr>
                <w:rFonts w:ascii="Arial" w:hAnsi="Arial" w:cs="Arial"/>
                <w:b/>
                <w:bCs/>
                <w:sz w:val="20"/>
                <w:szCs w:val="20"/>
              </w:rPr>
              <w:br/>
            </w:r>
            <w:r w:rsidRPr="00043B08">
              <w:rPr>
                <w:rFonts w:ascii="Arial" w:hAnsi="Arial" w:cs="Arial"/>
                <w:sz w:val="20"/>
                <w:szCs w:val="20"/>
              </w:rPr>
              <w:t>Folklore Institution Association</w:t>
            </w:r>
          </w:p>
        </w:tc>
        <w:tc>
          <w:tcPr>
            <w:tcW w:w="1133" w:type="pct"/>
            <w:shd w:val="clear" w:color="auto" w:fill="DBE5F1" w:themeFill="accent1" w:themeFillTint="33"/>
            <w:noWrap/>
            <w:vAlign w:val="center"/>
            <w:hideMark/>
          </w:tcPr>
          <w:p w14:paraId="567AC53E"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BE5F1" w:themeFill="accent1" w:themeFillTint="33"/>
            <w:noWrap/>
            <w:vAlign w:val="center"/>
            <w:hideMark/>
          </w:tcPr>
          <w:p w14:paraId="3EEDCFD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NGO-90643</w:t>
            </w:r>
          </w:p>
        </w:tc>
      </w:tr>
      <w:tr w:rsidR="008524D5" w:rsidRPr="00043B08" w14:paraId="67D849F2" w14:textId="77777777" w:rsidTr="008524D5">
        <w:trPr>
          <w:trHeight w:val="290"/>
        </w:trPr>
        <w:tc>
          <w:tcPr>
            <w:tcW w:w="3092" w:type="pct"/>
            <w:noWrap/>
            <w:vAlign w:val="center"/>
            <w:hideMark/>
          </w:tcPr>
          <w:p w14:paraId="6DD89F4C" w14:textId="5D904473"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 xml:space="preserve">Groupe </w:t>
            </w:r>
            <w:r w:rsidR="003419AF" w:rsidRPr="00043B08">
              <w:rPr>
                <w:rFonts w:ascii="Arial" w:hAnsi="Arial" w:cs="Arial"/>
                <w:b/>
                <w:bCs/>
                <w:sz w:val="20"/>
                <w:szCs w:val="20"/>
              </w:rPr>
              <w:t xml:space="preserve">d'Etudes </w:t>
            </w:r>
            <w:r w:rsidRPr="00043B08">
              <w:rPr>
                <w:rFonts w:ascii="Arial" w:hAnsi="Arial" w:cs="Arial"/>
                <w:b/>
                <w:bCs/>
                <w:sz w:val="20"/>
                <w:szCs w:val="20"/>
              </w:rPr>
              <w:t>sur l</w:t>
            </w:r>
            <w:r w:rsidR="003419AF" w:rsidRPr="00043B08">
              <w:rPr>
                <w:rFonts w:ascii="Arial" w:hAnsi="Arial" w:cs="Arial"/>
                <w:b/>
                <w:bCs/>
                <w:sz w:val="20"/>
                <w:szCs w:val="20"/>
              </w:rPr>
              <w:t>'</w:t>
            </w:r>
            <w:r w:rsidRPr="00043B08">
              <w:rPr>
                <w:rFonts w:ascii="Arial" w:hAnsi="Arial" w:cs="Arial"/>
                <w:b/>
                <w:bCs/>
                <w:sz w:val="20"/>
                <w:szCs w:val="20"/>
              </w:rPr>
              <w:t>Histoire des Mathématiques à Béjaïa - GEHIMAB</w:t>
            </w:r>
          </w:p>
        </w:tc>
        <w:tc>
          <w:tcPr>
            <w:tcW w:w="1133" w:type="pct"/>
            <w:noWrap/>
            <w:vAlign w:val="center"/>
            <w:hideMark/>
          </w:tcPr>
          <w:p w14:paraId="2A6405F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Algeria</w:t>
            </w:r>
          </w:p>
        </w:tc>
        <w:tc>
          <w:tcPr>
            <w:tcW w:w="775" w:type="pct"/>
            <w:noWrap/>
            <w:vAlign w:val="center"/>
            <w:hideMark/>
          </w:tcPr>
          <w:p w14:paraId="5A46C3F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NGO-90621</w:t>
            </w:r>
          </w:p>
        </w:tc>
      </w:tr>
      <w:tr w:rsidR="008524D5" w:rsidRPr="00043B08" w14:paraId="4C1F11A1" w14:textId="77777777" w:rsidTr="008524D5">
        <w:trPr>
          <w:trHeight w:val="624"/>
        </w:trPr>
        <w:tc>
          <w:tcPr>
            <w:tcW w:w="3092" w:type="pct"/>
            <w:shd w:val="clear" w:color="auto" w:fill="DBE5F1" w:themeFill="accent1" w:themeFillTint="33"/>
            <w:noWrap/>
            <w:vAlign w:val="center"/>
            <w:hideMark/>
          </w:tcPr>
          <w:p w14:paraId="6F99AEBD"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Histories </w:t>
            </w:r>
            <w:proofErr w:type="spellStart"/>
            <w:r w:rsidRPr="00043B08">
              <w:rPr>
                <w:rFonts w:ascii="Arial" w:hAnsi="Arial" w:cs="Arial"/>
                <w:b/>
                <w:bCs/>
                <w:sz w:val="20"/>
                <w:szCs w:val="20"/>
                <w:lang w:val="en-GB"/>
              </w:rPr>
              <w:t>vzw</w:t>
            </w:r>
            <w:proofErr w:type="spellEnd"/>
          </w:p>
        </w:tc>
        <w:tc>
          <w:tcPr>
            <w:tcW w:w="1133" w:type="pct"/>
            <w:shd w:val="clear" w:color="auto" w:fill="DBE5F1" w:themeFill="accent1" w:themeFillTint="33"/>
            <w:noWrap/>
            <w:vAlign w:val="center"/>
            <w:hideMark/>
          </w:tcPr>
          <w:p w14:paraId="75D1831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Belgium</w:t>
            </w:r>
          </w:p>
        </w:tc>
        <w:tc>
          <w:tcPr>
            <w:tcW w:w="775" w:type="pct"/>
            <w:shd w:val="clear" w:color="auto" w:fill="DBE5F1" w:themeFill="accent1" w:themeFillTint="33"/>
            <w:noWrap/>
            <w:vAlign w:val="center"/>
            <w:hideMark/>
          </w:tcPr>
          <w:p w14:paraId="019F021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NGO-90634</w:t>
            </w:r>
          </w:p>
        </w:tc>
      </w:tr>
      <w:tr w:rsidR="008524D5" w:rsidRPr="00043B08" w14:paraId="1D92D064" w14:textId="77777777" w:rsidTr="008524D5">
        <w:trPr>
          <w:trHeight w:val="624"/>
        </w:trPr>
        <w:tc>
          <w:tcPr>
            <w:tcW w:w="3092" w:type="pct"/>
            <w:noWrap/>
            <w:vAlign w:val="center"/>
            <w:hideMark/>
          </w:tcPr>
          <w:p w14:paraId="5EF423F5" w14:textId="77777777" w:rsidR="008524D5" w:rsidRPr="004306C2" w:rsidRDefault="008524D5" w:rsidP="00AA7D44">
            <w:pPr>
              <w:spacing w:before="120" w:after="120"/>
              <w:rPr>
                <w:rFonts w:ascii="Arial" w:hAnsi="Arial" w:cs="Arial"/>
                <w:b/>
                <w:bCs/>
                <w:sz w:val="20"/>
                <w:szCs w:val="20"/>
                <w:lang w:val="en-GB"/>
              </w:rPr>
            </w:pPr>
            <w:proofErr w:type="spellStart"/>
            <w:r w:rsidRPr="004306C2">
              <w:rPr>
                <w:rFonts w:ascii="Arial" w:hAnsi="Arial" w:cs="Arial"/>
                <w:b/>
                <w:bCs/>
                <w:sz w:val="20"/>
                <w:szCs w:val="20"/>
                <w:lang w:val="en-GB"/>
              </w:rPr>
              <w:t>Hrvatsko</w:t>
            </w:r>
            <w:proofErr w:type="spellEnd"/>
            <w:r w:rsidRPr="004306C2">
              <w:rPr>
                <w:rFonts w:ascii="Arial" w:hAnsi="Arial" w:cs="Arial"/>
                <w:b/>
                <w:bCs/>
                <w:sz w:val="20"/>
                <w:szCs w:val="20"/>
                <w:lang w:val="en-GB"/>
              </w:rPr>
              <w:t xml:space="preserve"> </w:t>
            </w:r>
            <w:proofErr w:type="spellStart"/>
            <w:r w:rsidRPr="004306C2">
              <w:rPr>
                <w:rFonts w:ascii="Arial" w:hAnsi="Arial" w:cs="Arial"/>
                <w:b/>
                <w:bCs/>
                <w:sz w:val="20"/>
                <w:szCs w:val="20"/>
                <w:lang w:val="en-GB"/>
              </w:rPr>
              <w:t>kulturno-umjetničko</w:t>
            </w:r>
            <w:proofErr w:type="spellEnd"/>
            <w:r w:rsidRPr="004306C2">
              <w:rPr>
                <w:rFonts w:ascii="Arial" w:hAnsi="Arial" w:cs="Arial"/>
                <w:b/>
                <w:bCs/>
                <w:sz w:val="20"/>
                <w:szCs w:val="20"/>
                <w:lang w:val="en-GB"/>
              </w:rPr>
              <w:t xml:space="preserve"> </w:t>
            </w:r>
            <w:proofErr w:type="spellStart"/>
            <w:r w:rsidRPr="004306C2">
              <w:rPr>
                <w:rFonts w:ascii="Arial" w:hAnsi="Arial" w:cs="Arial"/>
                <w:b/>
                <w:bCs/>
                <w:sz w:val="20"/>
                <w:szCs w:val="20"/>
                <w:lang w:val="en-GB"/>
              </w:rPr>
              <w:t>društvo</w:t>
            </w:r>
            <w:proofErr w:type="spellEnd"/>
            <w:r w:rsidRPr="004306C2">
              <w:rPr>
                <w:rFonts w:ascii="Arial" w:hAnsi="Arial" w:cs="Arial"/>
                <w:b/>
                <w:bCs/>
                <w:sz w:val="20"/>
                <w:szCs w:val="20"/>
                <w:lang w:val="en-GB"/>
              </w:rPr>
              <w:t xml:space="preserve"> "</w:t>
            </w:r>
            <w:proofErr w:type="spellStart"/>
            <w:r w:rsidRPr="004306C2">
              <w:rPr>
                <w:rFonts w:ascii="Arial" w:hAnsi="Arial" w:cs="Arial"/>
                <w:b/>
                <w:bCs/>
                <w:sz w:val="20"/>
                <w:szCs w:val="20"/>
                <w:lang w:val="en-GB"/>
              </w:rPr>
              <w:t>Rodoč</w:t>
            </w:r>
            <w:proofErr w:type="spellEnd"/>
            <w:r w:rsidRPr="004306C2">
              <w:rPr>
                <w:rFonts w:ascii="Arial" w:hAnsi="Arial" w:cs="Arial"/>
                <w:b/>
                <w:bCs/>
                <w:sz w:val="20"/>
                <w:szCs w:val="20"/>
                <w:lang w:val="en-GB"/>
              </w:rPr>
              <w:t xml:space="preserve">" </w:t>
            </w:r>
            <w:r w:rsidRPr="004306C2">
              <w:rPr>
                <w:rFonts w:ascii="Arial" w:hAnsi="Arial" w:cs="Arial"/>
                <w:b/>
                <w:bCs/>
                <w:sz w:val="20"/>
                <w:szCs w:val="20"/>
                <w:lang w:val="en-GB"/>
              </w:rPr>
              <w:br/>
            </w:r>
            <w:r w:rsidRPr="004306C2">
              <w:rPr>
                <w:rFonts w:ascii="Arial" w:hAnsi="Arial" w:cs="Arial"/>
                <w:sz w:val="20"/>
                <w:szCs w:val="20"/>
                <w:lang w:val="en-GB"/>
              </w:rPr>
              <w:t>Croatian Cultural and Artistic Society - HKUD "</w:t>
            </w:r>
            <w:proofErr w:type="spellStart"/>
            <w:r w:rsidRPr="004306C2">
              <w:rPr>
                <w:rFonts w:ascii="Arial" w:hAnsi="Arial" w:cs="Arial"/>
                <w:sz w:val="20"/>
                <w:szCs w:val="20"/>
                <w:lang w:val="en-GB"/>
              </w:rPr>
              <w:t>Rodoč</w:t>
            </w:r>
            <w:proofErr w:type="spellEnd"/>
            <w:r w:rsidRPr="004306C2">
              <w:rPr>
                <w:rFonts w:ascii="Arial" w:hAnsi="Arial" w:cs="Arial"/>
                <w:sz w:val="20"/>
                <w:szCs w:val="20"/>
                <w:lang w:val="en-GB"/>
              </w:rPr>
              <w:t>"</w:t>
            </w:r>
          </w:p>
        </w:tc>
        <w:tc>
          <w:tcPr>
            <w:tcW w:w="1133" w:type="pct"/>
            <w:noWrap/>
            <w:vAlign w:val="center"/>
            <w:hideMark/>
          </w:tcPr>
          <w:p w14:paraId="5714447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Bosnia and Herzegovina</w:t>
            </w:r>
          </w:p>
        </w:tc>
        <w:tc>
          <w:tcPr>
            <w:tcW w:w="775" w:type="pct"/>
            <w:noWrap/>
            <w:vAlign w:val="center"/>
            <w:hideMark/>
          </w:tcPr>
          <w:p w14:paraId="3F93A0F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NGO-90638</w:t>
            </w:r>
          </w:p>
        </w:tc>
      </w:tr>
      <w:tr w:rsidR="008524D5" w:rsidRPr="00043B08" w14:paraId="77BFC563" w14:textId="77777777" w:rsidTr="008524D5">
        <w:trPr>
          <w:trHeight w:val="624"/>
        </w:trPr>
        <w:tc>
          <w:tcPr>
            <w:tcW w:w="3092" w:type="pct"/>
            <w:shd w:val="clear" w:color="auto" w:fill="DBE5F1" w:themeFill="accent1" w:themeFillTint="33"/>
            <w:noWrap/>
            <w:vAlign w:val="center"/>
            <w:hideMark/>
          </w:tcPr>
          <w:p w14:paraId="245149B2"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Intangible Heritage Association</w:t>
            </w:r>
          </w:p>
        </w:tc>
        <w:tc>
          <w:tcPr>
            <w:tcW w:w="1133" w:type="pct"/>
            <w:shd w:val="clear" w:color="auto" w:fill="DBE5F1" w:themeFill="accent1" w:themeFillTint="33"/>
            <w:noWrap/>
            <w:vAlign w:val="center"/>
            <w:hideMark/>
          </w:tcPr>
          <w:p w14:paraId="5D85026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Saudi Arabia</w:t>
            </w:r>
          </w:p>
        </w:tc>
        <w:tc>
          <w:tcPr>
            <w:tcW w:w="775" w:type="pct"/>
            <w:shd w:val="clear" w:color="auto" w:fill="DBE5F1" w:themeFill="accent1" w:themeFillTint="33"/>
            <w:noWrap/>
            <w:vAlign w:val="center"/>
            <w:hideMark/>
          </w:tcPr>
          <w:p w14:paraId="52BB552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NGO-90610</w:t>
            </w:r>
          </w:p>
        </w:tc>
      </w:tr>
      <w:tr w:rsidR="008524D5" w:rsidRPr="00043B08" w14:paraId="6EA68F0B" w14:textId="77777777" w:rsidTr="008524D5">
        <w:trPr>
          <w:trHeight w:val="624"/>
        </w:trPr>
        <w:tc>
          <w:tcPr>
            <w:tcW w:w="3092" w:type="pct"/>
            <w:noWrap/>
            <w:vAlign w:val="center"/>
            <w:hideMark/>
          </w:tcPr>
          <w:p w14:paraId="13045497"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 xml:space="preserve">İstanbul </w:t>
            </w:r>
            <w:proofErr w:type="spellStart"/>
            <w:r w:rsidRPr="00043B08">
              <w:rPr>
                <w:rFonts w:ascii="Arial" w:hAnsi="Arial" w:cs="Arial"/>
                <w:b/>
                <w:bCs/>
                <w:sz w:val="20"/>
                <w:szCs w:val="20"/>
              </w:rPr>
              <w:t>Kültürlerarası</w:t>
            </w:r>
            <w:proofErr w:type="spellEnd"/>
            <w:r w:rsidRPr="00043B08">
              <w:rPr>
                <w:rFonts w:ascii="Arial" w:hAnsi="Arial" w:cs="Arial"/>
                <w:b/>
                <w:bCs/>
                <w:sz w:val="20"/>
                <w:szCs w:val="20"/>
              </w:rPr>
              <w:t xml:space="preserve"> Sanat </w:t>
            </w:r>
            <w:proofErr w:type="spellStart"/>
            <w:r w:rsidRPr="00043B08">
              <w:rPr>
                <w:rFonts w:ascii="Arial" w:hAnsi="Arial" w:cs="Arial"/>
                <w:b/>
                <w:bCs/>
                <w:sz w:val="20"/>
                <w:szCs w:val="20"/>
              </w:rPr>
              <w:t>Diyalogları</w:t>
            </w:r>
            <w:proofErr w:type="spellEnd"/>
            <w:r w:rsidRPr="00043B08">
              <w:rPr>
                <w:rFonts w:ascii="Arial" w:hAnsi="Arial" w:cs="Arial"/>
                <w:b/>
                <w:bCs/>
                <w:sz w:val="20"/>
                <w:szCs w:val="20"/>
              </w:rPr>
              <w:t xml:space="preserve"> Derneği - IKASD </w:t>
            </w:r>
            <w:r w:rsidRPr="00043B08">
              <w:rPr>
                <w:rFonts w:ascii="Arial" w:hAnsi="Arial" w:cs="Arial"/>
                <w:b/>
                <w:bCs/>
                <w:sz w:val="20"/>
                <w:szCs w:val="20"/>
              </w:rPr>
              <w:br/>
            </w:r>
            <w:r w:rsidRPr="00043B08">
              <w:rPr>
                <w:rFonts w:ascii="Arial" w:hAnsi="Arial" w:cs="Arial"/>
                <w:sz w:val="20"/>
                <w:szCs w:val="20"/>
              </w:rPr>
              <w:t xml:space="preserve">Istanbul </w:t>
            </w:r>
            <w:proofErr w:type="spellStart"/>
            <w:r w:rsidRPr="00043B08">
              <w:rPr>
                <w:rFonts w:ascii="Arial" w:hAnsi="Arial" w:cs="Arial"/>
                <w:sz w:val="20"/>
                <w:szCs w:val="20"/>
              </w:rPr>
              <w:t>Intercultural</w:t>
            </w:r>
            <w:proofErr w:type="spellEnd"/>
            <w:r w:rsidRPr="00043B08">
              <w:rPr>
                <w:rFonts w:ascii="Arial" w:hAnsi="Arial" w:cs="Arial"/>
                <w:sz w:val="20"/>
                <w:szCs w:val="20"/>
              </w:rPr>
              <w:t xml:space="preserve"> Art Dialogues Association - IKASD</w:t>
            </w:r>
          </w:p>
        </w:tc>
        <w:tc>
          <w:tcPr>
            <w:tcW w:w="1133" w:type="pct"/>
            <w:noWrap/>
            <w:vAlign w:val="center"/>
            <w:hideMark/>
          </w:tcPr>
          <w:p w14:paraId="282DCE71"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005597A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NGO-90641</w:t>
            </w:r>
          </w:p>
        </w:tc>
      </w:tr>
      <w:tr w:rsidR="008524D5" w:rsidRPr="00043B08" w14:paraId="36578F2B" w14:textId="77777777" w:rsidTr="008524D5">
        <w:trPr>
          <w:trHeight w:val="624"/>
        </w:trPr>
        <w:tc>
          <w:tcPr>
            <w:tcW w:w="3092" w:type="pct"/>
            <w:shd w:val="clear" w:color="auto" w:fill="DBE5F1" w:themeFill="accent1" w:themeFillTint="33"/>
            <w:noWrap/>
            <w:vAlign w:val="center"/>
            <w:hideMark/>
          </w:tcPr>
          <w:p w14:paraId="06CA8280"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Itinérance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Méditerranée</w:t>
            </w:r>
            <w:proofErr w:type="spellEnd"/>
          </w:p>
        </w:tc>
        <w:tc>
          <w:tcPr>
            <w:tcW w:w="1133" w:type="pct"/>
            <w:shd w:val="clear" w:color="auto" w:fill="DBE5F1" w:themeFill="accent1" w:themeFillTint="33"/>
            <w:noWrap/>
            <w:vAlign w:val="center"/>
            <w:hideMark/>
          </w:tcPr>
          <w:p w14:paraId="21FD20C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shd w:val="clear" w:color="auto" w:fill="DBE5F1" w:themeFill="accent1" w:themeFillTint="33"/>
            <w:noWrap/>
            <w:vAlign w:val="center"/>
            <w:hideMark/>
          </w:tcPr>
          <w:p w14:paraId="06DF0F3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NGO-90650</w:t>
            </w:r>
          </w:p>
        </w:tc>
      </w:tr>
      <w:tr w:rsidR="008524D5" w:rsidRPr="00043B08" w14:paraId="2A57ED8C" w14:textId="77777777" w:rsidTr="008524D5">
        <w:trPr>
          <w:trHeight w:val="624"/>
        </w:trPr>
        <w:tc>
          <w:tcPr>
            <w:tcW w:w="3092" w:type="pct"/>
            <w:noWrap/>
            <w:vAlign w:val="center"/>
            <w:hideMark/>
          </w:tcPr>
          <w:p w14:paraId="581C2475"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KADAM</w:t>
            </w:r>
          </w:p>
        </w:tc>
        <w:tc>
          <w:tcPr>
            <w:tcW w:w="1133" w:type="pct"/>
            <w:noWrap/>
            <w:vAlign w:val="center"/>
            <w:hideMark/>
          </w:tcPr>
          <w:p w14:paraId="4AAF936A"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noWrap/>
            <w:vAlign w:val="center"/>
            <w:hideMark/>
          </w:tcPr>
          <w:p w14:paraId="4CB72D76"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NGO-90602</w:t>
            </w:r>
          </w:p>
        </w:tc>
      </w:tr>
      <w:tr w:rsidR="008524D5" w:rsidRPr="00043B08" w14:paraId="2E4852EC" w14:textId="77777777" w:rsidTr="008524D5">
        <w:trPr>
          <w:trHeight w:val="290"/>
        </w:trPr>
        <w:tc>
          <w:tcPr>
            <w:tcW w:w="3092" w:type="pct"/>
            <w:shd w:val="clear" w:color="auto" w:fill="DBE5F1" w:themeFill="accent1" w:themeFillTint="33"/>
            <w:noWrap/>
            <w:vAlign w:val="center"/>
            <w:hideMark/>
          </w:tcPr>
          <w:p w14:paraId="0A40D9FF"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Karagöz Derneği</w:t>
            </w:r>
            <w:r w:rsidRPr="00043B08">
              <w:rPr>
                <w:rFonts w:ascii="Arial" w:hAnsi="Arial" w:cs="Arial"/>
                <w:b/>
                <w:bCs/>
                <w:sz w:val="20"/>
                <w:szCs w:val="20"/>
                <w:lang w:val="en-GB"/>
              </w:rPr>
              <w:br/>
            </w:r>
            <w:r w:rsidRPr="00043B08">
              <w:rPr>
                <w:rFonts w:ascii="Arial" w:hAnsi="Arial" w:cs="Arial"/>
                <w:sz w:val="20"/>
                <w:szCs w:val="20"/>
                <w:lang w:val="en-GB"/>
              </w:rPr>
              <w:t>Karagöz Association</w:t>
            </w:r>
          </w:p>
        </w:tc>
        <w:tc>
          <w:tcPr>
            <w:tcW w:w="1133" w:type="pct"/>
            <w:shd w:val="clear" w:color="auto" w:fill="DBE5F1" w:themeFill="accent1" w:themeFillTint="33"/>
            <w:noWrap/>
            <w:vAlign w:val="center"/>
            <w:hideMark/>
          </w:tcPr>
          <w:p w14:paraId="74F7BFB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BE5F1" w:themeFill="accent1" w:themeFillTint="33"/>
            <w:noWrap/>
            <w:vAlign w:val="center"/>
            <w:hideMark/>
          </w:tcPr>
          <w:p w14:paraId="5F828C2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NGO-90677</w:t>
            </w:r>
          </w:p>
        </w:tc>
      </w:tr>
      <w:tr w:rsidR="008524D5" w:rsidRPr="00043B08" w14:paraId="2F44F20D" w14:textId="77777777" w:rsidTr="008524D5">
        <w:trPr>
          <w:trHeight w:val="624"/>
        </w:trPr>
        <w:tc>
          <w:tcPr>
            <w:tcW w:w="3092" w:type="pct"/>
            <w:noWrap/>
            <w:vAlign w:val="center"/>
            <w:hideMark/>
          </w:tcPr>
          <w:p w14:paraId="27A1E088"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Kattaikkuttu</w:t>
            </w:r>
            <w:proofErr w:type="spellEnd"/>
            <w:r w:rsidRPr="00043B08">
              <w:rPr>
                <w:rFonts w:ascii="Arial" w:hAnsi="Arial" w:cs="Arial"/>
                <w:b/>
                <w:bCs/>
                <w:sz w:val="20"/>
                <w:szCs w:val="20"/>
                <w:lang w:val="en-GB"/>
              </w:rPr>
              <w:t xml:space="preserve"> Sangam</w:t>
            </w:r>
          </w:p>
        </w:tc>
        <w:tc>
          <w:tcPr>
            <w:tcW w:w="1133" w:type="pct"/>
            <w:noWrap/>
            <w:vAlign w:val="center"/>
            <w:hideMark/>
          </w:tcPr>
          <w:p w14:paraId="082F8F1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noWrap/>
            <w:vAlign w:val="center"/>
            <w:hideMark/>
          </w:tcPr>
          <w:p w14:paraId="2391E68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NGO-90612</w:t>
            </w:r>
          </w:p>
        </w:tc>
      </w:tr>
      <w:tr w:rsidR="008524D5" w:rsidRPr="00043B08" w14:paraId="1F35DF62" w14:textId="77777777" w:rsidTr="008524D5">
        <w:trPr>
          <w:trHeight w:val="290"/>
        </w:trPr>
        <w:tc>
          <w:tcPr>
            <w:tcW w:w="3092" w:type="pct"/>
            <w:shd w:val="clear" w:color="auto" w:fill="DBE5F1" w:themeFill="accent1" w:themeFillTint="33"/>
            <w:noWrap/>
            <w:vAlign w:val="center"/>
          </w:tcPr>
          <w:p w14:paraId="0306BAFD"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Kgosi Sechele I Museum Trust</w:t>
            </w:r>
          </w:p>
        </w:tc>
        <w:tc>
          <w:tcPr>
            <w:tcW w:w="1133" w:type="pct"/>
            <w:shd w:val="clear" w:color="auto" w:fill="DBE5F1" w:themeFill="accent1" w:themeFillTint="33"/>
            <w:noWrap/>
            <w:vAlign w:val="center"/>
          </w:tcPr>
          <w:p w14:paraId="34401C5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Botswana</w:t>
            </w:r>
          </w:p>
        </w:tc>
        <w:tc>
          <w:tcPr>
            <w:tcW w:w="775" w:type="pct"/>
            <w:shd w:val="clear" w:color="auto" w:fill="DBE5F1" w:themeFill="accent1" w:themeFillTint="33"/>
            <w:noWrap/>
            <w:vAlign w:val="center"/>
          </w:tcPr>
          <w:p w14:paraId="1A8C9B7E"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NGO-90647</w:t>
            </w:r>
          </w:p>
        </w:tc>
      </w:tr>
      <w:tr w:rsidR="008524D5" w:rsidRPr="00043B08" w14:paraId="4352B7F7" w14:textId="77777777" w:rsidTr="008524D5">
        <w:trPr>
          <w:trHeight w:val="624"/>
        </w:trPr>
        <w:tc>
          <w:tcPr>
            <w:tcW w:w="3092" w:type="pct"/>
            <w:noWrap/>
            <w:vAlign w:val="center"/>
            <w:hideMark/>
          </w:tcPr>
          <w:p w14:paraId="70C76553" w14:textId="77777777" w:rsidR="008524D5" w:rsidRPr="00043B08" w:rsidRDefault="008524D5" w:rsidP="00AA7D44">
            <w:pPr>
              <w:spacing w:before="120" w:after="120"/>
              <w:rPr>
                <w:rFonts w:ascii="Arial" w:hAnsi="Arial" w:cs="Arial"/>
                <w:b/>
                <w:bCs/>
                <w:sz w:val="20"/>
                <w:szCs w:val="20"/>
              </w:rPr>
            </w:pPr>
            <w:r w:rsidRPr="00043B08">
              <w:rPr>
                <w:rFonts w:ascii="Arial" w:hAnsi="Arial" w:cs="Arial"/>
                <w:b/>
                <w:bCs/>
                <w:sz w:val="20"/>
                <w:szCs w:val="20"/>
              </w:rPr>
              <w:t>Les Gardiens du Patrimoine Culturel de Domoni - GPCD</w:t>
            </w:r>
          </w:p>
        </w:tc>
        <w:tc>
          <w:tcPr>
            <w:tcW w:w="1133" w:type="pct"/>
            <w:noWrap/>
            <w:vAlign w:val="center"/>
            <w:hideMark/>
          </w:tcPr>
          <w:p w14:paraId="2C87203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Comoros</w:t>
            </w:r>
          </w:p>
        </w:tc>
        <w:tc>
          <w:tcPr>
            <w:tcW w:w="775" w:type="pct"/>
            <w:noWrap/>
            <w:vAlign w:val="center"/>
            <w:hideMark/>
          </w:tcPr>
          <w:p w14:paraId="56EC53A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NGO-90676</w:t>
            </w:r>
          </w:p>
        </w:tc>
      </w:tr>
      <w:tr w:rsidR="008524D5" w:rsidRPr="00043B08" w14:paraId="722EF7D0" w14:textId="77777777" w:rsidTr="008524D5">
        <w:trPr>
          <w:trHeight w:val="624"/>
        </w:trPr>
        <w:tc>
          <w:tcPr>
            <w:tcW w:w="3092" w:type="pct"/>
            <w:shd w:val="clear" w:color="auto" w:fill="DBE5F1" w:themeFill="accent1" w:themeFillTint="33"/>
            <w:noWrap/>
            <w:vAlign w:val="center"/>
            <w:hideMark/>
          </w:tcPr>
          <w:p w14:paraId="57684756"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Lietuvos </w:t>
            </w:r>
            <w:proofErr w:type="spellStart"/>
            <w:r w:rsidRPr="00043B08">
              <w:rPr>
                <w:rFonts w:ascii="Arial" w:hAnsi="Arial" w:cs="Arial"/>
                <w:b/>
                <w:bCs/>
                <w:sz w:val="20"/>
                <w:szCs w:val="20"/>
                <w:lang w:val="en-GB"/>
              </w:rPr>
              <w:t>antropologų</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asociacija</w:t>
            </w:r>
            <w:proofErr w:type="spellEnd"/>
            <w:r w:rsidRPr="00043B08">
              <w:rPr>
                <w:rFonts w:ascii="Arial" w:hAnsi="Arial" w:cs="Arial"/>
                <w:b/>
                <w:bCs/>
                <w:sz w:val="20"/>
                <w:szCs w:val="20"/>
                <w:lang w:val="en-GB"/>
              </w:rPr>
              <w:t xml:space="preserve"> - LAA </w:t>
            </w:r>
            <w:r w:rsidRPr="00043B08">
              <w:rPr>
                <w:rFonts w:ascii="Arial" w:hAnsi="Arial" w:cs="Arial"/>
                <w:b/>
                <w:bCs/>
                <w:sz w:val="20"/>
                <w:szCs w:val="20"/>
                <w:lang w:val="en-GB"/>
              </w:rPr>
              <w:br/>
            </w:r>
            <w:r w:rsidRPr="00043B08">
              <w:rPr>
                <w:rFonts w:ascii="Arial" w:hAnsi="Arial" w:cs="Arial"/>
                <w:sz w:val="20"/>
                <w:szCs w:val="20"/>
                <w:lang w:val="en-GB"/>
              </w:rPr>
              <w:t>Lithuanian Anthropological Association - LAA</w:t>
            </w:r>
          </w:p>
        </w:tc>
        <w:tc>
          <w:tcPr>
            <w:tcW w:w="1133" w:type="pct"/>
            <w:shd w:val="clear" w:color="auto" w:fill="DBE5F1" w:themeFill="accent1" w:themeFillTint="33"/>
            <w:noWrap/>
            <w:vAlign w:val="center"/>
            <w:hideMark/>
          </w:tcPr>
          <w:p w14:paraId="5685887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Lithuania</w:t>
            </w:r>
          </w:p>
        </w:tc>
        <w:tc>
          <w:tcPr>
            <w:tcW w:w="775" w:type="pct"/>
            <w:shd w:val="clear" w:color="auto" w:fill="DBE5F1" w:themeFill="accent1" w:themeFillTint="33"/>
            <w:noWrap/>
            <w:vAlign w:val="center"/>
            <w:hideMark/>
          </w:tcPr>
          <w:p w14:paraId="5BD0BEA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NGO-90655</w:t>
            </w:r>
          </w:p>
        </w:tc>
      </w:tr>
      <w:tr w:rsidR="008524D5" w:rsidRPr="00043B08" w14:paraId="62058CF5" w14:textId="77777777" w:rsidTr="008524D5">
        <w:trPr>
          <w:trHeight w:val="290"/>
        </w:trPr>
        <w:tc>
          <w:tcPr>
            <w:tcW w:w="3092" w:type="pct"/>
            <w:noWrap/>
            <w:vAlign w:val="center"/>
            <w:hideMark/>
          </w:tcPr>
          <w:p w14:paraId="0EE5DD07"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Memoar</w:t>
            </w:r>
            <w:proofErr w:type="spellEnd"/>
          </w:p>
        </w:tc>
        <w:tc>
          <w:tcPr>
            <w:tcW w:w="1133" w:type="pct"/>
            <w:noWrap/>
            <w:vAlign w:val="center"/>
            <w:hideMark/>
          </w:tcPr>
          <w:p w14:paraId="235D0FC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noWrap/>
            <w:vAlign w:val="center"/>
            <w:hideMark/>
          </w:tcPr>
          <w:p w14:paraId="44328AD9"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NGO-90652</w:t>
            </w:r>
          </w:p>
        </w:tc>
      </w:tr>
      <w:tr w:rsidR="008524D5" w:rsidRPr="00043B08" w14:paraId="282187A3" w14:textId="77777777" w:rsidTr="008524D5">
        <w:trPr>
          <w:trHeight w:val="624"/>
        </w:trPr>
        <w:tc>
          <w:tcPr>
            <w:tcW w:w="3092" w:type="pct"/>
            <w:shd w:val="clear" w:color="auto" w:fill="DBE5F1" w:themeFill="accent1" w:themeFillTint="33"/>
            <w:noWrap/>
            <w:vAlign w:val="center"/>
            <w:hideMark/>
          </w:tcPr>
          <w:p w14:paraId="09FD82F3"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Mim Sanat Derneği </w:t>
            </w:r>
            <w:r w:rsidRPr="00043B08">
              <w:rPr>
                <w:rFonts w:ascii="Arial" w:hAnsi="Arial" w:cs="Arial"/>
                <w:b/>
                <w:bCs/>
                <w:sz w:val="20"/>
                <w:szCs w:val="20"/>
                <w:lang w:val="en-GB"/>
              </w:rPr>
              <w:br/>
            </w:r>
            <w:r w:rsidRPr="00043B08">
              <w:rPr>
                <w:rFonts w:ascii="Arial" w:hAnsi="Arial" w:cs="Arial"/>
                <w:sz w:val="20"/>
                <w:szCs w:val="20"/>
                <w:lang w:val="en-GB"/>
              </w:rPr>
              <w:t>Mim Art Association</w:t>
            </w:r>
          </w:p>
        </w:tc>
        <w:tc>
          <w:tcPr>
            <w:tcW w:w="1133" w:type="pct"/>
            <w:shd w:val="clear" w:color="auto" w:fill="DBE5F1" w:themeFill="accent1" w:themeFillTint="33"/>
            <w:noWrap/>
            <w:vAlign w:val="center"/>
            <w:hideMark/>
          </w:tcPr>
          <w:p w14:paraId="5D9565F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shd w:val="clear" w:color="auto" w:fill="DBE5F1" w:themeFill="accent1" w:themeFillTint="33"/>
            <w:noWrap/>
            <w:vAlign w:val="center"/>
            <w:hideMark/>
          </w:tcPr>
          <w:p w14:paraId="4776803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NGO-90654</w:t>
            </w:r>
          </w:p>
        </w:tc>
      </w:tr>
      <w:tr w:rsidR="008524D5" w:rsidRPr="00043B08" w14:paraId="63610770" w14:textId="77777777" w:rsidTr="008524D5">
        <w:trPr>
          <w:trHeight w:val="290"/>
        </w:trPr>
        <w:tc>
          <w:tcPr>
            <w:tcW w:w="3092" w:type="pct"/>
            <w:noWrap/>
            <w:vAlign w:val="center"/>
            <w:hideMark/>
          </w:tcPr>
          <w:p w14:paraId="295D40E6"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National Association of Garinagu Teachers - Garinagu </w:t>
            </w:r>
            <w:proofErr w:type="spellStart"/>
            <w:r w:rsidRPr="00043B08">
              <w:rPr>
                <w:rFonts w:ascii="Arial" w:hAnsi="Arial" w:cs="Arial"/>
                <w:b/>
                <w:bCs/>
                <w:sz w:val="20"/>
                <w:szCs w:val="20"/>
                <w:lang w:val="en-GB"/>
              </w:rPr>
              <w:t>Dundei</w:t>
            </w:r>
            <w:proofErr w:type="spellEnd"/>
          </w:p>
        </w:tc>
        <w:tc>
          <w:tcPr>
            <w:tcW w:w="1133" w:type="pct"/>
            <w:noWrap/>
            <w:vAlign w:val="center"/>
            <w:hideMark/>
          </w:tcPr>
          <w:p w14:paraId="798F725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Guatemala</w:t>
            </w:r>
          </w:p>
        </w:tc>
        <w:tc>
          <w:tcPr>
            <w:tcW w:w="775" w:type="pct"/>
            <w:noWrap/>
            <w:vAlign w:val="center"/>
            <w:hideMark/>
          </w:tcPr>
          <w:p w14:paraId="0F2396E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NGO-90603</w:t>
            </w:r>
          </w:p>
        </w:tc>
      </w:tr>
      <w:tr w:rsidR="008524D5" w:rsidRPr="00043B08" w14:paraId="2AE48B2A" w14:textId="77777777" w:rsidTr="008524D5">
        <w:trPr>
          <w:trHeight w:val="290"/>
        </w:trPr>
        <w:tc>
          <w:tcPr>
            <w:tcW w:w="3092" w:type="pct"/>
            <w:shd w:val="clear" w:color="auto" w:fill="DBE5F1" w:themeFill="accent1" w:themeFillTint="33"/>
            <w:noWrap/>
            <w:vAlign w:val="center"/>
          </w:tcPr>
          <w:p w14:paraId="1C6746A1"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Norsk </w:t>
            </w:r>
            <w:proofErr w:type="spellStart"/>
            <w:r w:rsidRPr="00043B08">
              <w:rPr>
                <w:rFonts w:ascii="Arial" w:hAnsi="Arial" w:cs="Arial"/>
                <w:b/>
                <w:bCs/>
                <w:sz w:val="20"/>
                <w:szCs w:val="20"/>
                <w:lang w:val="en-GB"/>
              </w:rPr>
              <w:t>folkedraktforum</w:t>
            </w:r>
            <w:proofErr w:type="spellEnd"/>
            <w:r w:rsidRPr="00043B08">
              <w:rPr>
                <w:rFonts w:ascii="Arial" w:hAnsi="Arial" w:cs="Arial"/>
                <w:b/>
                <w:bCs/>
                <w:sz w:val="20"/>
                <w:szCs w:val="20"/>
                <w:lang w:val="en-GB"/>
              </w:rPr>
              <w:br/>
            </w:r>
            <w:r w:rsidRPr="00043B08">
              <w:rPr>
                <w:rFonts w:ascii="Arial" w:hAnsi="Arial" w:cs="Arial"/>
                <w:sz w:val="20"/>
                <w:szCs w:val="20"/>
                <w:lang w:val="en-GB"/>
              </w:rPr>
              <w:t>Forum for National Costumes in Norway</w:t>
            </w:r>
          </w:p>
        </w:tc>
        <w:tc>
          <w:tcPr>
            <w:tcW w:w="1133" w:type="pct"/>
            <w:shd w:val="clear" w:color="auto" w:fill="DBE5F1" w:themeFill="accent1" w:themeFillTint="33"/>
            <w:noWrap/>
            <w:vAlign w:val="center"/>
          </w:tcPr>
          <w:p w14:paraId="410D5A6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shd w:val="clear" w:color="auto" w:fill="DBE5F1" w:themeFill="accent1" w:themeFillTint="33"/>
            <w:noWrap/>
            <w:vAlign w:val="center"/>
          </w:tcPr>
          <w:p w14:paraId="3851883E"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NGO-90598</w:t>
            </w:r>
          </w:p>
        </w:tc>
      </w:tr>
      <w:tr w:rsidR="008524D5" w:rsidRPr="00043B08" w14:paraId="2176DBB9" w14:textId="77777777" w:rsidTr="008524D5">
        <w:trPr>
          <w:trHeight w:val="624"/>
        </w:trPr>
        <w:tc>
          <w:tcPr>
            <w:tcW w:w="3092" w:type="pct"/>
            <w:noWrap/>
            <w:vAlign w:val="center"/>
            <w:hideMark/>
          </w:tcPr>
          <w:p w14:paraId="1CBB9F87"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ONG </w:t>
            </w:r>
            <w:proofErr w:type="spellStart"/>
            <w:r w:rsidRPr="00043B08">
              <w:rPr>
                <w:rFonts w:ascii="Arial" w:hAnsi="Arial" w:cs="Arial"/>
                <w:b/>
                <w:bCs/>
                <w:sz w:val="20"/>
                <w:szCs w:val="20"/>
                <w:lang w:val="en-GB"/>
              </w:rPr>
              <w:t>Génération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Ekang</w:t>
            </w:r>
            <w:proofErr w:type="spellEnd"/>
            <w:r w:rsidRPr="00043B08">
              <w:rPr>
                <w:rFonts w:ascii="Arial" w:hAnsi="Arial" w:cs="Arial"/>
                <w:b/>
                <w:bCs/>
                <w:sz w:val="20"/>
                <w:szCs w:val="20"/>
                <w:lang w:val="en-GB"/>
              </w:rPr>
              <w:t xml:space="preserve"> - GEK</w:t>
            </w:r>
          </w:p>
        </w:tc>
        <w:tc>
          <w:tcPr>
            <w:tcW w:w="1133" w:type="pct"/>
            <w:noWrap/>
            <w:vAlign w:val="center"/>
            <w:hideMark/>
          </w:tcPr>
          <w:p w14:paraId="64E3CCA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Gabon</w:t>
            </w:r>
          </w:p>
        </w:tc>
        <w:tc>
          <w:tcPr>
            <w:tcW w:w="775" w:type="pct"/>
            <w:noWrap/>
            <w:vAlign w:val="center"/>
            <w:hideMark/>
          </w:tcPr>
          <w:p w14:paraId="122E9E2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NGO-90649</w:t>
            </w:r>
          </w:p>
        </w:tc>
      </w:tr>
      <w:tr w:rsidR="008524D5" w:rsidRPr="00043B08" w14:paraId="47BC2626" w14:textId="77777777" w:rsidTr="008524D5">
        <w:trPr>
          <w:trHeight w:val="290"/>
        </w:trPr>
        <w:tc>
          <w:tcPr>
            <w:tcW w:w="3092" w:type="pct"/>
            <w:shd w:val="clear" w:color="auto" w:fill="DBE5F1" w:themeFill="accent1" w:themeFillTint="33"/>
            <w:noWrap/>
            <w:vAlign w:val="center"/>
          </w:tcPr>
          <w:p w14:paraId="67D80499"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Persatuan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Penggiat</w:t>
            </w:r>
            <w:proofErr w:type="spellEnd"/>
            <w:r w:rsidRPr="00043B08">
              <w:rPr>
                <w:rFonts w:ascii="Arial" w:hAnsi="Arial" w:cs="Arial"/>
                <w:b/>
                <w:bCs/>
                <w:sz w:val="20"/>
                <w:szCs w:val="20"/>
                <w:lang w:val="en-GB"/>
              </w:rPr>
              <w:t xml:space="preserve"> Seni Dan </w:t>
            </w:r>
            <w:proofErr w:type="spellStart"/>
            <w:r w:rsidRPr="00043B08">
              <w:rPr>
                <w:rFonts w:ascii="Arial" w:hAnsi="Arial" w:cs="Arial"/>
                <w:b/>
                <w:bCs/>
                <w:sz w:val="20"/>
                <w:szCs w:val="20"/>
                <w:lang w:val="en-GB"/>
              </w:rPr>
              <w:t>Kebudayaan</w:t>
            </w:r>
            <w:proofErr w:type="spellEnd"/>
            <w:r w:rsidRPr="00043B08">
              <w:rPr>
                <w:rFonts w:ascii="Arial" w:hAnsi="Arial" w:cs="Arial"/>
                <w:b/>
                <w:bCs/>
                <w:sz w:val="20"/>
                <w:szCs w:val="20"/>
                <w:lang w:val="en-GB"/>
              </w:rPr>
              <w:t xml:space="preserve"> Malaysia Kuching</w:t>
            </w:r>
            <w:r w:rsidRPr="00043B08">
              <w:rPr>
                <w:rFonts w:ascii="Arial" w:hAnsi="Arial" w:cs="Arial"/>
                <w:b/>
                <w:bCs/>
                <w:sz w:val="20"/>
                <w:szCs w:val="20"/>
                <w:lang w:val="en-GB"/>
              </w:rPr>
              <w:br/>
            </w:r>
            <w:r w:rsidRPr="00043B08">
              <w:rPr>
                <w:rFonts w:ascii="Arial" w:hAnsi="Arial" w:cs="Arial"/>
                <w:sz w:val="20"/>
                <w:szCs w:val="20"/>
                <w:lang w:val="en-GB"/>
              </w:rPr>
              <w:lastRenderedPageBreak/>
              <w:t>Malaysia Arts And Cultural Practitioners Association Kuching – MACPA</w:t>
            </w:r>
          </w:p>
        </w:tc>
        <w:tc>
          <w:tcPr>
            <w:tcW w:w="1133" w:type="pct"/>
            <w:shd w:val="clear" w:color="auto" w:fill="DBE5F1" w:themeFill="accent1" w:themeFillTint="33"/>
            <w:noWrap/>
            <w:vAlign w:val="center"/>
          </w:tcPr>
          <w:p w14:paraId="65354AD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lastRenderedPageBreak/>
              <w:t>Malaysia</w:t>
            </w:r>
          </w:p>
        </w:tc>
        <w:tc>
          <w:tcPr>
            <w:tcW w:w="775" w:type="pct"/>
            <w:shd w:val="clear" w:color="auto" w:fill="DBE5F1" w:themeFill="accent1" w:themeFillTint="33"/>
            <w:noWrap/>
            <w:vAlign w:val="center"/>
          </w:tcPr>
          <w:p w14:paraId="4885954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NGO-90669</w:t>
            </w:r>
          </w:p>
        </w:tc>
      </w:tr>
      <w:tr w:rsidR="008524D5" w:rsidRPr="00043B08" w14:paraId="481C359C" w14:textId="77777777" w:rsidTr="008524D5">
        <w:trPr>
          <w:trHeight w:val="624"/>
        </w:trPr>
        <w:tc>
          <w:tcPr>
            <w:tcW w:w="3092" w:type="pct"/>
            <w:noWrap/>
            <w:vAlign w:val="center"/>
            <w:hideMark/>
          </w:tcPr>
          <w:p w14:paraId="18104E7B"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Persatuan</w:t>
            </w:r>
            <w:proofErr w:type="spellEnd"/>
            <w:r w:rsidRPr="00043B08">
              <w:rPr>
                <w:rFonts w:ascii="Arial" w:hAnsi="Arial" w:cs="Arial"/>
                <w:b/>
                <w:bCs/>
                <w:sz w:val="20"/>
                <w:szCs w:val="20"/>
                <w:lang w:val="en-GB"/>
              </w:rPr>
              <w:t xml:space="preserve"> Peranakan Baba Nyonya Malaysia </w:t>
            </w:r>
            <w:r w:rsidRPr="00043B08">
              <w:rPr>
                <w:rFonts w:ascii="Arial" w:hAnsi="Arial" w:cs="Arial"/>
                <w:b/>
                <w:bCs/>
                <w:sz w:val="20"/>
                <w:szCs w:val="20"/>
                <w:lang w:val="en-GB"/>
              </w:rPr>
              <w:br/>
            </w:r>
            <w:r w:rsidRPr="00043B08">
              <w:rPr>
                <w:rFonts w:ascii="Arial" w:hAnsi="Arial" w:cs="Arial"/>
                <w:sz w:val="20"/>
                <w:szCs w:val="20"/>
                <w:lang w:val="en-GB"/>
              </w:rPr>
              <w:t>Baba Nyonya Association of Malaysia</w:t>
            </w:r>
          </w:p>
        </w:tc>
        <w:tc>
          <w:tcPr>
            <w:tcW w:w="1133" w:type="pct"/>
            <w:noWrap/>
            <w:vAlign w:val="center"/>
            <w:hideMark/>
          </w:tcPr>
          <w:p w14:paraId="449F93E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Malaysia</w:t>
            </w:r>
          </w:p>
        </w:tc>
        <w:tc>
          <w:tcPr>
            <w:tcW w:w="775" w:type="pct"/>
            <w:noWrap/>
            <w:vAlign w:val="center"/>
            <w:hideMark/>
          </w:tcPr>
          <w:p w14:paraId="38F91EB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NGO-90651</w:t>
            </w:r>
          </w:p>
        </w:tc>
      </w:tr>
      <w:tr w:rsidR="008524D5" w:rsidRPr="00043B08" w14:paraId="6E54AD44" w14:textId="77777777" w:rsidTr="008524D5">
        <w:trPr>
          <w:trHeight w:val="624"/>
        </w:trPr>
        <w:tc>
          <w:tcPr>
            <w:tcW w:w="3092" w:type="pct"/>
            <w:shd w:val="clear" w:color="auto" w:fill="DBE5F1" w:themeFill="accent1" w:themeFillTint="33"/>
            <w:noWrap/>
            <w:vAlign w:val="center"/>
            <w:hideMark/>
          </w:tcPr>
          <w:p w14:paraId="7D41876C"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Pinelands Creative Workshop - PCW</w:t>
            </w:r>
          </w:p>
        </w:tc>
        <w:tc>
          <w:tcPr>
            <w:tcW w:w="1133" w:type="pct"/>
            <w:shd w:val="clear" w:color="auto" w:fill="DBE5F1" w:themeFill="accent1" w:themeFillTint="33"/>
            <w:noWrap/>
            <w:vAlign w:val="center"/>
            <w:hideMark/>
          </w:tcPr>
          <w:p w14:paraId="55F52DB3"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Barbados</w:t>
            </w:r>
          </w:p>
        </w:tc>
        <w:tc>
          <w:tcPr>
            <w:tcW w:w="775" w:type="pct"/>
            <w:shd w:val="clear" w:color="auto" w:fill="DBE5F1" w:themeFill="accent1" w:themeFillTint="33"/>
            <w:noWrap/>
            <w:vAlign w:val="center"/>
            <w:hideMark/>
          </w:tcPr>
          <w:p w14:paraId="39E7026C"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NGO-90607</w:t>
            </w:r>
          </w:p>
        </w:tc>
      </w:tr>
      <w:tr w:rsidR="008524D5" w:rsidRPr="00043B08" w14:paraId="6755CFB8" w14:textId="77777777" w:rsidTr="008524D5">
        <w:trPr>
          <w:trHeight w:val="290"/>
        </w:trPr>
        <w:tc>
          <w:tcPr>
            <w:tcW w:w="3092" w:type="pct"/>
            <w:noWrap/>
            <w:vAlign w:val="center"/>
          </w:tcPr>
          <w:p w14:paraId="41880735"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Poetawango</w:t>
            </w:r>
            <w:proofErr w:type="spellEnd"/>
            <w:r w:rsidRPr="00043B08">
              <w:rPr>
                <w:rFonts w:ascii="Arial" w:hAnsi="Arial" w:cs="Arial"/>
                <w:b/>
                <w:bCs/>
                <w:sz w:val="20"/>
                <w:szCs w:val="20"/>
                <w:lang w:val="en-GB"/>
              </w:rPr>
              <w:t xml:space="preserve"> Spoken Word Poetry</w:t>
            </w:r>
          </w:p>
        </w:tc>
        <w:tc>
          <w:tcPr>
            <w:tcW w:w="1133" w:type="pct"/>
            <w:noWrap/>
            <w:vAlign w:val="center"/>
          </w:tcPr>
          <w:p w14:paraId="1A895FB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Botswana</w:t>
            </w:r>
          </w:p>
        </w:tc>
        <w:tc>
          <w:tcPr>
            <w:tcW w:w="775" w:type="pct"/>
            <w:noWrap/>
            <w:vAlign w:val="center"/>
          </w:tcPr>
          <w:p w14:paraId="232897D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NGO-90646</w:t>
            </w:r>
          </w:p>
        </w:tc>
      </w:tr>
      <w:tr w:rsidR="008524D5" w:rsidRPr="00043B08" w14:paraId="3E080483" w14:textId="77777777" w:rsidTr="008524D5">
        <w:trPr>
          <w:trHeight w:val="624"/>
        </w:trPr>
        <w:tc>
          <w:tcPr>
            <w:tcW w:w="3092" w:type="pct"/>
            <w:shd w:val="clear" w:color="auto" w:fill="DBE5F1" w:themeFill="accent1" w:themeFillTint="33"/>
            <w:noWrap/>
            <w:vAlign w:val="center"/>
            <w:hideMark/>
          </w:tcPr>
          <w:p w14:paraId="620EC405"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Proyecto Impacto Consultores</w:t>
            </w:r>
          </w:p>
        </w:tc>
        <w:tc>
          <w:tcPr>
            <w:tcW w:w="1133" w:type="pct"/>
            <w:shd w:val="clear" w:color="auto" w:fill="DBE5F1" w:themeFill="accent1" w:themeFillTint="33"/>
            <w:noWrap/>
            <w:vAlign w:val="center"/>
            <w:hideMark/>
          </w:tcPr>
          <w:p w14:paraId="6B82EF8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Mexico</w:t>
            </w:r>
          </w:p>
        </w:tc>
        <w:tc>
          <w:tcPr>
            <w:tcW w:w="775" w:type="pct"/>
            <w:shd w:val="clear" w:color="auto" w:fill="DBE5F1" w:themeFill="accent1" w:themeFillTint="33"/>
            <w:noWrap/>
            <w:vAlign w:val="center"/>
            <w:hideMark/>
          </w:tcPr>
          <w:p w14:paraId="192BBD4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NGO-90663</w:t>
            </w:r>
          </w:p>
        </w:tc>
      </w:tr>
      <w:tr w:rsidR="008524D5" w:rsidRPr="00043B08" w14:paraId="08DE9235" w14:textId="77777777" w:rsidTr="008524D5">
        <w:trPr>
          <w:trHeight w:val="624"/>
        </w:trPr>
        <w:tc>
          <w:tcPr>
            <w:tcW w:w="3092" w:type="pct"/>
            <w:noWrap/>
            <w:vAlign w:val="center"/>
            <w:hideMark/>
          </w:tcPr>
          <w:p w14:paraId="54A1DB46" w14:textId="77777777" w:rsidR="008524D5" w:rsidRPr="00043B08" w:rsidRDefault="008524D5" w:rsidP="00AA7D44">
            <w:pPr>
              <w:spacing w:before="120" w:after="120"/>
              <w:rPr>
                <w:rFonts w:ascii="Arial" w:hAnsi="Arial" w:cs="Arial"/>
                <w:b/>
                <w:bCs/>
                <w:sz w:val="20"/>
                <w:szCs w:val="20"/>
              </w:rPr>
            </w:pPr>
            <w:proofErr w:type="spellStart"/>
            <w:r w:rsidRPr="00043B08">
              <w:rPr>
                <w:rFonts w:ascii="Arial" w:hAnsi="Arial" w:cs="Arial"/>
                <w:b/>
                <w:bCs/>
                <w:sz w:val="20"/>
                <w:szCs w:val="20"/>
              </w:rPr>
              <w:t>Sevenadurioù</w:t>
            </w:r>
            <w:proofErr w:type="spellEnd"/>
            <w:r w:rsidRPr="00043B08">
              <w:rPr>
                <w:rFonts w:ascii="Arial" w:hAnsi="Arial" w:cs="Arial"/>
                <w:b/>
                <w:bCs/>
                <w:sz w:val="20"/>
                <w:szCs w:val="20"/>
              </w:rPr>
              <w:t xml:space="preserve"> Breizh </w:t>
            </w:r>
            <w:r w:rsidRPr="00043B08">
              <w:rPr>
                <w:rFonts w:ascii="Arial" w:hAnsi="Arial" w:cs="Arial"/>
                <w:b/>
                <w:bCs/>
                <w:sz w:val="20"/>
                <w:szCs w:val="20"/>
              </w:rPr>
              <w:br/>
            </w:r>
            <w:r w:rsidRPr="00043B08">
              <w:rPr>
                <w:rFonts w:ascii="Arial" w:hAnsi="Arial" w:cs="Arial"/>
                <w:sz w:val="20"/>
                <w:szCs w:val="20"/>
              </w:rPr>
              <w:t>Bretagne Culture Diversité - BCD</w:t>
            </w:r>
          </w:p>
        </w:tc>
        <w:tc>
          <w:tcPr>
            <w:tcW w:w="1133" w:type="pct"/>
            <w:noWrap/>
            <w:vAlign w:val="center"/>
            <w:hideMark/>
          </w:tcPr>
          <w:p w14:paraId="6065E36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noWrap/>
            <w:vAlign w:val="center"/>
            <w:hideMark/>
          </w:tcPr>
          <w:p w14:paraId="3FD27BA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NGO-90614</w:t>
            </w:r>
          </w:p>
        </w:tc>
      </w:tr>
      <w:tr w:rsidR="008524D5" w:rsidRPr="00043B08" w14:paraId="39A30F1D" w14:textId="77777777" w:rsidTr="008524D5">
        <w:trPr>
          <w:trHeight w:val="290"/>
        </w:trPr>
        <w:tc>
          <w:tcPr>
            <w:tcW w:w="3092" w:type="pct"/>
            <w:shd w:val="clear" w:color="auto" w:fill="DBE5F1" w:themeFill="accent1" w:themeFillTint="33"/>
            <w:noWrap/>
            <w:vAlign w:val="center"/>
            <w:hideMark/>
          </w:tcPr>
          <w:p w14:paraId="5D9BBB3E"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Slow Food Bergen</w:t>
            </w:r>
          </w:p>
        </w:tc>
        <w:tc>
          <w:tcPr>
            <w:tcW w:w="1133" w:type="pct"/>
            <w:shd w:val="clear" w:color="auto" w:fill="DBE5F1" w:themeFill="accent1" w:themeFillTint="33"/>
            <w:noWrap/>
            <w:vAlign w:val="center"/>
            <w:hideMark/>
          </w:tcPr>
          <w:p w14:paraId="3A6B180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Norway</w:t>
            </w:r>
          </w:p>
        </w:tc>
        <w:tc>
          <w:tcPr>
            <w:tcW w:w="775" w:type="pct"/>
            <w:shd w:val="clear" w:color="auto" w:fill="DBE5F1" w:themeFill="accent1" w:themeFillTint="33"/>
            <w:noWrap/>
            <w:vAlign w:val="center"/>
            <w:hideMark/>
          </w:tcPr>
          <w:p w14:paraId="3984E071" w14:textId="678423E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NGO-90660</w:t>
            </w:r>
          </w:p>
        </w:tc>
      </w:tr>
      <w:tr w:rsidR="008524D5" w:rsidRPr="00043B08" w14:paraId="5A5B05E7" w14:textId="77777777" w:rsidTr="008524D5">
        <w:trPr>
          <w:trHeight w:val="624"/>
        </w:trPr>
        <w:tc>
          <w:tcPr>
            <w:tcW w:w="3092" w:type="pct"/>
            <w:noWrap/>
            <w:vAlign w:val="center"/>
            <w:hideMark/>
          </w:tcPr>
          <w:p w14:paraId="3F87B0FD"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Stichting</w:t>
            </w:r>
            <w:proofErr w:type="spellEnd"/>
            <w:r w:rsidRPr="00043B08">
              <w:rPr>
                <w:rFonts w:ascii="Arial" w:hAnsi="Arial" w:cs="Arial"/>
                <w:b/>
                <w:bCs/>
                <w:sz w:val="20"/>
                <w:szCs w:val="20"/>
                <w:lang w:val="en-GB"/>
              </w:rPr>
              <w:t xml:space="preserve"> Caravane Earth</w:t>
            </w:r>
          </w:p>
        </w:tc>
        <w:tc>
          <w:tcPr>
            <w:tcW w:w="1133" w:type="pct"/>
            <w:noWrap/>
            <w:vAlign w:val="center"/>
            <w:hideMark/>
          </w:tcPr>
          <w:p w14:paraId="539DB18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Netherlands (Kingdom of the)</w:t>
            </w:r>
          </w:p>
        </w:tc>
        <w:tc>
          <w:tcPr>
            <w:tcW w:w="775" w:type="pct"/>
            <w:noWrap/>
            <w:vAlign w:val="center"/>
            <w:hideMark/>
          </w:tcPr>
          <w:p w14:paraId="63AF624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NGO-90601</w:t>
            </w:r>
          </w:p>
        </w:tc>
      </w:tr>
      <w:tr w:rsidR="008524D5" w:rsidRPr="00043B08" w14:paraId="6E99F13B" w14:textId="77777777" w:rsidTr="008524D5">
        <w:trPr>
          <w:trHeight w:val="290"/>
        </w:trPr>
        <w:tc>
          <w:tcPr>
            <w:tcW w:w="3092" w:type="pct"/>
            <w:shd w:val="clear" w:color="auto" w:fill="DBE5F1" w:themeFill="accent1" w:themeFillTint="33"/>
            <w:noWrap/>
            <w:vAlign w:val="center"/>
          </w:tcPr>
          <w:p w14:paraId="70FE5844"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Stiftelsen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Länsmuseet</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Västernorrland</w:t>
            </w:r>
            <w:proofErr w:type="spellEnd"/>
            <w:r w:rsidRPr="00043B08">
              <w:rPr>
                <w:rFonts w:ascii="Arial" w:hAnsi="Arial" w:cs="Arial"/>
                <w:b/>
                <w:bCs/>
                <w:sz w:val="20"/>
                <w:szCs w:val="20"/>
                <w:lang w:val="en-GB"/>
              </w:rPr>
              <w:br/>
            </w:r>
            <w:proofErr w:type="spellStart"/>
            <w:r w:rsidRPr="00043B08">
              <w:rPr>
                <w:rFonts w:ascii="Arial" w:hAnsi="Arial" w:cs="Arial"/>
                <w:sz w:val="20"/>
                <w:szCs w:val="20"/>
                <w:lang w:val="en-GB"/>
              </w:rPr>
              <w:t>Västernorrland</w:t>
            </w:r>
            <w:proofErr w:type="spellEnd"/>
            <w:r w:rsidRPr="00043B08">
              <w:rPr>
                <w:rFonts w:ascii="Arial" w:hAnsi="Arial" w:cs="Arial"/>
                <w:sz w:val="20"/>
                <w:szCs w:val="20"/>
                <w:lang w:val="en-GB"/>
              </w:rPr>
              <w:t xml:space="preserve"> County Museum Foundation</w:t>
            </w:r>
          </w:p>
        </w:tc>
        <w:tc>
          <w:tcPr>
            <w:tcW w:w="1133" w:type="pct"/>
            <w:shd w:val="clear" w:color="auto" w:fill="DBE5F1" w:themeFill="accent1" w:themeFillTint="33"/>
            <w:noWrap/>
            <w:vAlign w:val="center"/>
          </w:tcPr>
          <w:p w14:paraId="688D1160"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Sweden</w:t>
            </w:r>
          </w:p>
        </w:tc>
        <w:tc>
          <w:tcPr>
            <w:tcW w:w="775" w:type="pct"/>
            <w:shd w:val="clear" w:color="auto" w:fill="DBE5F1" w:themeFill="accent1" w:themeFillTint="33"/>
            <w:noWrap/>
            <w:vAlign w:val="center"/>
          </w:tcPr>
          <w:p w14:paraId="06E086A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NGO-90626</w:t>
            </w:r>
          </w:p>
        </w:tc>
      </w:tr>
      <w:tr w:rsidR="008524D5" w:rsidRPr="00043B08" w14:paraId="72998359" w14:textId="77777777" w:rsidTr="008524D5">
        <w:trPr>
          <w:trHeight w:val="624"/>
        </w:trPr>
        <w:tc>
          <w:tcPr>
            <w:tcW w:w="3092" w:type="pct"/>
            <w:noWrap/>
            <w:vAlign w:val="center"/>
            <w:hideMark/>
          </w:tcPr>
          <w:p w14:paraId="22C8525B"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Sylvia Lanka Foundation - SLF</w:t>
            </w:r>
          </w:p>
        </w:tc>
        <w:tc>
          <w:tcPr>
            <w:tcW w:w="1133" w:type="pct"/>
            <w:noWrap/>
            <w:vAlign w:val="center"/>
            <w:hideMark/>
          </w:tcPr>
          <w:p w14:paraId="7A0C328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United Kingdom of Great Britain and Northern Ireland</w:t>
            </w:r>
          </w:p>
        </w:tc>
        <w:tc>
          <w:tcPr>
            <w:tcW w:w="775" w:type="pct"/>
            <w:noWrap/>
            <w:vAlign w:val="center"/>
            <w:hideMark/>
          </w:tcPr>
          <w:p w14:paraId="40FADA67"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NGO-90605</w:t>
            </w:r>
          </w:p>
        </w:tc>
      </w:tr>
      <w:tr w:rsidR="008524D5" w:rsidRPr="00043B08" w14:paraId="51E12D36" w14:textId="77777777" w:rsidTr="008524D5">
        <w:trPr>
          <w:trHeight w:val="624"/>
        </w:trPr>
        <w:tc>
          <w:tcPr>
            <w:tcW w:w="3092" w:type="pct"/>
            <w:shd w:val="clear" w:color="auto" w:fill="DBE5F1" w:themeFill="accent1" w:themeFillTint="33"/>
            <w:noWrap/>
            <w:vAlign w:val="center"/>
            <w:hideMark/>
          </w:tcPr>
          <w:p w14:paraId="0650D6AF"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Théâtre des Arts </w:t>
            </w:r>
            <w:proofErr w:type="spellStart"/>
            <w:r w:rsidRPr="00043B08">
              <w:rPr>
                <w:rFonts w:ascii="Arial" w:hAnsi="Arial" w:cs="Arial"/>
                <w:b/>
                <w:bCs/>
                <w:sz w:val="20"/>
                <w:szCs w:val="20"/>
                <w:lang w:val="en-GB"/>
              </w:rPr>
              <w:t>Vivants</w:t>
            </w:r>
            <w:proofErr w:type="spellEnd"/>
            <w:r w:rsidRPr="00043B08">
              <w:rPr>
                <w:rFonts w:ascii="Arial" w:hAnsi="Arial" w:cs="Arial"/>
                <w:b/>
                <w:bCs/>
                <w:sz w:val="20"/>
                <w:szCs w:val="20"/>
                <w:lang w:val="en-GB"/>
              </w:rPr>
              <w:t xml:space="preserve"> - TAV </w:t>
            </w:r>
            <w:r w:rsidRPr="00043B08">
              <w:rPr>
                <w:rFonts w:ascii="Arial" w:hAnsi="Arial" w:cs="Arial"/>
                <w:b/>
                <w:bCs/>
                <w:sz w:val="20"/>
                <w:szCs w:val="20"/>
                <w:lang w:val="en-GB"/>
              </w:rPr>
              <w:br/>
            </w:r>
            <w:r w:rsidRPr="00043B08">
              <w:rPr>
                <w:rFonts w:ascii="Arial" w:hAnsi="Arial" w:cs="Arial"/>
                <w:sz w:val="20"/>
                <w:szCs w:val="20"/>
                <w:lang w:val="en-GB"/>
              </w:rPr>
              <w:t>Living Arts Theatre</w:t>
            </w:r>
          </w:p>
        </w:tc>
        <w:tc>
          <w:tcPr>
            <w:tcW w:w="1133" w:type="pct"/>
            <w:shd w:val="clear" w:color="auto" w:fill="DBE5F1" w:themeFill="accent1" w:themeFillTint="33"/>
            <w:noWrap/>
            <w:vAlign w:val="center"/>
            <w:hideMark/>
          </w:tcPr>
          <w:p w14:paraId="6648BA09"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France</w:t>
            </w:r>
          </w:p>
        </w:tc>
        <w:tc>
          <w:tcPr>
            <w:tcW w:w="775" w:type="pct"/>
            <w:shd w:val="clear" w:color="auto" w:fill="DBE5F1" w:themeFill="accent1" w:themeFillTint="33"/>
            <w:noWrap/>
            <w:vAlign w:val="center"/>
            <w:hideMark/>
          </w:tcPr>
          <w:p w14:paraId="0F15C98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NGO-90680</w:t>
            </w:r>
          </w:p>
        </w:tc>
      </w:tr>
      <w:tr w:rsidR="008524D5" w:rsidRPr="00043B08" w14:paraId="15DD6B69" w14:textId="77777777" w:rsidTr="008524D5">
        <w:trPr>
          <w:trHeight w:val="290"/>
        </w:trPr>
        <w:tc>
          <w:tcPr>
            <w:tcW w:w="3092" w:type="pct"/>
            <w:noWrap/>
            <w:vAlign w:val="center"/>
            <w:hideMark/>
          </w:tcPr>
          <w:p w14:paraId="46906368"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Trung </w:t>
            </w:r>
            <w:proofErr w:type="spellStart"/>
            <w:r w:rsidRPr="00043B08">
              <w:rPr>
                <w:rFonts w:ascii="Arial" w:hAnsi="Arial" w:cs="Arial"/>
                <w:b/>
                <w:bCs/>
                <w:sz w:val="20"/>
                <w:szCs w:val="20"/>
                <w:lang w:val="en-GB"/>
              </w:rPr>
              <w:t>tâm</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Nghiên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cứu</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và</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Phát</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huy</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giá</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trị</w:t>
            </w:r>
            <w:proofErr w:type="spellEnd"/>
            <w:r w:rsidRPr="00043B08">
              <w:rPr>
                <w:rFonts w:ascii="Arial" w:hAnsi="Arial" w:cs="Arial"/>
                <w:b/>
                <w:bCs/>
                <w:sz w:val="20"/>
                <w:szCs w:val="20"/>
                <w:lang w:val="en-GB"/>
              </w:rPr>
              <w:t xml:space="preserve"> di </w:t>
            </w:r>
            <w:proofErr w:type="spellStart"/>
            <w:r w:rsidRPr="00043B08">
              <w:rPr>
                <w:rFonts w:ascii="Arial" w:hAnsi="Arial" w:cs="Arial"/>
                <w:b/>
                <w:bCs/>
                <w:sz w:val="20"/>
                <w:szCs w:val="20"/>
                <w:lang w:val="en-GB"/>
              </w:rPr>
              <w:t>sản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văn</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hóa</w:t>
            </w:r>
            <w:proofErr w:type="spellEnd"/>
            <w:r w:rsidRPr="00043B08">
              <w:rPr>
                <w:rFonts w:ascii="Arial" w:hAnsi="Arial" w:cs="Arial"/>
                <w:b/>
                <w:bCs/>
                <w:sz w:val="20"/>
                <w:szCs w:val="20"/>
                <w:lang w:val="en-GB"/>
              </w:rPr>
              <w:t xml:space="preserve"> </w:t>
            </w:r>
            <w:r w:rsidRPr="00043B08">
              <w:rPr>
                <w:rFonts w:ascii="Arial" w:hAnsi="Arial" w:cs="Arial"/>
                <w:b/>
                <w:bCs/>
                <w:sz w:val="20"/>
                <w:szCs w:val="20"/>
                <w:lang w:val="en-GB"/>
              </w:rPr>
              <w:br/>
            </w:r>
            <w:r w:rsidRPr="00043B08">
              <w:rPr>
                <w:rFonts w:ascii="Arial" w:hAnsi="Arial" w:cs="Arial"/>
                <w:sz w:val="20"/>
                <w:szCs w:val="20"/>
                <w:lang w:val="en-GB"/>
              </w:rPr>
              <w:t>Center for Research and Promotion of Cultural Heritage - CCH</w:t>
            </w:r>
          </w:p>
        </w:tc>
        <w:tc>
          <w:tcPr>
            <w:tcW w:w="1133" w:type="pct"/>
            <w:noWrap/>
            <w:vAlign w:val="center"/>
            <w:hideMark/>
          </w:tcPr>
          <w:p w14:paraId="2C42711D"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Viet Nam</w:t>
            </w:r>
          </w:p>
        </w:tc>
        <w:tc>
          <w:tcPr>
            <w:tcW w:w="775" w:type="pct"/>
            <w:noWrap/>
            <w:vAlign w:val="center"/>
            <w:hideMark/>
          </w:tcPr>
          <w:p w14:paraId="0BFA215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NGO-90666</w:t>
            </w:r>
          </w:p>
        </w:tc>
      </w:tr>
      <w:tr w:rsidR="008524D5" w:rsidRPr="00043B08" w14:paraId="45A45366" w14:textId="77777777" w:rsidTr="008524D5">
        <w:trPr>
          <w:trHeight w:val="290"/>
        </w:trPr>
        <w:tc>
          <w:tcPr>
            <w:tcW w:w="3092" w:type="pct"/>
            <w:shd w:val="clear" w:color="auto" w:fill="DBE5F1" w:themeFill="accent1" w:themeFillTint="33"/>
            <w:noWrap/>
            <w:vAlign w:val="center"/>
          </w:tcPr>
          <w:p w14:paraId="6A6E5117"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Udruženje</w:t>
            </w:r>
            <w:proofErr w:type="spellEnd"/>
            <w:r w:rsidRPr="00043B08">
              <w:rPr>
                <w:rFonts w:ascii="Arial" w:hAnsi="Arial" w:cs="Arial"/>
                <w:b/>
                <w:bCs/>
                <w:sz w:val="20"/>
                <w:szCs w:val="20"/>
                <w:lang w:val="en-GB"/>
              </w:rPr>
              <w:t xml:space="preserve"> za </w:t>
            </w:r>
            <w:proofErr w:type="spellStart"/>
            <w:r w:rsidRPr="00043B08">
              <w:rPr>
                <w:rFonts w:ascii="Arial" w:hAnsi="Arial" w:cs="Arial"/>
                <w:b/>
                <w:bCs/>
                <w:sz w:val="20"/>
                <w:szCs w:val="20"/>
                <w:lang w:val="en-GB"/>
              </w:rPr>
              <w:t>istraživanje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očuvanje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i</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prezentaciju</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tradicije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i</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kulturne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baštine</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naroda</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i</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nacionalnih</w:t>
            </w:r>
            <w:proofErr w:type="spellEnd"/>
            <w:r w:rsidRPr="00043B08">
              <w:rPr>
                <w:rFonts w:ascii="Arial" w:hAnsi="Arial" w:cs="Arial"/>
                <w:b/>
                <w:bCs/>
                <w:sz w:val="20"/>
                <w:szCs w:val="20"/>
                <w:lang w:val="en-GB"/>
              </w:rPr>
              <w:t xml:space="preserve"> </w:t>
            </w:r>
            <w:proofErr w:type="spellStart"/>
            <w:r w:rsidRPr="00043B08">
              <w:rPr>
                <w:rFonts w:ascii="Arial" w:hAnsi="Arial" w:cs="Arial"/>
                <w:b/>
                <w:bCs/>
                <w:sz w:val="20"/>
                <w:szCs w:val="20"/>
                <w:lang w:val="en-GB"/>
              </w:rPr>
              <w:t>manjina</w:t>
            </w:r>
            <w:proofErr w:type="spellEnd"/>
            <w:r w:rsidRPr="00043B08">
              <w:rPr>
                <w:rFonts w:ascii="Arial" w:hAnsi="Arial" w:cs="Arial"/>
                <w:b/>
                <w:bCs/>
                <w:sz w:val="20"/>
                <w:szCs w:val="20"/>
                <w:lang w:val="en-GB"/>
              </w:rPr>
              <w:br/>
            </w:r>
            <w:r w:rsidRPr="00043B08">
              <w:rPr>
                <w:rFonts w:ascii="Arial" w:hAnsi="Arial" w:cs="Arial"/>
                <w:sz w:val="20"/>
                <w:szCs w:val="20"/>
                <w:lang w:val="en-GB"/>
              </w:rPr>
              <w:t>Association for research, preservation and presentation of the tradition and cultural heritage of the people and national minorities</w:t>
            </w:r>
          </w:p>
        </w:tc>
        <w:tc>
          <w:tcPr>
            <w:tcW w:w="1133" w:type="pct"/>
            <w:shd w:val="clear" w:color="auto" w:fill="DBE5F1" w:themeFill="accent1" w:themeFillTint="33"/>
            <w:noWrap/>
            <w:vAlign w:val="center"/>
          </w:tcPr>
          <w:p w14:paraId="2529D72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Bosnia and Herzegovina</w:t>
            </w:r>
          </w:p>
        </w:tc>
        <w:tc>
          <w:tcPr>
            <w:tcW w:w="775" w:type="pct"/>
            <w:shd w:val="clear" w:color="auto" w:fill="DBE5F1" w:themeFill="accent1" w:themeFillTint="33"/>
            <w:noWrap/>
            <w:vAlign w:val="center"/>
          </w:tcPr>
          <w:p w14:paraId="5130511B"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NGO-90636</w:t>
            </w:r>
          </w:p>
        </w:tc>
      </w:tr>
      <w:tr w:rsidR="008524D5" w:rsidRPr="00043B08" w14:paraId="12C4FBEA" w14:textId="77777777" w:rsidTr="008524D5">
        <w:trPr>
          <w:trHeight w:val="290"/>
        </w:trPr>
        <w:tc>
          <w:tcPr>
            <w:tcW w:w="3092" w:type="pct"/>
            <w:noWrap/>
            <w:vAlign w:val="center"/>
            <w:hideMark/>
          </w:tcPr>
          <w:p w14:paraId="4C203AAF" w14:textId="77777777" w:rsidR="008524D5" w:rsidRPr="00043B08" w:rsidRDefault="008524D5" w:rsidP="00AA7D44">
            <w:pPr>
              <w:spacing w:before="120" w:after="120"/>
              <w:rPr>
                <w:rFonts w:ascii="Arial" w:hAnsi="Arial" w:cs="Arial"/>
                <w:b/>
                <w:bCs/>
                <w:sz w:val="20"/>
                <w:szCs w:val="20"/>
                <w:lang w:val="it-IT"/>
              </w:rPr>
            </w:pPr>
            <w:r w:rsidRPr="00043B08">
              <w:rPr>
                <w:rFonts w:ascii="Arial" w:hAnsi="Arial" w:cs="Arial"/>
                <w:b/>
                <w:bCs/>
                <w:sz w:val="20"/>
                <w:szCs w:val="20"/>
                <w:lang w:val="it-IT"/>
              </w:rPr>
              <w:t xml:space="preserve">UNIMA Türkiye Millî Merkezi </w:t>
            </w:r>
            <w:r w:rsidRPr="00043B08">
              <w:rPr>
                <w:rFonts w:ascii="Arial" w:hAnsi="Arial" w:cs="Arial"/>
                <w:b/>
                <w:bCs/>
                <w:sz w:val="20"/>
                <w:szCs w:val="20"/>
                <w:lang w:val="it-IT"/>
              </w:rPr>
              <w:br/>
            </w:r>
            <w:r w:rsidRPr="00043B08">
              <w:rPr>
                <w:rFonts w:ascii="Arial" w:hAnsi="Arial" w:cs="Arial"/>
                <w:sz w:val="20"/>
                <w:szCs w:val="20"/>
                <w:lang w:val="it-IT"/>
              </w:rPr>
              <w:t>UNIMA Türkiye National Center</w:t>
            </w:r>
          </w:p>
        </w:tc>
        <w:tc>
          <w:tcPr>
            <w:tcW w:w="1133" w:type="pct"/>
            <w:noWrap/>
            <w:vAlign w:val="center"/>
            <w:hideMark/>
          </w:tcPr>
          <w:p w14:paraId="0B78221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hideMark/>
          </w:tcPr>
          <w:p w14:paraId="1AC1AADF"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NGO-90673</w:t>
            </w:r>
          </w:p>
        </w:tc>
      </w:tr>
      <w:tr w:rsidR="008524D5" w:rsidRPr="00043B08" w14:paraId="2975C8CE" w14:textId="77777777" w:rsidTr="008524D5">
        <w:trPr>
          <w:trHeight w:val="290"/>
        </w:trPr>
        <w:tc>
          <w:tcPr>
            <w:tcW w:w="3092" w:type="pct"/>
            <w:shd w:val="clear" w:color="auto" w:fill="DBE5F1" w:themeFill="accent1" w:themeFillTint="33"/>
            <w:noWrap/>
            <w:vAlign w:val="center"/>
            <w:hideMark/>
          </w:tcPr>
          <w:p w14:paraId="2A00FDC0"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World Intangible Cultural Heritage Protection and Development Foundation, Inc. - WICHPDF</w:t>
            </w:r>
          </w:p>
        </w:tc>
        <w:tc>
          <w:tcPr>
            <w:tcW w:w="1133" w:type="pct"/>
            <w:shd w:val="clear" w:color="auto" w:fill="DBE5F1" w:themeFill="accent1" w:themeFillTint="33"/>
            <w:noWrap/>
            <w:vAlign w:val="center"/>
            <w:hideMark/>
          </w:tcPr>
          <w:p w14:paraId="03137C01"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United States of America</w:t>
            </w:r>
          </w:p>
        </w:tc>
        <w:tc>
          <w:tcPr>
            <w:tcW w:w="775" w:type="pct"/>
            <w:shd w:val="clear" w:color="auto" w:fill="DBE5F1" w:themeFill="accent1" w:themeFillTint="33"/>
            <w:noWrap/>
            <w:vAlign w:val="center"/>
            <w:hideMark/>
          </w:tcPr>
          <w:p w14:paraId="1D88F04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NGO-90685</w:t>
            </w:r>
          </w:p>
        </w:tc>
      </w:tr>
      <w:tr w:rsidR="008524D5" w:rsidRPr="00043B08" w14:paraId="510F234B" w14:textId="77777777" w:rsidTr="008524D5">
        <w:trPr>
          <w:trHeight w:val="290"/>
        </w:trPr>
        <w:tc>
          <w:tcPr>
            <w:tcW w:w="3092" w:type="pct"/>
            <w:noWrap/>
            <w:vAlign w:val="center"/>
          </w:tcPr>
          <w:p w14:paraId="26A5537D" w14:textId="77777777" w:rsidR="008524D5" w:rsidRPr="00043B08" w:rsidRDefault="008524D5" w:rsidP="00AA7D44">
            <w:pPr>
              <w:spacing w:before="120" w:after="120"/>
              <w:rPr>
                <w:rFonts w:ascii="Arial" w:hAnsi="Arial" w:cs="Arial"/>
                <w:b/>
                <w:bCs/>
                <w:sz w:val="20"/>
                <w:szCs w:val="20"/>
                <w:lang w:val="en-GB"/>
              </w:rPr>
            </w:pPr>
            <w:proofErr w:type="spellStart"/>
            <w:r w:rsidRPr="00043B08">
              <w:rPr>
                <w:rFonts w:ascii="Arial" w:hAnsi="Arial" w:cs="Arial"/>
                <w:b/>
                <w:bCs/>
                <w:sz w:val="20"/>
                <w:szCs w:val="20"/>
                <w:lang w:val="en-GB"/>
              </w:rPr>
              <w:t>Yolda</w:t>
            </w:r>
            <w:proofErr w:type="spellEnd"/>
            <w:r w:rsidRPr="00043B08">
              <w:rPr>
                <w:rFonts w:ascii="Arial" w:hAnsi="Arial" w:cs="Arial"/>
                <w:b/>
                <w:bCs/>
                <w:sz w:val="20"/>
                <w:szCs w:val="20"/>
                <w:lang w:val="en-GB"/>
              </w:rPr>
              <w:t xml:space="preserve"> Derneği</w:t>
            </w:r>
            <w:r w:rsidRPr="00043B08">
              <w:rPr>
                <w:rFonts w:ascii="Arial" w:hAnsi="Arial" w:cs="Arial"/>
                <w:b/>
                <w:bCs/>
                <w:sz w:val="20"/>
                <w:szCs w:val="20"/>
                <w:lang w:val="en-GB"/>
              </w:rPr>
              <w:br/>
            </w:r>
            <w:r w:rsidRPr="00043B08">
              <w:rPr>
                <w:rFonts w:ascii="Arial" w:hAnsi="Arial" w:cs="Arial"/>
                <w:sz w:val="20"/>
                <w:szCs w:val="20"/>
                <w:lang w:val="en-GB"/>
              </w:rPr>
              <w:t>Yolda Association</w:t>
            </w:r>
            <w:r w:rsidRPr="00043B08">
              <w:rPr>
                <w:rFonts w:ascii="Arial" w:hAnsi="Arial" w:cs="Arial"/>
                <w:b/>
                <w:bCs/>
                <w:sz w:val="20"/>
                <w:szCs w:val="20"/>
                <w:lang w:val="en-GB"/>
              </w:rPr>
              <w:tab/>
            </w:r>
            <w:r w:rsidRPr="00043B08">
              <w:rPr>
                <w:rFonts w:ascii="Arial" w:hAnsi="Arial" w:cs="Arial"/>
                <w:b/>
                <w:bCs/>
                <w:sz w:val="20"/>
                <w:szCs w:val="20"/>
                <w:lang w:val="en-GB"/>
              </w:rPr>
              <w:tab/>
            </w:r>
          </w:p>
        </w:tc>
        <w:tc>
          <w:tcPr>
            <w:tcW w:w="1133" w:type="pct"/>
            <w:noWrap/>
            <w:vAlign w:val="center"/>
          </w:tcPr>
          <w:p w14:paraId="2F80B548"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Türkiye</w:t>
            </w:r>
          </w:p>
        </w:tc>
        <w:tc>
          <w:tcPr>
            <w:tcW w:w="775" w:type="pct"/>
            <w:noWrap/>
            <w:vAlign w:val="center"/>
          </w:tcPr>
          <w:p w14:paraId="77B760F2"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NGO-90622</w:t>
            </w:r>
          </w:p>
        </w:tc>
      </w:tr>
      <w:tr w:rsidR="008524D5" w:rsidRPr="00043B08" w14:paraId="7F0F9C34" w14:textId="77777777" w:rsidTr="008524D5">
        <w:trPr>
          <w:trHeight w:val="624"/>
        </w:trPr>
        <w:tc>
          <w:tcPr>
            <w:tcW w:w="3092" w:type="pct"/>
            <w:shd w:val="clear" w:color="auto" w:fill="DBE5F1" w:themeFill="accent1" w:themeFillTint="33"/>
            <w:noWrap/>
            <w:vAlign w:val="center"/>
            <w:hideMark/>
          </w:tcPr>
          <w:p w14:paraId="4CC9C5FE" w14:textId="77777777" w:rsidR="008524D5" w:rsidRPr="00043B08" w:rsidRDefault="008524D5" w:rsidP="00AA7D44">
            <w:pPr>
              <w:spacing w:before="120" w:after="120"/>
              <w:rPr>
                <w:rFonts w:ascii="Arial" w:hAnsi="Arial" w:cs="Arial"/>
                <w:b/>
                <w:bCs/>
                <w:sz w:val="20"/>
                <w:szCs w:val="20"/>
                <w:lang w:val="en-GB"/>
              </w:rPr>
            </w:pPr>
            <w:r w:rsidRPr="00043B08">
              <w:rPr>
                <w:rFonts w:ascii="Arial" w:hAnsi="Arial" w:cs="Arial"/>
                <w:b/>
                <w:bCs/>
                <w:sz w:val="20"/>
                <w:szCs w:val="20"/>
                <w:lang w:val="en-GB"/>
              </w:rPr>
              <w:t xml:space="preserve">АЛЄМ </w:t>
            </w:r>
            <w:r w:rsidRPr="00043B08">
              <w:rPr>
                <w:rFonts w:ascii="Arial" w:hAnsi="Arial" w:cs="Arial"/>
                <w:b/>
                <w:bCs/>
                <w:sz w:val="20"/>
                <w:szCs w:val="20"/>
                <w:lang w:val="en-GB"/>
              </w:rPr>
              <w:br/>
            </w:r>
            <w:r w:rsidRPr="00043B08">
              <w:rPr>
                <w:rFonts w:ascii="Arial" w:hAnsi="Arial" w:cs="Arial"/>
                <w:sz w:val="20"/>
                <w:szCs w:val="20"/>
                <w:lang w:val="en-GB"/>
              </w:rPr>
              <w:t>ALEM</w:t>
            </w:r>
          </w:p>
        </w:tc>
        <w:tc>
          <w:tcPr>
            <w:tcW w:w="1133" w:type="pct"/>
            <w:shd w:val="clear" w:color="auto" w:fill="DBE5F1" w:themeFill="accent1" w:themeFillTint="33"/>
            <w:noWrap/>
            <w:vAlign w:val="center"/>
            <w:hideMark/>
          </w:tcPr>
          <w:p w14:paraId="73BD81A1"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Ukraine</w:t>
            </w:r>
          </w:p>
        </w:tc>
        <w:tc>
          <w:tcPr>
            <w:tcW w:w="775" w:type="pct"/>
            <w:shd w:val="clear" w:color="auto" w:fill="DBE5F1" w:themeFill="accent1" w:themeFillTint="33"/>
            <w:noWrap/>
            <w:vAlign w:val="center"/>
            <w:hideMark/>
          </w:tcPr>
          <w:p w14:paraId="4822EDF5"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NGO-90609</w:t>
            </w:r>
          </w:p>
        </w:tc>
      </w:tr>
      <w:tr w:rsidR="008524D5" w:rsidRPr="00043B08" w14:paraId="5A1AC2E2" w14:textId="77777777" w:rsidTr="008524D5">
        <w:trPr>
          <w:trHeight w:val="624"/>
        </w:trPr>
        <w:tc>
          <w:tcPr>
            <w:tcW w:w="3092" w:type="pct"/>
            <w:noWrap/>
            <w:vAlign w:val="center"/>
            <w:hideMark/>
          </w:tcPr>
          <w:p w14:paraId="14E86CAE" w14:textId="77777777" w:rsidR="008524D5" w:rsidRPr="00043B08" w:rsidRDefault="008524D5" w:rsidP="00AA7D44">
            <w:pPr>
              <w:spacing w:before="120" w:after="120"/>
              <w:rPr>
                <w:rFonts w:ascii="Arial" w:hAnsi="Arial" w:cs="Arial"/>
                <w:b/>
                <w:bCs/>
                <w:sz w:val="20"/>
                <w:szCs w:val="20"/>
              </w:rPr>
            </w:pPr>
            <w:proofErr w:type="spellStart"/>
            <w:r w:rsidRPr="00043B08">
              <w:rPr>
                <w:rFonts w:ascii="Arial" w:hAnsi="Arial" w:cs="Arial"/>
                <w:b/>
                <w:bCs/>
                <w:sz w:val="20"/>
                <w:szCs w:val="20"/>
                <w:lang w:val="en-GB"/>
              </w:rPr>
              <w:t>Մշակույթը</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lang w:val="en-GB"/>
              </w:rPr>
              <w:t>հանուն</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lang w:val="en-GB"/>
              </w:rPr>
              <w:t>կայուն</w:t>
            </w:r>
            <w:proofErr w:type="spellEnd"/>
            <w:r w:rsidRPr="00043B08">
              <w:rPr>
                <w:rFonts w:ascii="Arial" w:hAnsi="Arial" w:cs="Arial"/>
                <w:b/>
                <w:bCs/>
                <w:sz w:val="20"/>
                <w:szCs w:val="20"/>
              </w:rPr>
              <w:t xml:space="preserve"> </w:t>
            </w:r>
            <w:proofErr w:type="spellStart"/>
            <w:r w:rsidRPr="00043B08">
              <w:rPr>
                <w:rFonts w:ascii="Arial" w:hAnsi="Arial" w:cs="Arial"/>
                <w:b/>
                <w:bCs/>
                <w:sz w:val="20"/>
                <w:szCs w:val="20"/>
                <w:lang w:val="en-GB"/>
              </w:rPr>
              <w:t>զարգացման</w:t>
            </w:r>
            <w:proofErr w:type="spellEnd"/>
            <w:r w:rsidRPr="00043B08">
              <w:rPr>
                <w:rFonts w:ascii="Arial" w:hAnsi="Arial" w:cs="Arial"/>
                <w:b/>
                <w:bCs/>
                <w:sz w:val="20"/>
                <w:szCs w:val="20"/>
              </w:rPr>
              <w:t xml:space="preserve"> </w:t>
            </w:r>
            <w:r w:rsidRPr="00043B08">
              <w:rPr>
                <w:rFonts w:ascii="Arial" w:hAnsi="Arial" w:cs="Arial"/>
                <w:b/>
                <w:bCs/>
                <w:sz w:val="20"/>
                <w:szCs w:val="20"/>
              </w:rPr>
              <w:br/>
            </w:r>
            <w:r w:rsidRPr="00043B08">
              <w:rPr>
                <w:rFonts w:ascii="Arial" w:hAnsi="Arial" w:cs="Arial"/>
                <w:sz w:val="20"/>
                <w:szCs w:val="20"/>
              </w:rPr>
              <w:t xml:space="preserve">Culture for </w:t>
            </w:r>
            <w:proofErr w:type="spellStart"/>
            <w:r w:rsidRPr="00043B08">
              <w:rPr>
                <w:rFonts w:ascii="Arial" w:hAnsi="Arial" w:cs="Arial"/>
                <w:sz w:val="20"/>
                <w:szCs w:val="20"/>
              </w:rPr>
              <w:t>Sustainable</w:t>
            </w:r>
            <w:proofErr w:type="spellEnd"/>
            <w:r w:rsidRPr="00043B08">
              <w:rPr>
                <w:rFonts w:ascii="Arial" w:hAnsi="Arial" w:cs="Arial"/>
                <w:sz w:val="20"/>
                <w:szCs w:val="20"/>
              </w:rPr>
              <w:t xml:space="preserve"> Development</w:t>
            </w:r>
          </w:p>
        </w:tc>
        <w:tc>
          <w:tcPr>
            <w:tcW w:w="1133" w:type="pct"/>
            <w:noWrap/>
            <w:vAlign w:val="center"/>
            <w:hideMark/>
          </w:tcPr>
          <w:p w14:paraId="339E175E"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Armenia</w:t>
            </w:r>
          </w:p>
        </w:tc>
        <w:tc>
          <w:tcPr>
            <w:tcW w:w="775" w:type="pct"/>
            <w:noWrap/>
            <w:vAlign w:val="center"/>
            <w:hideMark/>
          </w:tcPr>
          <w:p w14:paraId="52F347EA"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NGO-90632</w:t>
            </w:r>
          </w:p>
        </w:tc>
      </w:tr>
      <w:tr w:rsidR="008524D5" w:rsidRPr="00043B08" w14:paraId="703F7610" w14:textId="77777777" w:rsidTr="008524D5">
        <w:trPr>
          <w:trHeight w:val="624"/>
        </w:trPr>
        <w:tc>
          <w:tcPr>
            <w:tcW w:w="3092" w:type="pct"/>
            <w:shd w:val="clear" w:color="auto" w:fill="DBE5F1" w:themeFill="accent1" w:themeFillTint="33"/>
            <w:noWrap/>
            <w:vAlign w:val="center"/>
            <w:hideMark/>
          </w:tcPr>
          <w:p w14:paraId="4FB34100" w14:textId="77777777" w:rsidR="008524D5" w:rsidRPr="00043B08" w:rsidRDefault="008524D5" w:rsidP="001F3AAC">
            <w:pPr>
              <w:keepNext/>
              <w:spacing w:before="120" w:after="120"/>
              <w:rPr>
                <w:rFonts w:ascii="Arial" w:hAnsi="Arial" w:cs="Arial"/>
                <w:b/>
                <w:bCs/>
                <w:sz w:val="20"/>
                <w:szCs w:val="20"/>
              </w:rPr>
            </w:pPr>
            <w:r w:rsidRPr="00043B08">
              <w:rPr>
                <w:rFonts w:ascii="Nirmala UI" w:hAnsi="Nirmala UI" w:cs="Nirmala UI" w:hint="cs"/>
                <w:b/>
                <w:bCs/>
                <w:sz w:val="20"/>
                <w:szCs w:val="20"/>
                <w:cs/>
                <w:lang w:val="en-GB" w:bidi="hi-IN"/>
              </w:rPr>
              <w:lastRenderedPageBreak/>
              <w:t>राजस्थान</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समग्र</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कल्याण</w:t>
            </w:r>
            <w:r w:rsidRPr="00043B08">
              <w:rPr>
                <w:rFonts w:ascii="Arial" w:hAnsi="Arial" w:cs="Arial"/>
                <w:b/>
                <w:bCs/>
                <w:sz w:val="20"/>
                <w:szCs w:val="20"/>
              </w:rPr>
              <w:t xml:space="preserve"> </w:t>
            </w:r>
            <w:r w:rsidRPr="00043B08">
              <w:rPr>
                <w:rFonts w:ascii="Nirmala UI" w:hAnsi="Nirmala UI" w:cs="Nirmala UI" w:hint="cs"/>
                <w:b/>
                <w:bCs/>
                <w:sz w:val="20"/>
                <w:szCs w:val="20"/>
                <w:cs/>
                <w:lang w:val="en-GB" w:bidi="hi-IN"/>
              </w:rPr>
              <w:t>संस्थान</w:t>
            </w:r>
            <w:r w:rsidRPr="00043B08">
              <w:rPr>
                <w:rFonts w:ascii="Arial" w:hAnsi="Arial" w:cs="Arial"/>
                <w:b/>
                <w:bCs/>
                <w:sz w:val="20"/>
                <w:szCs w:val="20"/>
              </w:rPr>
              <w:t xml:space="preserve"> </w:t>
            </w:r>
            <w:r w:rsidRPr="00043B08">
              <w:rPr>
                <w:rFonts w:ascii="Arial" w:hAnsi="Arial" w:cs="Arial"/>
                <w:b/>
                <w:bCs/>
                <w:sz w:val="20"/>
                <w:szCs w:val="20"/>
              </w:rPr>
              <w:br/>
            </w:r>
            <w:r w:rsidRPr="00043B08">
              <w:rPr>
                <w:rFonts w:ascii="Arial" w:hAnsi="Arial" w:cs="Arial"/>
                <w:sz w:val="20"/>
                <w:szCs w:val="20"/>
              </w:rPr>
              <w:t>Rajasthan Samgrah Kalyan Sansthan - RSKS India</w:t>
            </w:r>
          </w:p>
        </w:tc>
        <w:tc>
          <w:tcPr>
            <w:tcW w:w="1133" w:type="pct"/>
            <w:shd w:val="clear" w:color="auto" w:fill="DBE5F1" w:themeFill="accent1" w:themeFillTint="33"/>
            <w:noWrap/>
            <w:vAlign w:val="center"/>
            <w:hideMark/>
          </w:tcPr>
          <w:p w14:paraId="2AD1823B" w14:textId="77777777" w:rsidR="008524D5" w:rsidRPr="00043B08" w:rsidRDefault="008524D5" w:rsidP="001F3AAC">
            <w:pPr>
              <w:keepNext/>
              <w:spacing w:before="120" w:after="120"/>
              <w:jc w:val="center"/>
              <w:rPr>
                <w:rFonts w:ascii="Arial" w:hAnsi="Arial" w:cs="Arial"/>
                <w:sz w:val="20"/>
                <w:szCs w:val="20"/>
                <w:lang w:val="en-GB"/>
              </w:rPr>
            </w:pPr>
            <w:r w:rsidRPr="00043B08">
              <w:rPr>
                <w:rFonts w:ascii="Arial" w:hAnsi="Arial" w:cs="Arial"/>
                <w:sz w:val="20"/>
                <w:szCs w:val="20"/>
                <w:lang w:val="en-GB"/>
              </w:rPr>
              <w:t>India</w:t>
            </w:r>
          </w:p>
        </w:tc>
        <w:tc>
          <w:tcPr>
            <w:tcW w:w="775" w:type="pct"/>
            <w:shd w:val="clear" w:color="auto" w:fill="DBE5F1" w:themeFill="accent1" w:themeFillTint="33"/>
            <w:noWrap/>
            <w:vAlign w:val="center"/>
            <w:hideMark/>
          </w:tcPr>
          <w:p w14:paraId="427DD41F" w14:textId="77777777" w:rsidR="008524D5" w:rsidRPr="00043B08" w:rsidRDefault="008524D5" w:rsidP="001F3AAC">
            <w:pPr>
              <w:keepNext/>
              <w:spacing w:before="120" w:after="120"/>
              <w:jc w:val="center"/>
              <w:rPr>
                <w:rFonts w:ascii="Arial" w:hAnsi="Arial" w:cs="Arial"/>
                <w:sz w:val="20"/>
                <w:szCs w:val="20"/>
                <w:lang w:val="en-GB"/>
              </w:rPr>
            </w:pPr>
            <w:r w:rsidRPr="00043B08">
              <w:rPr>
                <w:rFonts w:ascii="Arial" w:hAnsi="Arial" w:cs="Arial"/>
                <w:sz w:val="20"/>
                <w:szCs w:val="20"/>
                <w:lang w:val="en-GB"/>
              </w:rPr>
              <w:t>NGO-90625</w:t>
            </w:r>
          </w:p>
        </w:tc>
      </w:tr>
      <w:tr w:rsidR="008524D5" w:rsidRPr="00043B08" w14:paraId="30DB6AB8" w14:textId="77777777" w:rsidTr="008524D5">
        <w:trPr>
          <w:trHeight w:val="290"/>
        </w:trPr>
        <w:tc>
          <w:tcPr>
            <w:tcW w:w="3092" w:type="pct"/>
            <w:noWrap/>
            <w:vAlign w:val="center"/>
            <w:hideMark/>
          </w:tcPr>
          <w:p w14:paraId="4DA1249F" w14:textId="77777777" w:rsidR="008524D5" w:rsidRPr="00043B08" w:rsidRDefault="008524D5" w:rsidP="00AA7D44">
            <w:pPr>
              <w:spacing w:before="120" w:after="120"/>
              <w:rPr>
                <w:rFonts w:ascii="Arial" w:hAnsi="Arial" w:cs="Arial"/>
                <w:b/>
                <w:bCs/>
                <w:sz w:val="20"/>
                <w:szCs w:val="20"/>
              </w:rPr>
            </w:pPr>
            <w:proofErr w:type="spellStart"/>
            <w:r w:rsidRPr="00043B08">
              <w:rPr>
                <w:rFonts w:ascii="Arial" w:hAnsi="Arial" w:cs="Arial"/>
                <w:b/>
                <w:bCs/>
                <w:sz w:val="20"/>
                <w:szCs w:val="20"/>
                <w:rtl/>
                <w:lang w:val="en-GB"/>
              </w:rPr>
              <w:t>میراث</w:t>
            </w:r>
            <w:proofErr w:type="spellEnd"/>
            <w:r w:rsidRPr="00043B08">
              <w:rPr>
                <w:rFonts w:ascii="Arial" w:hAnsi="Arial" w:cs="Arial"/>
                <w:b/>
                <w:bCs/>
                <w:sz w:val="20"/>
                <w:szCs w:val="20"/>
                <w:rtl/>
                <w:lang w:val="en-GB"/>
              </w:rPr>
              <w:t xml:space="preserve"> داران </w:t>
            </w:r>
            <w:proofErr w:type="spellStart"/>
            <w:r w:rsidRPr="00043B08">
              <w:rPr>
                <w:rFonts w:ascii="Arial" w:hAnsi="Arial" w:cs="Arial"/>
                <w:b/>
                <w:bCs/>
                <w:sz w:val="20"/>
                <w:szCs w:val="20"/>
                <w:rtl/>
                <w:lang w:val="en-GB"/>
              </w:rPr>
              <w:t>فرهنگ</w:t>
            </w:r>
            <w:proofErr w:type="spellEnd"/>
            <w:r w:rsidRPr="00043B08">
              <w:rPr>
                <w:rFonts w:ascii="Arial" w:hAnsi="Arial" w:cs="Arial"/>
                <w:b/>
                <w:bCs/>
                <w:sz w:val="20"/>
                <w:szCs w:val="20"/>
                <w:rtl/>
                <w:lang w:val="en-GB"/>
              </w:rPr>
              <w:t xml:space="preserve"> </w:t>
            </w:r>
            <w:proofErr w:type="spellStart"/>
            <w:r w:rsidRPr="00043B08">
              <w:rPr>
                <w:rFonts w:ascii="Arial" w:hAnsi="Arial" w:cs="Arial"/>
                <w:b/>
                <w:bCs/>
                <w:sz w:val="20"/>
                <w:szCs w:val="20"/>
                <w:rtl/>
                <w:lang w:val="en-GB"/>
              </w:rPr>
              <w:t>هرمزگان</w:t>
            </w:r>
            <w:proofErr w:type="spellEnd"/>
            <w:r w:rsidRPr="00043B08">
              <w:rPr>
                <w:rFonts w:ascii="Arial" w:hAnsi="Arial" w:cs="Arial"/>
                <w:b/>
                <w:bCs/>
                <w:sz w:val="20"/>
                <w:szCs w:val="20"/>
                <w:rtl/>
                <w:lang w:val="en-GB"/>
              </w:rPr>
              <w:t xml:space="preserve"> </w:t>
            </w:r>
            <w:r w:rsidRPr="00043B08">
              <w:rPr>
                <w:rFonts w:ascii="Arial" w:hAnsi="Arial" w:cs="Arial"/>
                <w:b/>
                <w:bCs/>
                <w:sz w:val="20"/>
                <w:szCs w:val="20"/>
              </w:rPr>
              <w:br/>
            </w:r>
            <w:proofErr w:type="spellStart"/>
            <w:r w:rsidRPr="00043B08">
              <w:rPr>
                <w:rFonts w:ascii="Arial" w:hAnsi="Arial" w:cs="Arial"/>
                <w:sz w:val="20"/>
                <w:szCs w:val="20"/>
              </w:rPr>
              <w:t>Hormozgan</w:t>
            </w:r>
            <w:proofErr w:type="spellEnd"/>
            <w:r w:rsidRPr="00043B08">
              <w:rPr>
                <w:rFonts w:ascii="Arial" w:hAnsi="Arial" w:cs="Arial"/>
                <w:sz w:val="20"/>
                <w:szCs w:val="20"/>
              </w:rPr>
              <w:t xml:space="preserve"> Cultural Heritage </w:t>
            </w:r>
            <w:proofErr w:type="spellStart"/>
            <w:r w:rsidRPr="00043B08">
              <w:rPr>
                <w:rFonts w:ascii="Arial" w:hAnsi="Arial" w:cs="Arial"/>
                <w:sz w:val="20"/>
                <w:szCs w:val="20"/>
              </w:rPr>
              <w:t>Custodians</w:t>
            </w:r>
            <w:proofErr w:type="spellEnd"/>
            <w:r w:rsidRPr="00043B08">
              <w:rPr>
                <w:rFonts w:ascii="Arial" w:hAnsi="Arial" w:cs="Arial"/>
                <w:sz w:val="20"/>
                <w:szCs w:val="20"/>
                <w:rtl/>
                <w:lang w:val="en-GB"/>
              </w:rPr>
              <w:t xml:space="preserve"> </w:t>
            </w:r>
            <w:r w:rsidRPr="00043B08">
              <w:rPr>
                <w:rFonts w:ascii="Arial" w:hAnsi="Arial" w:cs="Arial"/>
                <w:sz w:val="20"/>
                <w:szCs w:val="20"/>
              </w:rPr>
              <w:t>Association - HCHCA</w:t>
            </w:r>
          </w:p>
        </w:tc>
        <w:tc>
          <w:tcPr>
            <w:tcW w:w="1133" w:type="pct"/>
            <w:noWrap/>
            <w:vAlign w:val="center"/>
            <w:hideMark/>
          </w:tcPr>
          <w:p w14:paraId="3A06B550" w14:textId="77777777" w:rsidR="008524D5" w:rsidRPr="00043B08" w:rsidRDefault="008524D5" w:rsidP="00AA7D44">
            <w:pPr>
              <w:spacing w:before="120" w:after="120"/>
              <w:jc w:val="center"/>
              <w:rPr>
                <w:rFonts w:ascii="Arial" w:hAnsi="Arial" w:cs="Arial"/>
                <w:sz w:val="20"/>
                <w:szCs w:val="20"/>
                <w:rtl/>
                <w:lang w:val="en-GB"/>
              </w:rPr>
            </w:pPr>
            <w:r w:rsidRPr="00043B08">
              <w:rPr>
                <w:rFonts w:ascii="Arial" w:hAnsi="Arial" w:cs="Arial"/>
                <w:sz w:val="20"/>
                <w:szCs w:val="20"/>
                <w:lang w:val="en-GB"/>
              </w:rPr>
              <w:t>Iran (Islamic Republic of)</w:t>
            </w:r>
          </w:p>
        </w:tc>
        <w:tc>
          <w:tcPr>
            <w:tcW w:w="775" w:type="pct"/>
            <w:noWrap/>
            <w:vAlign w:val="center"/>
            <w:hideMark/>
          </w:tcPr>
          <w:p w14:paraId="2E6697D4" w14:textId="77777777" w:rsidR="008524D5" w:rsidRPr="00043B08" w:rsidRDefault="008524D5" w:rsidP="00AA7D44">
            <w:pPr>
              <w:spacing w:before="120" w:after="120"/>
              <w:jc w:val="center"/>
              <w:rPr>
                <w:rFonts w:ascii="Arial" w:hAnsi="Arial" w:cs="Arial"/>
                <w:sz w:val="20"/>
                <w:szCs w:val="20"/>
                <w:lang w:val="en-GB"/>
              </w:rPr>
            </w:pPr>
            <w:r w:rsidRPr="00043B08">
              <w:rPr>
                <w:rFonts w:ascii="Arial" w:hAnsi="Arial" w:cs="Arial"/>
                <w:sz w:val="20"/>
                <w:szCs w:val="20"/>
                <w:lang w:val="en-GB"/>
              </w:rPr>
              <w:t>NGO-90644</w:t>
            </w:r>
          </w:p>
        </w:tc>
      </w:tr>
    </w:tbl>
    <w:p w14:paraId="06CB156F" w14:textId="77777777" w:rsidR="008524D5" w:rsidRPr="00043B08" w:rsidRDefault="008524D5" w:rsidP="008524D5">
      <w:pPr>
        <w:pStyle w:val="COMParaDecision"/>
        <w:numPr>
          <w:ilvl w:val="0"/>
          <w:numId w:val="0"/>
        </w:numPr>
        <w:ind w:left="927"/>
      </w:pPr>
    </w:p>
    <w:sectPr w:rsidR="008524D5" w:rsidRPr="00043B08" w:rsidSect="00655736">
      <w:headerReference w:type="even" r:id="rId22"/>
      <w:headerReference w:type="default" r:id="rId23"/>
      <w:headerReference w:type="first" r:id="rId2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DB90" w14:textId="77777777" w:rsidR="00991246" w:rsidRDefault="00991246" w:rsidP="00655736">
      <w:r>
        <w:separator/>
      </w:r>
    </w:p>
  </w:endnote>
  <w:endnote w:type="continuationSeparator" w:id="0">
    <w:p w14:paraId="3DD23F00" w14:textId="77777777" w:rsidR="00991246" w:rsidRDefault="0099124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CED4" w14:textId="77777777" w:rsidR="00991246" w:rsidRDefault="00991246" w:rsidP="00655736">
      <w:r>
        <w:separator/>
      </w:r>
    </w:p>
  </w:footnote>
  <w:footnote w:type="continuationSeparator" w:id="0">
    <w:p w14:paraId="131930E8" w14:textId="77777777" w:rsidR="00991246" w:rsidRDefault="00991246" w:rsidP="00655736">
      <w:r>
        <w:continuationSeparator/>
      </w:r>
    </w:p>
  </w:footnote>
  <w:footnote w:id="1">
    <w:p w14:paraId="0372223B" w14:textId="3655C65C" w:rsidR="00327DA4" w:rsidRPr="00BE6893" w:rsidRDefault="00327DA4" w:rsidP="002471CD">
      <w:pPr>
        <w:pStyle w:val="FootnoteText"/>
        <w:spacing w:after="60"/>
        <w:ind w:left="567" w:hanging="567"/>
        <w:jc w:val="both"/>
        <w:rPr>
          <w:rFonts w:asciiTheme="minorBidi" w:hAnsiTheme="minorBidi" w:cstheme="minorBidi"/>
          <w:sz w:val="18"/>
          <w:szCs w:val="18"/>
          <w:lang w:val="en-GB"/>
        </w:rPr>
      </w:pPr>
      <w:r w:rsidRPr="00BE6893">
        <w:rPr>
          <w:rStyle w:val="FootnoteReference"/>
          <w:rFonts w:asciiTheme="minorBidi" w:hAnsiTheme="minorBidi" w:cstheme="minorBidi"/>
          <w:sz w:val="18"/>
          <w:szCs w:val="18"/>
          <w:vertAlign w:val="baseline"/>
        </w:rPr>
        <w:footnoteRef/>
      </w:r>
      <w:r w:rsidR="00235F3C" w:rsidRPr="00BE6893">
        <w:rPr>
          <w:rFonts w:asciiTheme="minorBidi" w:hAnsiTheme="minorBidi" w:cstheme="minorBidi"/>
          <w:sz w:val="18"/>
          <w:szCs w:val="18"/>
          <w:lang w:val="en-GB"/>
        </w:rPr>
        <w:t>.</w:t>
      </w:r>
      <w:r w:rsidR="00235F3C" w:rsidRPr="00BE6893">
        <w:rPr>
          <w:rFonts w:asciiTheme="minorBidi" w:hAnsiTheme="minorBidi" w:cstheme="minorBidi"/>
          <w:sz w:val="18"/>
          <w:szCs w:val="18"/>
          <w:lang w:val="en-GB"/>
        </w:rPr>
        <w:tab/>
      </w:r>
      <w:r w:rsidRPr="00BE6893">
        <w:rPr>
          <w:rFonts w:asciiTheme="minorBidi" w:hAnsiTheme="minorBidi" w:cstheme="minorBidi"/>
          <w:bCs/>
          <w:snapToGrid w:val="0"/>
          <w:sz w:val="18"/>
          <w:szCs w:val="18"/>
          <w:lang w:val="en-US" w:eastAsia="en-US"/>
        </w:rPr>
        <w:t xml:space="preserve">To date, the General Assembly accredited 358 organizations (97 by Resolution </w:t>
      </w:r>
      <w:hyperlink r:id="rId1" w:history="1">
        <w:r w:rsidRPr="00BE6893">
          <w:rPr>
            <w:rStyle w:val="Hyperlink"/>
            <w:rFonts w:asciiTheme="minorBidi" w:hAnsiTheme="minorBidi" w:cstheme="minorBidi"/>
            <w:bCs/>
            <w:sz w:val="18"/>
            <w:szCs w:val="18"/>
            <w:lang w:val="en-US"/>
          </w:rPr>
          <w:t>3.GA 7</w:t>
        </w:r>
      </w:hyperlink>
      <w:r w:rsidRPr="00BE6893">
        <w:rPr>
          <w:rFonts w:asciiTheme="minorBidi" w:hAnsiTheme="minorBidi" w:cstheme="minorBidi"/>
          <w:bCs/>
          <w:snapToGrid w:val="0"/>
          <w:sz w:val="18"/>
          <w:szCs w:val="18"/>
          <w:lang w:val="en-US" w:eastAsia="en-US"/>
        </w:rPr>
        <w:t xml:space="preserve">, 59 by </w:t>
      </w:r>
      <w:hyperlink r:id="rId2" w:history="1">
        <w:r w:rsidRPr="00BE6893">
          <w:rPr>
            <w:rFonts w:asciiTheme="minorBidi" w:hAnsiTheme="minorBidi" w:cstheme="minorBidi"/>
            <w:bCs/>
            <w:snapToGrid w:val="0"/>
            <w:sz w:val="18"/>
            <w:szCs w:val="18"/>
            <w:lang w:val="en-US" w:eastAsia="en-US"/>
          </w:rPr>
          <w:t xml:space="preserve">Resolution </w:t>
        </w:r>
        <w:r w:rsidRPr="00BE6893">
          <w:rPr>
            <w:rStyle w:val="Hyperlink"/>
            <w:rFonts w:asciiTheme="minorBidi" w:hAnsiTheme="minorBidi" w:cstheme="minorBidi"/>
            <w:bCs/>
            <w:sz w:val="18"/>
            <w:szCs w:val="18"/>
            <w:lang w:val="en-US"/>
          </w:rPr>
          <w:t>4.GA 6</w:t>
        </w:r>
      </w:hyperlink>
      <w:r w:rsidRPr="00BE6893">
        <w:rPr>
          <w:rFonts w:asciiTheme="minorBidi" w:hAnsiTheme="minorBidi" w:cstheme="minorBidi"/>
          <w:bCs/>
          <w:snapToGrid w:val="0"/>
          <w:sz w:val="18"/>
          <w:szCs w:val="18"/>
          <w:lang w:val="en-US" w:eastAsia="en-US"/>
        </w:rPr>
        <w:t>, 22 by Resolution</w:t>
      </w:r>
      <w:hyperlink r:id="rId3" w:history="1">
        <w:r w:rsidRPr="00BE6893">
          <w:rPr>
            <w:rStyle w:val="Hyperlink"/>
            <w:rFonts w:asciiTheme="minorBidi" w:hAnsiTheme="minorBidi" w:cstheme="minorBidi"/>
            <w:bCs/>
            <w:sz w:val="18"/>
            <w:szCs w:val="18"/>
            <w:lang w:val="en-US"/>
          </w:rPr>
          <w:t xml:space="preserve"> 5.GA 6</w:t>
        </w:r>
      </w:hyperlink>
      <w:r w:rsidRPr="00BE6893">
        <w:rPr>
          <w:rFonts w:asciiTheme="minorBidi" w:hAnsiTheme="minorBidi" w:cstheme="minorBidi"/>
          <w:bCs/>
          <w:snapToGrid w:val="0"/>
          <w:sz w:val="18"/>
          <w:szCs w:val="18"/>
          <w:lang w:val="en-US" w:eastAsia="en-US"/>
        </w:rPr>
        <w:t xml:space="preserve">, 24 by </w:t>
      </w:r>
      <w:hyperlink r:id="rId4" w:history="1">
        <w:r w:rsidRPr="00BE6893">
          <w:rPr>
            <w:rFonts w:asciiTheme="minorBidi" w:hAnsiTheme="minorBidi" w:cstheme="minorBidi"/>
            <w:bCs/>
            <w:snapToGrid w:val="0"/>
            <w:sz w:val="18"/>
            <w:szCs w:val="18"/>
            <w:lang w:val="en-US" w:eastAsia="en-US"/>
          </w:rPr>
          <w:t>Resolution</w:t>
        </w:r>
        <w:r w:rsidRPr="00BE6893">
          <w:rPr>
            <w:rFonts w:asciiTheme="minorBidi" w:hAnsiTheme="minorBidi" w:cstheme="minorBidi"/>
            <w:sz w:val="18"/>
            <w:szCs w:val="18"/>
            <w:lang w:val="en-US"/>
          </w:rPr>
          <w:t xml:space="preserve"> </w:t>
        </w:r>
        <w:r w:rsidRPr="00BE6893">
          <w:rPr>
            <w:rStyle w:val="Hyperlink"/>
            <w:rFonts w:asciiTheme="minorBidi" w:hAnsiTheme="minorBidi" w:cstheme="minorBidi"/>
            <w:bCs/>
            <w:sz w:val="18"/>
            <w:szCs w:val="18"/>
            <w:lang w:val="en-US"/>
          </w:rPr>
          <w:t>6.GA 8</w:t>
        </w:r>
      </w:hyperlink>
      <w:r w:rsidRPr="00BE6893">
        <w:rPr>
          <w:rFonts w:asciiTheme="minorBidi" w:hAnsiTheme="minorBidi" w:cstheme="minorBidi"/>
          <w:bCs/>
          <w:snapToGrid w:val="0"/>
          <w:sz w:val="18"/>
          <w:szCs w:val="18"/>
          <w:lang w:val="en-US" w:eastAsia="en-US"/>
        </w:rPr>
        <w:t>, 29 by</w:t>
      </w:r>
      <w:r w:rsidRPr="00BE6893">
        <w:rPr>
          <w:rFonts w:asciiTheme="minorBidi" w:hAnsiTheme="minorBidi" w:cstheme="minorBidi"/>
          <w:sz w:val="18"/>
          <w:szCs w:val="18"/>
          <w:lang w:val="en-US"/>
        </w:rPr>
        <w:t xml:space="preserve"> </w:t>
      </w:r>
      <w:r w:rsidRPr="00BE6893">
        <w:rPr>
          <w:rFonts w:asciiTheme="minorBidi" w:hAnsiTheme="minorBidi" w:cstheme="minorBidi"/>
          <w:bCs/>
          <w:snapToGrid w:val="0"/>
          <w:sz w:val="18"/>
          <w:szCs w:val="18"/>
          <w:lang w:val="en-US" w:eastAsia="en-US"/>
        </w:rPr>
        <w:t xml:space="preserve">Resolution </w:t>
      </w:r>
      <w:hyperlink r:id="rId5" w:history="1">
        <w:r w:rsidRPr="00BE6893">
          <w:rPr>
            <w:rStyle w:val="Hyperlink"/>
            <w:rFonts w:asciiTheme="minorBidi" w:hAnsiTheme="minorBidi" w:cstheme="minorBidi"/>
            <w:bCs/>
            <w:sz w:val="18"/>
            <w:szCs w:val="18"/>
            <w:lang w:val="en-US"/>
          </w:rPr>
          <w:t>7.GA 11</w:t>
        </w:r>
      </w:hyperlink>
      <w:r w:rsidRPr="00BE6893">
        <w:rPr>
          <w:rFonts w:asciiTheme="minorBidi" w:hAnsiTheme="minorBidi" w:cstheme="minorBidi"/>
          <w:bCs/>
          <w:snapToGrid w:val="0"/>
          <w:sz w:val="18"/>
          <w:szCs w:val="18"/>
          <w:lang w:val="en-US" w:eastAsia="en-US"/>
        </w:rPr>
        <w:t>, 36 by</w:t>
      </w:r>
      <w:r w:rsidRPr="00BE6893">
        <w:rPr>
          <w:rFonts w:asciiTheme="minorBidi" w:hAnsiTheme="minorBidi" w:cstheme="minorBidi"/>
          <w:sz w:val="18"/>
          <w:szCs w:val="18"/>
          <w:lang w:val="en-US"/>
        </w:rPr>
        <w:t xml:space="preserve"> </w:t>
      </w:r>
      <w:r w:rsidRPr="00BE6893">
        <w:rPr>
          <w:rFonts w:asciiTheme="minorBidi" w:hAnsiTheme="minorBidi" w:cstheme="minorBidi"/>
          <w:bCs/>
          <w:snapToGrid w:val="0"/>
          <w:sz w:val="18"/>
          <w:szCs w:val="18"/>
          <w:lang w:val="en-US" w:eastAsia="en-US"/>
        </w:rPr>
        <w:t xml:space="preserve">Resolution </w:t>
      </w:r>
      <w:hyperlink r:id="rId6" w:history="1">
        <w:r w:rsidRPr="00BE6893">
          <w:rPr>
            <w:rStyle w:val="Hyperlink"/>
            <w:rFonts w:asciiTheme="minorBidi" w:hAnsiTheme="minorBidi" w:cstheme="minorBidi"/>
            <w:bCs/>
            <w:snapToGrid w:val="0"/>
            <w:sz w:val="18"/>
            <w:szCs w:val="18"/>
            <w:lang w:val="en-US" w:eastAsia="en-US"/>
          </w:rPr>
          <w:t>8.GA 13</w:t>
        </w:r>
      </w:hyperlink>
      <w:r w:rsidRPr="00BE6893">
        <w:rPr>
          <w:rStyle w:val="Hyperlink"/>
          <w:rFonts w:asciiTheme="minorBidi" w:hAnsiTheme="minorBidi" w:cstheme="minorBidi"/>
          <w:bCs/>
          <w:snapToGrid w:val="0"/>
          <w:color w:val="auto"/>
          <w:sz w:val="18"/>
          <w:szCs w:val="18"/>
          <w:u w:val="none"/>
          <w:lang w:val="en-US" w:eastAsia="en-US"/>
        </w:rPr>
        <w:t>, 33 by Resolution</w:t>
      </w:r>
      <w:r w:rsidRPr="00BE6893">
        <w:rPr>
          <w:rStyle w:val="Hyperlink"/>
          <w:rFonts w:asciiTheme="minorBidi" w:hAnsiTheme="minorBidi" w:cstheme="minorBidi"/>
          <w:bCs/>
          <w:snapToGrid w:val="0"/>
          <w:color w:val="auto"/>
          <w:sz w:val="18"/>
          <w:szCs w:val="18"/>
          <w:lang w:val="en-US" w:eastAsia="en-US"/>
        </w:rPr>
        <w:t xml:space="preserve"> </w:t>
      </w:r>
      <w:hyperlink r:id="rId7" w:history="1">
        <w:r w:rsidRPr="00BE6893">
          <w:rPr>
            <w:rStyle w:val="Hyperlink"/>
            <w:rFonts w:asciiTheme="minorBidi" w:hAnsiTheme="minorBidi" w:cstheme="minorBidi"/>
            <w:bCs/>
            <w:snapToGrid w:val="0"/>
            <w:sz w:val="18"/>
            <w:szCs w:val="18"/>
            <w:lang w:val="en-US" w:eastAsia="en-US"/>
          </w:rPr>
          <w:t>9.GA 7</w:t>
        </w:r>
      </w:hyperlink>
      <w:r w:rsidRPr="00BE6893">
        <w:rPr>
          <w:rFonts w:asciiTheme="minorBidi" w:hAnsiTheme="minorBidi" w:cstheme="minorBidi"/>
          <w:sz w:val="18"/>
          <w:szCs w:val="18"/>
          <w:lang w:val="en-GB"/>
        </w:rPr>
        <w:t xml:space="preserve">, and 58 by </w:t>
      </w:r>
      <w:r w:rsidR="00F20866">
        <w:rPr>
          <w:rFonts w:asciiTheme="minorBidi" w:hAnsiTheme="minorBidi" w:cstheme="minorBidi"/>
          <w:sz w:val="18"/>
          <w:szCs w:val="18"/>
          <w:lang w:val="en-GB"/>
        </w:rPr>
        <w:t>R</w:t>
      </w:r>
      <w:r w:rsidRPr="00BE6893">
        <w:rPr>
          <w:rFonts w:asciiTheme="minorBidi" w:hAnsiTheme="minorBidi" w:cstheme="minorBidi"/>
          <w:sz w:val="18"/>
          <w:szCs w:val="18"/>
          <w:lang w:val="en-GB"/>
        </w:rPr>
        <w:t xml:space="preserve">esolution </w:t>
      </w:r>
      <w:hyperlink r:id="rId8" w:history="1">
        <w:r w:rsidRPr="00BE6893">
          <w:rPr>
            <w:rStyle w:val="Hyperlink"/>
            <w:rFonts w:asciiTheme="minorBidi" w:hAnsiTheme="minorBidi" w:cstheme="minorBidi"/>
            <w:sz w:val="18"/>
            <w:szCs w:val="18"/>
            <w:lang w:val="en-GB"/>
          </w:rPr>
          <w:t>10.GA 9</w:t>
        </w:r>
      </w:hyperlink>
      <w:r w:rsidRPr="00BE6893">
        <w:rPr>
          <w:rStyle w:val="Hyperlink"/>
          <w:rFonts w:asciiTheme="minorBidi" w:hAnsiTheme="minorBidi" w:cstheme="minorBidi"/>
          <w:bCs/>
          <w:snapToGrid w:val="0"/>
          <w:color w:val="auto"/>
          <w:sz w:val="18"/>
          <w:szCs w:val="18"/>
          <w:u w:val="none"/>
          <w:lang w:val="en-US" w:eastAsia="en-US"/>
        </w:rPr>
        <w:t>)</w:t>
      </w:r>
      <w:r w:rsidRPr="00BE6893">
        <w:rPr>
          <w:rFonts w:asciiTheme="minorBidi" w:hAnsiTheme="minorBidi" w:cstheme="minorBidi"/>
          <w:bCs/>
          <w:snapToGrid w:val="0"/>
          <w:sz w:val="18"/>
          <w:szCs w:val="18"/>
          <w:lang w:val="en-US" w:eastAsia="en-US"/>
        </w:rPr>
        <w:t>.</w:t>
      </w:r>
    </w:p>
  </w:footnote>
  <w:footnote w:id="2">
    <w:p w14:paraId="1546C6E2" w14:textId="15734F4E" w:rsidR="00F05F3E" w:rsidRPr="00BE6893" w:rsidRDefault="00F05F3E" w:rsidP="00BE6893">
      <w:pPr>
        <w:pStyle w:val="FootnoteText"/>
        <w:spacing w:after="60"/>
        <w:ind w:left="567" w:hanging="567"/>
        <w:jc w:val="both"/>
        <w:rPr>
          <w:rFonts w:asciiTheme="minorBidi" w:hAnsiTheme="minorBidi" w:cstheme="minorBidi"/>
          <w:sz w:val="18"/>
          <w:szCs w:val="18"/>
          <w:lang w:val="en-GB"/>
        </w:rPr>
      </w:pPr>
      <w:r w:rsidRPr="00BE6893">
        <w:rPr>
          <w:rStyle w:val="FootnoteReference"/>
          <w:rFonts w:asciiTheme="minorBidi" w:hAnsiTheme="minorBidi" w:cstheme="minorBidi"/>
          <w:sz w:val="18"/>
          <w:szCs w:val="18"/>
          <w:vertAlign w:val="baseline"/>
        </w:rPr>
        <w:footnoteRef/>
      </w:r>
      <w:r w:rsidR="00235F3C" w:rsidRPr="00BE6893">
        <w:rPr>
          <w:rFonts w:asciiTheme="minorBidi" w:hAnsiTheme="minorBidi" w:cstheme="minorBidi"/>
          <w:sz w:val="18"/>
          <w:szCs w:val="18"/>
          <w:lang w:val="en-GB"/>
        </w:rPr>
        <w:t>.</w:t>
      </w:r>
      <w:r w:rsidR="00235F3C" w:rsidRPr="00BE6893">
        <w:rPr>
          <w:rFonts w:asciiTheme="minorBidi" w:hAnsiTheme="minorBidi" w:cstheme="minorBidi"/>
          <w:sz w:val="18"/>
          <w:szCs w:val="18"/>
          <w:lang w:val="en-GB"/>
        </w:rPr>
        <w:tab/>
      </w:r>
      <w:r w:rsidRPr="00BE6893">
        <w:rPr>
          <w:rFonts w:asciiTheme="minorBidi" w:hAnsiTheme="minorBidi" w:cstheme="minorBidi"/>
          <w:bCs/>
          <w:snapToGrid w:val="0"/>
          <w:sz w:val="18"/>
          <w:szCs w:val="18"/>
          <w:lang w:val="en-US" w:eastAsia="en-US"/>
        </w:rPr>
        <w:t xml:space="preserve">At its tenth </w:t>
      </w:r>
      <w:bookmarkStart w:id="1" w:name="_Hlk159519092"/>
      <w:r w:rsidRPr="00BE6893">
        <w:rPr>
          <w:rFonts w:asciiTheme="minorBidi" w:hAnsiTheme="minorBidi" w:cstheme="minorBidi"/>
          <w:bCs/>
          <w:snapToGrid w:val="0"/>
          <w:sz w:val="18"/>
          <w:szCs w:val="18"/>
          <w:lang w:val="en-US" w:eastAsia="en-US"/>
        </w:rPr>
        <w:t xml:space="preserve">session in 2015, the Committee decided to continue relations with 59 NGOs and to terminate relations with 38 NGOs (Decision </w:t>
      </w:r>
      <w:hyperlink r:id="rId9" w:history="1">
        <w:r w:rsidRPr="00BE6893">
          <w:rPr>
            <w:rStyle w:val="Hyperlink"/>
            <w:rFonts w:asciiTheme="minorBidi" w:hAnsiTheme="minorBidi" w:cstheme="minorBidi"/>
            <w:bCs/>
            <w:snapToGrid w:val="0"/>
            <w:sz w:val="18"/>
            <w:szCs w:val="18"/>
            <w:lang w:val="en-US" w:eastAsia="en-US"/>
          </w:rPr>
          <w:t>10.COM 16</w:t>
        </w:r>
      </w:hyperlink>
      <w:r w:rsidRPr="00BE6893">
        <w:rPr>
          <w:rFonts w:asciiTheme="minorBidi" w:hAnsiTheme="minorBidi" w:cstheme="minorBidi"/>
          <w:bCs/>
          <w:snapToGrid w:val="0"/>
          <w:sz w:val="18"/>
          <w:szCs w:val="18"/>
          <w:lang w:val="en-US" w:eastAsia="en-US"/>
        </w:rPr>
        <w:t>),</w:t>
      </w:r>
      <w:bookmarkEnd w:id="1"/>
      <w:r w:rsidRPr="00BE6893">
        <w:rPr>
          <w:rFonts w:asciiTheme="minorBidi" w:hAnsiTheme="minorBidi" w:cstheme="minorBidi"/>
          <w:bCs/>
          <w:snapToGrid w:val="0"/>
          <w:sz w:val="18"/>
          <w:szCs w:val="18"/>
          <w:lang w:val="en-US" w:eastAsia="en-US"/>
        </w:rPr>
        <w:t xml:space="preserve"> all accredited by the third session of the General Assembly in 2010; at its twelfth session in 2017, the Committee decided to continue relations with 42 NGOs and to terminate relations with 17 NGOs (Decision </w:t>
      </w:r>
      <w:hyperlink r:id="rId10" w:history="1">
        <w:r w:rsidRPr="00BE6893">
          <w:rPr>
            <w:rStyle w:val="Hyperlink"/>
            <w:rFonts w:asciiTheme="minorBidi" w:hAnsiTheme="minorBidi" w:cstheme="minorBidi"/>
            <w:bCs/>
            <w:snapToGrid w:val="0"/>
            <w:sz w:val="18"/>
            <w:szCs w:val="18"/>
            <w:lang w:val="en-US" w:eastAsia="en-US"/>
          </w:rPr>
          <w:t>12.COM 17</w:t>
        </w:r>
      </w:hyperlink>
      <w:r w:rsidRPr="00BE6893">
        <w:rPr>
          <w:rFonts w:asciiTheme="minorBidi" w:hAnsiTheme="minorBidi" w:cstheme="minorBidi"/>
          <w:bCs/>
          <w:snapToGrid w:val="0"/>
          <w:sz w:val="18"/>
          <w:szCs w:val="18"/>
          <w:lang w:val="en-US" w:eastAsia="en-US"/>
        </w:rPr>
        <w:t xml:space="preserve">), all accredited by the fourth session of the General Assembly in 2012; at its fourteenth session in 2019, the Committee decided to continue relations with 62 accredited NGOs and to terminate relations with 19 NGOs (Decision </w:t>
      </w:r>
      <w:hyperlink r:id="rId11" w:history="1">
        <w:r w:rsidRPr="00BE6893">
          <w:rPr>
            <w:rStyle w:val="Hyperlink"/>
            <w:rFonts w:asciiTheme="minorBidi" w:hAnsiTheme="minorBidi" w:cstheme="minorBidi"/>
            <w:bCs/>
            <w:snapToGrid w:val="0"/>
            <w:sz w:val="18"/>
            <w:szCs w:val="18"/>
            <w:lang w:val="en-US" w:eastAsia="en-US"/>
          </w:rPr>
          <w:t>14.COM 17</w:t>
        </w:r>
      </w:hyperlink>
      <w:r w:rsidRPr="00BE6893">
        <w:rPr>
          <w:rFonts w:asciiTheme="minorBidi" w:hAnsiTheme="minorBidi" w:cstheme="minorBidi"/>
          <w:bCs/>
          <w:snapToGrid w:val="0"/>
          <w:sz w:val="18"/>
          <w:szCs w:val="18"/>
          <w:lang w:val="en-US" w:eastAsia="en-US"/>
        </w:rPr>
        <w:t xml:space="preserve">), all accredited by the fifth session of the General Assembly; at its sixteenth session in 2021, the Committee decided to continue relations with 57 accredited NGOs and to terminate relations with 9 NGOs (Decision </w:t>
      </w:r>
      <w:hyperlink r:id="rId12" w:history="1">
        <w:r w:rsidRPr="00BE6893">
          <w:rPr>
            <w:rStyle w:val="Hyperlink"/>
            <w:rFonts w:asciiTheme="minorBidi" w:hAnsiTheme="minorBidi" w:cstheme="minorBidi"/>
            <w:bCs/>
            <w:snapToGrid w:val="0"/>
            <w:sz w:val="18"/>
            <w:szCs w:val="18"/>
            <w:lang w:val="en-US" w:eastAsia="en-US"/>
          </w:rPr>
          <w:t>16.COM 15</w:t>
        </w:r>
      </w:hyperlink>
      <w:r w:rsidRPr="00BE6893">
        <w:rPr>
          <w:rFonts w:asciiTheme="minorBidi" w:hAnsiTheme="minorBidi" w:cstheme="minorBidi"/>
          <w:bCs/>
          <w:snapToGrid w:val="0"/>
          <w:sz w:val="18"/>
          <w:szCs w:val="18"/>
          <w:lang w:val="en-US" w:eastAsia="en-US"/>
        </w:rPr>
        <w:t>), all accredited by the sixth session of the General Assembly; at its eighteenth</w:t>
      </w:r>
      <w:r w:rsidRPr="00BE6893">
        <w:rPr>
          <w:rFonts w:asciiTheme="minorBidi" w:hAnsiTheme="minorBidi" w:cstheme="minorBidi"/>
          <w:b/>
          <w:snapToGrid w:val="0"/>
          <w:sz w:val="18"/>
          <w:szCs w:val="18"/>
          <w:lang w:val="en-US" w:eastAsia="en-US"/>
        </w:rPr>
        <w:t xml:space="preserve"> </w:t>
      </w:r>
      <w:r w:rsidRPr="00BE6893">
        <w:rPr>
          <w:rFonts w:asciiTheme="minorBidi" w:hAnsiTheme="minorBidi" w:cstheme="minorBidi"/>
          <w:bCs/>
          <w:snapToGrid w:val="0"/>
          <w:sz w:val="18"/>
          <w:szCs w:val="18"/>
          <w:lang w:val="en-US" w:eastAsia="en-US"/>
        </w:rPr>
        <w:t>session in 2023, the Committee decided to continue relations with 80 NGOs and to terminate relations with 11 NGOs (Decision </w:t>
      </w:r>
      <w:hyperlink r:id="rId13" w:history="1">
        <w:r w:rsidRPr="00BE6893">
          <w:rPr>
            <w:rStyle w:val="Hyperlink"/>
            <w:rFonts w:asciiTheme="minorBidi" w:hAnsiTheme="minorBidi" w:cstheme="minorBidi"/>
            <w:bCs/>
            <w:snapToGrid w:val="0"/>
            <w:sz w:val="18"/>
            <w:szCs w:val="18"/>
            <w:lang w:val="en-US" w:eastAsia="en-US"/>
          </w:rPr>
          <w:t>18.COM 16</w:t>
        </w:r>
      </w:hyperlink>
      <w:r w:rsidRPr="00BE6893">
        <w:rPr>
          <w:rFonts w:asciiTheme="minorBidi" w:hAnsiTheme="minorBidi" w:cstheme="minorBidi"/>
          <w:bCs/>
          <w:snapToGrid w:val="0"/>
          <w:sz w:val="18"/>
          <w:szCs w:val="18"/>
          <w:lang w:val="en-US" w:eastAsia="en-US"/>
        </w:rPr>
        <w:t>)</w:t>
      </w:r>
      <w:r w:rsidR="0005126D" w:rsidRPr="00BE6893">
        <w:rPr>
          <w:rFonts w:asciiTheme="minorBidi" w:hAnsiTheme="minorBidi" w:cstheme="minorBidi"/>
          <w:bCs/>
          <w:snapToGrid w:val="0"/>
          <w:sz w:val="18"/>
          <w:szCs w:val="18"/>
          <w:lang w:val="en-US" w:eastAsia="en-US"/>
        </w:rPr>
        <w:t xml:space="preserve">, and; </w:t>
      </w:r>
      <w:r w:rsidRPr="00BE6893">
        <w:rPr>
          <w:rFonts w:asciiTheme="minorBidi" w:hAnsiTheme="minorBidi" w:cstheme="minorBidi"/>
          <w:bCs/>
          <w:snapToGrid w:val="0"/>
          <w:sz w:val="18"/>
          <w:szCs w:val="18"/>
          <w:lang w:val="en-US" w:eastAsia="en-US"/>
        </w:rPr>
        <w:t xml:space="preserve">at its </w:t>
      </w:r>
      <w:r w:rsidR="0005126D" w:rsidRPr="00BE6893">
        <w:rPr>
          <w:rFonts w:asciiTheme="minorBidi" w:hAnsiTheme="minorBidi" w:cstheme="minorBidi"/>
          <w:bCs/>
          <w:snapToGrid w:val="0"/>
          <w:sz w:val="18"/>
          <w:szCs w:val="18"/>
          <w:lang w:val="en-US" w:eastAsia="en-US"/>
        </w:rPr>
        <w:t>twentieth</w:t>
      </w:r>
      <w:r w:rsidRPr="00BE6893">
        <w:rPr>
          <w:rFonts w:asciiTheme="minorBidi" w:hAnsiTheme="minorBidi" w:cstheme="minorBidi"/>
          <w:b/>
          <w:snapToGrid w:val="0"/>
          <w:sz w:val="18"/>
          <w:szCs w:val="18"/>
          <w:lang w:val="en-US" w:eastAsia="en-US"/>
        </w:rPr>
        <w:t xml:space="preserve"> </w:t>
      </w:r>
      <w:r w:rsidRPr="00BE6893">
        <w:rPr>
          <w:rFonts w:asciiTheme="minorBidi" w:hAnsiTheme="minorBidi" w:cstheme="minorBidi"/>
          <w:bCs/>
          <w:snapToGrid w:val="0"/>
          <w:sz w:val="18"/>
          <w:szCs w:val="18"/>
          <w:lang w:val="en-US" w:eastAsia="en-US"/>
        </w:rPr>
        <w:t>session in 202</w:t>
      </w:r>
      <w:r w:rsidR="0005126D" w:rsidRPr="00BE6893">
        <w:rPr>
          <w:rFonts w:asciiTheme="minorBidi" w:hAnsiTheme="minorBidi" w:cstheme="minorBidi"/>
          <w:bCs/>
          <w:snapToGrid w:val="0"/>
          <w:sz w:val="18"/>
          <w:szCs w:val="18"/>
          <w:lang w:val="en-US" w:eastAsia="en-US"/>
        </w:rPr>
        <w:t>5</w:t>
      </w:r>
      <w:r w:rsidRPr="00BE6893">
        <w:rPr>
          <w:rFonts w:asciiTheme="minorBidi" w:hAnsiTheme="minorBidi" w:cstheme="minorBidi"/>
          <w:bCs/>
          <w:snapToGrid w:val="0"/>
          <w:sz w:val="18"/>
          <w:szCs w:val="18"/>
          <w:lang w:val="en-US" w:eastAsia="en-US"/>
        </w:rPr>
        <w:t>, the Committee decided to continue relations with 8</w:t>
      </w:r>
      <w:r w:rsidR="0005126D" w:rsidRPr="00BE6893">
        <w:rPr>
          <w:rFonts w:asciiTheme="minorBidi" w:hAnsiTheme="minorBidi" w:cstheme="minorBidi"/>
          <w:bCs/>
          <w:snapToGrid w:val="0"/>
          <w:sz w:val="18"/>
          <w:szCs w:val="18"/>
          <w:lang w:val="en-US" w:eastAsia="en-US"/>
        </w:rPr>
        <w:t>7</w:t>
      </w:r>
      <w:r w:rsidRPr="00BE6893">
        <w:rPr>
          <w:rFonts w:asciiTheme="minorBidi" w:hAnsiTheme="minorBidi" w:cstheme="minorBidi"/>
          <w:bCs/>
          <w:snapToGrid w:val="0"/>
          <w:sz w:val="18"/>
          <w:szCs w:val="18"/>
          <w:lang w:val="en-US" w:eastAsia="en-US"/>
        </w:rPr>
        <w:t xml:space="preserve"> NGOs and to terminate relations with </w:t>
      </w:r>
      <w:r w:rsidR="0005126D" w:rsidRPr="00BE6893">
        <w:rPr>
          <w:rFonts w:asciiTheme="minorBidi" w:hAnsiTheme="minorBidi" w:cstheme="minorBidi"/>
          <w:bCs/>
          <w:snapToGrid w:val="0"/>
          <w:sz w:val="18"/>
          <w:szCs w:val="18"/>
          <w:lang w:val="en-US" w:eastAsia="en-US"/>
        </w:rPr>
        <w:t>6</w:t>
      </w:r>
      <w:r w:rsidRPr="00BE6893">
        <w:rPr>
          <w:rFonts w:asciiTheme="minorBidi" w:hAnsiTheme="minorBidi" w:cstheme="minorBidi"/>
          <w:bCs/>
          <w:snapToGrid w:val="0"/>
          <w:sz w:val="18"/>
          <w:szCs w:val="18"/>
          <w:lang w:val="en-US" w:eastAsia="en-US"/>
        </w:rPr>
        <w:t xml:space="preserve"> NGOs (Decision </w:t>
      </w:r>
      <w:hyperlink r:id="rId14" w:history="1">
        <w:r w:rsidR="0005126D" w:rsidRPr="00BE6893">
          <w:rPr>
            <w:rStyle w:val="Hyperlink"/>
            <w:rFonts w:asciiTheme="minorBidi" w:hAnsiTheme="minorBidi" w:cstheme="minorBidi"/>
            <w:bCs/>
            <w:snapToGrid w:val="0"/>
            <w:sz w:val="18"/>
            <w:szCs w:val="18"/>
            <w:lang w:val="en-US" w:eastAsia="en-US"/>
          </w:rPr>
          <w:t>20</w:t>
        </w:r>
        <w:r w:rsidRPr="00BE6893">
          <w:rPr>
            <w:rStyle w:val="Hyperlink"/>
            <w:rFonts w:asciiTheme="minorBidi" w:hAnsiTheme="minorBidi" w:cstheme="minorBidi"/>
            <w:bCs/>
            <w:snapToGrid w:val="0"/>
            <w:sz w:val="18"/>
            <w:szCs w:val="18"/>
            <w:lang w:val="en-US" w:eastAsia="en-US"/>
          </w:rPr>
          <w:t>.COM 16</w:t>
        </w:r>
      </w:hyperlink>
      <w:r w:rsidRPr="00BE6893">
        <w:rPr>
          <w:rFonts w:asciiTheme="minorBidi" w:hAnsiTheme="minorBidi" w:cstheme="minorBidi"/>
          <w:bCs/>
          <w:snapToGrid w:val="0"/>
          <w:sz w:val="18"/>
          <w:szCs w:val="18"/>
          <w:lang w:val="en-US" w:eastAsia="en-US"/>
        </w:rPr>
        <w:t>)</w:t>
      </w:r>
      <w:r w:rsidR="0005126D" w:rsidRPr="00BE6893">
        <w:rPr>
          <w:rFonts w:asciiTheme="minorBidi" w:hAnsiTheme="minorBidi" w:cstheme="minorBidi"/>
          <w:bCs/>
          <w:snapToGrid w:val="0"/>
          <w:sz w:val="18"/>
          <w:szCs w:val="18"/>
          <w:lang w:val="en-US" w:eastAsia="en-US"/>
        </w:rPr>
        <w:t>.</w:t>
      </w:r>
    </w:p>
  </w:footnote>
  <w:footnote w:id="3">
    <w:p w14:paraId="7FC8F7E2" w14:textId="57232B88" w:rsidR="002471CD" w:rsidRPr="00BE6893" w:rsidRDefault="002471CD" w:rsidP="00BE6893">
      <w:pPr>
        <w:pStyle w:val="FootnoteText"/>
        <w:spacing w:after="60"/>
        <w:ind w:left="567" w:hanging="567"/>
        <w:jc w:val="both"/>
        <w:rPr>
          <w:rFonts w:asciiTheme="minorBidi" w:hAnsiTheme="minorBidi" w:cstheme="minorBidi"/>
          <w:sz w:val="18"/>
          <w:szCs w:val="18"/>
          <w:lang w:val="en-GB"/>
        </w:rPr>
      </w:pPr>
      <w:r w:rsidRPr="00BE6893">
        <w:rPr>
          <w:rStyle w:val="FootnoteReference"/>
          <w:rFonts w:asciiTheme="minorBidi" w:hAnsiTheme="minorBidi" w:cstheme="minorBidi"/>
          <w:sz w:val="18"/>
          <w:szCs w:val="18"/>
          <w:vertAlign w:val="baseline"/>
        </w:rPr>
        <w:footnoteRef/>
      </w:r>
      <w:r w:rsidRPr="00BE6893">
        <w:rPr>
          <w:rFonts w:asciiTheme="minorBidi" w:hAnsiTheme="minorBidi" w:cstheme="minorBidi"/>
          <w:sz w:val="18"/>
          <w:szCs w:val="18"/>
          <w:lang w:val="en-GB"/>
        </w:rPr>
        <w:t>.</w:t>
      </w:r>
      <w:r w:rsidRPr="00BE6893">
        <w:rPr>
          <w:rFonts w:asciiTheme="minorBidi" w:hAnsiTheme="minorBidi" w:cstheme="minorBidi"/>
          <w:sz w:val="18"/>
          <w:szCs w:val="18"/>
          <w:lang w:val="en-GB"/>
        </w:rPr>
        <w:tab/>
        <w:t xml:space="preserve">This includes </w:t>
      </w:r>
      <w:r w:rsidRPr="00BE6893">
        <w:rPr>
          <w:rFonts w:asciiTheme="minorBidi" w:hAnsiTheme="minorBidi" w:cstheme="minorBidi"/>
          <w:bCs/>
          <w:snapToGrid w:val="0"/>
          <w:sz w:val="18"/>
          <w:szCs w:val="18"/>
          <w:lang w:val="en-US" w:eastAsia="en-US"/>
        </w:rPr>
        <w:t xml:space="preserve">two organizations </w:t>
      </w:r>
      <w:r w:rsidR="00E711DB">
        <w:rPr>
          <w:rFonts w:asciiTheme="minorBidi" w:hAnsiTheme="minorBidi" w:cstheme="minorBidi"/>
          <w:bCs/>
          <w:snapToGrid w:val="0"/>
          <w:sz w:val="18"/>
          <w:szCs w:val="18"/>
          <w:lang w:val="en-US" w:eastAsia="en-US"/>
        </w:rPr>
        <w:t>which</w:t>
      </w:r>
      <w:r w:rsidR="00E711DB" w:rsidRPr="00BE6893">
        <w:rPr>
          <w:rFonts w:asciiTheme="minorBidi" w:hAnsiTheme="minorBidi" w:cstheme="minorBidi"/>
          <w:bCs/>
          <w:snapToGrid w:val="0"/>
          <w:sz w:val="18"/>
          <w:szCs w:val="18"/>
          <w:lang w:val="en-US" w:eastAsia="en-US"/>
        </w:rPr>
        <w:t xml:space="preserve"> </w:t>
      </w:r>
      <w:r w:rsidR="00957A47">
        <w:rPr>
          <w:rFonts w:asciiTheme="minorBidi" w:hAnsiTheme="minorBidi" w:cstheme="minorBidi"/>
          <w:bCs/>
          <w:snapToGrid w:val="0"/>
          <w:sz w:val="18"/>
          <w:szCs w:val="18"/>
          <w:lang w:val="en-US" w:eastAsia="en-US"/>
        </w:rPr>
        <w:t xml:space="preserve">are </w:t>
      </w:r>
      <w:r w:rsidR="006240B0">
        <w:rPr>
          <w:rFonts w:asciiTheme="minorBidi" w:hAnsiTheme="minorBidi" w:cstheme="minorBidi"/>
          <w:bCs/>
          <w:snapToGrid w:val="0"/>
          <w:sz w:val="18"/>
          <w:szCs w:val="18"/>
          <w:lang w:val="en-US" w:eastAsia="en-US"/>
        </w:rPr>
        <w:t xml:space="preserve">currently based in countries belonging to Electoral Group I but whose </w:t>
      </w:r>
      <w:r w:rsidRPr="00BE6893">
        <w:rPr>
          <w:rFonts w:asciiTheme="minorBidi" w:hAnsiTheme="minorBidi" w:cstheme="minorBidi"/>
          <w:bCs/>
          <w:snapToGrid w:val="0"/>
          <w:sz w:val="18"/>
          <w:szCs w:val="18"/>
          <w:lang w:val="en-US" w:eastAsia="en-US"/>
        </w:rPr>
        <w:t xml:space="preserve">headquarters are relocated to a different country on a rotational basis (see document </w:t>
      </w:r>
      <w:hyperlink r:id="rId15" w:history="1">
        <w:r w:rsidRPr="00BE6893">
          <w:rPr>
            <w:rStyle w:val="Hyperlink"/>
            <w:rFonts w:asciiTheme="minorBidi" w:hAnsiTheme="minorBidi" w:cstheme="minorBidi"/>
            <w:bCs/>
            <w:snapToGrid w:val="0"/>
            <w:sz w:val="18"/>
            <w:szCs w:val="18"/>
            <w:lang w:val="en-US" w:eastAsia="en-US"/>
          </w:rPr>
          <w:t>LHE/25/20.COM/16 Rev.</w:t>
        </w:r>
      </w:hyperlink>
      <w:r w:rsidRPr="00BE6893">
        <w:rPr>
          <w:rFonts w:asciiTheme="minorBidi" w:hAnsiTheme="minorBidi" w:cstheme="minorBidi"/>
          <w:bCs/>
          <w:snapToGrid w:val="0"/>
          <w:sz w:val="18"/>
          <w:szCs w:val="18"/>
          <w:lang w:val="en-US" w:eastAsia="en-US"/>
        </w:rPr>
        <w:t>)</w:t>
      </w:r>
      <w:r w:rsidR="006240B0">
        <w:rPr>
          <w:rFonts w:asciiTheme="minorBidi" w:hAnsiTheme="minorBidi" w:cstheme="minorBidi"/>
          <w:bCs/>
          <w:snapToGrid w:val="0"/>
          <w:sz w:val="18"/>
          <w:szCs w:val="18"/>
          <w:lang w:val="en-US" w:eastAsia="en-US"/>
        </w:rPr>
        <w:t>.</w:t>
      </w:r>
      <w:r w:rsidRPr="00BE6893">
        <w:rPr>
          <w:rFonts w:asciiTheme="minorBidi" w:hAnsiTheme="minorBidi" w:cstheme="minorBidi"/>
          <w:bCs/>
          <w:snapToGrid w:val="0"/>
          <w:sz w:val="18"/>
          <w:szCs w:val="18"/>
          <w:lang w:val="en-US"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13748CF"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327DA4">
      <w:rPr>
        <w:rFonts w:ascii="Arial" w:hAnsi="Arial" w:cs="Arial"/>
        <w:sz w:val="20"/>
        <w:szCs w:val="20"/>
        <w:lang w:val="en-GB"/>
      </w:rPr>
      <w:t>9</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7C3BA34"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327DA4">
      <w:rPr>
        <w:rFonts w:ascii="Arial" w:hAnsi="Arial" w:cs="Arial"/>
        <w:sz w:val="20"/>
        <w:szCs w:val="20"/>
        <w:lang w:val="en-GB"/>
      </w:rPr>
      <w:t>9</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21140541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71D1F64E"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CE4F05">
      <w:rPr>
        <w:rFonts w:ascii="Arial" w:hAnsi="Arial" w:cs="Arial"/>
        <w:b/>
        <w:sz w:val="22"/>
        <w:szCs w:val="22"/>
        <w:lang w:val="pt-PT"/>
      </w:rPr>
      <w:t>9</w:t>
    </w:r>
  </w:p>
  <w:p w14:paraId="1B4446C3" w14:textId="6C7AD1A8"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CE4F05">
      <w:rPr>
        <w:rFonts w:ascii="Arial" w:hAnsi="Arial" w:cs="Arial"/>
        <w:b/>
        <w:sz w:val="22"/>
        <w:szCs w:val="22"/>
        <w:lang w:val="pt-PT"/>
      </w:rPr>
      <w:t>18 May</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6085B">
      <w:rPr>
        <w:rFonts w:ascii="Arial" w:hAnsi="Arial" w:cs="Arial"/>
        <w:b/>
        <w:sz w:val="22"/>
        <w:szCs w:val="22"/>
        <w:lang w:val="pt-PT"/>
      </w:rPr>
      <w:t>6</w:t>
    </w:r>
  </w:p>
  <w:p w14:paraId="255B57FF" w14:textId="24A68A51"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CE4F05">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76F"/>
    <w:multiLevelType w:val="hybridMultilevel"/>
    <w:tmpl w:val="695ED68C"/>
    <w:lvl w:ilvl="0" w:tplc="5582BC92">
      <w:start w:val="1"/>
      <w:numFmt w:val="decimal"/>
      <w:lvlText w:val="%1."/>
      <w:lvlJc w:val="left"/>
      <w:pPr>
        <w:ind w:left="570" w:hanging="570"/>
      </w:pPr>
      <w:rPr>
        <w:rFonts w:ascii="Arial" w:eastAsia="Times New Roman" w:hAnsi="Arial" w:cs="Arial"/>
        <w:b w:val="0"/>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4C8ADD7E"/>
    <w:lvl w:ilvl="0" w:tplc="E0EC55BE">
      <w:start w:val="1"/>
      <w:numFmt w:val="upperLetter"/>
      <w:lvlText w:val="%1."/>
      <w:lvlJc w:val="left"/>
      <w:pPr>
        <w:ind w:left="502" w:hanging="360"/>
      </w:pPr>
      <w:rPr>
        <w:b/>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5C75A5E"/>
    <w:multiLevelType w:val="hybridMultilevel"/>
    <w:tmpl w:val="9DB803E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2"/>
  </w:num>
  <w:num w:numId="2" w16cid:durableId="699629408">
    <w:abstractNumId w:val="7"/>
  </w:num>
  <w:num w:numId="3" w16cid:durableId="164177712">
    <w:abstractNumId w:val="3"/>
  </w:num>
  <w:num w:numId="4" w16cid:durableId="1416590798">
    <w:abstractNumId w:val="15"/>
  </w:num>
  <w:num w:numId="5" w16cid:durableId="1762608160">
    <w:abstractNumId w:val="14"/>
  </w:num>
  <w:num w:numId="6" w16cid:durableId="2146270374">
    <w:abstractNumId w:val="1"/>
  </w:num>
  <w:num w:numId="7" w16cid:durableId="1113592211">
    <w:abstractNumId w:val="4"/>
  </w:num>
  <w:num w:numId="8" w16cid:durableId="1920598164">
    <w:abstractNumId w:val="11"/>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6"/>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2"/>
  </w:num>
  <w:num w:numId="22" w16cid:durableId="2046514942">
    <w:abstractNumId w:val="6"/>
  </w:num>
  <w:num w:numId="23" w16cid:durableId="2049720743">
    <w:abstractNumId w:val="0"/>
  </w:num>
  <w:num w:numId="24" w16cid:durableId="318466877">
    <w:abstractNumId w:val="13"/>
  </w:num>
  <w:num w:numId="25" w16cid:durableId="1875733846">
    <w:abstractNumId w:val="6"/>
  </w:num>
  <w:num w:numId="26" w16cid:durableId="721712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06B9"/>
    <w:rsid w:val="00014915"/>
    <w:rsid w:val="00041A66"/>
    <w:rsid w:val="00042D88"/>
    <w:rsid w:val="00043B08"/>
    <w:rsid w:val="0005126D"/>
    <w:rsid w:val="0005176E"/>
    <w:rsid w:val="000765F7"/>
    <w:rsid w:val="0007725F"/>
    <w:rsid w:val="00077AB7"/>
    <w:rsid w:val="000819FD"/>
    <w:rsid w:val="00081CD8"/>
    <w:rsid w:val="000A7F0E"/>
    <w:rsid w:val="000B1C8F"/>
    <w:rsid w:val="000C0D61"/>
    <w:rsid w:val="000E7C29"/>
    <w:rsid w:val="000F3A3F"/>
    <w:rsid w:val="00102557"/>
    <w:rsid w:val="001278F8"/>
    <w:rsid w:val="00147A38"/>
    <w:rsid w:val="001607BF"/>
    <w:rsid w:val="00164D56"/>
    <w:rsid w:val="001671AF"/>
    <w:rsid w:val="00167B10"/>
    <w:rsid w:val="0017402F"/>
    <w:rsid w:val="001767A8"/>
    <w:rsid w:val="00182F9D"/>
    <w:rsid w:val="00190205"/>
    <w:rsid w:val="001918D1"/>
    <w:rsid w:val="00196C1B"/>
    <w:rsid w:val="001A6C99"/>
    <w:rsid w:val="001B0F73"/>
    <w:rsid w:val="001C2DB7"/>
    <w:rsid w:val="001D14FE"/>
    <w:rsid w:val="001D5C04"/>
    <w:rsid w:val="001F26CF"/>
    <w:rsid w:val="001F3AAC"/>
    <w:rsid w:val="00222A2D"/>
    <w:rsid w:val="00223029"/>
    <w:rsid w:val="00234745"/>
    <w:rsid w:val="002351A6"/>
    <w:rsid w:val="00235F3C"/>
    <w:rsid w:val="002407AF"/>
    <w:rsid w:val="00245501"/>
    <w:rsid w:val="002471CD"/>
    <w:rsid w:val="00254B26"/>
    <w:rsid w:val="0026085B"/>
    <w:rsid w:val="0026221A"/>
    <w:rsid w:val="0027466B"/>
    <w:rsid w:val="002814F6"/>
    <w:rsid w:val="002838A5"/>
    <w:rsid w:val="00285BB4"/>
    <w:rsid w:val="002950AB"/>
    <w:rsid w:val="002A1481"/>
    <w:rsid w:val="002A7A0F"/>
    <w:rsid w:val="002C09E3"/>
    <w:rsid w:val="002C2647"/>
    <w:rsid w:val="002C6A2C"/>
    <w:rsid w:val="002D06C8"/>
    <w:rsid w:val="002D1244"/>
    <w:rsid w:val="002E3493"/>
    <w:rsid w:val="00327DA4"/>
    <w:rsid w:val="00331AF5"/>
    <w:rsid w:val="00332E92"/>
    <w:rsid w:val="00334348"/>
    <w:rsid w:val="00337CEB"/>
    <w:rsid w:val="003419AF"/>
    <w:rsid w:val="003449CC"/>
    <w:rsid w:val="00344B58"/>
    <w:rsid w:val="0034539A"/>
    <w:rsid w:val="00345CB4"/>
    <w:rsid w:val="00375D42"/>
    <w:rsid w:val="003A70AB"/>
    <w:rsid w:val="003C6FF7"/>
    <w:rsid w:val="003D069C"/>
    <w:rsid w:val="003D7646"/>
    <w:rsid w:val="003F113A"/>
    <w:rsid w:val="003F3E63"/>
    <w:rsid w:val="00407480"/>
    <w:rsid w:val="00414643"/>
    <w:rsid w:val="00425D69"/>
    <w:rsid w:val="004306C2"/>
    <w:rsid w:val="004313C4"/>
    <w:rsid w:val="004421E5"/>
    <w:rsid w:val="00452284"/>
    <w:rsid w:val="00457C8E"/>
    <w:rsid w:val="00480175"/>
    <w:rsid w:val="004856CA"/>
    <w:rsid w:val="00487E67"/>
    <w:rsid w:val="004906B7"/>
    <w:rsid w:val="0049705E"/>
    <w:rsid w:val="004A2875"/>
    <w:rsid w:val="004A34A0"/>
    <w:rsid w:val="004C7C82"/>
    <w:rsid w:val="004D321F"/>
    <w:rsid w:val="005008A8"/>
    <w:rsid w:val="00517FD8"/>
    <w:rsid w:val="00526B7B"/>
    <w:rsid w:val="005274D2"/>
    <w:rsid w:val="005308CE"/>
    <w:rsid w:val="0053318C"/>
    <w:rsid w:val="00544C93"/>
    <w:rsid w:val="0054535F"/>
    <w:rsid w:val="00555102"/>
    <w:rsid w:val="0057439C"/>
    <w:rsid w:val="00576758"/>
    <w:rsid w:val="005960FA"/>
    <w:rsid w:val="005A6ADB"/>
    <w:rsid w:val="005B0127"/>
    <w:rsid w:val="005B7A35"/>
    <w:rsid w:val="005C4B73"/>
    <w:rsid w:val="005C58A4"/>
    <w:rsid w:val="005C792B"/>
    <w:rsid w:val="005D7740"/>
    <w:rsid w:val="005E1D2B"/>
    <w:rsid w:val="005E7074"/>
    <w:rsid w:val="005F2BAF"/>
    <w:rsid w:val="00600D93"/>
    <w:rsid w:val="00621720"/>
    <w:rsid w:val="006240B0"/>
    <w:rsid w:val="00626BEA"/>
    <w:rsid w:val="0063300C"/>
    <w:rsid w:val="00651A5B"/>
    <w:rsid w:val="00655736"/>
    <w:rsid w:val="00663B8D"/>
    <w:rsid w:val="00694C90"/>
    <w:rsid w:val="00696C8D"/>
    <w:rsid w:val="006A2AC2"/>
    <w:rsid w:val="006A3617"/>
    <w:rsid w:val="006A7535"/>
    <w:rsid w:val="006B4452"/>
    <w:rsid w:val="006E46E4"/>
    <w:rsid w:val="006E75EB"/>
    <w:rsid w:val="0071299B"/>
    <w:rsid w:val="00717DA5"/>
    <w:rsid w:val="007278E3"/>
    <w:rsid w:val="007333D0"/>
    <w:rsid w:val="00744484"/>
    <w:rsid w:val="00747566"/>
    <w:rsid w:val="00773188"/>
    <w:rsid w:val="00783782"/>
    <w:rsid w:val="00784B8C"/>
    <w:rsid w:val="007879E1"/>
    <w:rsid w:val="007976C4"/>
    <w:rsid w:val="007A5A3C"/>
    <w:rsid w:val="007C50A1"/>
    <w:rsid w:val="007E57AA"/>
    <w:rsid w:val="00823A11"/>
    <w:rsid w:val="00826C84"/>
    <w:rsid w:val="008524D5"/>
    <w:rsid w:val="008531E7"/>
    <w:rsid w:val="0085405E"/>
    <w:rsid w:val="0085414A"/>
    <w:rsid w:val="008577DE"/>
    <w:rsid w:val="00857EB9"/>
    <w:rsid w:val="0086269D"/>
    <w:rsid w:val="0086543A"/>
    <w:rsid w:val="008724E5"/>
    <w:rsid w:val="008765C9"/>
    <w:rsid w:val="008767AE"/>
    <w:rsid w:val="00884A9D"/>
    <w:rsid w:val="0088512B"/>
    <w:rsid w:val="008A2B2D"/>
    <w:rsid w:val="008A4E1E"/>
    <w:rsid w:val="008A6458"/>
    <w:rsid w:val="008C296C"/>
    <w:rsid w:val="008D3766"/>
    <w:rsid w:val="008D4305"/>
    <w:rsid w:val="008E1A85"/>
    <w:rsid w:val="008E344F"/>
    <w:rsid w:val="009163A7"/>
    <w:rsid w:val="00916992"/>
    <w:rsid w:val="00930EF2"/>
    <w:rsid w:val="00937D53"/>
    <w:rsid w:val="00946D0B"/>
    <w:rsid w:val="00955877"/>
    <w:rsid w:val="00957A47"/>
    <w:rsid w:val="00962034"/>
    <w:rsid w:val="00981850"/>
    <w:rsid w:val="00991246"/>
    <w:rsid w:val="009A18CD"/>
    <w:rsid w:val="009C7242"/>
    <w:rsid w:val="009D5428"/>
    <w:rsid w:val="00A0048C"/>
    <w:rsid w:val="00A12558"/>
    <w:rsid w:val="00A13903"/>
    <w:rsid w:val="00A3256B"/>
    <w:rsid w:val="00A34ED5"/>
    <w:rsid w:val="00A45DBF"/>
    <w:rsid w:val="00A46670"/>
    <w:rsid w:val="00A725CF"/>
    <w:rsid w:val="00A755A2"/>
    <w:rsid w:val="00A83DF5"/>
    <w:rsid w:val="00A91430"/>
    <w:rsid w:val="00AA2089"/>
    <w:rsid w:val="00AA590D"/>
    <w:rsid w:val="00AA6660"/>
    <w:rsid w:val="00AA7F8A"/>
    <w:rsid w:val="00AB2C36"/>
    <w:rsid w:val="00AB3F36"/>
    <w:rsid w:val="00AB6DDE"/>
    <w:rsid w:val="00AB70B6"/>
    <w:rsid w:val="00AC0171"/>
    <w:rsid w:val="00AC18C1"/>
    <w:rsid w:val="00AD1A86"/>
    <w:rsid w:val="00AD5C46"/>
    <w:rsid w:val="00AE103E"/>
    <w:rsid w:val="00AE2B32"/>
    <w:rsid w:val="00AF0A07"/>
    <w:rsid w:val="00AF4AEC"/>
    <w:rsid w:val="00AF625E"/>
    <w:rsid w:val="00B03046"/>
    <w:rsid w:val="00B139BE"/>
    <w:rsid w:val="00B15216"/>
    <w:rsid w:val="00B2172B"/>
    <w:rsid w:val="00B34428"/>
    <w:rsid w:val="00B40113"/>
    <w:rsid w:val="00B917D2"/>
    <w:rsid w:val="00B97EB3"/>
    <w:rsid w:val="00BA241A"/>
    <w:rsid w:val="00BB04AF"/>
    <w:rsid w:val="00BB6EEC"/>
    <w:rsid w:val="00BB6FBC"/>
    <w:rsid w:val="00BC2CF0"/>
    <w:rsid w:val="00BC4B4D"/>
    <w:rsid w:val="00BD52C9"/>
    <w:rsid w:val="00BE6354"/>
    <w:rsid w:val="00BE6893"/>
    <w:rsid w:val="00BE6E70"/>
    <w:rsid w:val="00C06C5B"/>
    <w:rsid w:val="00C138D1"/>
    <w:rsid w:val="00C23A97"/>
    <w:rsid w:val="00C52EBE"/>
    <w:rsid w:val="00C5776D"/>
    <w:rsid w:val="00C64855"/>
    <w:rsid w:val="00C70EA7"/>
    <w:rsid w:val="00C7433F"/>
    <w:rsid w:val="00C7516E"/>
    <w:rsid w:val="00C75770"/>
    <w:rsid w:val="00CA56BB"/>
    <w:rsid w:val="00CB0542"/>
    <w:rsid w:val="00CB12B6"/>
    <w:rsid w:val="00CE4F05"/>
    <w:rsid w:val="00CF750D"/>
    <w:rsid w:val="00D00B2B"/>
    <w:rsid w:val="00D24877"/>
    <w:rsid w:val="00D63318"/>
    <w:rsid w:val="00D7105A"/>
    <w:rsid w:val="00D8250F"/>
    <w:rsid w:val="00D86BB3"/>
    <w:rsid w:val="00D95C4C"/>
    <w:rsid w:val="00D968EC"/>
    <w:rsid w:val="00DA36ED"/>
    <w:rsid w:val="00DC1F6A"/>
    <w:rsid w:val="00DC49CB"/>
    <w:rsid w:val="00DD2741"/>
    <w:rsid w:val="00DE34F1"/>
    <w:rsid w:val="00DE6160"/>
    <w:rsid w:val="00DF4942"/>
    <w:rsid w:val="00E2125F"/>
    <w:rsid w:val="00E244E1"/>
    <w:rsid w:val="00E34F94"/>
    <w:rsid w:val="00E4150C"/>
    <w:rsid w:val="00E57355"/>
    <w:rsid w:val="00E627B1"/>
    <w:rsid w:val="00E70169"/>
    <w:rsid w:val="00E711DB"/>
    <w:rsid w:val="00E9376C"/>
    <w:rsid w:val="00E95AE2"/>
    <w:rsid w:val="00EA335E"/>
    <w:rsid w:val="00EA528C"/>
    <w:rsid w:val="00EA580C"/>
    <w:rsid w:val="00EB08E5"/>
    <w:rsid w:val="00EC6F8D"/>
    <w:rsid w:val="00ED39B2"/>
    <w:rsid w:val="00EE49F4"/>
    <w:rsid w:val="00EE721A"/>
    <w:rsid w:val="00EF34E2"/>
    <w:rsid w:val="00EF62BD"/>
    <w:rsid w:val="00F05F3E"/>
    <w:rsid w:val="00F16E9C"/>
    <w:rsid w:val="00F20866"/>
    <w:rsid w:val="00F2489D"/>
    <w:rsid w:val="00F30DC6"/>
    <w:rsid w:val="00F31F96"/>
    <w:rsid w:val="00F32C23"/>
    <w:rsid w:val="00F33D91"/>
    <w:rsid w:val="00F53DE9"/>
    <w:rsid w:val="00F576CB"/>
    <w:rsid w:val="00F7035D"/>
    <w:rsid w:val="00F70CC5"/>
    <w:rsid w:val="00F71A02"/>
    <w:rsid w:val="00F95E6F"/>
    <w:rsid w:val="00FA0D63"/>
    <w:rsid w:val="00FD0D90"/>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pf0">
    <w:name w:val="pf0"/>
    <w:basedOn w:val="Normal"/>
    <w:rsid w:val="00327DA4"/>
    <w:pPr>
      <w:spacing w:before="100" w:beforeAutospacing="1" w:after="100" w:afterAutospacing="1"/>
    </w:pPr>
    <w:rPr>
      <w:lang w:val="en-US" w:eastAsia="en-US"/>
    </w:rPr>
  </w:style>
  <w:style w:type="character" w:styleId="Hyperlink">
    <w:name w:val="Hyperlink"/>
    <w:aliases w:val=" Car Car3 Char, Car Car3 Char Char Char Char"/>
    <w:link w:val="CarCar3"/>
    <w:uiPriority w:val="99"/>
    <w:rsid w:val="00327DA4"/>
    <w:rPr>
      <w:color w:val="0000FF"/>
      <w:u w:val="single"/>
    </w:rPr>
  </w:style>
  <w:style w:type="paragraph" w:customStyle="1" w:styleId="CarCar3">
    <w:name w:val="Car Car3"/>
    <w:aliases w:val=" Car Car3 Char Char"/>
    <w:basedOn w:val="Normal"/>
    <w:link w:val="Hyperlink"/>
    <w:uiPriority w:val="99"/>
    <w:rsid w:val="00327DA4"/>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character" w:styleId="FollowedHyperlink">
    <w:name w:val="FollowedHyperlink"/>
    <w:basedOn w:val="DefaultParagraphFont"/>
    <w:uiPriority w:val="99"/>
    <w:semiHidden/>
    <w:unhideWhenUsed/>
    <w:rsid w:val="00327DA4"/>
    <w:rPr>
      <w:color w:val="800080" w:themeColor="followedHyperlink"/>
      <w:u w:val="single"/>
    </w:rPr>
  </w:style>
  <w:style w:type="character" w:styleId="UnresolvedMention">
    <w:name w:val="Unresolved Mention"/>
    <w:basedOn w:val="DefaultParagraphFont"/>
    <w:uiPriority w:val="99"/>
    <w:semiHidden/>
    <w:unhideWhenUsed/>
    <w:rsid w:val="00327DA4"/>
    <w:rPr>
      <w:color w:val="605E5C"/>
      <w:shd w:val="clear" w:color="auto" w:fill="E1DFDD"/>
    </w:rPr>
  </w:style>
  <w:style w:type="paragraph" w:customStyle="1" w:styleId="GATitleResolution">
    <w:name w:val="GA Title Resolution"/>
    <w:basedOn w:val="Normal"/>
    <w:qFormat/>
    <w:rsid w:val="00981850"/>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981850"/>
    <w:pPr>
      <w:keepNext/>
      <w:spacing w:after="120"/>
      <w:ind w:left="567"/>
      <w:jc w:val="both"/>
    </w:pPr>
    <w:rPr>
      <w:rFonts w:ascii="Arial" w:hAnsi="Arial" w:cs="Arial"/>
      <w:sz w:val="22"/>
      <w:szCs w:val="22"/>
      <w:lang w:val="en-GB"/>
    </w:rPr>
  </w:style>
  <w:style w:type="paragraph" w:styleId="Revision">
    <w:name w:val="Revision"/>
    <w:hidden/>
    <w:uiPriority w:val="99"/>
    <w:semiHidden/>
    <w:rsid w:val="00AB3F3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en/Decisions/9.GA/7" TargetMode="External"/><Relationship Id="rId18" Type="http://schemas.openxmlformats.org/officeDocument/2006/relationships/hyperlink" Target="https://ich.unesco.org/doc/src/LHE-25-20.COM-15_EN.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20.COM/16"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ich.unesco.org/en/decisions/10.GA/9%20AD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en/decisions/9.GA/7" TargetMode="External"/><Relationship Id="rId20" Type="http://schemas.openxmlformats.org/officeDocument/2006/relationships/hyperlink" Target="https://ich.unesco.org/en/decisions/10.GA/9%20A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CH-09-2025-EN.do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doc/src/LHE-25-20.COM-16_Rev._EN.docx" TargetMode="External"/><Relationship Id="rId23" Type="http://schemas.openxmlformats.org/officeDocument/2006/relationships/header" Target="header2.xml"/><Relationship Id="rId10" Type="http://schemas.openxmlformats.org/officeDocument/2006/relationships/hyperlink" Target="https://ich.unesco.org/en/accreditation-of-ngos-01435" TargetMode="External"/><Relationship Id="rId19" Type="http://schemas.openxmlformats.org/officeDocument/2006/relationships/hyperlink" Target="https://ich.unesco.org/en/accredited-ngos-00331" TargetMode="External"/><Relationship Id="rId4" Type="http://schemas.openxmlformats.org/officeDocument/2006/relationships/settings" Target="settings.xml"/><Relationship Id="rId9" Type="http://schemas.openxmlformats.org/officeDocument/2006/relationships/hyperlink" Target="https://ich.unesco.org/en/decisions/20.COM/16" TargetMode="External"/><Relationship Id="rId14" Type="http://schemas.openxmlformats.org/officeDocument/2006/relationships/hyperlink" Target="https://ich.unesco.org/en/decisions/18.COM/16"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10.GA/9" TargetMode="External"/><Relationship Id="rId13" Type="http://schemas.openxmlformats.org/officeDocument/2006/relationships/hyperlink" Target="https://ich.unesco.org/en/decisions/18.COM/16" TargetMode="External"/><Relationship Id="rId3" Type="http://schemas.openxmlformats.org/officeDocument/2006/relationships/hyperlink" Target="https://ich.unesco.org/en/Resolutions/5.GA/6" TargetMode="External"/><Relationship Id="rId7" Type="http://schemas.openxmlformats.org/officeDocument/2006/relationships/hyperlink" Target="https://ich.unesco.org/en/decisions/9.GA/7" TargetMode="External"/><Relationship Id="rId12" Type="http://schemas.openxmlformats.org/officeDocument/2006/relationships/hyperlink" Target="https://ich.unesco.org/en/Decisions/16.COM/15" TargetMode="External"/><Relationship Id="rId2" Type="http://schemas.openxmlformats.org/officeDocument/2006/relationships/hyperlink" Target="https://ich.unesco.org/en/Resolutions/4.GA/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en/Decisions/8.GA/13" TargetMode="External"/><Relationship Id="rId11" Type="http://schemas.openxmlformats.org/officeDocument/2006/relationships/hyperlink" Target="https://ich.unesco.org/en/Decisions/14.COM/17" TargetMode="External"/><Relationship Id="rId5" Type="http://schemas.openxmlformats.org/officeDocument/2006/relationships/hyperlink" Target="https://ich.unesco.org/en/Resolutions/7.GA/11" TargetMode="External"/><Relationship Id="rId15" Type="http://schemas.openxmlformats.org/officeDocument/2006/relationships/hyperlink" Target="https://ich.unesco.org/doc/src/LHE-25-20.COM-16_Rev._EN.docx" TargetMode="External"/><Relationship Id="rId10" Type="http://schemas.openxmlformats.org/officeDocument/2006/relationships/hyperlink" Target="https://ich.unesco.org/en/Decisions/12.COM/17" TargetMode="External"/><Relationship Id="rId4" Type="http://schemas.openxmlformats.org/officeDocument/2006/relationships/hyperlink" Target="https://ich.unesco.org/en/Decisions/6.GA/8" TargetMode="External"/><Relationship Id="rId9" Type="http://schemas.openxmlformats.org/officeDocument/2006/relationships/hyperlink" Target="https://ich.unesco.org/en/Decisions/10.COM/16" TargetMode="External"/><Relationship Id="rId14" Type="http://schemas.openxmlformats.org/officeDocument/2006/relationships/hyperlink" Target="https://ich.unesco.org/en/decisions/20.COM/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26\2026-06_11.GA_Paris\Documents\09_NGO%20accreditation\Background\Accredited%20NG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StatutoryMeetings\2026\2026-06_11.GA_Paris\Documents\09_NGO%20accreditation\Background\Statistics%20on%20NGOs_2026050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t>Figure 1. Geographical distribution of accredited NGOs</a:t>
            </a:r>
          </a:p>
          <a:p>
            <a:pPr>
              <a:defRPr/>
            </a:pPr>
            <a:r>
              <a:rPr lang="fr-FR" sz="1200"/>
              <a:t>(258 in total as of 31 December 2025)</a:t>
            </a:r>
          </a:p>
        </c:rich>
      </c:tx>
      <c:layout>
        <c:manualLayout>
          <c:xMode val="edge"/>
          <c:yMode val="edge"/>
          <c:x val="0.10202086694731707"/>
          <c:y val="2.588582677165354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DD-46E6-A43D-03C8AD1005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DD-46E6-A43D-03C8AD1005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DD-46E6-A43D-03C8AD1005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DD-46E6-A43D-03C8AD1005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EDD-46E6-A43D-03C8AD10052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EDD-46E6-A43D-03C8AD100524}"/>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EDD-46E6-A43D-03C8AD100524}"/>
                </c:ext>
              </c:extLst>
            </c:dLbl>
            <c:dLbl>
              <c:idx val="2"/>
              <c:layout>
                <c:manualLayout>
                  <c:x val="-1.6666666666666666E-2"/>
                  <c:y val="-3.70370370370370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EDD-46E6-A43D-03C8AD100524}"/>
                </c:ext>
              </c:extLst>
            </c:dLbl>
            <c:dLbl>
              <c:idx val="4"/>
              <c:layout>
                <c:manualLayout>
                  <c:x val="-4.1666666666666664E-2"/>
                  <c:y val="8.79629629629629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EDD-46E6-A43D-03C8AD100524}"/>
                </c:ext>
              </c:extLst>
            </c:dLbl>
            <c:dLbl>
              <c:idx val="5"/>
              <c:layout>
                <c:manualLayout>
                  <c:x val="-4.4444444444444446E-2"/>
                  <c:y val="1.388888888888886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EDD-46E6-A43D-03C8AD10052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'Regional distribution EN'!$A$2:$A$7</c:f>
              <c:strCache>
                <c:ptCount val="6"/>
                <c:pt idx="0">
                  <c:v>Group I</c:v>
                </c:pt>
                <c:pt idx="1">
                  <c:v>Group II</c:v>
                </c:pt>
                <c:pt idx="2">
                  <c:v>Group III</c:v>
                </c:pt>
                <c:pt idx="3">
                  <c:v>Group IV</c:v>
                </c:pt>
                <c:pt idx="4">
                  <c:v>Group V(a)</c:v>
                </c:pt>
                <c:pt idx="5">
                  <c:v>Group V(b)</c:v>
                </c:pt>
              </c:strCache>
            </c:strRef>
          </c:cat>
          <c:val>
            <c:numRef>
              <c:f>'Regional distribution EN'!$B$2:$B$7</c:f>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0C-EEDD-46E6-A43D-03C8AD10052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a:t>Figure 2. Geographical distribution of NGOs recommended</a:t>
            </a:r>
            <a:r>
              <a:rPr lang="fr-FR" sz="1200" baseline="0"/>
              <a:t> for accreditation by 11.GA in 2026</a:t>
            </a:r>
            <a:endParaRPr lang="fr-FR" sz="1200"/>
          </a:p>
        </c:rich>
      </c:tx>
      <c:layout>
        <c:manualLayout>
          <c:xMode val="edge"/>
          <c:yMode val="edge"/>
          <c:x val="0.1700137795275590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C7-41AE-A93B-1505E4CB2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C7-41AE-A93B-1505E4CB2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C7-41AE-A93B-1505E4CB2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C7-41AE-A93B-1505E4CB2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C7-41AE-A93B-1505E4CB2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FC7-41AE-A93B-1505E4CB272D}"/>
              </c:ext>
            </c:extLst>
          </c:dPt>
          <c:dLbls>
            <c:dLbl>
              <c:idx val="1"/>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FC7-41AE-A93B-1505E4CB272D}"/>
                </c:ext>
              </c:extLst>
            </c:dLbl>
            <c:dLbl>
              <c:idx val="2"/>
              <c:layout>
                <c:manualLayout>
                  <c:x val="-3.8888888888888938E-2"/>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FC7-41AE-A93B-1505E4CB272D}"/>
                </c:ext>
              </c:extLst>
            </c:dLbl>
            <c:dLbl>
              <c:idx val="4"/>
              <c:layout>
                <c:manualLayout>
                  <c:x val="-1.3888888888888888E-2"/>
                  <c:y val="4.16666666666666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FC7-41AE-A93B-1505E4CB272D}"/>
                </c:ext>
              </c:extLst>
            </c:dLbl>
            <c:dLbl>
              <c:idx val="5"/>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FC7-41AE-A93B-1505E4CB27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'Regional distribution'!$A$2:$A$7</c:f>
              <c:strCache>
                <c:ptCount val="6"/>
                <c:pt idx="0">
                  <c:v>Group I</c:v>
                </c:pt>
                <c:pt idx="1">
                  <c:v>Group II</c:v>
                </c:pt>
                <c:pt idx="2">
                  <c:v>Group III</c:v>
                </c:pt>
                <c:pt idx="3">
                  <c:v>Group IV</c:v>
                </c:pt>
                <c:pt idx="4">
                  <c:v>Group V(a)</c:v>
                </c:pt>
                <c:pt idx="5">
                  <c:v>Group V(b)</c:v>
                </c:pt>
              </c:strCache>
            </c:strRef>
          </c:cat>
          <c:val>
            <c:numRef>
              <c:f>'Regional distribution'!$C$2:$C$7</c:f>
              <c:numCache>
                <c:formatCode>General</c:formatCode>
                <c:ptCount val="6"/>
                <c:pt idx="0">
                  <c:v>29</c:v>
                </c:pt>
                <c:pt idx="1">
                  <c:v>7</c:v>
                </c:pt>
                <c:pt idx="2">
                  <c:v>4</c:v>
                </c:pt>
                <c:pt idx="3">
                  <c:v>7</c:v>
                </c:pt>
                <c:pt idx="4">
                  <c:v>6</c:v>
                </c:pt>
                <c:pt idx="5">
                  <c:v>6</c:v>
                </c:pt>
              </c:numCache>
            </c:numRef>
          </c:val>
          <c:extLst>
            <c:ext xmlns:c16="http://schemas.microsoft.com/office/drawing/2014/chart" uri="{C3380CC4-5D6E-409C-BE32-E72D297353CC}">
              <c16:uniqueId val="{0000000C-5FC7-41AE-A93B-1505E4CB272D}"/>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FC7-41AE-A93B-1505E4CB2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5FC7-41AE-A93B-1505E4CB2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5FC7-41AE-A93B-1505E4CB2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5FC7-41AE-A93B-1505E4CB2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5FC7-41AE-A93B-1505E4CB2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5FC7-41AE-A93B-1505E4CB272D}"/>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0-5FC7-41AE-A93B-1505E4CB272D}"/>
                      </c:ext>
                    </c:extLst>
                  </c:dLbl>
                  <c:dLbl>
                    <c:idx val="2"/>
                    <c:layout>
                      <c:manualLayout>
                        <c:x val="-1.6666666666666666E-2"/>
                        <c:y val="-3.7037037037037035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2-5FC7-41AE-A93B-1505E4CB272D}"/>
                      </c:ext>
                    </c:extLst>
                  </c:dLbl>
                  <c:dLbl>
                    <c:idx val="4"/>
                    <c:layout>
                      <c:manualLayout>
                        <c:x val="-4.1666666666666664E-2"/>
                        <c:y val="8.7962962962962923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6-5FC7-41AE-A93B-1505E4CB272D}"/>
                      </c:ext>
                    </c:extLst>
                  </c:dLbl>
                  <c:dLbl>
                    <c:idx val="5"/>
                    <c:layout>
                      <c:manualLayout>
                        <c:x val="-4.4444444444444446E-2"/>
                        <c:y val="1.3888888888888867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8-5FC7-41AE-A93B-1505E4CB27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'Regional distribution'!$A$2:$A$7</c15:sqref>
                        </c15:formulaRef>
                      </c:ext>
                    </c:extLst>
                    <c:strCache>
                      <c:ptCount val="6"/>
                      <c:pt idx="0">
                        <c:v>Group I</c:v>
                      </c:pt>
                      <c:pt idx="1">
                        <c:v>Group II</c:v>
                      </c:pt>
                      <c:pt idx="2">
                        <c:v>Group III</c:v>
                      </c:pt>
                      <c:pt idx="3">
                        <c:v>Group IV</c:v>
                      </c:pt>
                      <c:pt idx="4">
                        <c:v>Group V(a)</c:v>
                      </c:pt>
                      <c:pt idx="5">
                        <c:v>Group V(b)</c:v>
                      </c:pt>
                    </c:strCache>
                  </c:strRef>
                </c:cat>
                <c:val>
                  <c:numRef>
                    <c:extLst>
                      <c:ext uri="{02D57815-91ED-43cb-92C2-25804820EDAC}">
                        <c15:formulaRef>
                          <c15:sqref>'Regional distribution'!$B$2:$B$7</c15:sqref>
                        </c15:formulaRef>
                      </c:ext>
                    </c:extLst>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19-5FC7-41AE-A93B-1505E4CB272D}"/>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2267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2026-05-18T18:47:00Z</dcterms:created>
  <dcterms:modified xsi:type="dcterms:W3CDTF">2026-05-18T20:22:00Z</dcterms:modified>
</cp:coreProperties>
</file>