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371F" w14:textId="77777777" w:rsidR="00A42B5E" w:rsidRPr="000463B5" w:rsidRDefault="00A42B5E" w:rsidP="00A42B5E">
      <w:pPr>
        <w:spacing w:before="1440"/>
        <w:rPr>
          <w:rFonts w:cs="Arial"/>
          <w:b/>
          <w:kern w:val="2"/>
          <w:sz w:val="22"/>
          <w:szCs w:val="22"/>
          <w:lang w:val="en-GB"/>
        </w:rPr>
      </w:pPr>
      <w:r w:rsidRPr="000463B5">
        <w:rPr>
          <w:rFonts w:hint="eastAsia"/>
          <w:b/>
          <w:kern w:val="2"/>
          <w:sz w:val="22"/>
          <w:lang w:val="en-GB"/>
        </w:rPr>
        <w:t>《保护非物质文化遗产公约》</w:t>
      </w:r>
    </w:p>
    <w:p w14:paraId="1CC37874" w14:textId="77777777" w:rsidR="00A42B5E" w:rsidRPr="000463B5" w:rsidRDefault="00A42B5E" w:rsidP="00A42B5E">
      <w:pPr>
        <w:spacing w:before="1200"/>
        <w:jc w:val="center"/>
        <w:rPr>
          <w:rFonts w:cs="Arial"/>
          <w:b/>
          <w:kern w:val="2"/>
          <w:sz w:val="22"/>
          <w:szCs w:val="22"/>
          <w:lang w:val="en-GB"/>
        </w:rPr>
      </w:pPr>
      <w:r w:rsidRPr="000463B5">
        <w:rPr>
          <w:rFonts w:hint="eastAsia"/>
          <w:b/>
          <w:kern w:val="2"/>
          <w:sz w:val="22"/>
          <w:lang w:val="en-GB"/>
        </w:rPr>
        <w:t>缔约国大会</w:t>
      </w:r>
    </w:p>
    <w:p w14:paraId="11F0CBF7" w14:textId="2038802B" w:rsidR="00A42B5E" w:rsidRPr="000463B5" w:rsidRDefault="00A42B5E" w:rsidP="00BC5B1A">
      <w:pPr>
        <w:spacing w:before="840"/>
        <w:jc w:val="center"/>
        <w:rPr>
          <w:rFonts w:cs="Arial"/>
          <w:b/>
          <w:kern w:val="2"/>
          <w:sz w:val="22"/>
          <w:szCs w:val="22"/>
          <w:lang w:val="en-GB"/>
        </w:rPr>
      </w:pPr>
      <w:r w:rsidRPr="000463B5">
        <w:rPr>
          <w:rFonts w:hint="eastAsia"/>
          <w:b/>
          <w:kern w:val="2"/>
          <w:sz w:val="22"/>
          <w:lang w:val="en-GB"/>
        </w:rPr>
        <w:t>第十一届会议</w:t>
      </w:r>
    </w:p>
    <w:p w14:paraId="5DCD83B1" w14:textId="77777777" w:rsidR="00A42B5E" w:rsidRPr="000463B5" w:rsidRDefault="00A42B5E" w:rsidP="00A42B5E">
      <w:pPr>
        <w:jc w:val="center"/>
        <w:rPr>
          <w:rFonts w:cs="Arial"/>
          <w:b/>
          <w:kern w:val="2"/>
          <w:sz w:val="22"/>
          <w:szCs w:val="22"/>
          <w:lang w:val="en-GB"/>
        </w:rPr>
      </w:pPr>
      <w:r w:rsidRPr="000463B5">
        <w:rPr>
          <w:rFonts w:hint="eastAsia"/>
          <w:b/>
          <w:kern w:val="2"/>
          <w:sz w:val="22"/>
          <w:lang w:val="en-GB"/>
        </w:rPr>
        <w:t>联合国教科文组织总部</w:t>
      </w:r>
      <w:r w:rsidRPr="000463B5">
        <w:rPr>
          <w:rFonts w:hint="eastAsia"/>
          <w:b/>
          <w:kern w:val="2"/>
          <w:sz w:val="22"/>
          <w:lang w:val="en-US" w:bidi="en-US"/>
        </w:rPr>
        <w:t>，一号会议厅</w:t>
      </w:r>
    </w:p>
    <w:p w14:paraId="174696CD" w14:textId="77777777" w:rsidR="001A07E0" w:rsidRPr="000463B5" w:rsidRDefault="001A07E0" w:rsidP="001A07E0">
      <w:pPr>
        <w:jc w:val="center"/>
        <w:rPr>
          <w:rFonts w:cs="Arial"/>
          <w:b/>
          <w:kern w:val="2"/>
          <w:sz w:val="22"/>
          <w:szCs w:val="22"/>
          <w:lang w:val="en-GB"/>
        </w:rPr>
      </w:pPr>
      <w:r w:rsidRPr="000463B5">
        <w:rPr>
          <w:b/>
          <w:kern w:val="2"/>
          <w:sz w:val="22"/>
          <w:lang w:val="en-GB" w:bidi="en-GB"/>
        </w:rPr>
        <w:t>2026</w:t>
      </w:r>
      <w:r w:rsidRPr="000463B5">
        <w:rPr>
          <w:rFonts w:hint="eastAsia"/>
          <w:b/>
          <w:kern w:val="2"/>
          <w:sz w:val="22"/>
          <w:lang w:val="en-GB" w:bidi="en-GB"/>
        </w:rPr>
        <w:t>年</w:t>
      </w:r>
      <w:r w:rsidRPr="000463B5">
        <w:rPr>
          <w:b/>
          <w:kern w:val="2"/>
          <w:sz w:val="22"/>
          <w:lang w:val="en-GB" w:bidi="en-GB"/>
        </w:rPr>
        <w:t>6</w:t>
      </w:r>
      <w:r w:rsidRPr="000463B5">
        <w:rPr>
          <w:rFonts w:hint="eastAsia"/>
          <w:b/>
          <w:kern w:val="2"/>
          <w:sz w:val="22"/>
          <w:lang w:val="en-GB" w:bidi="en-GB"/>
        </w:rPr>
        <w:t>月</w:t>
      </w:r>
      <w:r w:rsidRPr="000463B5">
        <w:rPr>
          <w:b/>
          <w:kern w:val="2"/>
          <w:sz w:val="22"/>
          <w:lang w:val="en-GB" w:bidi="en-GB"/>
        </w:rPr>
        <w:t>17</w:t>
      </w:r>
      <w:r w:rsidRPr="000463B5">
        <w:rPr>
          <w:rFonts w:hint="eastAsia"/>
          <w:b/>
          <w:kern w:val="2"/>
          <w:sz w:val="22"/>
          <w:lang w:val="en-GB" w:bidi="en-GB"/>
        </w:rPr>
        <w:t>日至</w:t>
      </w:r>
      <w:r w:rsidRPr="000463B5">
        <w:rPr>
          <w:b/>
          <w:kern w:val="2"/>
          <w:sz w:val="22"/>
          <w:lang w:val="en-GB" w:bidi="en-GB"/>
        </w:rPr>
        <w:t>18</w:t>
      </w:r>
      <w:r w:rsidRPr="000463B5">
        <w:rPr>
          <w:rFonts w:hint="eastAsia"/>
          <w:b/>
          <w:kern w:val="2"/>
          <w:sz w:val="22"/>
          <w:lang w:val="en-GB" w:bidi="en-GB"/>
        </w:rPr>
        <w:t>日</w:t>
      </w:r>
    </w:p>
    <w:p w14:paraId="7078F1CE" w14:textId="0623C45E" w:rsidR="00A42B5E" w:rsidRPr="000463B5" w:rsidRDefault="00A42B5E" w:rsidP="00A42B5E">
      <w:pPr>
        <w:pStyle w:val="Sansinterligne2"/>
        <w:spacing w:before="1200"/>
        <w:jc w:val="center"/>
        <w:rPr>
          <w:rFonts w:ascii="SimSun" w:hAnsi="SimSun" w:cs="Arial"/>
          <w:b/>
          <w:kern w:val="2"/>
          <w:sz w:val="22"/>
          <w:szCs w:val="22"/>
          <w:lang w:val="en-GB"/>
        </w:rPr>
      </w:pPr>
      <w:r w:rsidRPr="000463B5">
        <w:rPr>
          <w:rFonts w:ascii="SimSun" w:hAnsi="SimSun" w:hint="eastAsia"/>
          <w:b/>
          <w:kern w:val="2"/>
          <w:sz w:val="22"/>
          <w:u w:val="single"/>
          <w:lang w:val="en-GB"/>
        </w:rPr>
        <w:t>临时议程项目</w:t>
      </w:r>
      <w:r w:rsidR="001A07E0" w:rsidRPr="000463B5">
        <w:rPr>
          <w:rFonts w:ascii="SimSun" w:hAnsi="SimSun"/>
          <w:b/>
          <w:kern w:val="2"/>
          <w:sz w:val="22"/>
          <w:u w:val="single"/>
          <w:lang w:val="en-GB"/>
        </w:rPr>
        <w:t>8</w:t>
      </w:r>
      <w:r w:rsidRPr="000463B5">
        <w:rPr>
          <w:rFonts w:ascii="SimSun" w:hAnsi="SimSun" w:hint="eastAsia"/>
          <w:b/>
          <w:kern w:val="2"/>
          <w:sz w:val="22"/>
          <w:lang w:val="en-GB"/>
        </w:rPr>
        <w:t>：</w:t>
      </w:r>
    </w:p>
    <w:p w14:paraId="6AE15722" w14:textId="0421A91E" w:rsidR="00A42B5E" w:rsidRPr="000463B5" w:rsidRDefault="00C4749C" w:rsidP="00A42B5E">
      <w:pPr>
        <w:pStyle w:val="Sansinterligne2"/>
        <w:spacing w:after="960"/>
        <w:jc w:val="center"/>
        <w:rPr>
          <w:rFonts w:ascii="SimSun" w:hAnsi="SimSun" w:cs="Arial"/>
          <w:bCs/>
          <w:kern w:val="2"/>
          <w:sz w:val="22"/>
          <w:szCs w:val="22"/>
          <w:lang w:val="en-GB"/>
        </w:rPr>
      </w:pPr>
      <w:r w:rsidRPr="000463B5">
        <w:rPr>
          <w:rFonts w:ascii="SimSun" w:hAnsi="SimSun" w:cs="Arial"/>
          <w:b/>
          <w:kern w:val="2"/>
          <w:sz w:val="22"/>
          <w:szCs w:val="22"/>
          <w:lang w:val="zh-CN" w:bidi="zh-CN"/>
        </w:rPr>
        <w:t>非物质文化遗产基金的资源使用情况</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42B5E" w:rsidRPr="000463B5" w14:paraId="40113ACE" w14:textId="77777777" w:rsidTr="006F0AF9">
        <w:trPr>
          <w:jc w:val="center"/>
        </w:trPr>
        <w:tc>
          <w:tcPr>
            <w:tcW w:w="5670" w:type="dxa"/>
            <w:vAlign w:val="center"/>
          </w:tcPr>
          <w:p w14:paraId="61D89163" w14:textId="77777777" w:rsidR="00A42B5E" w:rsidRPr="000463B5" w:rsidRDefault="00A42B5E" w:rsidP="006F0AF9">
            <w:pPr>
              <w:pStyle w:val="Sansinterligne1"/>
              <w:spacing w:before="200" w:after="200"/>
              <w:jc w:val="center"/>
              <w:rPr>
                <w:rFonts w:ascii="SimSun" w:hAnsi="SimSun" w:cs="Arial"/>
                <w:b/>
                <w:kern w:val="2"/>
                <w:lang w:val="en-GB"/>
              </w:rPr>
            </w:pPr>
            <w:r w:rsidRPr="000463B5">
              <w:rPr>
                <w:rFonts w:ascii="SimSun" w:hAnsi="SimSun" w:hint="eastAsia"/>
                <w:b/>
                <w:kern w:val="2"/>
                <w:lang w:val="en-GB"/>
              </w:rPr>
              <w:t>摘要</w:t>
            </w:r>
          </w:p>
          <w:p w14:paraId="4C4E5B4E" w14:textId="0615C034" w:rsidR="00A42B5E" w:rsidRPr="000463B5" w:rsidRDefault="00C4749C" w:rsidP="00AB4F88">
            <w:pPr>
              <w:pStyle w:val="Sansinterligne1"/>
              <w:kinsoku w:val="0"/>
              <w:rPr>
                <w:rFonts w:ascii="SimSun" w:hAnsi="SimSun"/>
                <w:bCs/>
                <w:kern w:val="2"/>
                <w:szCs w:val="24"/>
                <w:lang w:val="en-GB" w:bidi="en-GB"/>
              </w:rPr>
            </w:pPr>
            <w:r w:rsidRPr="000463B5">
              <w:rPr>
                <w:rFonts w:ascii="SimSun" w:hAnsi="SimSun" w:cs="Arial"/>
                <w:kern w:val="2"/>
                <w:lang w:val="zh-CN" w:bidi="zh-CN"/>
              </w:rPr>
              <w:t>《公约》第七条(c)款规定，委员会应编制一份使用基金资源的计划草案，并提交大会批准。本文件根据委员会对</w:t>
            </w:r>
            <w:r w:rsidRPr="000463B5">
              <w:rPr>
                <w:rFonts w:ascii="SimSun" w:hAnsi="SimSun"/>
                <w:bCs/>
                <w:kern w:val="2"/>
                <w:szCs w:val="24"/>
                <w:lang w:val="en-GB" w:bidi="en-GB"/>
              </w:rPr>
              <w:t>2026-2027年</w:t>
            </w:r>
            <w:r w:rsidRPr="000463B5">
              <w:rPr>
                <w:rFonts w:ascii="SimSun" w:hAnsi="SimSun" w:cs="Arial"/>
                <w:kern w:val="2"/>
                <w:lang w:val="zh-CN" w:bidi="zh-CN"/>
              </w:rPr>
              <w:t>期间和</w:t>
            </w:r>
            <w:r w:rsidRPr="000463B5">
              <w:rPr>
                <w:rFonts w:ascii="SimSun" w:hAnsi="SimSun"/>
                <w:bCs/>
                <w:kern w:val="2"/>
                <w:szCs w:val="24"/>
                <w:lang w:val="en-GB" w:bidi="en-GB"/>
              </w:rPr>
              <w:t>2028年第一期的建议，提出了此项计划草案。</w:t>
            </w:r>
          </w:p>
          <w:p w14:paraId="75119F17" w14:textId="7A01ED1A" w:rsidR="00A42B5E" w:rsidRPr="000463B5" w:rsidRDefault="00A42B5E" w:rsidP="006F0AF9">
            <w:pPr>
              <w:pStyle w:val="Sansinterligne2"/>
              <w:spacing w:before="200" w:after="200"/>
              <w:rPr>
                <w:rFonts w:ascii="SimSun" w:hAnsi="SimSun" w:cs="Arial"/>
                <w:b/>
                <w:kern w:val="2"/>
                <w:sz w:val="22"/>
                <w:szCs w:val="22"/>
                <w:lang w:val="en-GB"/>
              </w:rPr>
            </w:pPr>
            <w:r w:rsidRPr="000463B5">
              <w:rPr>
                <w:rFonts w:ascii="SimSun" w:hAnsi="SimSun" w:hint="eastAsia"/>
                <w:b/>
                <w:kern w:val="2"/>
                <w:sz w:val="22"/>
                <w:szCs w:val="22"/>
                <w:lang w:val="en-GB"/>
              </w:rPr>
              <w:t>需要做出的决定：</w:t>
            </w:r>
            <w:r w:rsidRPr="000463B5">
              <w:rPr>
                <w:rFonts w:ascii="SimSun" w:hAnsi="SimSun" w:hint="eastAsia"/>
                <w:kern w:val="2"/>
                <w:sz w:val="22"/>
                <w:szCs w:val="22"/>
                <w:lang w:val="en-GB"/>
              </w:rPr>
              <w:t>第</w:t>
            </w:r>
            <w:r w:rsidRPr="000463B5">
              <w:rPr>
                <w:rFonts w:ascii="SimSun" w:hAnsi="SimSun" w:hint="eastAsia"/>
                <w:bCs/>
                <w:kern w:val="2"/>
                <w:sz w:val="22"/>
                <w:lang w:val="en-GB" w:bidi="en-GB"/>
              </w:rPr>
              <w:t>32</w:t>
            </w:r>
            <w:r w:rsidRPr="000463B5">
              <w:rPr>
                <w:rFonts w:ascii="SimSun" w:hAnsi="SimSun" w:hint="eastAsia"/>
                <w:kern w:val="2"/>
                <w:sz w:val="22"/>
                <w:szCs w:val="22"/>
                <w:lang w:val="en-GB"/>
              </w:rPr>
              <w:t>段</w:t>
            </w:r>
          </w:p>
        </w:tc>
      </w:tr>
    </w:tbl>
    <w:p w14:paraId="7009B7A4" w14:textId="77777777" w:rsidR="00A42B5E" w:rsidRPr="000463B5" w:rsidRDefault="00A42B5E" w:rsidP="00A42B5E">
      <w:pPr>
        <w:pStyle w:val="ListParagraph"/>
        <w:keepLines/>
        <w:numPr>
          <w:ilvl w:val="0"/>
          <w:numId w:val="3"/>
        </w:numPr>
        <w:spacing w:after="240"/>
        <w:ind w:left="567" w:hanging="567"/>
        <w:contextualSpacing w:val="0"/>
        <w:rPr>
          <w:rFonts w:cs="Arial"/>
          <w:b/>
          <w:snapToGrid w:val="0"/>
          <w:kern w:val="2"/>
          <w:sz w:val="22"/>
          <w:szCs w:val="22"/>
          <w:lang w:val="en-GB"/>
        </w:rPr>
      </w:pPr>
      <w:r w:rsidRPr="000463B5">
        <w:rPr>
          <w:rFonts w:hint="eastAsia"/>
          <w:kern w:val="2"/>
          <w:sz w:val="22"/>
          <w:lang w:val="zh-CN" w:bidi="zh-CN"/>
        </w:rPr>
        <w:br w:type="page"/>
      </w:r>
    </w:p>
    <w:p w14:paraId="3FD7015E" w14:textId="77777777" w:rsidR="00A42B5E" w:rsidRPr="00522D05" w:rsidRDefault="00A42B5E" w:rsidP="00A42B5E">
      <w:pPr>
        <w:pStyle w:val="COMPara"/>
        <w:numPr>
          <w:ilvl w:val="0"/>
          <w:numId w:val="0"/>
        </w:numPr>
        <w:spacing w:before="240"/>
        <w:rPr>
          <w:rFonts w:ascii="SimSun" w:hAnsi="SimSun"/>
          <w:b/>
          <w:bCs/>
          <w:kern w:val="2"/>
        </w:rPr>
      </w:pPr>
      <w:bookmarkStart w:id="0" w:name="_Hlk124351255"/>
      <w:r w:rsidRPr="00522D05">
        <w:rPr>
          <w:rFonts w:ascii="SimSun" w:hAnsi="SimSun" w:hint="eastAsia"/>
          <w:b/>
          <w:kern w:val="2"/>
          <w:lang w:val="zh-CN" w:bidi="zh-CN"/>
        </w:rPr>
        <w:lastRenderedPageBreak/>
        <w:t>背景</w:t>
      </w:r>
    </w:p>
    <w:bookmarkEnd w:id="0"/>
    <w:p w14:paraId="6B3933D3" w14:textId="42A5554D"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《公约》第七条(c)款要求委员会“根据《公约》第二十五条的规定，</w:t>
      </w:r>
      <w:r w:rsidR="00924E03" w:rsidRPr="00671AFD">
        <w:rPr>
          <w:rFonts w:cs="SimSun" w:hint="eastAsia"/>
          <w:kern w:val="2"/>
          <w:sz w:val="22"/>
          <w:szCs w:val="22"/>
          <w:lang w:val="zh-CN" w:bidi="zh-CN"/>
        </w:rPr>
        <w:t>拟定利用</w:t>
      </w:r>
      <w:r w:rsidRPr="00522D05">
        <w:rPr>
          <w:rFonts w:cs="SimSun"/>
          <w:kern w:val="2"/>
          <w:sz w:val="22"/>
          <w:szCs w:val="22"/>
          <w:lang w:val="zh-CN" w:bidi="zh-CN"/>
        </w:rPr>
        <w:t>[非物质文化遗产]基金[特别账户]（下称“基金”）资</w:t>
      </w:r>
      <w:r w:rsidR="00F00031" w:rsidRPr="00522D05">
        <w:rPr>
          <w:rFonts w:cs="SimSun" w:hint="eastAsia"/>
          <w:kern w:val="2"/>
          <w:sz w:val="22"/>
          <w:szCs w:val="22"/>
          <w:lang w:val="zh-CN" w:bidi="zh-CN"/>
        </w:rPr>
        <w:t>金的</w:t>
      </w:r>
      <w:r w:rsidRPr="00522D05">
        <w:rPr>
          <w:rFonts w:cs="SimSun"/>
          <w:kern w:val="2"/>
          <w:sz w:val="22"/>
          <w:szCs w:val="22"/>
          <w:lang w:val="zh-CN" w:bidi="zh-CN"/>
        </w:rPr>
        <w:t>计划</w:t>
      </w:r>
      <w:r w:rsidR="00F00031" w:rsidRPr="00522D05">
        <w:rPr>
          <w:rFonts w:cs="SimSun" w:hint="eastAsia"/>
          <w:kern w:val="2"/>
          <w:sz w:val="22"/>
          <w:szCs w:val="22"/>
          <w:lang w:val="zh-CN" w:bidi="zh-CN"/>
        </w:rPr>
        <w:t>草案</w:t>
      </w:r>
      <w:r w:rsidRPr="00522D05">
        <w:rPr>
          <w:rFonts w:cs="SimSun"/>
          <w:kern w:val="2"/>
          <w:sz w:val="22"/>
          <w:szCs w:val="22"/>
          <w:lang w:val="zh-CN" w:bidi="zh-CN"/>
        </w:rPr>
        <w:t>并提交大会批准”。该计划草案（以下简称“计划</w:t>
      </w:r>
      <w:r w:rsidR="00FF2DDE" w:rsidRPr="00522D05">
        <w:rPr>
          <w:rFonts w:cs="SimSun"/>
          <w:kern w:val="2"/>
          <w:sz w:val="22"/>
          <w:szCs w:val="22"/>
          <w:lang w:val="en-US" w:bidi="zh-CN"/>
        </w:rPr>
        <w:t>”</w:t>
      </w:r>
      <w:r w:rsidRPr="00522D05">
        <w:rPr>
          <w:rFonts w:cs="SimSun"/>
          <w:kern w:val="2"/>
          <w:sz w:val="22"/>
          <w:szCs w:val="22"/>
          <w:lang w:val="zh-CN" w:bidi="zh-CN"/>
        </w:rPr>
        <w:t>）由委员会根据其第</w:t>
      </w:r>
      <w:r w:rsidRPr="00554627">
        <w:rPr>
          <w:sz w:val="22"/>
          <w:szCs w:val="22"/>
        </w:rPr>
        <w:fldChar w:fldCharType="begin"/>
      </w:r>
      <w:r w:rsidRPr="00554627">
        <w:rPr>
          <w:sz w:val="22"/>
          <w:szCs w:val="22"/>
        </w:rPr>
        <w:instrText>HYPERLINK "https://ich.unesco.org/en/decisions/20.COM/14"</w:instrText>
      </w:r>
      <w:r w:rsidRPr="00554627">
        <w:rPr>
          <w:sz w:val="22"/>
          <w:szCs w:val="22"/>
        </w:rPr>
      </w:r>
      <w:r w:rsidRPr="00554627">
        <w:rPr>
          <w:sz w:val="22"/>
          <w:szCs w:val="22"/>
        </w:rPr>
        <w:fldChar w:fldCharType="separate"/>
      </w:r>
      <w:r w:rsidRPr="00522D05">
        <w:rPr>
          <w:rStyle w:val="Hyperlink"/>
          <w:rFonts w:cs="SimSun"/>
          <w:kern w:val="2"/>
          <w:sz w:val="22"/>
          <w:szCs w:val="22"/>
          <w:lang w:val="zh-CN" w:bidi="zh-CN"/>
        </w:rPr>
        <w:t>20.COM 14</w:t>
      </w:r>
      <w:r w:rsidRPr="00554627">
        <w:rPr>
          <w:sz w:val="22"/>
          <w:szCs w:val="22"/>
        </w:rPr>
        <w:fldChar w:fldCharType="end"/>
      </w:r>
      <w:r w:rsidRPr="00522D05">
        <w:rPr>
          <w:rFonts w:cs="SimSun"/>
          <w:kern w:val="2"/>
          <w:sz w:val="22"/>
          <w:szCs w:val="22"/>
          <w:lang w:val="zh-CN" w:bidi="zh-CN"/>
        </w:rPr>
        <w:t>号决定提交并随附于本文件，按照</w:t>
      </w:r>
      <w:hyperlink r:id="rId7" w:history="1">
        <w:r w:rsidRPr="00522D05">
          <w:rPr>
            <w:rStyle w:val="Hyperlink"/>
            <w:rFonts w:cs="SimSun"/>
            <w:kern w:val="2"/>
            <w:sz w:val="22"/>
            <w:szCs w:val="22"/>
            <w:lang w:val="zh-CN" w:bidi="zh-CN"/>
          </w:rPr>
          <w:t>《业务指南》</w:t>
        </w:r>
      </w:hyperlink>
      <w:r w:rsidRPr="00522D05">
        <w:rPr>
          <w:rFonts w:cs="SimSun"/>
          <w:kern w:val="2"/>
          <w:sz w:val="22"/>
          <w:szCs w:val="22"/>
          <w:lang w:val="zh-CN" w:bidi="zh-CN"/>
        </w:rPr>
        <w:t>第II.1章的准则并根据上一两年期实施计划的经验编写。根据《基金财务条例》第十条的要求，2024年1月1日至2025年12月31日期间的叙述和财务报告载于</w:t>
      </w:r>
      <w:hyperlink r:id="rId8" w:history="1">
        <w:r w:rsidRPr="00554627">
          <w:rPr>
            <w:rStyle w:val="Hyperlink"/>
            <w:rFonts w:cs="SimSun"/>
            <w:kern w:val="2"/>
            <w:sz w:val="22"/>
            <w:szCs w:val="22"/>
            <w:lang w:val="zh-CN" w:bidi="zh-CN"/>
          </w:rPr>
          <w:t>LHE/26/11.GA/INF.8</w:t>
        </w:r>
      </w:hyperlink>
      <w:r w:rsidRPr="00554627">
        <w:rPr>
          <w:rFonts w:cs="SimSun"/>
          <w:kern w:val="2"/>
          <w:sz w:val="22"/>
          <w:szCs w:val="22"/>
          <w:lang w:val="zh-CN" w:bidi="zh-CN"/>
        </w:rPr>
        <w:t>号文件</w:t>
      </w:r>
      <w:r w:rsidRPr="00522D05">
        <w:rPr>
          <w:rFonts w:cs="SimSun"/>
          <w:kern w:val="2"/>
          <w:sz w:val="22"/>
          <w:szCs w:val="22"/>
          <w:lang w:val="zh-CN" w:bidi="zh-CN"/>
        </w:rPr>
        <w:t xml:space="preserve"> 。</w:t>
      </w:r>
    </w:p>
    <w:p w14:paraId="0C8620B0" w14:textId="2B1AFC64"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根据《基金财务条例》第二条，“用于估算预算的财务期应为从偶数年开始的连续两个日历年”。但是，《公约》缔约国大会常会在偶数年举行，在历年开始后约六个月举行。因此，请大会本届会议核准2026年1月1日至2027年12月31日期间的计划，以及下一财务期头六个月（即2028年1月1日至2028年6月30日）的临时计划。大会第</w:t>
      </w:r>
      <w:r w:rsidR="00527999" w:rsidRPr="00522D05">
        <w:rPr>
          <w:rFonts w:cs="SimSun" w:hint="eastAsia"/>
          <w:kern w:val="2"/>
          <w:sz w:val="22"/>
          <w:szCs w:val="22"/>
          <w:lang w:val="zh-CN" w:bidi="zh-CN"/>
        </w:rPr>
        <w:t>十</w:t>
      </w:r>
      <w:r w:rsidRPr="00522D05">
        <w:rPr>
          <w:rFonts w:cs="SimSun"/>
          <w:kern w:val="2"/>
          <w:sz w:val="22"/>
          <w:szCs w:val="22"/>
          <w:lang w:val="zh-CN" w:bidi="zh-CN"/>
        </w:rPr>
        <w:t>届会议通过的2026年</w:t>
      </w:r>
      <w:r w:rsidR="00527999" w:rsidRPr="00522D05">
        <w:rPr>
          <w:rFonts w:cs="SimSun" w:hint="eastAsia"/>
          <w:kern w:val="2"/>
          <w:sz w:val="22"/>
          <w:szCs w:val="22"/>
          <w:lang w:val="zh-CN" w:bidi="zh-CN"/>
        </w:rPr>
        <w:t>上半年</w:t>
      </w:r>
      <w:r w:rsidRPr="00522D05">
        <w:rPr>
          <w:rFonts w:cs="SimSun"/>
          <w:kern w:val="2"/>
          <w:sz w:val="22"/>
          <w:szCs w:val="22"/>
          <w:lang w:val="zh-CN" w:bidi="zh-CN"/>
        </w:rPr>
        <w:t>临时预算（第</w:t>
      </w:r>
      <w:r w:rsidR="00F00031" w:rsidRPr="00522D05">
        <w:rPr>
          <w:rFonts w:cs="SimSun"/>
          <w:kern w:val="2"/>
          <w:sz w:val="22"/>
          <w:szCs w:val="22"/>
          <w:lang w:val="zh-CN" w:bidi="zh-CN"/>
        </w:rPr>
        <w:fldChar w:fldCharType="begin"/>
      </w:r>
      <w:r w:rsidR="00522D05" w:rsidRPr="00522D05">
        <w:rPr>
          <w:rFonts w:cs="SimSun"/>
          <w:kern w:val="2"/>
          <w:sz w:val="22"/>
          <w:szCs w:val="22"/>
          <w:lang w:val="zh-CN" w:bidi="zh-CN"/>
        </w:rPr>
        <w:instrText>HYPERLINK "https://ich.unesco.org/doc/src/LHE-24-10.GA-8_ZH.docx?v=1716576378"</w:instrText>
      </w:r>
      <w:r w:rsidR="00F00031" w:rsidRPr="00522D05">
        <w:rPr>
          <w:rFonts w:cs="SimSun"/>
          <w:kern w:val="2"/>
          <w:sz w:val="22"/>
          <w:szCs w:val="22"/>
          <w:lang w:val="zh-CN" w:bidi="zh-CN"/>
        </w:rPr>
      </w:r>
      <w:r w:rsidR="00F00031" w:rsidRPr="00522D05">
        <w:rPr>
          <w:rFonts w:cs="SimSun"/>
          <w:kern w:val="2"/>
          <w:sz w:val="22"/>
          <w:szCs w:val="22"/>
          <w:lang w:val="zh-CN" w:bidi="zh-CN"/>
        </w:rPr>
        <w:fldChar w:fldCharType="separate"/>
      </w:r>
      <w:r w:rsidR="00F00031" w:rsidRPr="00522D05">
        <w:rPr>
          <w:rStyle w:val="Hyperlink"/>
          <w:rFonts w:cs="SimSun"/>
          <w:kern w:val="2"/>
          <w:sz w:val="22"/>
          <w:szCs w:val="22"/>
          <w:lang w:val="zh-CN" w:bidi="zh-CN"/>
        </w:rPr>
        <w:t>10.GA 8</w:t>
      </w:r>
      <w:r w:rsidR="00F00031" w:rsidRPr="00522D05">
        <w:rPr>
          <w:rFonts w:cs="SimSun"/>
          <w:kern w:val="2"/>
          <w:sz w:val="22"/>
          <w:szCs w:val="22"/>
          <w:lang w:val="zh-CN" w:bidi="zh-CN"/>
        </w:rPr>
        <w:fldChar w:fldCharType="end"/>
      </w:r>
      <w:r w:rsidRPr="00522D05">
        <w:rPr>
          <w:rFonts w:cs="SimSun"/>
          <w:kern w:val="2"/>
          <w:sz w:val="22"/>
          <w:szCs w:val="22"/>
          <w:lang w:val="zh-CN" w:bidi="zh-CN"/>
        </w:rPr>
        <w:t>号决议）将在本届大会通过后被本计划取代。</w:t>
      </w:r>
    </w:p>
    <w:p w14:paraId="10A0BD4F" w14:textId="34D63EDC"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建议大会在每一项中根据现有可用资源总额的百分比来分配资金，而不是按绝对数字。这样可在必要时将两年期内收到的分摊纳款按核准的百分比分配给每个预算项目。这样，委员会就能够利用在两年期内可能记入基金帐下的任何重要的不受限制的自愿补充捐款（如第27条所述）。同时，还建议大会像前几届会议所做的那样，授权委员会在收到任何此类捐款时，按照计划中规定的百分比立即使用。</w:t>
      </w:r>
    </w:p>
    <w:p w14:paraId="018B2A1D" w14:textId="09EED5C0"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此外，请大会授权委员会立即使用与具体项目有关的捐款，前提是这些捐款应在委员会2026-2029年批准的两个资金优先</w:t>
      </w:r>
      <w:r w:rsidR="000E233D" w:rsidRPr="00522D05">
        <w:rPr>
          <w:rFonts w:cs="SimSun" w:hint="eastAsia"/>
          <w:kern w:val="2"/>
          <w:sz w:val="22"/>
          <w:szCs w:val="22"/>
          <w:lang w:val="zh-CN" w:bidi="zh-CN"/>
        </w:rPr>
        <w:t>事项</w:t>
      </w:r>
      <w:r w:rsidRPr="00522D05">
        <w:rPr>
          <w:rFonts w:cs="SimSun"/>
          <w:kern w:val="2"/>
          <w:sz w:val="22"/>
          <w:szCs w:val="22"/>
          <w:lang w:val="zh-CN" w:bidi="zh-CN"/>
        </w:rPr>
        <w:t>的范围之内（第</w:t>
      </w:r>
      <w:r w:rsidR="00527999" w:rsidRPr="00522D05">
        <w:rPr>
          <w:rFonts w:cs="SimSun"/>
          <w:kern w:val="2"/>
          <w:sz w:val="22"/>
          <w:szCs w:val="22"/>
          <w:lang w:val="zh-CN" w:bidi="zh-CN"/>
        </w:rPr>
        <w:fldChar w:fldCharType="begin"/>
      </w:r>
      <w:r w:rsidR="00527999" w:rsidRPr="00522D05">
        <w:rPr>
          <w:rFonts w:cs="SimSun"/>
          <w:kern w:val="2"/>
          <w:sz w:val="22"/>
          <w:szCs w:val="22"/>
          <w:lang w:val="zh-CN" w:bidi="zh-CN"/>
        </w:rPr>
        <w:instrText>HYPERLINK "https://ich.unesco.org/en/decisions/20.COM/13"</w:instrText>
      </w:r>
      <w:r w:rsidR="00527999" w:rsidRPr="00522D05">
        <w:rPr>
          <w:rFonts w:cs="SimSun"/>
          <w:kern w:val="2"/>
          <w:sz w:val="22"/>
          <w:szCs w:val="22"/>
          <w:lang w:val="zh-CN" w:bidi="zh-CN"/>
        </w:rPr>
      </w:r>
      <w:r w:rsidR="00527999" w:rsidRPr="00522D05">
        <w:rPr>
          <w:rFonts w:cs="SimSun"/>
          <w:kern w:val="2"/>
          <w:sz w:val="22"/>
          <w:szCs w:val="22"/>
          <w:lang w:val="zh-CN" w:bidi="zh-CN"/>
        </w:rPr>
        <w:fldChar w:fldCharType="separate"/>
      </w:r>
      <w:r w:rsidR="00527999" w:rsidRPr="00522D05">
        <w:rPr>
          <w:rStyle w:val="Hyperlink"/>
          <w:rFonts w:cs="SimSun"/>
          <w:kern w:val="2"/>
          <w:sz w:val="22"/>
          <w:szCs w:val="22"/>
          <w:lang w:val="zh-CN" w:bidi="zh-CN"/>
        </w:rPr>
        <w:t>20.COM 13</w:t>
      </w:r>
      <w:r w:rsidR="00527999" w:rsidRPr="00522D05">
        <w:rPr>
          <w:rFonts w:cs="SimSun"/>
          <w:kern w:val="2"/>
          <w:sz w:val="22"/>
          <w:szCs w:val="22"/>
          <w:lang w:val="zh-CN" w:bidi="zh-CN"/>
        </w:rPr>
        <w:fldChar w:fldCharType="end"/>
      </w:r>
      <w:r w:rsidRPr="00522D05">
        <w:rPr>
          <w:rFonts w:cs="SimSun"/>
          <w:kern w:val="2"/>
          <w:sz w:val="22"/>
          <w:szCs w:val="22"/>
          <w:lang w:val="zh-CN" w:bidi="zh-CN"/>
        </w:rPr>
        <w:t>号决定）：“加强以人类福祉和社区赋能为重点的非物质文化遗产保护能力建设方法”（资金优先</w:t>
      </w:r>
      <w:r w:rsidR="000E233D" w:rsidRPr="00522D05">
        <w:rPr>
          <w:rFonts w:cs="SimSun" w:hint="eastAsia"/>
          <w:kern w:val="2"/>
          <w:sz w:val="22"/>
          <w:szCs w:val="22"/>
          <w:lang w:val="zh-CN" w:bidi="zh-CN"/>
        </w:rPr>
        <w:t>事项</w:t>
      </w:r>
      <w:r w:rsidRPr="00522D05">
        <w:rPr>
          <w:rFonts w:cs="SimSun"/>
          <w:kern w:val="2"/>
          <w:sz w:val="22"/>
          <w:szCs w:val="22"/>
          <w:lang w:val="zh-CN" w:bidi="zh-CN"/>
        </w:rPr>
        <w:t>A），以及“完善非物质文化遗产保护方法”（资金优先</w:t>
      </w:r>
      <w:r w:rsidR="000E233D" w:rsidRPr="00522D05">
        <w:rPr>
          <w:rFonts w:cs="SimSun" w:hint="eastAsia"/>
          <w:kern w:val="2"/>
          <w:sz w:val="22"/>
          <w:szCs w:val="22"/>
          <w:lang w:val="zh-CN" w:bidi="zh-CN"/>
        </w:rPr>
        <w:t>事项</w:t>
      </w:r>
      <w:r w:rsidRPr="00522D05">
        <w:rPr>
          <w:rFonts w:cs="SimSun"/>
          <w:kern w:val="2"/>
          <w:sz w:val="22"/>
          <w:szCs w:val="22"/>
          <w:lang w:val="zh-CN" w:bidi="zh-CN"/>
        </w:rPr>
        <w:t>B）。2024-2025年收到的此类捐款以及其他自愿补充捐款和捐助者的清单可在信息文件</w:t>
      </w:r>
      <w:r w:rsidR="00554627" w:rsidRPr="00554627">
        <w:rPr>
          <w:rFonts w:cs="SimSun"/>
          <w:kern w:val="2"/>
          <w:sz w:val="22"/>
          <w:szCs w:val="22"/>
          <w:lang w:val="zh-CN" w:bidi="zh-CN"/>
        </w:rPr>
        <w:fldChar w:fldCharType="begin"/>
      </w:r>
      <w:r w:rsidR="00554627" w:rsidRPr="00554627">
        <w:rPr>
          <w:rFonts w:cs="SimSun"/>
          <w:kern w:val="2"/>
          <w:sz w:val="22"/>
          <w:szCs w:val="22"/>
          <w:lang w:val="zh-CN" w:bidi="zh-CN"/>
        </w:rPr>
        <w:instrText>HYPERLINK "https://ich.unesco.org/doc/src/LHE-26-11.GA-INF.8_EN.docx"</w:instrText>
      </w:r>
      <w:r w:rsidR="00554627" w:rsidRPr="00554627">
        <w:rPr>
          <w:rFonts w:cs="SimSun"/>
          <w:kern w:val="2"/>
          <w:sz w:val="22"/>
          <w:szCs w:val="22"/>
          <w:lang w:val="zh-CN" w:bidi="zh-CN"/>
        </w:rPr>
      </w:r>
      <w:r w:rsidR="00554627" w:rsidRPr="00554627">
        <w:rPr>
          <w:rFonts w:cs="SimSun"/>
          <w:kern w:val="2"/>
          <w:sz w:val="22"/>
          <w:szCs w:val="22"/>
          <w:lang w:val="zh-CN" w:bidi="zh-CN"/>
        </w:rPr>
        <w:fldChar w:fldCharType="separate"/>
      </w:r>
      <w:r w:rsidRPr="00554627">
        <w:rPr>
          <w:rStyle w:val="Hyperlink"/>
          <w:rFonts w:cs="SimSun"/>
          <w:kern w:val="2"/>
          <w:sz w:val="22"/>
          <w:szCs w:val="22"/>
          <w:lang w:val="zh-CN" w:bidi="zh-CN"/>
        </w:rPr>
        <w:t>LHE/26/11.GA/INF.8</w:t>
      </w:r>
      <w:r w:rsidR="00554627" w:rsidRPr="00554627">
        <w:rPr>
          <w:rFonts w:cs="SimSun"/>
          <w:kern w:val="2"/>
          <w:sz w:val="22"/>
          <w:szCs w:val="22"/>
          <w:lang w:val="zh-CN" w:bidi="zh-CN"/>
        </w:rPr>
        <w:fldChar w:fldCharType="end"/>
      </w:r>
      <w:r w:rsidRPr="00554627">
        <w:rPr>
          <w:rFonts w:cs="SimSun"/>
          <w:kern w:val="2"/>
          <w:sz w:val="22"/>
          <w:szCs w:val="22"/>
          <w:lang w:val="zh-CN" w:bidi="zh-CN"/>
        </w:rPr>
        <w:t>中查看</w:t>
      </w:r>
      <w:r w:rsidRPr="00522D05">
        <w:rPr>
          <w:rFonts w:cs="SimSun"/>
          <w:kern w:val="2"/>
          <w:sz w:val="22"/>
          <w:szCs w:val="22"/>
          <w:lang w:val="zh-CN" w:bidi="zh-CN"/>
        </w:rPr>
        <w:t>。</w:t>
      </w:r>
    </w:p>
    <w:p w14:paraId="52DB46AB" w14:textId="5A532DFD"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本文件首先概述了基金的现状和当前的趋势，包括用于加强秘书处人力资源的子基金的最新情况（第I部分）。然后提出2026-2027年期间基金资源的拟议使用计划，并说明每个预算项目的</w:t>
      </w:r>
      <w:r w:rsidR="000E233D" w:rsidRPr="00522D05">
        <w:rPr>
          <w:rFonts w:cs="SimSun" w:hint="eastAsia"/>
          <w:kern w:val="2"/>
          <w:sz w:val="22"/>
          <w:szCs w:val="22"/>
          <w:lang w:val="zh-CN" w:bidi="zh-CN"/>
        </w:rPr>
        <w:t>依据</w:t>
      </w:r>
      <w:r w:rsidRPr="00522D05">
        <w:rPr>
          <w:rFonts w:cs="SimSun"/>
          <w:kern w:val="2"/>
          <w:sz w:val="22"/>
          <w:szCs w:val="22"/>
          <w:lang w:val="zh-CN" w:bidi="zh-CN"/>
        </w:rPr>
        <w:t>（第II部分）。</w:t>
      </w:r>
    </w:p>
    <w:p w14:paraId="4132E770" w14:textId="655B28F2" w:rsidR="00C4749C" w:rsidRPr="00554627" w:rsidRDefault="00C4749C" w:rsidP="00554627">
      <w:pPr>
        <w:pStyle w:val="COMPara"/>
        <w:numPr>
          <w:ilvl w:val="0"/>
          <w:numId w:val="13"/>
        </w:numPr>
        <w:spacing w:before="240"/>
        <w:ind w:left="360" w:hanging="360"/>
        <w:rPr>
          <w:b/>
          <w:kern w:val="2"/>
          <w:lang w:val="zh-CN" w:bidi="zh-CN"/>
        </w:rPr>
      </w:pPr>
      <w:r w:rsidRPr="00554627">
        <w:rPr>
          <w:rFonts w:ascii="SimSun" w:hAnsi="SimSun"/>
          <w:b/>
          <w:kern w:val="2"/>
          <w:lang w:val="zh-CN" w:bidi="zh-CN"/>
        </w:rPr>
        <w:t>现状和趋势</w:t>
      </w:r>
    </w:p>
    <w:p w14:paraId="58E58668" w14:textId="7123D75F"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基于</w:t>
      </w:r>
      <w:r w:rsidR="00554627" w:rsidRPr="00554627">
        <w:rPr>
          <w:rFonts w:cs="SimSun"/>
          <w:kern w:val="2"/>
          <w:sz w:val="22"/>
          <w:szCs w:val="22"/>
          <w:lang w:val="zh-CN" w:bidi="zh-CN"/>
        </w:rPr>
        <w:fldChar w:fldCharType="begin"/>
      </w:r>
      <w:r w:rsidR="00554627" w:rsidRPr="00554627">
        <w:rPr>
          <w:rFonts w:cs="SimSun"/>
          <w:kern w:val="2"/>
          <w:sz w:val="22"/>
          <w:szCs w:val="22"/>
          <w:lang w:val="zh-CN" w:bidi="zh-CN"/>
        </w:rPr>
        <w:instrText>HYPERLINK "https://ich.unesco.org/doc/src/LHE-26-11.GA-INF.8_EN.docx"</w:instrText>
      </w:r>
      <w:r w:rsidR="00554627" w:rsidRPr="00554627">
        <w:rPr>
          <w:rFonts w:cs="SimSun"/>
          <w:kern w:val="2"/>
          <w:sz w:val="22"/>
          <w:szCs w:val="22"/>
          <w:lang w:val="zh-CN" w:bidi="zh-CN"/>
        </w:rPr>
      </w:r>
      <w:r w:rsidR="00554627" w:rsidRPr="00554627">
        <w:rPr>
          <w:rFonts w:cs="SimSun"/>
          <w:kern w:val="2"/>
          <w:sz w:val="22"/>
          <w:szCs w:val="22"/>
          <w:lang w:val="zh-CN" w:bidi="zh-CN"/>
        </w:rPr>
        <w:fldChar w:fldCharType="separate"/>
      </w:r>
      <w:r w:rsidRPr="00554627">
        <w:rPr>
          <w:rStyle w:val="Hyperlink"/>
          <w:rFonts w:cs="SimSun"/>
          <w:kern w:val="2"/>
          <w:sz w:val="22"/>
          <w:szCs w:val="22"/>
          <w:lang w:val="zh-CN" w:bidi="zh-CN"/>
        </w:rPr>
        <w:t>LHE/26/11.GA/INF.8</w:t>
      </w:r>
      <w:r w:rsidR="00554627" w:rsidRPr="00554627">
        <w:rPr>
          <w:rFonts w:cs="SimSun"/>
          <w:kern w:val="2"/>
          <w:sz w:val="22"/>
          <w:szCs w:val="22"/>
          <w:lang w:val="zh-CN" w:bidi="zh-CN"/>
        </w:rPr>
        <w:fldChar w:fldCharType="end"/>
      </w:r>
      <w:r w:rsidRPr="00554627">
        <w:rPr>
          <w:rFonts w:cs="SimSun"/>
          <w:kern w:val="2"/>
          <w:sz w:val="22"/>
          <w:szCs w:val="22"/>
          <w:lang w:val="zh-CN" w:bidi="zh-CN"/>
        </w:rPr>
        <w:t>号文件所含的</w:t>
      </w:r>
      <w:r w:rsidR="001308AF" w:rsidRPr="00522D05">
        <w:rPr>
          <w:rFonts w:cs="SimSun"/>
          <w:kern w:val="2"/>
          <w:sz w:val="22"/>
          <w:szCs w:val="22"/>
          <w:lang w:val="zh-CN" w:bidi="zh-CN"/>
        </w:rPr>
        <w:t>2024年1月1日至2025年12月31日期间</w:t>
      </w:r>
      <w:r w:rsidRPr="00522D05">
        <w:rPr>
          <w:rFonts w:cs="SimSun"/>
          <w:kern w:val="2"/>
          <w:sz w:val="22"/>
          <w:szCs w:val="22"/>
          <w:lang w:val="zh-CN" w:bidi="zh-CN"/>
        </w:rPr>
        <w:t>财务报告，并根据</w:t>
      </w:r>
      <w:hyperlink r:id="rId9" w:history="1">
        <w:r w:rsidRPr="00554627">
          <w:rPr>
            <w:rStyle w:val="Hyperlink"/>
          </w:rPr>
          <w:t>LHE/25/20.COM/14</w:t>
        </w:r>
      </w:hyperlink>
      <w:r w:rsidRPr="00522D05">
        <w:rPr>
          <w:rFonts w:cs="SimSun"/>
          <w:kern w:val="2"/>
          <w:sz w:val="22"/>
          <w:szCs w:val="22"/>
          <w:lang w:val="zh-CN" w:bidi="zh-CN"/>
        </w:rPr>
        <w:t>号文件所概述的趋势分析，这一部分将描述截至2025年12月31日的基金支出和分摊纳款的演变情况。</w:t>
      </w:r>
    </w:p>
    <w:p w14:paraId="786231FF" w14:textId="77777777" w:rsidR="00C4749C" w:rsidRPr="00522D05" w:rsidRDefault="00C4749C" w:rsidP="00554627">
      <w:pPr>
        <w:pStyle w:val="GAPara"/>
      </w:pPr>
      <w:r w:rsidRPr="00522D05">
        <w:t>支出</w:t>
      </w:r>
    </w:p>
    <w:p w14:paraId="6A250B41" w14:textId="120966A0"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截至2025年12月31日，大会批准的最新计划的</w:t>
      </w:r>
      <w:r w:rsidRPr="00554627">
        <w:rPr>
          <w:rFonts w:cs="SimSun"/>
          <w:b/>
          <w:bCs/>
          <w:kern w:val="2"/>
          <w:sz w:val="22"/>
          <w:szCs w:val="22"/>
          <w:lang w:val="zh-CN" w:bidi="zh-CN"/>
        </w:rPr>
        <w:t>支出</w:t>
      </w:r>
      <w:r w:rsidRPr="00522D05">
        <w:rPr>
          <w:rFonts w:cs="SimSun"/>
          <w:kern w:val="2"/>
          <w:sz w:val="22"/>
          <w:szCs w:val="22"/>
          <w:lang w:val="zh-CN" w:bidi="zh-CN"/>
        </w:rPr>
        <w:t>率已上升至76.9%（相比之下，前一个两年期为73.2%，2016至2025年过去十年的平均支出率为61%），</w:t>
      </w:r>
      <w:r w:rsidR="00856446" w:rsidRPr="00522D05">
        <w:rPr>
          <w:rFonts w:cs="SimSun" w:hint="eastAsia"/>
          <w:kern w:val="2"/>
          <w:sz w:val="22"/>
          <w:szCs w:val="22"/>
          <w:lang w:val="zh-CN" w:bidi="zh-CN"/>
        </w:rPr>
        <w:t>达到</w:t>
      </w:r>
      <w:r w:rsidRPr="00522D05">
        <w:rPr>
          <w:rFonts w:cs="SimSun"/>
          <w:kern w:val="2"/>
          <w:sz w:val="22"/>
          <w:szCs w:val="22"/>
          <w:lang w:val="zh-CN" w:bidi="zh-CN"/>
        </w:rPr>
        <w:t>该基金的最高支出率。这标志着支出率连续第二个两年期达到较高水平。</w:t>
      </w:r>
    </w:p>
    <w:p w14:paraId="2A2DB420" w14:textId="79513916"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2024-2025两年期间的支出为629万美元，与2022-2023两年期处于相当水平，达到639万美元（见图1）。该数额大大超过了2024–2025两年期的分摊纳款总额（473万美元），这正是该基金最大的收入来源。</w:t>
      </w:r>
      <w:r w:rsidRPr="00554627">
        <w:rPr>
          <w:rFonts w:cs="SimSun"/>
          <w:kern w:val="2"/>
          <w:sz w:val="22"/>
          <w:szCs w:val="22"/>
          <w:lang w:val="zh-CN" w:bidi="zh-CN"/>
        </w:rPr>
        <w:t>这</w:t>
      </w:r>
      <w:r w:rsidR="00707E6E" w:rsidRPr="00554627">
        <w:rPr>
          <w:rFonts w:hint="eastAsia"/>
          <w:sz w:val="22"/>
          <w:szCs w:val="22"/>
        </w:rPr>
        <w:t>一支出的增加，</w:t>
      </w:r>
      <w:r w:rsidRPr="00554627">
        <w:rPr>
          <w:rFonts w:cs="SimSun"/>
          <w:kern w:val="2"/>
          <w:sz w:val="22"/>
          <w:szCs w:val="22"/>
          <w:lang w:val="zh-CN" w:bidi="zh-CN"/>
        </w:rPr>
        <w:t>与《公约》的持续发展相</w:t>
      </w:r>
      <w:r w:rsidR="00707E6E" w:rsidRPr="00554627">
        <w:rPr>
          <w:rFonts w:cs="SimSun" w:hint="eastAsia"/>
          <w:kern w:val="2"/>
          <w:sz w:val="22"/>
          <w:szCs w:val="22"/>
          <w:lang w:val="zh-CN" w:bidi="zh-CN"/>
        </w:rPr>
        <w:t>对应</w:t>
      </w:r>
      <w:r w:rsidRPr="00554627">
        <w:rPr>
          <w:rFonts w:cs="SimSun"/>
          <w:kern w:val="2"/>
          <w:sz w:val="22"/>
          <w:szCs w:val="22"/>
          <w:lang w:val="zh-CN" w:bidi="zh-CN"/>
        </w:rPr>
        <w:t>。《公约》现已覆盖越来越多的缔约国和社区，同</w:t>
      </w:r>
      <w:r w:rsidRPr="00522D05">
        <w:rPr>
          <w:rFonts w:cs="SimSun"/>
          <w:kern w:val="2"/>
          <w:sz w:val="22"/>
          <w:szCs w:val="22"/>
          <w:lang w:val="zh-CN" w:bidi="zh-CN"/>
        </w:rPr>
        <w:t>时涉及更广泛的专题领域，彰显了保护活态遗产对于可持续发展的重要意义（</w:t>
      </w:r>
      <w:bookmarkStart w:id="1" w:name="_Hlk162009935"/>
      <w:r w:rsidRPr="00522D05">
        <w:rPr>
          <w:rFonts w:cs="SimSun"/>
          <w:kern w:val="2"/>
          <w:sz w:val="22"/>
          <w:szCs w:val="22"/>
          <w:lang w:val="zh-CN" w:bidi="zh-CN"/>
        </w:rPr>
        <w:t>参见</w:t>
      </w:r>
      <w:bookmarkEnd w:id="1"/>
      <w:r w:rsidR="00554627" w:rsidRPr="00554627">
        <w:rPr>
          <w:rFonts w:cs="SimSun"/>
          <w:kern w:val="2"/>
          <w:sz w:val="22"/>
          <w:szCs w:val="22"/>
          <w:lang w:val="zh-CN" w:bidi="zh-CN"/>
        </w:rPr>
        <w:fldChar w:fldCharType="begin"/>
      </w:r>
      <w:r w:rsidR="00554627" w:rsidRPr="00554627">
        <w:rPr>
          <w:rFonts w:cs="SimSun"/>
          <w:kern w:val="2"/>
          <w:sz w:val="22"/>
          <w:szCs w:val="22"/>
          <w:lang w:val="zh-CN" w:bidi="zh-CN"/>
        </w:rPr>
        <w:instrText>HYPERLINK "https://ich.unesco.org/doc/src/LHE-26-11.GA-6_ZH.docx"</w:instrText>
      </w:r>
      <w:r w:rsidR="00554627" w:rsidRPr="00554627">
        <w:rPr>
          <w:rFonts w:cs="SimSun"/>
          <w:kern w:val="2"/>
          <w:sz w:val="22"/>
          <w:szCs w:val="22"/>
          <w:lang w:val="zh-CN" w:bidi="zh-CN"/>
        </w:rPr>
      </w:r>
      <w:r w:rsidR="00554627" w:rsidRPr="00554627">
        <w:rPr>
          <w:rFonts w:cs="SimSun"/>
          <w:kern w:val="2"/>
          <w:sz w:val="22"/>
          <w:szCs w:val="22"/>
          <w:lang w:val="zh-CN" w:bidi="zh-CN"/>
        </w:rPr>
        <w:fldChar w:fldCharType="separate"/>
      </w:r>
      <w:r w:rsidRPr="00554627">
        <w:rPr>
          <w:rStyle w:val="Hyperlink"/>
          <w:rFonts w:cs="SimSun"/>
          <w:kern w:val="2"/>
          <w:sz w:val="22"/>
          <w:szCs w:val="22"/>
          <w:lang w:val="zh-CN" w:bidi="zh-CN"/>
        </w:rPr>
        <w:t>LHE/26/11.GA/6</w:t>
      </w:r>
      <w:r w:rsidR="00554627" w:rsidRPr="00554627">
        <w:rPr>
          <w:rFonts w:cs="SimSun"/>
          <w:kern w:val="2"/>
          <w:sz w:val="22"/>
          <w:szCs w:val="22"/>
          <w:lang w:val="zh-CN" w:bidi="zh-CN"/>
        </w:rPr>
        <w:fldChar w:fldCharType="end"/>
      </w:r>
      <w:r w:rsidRPr="00554627">
        <w:rPr>
          <w:rFonts w:cs="SimSun"/>
          <w:kern w:val="2"/>
          <w:sz w:val="22"/>
          <w:szCs w:val="22"/>
          <w:lang w:val="zh-CN" w:bidi="zh-CN"/>
        </w:rPr>
        <w:t>、</w:t>
      </w:r>
      <w:hyperlink r:id="rId10" w:history="1">
        <w:r w:rsidRPr="00554627">
          <w:rPr>
            <w:rStyle w:val="Hyperlink"/>
            <w:rFonts w:cs="SimSun"/>
            <w:kern w:val="2"/>
            <w:sz w:val="22"/>
            <w:szCs w:val="22"/>
            <w:lang w:val="zh-CN" w:bidi="zh-CN"/>
          </w:rPr>
          <w:t>LHE/26/11.GA/INF.8</w:t>
        </w:r>
      </w:hyperlink>
      <w:r w:rsidRPr="00554627">
        <w:rPr>
          <w:rFonts w:cs="SimSun"/>
          <w:kern w:val="2"/>
          <w:sz w:val="22"/>
          <w:szCs w:val="22"/>
          <w:lang w:val="zh-CN" w:bidi="zh-CN"/>
        </w:rPr>
        <w:t>和</w:t>
      </w:r>
      <w:hyperlink r:id="rId11" w:history="1">
        <w:r w:rsidRPr="00554627">
          <w:rPr>
            <w:rStyle w:val="Hyperlink"/>
            <w:sz w:val="22"/>
          </w:rPr>
          <w:t>LHE/25/20.COM/14</w:t>
        </w:r>
      </w:hyperlink>
      <w:r w:rsidRPr="00522D05">
        <w:rPr>
          <w:rFonts w:cs="SimSun"/>
          <w:kern w:val="2"/>
          <w:sz w:val="22"/>
          <w:szCs w:val="22"/>
          <w:lang w:val="zh-CN" w:bidi="zh-CN"/>
        </w:rPr>
        <w:t>号文件）。之所以能达到如此高的支出水平，甚至超过了收入水平，是因为动用了从以往两年期结转下来的剩余资金。</w:t>
      </w:r>
    </w:p>
    <w:p w14:paraId="3663FE9A" w14:textId="266B68B3" w:rsidR="00C4749C" w:rsidRPr="000463B5" w:rsidRDefault="00AE131B" w:rsidP="00554627">
      <w:pPr>
        <w:pStyle w:val="GAPara"/>
      </w:pPr>
      <w:r w:rsidRPr="00AE131B">
        <w:rPr>
          <w:noProof/>
        </w:rPr>
        <w:lastRenderedPageBreak/>
        <w:drawing>
          <wp:inline distT="0" distB="0" distL="0" distR="0" wp14:anchorId="11B5CF0B" wp14:editId="0DC634F2">
            <wp:extent cx="5895833" cy="3600018"/>
            <wp:effectExtent l="0" t="0" r="0" b="635"/>
            <wp:docPr id="61384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42762" name=""/>
                    <pic:cNvPicPr/>
                  </pic:nvPicPr>
                  <pic:blipFill>
                    <a:blip r:embed="rId12"/>
                    <a:stretch>
                      <a:fillRect/>
                    </a:stretch>
                  </pic:blipFill>
                  <pic:spPr>
                    <a:xfrm>
                      <a:off x="0" y="0"/>
                      <a:ext cx="5901197" cy="3603294"/>
                    </a:xfrm>
                    <a:prstGeom prst="rect">
                      <a:avLst/>
                    </a:prstGeom>
                  </pic:spPr>
                </pic:pic>
              </a:graphicData>
            </a:graphic>
          </wp:inline>
        </w:drawing>
      </w:r>
    </w:p>
    <w:p w14:paraId="352B1EA8" w14:textId="77777777" w:rsidR="00C4749C" w:rsidRPr="00554627" w:rsidRDefault="00C4749C" w:rsidP="00DF64A5">
      <w:pPr>
        <w:spacing w:after="120"/>
        <w:ind w:right="201" w:firstLine="567"/>
        <w:rPr>
          <w:rFonts w:cs="Arial"/>
          <w:kern w:val="2"/>
          <w:sz w:val="22"/>
          <w:szCs w:val="22"/>
          <w:lang w:val="en-GB"/>
        </w:rPr>
      </w:pPr>
      <w:r w:rsidRPr="00554627">
        <w:rPr>
          <w:rFonts w:cs="Arial"/>
          <w:b/>
          <w:kern w:val="2"/>
          <w:sz w:val="22"/>
          <w:szCs w:val="22"/>
          <w:lang w:val="zh-CN" w:bidi="zh-CN"/>
        </w:rPr>
        <w:t>图1：</w:t>
      </w:r>
      <w:r w:rsidRPr="00554627">
        <w:rPr>
          <w:rFonts w:cs="Arial"/>
          <w:kern w:val="2"/>
          <w:sz w:val="22"/>
          <w:szCs w:val="22"/>
          <w:lang w:val="zh-CN" w:bidi="zh-CN"/>
        </w:rPr>
        <w:t>2016年1月至2025年12月基金支出的演变情况。</w:t>
      </w:r>
    </w:p>
    <w:p w14:paraId="5243DC29" w14:textId="77777777" w:rsidR="00C4749C" w:rsidRPr="00554627" w:rsidRDefault="00C4749C" w:rsidP="00554627">
      <w:pPr>
        <w:pStyle w:val="GAPara"/>
      </w:pPr>
      <w:r w:rsidRPr="00522D05">
        <w:t>国际援助</w:t>
      </w:r>
    </w:p>
    <w:p w14:paraId="1061F587" w14:textId="77777777"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在本报告所述期间，各缔约国继续广泛使用</w:t>
      </w:r>
      <w:r w:rsidRPr="00554627">
        <w:rPr>
          <w:rFonts w:cs="SimSun"/>
          <w:b/>
          <w:bCs/>
          <w:kern w:val="2"/>
          <w:sz w:val="22"/>
          <w:szCs w:val="22"/>
          <w:lang w:val="zh-CN" w:bidi="zh-CN"/>
        </w:rPr>
        <w:t>国际援助机制</w:t>
      </w:r>
      <w:r w:rsidRPr="00522D05">
        <w:rPr>
          <w:rFonts w:cs="SimSun"/>
          <w:kern w:val="2"/>
          <w:sz w:val="22"/>
          <w:szCs w:val="22"/>
          <w:lang w:val="zh-CN" w:bidi="zh-CN"/>
        </w:rPr>
        <w:t>。图2（下图）显示，与预算项目1、1.1和2相对应，专用于国际援助机制的资金使用有所上升。这三个合并预算项目的支出率达到74%，高于2022–2023两年期的71%，是迄今为止最高的支出执行率。这些机制运行状况良好，主要归因于以下几个因素：</w:t>
      </w:r>
    </w:p>
    <w:p w14:paraId="1914ED59" w14:textId="77777777" w:rsidR="00C4749C" w:rsidRPr="00522D05" w:rsidRDefault="00C4749C" w:rsidP="00A71122">
      <w:pPr>
        <w:pStyle w:val="COMPara"/>
        <w:numPr>
          <w:ilvl w:val="0"/>
          <w:numId w:val="7"/>
        </w:numPr>
        <w:rPr>
          <w:rFonts w:ascii="SimSun" w:hAnsi="SimSun" w:cstheme="minorBidi"/>
          <w:kern w:val="2"/>
        </w:rPr>
      </w:pPr>
      <w:r w:rsidRPr="00522D05">
        <w:rPr>
          <w:rFonts w:ascii="SimSun" w:hAnsi="SimSun"/>
          <w:kern w:val="2"/>
          <w:lang w:val="zh-CN" w:bidi="zh-CN"/>
        </w:rPr>
        <w:t>机制的地域范围继续扩大，迄今共有八十八个缔约国受益于国际援助，</w:t>
      </w:r>
      <w:r w:rsidRPr="00522D05">
        <w:rPr>
          <w:rFonts w:ascii="SimSun" w:hAnsi="SimSun" w:cstheme="minorBidi"/>
          <w:kern w:val="2"/>
          <w:lang w:val="zh-CN" w:bidi="zh-CN"/>
        </w:rPr>
        <w:t>其中包括十五个在本报告所述期间首次获得此类援助的缔约国（六个来自非洲，五个是小岛屿发展中国家）</w:t>
      </w:r>
      <w:r w:rsidRPr="00522D05">
        <w:rPr>
          <w:rFonts w:ascii="SimSun" w:hAnsi="SimSun"/>
          <w:kern w:val="2"/>
          <w:lang w:val="zh-CN" w:bidi="zh-CN"/>
        </w:rPr>
        <w:t xml:space="preserve">； </w:t>
      </w:r>
    </w:p>
    <w:p w14:paraId="52E236BD" w14:textId="788D1E61" w:rsidR="00C4749C" w:rsidRPr="00522D05" w:rsidRDefault="00C4749C" w:rsidP="00A71122">
      <w:pPr>
        <w:pStyle w:val="COMPara"/>
        <w:numPr>
          <w:ilvl w:val="0"/>
          <w:numId w:val="7"/>
        </w:numPr>
        <w:rPr>
          <w:rFonts w:ascii="SimSun" w:hAnsi="SimSun"/>
          <w:kern w:val="2"/>
        </w:rPr>
      </w:pPr>
      <w:r w:rsidRPr="00522D05">
        <w:rPr>
          <w:rFonts w:ascii="SimSun" w:hAnsi="SimSun"/>
          <w:kern w:val="2"/>
          <w:lang w:val="zh-CN" w:bidi="zh-CN"/>
        </w:rPr>
        <w:t>结合对《公约》名录列入机制的全球反思，筹备性援助的范围得以拓宽，2024年和2025年</w:t>
      </w:r>
      <w:r w:rsidR="00B65863" w:rsidRPr="00522D05">
        <w:rPr>
          <w:rFonts w:ascii="SimSun" w:hAnsi="SimSun" w:hint="eastAsia"/>
          <w:kern w:val="2"/>
          <w:lang w:val="zh-CN" w:bidi="zh-CN"/>
        </w:rPr>
        <w:t>间</w:t>
      </w:r>
      <w:r w:rsidRPr="00522D05">
        <w:rPr>
          <w:rFonts w:ascii="SimSun" w:hAnsi="SimSun"/>
          <w:kern w:val="2"/>
          <w:lang w:val="zh-CN" w:bidi="zh-CN"/>
        </w:rPr>
        <w:t>共批准了八项申请（相比之下，2014年至2023年期间批准的申请总数仅为六项）；</w:t>
      </w:r>
    </w:p>
    <w:p w14:paraId="4B5ACE78" w14:textId="019C5C25" w:rsidR="00C4749C" w:rsidRPr="00522D05" w:rsidRDefault="00C4749C" w:rsidP="00A71122">
      <w:pPr>
        <w:pStyle w:val="COMPara"/>
        <w:numPr>
          <w:ilvl w:val="0"/>
          <w:numId w:val="7"/>
        </w:numPr>
        <w:rPr>
          <w:rFonts w:ascii="SimSun" w:hAnsi="SimSun"/>
          <w:kern w:val="2"/>
        </w:rPr>
      </w:pPr>
      <w:r w:rsidRPr="00522D05">
        <w:rPr>
          <w:rFonts w:ascii="SimSun" w:hAnsi="SimSun"/>
          <w:kern w:val="2"/>
          <w:lang w:val="zh-CN" w:bidi="zh-CN"/>
        </w:rPr>
        <w:t>秘书处在</w:t>
      </w:r>
      <w:r w:rsidR="00AE49F2" w:rsidRPr="00522D05">
        <w:rPr>
          <w:rFonts w:ascii="SimSun" w:hAnsi="SimSun" w:hint="eastAsia"/>
          <w:kern w:val="2"/>
          <w:lang w:val="zh-CN" w:bidi="zh-CN"/>
        </w:rPr>
        <w:t>申请编制阶段</w:t>
      </w:r>
      <w:r w:rsidRPr="00522D05">
        <w:rPr>
          <w:rFonts w:ascii="SimSun" w:hAnsi="SimSun"/>
          <w:kern w:val="2"/>
          <w:lang w:val="zh-CN" w:bidi="zh-CN"/>
        </w:rPr>
        <w:t>向申请国提供了前期技术支持（自2024年1月以来已有五个受益缔约国），这有助于在本报告所述期间向主席团提交的国际援助申请获得批准。</w:t>
      </w:r>
    </w:p>
    <w:p w14:paraId="75AFBB51" w14:textId="522F4018" w:rsidR="00C4749C" w:rsidRPr="00522D05" w:rsidRDefault="00C4749C" w:rsidP="00A71122">
      <w:pPr>
        <w:pStyle w:val="COMPara"/>
        <w:numPr>
          <w:ilvl w:val="0"/>
          <w:numId w:val="0"/>
        </w:numPr>
        <w:ind w:left="567"/>
        <w:rPr>
          <w:rFonts w:ascii="SimSun" w:hAnsi="SimSun"/>
          <w:b/>
          <w:bCs/>
          <w:kern w:val="2"/>
        </w:rPr>
      </w:pPr>
      <w:r w:rsidRPr="00522D05">
        <w:rPr>
          <w:rFonts w:ascii="SimSun" w:hAnsi="SimSun"/>
          <w:kern w:val="2"/>
          <w:lang w:val="zh-CN" w:bidi="zh-CN"/>
        </w:rPr>
        <w:t>关于国际援助机制实施情况的详细报告可见</w:t>
      </w:r>
      <w:hyperlink r:id="rId13" w:history="1">
        <w:r w:rsidRPr="00522D05">
          <w:rPr>
            <w:rStyle w:val="Hyperlink"/>
            <w:rFonts w:ascii="SimSun" w:hAnsi="SimSun"/>
            <w:kern w:val="2"/>
            <w:lang w:val="zh-CN" w:bidi="zh-CN"/>
          </w:rPr>
          <w:t>LHE/25/20.COM/10</w:t>
        </w:r>
      </w:hyperlink>
      <w:r w:rsidRPr="00522D05">
        <w:rPr>
          <w:rFonts w:ascii="SimSun" w:hAnsi="SimSun"/>
          <w:kern w:val="2"/>
          <w:lang w:val="zh-CN" w:bidi="zh-CN"/>
        </w:rPr>
        <w:t>号文件。有关2024年1月1日至2025年12月31日期间预算项目1、1.1和2项下支出的更多信息，</w:t>
      </w:r>
      <w:r w:rsidR="00EC47D9" w:rsidRPr="00522D05">
        <w:rPr>
          <w:rFonts w:ascii="SimSun" w:hAnsi="SimSun" w:hint="eastAsia"/>
          <w:kern w:val="2"/>
          <w:lang w:val="zh-CN" w:bidi="zh-CN"/>
        </w:rPr>
        <w:t>见</w:t>
      </w:r>
      <w:hyperlink r:id="rId14" w:history="1">
        <w:r w:rsidRPr="00554627">
          <w:rPr>
            <w:rStyle w:val="Hyperlink"/>
            <w:rFonts w:ascii="SimSun" w:hAnsi="SimSun"/>
            <w:kern w:val="2"/>
            <w:lang w:val="zh-CN" w:bidi="zh-CN"/>
          </w:rPr>
          <w:t>LHE/26/11.GA/INF.8</w:t>
        </w:r>
      </w:hyperlink>
      <w:r w:rsidRPr="00522D05">
        <w:rPr>
          <w:rFonts w:ascii="SimSun" w:hAnsi="SimSun"/>
          <w:kern w:val="2"/>
          <w:lang w:val="zh-CN" w:bidi="zh-CN"/>
        </w:rPr>
        <w:t>号文件。</w:t>
      </w:r>
    </w:p>
    <w:p w14:paraId="71B1F794" w14:textId="7D31121B" w:rsidR="00C4749C" w:rsidRPr="00522D05" w:rsidRDefault="000E0708" w:rsidP="00DF64A5">
      <w:pPr>
        <w:pStyle w:val="COMPara"/>
        <w:numPr>
          <w:ilvl w:val="0"/>
          <w:numId w:val="0"/>
        </w:numPr>
        <w:ind w:left="567"/>
        <w:rPr>
          <w:rFonts w:ascii="SimSun" w:hAnsi="SimSun"/>
          <w:b/>
          <w:bCs/>
          <w:kern w:val="2"/>
        </w:rPr>
      </w:pPr>
      <w:r w:rsidRPr="00522D05">
        <w:rPr>
          <w:rFonts w:ascii="SimSun" w:hAnsi="SimSun"/>
          <w:noProof/>
          <w:kern w:val="2"/>
          <w14:ligatures w14:val="standardContextual"/>
        </w:rPr>
        <w:lastRenderedPageBreak/>
        <w:drawing>
          <wp:inline distT="0" distB="0" distL="0" distR="0" wp14:anchorId="5E90830D" wp14:editId="40FE04A5">
            <wp:extent cx="5681381" cy="2428646"/>
            <wp:effectExtent l="0" t="0" r="0" b="0"/>
            <wp:docPr id="209721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15761" name=""/>
                    <pic:cNvPicPr/>
                  </pic:nvPicPr>
                  <pic:blipFill>
                    <a:blip r:embed="rId15"/>
                    <a:stretch>
                      <a:fillRect/>
                    </a:stretch>
                  </pic:blipFill>
                  <pic:spPr>
                    <a:xfrm>
                      <a:off x="0" y="0"/>
                      <a:ext cx="5702464" cy="2437659"/>
                    </a:xfrm>
                    <a:prstGeom prst="rect">
                      <a:avLst/>
                    </a:prstGeom>
                  </pic:spPr>
                </pic:pic>
              </a:graphicData>
            </a:graphic>
          </wp:inline>
        </w:drawing>
      </w:r>
    </w:p>
    <w:p w14:paraId="5373CAFF" w14:textId="77777777" w:rsidR="00C4749C" w:rsidRPr="00554627" w:rsidRDefault="00C4749C" w:rsidP="00DF64A5">
      <w:pPr>
        <w:spacing w:after="120"/>
        <w:ind w:left="567" w:right="198"/>
        <w:rPr>
          <w:rFonts w:cs="Arial"/>
          <w:kern w:val="2"/>
          <w:sz w:val="22"/>
          <w:szCs w:val="22"/>
        </w:rPr>
      </w:pPr>
      <w:r w:rsidRPr="00554627">
        <w:rPr>
          <w:kern w:val="2"/>
          <w:sz w:val="22"/>
          <w:szCs w:val="22"/>
          <w:lang w:val="zh-CN" w:bidi="zh-CN"/>
        </w:rPr>
        <w:t xml:space="preserve"> </w:t>
      </w:r>
      <w:r w:rsidRPr="00554627">
        <w:rPr>
          <w:rFonts w:cs="Arial"/>
          <w:b/>
          <w:kern w:val="2"/>
          <w:sz w:val="22"/>
          <w:szCs w:val="22"/>
          <w:lang w:val="zh-CN" w:bidi="zh-CN"/>
        </w:rPr>
        <w:t>图2：</w:t>
      </w:r>
      <w:r w:rsidRPr="00554627">
        <w:rPr>
          <w:rFonts w:cs="Arial"/>
          <w:kern w:val="2"/>
          <w:sz w:val="22"/>
          <w:szCs w:val="22"/>
          <w:lang w:val="zh-CN" w:bidi="zh-CN"/>
        </w:rPr>
        <w:t>国际和筹备性援助的支出率</w:t>
      </w:r>
    </w:p>
    <w:p w14:paraId="1C3F7793" w14:textId="77777777" w:rsidR="00C4749C" w:rsidRPr="00554627" w:rsidRDefault="00C4749C" w:rsidP="00554627">
      <w:pPr>
        <w:pStyle w:val="GAPara"/>
        <w:rPr>
          <w:b w:val="0"/>
          <w:bCs w:val="0"/>
        </w:rPr>
      </w:pPr>
      <w:r w:rsidRPr="00522D05">
        <w:t>分摊纳款</w:t>
      </w:r>
    </w:p>
    <w:p w14:paraId="49DAFB33" w14:textId="6F48500E" w:rsidR="00C4749C" w:rsidRPr="00554627"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应当指出，按照《公约》第二十六条的规定，</w:t>
      </w:r>
      <w:r w:rsidRPr="00554627">
        <w:rPr>
          <w:rFonts w:cs="SimSun"/>
          <w:b/>
          <w:bCs/>
          <w:kern w:val="2"/>
          <w:sz w:val="22"/>
          <w:szCs w:val="22"/>
          <w:lang w:val="zh-CN" w:bidi="zh-CN"/>
        </w:rPr>
        <w:t>缴付</w:t>
      </w:r>
      <w:r w:rsidR="006356FC" w:rsidRPr="00554627">
        <w:rPr>
          <w:rFonts w:cs="SimSun" w:hint="eastAsia"/>
          <w:b/>
          <w:bCs/>
          <w:kern w:val="2"/>
          <w:sz w:val="22"/>
          <w:szCs w:val="22"/>
          <w:lang w:val="zh-CN" w:bidi="zh-CN"/>
        </w:rPr>
        <w:t>分摊</w:t>
      </w:r>
      <w:r w:rsidRPr="00554627">
        <w:rPr>
          <w:rFonts w:cs="SimSun"/>
          <w:b/>
          <w:bCs/>
          <w:kern w:val="2"/>
          <w:sz w:val="22"/>
          <w:szCs w:val="22"/>
          <w:lang w:val="zh-CN" w:bidi="zh-CN"/>
        </w:rPr>
        <w:t>纳款</w:t>
      </w:r>
      <w:r w:rsidRPr="00554627">
        <w:rPr>
          <w:rFonts w:cs="SimSun"/>
          <w:kern w:val="2"/>
          <w:sz w:val="22"/>
          <w:szCs w:val="22"/>
          <w:lang w:val="zh-CN" w:bidi="zh-CN"/>
        </w:rPr>
        <w:t>是已批准《公约》的所有缔约国的义务。在缔约国行使《公约》赋予的权利和享受其利益时，也</w:t>
      </w:r>
      <w:r w:rsidR="00990A65" w:rsidRPr="00554627">
        <w:rPr>
          <w:rFonts w:cs="SimSun" w:hint="eastAsia"/>
          <w:kern w:val="2"/>
          <w:sz w:val="22"/>
          <w:szCs w:val="22"/>
          <w:lang w:val="zh-CN" w:bidi="zh-CN"/>
        </w:rPr>
        <w:t>应</w:t>
      </w:r>
      <w:r w:rsidRPr="00554627">
        <w:rPr>
          <w:rFonts w:cs="SimSun"/>
          <w:kern w:val="2"/>
          <w:sz w:val="22"/>
          <w:szCs w:val="22"/>
          <w:lang w:val="zh-CN" w:bidi="zh-CN"/>
        </w:rPr>
        <w:t>履行</w:t>
      </w:r>
      <w:r w:rsidR="00990A65" w:rsidRPr="00554627">
        <w:rPr>
          <w:rFonts w:cs="SimSun" w:hint="eastAsia"/>
          <w:kern w:val="2"/>
          <w:sz w:val="22"/>
          <w:szCs w:val="22"/>
          <w:lang w:val="zh-CN" w:bidi="zh-CN"/>
        </w:rPr>
        <w:t>其相应义务</w:t>
      </w:r>
      <w:r w:rsidRPr="00554627">
        <w:rPr>
          <w:rFonts w:cs="SimSun"/>
          <w:kern w:val="2"/>
          <w:sz w:val="22"/>
          <w:szCs w:val="22"/>
          <w:lang w:val="zh-CN" w:bidi="zh-CN"/>
        </w:rPr>
        <w:t>。正如多份法定文件（最近的是</w:t>
      </w:r>
      <w:hyperlink r:id="rId16" w:history="1">
        <w:r w:rsidRPr="00554627">
          <w:rPr>
            <w:rStyle w:val="Hyperlink"/>
            <w:rFonts w:cs="Arial"/>
            <w:snapToGrid w:val="0"/>
            <w:kern w:val="2"/>
            <w:sz w:val="22"/>
          </w:rPr>
          <w:t>LHE/25/20.COM/14</w:t>
        </w:r>
      </w:hyperlink>
      <w:r w:rsidRPr="00554627">
        <w:rPr>
          <w:rFonts w:cs="SimSun"/>
          <w:kern w:val="2"/>
          <w:sz w:val="22"/>
          <w:szCs w:val="22"/>
          <w:lang w:val="zh-CN" w:bidi="zh-CN"/>
        </w:rPr>
        <w:t>和</w:t>
      </w:r>
      <w:r w:rsidRPr="00554627">
        <w:rPr>
          <w:rFonts w:cs="SimSun"/>
          <w:kern w:val="2"/>
          <w:sz w:val="22"/>
          <w:szCs w:val="22"/>
          <w:lang w:val="zh-CN" w:bidi="zh-CN"/>
        </w:rPr>
        <w:fldChar w:fldCharType="begin"/>
      </w:r>
      <w:r w:rsidR="00554627">
        <w:rPr>
          <w:rFonts w:cs="SimSun"/>
          <w:kern w:val="2"/>
          <w:sz w:val="22"/>
          <w:szCs w:val="22"/>
          <w:lang w:val="zh-CN" w:bidi="zh-CN"/>
        </w:rPr>
        <w:instrText>HYPERLINK "https://ich.unesco.org/doc/src/LHE-24-10.GA-8_ZH.docx"</w:instrText>
      </w:r>
      <w:r w:rsidR="00554627" w:rsidRPr="00554627">
        <w:rPr>
          <w:rFonts w:cs="SimSun"/>
          <w:kern w:val="2"/>
          <w:sz w:val="22"/>
          <w:szCs w:val="22"/>
          <w:lang w:val="zh-CN" w:bidi="zh-CN"/>
        </w:rPr>
      </w:r>
      <w:r w:rsidRPr="00554627">
        <w:rPr>
          <w:rFonts w:cs="SimSun"/>
          <w:kern w:val="2"/>
          <w:sz w:val="22"/>
          <w:szCs w:val="22"/>
          <w:lang w:val="zh-CN" w:bidi="zh-CN"/>
        </w:rPr>
        <w:fldChar w:fldCharType="separate"/>
      </w:r>
      <w:r w:rsidRPr="00554627">
        <w:rPr>
          <w:rStyle w:val="Hyperlink"/>
          <w:rFonts w:cs="Arial"/>
          <w:snapToGrid w:val="0"/>
          <w:kern w:val="2"/>
          <w:sz w:val="22"/>
        </w:rPr>
        <w:t>LH</w:t>
      </w:r>
      <w:r w:rsidRPr="00554627">
        <w:rPr>
          <w:rStyle w:val="Hyperlink"/>
          <w:rFonts w:cs="Arial"/>
          <w:snapToGrid w:val="0"/>
          <w:kern w:val="2"/>
          <w:sz w:val="22"/>
        </w:rPr>
        <w:t>E</w:t>
      </w:r>
      <w:r w:rsidRPr="00554627">
        <w:rPr>
          <w:rStyle w:val="Hyperlink"/>
          <w:rFonts w:cs="Arial"/>
          <w:snapToGrid w:val="0"/>
          <w:kern w:val="2"/>
          <w:sz w:val="22"/>
        </w:rPr>
        <w:t>/24/10.GA/8</w:t>
      </w:r>
      <w:r w:rsidRPr="00554627">
        <w:rPr>
          <w:rFonts w:cs="SimSun"/>
          <w:kern w:val="2"/>
          <w:sz w:val="22"/>
          <w:szCs w:val="22"/>
          <w:lang w:val="zh-CN" w:bidi="zh-CN"/>
        </w:rPr>
        <w:fldChar w:fldCharType="end"/>
      </w:r>
      <w:r w:rsidRPr="00554627">
        <w:rPr>
          <w:rFonts w:cs="SimSun"/>
          <w:kern w:val="2"/>
          <w:sz w:val="22"/>
          <w:szCs w:val="22"/>
          <w:lang w:val="zh-CN" w:bidi="zh-CN"/>
        </w:rPr>
        <w:t>号文件）所强调的那样，鼓励所有缔约国尽早全额缴纳其分摊纳款。</w:t>
      </w:r>
    </w:p>
    <w:p w14:paraId="70E3A13A" w14:textId="6A076AA2" w:rsidR="00C4749C" w:rsidRPr="00554627" w:rsidRDefault="00C4749C" w:rsidP="00A71122">
      <w:pPr>
        <w:pStyle w:val="ListParagraph"/>
        <w:numPr>
          <w:ilvl w:val="0"/>
          <w:numId w:val="10"/>
        </w:numPr>
        <w:spacing w:after="120"/>
        <w:ind w:left="360"/>
        <w:contextualSpacing w:val="0"/>
        <w:rPr>
          <w:rFonts w:cs="SimSun"/>
          <w:kern w:val="2"/>
          <w:sz w:val="22"/>
          <w:szCs w:val="22"/>
          <w:lang w:val="zh-CN" w:bidi="zh-CN"/>
        </w:rPr>
      </w:pPr>
      <w:r w:rsidRPr="00554627">
        <w:rPr>
          <w:rFonts w:cs="SimSun"/>
          <w:kern w:val="2"/>
          <w:sz w:val="22"/>
          <w:szCs w:val="22"/>
          <w:lang w:val="zh-CN" w:bidi="zh-CN"/>
        </w:rPr>
        <w:t>关于缔约国根据《公约》第二十六条第1款应缴纳的</w:t>
      </w:r>
      <w:r w:rsidRPr="00554627">
        <w:rPr>
          <w:rFonts w:cs="SimSun"/>
          <w:b/>
          <w:bCs/>
          <w:kern w:val="2"/>
          <w:sz w:val="22"/>
          <w:szCs w:val="22"/>
          <w:lang w:val="zh-CN" w:bidi="zh-CN"/>
        </w:rPr>
        <w:t>义务分摊纳款</w:t>
      </w:r>
      <w:r w:rsidRPr="00554627">
        <w:rPr>
          <w:rFonts w:cs="SimSun"/>
          <w:kern w:val="2"/>
          <w:sz w:val="22"/>
          <w:szCs w:val="22"/>
          <w:lang w:val="zh-CN" w:bidi="zh-CN"/>
        </w:rPr>
        <w:t>，截至本文件所涉报告期结束时，未缴纳款</w:t>
      </w:r>
      <w:r w:rsidR="006356FC" w:rsidRPr="00554627">
        <w:rPr>
          <w:rFonts w:cs="SimSun" w:hint="eastAsia"/>
          <w:kern w:val="2"/>
          <w:sz w:val="22"/>
          <w:szCs w:val="22"/>
          <w:lang w:val="zh-CN" w:bidi="zh-CN"/>
        </w:rPr>
        <w:t>总额</w:t>
      </w:r>
      <w:r w:rsidRPr="00554627">
        <w:rPr>
          <w:rFonts w:cs="SimSun"/>
          <w:kern w:val="2"/>
          <w:sz w:val="22"/>
          <w:szCs w:val="22"/>
          <w:lang w:val="zh-CN" w:bidi="zh-CN"/>
        </w:rPr>
        <w:t>为371,959美元，其中239,624美元为前几年的未缴纳款。截至2025年12月31日，89个缔约国（约占受《公约》第二十六第1款约束的缔约国的一半）尚未缴纳2024-2025年的缴款，其中包括31个同时未缴纳前几年分摊纳款的缔约国（见</w:t>
      </w:r>
      <w:r w:rsidRPr="00554627">
        <w:rPr>
          <w:rStyle w:val="Hyperlink"/>
          <w:rFonts w:cs="Arial"/>
          <w:snapToGrid w:val="0"/>
        </w:rPr>
        <w:fldChar w:fldCharType="begin"/>
      </w:r>
      <w:r w:rsidRPr="00554627">
        <w:rPr>
          <w:rStyle w:val="Hyperlink"/>
          <w:rFonts w:cs="Arial"/>
          <w:snapToGrid w:val="0"/>
        </w:rPr>
        <w:instrText>HYPERLINK "https://ich.unesco.org/doc/download.php?versionID=86634"</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kern w:val="2"/>
          <w:sz w:val="22"/>
        </w:rPr>
        <w:t>截至2025年12月31日的分摊纳款报表</w:t>
      </w:r>
      <w:r w:rsidRPr="00554627">
        <w:rPr>
          <w:rStyle w:val="Hyperlink"/>
          <w:rFonts w:cs="Arial"/>
          <w:snapToGrid w:val="0"/>
        </w:rPr>
        <w:fldChar w:fldCharType="end"/>
      </w:r>
      <w:r w:rsidRPr="00554627">
        <w:rPr>
          <w:rFonts w:cs="SimSun"/>
          <w:kern w:val="2"/>
          <w:sz w:val="22"/>
          <w:szCs w:val="22"/>
          <w:lang w:val="zh-CN" w:bidi="zh-CN"/>
        </w:rPr>
        <w:t>）。</w:t>
      </w:r>
      <w:r w:rsidRPr="00554627">
        <w:rPr>
          <w:rFonts w:cs="SimSun"/>
          <w:sz w:val="22"/>
          <w:szCs w:val="22"/>
          <w:vertAlign w:val="superscript"/>
          <w:lang w:val="zh-CN" w:bidi="zh-CN"/>
        </w:rPr>
        <w:footnoteReference w:id="1"/>
      </w:r>
    </w:p>
    <w:p w14:paraId="67AD15C5" w14:textId="2231188C"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缔约国根据《公约》第二十六条第2款缴纳的</w:t>
      </w:r>
      <w:r w:rsidRPr="00554627">
        <w:rPr>
          <w:rFonts w:cs="SimSun"/>
          <w:b/>
          <w:bCs/>
          <w:kern w:val="2"/>
          <w:sz w:val="22"/>
          <w:szCs w:val="22"/>
          <w:lang w:val="zh-CN" w:bidi="zh-CN"/>
        </w:rPr>
        <w:t>自愿分摊</w:t>
      </w:r>
      <w:r w:rsidR="005B102C" w:rsidRPr="00522D05">
        <w:rPr>
          <w:rFonts w:cs="SimSun" w:hint="eastAsia"/>
          <w:b/>
          <w:bCs/>
          <w:kern w:val="2"/>
          <w:sz w:val="22"/>
          <w:szCs w:val="22"/>
          <w:lang w:val="zh-CN" w:bidi="zh-CN"/>
        </w:rPr>
        <w:t>捐</w:t>
      </w:r>
      <w:r w:rsidRPr="00554627">
        <w:rPr>
          <w:rFonts w:cs="SimSun"/>
          <w:b/>
          <w:bCs/>
          <w:kern w:val="2"/>
          <w:sz w:val="22"/>
          <w:szCs w:val="22"/>
          <w:lang w:val="zh-CN" w:bidi="zh-CN"/>
        </w:rPr>
        <w:t>款</w:t>
      </w:r>
      <w:r w:rsidRPr="00522D05">
        <w:rPr>
          <w:rFonts w:cs="SimSun"/>
          <w:kern w:val="2"/>
          <w:sz w:val="22"/>
          <w:szCs w:val="22"/>
          <w:lang w:val="zh-CN" w:bidi="zh-CN"/>
        </w:rPr>
        <w:t>占2024-2025两年期分摊额的89%，略低于上一个两年期同期的比率（92%）</w:t>
      </w:r>
      <w:r w:rsidR="007A13C3" w:rsidRPr="00522D05">
        <w:rPr>
          <w:rFonts w:cs="SimSun" w:hint="eastAsia"/>
          <w:kern w:val="2"/>
          <w:sz w:val="22"/>
          <w:szCs w:val="22"/>
          <w:lang w:val="zh-CN" w:bidi="zh-CN"/>
        </w:rPr>
        <w:t>。</w:t>
      </w:r>
    </w:p>
    <w:p w14:paraId="76290F63" w14:textId="77777777" w:rsidR="00C4749C" w:rsidRPr="00554627" w:rsidRDefault="00C4749C" w:rsidP="00554627">
      <w:pPr>
        <w:pStyle w:val="GAPara"/>
        <w:rPr>
          <w:b w:val="0"/>
          <w:bCs w:val="0"/>
        </w:rPr>
      </w:pPr>
      <w:r w:rsidRPr="00522D05">
        <w:t>关于加强秘书处人力资源的子基金的最新情况</w:t>
      </w:r>
    </w:p>
    <w:p w14:paraId="20404D97" w14:textId="5B382ED0" w:rsidR="00C4749C" w:rsidRPr="00522D05" w:rsidRDefault="00C4749C" w:rsidP="00A71122">
      <w:pPr>
        <w:pStyle w:val="ListParagraph"/>
        <w:numPr>
          <w:ilvl w:val="0"/>
          <w:numId w:val="10"/>
        </w:numPr>
        <w:spacing w:after="120"/>
        <w:ind w:left="360"/>
        <w:contextualSpacing w:val="0"/>
        <w:rPr>
          <w:rFonts w:cs="SimSun"/>
          <w:kern w:val="2"/>
          <w:sz w:val="22"/>
          <w:szCs w:val="22"/>
          <w:lang w:val="zh-CN" w:bidi="zh-CN"/>
        </w:rPr>
      </w:pPr>
      <w:r w:rsidRPr="00522D05">
        <w:rPr>
          <w:rFonts w:cs="SimSun"/>
          <w:kern w:val="2"/>
          <w:sz w:val="22"/>
          <w:szCs w:val="22"/>
          <w:lang w:val="zh-CN" w:bidi="zh-CN"/>
        </w:rPr>
        <w:t>大会于2010年6月设立了旨在加强秘书处人力资源的子基金（第</w:t>
      </w:r>
      <w:r w:rsidRPr="00554627">
        <w:rPr>
          <w:rStyle w:val="Hyperlink"/>
          <w:rFonts w:cs="Arial"/>
          <w:snapToGrid w:val="0"/>
        </w:rPr>
        <w:fldChar w:fldCharType="begin"/>
      </w:r>
      <w:r w:rsidR="00522D05" w:rsidRPr="00554627">
        <w:rPr>
          <w:rStyle w:val="Hyperlink"/>
          <w:rFonts w:cs="Arial"/>
          <w:snapToGrid w:val="0"/>
          <w:sz w:val="22"/>
          <w:szCs w:val="22"/>
          <w:lang w:val="en-GB"/>
        </w:rPr>
        <w:instrText>HYPERLINK "https://ich.unesco.org/doc/src/07003-ZH.doc?v=1282654958"</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lang w:val="en-GB"/>
        </w:rPr>
        <w:t>3.GA 9</w:t>
      </w:r>
      <w:r w:rsidRPr="00554627">
        <w:rPr>
          <w:rStyle w:val="Hyperlink"/>
          <w:rFonts w:cs="Arial"/>
          <w:snapToGrid w:val="0"/>
        </w:rPr>
        <w:fldChar w:fldCharType="end"/>
      </w:r>
      <w:r w:rsidRPr="00522D05">
        <w:rPr>
          <w:rFonts w:cs="SimSun"/>
          <w:kern w:val="2"/>
          <w:sz w:val="22"/>
          <w:szCs w:val="22"/>
          <w:lang w:val="zh-CN" w:bidi="zh-CN"/>
        </w:rPr>
        <w:t>号决议），以便支持秘书处，使其能够满足各缔约国提出的需求。该子基金最初设定的2010年年度目标约为110万美元，2020年大会第八届会议重新核定为每年95万美元（第</w:t>
      </w:r>
      <w:r w:rsidRPr="00554627">
        <w:rPr>
          <w:rStyle w:val="Hyperlink"/>
          <w:rFonts w:cs="Arial"/>
          <w:snapToGrid w:val="0"/>
        </w:rPr>
        <w:fldChar w:fldCharType="begin"/>
      </w:r>
      <w:r w:rsidR="00935CCA">
        <w:rPr>
          <w:rStyle w:val="Hyperlink"/>
          <w:rFonts w:cs="Arial"/>
          <w:snapToGrid w:val="0"/>
          <w:sz w:val="22"/>
          <w:szCs w:val="22"/>
        </w:rPr>
        <w:instrText>HYPERLINK "https://ich.unesco.org/doc/src/LHE-20-8.GA-Resolutions-ZH.docx?v=1600965902"</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rPr>
        <w:t>8.GA 7</w:t>
      </w:r>
      <w:r w:rsidRPr="00554627">
        <w:rPr>
          <w:rStyle w:val="Hyperlink"/>
          <w:rFonts w:cs="Arial"/>
          <w:snapToGrid w:val="0"/>
        </w:rPr>
        <w:fldChar w:fldCharType="end"/>
      </w:r>
      <w:r w:rsidRPr="00522D05">
        <w:rPr>
          <w:rFonts w:cs="SimSun"/>
          <w:kern w:val="2"/>
          <w:sz w:val="22"/>
          <w:szCs w:val="22"/>
          <w:lang w:val="zh-CN" w:bidi="zh-CN"/>
        </w:rPr>
        <w:t>号决议）。在2024-2025两年期间，共收到来自法国（两次）、立陶宛（两次）、摩纳哥（两次）、斯洛文尼亚和大不列颠及北爱尔兰联合王国（两次）的八笔自愿捐款，总额</w:t>
      </w:r>
      <w:r w:rsidR="004A44E5" w:rsidRPr="00522D05">
        <w:rPr>
          <w:rFonts w:cs="SimSun" w:hint="eastAsia"/>
          <w:kern w:val="2"/>
          <w:sz w:val="22"/>
          <w:szCs w:val="22"/>
          <w:lang w:val="zh-CN" w:bidi="zh-CN"/>
        </w:rPr>
        <w:t>为</w:t>
      </w:r>
      <w:r w:rsidRPr="00522D05">
        <w:rPr>
          <w:rFonts w:cs="SimSun"/>
          <w:kern w:val="2"/>
          <w:sz w:val="22"/>
          <w:szCs w:val="22"/>
          <w:lang w:val="zh-CN" w:bidi="zh-CN"/>
        </w:rPr>
        <w:t>238,113美元。</w:t>
      </w:r>
    </w:p>
    <w:p w14:paraId="5DED60D0" w14:textId="1568BACE" w:rsidR="00C4749C" w:rsidRPr="00554627" w:rsidRDefault="00C4749C" w:rsidP="00554627">
      <w:pPr>
        <w:pStyle w:val="GAPara"/>
        <w:rPr>
          <w:b w:val="0"/>
          <w:bCs w:val="0"/>
        </w:rPr>
      </w:pPr>
      <w:r w:rsidRPr="00522D05">
        <w:t>未来预算周期的展望</w:t>
      </w:r>
    </w:p>
    <w:p w14:paraId="76A7E5EC" w14:textId="52AAC772"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在过去的两个两年期中，该基金展现了强劲且良好的执行能力，支出率维持在较高水平（2022–2023两年期为73.2%，2024-2025两年期为76.9%）。值得注意的是，如果支出保持在如此高的水平（即高于每个两年期收到的分摊纳款的水平），未来两年期的</w:t>
      </w:r>
      <w:r w:rsidR="004A44E5" w:rsidRPr="00522D05">
        <w:rPr>
          <w:rFonts w:cs="SimSun" w:hint="eastAsia"/>
          <w:kern w:val="2"/>
          <w:sz w:val="22"/>
          <w:szCs w:val="22"/>
          <w:lang w:val="zh-CN" w:bidi="zh-CN"/>
        </w:rPr>
        <w:t>可用资源</w:t>
      </w:r>
      <w:r w:rsidRPr="00522D05">
        <w:rPr>
          <w:rFonts w:cs="SimSun"/>
          <w:kern w:val="2"/>
          <w:sz w:val="22"/>
          <w:szCs w:val="22"/>
          <w:lang w:val="zh-CN" w:bidi="zh-CN"/>
        </w:rPr>
        <w:t>预计将减少。因此，基金目前能够应对下文第II部分所述的缔约国保护需求的情况不应被视为理所当然。为确保2003年《公约》实施工作的可持续性，有必要进行短期以外的密切监测。尤其需要考虑到，《公约》在地理范围和实质内容上的发展对人力资源产生的影响，以确保秘书处有能力向缔约国和其他利益相关方提供足够的支持。否则，需要根据理事机构确定的优先事项暂时搁置其中一些正在进行的专题举措、方案和项目（见文件</w:t>
      </w:r>
      <w:hyperlink r:id="rId17" w:history="1">
        <w:r w:rsidRPr="00554627">
          <w:rPr>
            <w:rStyle w:val="Hyperlink"/>
            <w:rFonts w:cs="Arial"/>
            <w:snapToGrid w:val="0"/>
            <w:sz w:val="22"/>
          </w:rPr>
          <w:t>LHE/25/20.COM/5</w:t>
        </w:r>
      </w:hyperlink>
      <w:r w:rsidRPr="00522D05">
        <w:rPr>
          <w:rFonts w:cs="SimSun"/>
          <w:kern w:val="2"/>
          <w:sz w:val="22"/>
          <w:szCs w:val="22"/>
          <w:lang w:val="zh-CN" w:bidi="zh-CN"/>
        </w:rPr>
        <w:t>和</w:t>
      </w:r>
      <w:r w:rsidR="00554627" w:rsidRPr="00554627">
        <w:rPr>
          <w:rFonts w:cs="SimSun"/>
          <w:kern w:val="2"/>
          <w:sz w:val="22"/>
          <w:szCs w:val="22"/>
          <w:lang w:val="zh-CN" w:bidi="zh-CN"/>
        </w:rPr>
        <w:fldChar w:fldCharType="begin"/>
      </w:r>
      <w:r w:rsidR="00554627" w:rsidRPr="00554627">
        <w:rPr>
          <w:rFonts w:cs="SimSun"/>
          <w:kern w:val="2"/>
          <w:sz w:val="22"/>
          <w:szCs w:val="22"/>
          <w:lang w:val="zh-CN" w:bidi="zh-CN"/>
        </w:rPr>
        <w:instrText>HYPERLINK "https://ich.unesco.org/doc/src/LHE-24-10.GA-6_ZH.docx"</w:instrText>
      </w:r>
      <w:r w:rsidR="00554627" w:rsidRPr="00554627">
        <w:rPr>
          <w:rFonts w:cs="SimSun"/>
          <w:kern w:val="2"/>
          <w:sz w:val="22"/>
          <w:szCs w:val="22"/>
          <w:lang w:val="zh-CN" w:bidi="zh-CN"/>
        </w:rPr>
      </w:r>
      <w:r w:rsidR="00554627" w:rsidRPr="00554627">
        <w:rPr>
          <w:rFonts w:cs="SimSun"/>
          <w:kern w:val="2"/>
          <w:sz w:val="22"/>
          <w:szCs w:val="22"/>
          <w:lang w:val="zh-CN" w:bidi="zh-CN"/>
        </w:rPr>
        <w:fldChar w:fldCharType="separate"/>
      </w:r>
      <w:r w:rsidRPr="00554627">
        <w:rPr>
          <w:rStyle w:val="Hyperlink"/>
          <w:rFonts w:cs="SimSun"/>
          <w:kern w:val="2"/>
          <w:sz w:val="22"/>
          <w:szCs w:val="22"/>
          <w:lang w:val="zh-CN" w:bidi="zh-CN"/>
        </w:rPr>
        <w:t>LHE/26/11.GA/6</w:t>
      </w:r>
      <w:r w:rsidR="00554627" w:rsidRPr="00554627">
        <w:rPr>
          <w:rFonts w:cs="SimSun"/>
          <w:kern w:val="2"/>
          <w:sz w:val="22"/>
          <w:szCs w:val="22"/>
          <w:lang w:val="zh-CN" w:bidi="zh-CN"/>
        </w:rPr>
        <w:fldChar w:fldCharType="end"/>
      </w:r>
      <w:r w:rsidRPr="00522D05">
        <w:rPr>
          <w:rFonts w:cs="SimSun"/>
          <w:kern w:val="2"/>
          <w:sz w:val="22"/>
          <w:szCs w:val="22"/>
          <w:lang w:val="zh-CN" w:bidi="zh-CN"/>
        </w:rPr>
        <w:t>）。在这方面，通过回顾必须指出，自2010年设立子基金以来，大会设定的目标从未实现。实际上，对子基金的捐款在过去十五</w:t>
      </w:r>
      <w:r w:rsidRPr="00522D05">
        <w:rPr>
          <w:rFonts w:cs="SimSun"/>
          <w:kern w:val="2"/>
          <w:sz w:val="22"/>
          <w:szCs w:val="22"/>
          <w:lang w:val="zh-CN" w:bidi="zh-CN"/>
        </w:rPr>
        <w:lastRenderedPageBreak/>
        <w:t>年中从2010-2011年的511,885美元（占目标的23％，有史以来达到的最高比率）下降到2024-2025年的238,113美元（占为2024-2025年设定的190万美元两年期目标的12.5％）。</w:t>
      </w:r>
    </w:p>
    <w:p w14:paraId="222C9130" w14:textId="5F9D36DB" w:rsidR="00C4749C" w:rsidRPr="00554627" w:rsidRDefault="00C4749C" w:rsidP="00554627">
      <w:pPr>
        <w:pStyle w:val="COMPara"/>
        <w:numPr>
          <w:ilvl w:val="0"/>
          <w:numId w:val="13"/>
        </w:numPr>
        <w:spacing w:before="240"/>
        <w:ind w:left="360" w:hanging="360"/>
        <w:rPr>
          <w:b/>
          <w:kern w:val="2"/>
          <w:lang w:val="zh-CN" w:bidi="zh-CN"/>
        </w:rPr>
      </w:pPr>
      <w:r w:rsidRPr="00554627">
        <w:rPr>
          <w:rFonts w:ascii="SimSun" w:hAnsi="SimSun"/>
          <w:b/>
          <w:kern w:val="2"/>
          <w:lang w:val="zh-CN" w:bidi="zh-CN"/>
        </w:rPr>
        <w:t>43</w:t>
      </w:r>
      <w:r w:rsidR="00A30A15">
        <w:rPr>
          <w:rFonts w:ascii="SimSun" w:hAnsi="SimSun"/>
          <w:b/>
          <w:kern w:val="2"/>
          <w:lang w:val="fr-FR" w:bidi="zh-CN"/>
        </w:rPr>
        <w:t xml:space="preserve"> </w:t>
      </w:r>
      <w:r w:rsidRPr="00554627">
        <w:rPr>
          <w:rFonts w:ascii="SimSun" w:hAnsi="SimSun"/>
          <w:b/>
          <w:kern w:val="2"/>
          <w:lang w:val="zh-CN" w:bidi="zh-CN"/>
        </w:rPr>
        <w:t>C/5（2026–2027年）的预算项目和拨款</w:t>
      </w:r>
    </w:p>
    <w:p w14:paraId="22CA9B0E" w14:textId="5197E3B5"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bookmarkStart w:id="2" w:name="_Hlk166581136"/>
      <w:r w:rsidRPr="00522D05">
        <w:rPr>
          <w:rFonts w:cs="SimSun"/>
          <w:kern w:val="2"/>
          <w:sz w:val="22"/>
          <w:szCs w:val="22"/>
          <w:lang w:val="zh-CN" w:bidi="zh-CN"/>
        </w:rPr>
        <w:t>下文提出的计划草案基于截至2025年12月31日可用于方案活动的资金余额，不包括储备基金，即约790万美元。这与大会第十届会议批准的820万美元的预算（</w:t>
      </w:r>
      <w:bookmarkStart w:id="3" w:name="_Hlk147502296"/>
      <w:r w:rsidRPr="00522D05">
        <w:rPr>
          <w:rFonts w:cs="SimSun"/>
          <w:kern w:val="2"/>
          <w:sz w:val="22"/>
          <w:szCs w:val="22"/>
          <w:lang w:val="zh-CN" w:bidi="zh-CN"/>
        </w:rPr>
        <w:t>第</w:t>
      </w:r>
      <w:r w:rsidRPr="00554627">
        <w:rPr>
          <w:rStyle w:val="Hyperlink"/>
          <w:rFonts w:cs="Arial"/>
          <w:snapToGrid w:val="0"/>
        </w:rPr>
        <w:fldChar w:fldCharType="begin"/>
      </w:r>
      <w:r w:rsidR="00935CCA">
        <w:rPr>
          <w:rStyle w:val="Hyperlink"/>
          <w:rFonts w:cs="Arial"/>
          <w:snapToGrid w:val="0"/>
          <w:sz w:val="22"/>
          <w:szCs w:val="22"/>
        </w:rPr>
        <w:instrText>HYPERLINK "https://ich.unesco.org/doc/src/LHE-24-10.GA-Resolutions_ZH.docx?v=1721290689"</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10</w:t>
      </w:r>
      <w:bookmarkEnd w:id="3"/>
      <w:r w:rsidRPr="00554627">
        <w:rPr>
          <w:rStyle w:val="Hyperlink"/>
          <w:rFonts w:cs="Arial"/>
          <w:snapToGrid w:val="0"/>
          <w:sz w:val="22"/>
        </w:rPr>
        <w:t>.GA 8</w:t>
      </w:r>
      <w:r w:rsidRPr="00554627">
        <w:rPr>
          <w:rStyle w:val="Hyperlink"/>
          <w:rFonts w:cs="Arial"/>
          <w:snapToGrid w:val="0"/>
        </w:rPr>
        <w:fldChar w:fldCharType="end"/>
      </w:r>
      <w:r w:rsidRPr="00522D05">
        <w:rPr>
          <w:rFonts w:cs="SimSun"/>
          <w:kern w:val="2"/>
          <w:sz w:val="22"/>
          <w:szCs w:val="22"/>
          <w:lang w:val="zh-CN" w:bidi="zh-CN"/>
        </w:rPr>
        <w:t>号决议）相比有所减少。</w:t>
      </w:r>
    </w:p>
    <w:bookmarkEnd w:id="2"/>
    <w:p w14:paraId="51AB3FE7" w14:textId="77777777"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针对43 C/5（2026–2027年）资金划拨的提案遵循基于预算项目的既定结构，与以往的两年期实践保持一致。这些预算项目可分为三类支出：a）国际援助；b）《公约》第七条所指的委员会“其他职能”；c）参加各理事机构的会议并向委员会提供咨询服务。尽管总体结构保持不变，但考虑到可用预算总额低于2024-2025两年期，下文各段也提议，在预算项目之间进行一些调整。</w:t>
      </w:r>
    </w:p>
    <w:p w14:paraId="31BF5643" w14:textId="77777777" w:rsidR="00C4749C" w:rsidRPr="00554627" w:rsidRDefault="00C4749C" w:rsidP="00554627">
      <w:pPr>
        <w:pStyle w:val="GAPara"/>
        <w:rPr>
          <w:b w:val="0"/>
          <w:bCs w:val="0"/>
        </w:rPr>
      </w:pPr>
      <w:r w:rsidRPr="00522D05">
        <w:t>国际援助</w:t>
      </w:r>
    </w:p>
    <w:p w14:paraId="145D1DE9" w14:textId="4DFFC5D7"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根据《业务指南》第II.1章中基金资源使用准则确定的优先事项，建议将大部分资源（65.1%）分配给向缔约国提供国际援助，以补充</w:t>
      </w:r>
      <w:r w:rsidR="00517D1A" w:rsidRPr="00522D05">
        <w:rPr>
          <w:rFonts w:cs="SimSun" w:hint="eastAsia"/>
          <w:kern w:val="2"/>
          <w:sz w:val="22"/>
          <w:szCs w:val="22"/>
          <w:lang w:val="zh-CN" w:bidi="zh-CN"/>
        </w:rPr>
        <w:t>其</w:t>
      </w:r>
      <w:r w:rsidRPr="00522D05">
        <w:rPr>
          <w:rFonts w:cs="SimSun"/>
          <w:kern w:val="2"/>
          <w:sz w:val="22"/>
          <w:szCs w:val="22"/>
          <w:lang w:val="zh-CN" w:bidi="zh-CN"/>
        </w:rPr>
        <w:t>保护非物质文化遗产的工作</w:t>
      </w:r>
      <w:r w:rsidRPr="00554627">
        <w:rPr>
          <w:rFonts w:cs="SimSun"/>
          <w:b/>
          <w:bCs/>
          <w:kern w:val="2"/>
          <w:sz w:val="22"/>
          <w:szCs w:val="22"/>
          <w:lang w:val="zh-CN" w:bidi="zh-CN"/>
        </w:rPr>
        <w:t>（预算项目1、1.1和2）</w:t>
      </w:r>
      <w:r w:rsidRPr="00522D05">
        <w:rPr>
          <w:rFonts w:cs="SimSun"/>
          <w:kern w:val="2"/>
          <w:sz w:val="22"/>
          <w:szCs w:val="22"/>
          <w:lang w:val="zh-CN" w:bidi="zh-CN"/>
        </w:rPr>
        <w:t>。基金中专门用于国际援助机制的</w:t>
      </w:r>
      <w:r w:rsidR="0067342D" w:rsidRPr="00522D05">
        <w:rPr>
          <w:rFonts w:cs="SimSun" w:hint="eastAsia"/>
          <w:kern w:val="2"/>
          <w:sz w:val="22"/>
          <w:szCs w:val="22"/>
          <w:lang w:val="zh-CN" w:bidi="zh-CN"/>
        </w:rPr>
        <w:t>资金比例</w:t>
      </w:r>
      <w:r w:rsidRPr="00522D05">
        <w:rPr>
          <w:rFonts w:cs="SimSun"/>
          <w:kern w:val="2"/>
          <w:sz w:val="22"/>
          <w:szCs w:val="22"/>
          <w:lang w:val="zh-CN" w:bidi="zh-CN"/>
        </w:rPr>
        <w:t>与上一个两年期相比将保持不变。</w:t>
      </w:r>
    </w:p>
    <w:p w14:paraId="535137C1" w14:textId="68559CCC"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分配给预算项目1（50%）的资金预计将用于通过国际援助机制，支持各国保护已列入急需保护的非物质文化遗产名录的遗产、编制清单以及支持其他保护计划和项目。建议将预算项目1的拨款保持在同一水平，以使各缔约国能够加强保护工作，特别侧重于非洲地区和小岛屿发展中国家。这些资源将用于向委员会和主席团批准的尽可能多的保护项目提供资金，条件是这些项目符合国际援助标准。此外，该预算项目还将用于涵盖委员会及其主席团在2024-2025两年期批准的但因行政原因和/或应受益国的要求而无法在同期签订合同的国际援助</w:t>
      </w:r>
      <w:r w:rsidR="00517D1A" w:rsidRPr="00522D05">
        <w:rPr>
          <w:rFonts w:cs="SimSun" w:hint="eastAsia"/>
          <w:kern w:val="2"/>
          <w:sz w:val="22"/>
          <w:szCs w:val="22"/>
          <w:lang w:val="zh-CN" w:bidi="zh-CN"/>
        </w:rPr>
        <w:t>申请</w:t>
      </w:r>
      <w:r w:rsidRPr="00522D05">
        <w:rPr>
          <w:rFonts w:cs="SimSun"/>
          <w:kern w:val="2"/>
          <w:sz w:val="22"/>
          <w:szCs w:val="22"/>
          <w:lang w:val="zh-CN" w:bidi="zh-CN"/>
        </w:rPr>
        <w:t>的费用：2025年下半年批准的申请即属此类情况。</w:t>
      </w:r>
    </w:p>
    <w:p w14:paraId="6DD4C539" w14:textId="16D5D3E7"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根据内部监督事务处（IOS）2021年对教科文组织在2003年《保护非物质文化遗产公约》框架内行动的评估结果（见</w:t>
      </w:r>
      <w:r w:rsidRPr="00554627">
        <w:rPr>
          <w:rStyle w:val="Hyperlink"/>
          <w:rFonts w:cs="Arial"/>
          <w:snapToGrid w:val="0"/>
        </w:rPr>
        <w:fldChar w:fldCharType="begin"/>
      </w:r>
      <w:r w:rsidRPr="00554627">
        <w:rPr>
          <w:rStyle w:val="Hyperlink"/>
          <w:rFonts w:cs="Arial"/>
          <w:snapToGrid w:val="0"/>
        </w:rPr>
        <w:instrText>HYPERLINK "https://ich.unesco.org/doc/src/LHE-21-16.COM-INF.10_Rev.-EN.pdf"</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LHE/21/16.COM/INF.10 Rev.</w:t>
      </w:r>
      <w:r w:rsidRPr="00554627">
        <w:rPr>
          <w:rStyle w:val="Hyperlink"/>
          <w:rFonts w:cs="Arial"/>
          <w:snapToGrid w:val="0"/>
        </w:rPr>
        <w:fldChar w:fldCharType="end"/>
      </w:r>
      <w:r w:rsidRPr="00522D05">
        <w:rPr>
          <w:rFonts w:cs="SimSun"/>
          <w:kern w:val="2"/>
          <w:sz w:val="22"/>
          <w:szCs w:val="22"/>
          <w:lang w:val="zh-CN" w:bidi="zh-CN"/>
        </w:rPr>
        <w:t>号文件中的建议5和6），委员会自2021年起试验性地授权使用预算项目1下的资金，金额不超过每个已批准国际援助项目核定预算的10%，以便按照《公约》第二十一条的规定为提供专</w:t>
      </w:r>
      <w:r w:rsidR="001643C1" w:rsidRPr="00522D05">
        <w:rPr>
          <w:rFonts w:cs="SimSun" w:hint="eastAsia"/>
          <w:kern w:val="2"/>
          <w:sz w:val="22"/>
          <w:szCs w:val="22"/>
          <w:lang w:val="zh-CN" w:bidi="zh-CN"/>
        </w:rPr>
        <w:t>业</w:t>
      </w:r>
      <w:r w:rsidRPr="00522D05">
        <w:rPr>
          <w:rFonts w:cs="SimSun"/>
          <w:kern w:val="2"/>
          <w:sz w:val="22"/>
          <w:szCs w:val="22"/>
          <w:lang w:val="zh-CN" w:bidi="zh-CN"/>
        </w:rPr>
        <w:t>知识供资，以监测和评价正在进行的和最近完成的国际援助项目（</w:t>
      </w:r>
      <w:bookmarkStart w:id="4" w:name="_Hlk210205072"/>
      <w:r w:rsidRPr="00522D05">
        <w:rPr>
          <w:rFonts w:cs="SimSun"/>
          <w:kern w:val="2"/>
          <w:sz w:val="22"/>
          <w:szCs w:val="22"/>
          <w:lang w:val="zh-CN" w:bidi="zh-CN"/>
        </w:rPr>
        <w:t>第</w:t>
      </w:r>
      <w:hyperlink r:id="rId18" w:history="1">
        <w:r w:rsidRPr="00554627">
          <w:rPr>
            <w:rStyle w:val="Hyperlink"/>
            <w:rFonts w:cs="Arial"/>
            <w:snapToGrid w:val="0"/>
            <w:sz w:val="22"/>
          </w:rPr>
          <w:t>16.COM</w:t>
        </w:r>
        <w:r w:rsidR="00CB1E0F">
          <w:rPr>
            <w:rStyle w:val="Hyperlink"/>
            <w:rFonts w:cs="Arial"/>
            <w:snapToGrid w:val="0"/>
            <w:sz w:val="22"/>
          </w:rPr>
          <w:t xml:space="preserve"> </w:t>
        </w:r>
        <w:r w:rsidRPr="00554627">
          <w:rPr>
            <w:rStyle w:val="Hyperlink"/>
            <w:rFonts w:cs="Arial"/>
            <w:snapToGrid w:val="0"/>
            <w:sz w:val="22"/>
          </w:rPr>
          <w:t>13</w:t>
        </w:r>
      </w:hyperlink>
      <w:r w:rsidRPr="00522D05">
        <w:rPr>
          <w:rFonts w:cs="SimSun"/>
          <w:kern w:val="2"/>
          <w:sz w:val="22"/>
          <w:szCs w:val="22"/>
          <w:lang w:val="zh-CN" w:bidi="zh-CN"/>
        </w:rPr>
        <w:t>号、第</w:t>
      </w:r>
      <w:r w:rsidRPr="00554627">
        <w:rPr>
          <w:rStyle w:val="Hyperlink"/>
          <w:rFonts w:cs="Arial"/>
          <w:snapToGrid w:val="0"/>
        </w:rPr>
        <w:fldChar w:fldCharType="begin"/>
      </w:r>
      <w:r w:rsidRPr="00554627">
        <w:rPr>
          <w:rStyle w:val="Hyperlink"/>
          <w:rFonts w:cs="Arial"/>
          <w:snapToGrid w:val="0"/>
        </w:rPr>
        <w:instrText>HYPERLINK "https://ich.unesco.org/en/decisions/18.COM/14"</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18.COM</w:t>
      </w:r>
      <w:r w:rsidR="00CB1E0F">
        <w:rPr>
          <w:rStyle w:val="Hyperlink"/>
          <w:rFonts w:cs="Arial"/>
          <w:snapToGrid w:val="0"/>
          <w:sz w:val="22"/>
        </w:rPr>
        <w:t xml:space="preserve"> </w:t>
      </w:r>
      <w:r w:rsidRPr="00554627">
        <w:rPr>
          <w:rStyle w:val="Hyperlink"/>
          <w:rFonts w:cs="Arial"/>
          <w:snapToGrid w:val="0"/>
          <w:sz w:val="22"/>
        </w:rPr>
        <w:t>14</w:t>
      </w:r>
      <w:r w:rsidRPr="00554627">
        <w:rPr>
          <w:rStyle w:val="Hyperlink"/>
          <w:rFonts w:cs="Arial"/>
          <w:snapToGrid w:val="0"/>
        </w:rPr>
        <w:fldChar w:fldCharType="end"/>
      </w:r>
      <w:bookmarkEnd w:id="4"/>
      <w:r w:rsidRPr="00522D05">
        <w:rPr>
          <w:rFonts w:cs="SimSun"/>
          <w:kern w:val="2"/>
          <w:sz w:val="22"/>
          <w:szCs w:val="22"/>
          <w:lang w:val="zh-CN" w:bidi="zh-CN"/>
        </w:rPr>
        <w:t>号决定和第</w:t>
      </w:r>
      <w:r w:rsidRPr="00554627">
        <w:rPr>
          <w:rStyle w:val="Hyperlink"/>
          <w:rFonts w:cs="Arial"/>
          <w:snapToGrid w:val="0"/>
        </w:rPr>
        <w:fldChar w:fldCharType="begin"/>
      </w:r>
      <w:r w:rsidRPr="00554627">
        <w:rPr>
          <w:rStyle w:val="Hyperlink"/>
          <w:rFonts w:cs="Arial"/>
          <w:snapToGrid w:val="0"/>
        </w:rPr>
        <w:instrText>HYPERLINK "https://ich.unesco.org/en/decisions/20.COM/14"</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20.COM 14</w:t>
      </w:r>
      <w:r w:rsidRPr="00554627">
        <w:rPr>
          <w:rStyle w:val="Hyperlink"/>
          <w:rFonts w:cs="Arial"/>
          <w:snapToGrid w:val="0"/>
        </w:rPr>
        <w:fldChar w:fldCharType="end"/>
      </w:r>
      <w:r w:rsidRPr="00522D05">
        <w:rPr>
          <w:rFonts w:cs="SimSun"/>
          <w:kern w:val="2"/>
          <w:sz w:val="22"/>
          <w:szCs w:val="22"/>
          <w:lang w:val="zh-CN" w:bidi="zh-CN"/>
        </w:rPr>
        <w:t>号决定）。在《国际援助项目监测与评估策略》（第</w:t>
      </w:r>
      <w:r w:rsidRPr="00554627">
        <w:rPr>
          <w:rStyle w:val="Hyperlink"/>
          <w:rFonts w:cs="Arial"/>
          <w:snapToGrid w:val="0"/>
        </w:rPr>
        <w:fldChar w:fldCharType="begin"/>
      </w:r>
      <w:r w:rsidRPr="00554627">
        <w:rPr>
          <w:rStyle w:val="Hyperlink"/>
          <w:rFonts w:cs="Arial"/>
          <w:snapToGrid w:val="0"/>
        </w:rPr>
        <w:instrText>HYPERLINK "https://ich.unesco.org/en/Decisions/17.COM/11"</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17.COM 11</w:t>
      </w:r>
      <w:r w:rsidRPr="00554627">
        <w:rPr>
          <w:rStyle w:val="Hyperlink"/>
          <w:rFonts w:cs="Arial"/>
          <w:snapToGrid w:val="0"/>
        </w:rPr>
        <w:fldChar w:fldCharType="end"/>
      </w:r>
      <w:r w:rsidRPr="00522D05">
        <w:rPr>
          <w:rFonts w:cs="SimSun"/>
          <w:kern w:val="2"/>
          <w:sz w:val="22"/>
          <w:szCs w:val="22"/>
          <w:lang w:val="zh-CN" w:bidi="zh-CN"/>
        </w:rPr>
        <w:t>号决定）的基础上，秘书处计划与受益缔约国合作组织实地考察，对已完成的项目进行评估（见</w:t>
      </w:r>
      <w:r w:rsidRPr="00554627">
        <w:rPr>
          <w:rStyle w:val="Hyperlink"/>
          <w:rFonts w:cs="Arial"/>
          <w:snapToGrid w:val="0"/>
        </w:rPr>
        <w:fldChar w:fldCharType="begin"/>
      </w:r>
      <w:r w:rsidRPr="00554627">
        <w:rPr>
          <w:rStyle w:val="Hyperlink"/>
          <w:rFonts w:cs="Arial"/>
          <w:snapToGrid w:val="0"/>
        </w:rPr>
        <w:instrText>HYPERLINK "https://ich.unesco.org/doc/src/LHE-25-20.COM-10-EN.docx"</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LHE/25/20.COM/10</w:t>
      </w:r>
      <w:r w:rsidRPr="00554627">
        <w:rPr>
          <w:rStyle w:val="Hyperlink"/>
          <w:rFonts w:cs="Arial"/>
          <w:snapToGrid w:val="0"/>
        </w:rPr>
        <w:fldChar w:fldCharType="end"/>
      </w:r>
      <w:r w:rsidRPr="00522D05">
        <w:rPr>
          <w:rFonts w:cs="SimSun"/>
          <w:kern w:val="2"/>
          <w:sz w:val="22"/>
          <w:szCs w:val="22"/>
          <w:lang w:val="zh-CN" w:bidi="zh-CN"/>
        </w:rPr>
        <w:t>号文件）。预算项目1下的这些额外资金与划拨给受益人的赠款分开，</w:t>
      </w:r>
      <w:r w:rsidR="001643C1" w:rsidRPr="00522D05">
        <w:rPr>
          <w:rFonts w:cs="SimSun" w:hint="eastAsia"/>
          <w:kern w:val="2"/>
          <w:sz w:val="22"/>
          <w:szCs w:val="22"/>
          <w:lang w:val="zh-CN" w:bidi="zh-CN"/>
        </w:rPr>
        <w:t>并</w:t>
      </w:r>
      <w:r w:rsidRPr="00522D05">
        <w:rPr>
          <w:rFonts w:cs="SimSun"/>
          <w:kern w:val="2"/>
          <w:sz w:val="22"/>
          <w:szCs w:val="22"/>
          <w:lang w:val="zh-CN" w:bidi="zh-CN"/>
        </w:rPr>
        <w:t>将试验性地使用</w:t>
      </w:r>
      <w:r w:rsidR="001643C1" w:rsidRPr="00522D05">
        <w:rPr>
          <w:rFonts w:cs="SimSun" w:hint="eastAsia"/>
          <w:kern w:val="2"/>
          <w:sz w:val="22"/>
          <w:szCs w:val="22"/>
          <w:lang w:val="zh-CN" w:bidi="zh-CN"/>
        </w:rPr>
        <w:t>，</w:t>
      </w:r>
      <w:r w:rsidRPr="00522D05">
        <w:rPr>
          <w:rFonts w:cs="SimSun"/>
          <w:kern w:val="2"/>
          <w:sz w:val="22"/>
          <w:szCs w:val="22"/>
          <w:lang w:val="zh-CN" w:bidi="zh-CN"/>
        </w:rPr>
        <w:t>金额不超过每个已批准选定国际援助项目预算的10%，以便按照《公约》第二十一条的规定为提供专</w:t>
      </w:r>
      <w:r w:rsidR="001643C1" w:rsidRPr="00522D05">
        <w:rPr>
          <w:rFonts w:cs="SimSun" w:hint="eastAsia"/>
          <w:kern w:val="2"/>
          <w:sz w:val="22"/>
          <w:szCs w:val="22"/>
          <w:lang w:val="zh-CN" w:bidi="zh-CN"/>
        </w:rPr>
        <w:t>业</w:t>
      </w:r>
      <w:r w:rsidRPr="00522D05">
        <w:rPr>
          <w:rFonts w:cs="SimSun"/>
          <w:kern w:val="2"/>
          <w:sz w:val="22"/>
          <w:szCs w:val="22"/>
          <w:lang w:val="zh-CN" w:bidi="zh-CN"/>
        </w:rPr>
        <w:t>知识供资，以评价已完成的国际援助项目。</w:t>
      </w:r>
    </w:p>
    <w:p w14:paraId="169EFAF2" w14:textId="51D1844B"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2018年，大会第七届会议批准设立</w:t>
      </w:r>
      <w:r w:rsidR="001B3A1C" w:rsidRPr="00522D05">
        <w:rPr>
          <w:rFonts w:cs="SimSun" w:hint="eastAsia"/>
          <w:kern w:val="2"/>
          <w:sz w:val="22"/>
          <w:szCs w:val="22"/>
          <w:lang w:val="zh-CN" w:bidi="zh-CN"/>
        </w:rPr>
        <w:t>了</w:t>
      </w:r>
      <w:r w:rsidRPr="00522D05">
        <w:rPr>
          <w:rFonts w:cs="SimSun"/>
          <w:kern w:val="2"/>
          <w:sz w:val="22"/>
          <w:szCs w:val="22"/>
          <w:lang w:val="zh-CN" w:bidi="zh-CN"/>
        </w:rPr>
        <w:t>三个预算外定期员额（1个P3、1个P2和1个G5），用于成立一个</w:t>
      </w:r>
      <w:r w:rsidR="001B3A1C" w:rsidRPr="00522D05">
        <w:rPr>
          <w:rFonts w:cs="SimSun" w:hint="eastAsia"/>
          <w:kern w:val="2"/>
          <w:sz w:val="22"/>
          <w:szCs w:val="22"/>
          <w:lang w:val="zh-CN" w:bidi="zh-CN"/>
        </w:rPr>
        <w:t>专门负责</w:t>
      </w:r>
      <w:r w:rsidRPr="00522D05">
        <w:rPr>
          <w:rFonts w:cs="SimSun"/>
          <w:kern w:val="2"/>
          <w:sz w:val="22"/>
          <w:szCs w:val="22"/>
          <w:lang w:val="zh-CN" w:bidi="zh-CN"/>
        </w:rPr>
        <w:t>实施国际援助机制的团队（第</w:t>
      </w:r>
      <w:r w:rsidRPr="00554627">
        <w:rPr>
          <w:rStyle w:val="Hyperlink"/>
          <w:rFonts w:cs="Arial"/>
          <w:snapToGrid w:val="0"/>
        </w:rPr>
        <w:fldChar w:fldCharType="begin"/>
      </w:r>
      <w:r w:rsidR="00935CCA">
        <w:rPr>
          <w:rStyle w:val="Hyperlink"/>
          <w:rFonts w:cs="Arial"/>
          <w:snapToGrid w:val="0"/>
          <w:sz w:val="22"/>
          <w:szCs w:val="22"/>
        </w:rPr>
        <w:instrText>HYPERLINK "https://ich.unesco.org/doc/src/ITH-18-7.GA-Resolutions-ZH.docx?v=1532614015"</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7.GA 8</w:t>
      </w:r>
      <w:r w:rsidRPr="00554627">
        <w:rPr>
          <w:rStyle w:val="Hyperlink"/>
          <w:rFonts w:cs="Arial"/>
          <w:snapToGrid w:val="0"/>
        </w:rPr>
        <w:fldChar w:fldCharType="end"/>
      </w:r>
      <w:r w:rsidRPr="00522D05">
        <w:rPr>
          <w:rFonts w:cs="SimSun"/>
          <w:kern w:val="2"/>
          <w:sz w:val="22"/>
          <w:szCs w:val="22"/>
          <w:lang w:val="zh-CN" w:bidi="zh-CN"/>
        </w:rPr>
        <w:t>号决议）。“保护工作落实与监督（SIM）</w:t>
      </w:r>
      <w:r w:rsidR="001B3A1C" w:rsidRPr="00522D05">
        <w:rPr>
          <w:rFonts w:cs="SimSun" w:hint="eastAsia"/>
          <w:kern w:val="2"/>
          <w:sz w:val="22"/>
          <w:szCs w:val="22"/>
          <w:lang w:val="zh-CN" w:bidi="zh-CN"/>
        </w:rPr>
        <w:t>小</w:t>
      </w:r>
      <w:r w:rsidRPr="00522D05">
        <w:rPr>
          <w:rFonts w:cs="SimSun"/>
          <w:kern w:val="2"/>
          <w:sz w:val="22"/>
          <w:szCs w:val="22"/>
          <w:lang w:val="zh-CN" w:bidi="zh-CN"/>
        </w:rPr>
        <w:t>组”于2020年2月成立。建议拨出基金资源的13.4%左右</w:t>
      </w:r>
      <w:r w:rsidR="001B3A1C" w:rsidRPr="00522D05">
        <w:rPr>
          <w:rFonts w:cs="SimSun" w:hint="eastAsia"/>
          <w:kern w:val="2"/>
          <w:sz w:val="22"/>
          <w:szCs w:val="22"/>
          <w:lang w:val="zh-CN" w:bidi="zh-CN"/>
        </w:rPr>
        <w:t>，</w:t>
      </w:r>
      <w:r w:rsidRPr="00522D05">
        <w:rPr>
          <w:rFonts w:cs="SimSun"/>
          <w:kern w:val="2"/>
          <w:sz w:val="22"/>
          <w:szCs w:val="22"/>
          <w:lang w:val="zh-CN" w:bidi="zh-CN"/>
        </w:rPr>
        <w:t>用于涵盖这三个员额的费用</w:t>
      </w:r>
      <w:r w:rsidRPr="00554627">
        <w:rPr>
          <w:rFonts w:cs="SimSun"/>
          <w:b/>
          <w:bCs/>
          <w:kern w:val="2"/>
          <w:sz w:val="22"/>
          <w:szCs w:val="22"/>
          <w:lang w:val="zh-CN" w:bidi="zh-CN"/>
        </w:rPr>
        <w:t>（预算项目1.1）</w:t>
      </w:r>
      <w:r w:rsidRPr="00522D05">
        <w:rPr>
          <w:rFonts w:cs="SimSun"/>
          <w:kern w:val="2"/>
          <w:sz w:val="22"/>
          <w:szCs w:val="22"/>
          <w:lang w:val="zh-CN" w:bidi="zh-CN"/>
        </w:rPr>
        <w:t>，而该比例在2024–2025两年期为12.3%，</w:t>
      </w:r>
      <w:r w:rsidR="001B3A1C" w:rsidRPr="00522D05">
        <w:rPr>
          <w:rFonts w:cs="SimSun" w:hint="eastAsia"/>
          <w:kern w:val="2"/>
          <w:sz w:val="22"/>
          <w:szCs w:val="22"/>
          <w:lang w:val="zh-CN" w:bidi="zh-CN"/>
        </w:rPr>
        <w:t>以</w:t>
      </w:r>
      <w:r w:rsidRPr="00522D05">
        <w:rPr>
          <w:rFonts w:cs="SimSun"/>
          <w:kern w:val="2"/>
          <w:sz w:val="22"/>
          <w:szCs w:val="22"/>
          <w:lang w:val="zh-CN" w:bidi="zh-CN"/>
        </w:rPr>
        <w:t>维持</w:t>
      </w:r>
      <w:r w:rsidR="001B3A1C" w:rsidRPr="00522D05">
        <w:rPr>
          <w:rFonts w:cs="SimSun" w:hint="eastAsia"/>
          <w:kern w:val="2"/>
          <w:sz w:val="22"/>
          <w:szCs w:val="22"/>
          <w:lang w:val="zh-CN" w:bidi="zh-CN"/>
        </w:rPr>
        <w:t>该预算项目名义金额不变</w:t>
      </w:r>
      <w:r w:rsidRPr="00522D05">
        <w:rPr>
          <w:rFonts w:cs="SimSun"/>
          <w:kern w:val="2"/>
          <w:sz w:val="22"/>
          <w:szCs w:val="22"/>
          <w:lang w:val="zh-CN" w:bidi="zh-CN"/>
        </w:rPr>
        <w:t>。</w:t>
      </w:r>
    </w:p>
    <w:p w14:paraId="6C0DC44B" w14:textId="6DCD0816"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建议将1.7%的资金用于提供筹备性援助</w:t>
      </w:r>
      <w:r w:rsidRPr="00554627">
        <w:rPr>
          <w:rFonts w:cs="SimSun"/>
          <w:b/>
          <w:bCs/>
          <w:kern w:val="2"/>
          <w:sz w:val="22"/>
          <w:szCs w:val="22"/>
          <w:lang w:val="zh-CN" w:bidi="zh-CN"/>
        </w:rPr>
        <w:t>（预算项目2）</w:t>
      </w:r>
      <w:r w:rsidRPr="00522D05">
        <w:rPr>
          <w:rFonts w:cs="SimSun"/>
          <w:kern w:val="2"/>
          <w:sz w:val="22"/>
          <w:szCs w:val="22"/>
          <w:lang w:val="zh-CN" w:bidi="zh-CN"/>
        </w:rPr>
        <w:t>，与本两年期（2.8%）相比略有减少。尽管有所减少，但该预算项目仍可用于提供相关筹备性援助和技术援助。此外，秘书处将能够继续通过</w:t>
      </w:r>
      <w:r w:rsidRPr="00554627">
        <w:rPr>
          <w:rStyle w:val="Hyperlink"/>
          <w:rFonts w:cs="Arial"/>
          <w:snapToGrid w:val="0"/>
        </w:rPr>
        <w:fldChar w:fldCharType="begin"/>
      </w:r>
      <w:r w:rsidR="00935CCA">
        <w:rPr>
          <w:rStyle w:val="Hyperlink"/>
          <w:rFonts w:cs="Arial"/>
          <w:snapToGrid w:val="0"/>
          <w:sz w:val="22"/>
          <w:szCs w:val="22"/>
        </w:rPr>
        <w:instrText>HYPERLINK "https://ich.unesco.org/doc/src/ICH-Operational_Directives-10.GA_ZH.pdf?v=1767713196"</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《业务指南》</w:t>
      </w:r>
      <w:r w:rsidRPr="00554627">
        <w:rPr>
          <w:rStyle w:val="Hyperlink"/>
          <w:rFonts w:cs="Arial"/>
          <w:snapToGrid w:val="0"/>
        </w:rPr>
        <w:fldChar w:fldCharType="end"/>
      </w:r>
      <w:r w:rsidRPr="00522D05">
        <w:rPr>
          <w:rFonts w:cs="SimSun"/>
          <w:kern w:val="2"/>
          <w:sz w:val="22"/>
          <w:szCs w:val="22"/>
          <w:lang w:val="zh-CN" w:bidi="zh-CN"/>
        </w:rPr>
        <w:t>第21段所界定的申报材料筹备性援助向缔约国提供支持。该预算项目还涵盖与向缔约国提供技术援助</w:t>
      </w:r>
      <w:r w:rsidRPr="00554627">
        <w:rPr>
          <w:rFonts w:cs="SimSun"/>
          <w:sz w:val="22"/>
          <w:szCs w:val="22"/>
          <w:lang w:val="zh-CN" w:bidi="zh-CN"/>
        </w:rPr>
        <w:footnoteReference w:id="2"/>
      </w:r>
      <w:r w:rsidRPr="00522D05">
        <w:rPr>
          <w:rFonts w:cs="SimSun"/>
          <w:kern w:val="2"/>
          <w:sz w:val="22"/>
          <w:szCs w:val="22"/>
          <w:lang w:val="zh-CN" w:bidi="zh-CN"/>
        </w:rPr>
        <w:t>以编写国际援助申请相关的费用。</w:t>
      </w:r>
    </w:p>
    <w:p w14:paraId="67305BCB" w14:textId="77777777" w:rsidR="00C4749C" w:rsidRPr="00554627" w:rsidRDefault="00C4749C" w:rsidP="00554627">
      <w:pPr>
        <w:pStyle w:val="GAPara"/>
        <w:rPr>
          <w:b w:val="0"/>
          <w:bCs w:val="0"/>
        </w:rPr>
      </w:pPr>
      <w:r w:rsidRPr="00522D05">
        <w:t>委员会的其他职能</w:t>
      </w:r>
    </w:p>
    <w:p w14:paraId="453E5FF9" w14:textId="6DBC21D6"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54627">
        <w:rPr>
          <w:rFonts w:cs="SimSun"/>
          <w:b/>
          <w:bCs/>
          <w:kern w:val="2"/>
          <w:sz w:val="22"/>
          <w:szCs w:val="22"/>
          <w:lang w:val="zh-CN" w:bidi="zh-CN"/>
        </w:rPr>
        <w:t>预算项目3</w:t>
      </w:r>
      <w:r w:rsidRPr="00522D05">
        <w:rPr>
          <w:rFonts w:cs="SimSun"/>
          <w:kern w:val="2"/>
          <w:sz w:val="22"/>
          <w:szCs w:val="22"/>
          <w:lang w:val="zh-CN" w:bidi="zh-CN"/>
        </w:rPr>
        <w:t>（“委员会的其他职能”）将维持在20%，以加强上一个两年期内启动的工作。这些职能在《公约》第七条中列出，秘书处可以利用这些资金，辅以对委员会确定的2026-2029年两个</w:t>
      </w:r>
      <w:r w:rsidRPr="00522D05">
        <w:rPr>
          <w:rFonts w:cs="SimSun"/>
          <w:kern w:val="2"/>
          <w:sz w:val="22"/>
          <w:szCs w:val="22"/>
          <w:lang w:val="zh-CN" w:bidi="zh-CN"/>
        </w:rPr>
        <w:lastRenderedPageBreak/>
        <w:t>资金优先项目的自愿补充捐款，协助委员会履行《公约》第10条所要求的这些职能。换言之，这些资金将主要用于旨在推广《公约》目标的</w:t>
      </w:r>
      <w:r w:rsidRPr="00554627">
        <w:rPr>
          <w:rFonts w:cs="SimSun"/>
          <w:sz w:val="22"/>
          <w:szCs w:val="22"/>
          <w:lang w:val="zh-CN" w:bidi="zh-CN"/>
        </w:rPr>
        <w:t>上游和跨部门行动</w:t>
      </w:r>
      <w:r w:rsidRPr="00522D05">
        <w:rPr>
          <w:rFonts w:cs="SimSun"/>
          <w:kern w:val="2"/>
          <w:sz w:val="22"/>
          <w:szCs w:val="22"/>
          <w:lang w:val="zh-CN" w:bidi="zh-CN"/>
        </w:rPr>
        <w:t>，以鼓励和监测《公约》实施情况（第7[a]条），并就保护非物质文化遗产的措施提供指导（第7[b]条）。值得注意的是，</w:t>
      </w:r>
      <w:r w:rsidR="00F06BB3" w:rsidRPr="00522D05">
        <w:rPr>
          <w:rFonts w:cs="SimSun" w:hint="eastAsia"/>
          <w:kern w:val="2"/>
          <w:sz w:val="22"/>
          <w:szCs w:val="22"/>
          <w:lang w:val="zh-CN" w:bidi="zh-CN"/>
        </w:rPr>
        <w:t>尽管</w:t>
      </w:r>
      <w:r w:rsidRPr="00522D05">
        <w:rPr>
          <w:rFonts w:cs="SimSun"/>
          <w:kern w:val="2"/>
          <w:sz w:val="22"/>
          <w:szCs w:val="22"/>
          <w:lang w:val="zh-CN" w:bidi="zh-CN"/>
        </w:rPr>
        <w:t>拨款的百分比保持不变，由于当前两年期（2026-2027年）可用金额的普遍减少，预算项目3的名义金额会减少。</w:t>
      </w:r>
    </w:p>
    <w:p w14:paraId="04F4BC83" w14:textId="5312DABC"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根据第</w:t>
      </w:r>
      <w:r w:rsidRPr="00554627">
        <w:rPr>
          <w:rStyle w:val="Hyperlink"/>
          <w:rFonts w:cs="Arial"/>
          <w:snapToGrid w:val="0"/>
        </w:rPr>
        <w:fldChar w:fldCharType="begin"/>
      </w:r>
      <w:r w:rsidRPr="00554627">
        <w:rPr>
          <w:rStyle w:val="Hyperlink"/>
          <w:rFonts w:cs="Arial"/>
          <w:snapToGrid w:val="0"/>
        </w:rPr>
        <w:instrText>HYPERLINK "https://ich.unesco.org/en/Decisions/14.COM/7"</w:instrText>
      </w:r>
      <w:r w:rsidRPr="00554627">
        <w:rPr>
          <w:rStyle w:val="Hyperlink"/>
          <w:rFonts w:cs="Arial"/>
          <w:snapToGrid w:val="0"/>
        </w:rPr>
      </w:r>
      <w:r w:rsidRPr="00554627">
        <w:rPr>
          <w:rStyle w:val="Hyperlink"/>
          <w:rFonts w:cs="Arial"/>
          <w:snapToGrid w:val="0"/>
        </w:rPr>
        <w:fldChar w:fldCharType="separate"/>
      </w:r>
      <w:r w:rsidRPr="00554627">
        <w:rPr>
          <w:rStyle w:val="Hyperlink"/>
          <w:rFonts w:cs="Arial"/>
          <w:snapToGrid w:val="0"/>
          <w:sz w:val="22"/>
        </w:rPr>
        <w:t>14.COM 7</w:t>
      </w:r>
      <w:r w:rsidRPr="00554627">
        <w:rPr>
          <w:rStyle w:val="Hyperlink"/>
          <w:rFonts w:cs="Arial"/>
          <w:snapToGrid w:val="0"/>
        </w:rPr>
        <w:fldChar w:fldCharType="end"/>
      </w:r>
      <w:r w:rsidRPr="00522D05">
        <w:rPr>
          <w:rFonts w:cs="SimSun"/>
          <w:kern w:val="2"/>
          <w:sz w:val="22"/>
          <w:szCs w:val="22"/>
          <w:lang w:val="zh-CN" w:bidi="zh-CN"/>
        </w:rPr>
        <w:t>号决定，向委员会和大会提交的拟议计划包括预算项目3下根据C/5中批准的产出按预期结果（ER）分列的百分比细分。该计划提议，根据经批准的</w:t>
      </w:r>
      <w:hyperlink r:id="rId19" w:history="1">
        <w:r w:rsidRPr="00554627">
          <w:rPr>
            <w:rStyle w:val="Hyperlink"/>
            <w:rFonts w:cs="Arial"/>
            <w:snapToGrid w:val="0"/>
            <w:sz w:val="22"/>
          </w:rPr>
          <w:t>43 C/5</w:t>
        </w:r>
      </w:hyperlink>
      <w:r w:rsidRPr="00522D05">
        <w:rPr>
          <w:rFonts w:cs="SimSun"/>
          <w:kern w:val="2"/>
          <w:sz w:val="22"/>
          <w:szCs w:val="22"/>
          <w:lang w:val="zh-CN" w:bidi="zh-CN"/>
        </w:rPr>
        <w:t>（第168至170页）：重大计划IV：文化，成果4，</w:t>
      </w:r>
      <w:bookmarkStart w:id="5" w:name="_Hlk210144015"/>
      <w:r w:rsidRPr="00522D05">
        <w:rPr>
          <w:rFonts w:cs="SimSun"/>
          <w:kern w:val="2"/>
          <w:sz w:val="22"/>
          <w:szCs w:val="22"/>
          <w:lang w:val="zh-CN" w:bidi="zh-CN"/>
        </w:rPr>
        <w:t>产出4.2.CLT</w:t>
      </w:r>
      <w:bookmarkEnd w:id="5"/>
      <w:r w:rsidRPr="00522D05">
        <w:rPr>
          <w:rFonts w:cs="SimSun"/>
          <w:kern w:val="2"/>
          <w:sz w:val="22"/>
          <w:szCs w:val="22"/>
          <w:lang w:val="zh-CN" w:bidi="zh-CN"/>
        </w:rPr>
        <w:t>“会员国和社区更有能力保护、捍卫和促进自然与文化遗产，包括物质、非物质和水下遗产”中界定的两项业绩指标，将预算项目3分为两个预期结果。两个拟议预期</w:t>
      </w:r>
      <w:r w:rsidR="007B4A71" w:rsidRPr="00522D05">
        <w:rPr>
          <w:rFonts w:cs="SimSun" w:hint="eastAsia"/>
          <w:kern w:val="2"/>
          <w:sz w:val="22"/>
          <w:szCs w:val="22"/>
          <w:lang w:val="zh-CN" w:bidi="zh-CN"/>
        </w:rPr>
        <w:t>结</w:t>
      </w:r>
      <w:r w:rsidRPr="00522D05">
        <w:rPr>
          <w:rFonts w:cs="SimSun"/>
          <w:kern w:val="2"/>
          <w:sz w:val="22"/>
          <w:szCs w:val="22"/>
          <w:lang w:val="zh-CN" w:bidi="zh-CN"/>
        </w:rPr>
        <w:t>果之间的预算拨款分配将相等，如下所示：</w:t>
      </w:r>
    </w:p>
    <w:tbl>
      <w:tblPr>
        <w:tblStyle w:val="TableGrid"/>
        <w:tblW w:w="0" w:type="auto"/>
        <w:jc w:val="center"/>
        <w:tblLook w:val="04A0" w:firstRow="1" w:lastRow="0" w:firstColumn="1" w:lastColumn="0" w:noHBand="0" w:noVBand="1"/>
      </w:tblPr>
      <w:tblGrid>
        <w:gridCol w:w="6075"/>
        <w:gridCol w:w="1150"/>
      </w:tblGrid>
      <w:tr w:rsidR="00C4749C" w:rsidRPr="00522D05" w14:paraId="197F9740" w14:textId="77777777" w:rsidTr="005A7E1A">
        <w:trPr>
          <w:trHeight w:val="365"/>
          <w:jc w:val="center"/>
        </w:trPr>
        <w:tc>
          <w:tcPr>
            <w:tcW w:w="6075" w:type="dxa"/>
            <w:shd w:val="clear" w:color="auto" w:fill="D9D9D9" w:themeFill="background1" w:themeFillShade="D9"/>
          </w:tcPr>
          <w:p w14:paraId="3BF09407" w14:textId="77777777" w:rsidR="00C4749C" w:rsidRPr="00522D05" w:rsidRDefault="00C4749C" w:rsidP="00DF64A5">
            <w:pPr>
              <w:pStyle w:val="COMPara"/>
              <w:numPr>
                <w:ilvl w:val="0"/>
                <w:numId w:val="0"/>
              </w:numPr>
              <w:tabs>
                <w:tab w:val="left" w:pos="567"/>
              </w:tabs>
              <w:rPr>
                <w:rFonts w:ascii="SimSun" w:hAnsi="SimSun"/>
                <w:b/>
                <w:bCs/>
                <w:kern w:val="2"/>
              </w:rPr>
            </w:pPr>
            <w:proofErr w:type="spellStart"/>
            <w:proofErr w:type="gramStart"/>
            <w:r w:rsidRPr="00522D05">
              <w:rPr>
                <w:rFonts w:ascii="SimSun" w:hAnsi="SimSun"/>
                <w:b/>
                <w:kern w:val="2"/>
                <w:lang w:val="zh-CN" w:bidi="zh-CN"/>
              </w:rPr>
              <w:t>预期结果</w:t>
            </w:r>
            <w:proofErr w:type="spellEnd"/>
            <w:proofErr w:type="gramEnd"/>
          </w:p>
        </w:tc>
        <w:tc>
          <w:tcPr>
            <w:tcW w:w="1150" w:type="dxa"/>
            <w:shd w:val="clear" w:color="auto" w:fill="D9D9D9" w:themeFill="background1" w:themeFillShade="D9"/>
          </w:tcPr>
          <w:p w14:paraId="176BB15A" w14:textId="77777777" w:rsidR="00C4749C" w:rsidRPr="00522D05" w:rsidRDefault="00C4749C" w:rsidP="00DF64A5">
            <w:pPr>
              <w:pStyle w:val="COMPara"/>
              <w:numPr>
                <w:ilvl w:val="0"/>
                <w:numId w:val="0"/>
              </w:numPr>
              <w:tabs>
                <w:tab w:val="left" w:pos="567"/>
              </w:tabs>
              <w:rPr>
                <w:rFonts w:ascii="SimSun" w:hAnsi="SimSun"/>
                <w:b/>
                <w:bCs/>
                <w:kern w:val="2"/>
              </w:rPr>
            </w:pPr>
            <w:r w:rsidRPr="00522D05">
              <w:rPr>
                <w:rFonts w:ascii="SimSun" w:hAnsi="SimSun"/>
                <w:b/>
                <w:kern w:val="2"/>
                <w:lang w:val="zh-CN" w:bidi="zh-CN"/>
              </w:rPr>
              <w:t xml:space="preserve">2026-2027 </w:t>
            </w:r>
          </w:p>
        </w:tc>
      </w:tr>
      <w:tr w:rsidR="00C4749C" w:rsidRPr="00522D05" w14:paraId="26761406" w14:textId="77777777" w:rsidTr="005A7E1A">
        <w:trPr>
          <w:trHeight w:val="881"/>
          <w:jc w:val="center"/>
        </w:trPr>
        <w:tc>
          <w:tcPr>
            <w:tcW w:w="6075" w:type="dxa"/>
            <w:shd w:val="clear" w:color="auto" w:fill="C1E4F5" w:themeFill="accent1" w:themeFillTint="33"/>
          </w:tcPr>
          <w:p w14:paraId="4EDA25A6" w14:textId="155E428E" w:rsidR="00C4749C" w:rsidRPr="00522D05" w:rsidRDefault="00C4749C" w:rsidP="00DF64A5">
            <w:pPr>
              <w:pStyle w:val="COMPara"/>
              <w:numPr>
                <w:ilvl w:val="0"/>
                <w:numId w:val="0"/>
              </w:numPr>
              <w:tabs>
                <w:tab w:val="left" w:pos="567"/>
              </w:tabs>
              <w:rPr>
                <w:rFonts w:ascii="SimSun" w:hAnsi="SimSun"/>
                <w:kern w:val="2"/>
                <w:lang w:eastAsia="zh-CN"/>
              </w:rPr>
            </w:pPr>
            <w:proofErr w:type="spellStart"/>
            <w:proofErr w:type="gramStart"/>
            <w:r w:rsidRPr="00554627">
              <w:rPr>
                <w:rFonts w:ascii="SimSun" w:hAnsi="SimSun"/>
                <w:kern w:val="2"/>
                <w:lang w:val="zh-CN" w:bidi="zh-CN"/>
              </w:rPr>
              <w:t>预期结果</w:t>
            </w:r>
            <w:proofErr w:type="spellEnd"/>
            <w:proofErr w:type="gramEnd"/>
            <w:r w:rsidRPr="00554627">
              <w:rPr>
                <w:rFonts w:ascii="SimSun" w:hAnsi="SimSun"/>
                <w:kern w:val="2"/>
                <w:lang w:val="zh-CN" w:bidi="zh-CN"/>
              </w:rPr>
              <w:t>1：</w:t>
            </w:r>
            <w:proofErr w:type="spellStart"/>
            <w:r w:rsidRPr="00554627">
              <w:rPr>
                <w:rFonts w:ascii="SimSun" w:hAnsi="SimSun"/>
                <w:kern w:val="2"/>
                <w:lang w:val="zh-CN" w:bidi="zh-CN"/>
              </w:rPr>
              <w:t>通过强化能力建设方案和将非物质文化遗产纳入发展规划和政策框架来加强《公约》</w:t>
            </w:r>
            <w:r w:rsidR="00362E06" w:rsidRPr="00554627">
              <w:rPr>
                <w:rFonts w:ascii="SimSun" w:hAnsi="SimSun" w:hint="eastAsia"/>
                <w:kern w:val="2"/>
                <w:lang w:val="zh-CN" w:bidi="zh-CN"/>
              </w:rPr>
              <w:t>的</w:t>
            </w:r>
            <w:r w:rsidR="007B4A71" w:rsidRPr="00554627">
              <w:rPr>
                <w:rFonts w:ascii="SimSun" w:hAnsi="SimSun"/>
                <w:kern w:val="2"/>
                <w:lang w:val="zh-CN" w:bidi="zh-CN"/>
              </w:rPr>
              <w:t>执行</w:t>
            </w:r>
            <w:proofErr w:type="spellEnd"/>
            <w:r w:rsidRPr="00554627">
              <w:rPr>
                <w:rStyle w:val="FootnoteReference"/>
                <w:rFonts w:ascii="SimSun" w:hAnsi="SimSun"/>
                <w:kern w:val="2"/>
                <w:lang w:val="zh-CN" w:bidi="zh-CN"/>
              </w:rPr>
              <w:footnoteReference w:id="3"/>
            </w:r>
          </w:p>
        </w:tc>
        <w:tc>
          <w:tcPr>
            <w:tcW w:w="1150" w:type="dxa"/>
            <w:shd w:val="clear" w:color="auto" w:fill="C1E4F5" w:themeFill="accent1" w:themeFillTint="33"/>
          </w:tcPr>
          <w:p w14:paraId="21E34260" w14:textId="77777777" w:rsidR="00C4749C" w:rsidRPr="00522D05" w:rsidRDefault="00C4749C" w:rsidP="00DF64A5">
            <w:pPr>
              <w:pStyle w:val="COMPara"/>
              <w:numPr>
                <w:ilvl w:val="0"/>
                <w:numId w:val="0"/>
              </w:numPr>
              <w:tabs>
                <w:tab w:val="left" w:pos="567"/>
              </w:tabs>
              <w:rPr>
                <w:rFonts w:ascii="SimSun" w:hAnsi="SimSun"/>
                <w:b/>
                <w:bCs/>
                <w:kern w:val="2"/>
              </w:rPr>
            </w:pPr>
            <w:r w:rsidRPr="00522D05">
              <w:rPr>
                <w:rFonts w:ascii="SimSun" w:hAnsi="SimSun"/>
                <w:b/>
                <w:kern w:val="2"/>
                <w:lang w:val="zh-CN" w:bidi="zh-CN"/>
              </w:rPr>
              <w:t>50%</w:t>
            </w:r>
          </w:p>
        </w:tc>
      </w:tr>
      <w:tr w:rsidR="00C4749C" w:rsidRPr="00522D05" w14:paraId="270B374C" w14:textId="77777777" w:rsidTr="005A7E1A">
        <w:trPr>
          <w:trHeight w:val="825"/>
          <w:jc w:val="center"/>
        </w:trPr>
        <w:tc>
          <w:tcPr>
            <w:tcW w:w="6075" w:type="dxa"/>
            <w:shd w:val="clear" w:color="auto" w:fill="D9F2D0" w:themeFill="accent6" w:themeFillTint="33"/>
          </w:tcPr>
          <w:p w14:paraId="1AEAF808" w14:textId="77777777" w:rsidR="00C4749C" w:rsidRPr="00522D05" w:rsidRDefault="00C4749C" w:rsidP="00DF64A5">
            <w:pPr>
              <w:pStyle w:val="COMPara"/>
              <w:numPr>
                <w:ilvl w:val="0"/>
                <w:numId w:val="0"/>
              </w:numPr>
              <w:tabs>
                <w:tab w:val="left" w:pos="567"/>
              </w:tabs>
              <w:rPr>
                <w:rFonts w:ascii="SimSun" w:hAnsi="SimSun"/>
                <w:kern w:val="2"/>
                <w:lang w:eastAsia="zh-CN"/>
              </w:rPr>
            </w:pPr>
            <w:proofErr w:type="spellStart"/>
            <w:proofErr w:type="gramStart"/>
            <w:r w:rsidRPr="00554627">
              <w:rPr>
                <w:rFonts w:ascii="SimSun" w:hAnsi="SimSun"/>
                <w:kern w:val="2"/>
                <w:lang w:val="zh-CN" w:bidi="zh-CN"/>
              </w:rPr>
              <w:t>预期结果</w:t>
            </w:r>
            <w:proofErr w:type="spellEnd"/>
            <w:proofErr w:type="gramEnd"/>
            <w:r w:rsidRPr="00554627">
              <w:rPr>
                <w:rFonts w:ascii="SimSun" w:hAnsi="SimSun"/>
                <w:kern w:val="2"/>
                <w:lang w:val="zh-CN" w:bidi="zh-CN"/>
              </w:rPr>
              <w:t>2：</w:t>
            </w:r>
            <w:proofErr w:type="spellStart"/>
            <w:r w:rsidRPr="00554627">
              <w:rPr>
                <w:rFonts w:ascii="SimSun" w:hAnsi="SimSun"/>
                <w:kern w:val="2"/>
                <w:lang w:val="zh-CN" w:bidi="zh-CN"/>
              </w:rPr>
              <w:t>通过加强与国际合作机制有关的监测、知识管理服务和意识提升促进对《公约》的健全治理</w:t>
            </w:r>
            <w:proofErr w:type="spellEnd"/>
            <w:r w:rsidRPr="00554627">
              <w:rPr>
                <w:rStyle w:val="FootnoteReference"/>
                <w:rFonts w:ascii="SimSun" w:hAnsi="SimSun"/>
                <w:kern w:val="2"/>
                <w:lang w:val="zh-CN" w:bidi="zh-CN"/>
              </w:rPr>
              <w:footnoteReference w:id="4"/>
            </w:r>
          </w:p>
        </w:tc>
        <w:tc>
          <w:tcPr>
            <w:tcW w:w="1150" w:type="dxa"/>
            <w:shd w:val="clear" w:color="auto" w:fill="D9F2D0" w:themeFill="accent6" w:themeFillTint="33"/>
          </w:tcPr>
          <w:p w14:paraId="433A1A2E" w14:textId="77777777" w:rsidR="00C4749C" w:rsidRPr="00522D05" w:rsidRDefault="00C4749C" w:rsidP="00DF64A5">
            <w:pPr>
              <w:pStyle w:val="COMPara"/>
              <w:numPr>
                <w:ilvl w:val="0"/>
                <w:numId w:val="0"/>
              </w:numPr>
              <w:tabs>
                <w:tab w:val="left" w:pos="567"/>
              </w:tabs>
              <w:rPr>
                <w:rFonts w:ascii="SimSun" w:hAnsi="SimSun"/>
                <w:b/>
                <w:bCs/>
                <w:kern w:val="2"/>
              </w:rPr>
            </w:pPr>
            <w:r w:rsidRPr="00522D05">
              <w:rPr>
                <w:rFonts w:ascii="SimSun" w:hAnsi="SimSun"/>
                <w:b/>
                <w:kern w:val="2"/>
                <w:lang w:val="zh-CN" w:bidi="zh-CN"/>
              </w:rPr>
              <w:t>50%</w:t>
            </w:r>
          </w:p>
        </w:tc>
      </w:tr>
    </w:tbl>
    <w:p w14:paraId="74551741" w14:textId="1D98F629" w:rsidR="00C4749C" w:rsidRPr="00522D05" w:rsidRDefault="00C4749C" w:rsidP="00554627">
      <w:pPr>
        <w:pStyle w:val="ListParagraph"/>
        <w:numPr>
          <w:ilvl w:val="0"/>
          <w:numId w:val="10"/>
        </w:numPr>
        <w:wordWrap/>
        <w:spacing w:before="120" w:after="120"/>
        <w:ind w:left="360"/>
        <w:contextualSpacing w:val="0"/>
        <w:rPr>
          <w:rFonts w:cs="SimSun"/>
          <w:kern w:val="2"/>
          <w:sz w:val="22"/>
          <w:szCs w:val="22"/>
          <w:lang w:val="zh-CN" w:bidi="zh-CN"/>
        </w:rPr>
      </w:pPr>
      <w:r w:rsidRPr="00522D05">
        <w:rPr>
          <w:rFonts w:cs="SimSun"/>
          <w:kern w:val="2"/>
          <w:sz w:val="22"/>
          <w:szCs w:val="22"/>
          <w:lang w:val="zh-CN" w:bidi="zh-CN"/>
        </w:rPr>
        <w:t>根据大会2025年11月第43届会议</w:t>
      </w:r>
      <w:r w:rsidR="00362E06" w:rsidRPr="00522D05">
        <w:rPr>
          <w:rFonts w:cs="SimSun" w:hint="eastAsia"/>
          <w:kern w:val="2"/>
          <w:sz w:val="22"/>
          <w:szCs w:val="22"/>
          <w:lang w:val="zh-CN" w:bidi="zh-CN"/>
        </w:rPr>
        <w:t>上</w:t>
      </w:r>
      <w:r w:rsidRPr="00522D05">
        <w:rPr>
          <w:rFonts w:cs="SimSun"/>
          <w:kern w:val="2"/>
          <w:sz w:val="22"/>
          <w:szCs w:val="22"/>
          <w:lang w:val="zh-CN" w:bidi="zh-CN"/>
        </w:rPr>
        <w:t>通过的2026-2027年拨款决议（</w:t>
      </w:r>
      <w:hyperlink r:id="rId20" w:history="1">
        <w:r w:rsidRPr="00554627">
          <w:rPr>
            <w:rFonts w:cs="SimSun"/>
            <w:sz w:val="22"/>
            <w:szCs w:val="22"/>
            <w:lang w:val="zh-CN" w:bidi="zh-CN"/>
          </w:rPr>
          <w:t>第</w:t>
        </w:r>
        <w:r w:rsidRPr="00554627">
          <w:rPr>
            <w:rStyle w:val="Hyperlink"/>
            <w:rFonts w:cs="Arial"/>
            <w:snapToGrid w:val="0"/>
            <w:sz w:val="22"/>
          </w:rPr>
          <w:t>43</w:t>
        </w:r>
        <w:r w:rsidR="007B4A71" w:rsidRPr="00554627">
          <w:rPr>
            <w:rStyle w:val="Hyperlink"/>
            <w:rFonts w:cs="Arial"/>
            <w:snapToGrid w:val="0"/>
            <w:sz w:val="22"/>
            <w:szCs w:val="22"/>
          </w:rPr>
          <w:t xml:space="preserve"> </w:t>
        </w:r>
        <w:r w:rsidRPr="00554627">
          <w:rPr>
            <w:rStyle w:val="Hyperlink"/>
            <w:rFonts w:cs="Arial"/>
            <w:snapToGrid w:val="0"/>
            <w:sz w:val="22"/>
          </w:rPr>
          <w:t>C/84</w:t>
        </w:r>
        <w:r w:rsidRPr="00554627">
          <w:rPr>
            <w:rFonts w:cs="SimSun"/>
            <w:sz w:val="22"/>
            <w:szCs w:val="22"/>
            <w:lang w:val="zh-CN" w:bidi="zh-CN"/>
          </w:rPr>
          <w:t>号决议</w:t>
        </w:r>
      </w:hyperlink>
      <w:r w:rsidRPr="00522D05">
        <w:rPr>
          <w:rFonts w:cs="SimSun"/>
          <w:kern w:val="2"/>
          <w:sz w:val="22"/>
          <w:szCs w:val="22"/>
          <w:lang w:val="zh-CN" w:bidi="zh-CN"/>
        </w:rPr>
        <w:t>，第12段），即授权“总干事可在拨款项目之间进行资金转移，最多不超过调出方初始常规预算拨款项目的 5%”，委员会授权秘书处在预算项目3特定分配</w:t>
      </w:r>
      <w:r w:rsidR="00362E06" w:rsidRPr="00522D05">
        <w:rPr>
          <w:rFonts w:cs="SimSun" w:hint="eastAsia"/>
          <w:kern w:val="2"/>
          <w:sz w:val="22"/>
          <w:szCs w:val="22"/>
          <w:lang w:val="zh-CN" w:bidi="zh-CN"/>
        </w:rPr>
        <w:t>所涵盖</w:t>
      </w:r>
      <w:r w:rsidRPr="00522D05">
        <w:rPr>
          <w:rFonts w:cs="SimSun"/>
          <w:kern w:val="2"/>
          <w:sz w:val="22"/>
          <w:szCs w:val="22"/>
          <w:lang w:val="zh-CN" w:bidi="zh-CN"/>
        </w:rPr>
        <w:t>的活动之间进行资金转移，累计金额不超过初始拨款总额的5%（第</w:t>
      </w:r>
      <w:hyperlink r:id="rId21" w:history="1">
        <w:r w:rsidRPr="00554627">
          <w:rPr>
            <w:rStyle w:val="Hyperlink"/>
            <w:rFonts w:cs="Arial"/>
            <w:snapToGrid w:val="0"/>
            <w:sz w:val="22"/>
          </w:rPr>
          <w:t>20.COM 14</w:t>
        </w:r>
      </w:hyperlink>
      <w:r w:rsidRPr="00522D05">
        <w:rPr>
          <w:rFonts w:cs="SimSun"/>
          <w:kern w:val="2"/>
          <w:sz w:val="22"/>
          <w:szCs w:val="22"/>
          <w:lang w:val="zh-CN" w:bidi="zh-CN"/>
        </w:rPr>
        <w:t>号决定）。根据附件所示的指示性预算额，这相当于78,766美元。如果发生这种情况，秘书处将在进行此操作之后的</w:t>
      </w:r>
      <w:r w:rsidR="00362E06" w:rsidRPr="00522D05">
        <w:rPr>
          <w:rFonts w:cs="SimSun" w:hint="eastAsia"/>
          <w:kern w:val="2"/>
          <w:sz w:val="22"/>
          <w:szCs w:val="22"/>
          <w:lang w:val="zh-CN" w:bidi="zh-CN"/>
        </w:rPr>
        <w:t>下一届</w:t>
      </w:r>
      <w:r w:rsidRPr="00522D05">
        <w:rPr>
          <w:rFonts w:cs="SimSun"/>
          <w:kern w:val="2"/>
          <w:sz w:val="22"/>
          <w:szCs w:val="22"/>
          <w:lang w:val="zh-CN" w:bidi="zh-CN"/>
        </w:rPr>
        <w:t>会议上，以书面方式通知大会和委员会此类转移的详情及理由。</w:t>
      </w:r>
    </w:p>
    <w:p w14:paraId="7F69FEBD" w14:textId="77777777" w:rsidR="00C4749C" w:rsidRPr="00554627" w:rsidRDefault="00C4749C" w:rsidP="00554627">
      <w:pPr>
        <w:pStyle w:val="GAPara"/>
        <w:rPr>
          <w:b w:val="0"/>
          <w:bCs w:val="0"/>
        </w:rPr>
      </w:pPr>
      <w:r w:rsidRPr="00522D05">
        <w:t>预期结果1：通过强化能力建设方案和将非物质文化遗产纳入发展规划和政策框架来加强《公约》的执行</w:t>
      </w:r>
    </w:p>
    <w:p w14:paraId="205E88AE" w14:textId="311FF567"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基于 MONDIACULT 2025</w:t>
      </w:r>
      <w:hyperlink r:id="rId22" w:history="1">
        <w:r w:rsidRPr="00554627">
          <w:rPr>
            <w:rStyle w:val="Hyperlink"/>
            <w:rFonts w:cs="Arial"/>
            <w:snapToGrid w:val="0"/>
            <w:sz w:val="22"/>
          </w:rPr>
          <w:t>成果文件</w:t>
        </w:r>
      </w:hyperlink>
      <w:r w:rsidRPr="00522D05">
        <w:rPr>
          <w:rFonts w:cs="SimSun"/>
          <w:kern w:val="2"/>
          <w:sz w:val="22"/>
          <w:szCs w:val="22"/>
          <w:lang w:val="zh-CN" w:bidi="zh-CN"/>
        </w:rPr>
        <w:t>中概述的关于加强遗产保护机构能力的集体承诺，秘书处将继续调整全球能力建设计划的方向，以更好地响应各缔约国和社区不断变化的需求，特别是通过巩固</w:t>
      </w:r>
      <w:hyperlink r:id="rId23" w:history="1">
        <w:r w:rsidRPr="00554627">
          <w:rPr>
            <w:rStyle w:val="Hyperlink"/>
            <w:rFonts w:cs="Arial"/>
            <w:snapToGrid w:val="0"/>
            <w:sz w:val="22"/>
          </w:rPr>
          <w:t>教科文组织学习平台</w:t>
        </w:r>
      </w:hyperlink>
      <w:r w:rsidRPr="00522D05">
        <w:rPr>
          <w:rFonts w:cs="SimSun"/>
          <w:kern w:val="2"/>
          <w:sz w:val="22"/>
          <w:szCs w:val="22"/>
          <w:lang w:val="zh-CN" w:bidi="zh-CN"/>
        </w:rPr>
        <w:t>，提供在线、</w:t>
      </w:r>
      <w:r w:rsidR="00656C60" w:rsidRPr="00522D05">
        <w:rPr>
          <w:rFonts w:cs="SimSun" w:hint="eastAsia"/>
          <w:kern w:val="2"/>
          <w:sz w:val="22"/>
          <w:szCs w:val="22"/>
          <w:lang w:val="zh-CN" w:bidi="zh-CN"/>
        </w:rPr>
        <w:t>线上线下结合</w:t>
      </w:r>
      <w:r w:rsidRPr="00522D05">
        <w:rPr>
          <w:rFonts w:cs="SimSun"/>
          <w:kern w:val="2"/>
          <w:sz w:val="22"/>
          <w:szCs w:val="22"/>
          <w:lang w:val="zh-CN" w:bidi="zh-CN"/>
        </w:rPr>
        <w:t>和混合模式的多模式学习机会，以覆盖更广泛的利益攸关方。此外，还将努力加强</w:t>
      </w:r>
      <w:hyperlink r:id="rId24" w:history="1">
        <w:r w:rsidRPr="00554627">
          <w:rPr>
            <w:rStyle w:val="Hyperlink"/>
            <w:rFonts w:cs="Arial"/>
            <w:snapToGrid w:val="0"/>
            <w:sz w:val="22"/>
          </w:rPr>
          <w:t>全球</w:t>
        </w:r>
        <w:r w:rsidR="00656C60" w:rsidRPr="00522D05">
          <w:rPr>
            <w:rStyle w:val="Hyperlink"/>
            <w:rFonts w:cs="Arial" w:hint="eastAsia"/>
            <w:snapToGrid w:val="0"/>
            <w:sz w:val="22"/>
            <w:szCs w:val="22"/>
          </w:rPr>
          <w:t>促进员</w:t>
        </w:r>
        <w:r w:rsidRPr="00554627">
          <w:rPr>
            <w:rStyle w:val="Hyperlink"/>
            <w:rFonts w:cs="Arial"/>
            <w:snapToGrid w:val="0"/>
            <w:sz w:val="22"/>
          </w:rPr>
          <w:t>网络</w:t>
        </w:r>
      </w:hyperlink>
      <w:r w:rsidRPr="00522D05">
        <w:rPr>
          <w:rFonts w:cs="SimSun"/>
          <w:kern w:val="2"/>
          <w:sz w:val="22"/>
          <w:szCs w:val="22"/>
          <w:lang w:val="zh-CN" w:bidi="zh-CN"/>
        </w:rPr>
        <w:t>，让其具备专题专门知识、最新的指导方针和工具，使其能够以混合形式开展能力建设并触达新的受众。在2026-2027两年期中，将针对定期报告中的能力建设提供有针对性的支持，特别是在向单一全球提交系统过渡的背景下（参见</w:t>
      </w:r>
      <w:hyperlink r:id="rId25" w:history="1">
        <w:r w:rsidRPr="00554627">
          <w:rPr>
            <w:rStyle w:val="Hyperlink"/>
            <w:rFonts w:cs="Arial"/>
            <w:snapToGrid w:val="0"/>
            <w:sz w:val="22"/>
          </w:rPr>
          <w:t>LHE/25/20.COM/6.c</w:t>
        </w:r>
      </w:hyperlink>
      <w:r w:rsidRPr="00522D05">
        <w:rPr>
          <w:rFonts w:cs="SimSun"/>
          <w:kern w:val="2"/>
          <w:sz w:val="22"/>
          <w:szCs w:val="22"/>
          <w:lang w:val="zh-CN" w:bidi="zh-CN"/>
        </w:rPr>
        <w:t>号文件），使缔约国能够更有效地生成和使用数据，以保护活态遗产并支持政策制定。将加强与第2类中心、教科文组织/姊妹大学教席和其他利益攸关方的伙伴关系，以扩大活动的地理覆盖范围，并促进与学术界及区域专业知识的协同增效。</w:t>
      </w:r>
    </w:p>
    <w:p w14:paraId="65AE43F7" w14:textId="3BC33494"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本着《保护活态遗产以促进可持续发展与和平的</w:t>
      </w:r>
      <w:hyperlink r:id="rId26" w:history="1">
        <w:r w:rsidRPr="00554627">
          <w:rPr>
            <w:rStyle w:val="Hyperlink"/>
            <w:rFonts w:cs="Arial"/>
            <w:snapToGrid w:val="0"/>
            <w:sz w:val="22"/>
          </w:rPr>
          <w:t>首尔未来愿景</w:t>
        </w:r>
      </w:hyperlink>
      <w:r w:rsidRPr="00522D05">
        <w:rPr>
          <w:rFonts w:cs="SimSun"/>
          <w:kern w:val="2"/>
          <w:sz w:val="22"/>
          <w:szCs w:val="22"/>
          <w:lang w:val="zh-CN" w:bidi="zh-CN"/>
        </w:rPr>
        <w:t>》（2023年）以及最近的《教科文组织文化艺术教育</w:t>
      </w:r>
      <w:hyperlink r:id="rId27" w:history="1">
        <w:r w:rsidRPr="00554627">
          <w:rPr>
            <w:rStyle w:val="Hyperlink"/>
            <w:rFonts w:cs="Arial"/>
            <w:snapToGrid w:val="0"/>
            <w:sz w:val="22"/>
          </w:rPr>
          <w:t>框架</w:t>
        </w:r>
        <w:r w:rsidRPr="00554627">
          <w:rPr>
            <w:rFonts w:cs="SimSun"/>
            <w:sz w:val="22"/>
            <w:szCs w:val="22"/>
            <w:lang w:val="zh-CN" w:bidi="zh-CN"/>
          </w:rPr>
          <w:t>》</w:t>
        </w:r>
      </w:hyperlink>
      <w:r w:rsidRPr="00522D05">
        <w:rPr>
          <w:rFonts w:cs="SimSun"/>
          <w:kern w:val="2"/>
          <w:sz w:val="22"/>
          <w:szCs w:val="22"/>
          <w:lang w:val="zh-CN" w:bidi="zh-CN"/>
        </w:rPr>
        <w:t>（2024年）的精神，秘书处将继续促进活态遗产融入正规和非正规教育，强调开展切合情境的教育的重要性。在现有资源范围内，包括来自自愿补充捐款的资源（参见</w:t>
      </w:r>
      <w:hyperlink r:id="rId28" w:history="1">
        <w:r w:rsidRPr="00554627">
          <w:rPr>
            <w:rStyle w:val="Hyperlink"/>
            <w:rFonts w:cs="Arial"/>
            <w:snapToGrid w:val="0"/>
            <w:sz w:val="22"/>
          </w:rPr>
          <w:t>LHE/25/20.COM/13</w:t>
        </w:r>
      </w:hyperlink>
      <w:r w:rsidRPr="00522D05">
        <w:rPr>
          <w:rFonts w:cs="SimSun"/>
          <w:kern w:val="2"/>
          <w:sz w:val="22"/>
          <w:szCs w:val="22"/>
          <w:lang w:val="zh-CN" w:bidi="zh-CN"/>
        </w:rPr>
        <w:t>和</w:t>
      </w:r>
      <w:hyperlink r:id="rId29" w:history="1">
        <w:r w:rsidRPr="00554627">
          <w:rPr>
            <w:rStyle w:val="Hyperlink"/>
            <w:rFonts w:cs="Arial"/>
            <w:snapToGrid w:val="0"/>
            <w:sz w:val="22"/>
          </w:rPr>
          <w:t>LHE/25/20.COM/INF.13.2</w:t>
        </w:r>
      </w:hyperlink>
      <w:r w:rsidRPr="00522D05">
        <w:rPr>
          <w:rFonts w:cs="SimSun"/>
          <w:kern w:val="2"/>
          <w:sz w:val="22"/>
          <w:szCs w:val="22"/>
          <w:lang w:val="zh-CN" w:bidi="zh-CN"/>
        </w:rPr>
        <w:t>号文件），行动领域可能包括组织培训活动和开发适合不同教育环境和水平的工具及方法；推进技术和职业教育与培训（TVET）和非正规教育等较</w:t>
      </w:r>
      <w:r w:rsidRPr="00522D05">
        <w:rPr>
          <w:rFonts w:cs="SimSun"/>
          <w:kern w:val="2"/>
          <w:sz w:val="22"/>
          <w:szCs w:val="22"/>
          <w:lang w:val="zh-CN" w:bidi="zh-CN"/>
        </w:rPr>
        <w:lastRenderedPageBreak/>
        <w:t>少探索的领域；以及加强沟通、网络和跨区域交流。此外，在两年期中，将特别关注针对特定目标群体的外展活动，同时参照《业务指南》第174和194段促进包容性。</w:t>
      </w:r>
    </w:p>
    <w:p w14:paraId="697242E1" w14:textId="77777777" w:rsidR="00C4749C" w:rsidRPr="00554627" w:rsidRDefault="00C4749C" w:rsidP="00554627">
      <w:pPr>
        <w:pStyle w:val="GAPara"/>
        <w:rPr>
          <w:b w:val="0"/>
          <w:bCs w:val="0"/>
        </w:rPr>
      </w:pPr>
      <w:r w:rsidRPr="00522D05">
        <w:t>预期结果2：通过加强与国际合作机制有关的监测、知识管理服务和意识提升促进对《公约》的健全治理</w:t>
      </w:r>
    </w:p>
    <w:p w14:paraId="5F7C9E02" w14:textId="478BCA3A"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通过执行理事机构的决定来维持善治，仍是确保有效执行《公约》的优先事项。在2026-2027两年期，秘书处将重点落实关于更广泛实施第十八条的</w:t>
      </w:r>
      <w:hyperlink r:id="rId30" w:history="1">
        <w:r w:rsidRPr="00554627">
          <w:rPr>
            <w:rStyle w:val="Hyperlink"/>
            <w:rFonts w:cs="Arial"/>
            <w:snapToGrid w:val="0"/>
            <w:sz w:val="22"/>
          </w:rPr>
          <w:t>反思</w:t>
        </w:r>
      </w:hyperlink>
      <w:r w:rsidRPr="00522D05">
        <w:rPr>
          <w:rFonts w:cs="SimSun"/>
          <w:kern w:val="2"/>
          <w:sz w:val="22"/>
          <w:szCs w:val="22"/>
          <w:lang w:val="zh-CN" w:bidi="zh-CN"/>
        </w:rPr>
        <w:t>成果，</w:t>
      </w:r>
      <w:r w:rsidR="00705DAE" w:rsidRPr="00522D05">
        <w:rPr>
          <w:rFonts w:cs="SimSun" w:hint="eastAsia"/>
          <w:kern w:val="2"/>
          <w:sz w:val="22"/>
          <w:szCs w:val="22"/>
          <w:lang w:val="zh-CN" w:bidi="zh-CN"/>
        </w:rPr>
        <w:t>通过</w:t>
      </w:r>
      <w:r w:rsidRPr="00522D05">
        <w:rPr>
          <w:rFonts w:cs="SimSun"/>
          <w:kern w:val="2"/>
          <w:sz w:val="22"/>
          <w:szCs w:val="22"/>
          <w:lang w:val="zh-CN" w:bidi="zh-CN"/>
        </w:rPr>
        <w:t>支持正在建立的</w:t>
      </w:r>
      <w:hyperlink r:id="rId31" w:history="1">
        <w:r w:rsidRPr="00554627">
          <w:rPr>
            <w:rStyle w:val="Hyperlink"/>
            <w:rFonts w:cs="Arial"/>
            <w:snapToGrid w:val="0"/>
            <w:sz w:val="22"/>
          </w:rPr>
          <w:t>在线平台</w:t>
        </w:r>
      </w:hyperlink>
      <w:r w:rsidRPr="00522D05">
        <w:rPr>
          <w:rFonts w:cs="SimSun"/>
          <w:kern w:val="2"/>
          <w:sz w:val="22"/>
          <w:szCs w:val="22"/>
          <w:lang w:val="zh-CN" w:bidi="zh-CN"/>
        </w:rPr>
        <w:t>，用于分享良好的保护实践，从而为国际和国家层面的工作提供指导。此外，在首个区域</w:t>
      </w:r>
      <w:r w:rsidR="004436A0" w:rsidRPr="00522D05">
        <w:rPr>
          <w:rFonts w:cs="SimSun" w:hint="eastAsia"/>
          <w:kern w:val="2"/>
          <w:sz w:val="22"/>
          <w:szCs w:val="22"/>
          <w:lang w:val="zh-CN" w:bidi="zh-CN"/>
        </w:rPr>
        <w:t>定期</w:t>
      </w:r>
      <w:r w:rsidRPr="00522D05">
        <w:rPr>
          <w:rFonts w:cs="SimSun"/>
          <w:kern w:val="2"/>
          <w:sz w:val="22"/>
          <w:szCs w:val="22"/>
          <w:lang w:val="zh-CN" w:bidi="zh-CN"/>
        </w:rPr>
        <w:t>报告周期完成后，将特别着重推动作为2026年反思年一部分所开展的活动；同时，在向单一全球提交系统过渡（参见</w:t>
      </w:r>
      <w:hyperlink r:id="rId32" w:history="1">
        <w:r w:rsidRPr="00554627">
          <w:rPr>
            <w:rStyle w:val="Hyperlink"/>
            <w:rFonts w:cs="Arial"/>
            <w:snapToGrid w:val="0"/>
            <w:sz w:val="22"/>
          </w:rPr>
          <w:t>LHE/25/20.COM/6.c</w:t>
        </w:r>
      </w:hyperlink>
      <w:r w:rsidRPr="00522D05">
        <w:rPr>
          <w:rFonts w:cs="SimSun"/>
          <w:kern w:val="2"/>
          <w:sz w:val="22"/>
          <w:szCs w:val="22"/>
          <w:lang w:val="zh-CN" w:bidi="zh-CN"/>
        </w:rPr>
        <w:t>号文件）的背景下，还将专门投入力量，协助各缔约</w:t>
      </w:r>
      <w:r w:rsidR="004436A0" w:rsidRPr="00522D05">
        <w:rPr>
          <w:rFonts w:cs="SimSun" w:hint="eastAsia"/>
          <w:kern w:val="2"/>
          <w:sz w:val="22"/>
          <w:szCs w:val="22"/>
          <w:lang w:val="zh-CN" w:bidi="zh-CN"/>
        </w:rPr>
        <w:t>国</w:t>
      </w:r>
      <w:r w:rsidRPr="00522D05">
        <w:rPr>
          <w:rFonts w:cs="SimSun"/>
          <w:kern w:val="2"/>
          <w:sz w:val="22"/>
          <w:szCs w:val="22"/>
          <w:lang w:val="zh-CN" w:bidi="zh-CN"/>
        </w:rPr>
        <w:t>做好准备并为其在2027年提交定期报告提供支持。同时，秘书处将根据委员会2024年的一项决定（第</w:t>
      </w:r>
      <w:hyperlink r:id="rId33" w:history="1">
        <w:r w:rsidRPr="00554627">
          <w:rPr>
            <w:rStyle w:val="Hyperlink"/>
            <w:rFonts w:cs="Arial"/>
            <w:snapToGrid w:val="0"/>
            <w:sz w:val="22"/>
          </w:rPr>
          <w:t>19.COM 15</w:t>
        </w:r>
      </w:hyperlink>
      <w:r w:rsidRPr="00522D05">
        <w:rPr>
          <w:rFonts w:cs="SimSun"/>
          <w:kern w:val="2"/>
          <w:sz w:val="22"/>
          <w:szCs w:val="22"/>
          <w:lang w:val="zh-CN" w:bidi="zh-CN"/>
        </w:rPr>
        <w:t>号决定），对列入名录机制的遗产项目在非物质文化遗产领域和可持续发展领域的</w:t>
      </w:r>
      <w:r w:rsidR="004436A0" w:rsidRPr="00522D05">
        <w:rPr>
          <w:rFonts w:cs="SimSun" w:hint="eastAsia"/>
          <w:kern w:val="2"/>
          <w:sz w:val="22"/>
          <w:szCs w:val="22"/>
          <w:lang w:val="zh-CN" w:bidi="zh-CN"/>
        </w:rPr>
        <w:t>代表性方面出现的</w:t>
      </w:r>
      <w:r w:rsidRPr="00522D05">
        <w:rPr>
          <w:rFonts w:cs="SimSun"/>
          <w:kern w:val="2"/>
          <w:sz w:val="22"/>
          <w:szCs w:val="22"/>
          <w:lang w:val="zh-CN" w:bidi="zh-CN"/>
        </w:rPr>
        <w:t>趋势进行初步分析。</w:t>
      </w:r>
    </w:p>
    <w:p w14:paraId="4AC69E9F" w14:textId="30A867B1" w:rsidR="00C4749C" w:rsidRPr="00522D05" w:rsidRDefault="00C4749C" w:rsidP="00705DAE">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根据在上一个两年期期间</w:t>
      </w:r>
      <w:r w:rsidR="00220391" w:rsidRPr="00522D05">
        <w:rPr>
          <w:rFonts w:cs="SimSun" w:hint="eastAsia"/>
          <w:kern w:val="2"/>
          <w:sz w:val="22"/>
          <w:szCs w:val="22"/>
          <w:lang w:val="zh-CN" w:bidi="zh-CN"/>
        </w:rPr>
        <w:t>所</w:t>
      </w:r>
      <w:r w:rsidRPr="00522D05">
        <w:rPr>
          <w:rFonts w:cs="SimSun"/>
          <w:kern w:val="2"/>
          <w:sz w:val="22"/>
          <w:szCs w:val="22"/>
          <w:lang w:val="zh-CN" w:bidi="zh-CN"/>
        </w:rPr>
        <w:t>启动的行动并依据重申文化对可持续发展具有变革性力量的《MONDIACULT 2025年</w:t>
      </w:r>
      <w:hyperlink r:id="rId34" w:history="1">
        <w:r w:rsidRPr="00554627">
          <w:rPr>
            <w:rStyle w:val="Hyperlink"/>
            <w:rFonts w:cs="Arial"/>
            <w:snapToGrid w:val="0"/>
            <w:sz w:val="22"/>
          </w:rPr>
          <w:t>成果文件</w:t>
        </w:r>
      </w:hyperlink>
      <w:r w:rsidRPr="00522D05">
        <w:rPr>
          <w:rFonts w:cs="SimSun"/>
          <w:kern w:val="2"/>
          <w:sz w:val="22"/>
          <w:szCs w:val="22"/>
          <w:lang w:val="zh-CN" w:bidi="zh-CN"/>
        </w:rPr>
        <w:t>》，秘书处将推进三项将非物质文化遗产与全球挑战相结合的主题举措，特别是 (i) 保护非物质文化遗产的经济层面，(ii) 保护非物质文化遗产与气候变化，以及 (iii) 保护城市环境中的非物质文化遗产。此外，还将继续开展关于数字环境中非物质文化遗产这一补充主题的工作，包括人工智能对保护工作的影响。与此同时，</w:t>
      </w:r>
      <w:r w:rsidR="00705DAE" w:rsidRPr="00522D05">
        <w:rPr>
          <w:rFonts w:cs="SimSun" w:hint="eastAsia"/>
          <w:kern w:val="2"/>
          <w:sz w:val="22"/>
          <w:szCs w:val="22"/>
          <w:lang w:val="zh-CN" w:bidi="zh-CN"/>
        </w:rPr>
        <w:t>还</w:t>
      </w:r>
      <w:r w:rsidRPr="00522D05">
        <w:rPr>
          <w:rFonts w:cs="SimSun"/>
          <w:kern w:val="2"/>
          <w:sz w:val="22"/>
          <w:szCs w:val="22"/>
          <w:lang w:val="zh-CN" w:bidi="zh-CN"/>
        </w:rPr>
        <w:t>将继续开展宣传和推广工作，以提高对《公约》影响力的认识，宣传良好实践，扩大对各类利益攸关方的宣传范围。在这方面，将继续通过</w:t>
      </w:r>
      <w:r w:rsidR="00705DAE" w:rsidRPr="00522D05">
        <w:rPr>
          <w:rFonts w:cs="SimSun" w:hint="eastAsia"/>
          <w:kern w:val="2"/>
          <w:sz w:val="22"/>
          <w:szCs w:val="22"/>
          <w:lang w:val="zh-CN" w:bidi="zh-CN"/>
        </w:rPr>
        <w:t>与</w:t>
      </w:r>
      <w:r w:rsidRPr="00522D05">
        <w:rPr>
          <w:rFonts w:cs="SimSun"/>
          <w:kern w:val="2"/>
          <w:sz w:val="22"/>
          <w:szCs w:val="22"/>
          <w:lang w:val="zh-CN" w:bidi="zh-CN"/>
        </w:rPr>
        <w:t>非物质文化遗产非政府组织论坛</w:t>
      </w:r>
      <w:r w:rsidR="00705DAE" w:rsidRPr="00522D05">
        <w:rPr>
          <w:rFonts w:cs="SimSun" w:hint="eastAsia"/>
          <w:kern w:val="2"/>
          <w:sz w:val="22"/>
          <w:szCs w:val="22"/>
          <w:lang w:val="zh-CN" w:bidi="zh-CN"/>
        </w:rPr>
        <w:t>和</w:t>
      </w:r>
      <w:r w:rsidRPr="00522D05">
        <w:rPr>
          <w:rFonts w:cs="SimSun"/>
          <w:kern w:val="2"/>
          <w:sz w:val="22"/>
          <w:szCs w:val="22"/>
          <w:lang w:val="zh-CN" w:bidi="zh-CN"/>
        </w:rPr>
        <w:t>经认证的非政府组织合作，将其视为重要的伙伴关系，认可其在参与式治理中的重要作用。将调动知识管理服务来支持上述所有工作，</w:t>
      </w:r>
      <w:r w:rsidR="00220391" w:rsidRPr="00522D05">
        <w:rPr>
          <w:rFonts w:cs="SimSun" w:hint="eastAsia"/>
          <w:kern w:val="2"/>
          <w:sz w:val="22"/>
          <w:szCs w:val="22"/>
          <w:lang w:val="zh-CN" w:bidi="zh-CN"/>
        </w:rPr>
        <w:t>优化</w:t>
      </w:r>
      <w:r w:rsidRPr="00522D05">
        <w:rPr>
          <w:rFonts w:cs="SimSun"/>
          <w:kern w:val="2"/>
          <w:sz w:val="22"/>
          <w:szCs w:val="22"/>
          <w:lang w:val="zh-CN" w:bidi="zh-CN"/>
        </w:rPr>
        <w:t>数据</w:t>
      </w:r>
      <w:r w:rsidR="00220391" w:rsidRPr="00522D05">
        <w:rPr>
          <w:rFonts w:cs="SimSun" w:hint="eastAsia"/>
          <w:kern w:val="2"/>
          <w:sz w:val="22"/>
          <w:szCs w:val="22"/>
          <w:lang w:val="zh-CN" w:bidi="zh-CN"/>
        </w:rPr>
        <w:t>生成工作，</w:t>
      </w:r>
      <w:r w:rsidRPr="00522D05">
        <w:rPr>
          <w:rFonts w:cs="SimSun"/>
          <w:kern w:val="2"/>
          <w:sz w:val="22"/>
          <w:szCs w:val="22"/>
          <w:lang w:val="zh-CN" w:bidi="zh-CN"/>
        </w:rPr>
        <w:t>并通过用户友好的格式促进信息的获取，包括定期</w:t>
      </w:r>
      <w:r w:rsidR="00220391" w:rsidRPr="00522D05">
        <w:rPr>
          <w:rFonts w:cs="SimSun" w:hint="eastAsia"/>
          <w:kern w:val="2"/>
          <w:sz w:val="22"/>
          <w:szCs w:val="22"/>
          <w:lang w:val="zh-CN" w:bidi="zh-CN"/>
        </w:rPr>
        <w:t>对</w:t>
      </w:r>
      <w:r w:rsidRPr="00522D05">
        <w:rPr>
          <w:rFonts w:cs="SimSun"/>
          <w:kern w:val="2"/>
          <w:sz w:val="22"/>
          <w:szCs w:val="22"/>
          <w:lang w:val="zh-CN" w:bidi="zh-CN"/>
        </w:rPr>
        <w:t>“</w:t>
      </w:r>
      <w:hyperlink r:id="rId35" w:history="1">
        <w:r w:rsidRPr="00554627">
          <w:rPr>
            <w:rStyle w:val="Hyperlink"/>
            <w:rFonts w:cs="Arial"/>
            <w:snapToGrid w:val="0"/>
            <w:sz w:val="22"/>
          </w:rPr>
          <w:t>沉浸式探索非物质文化遗产！</w:t>
        </w:r>
      </w:hyperlink>
      <w:r w:rsidRPr="00522D05">
        <w:rPr>
          <w:rFonts w:cs="SimSun"/>
          <w:kern w:val="2"/>
          <w:sz w:val="22"/>
          <w:szCs w:val="22"/>
          <w:lang w:val="zh-CN" w:bidi="zh-CN"/>
        </w:rPr>
        <w:t>”</w:t>
      </w:r>
      <w:r w:rsidR="00220391" w:rsidRPr="00522D05">
        <w:rPr>
          <w:rFonts w:cs="SimSun" w:hint="eastAsia"/>
          <w:kern w:val="2"/>
          <w:sz w:val="22"/>
          <w:szCs w:val="22"/>
          <w:lang w:val="zh-CN" w:bidi="zh-CN"/>
        </w:rPr>
        <w:t>进行更新</w:t>
      </w:r>
      <w:r w:rsidRPr="00522D05">
        <w:rPr>
          <w:rFonts w:cs="SimSun"/>
          <w:kern w:val="2"/>
          <w:sz w:val="22"/>
          <w:szCs w:val="22"/>
          <w:lang w:val="zh-CN" w:bidi="zh-CN"/>
        </w:rPr>
        <w:t>。</w:t>
      </w:r>
    </w:p>
    <w:p w14:paraId="40C0292E" w14:textId="77777777" w:rsidR="00C4749C" w:rsidRPr="00554627" w:rsidRDefault="00C4749C" w:rsidP="00554627">
      <w:pPr>
        <w:pStyle w:val="GAPara"/>
      </w:pPr>
      <w:r w:rsidRPr="00522D05">
        <w:t xml:space="preserve">专家参加理事机构的会议 </w:t>
      </w:r>
    </w:p>
    <w:p w14:paraId="26F8A760" w14:textId="75BE3E63"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54627">
        <w:rPr>
          <w:rFonts w:cs="SimSun"/>
          <w:b/>
          <w:bCs/>
          <w:kern w:val="2"/>
          <w:sz w:val="22"/>
          <w:szCs w:val="22"/>
          <w:lang w:val="zh-CN" w:bidi="zh-CN"/>
        </w:rPr>
        <w:t>预算项目4</w:t>
      </w:r>
      <w:r w:rsidRPr="00522D05">
        <w:rPr>
          <w:rFonts w:cs="SimSun"/>
          <w:kern w:val="2"/>
          <w:sz w:val="22"/>
          <w:szCs w:val="22"/>
          <w:lang w:val="zh-CN" w:bidi="zh-CN"/>
        </w:rPr>
        <w:t>（如果相关专家是委员会成员）或</w:t>
      </w:r>
      <w:r w:rsidRPr="00554627">
        <w:rPr>
          <w:rFonts w:cs="SimSun"/>
          <w:b/>
          <w:bCs/>
          <w:kern w:val="2"/>
          <w:sz w:val="22"/>
          <w:szCs w:val="22"/>
          <w:lang w:val="zh-CN" w:bidi="zh-CN"/>
        </w:rPr>
        <w:t>预算项目5</w:t>
      </w:r>
      <w:r w:rsidRPr="00522D05">
        <w:rPr>
          <w:rFonts w:cs="SimSun"/>
          <w:kern w:val="2"/>
          <w:sz w:val="22"/>
          <w:szCs w:val="22"/>
          <w:lang w:val="zh-CN" w:bidi="zh-CN"/>
        </w:rPr>
        <w:t>（如果他们不是委员会成员）负责涵盖代表发展中国家的非物质文化遗产专家参加法定会议的费用。代表发展中国家经认证的非政府组织的专家参加委员会会议的费用由</w:t>
      </w:r>
      <w:r w:rsidRPr="00554627">
        <w:rPr>
          <w:rFonts w:cs="SimSun"/>
          <w:b/>
          <w:bCs/>
          <w:kern w:val="2"/>
          <w:sz w:val="22"/>
          <w:szCs w:val="22"/>
          <w:lang w:val="zh-CN" w:bidi="zh-CN"/>
        </w:rPr>
        <w:t>预算项目6</w:t>
      </w:r>
      <w:r w:rsidRPr="00522D05">
        <w:rPr>
          <w:rFonts w:cs="SimSun"/>
          <w:kern w:val="2"/>
          <w:sz w:val="22"/>
          <w:szCs w:val="22"/>
          <w:lang w:val="zh-CN" w:bidi="zh-CN"/>
        </w:rPr>
        <w:t>支付。这些项目的资金比例将分别维持在</w:t>
      </w:r>
      <w:r w:rsidRPr="00554627">
        <w:rPr>
          <w:rFonts w:cs="SimSun"/>
          <w:b/>
          <w:bCs/>
          <w:kern w:val="2"/>
          <w:sz w:val="22"/>
          <w:szCs w:val="22"/>
          <w:lang w:val="zh-CN" w:bidi="zh-CN"/>
        </w:rPr>
        <w:t>2.5%、2.7%和2.7%</w:t>
      </w:r>
      <w:r w:rsidRPr="00522D05">
        <w:rPr>
          <w:rFonts w:cs="SimSun"/>
          <w:kern w:val="2"/>
          <w:sz w:val="22"/>
          <w:szCs w:val="22"/>
          <w:lang w:val="zh-CN" w:bidi="zh-CN"/>
        </w:rPr>
        <w:t>，以回应委员会成员的所有请求，并尽可能满足非委员会成员的缔约国及经认证的非政府组织提交</w:t>
      </w:r>
      <w:r w:rsidR="008C6777" w:rsidRPr="00522D05">
        <w:rPr>
          <w:rFonts w:cs="SimSun" w:hint="eastAsia"/>
          <w:kern w:val="2"/>
          <w:sz w:val="22"/>
          <w:szCs w:val="22"/>
          <w:lang w:val="zh-CN" w:bidi="zh-CN"/>
        </w:rPr>
        <w:t>的</w:t>
      </w:r>
      <w:r w:rsidRPr="00522D05">
        <w:rPr>
          <w:rFonts w:cs="SimSun"/>
          <w:kern w:val="2"/>
          <w:sz w:val="22"/>
          <w:szCs w:val="22"/>
          <w:lang w:val="zh-CN" w:bidi="zh-CN"/>
        </w:rPr>
        <w:t>符合条件的请求。如无法对经认证的非政府组织所有符合条件的请求给予肯定答复，特别是由于经认证的非政府组织数量不断增加，则应优先考虑非物质文化遗产非政府组织论坛的当选代表和位于发展中国家的非政府组织，同时确保受资助的非政府组织具有地域多样性，并鼓励广大非政府组织在两年期间视需要轮流参加委员会届会。</w:t>
      </w:r>
    </w:p>
    <w:p w14:paraId="2C39C34D" w14:textId="77777777" w:rsidR="00C4749C" w:rsidRPr="00554627" w:rsidRDefault="00C4749C" w:rsidP="00554627">
      <w:pPr>
        <w:pStyle w:val="ListParagraph"/>
        <w:wordWrap/>
        <w:spacing w:after="120"/>
        <w:ind w:left="360"/>
        <w:contextualSpacing w:val="0"/>
        <w:rPr>
          <w:rFonts w:cs="SimSun"/>
          <w:b/>
          <w:bCs/>
          <w:kern w:val="2"/>
          <w:sz w:val="22"/>
          <w:szCs w:val="22"/>
          <w:lang w:val="zh-CN" w:bidi="zh-CN"/>
        </w:rPr>
      </w:pPr>
      <w:r w:rsidRPr="00554627">
        <w:rPr>
          <w:rFonts w:cs="SimSun"/>
          <w:b/>
          <w:bCs/>
          <w:kern w:val="2"/>
          <w:sz w:val="22"/>
          <w:szCs w:val="22"/>
          <w:lang w:val="zh-CN" w:bidi="zh-CN"/>
        </w:rPr>
        <w:t>向委员会提供咨询服务</w:t>
      </w:r>
    </w:p>
    <w:p w14:paraId="3F062801" w14:textId="1C8CF927"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提议将</w:t>
      </w:r>
      <w:r w:rsidRPr="00554627">
        <w:rPr>
          <w:rFonts w:cs="SimSun"/>
          <w:b/>
          <w:bCs/>
          <w:kern w:val="2"/>
          <w:sz w:val="22"/>
          <w:szCs w:val="22"/>
          <w:lang w:val="zh-CN" w:bidi="zh-CN"/>
        </w:rPr>
        <w:t>预算项目7</w:t>
      </w:r>
      <w:r w:rsidRPr="00522D05">
        <w:rPr>
          <w:rFonts w:cs="SimSun"/>
          <w:kern w:val="2"/>
          <w:sz w:val="22"/>
          <w:szCs w:val="22"/>
          <w:lang w:val="zh-CN" w:bidi="zh-CN"/>
        </w:rPr>
        <w:t>维持在7%，以涵盖应委员会的要求在2026年1月至2027年12月期间提供的咨询服务的费用。特别是，考虑到委员会决定在年度上限之外处理若干类别的申报材料</w:t>
      </w:r>
      <w:r w:rsidRPr="00554627">
        <w:rPr>
          <w:rFonts w:cs="SimSun"/>
          <w:sz w:val="22"/>
          <w:szCs w:val="22"/>
          <w:vertAlign w:val="superscript"/>
          <w:lang w:val="zh-CN" w:bidi="zh-CN"/>
        </w:rPr>
        <w:footnoteReference w:id="5"/>
      </w:r>
      <w:r w:rsidRPr="00522D05">
        <w:rPr>
          <w:rFonts w:cs="SimSun"/>
          <w:kern w:val="2"/>
          <w:sz w:val="22"/>
          <w:szCs w:val="22"/>
          <w:lang w:val="zh-CN" w:bidi="zh-CN"/>
        </w:rPr>
        <w:t>（第</w:t>
      </w:r>
      <w:hyperlink r:id="rId36" w:history="1">
        <w:r w:rsidRPr="00554627">
          <w:rPr>
            <w:rStyle w:val="Hyperlink"/>
            <w:rFonts w:cs="Arial"/>
            <w:snapToGrid w:val="0"/>
            <w:sz w:val="22"/>
          </w:rPr>
          <w:t>19.COM 15</w:t>
        </w:r>
      </w:hyperlink>
      <w:r w:rsidRPr="00522D05">
        <w:rPr>
          <w:rFonts w:cs="SimSun"/>
          <w:kern w:val="2"/>
          <w:sz w:val="22"/>
          <w:szCs w:val="22"/>
          <w:lang w:val="zh-CN" w:bidi="zh-CN"/>
        </w:rPr>
        <w:t>号决定），导致相应两个周期的申报材料数量增加，以及委员会在此期间可能决定分配给审查机构的任何其他任务，此预算项目旨在涵盖审查机构在2026年和2027年申报周期的工作相关费用，以及秘书处为此提供的支持。</w:t>
      </w:r>
    </w:p>
    <w:p w14:paraId="28C17AE8" w14:textId="316D88EC"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kern w:val="2"/>
          <w:sz w:val="22"/>
          <w:szCs w:val="22"/>
          <w:lang w:val="zh-CN" w:bidi="zh-CN"/>
        </w:rPr>
        <w:t>在第十届会议上，大会建议授权秘书处在预算项目4、5、6和7之间进行资金转移，最高可达其初始总拨款的30%（第</w:t>
      </w:r>
      <w:hyperlink r:id="rId37" w:history="1">
        <w:r w:rsidRPr="00554627">
          <w:rPr>
            <w:rStyle w:val="Hyperlink"/>
            <w:rFonts w:cs="Arial"/>
            <w:snapToGrid w:val="0"/>
            <w:sz w:val="22"/>
          </w:rPr>
          <w:t>10.GA 8</w:t>
        </w:r>
      </w:hyperlink>
      <w:r w:rsidRPr="00522D05">
        <w:rPr>
          <w:rFonts w:cs="SimSun"/>
          <w:kern w:val="2"/>
          <w:sz w:val="22"/>
          <w:szCs w:val="22"/>
          <w:lang w:val="zh-CN" w:bidi="zh-CN"/>
        </w:rPr>
        <w:t>号决议）。在本报告所述期间，</w:t>
      </w:r>
      <w:r w:rsidR="008E7A81" w:rsidRPr="00522D05">
        <w:rPr>
          <w:rFonts w:cs="SimSun" w:hint="eastAsia"/>
          <w:kern w:val="2"/>
          <w:sz w:val="22"/>
          <w:szCs w:val="22"/>
          <w:lang w:val="zh-CN" w:bidi="zh-CN"/>
        </w:rPr>
        <w:t>于</w:t>
      </w:r>
      <w:r w:rsidRPr="00522D05">
        <w:rPr>
          <w:rFonts w:cs="SimSun"/>
          <w:kern w:val="2"/>
          <w:sz w:val="22"/>
          <w:szCs w:val="22"/>
          <w:lang w:val="zh-CN" w:bidi="zh-CN"/>
        </w:rPr>
        <w:t>2025年7月同时进行了三次预算转移，分别从预算项目4向预算项目5（10,000美元）、从预算项目7向预算项目5（40,000美元）以及从预算项目7向预算项目6（110,000美元）。这些转移旨在使基金能够积极回应更多的</w:t>
      </w:r>
      <w:r w:rsidRPr="00522D05">
        <w:rPr>
          <w:rFonts w:cs="SimSun"/>
          <w:kern w:val="2"/>
          <w:sz w:val="22"/>
          <w:szCs w:val="22"/>
          <w:lang w:val="zh-CN" w:bidi="zh-CN"/>
        </w:rPr>
        <w:lastRenderedPageBreak/>
        <w:t>请求，以涵盖来自发展中国家且并非委员会成员国的缔约国专家（预算项目5）和经认证的发展中国家非政府组织</w:t>
      </w:r>
      <w:r w:rsidR="008E7A81" w:rsidRPr="00522D05">
        <w:rPr>
          <w:rFonts w:cs="SimSun" w:hint="eastAsia"/>
          <w:kern w:val="2"/>
          <w:sz w:val="22"/>
          <w:szCs w:val="22"/>
          <w:lang w:val="zh-CN" w:bidi="zh-CN"/>
        </w:rPr>
        <w:t>代表</w:t>
      </w:r>
      <w:r w:rsidRPr="00522D05">
        <w:rPr>
          <w:rFonts w:cs="SimSun"/>
          <w:kern w:val="2"/>
          <w:sz w:val="22"/>
          <w:szCs w:val="22"/>
          <w:lang w:val="zh-CN" w:bidi="zh-CN"/>
        </w:rPr>
        <w:t>（预算项目6）出席委员会第二十届会议的费用（参见</w:t>
      </w:r>
      <w:hyperlink r:id="rId38" w:history="1">
        <w:r w:rsidRPr="00554627">
          <w:rPr>
            <w:rStyle w:val="Hyperlink"/>
            <w:rFonts w:cs="SimSun"/>
            <w:kern w:val="2"/>
            <w:sz w:val="22"/>
            <w:szCs w:val="22"/>
            <w:lang w:val="zh-CN" w:bidi="zh-CN"/>
          </w:rPr>
          <w:t>LHE/26/11.GA/INF.8</w:t>
        </w:r>
      </w:hyperlink>
      <w:r w:rsidRPr="00522D05">
        <w:rPr>
          <w:rFonts w:cs="SimSun"/>
          <w:kern w:val="2"/>
          <w:sz w:val="22"/>
          <w:szCs w:val="22"/>
          <w:lang w:val="zh-CN" w:bidi="zh-CN"/>
        </w:rPr>
        <w:t>号文件）。为了能够继续回应不同类别参与者尽可能多的财务援助申请，委员会建议大会继续授权秘书处在预算项目4、5、6和7之间进行资金转移，金额不超过其初始总额的30%（第</w:t>
      </w:r>
      <w:hyperlink r:id="rId39" w:history="1">
        <w:r w:rsidRPr="00554627">
          <w:rPr>
            <w:rStyle w:val="Hyperlink"/>
            <w:rFonts w:cs="Arial"/>
            <w:snapToGrid w:val="0"/>
            <w:sz w:val="22"/>
          </w:rPr>
          <w:t>20.COM 14</w:t>
        </w:r>
      </w:hyperlink>
      <w:r w:rsidRPr="00522D05">
        <w:rPr>
          <w:rFonts w:cs="SimSun"/>
          <w:kern w:val="2"/>
          <w:sz w:val="22"/>
          <w:szCs w:val="22"/>
          <w:lang w:val="zh-CN" w:bidi="zh-CN"/>
        </w:rPr>
        <w:t>号决定）。如有必要进行这种转移，秘书处将在进行此操作之后的</w:t>
      </w:r>
      <w:r w:rsidR="008E7A81" w:rsidRPr="00522D05">
        <w:rPr>
          <w:rFonts w:cs="SimSun" w:hint="eastAsia"/>
          <w:kern w:val="2"/>
          <w:sz w:val="22"/>
          <w:szCs w:val="22"/>
          <w:lang w:val="zh-CN" w:bidi="zh-CN"/>
        </w:rPr>
        <w:t>下一届</w:t>
      </w:r>
      <w:r w:rsidRPr="00522D05">
        <w:rPr>
          <w:rFonts w:cs="SimSun"/>
          <w:kern w:val="2"/>
          <w:sz w:val="22"/>
          <w:szCs w:val="22"/>
          <w:lang w:val="zh-CN" w:bidi="zh-CN"/>
        </w:rPr>
        <w:t>会议上，以书面方式通知大会和委员会此类转移的详情及理由。</w:t>
      </w:r>
    </w:p>
    <w:p w14:paraId="77D332A9" w14:textId="6D36E95A" w:rsidR="00C4749C" w:rsidRPr="00522D05" w:rsidRDefault="00C4749C" w:rsidP="00A71122">
      <w:pPr>
        <w:pStyle w:val="ListParagraph"/>
        <w:numPr>
          <w:ilvl w:val="0"/>
          <w:numId w:val="10"/>
        </w:numPr>
        <w:wordWrap/>
        <w:spacing w:after="120"/>
        <w:ind w:left="360"/>
        <w:contextualSpacing w:val="0"/>
        <w:rPr>
          <w:rFonts w:cs="SimSun"/>
          <w:kern w:val="2"/>
          <w:sz w:val="22"/>
          <w:szCs w:val="22"/>
          <w:lang w:val="zh-CN" w:bidi="zh-CN"/>
        </w:rPr>
      </w:pPr>
      <w:r w:rsidRPr="00522D05">
        <w:rPr>
          <w:rFonts w:cs="SimSun" w:hint="eastAsia"/>
          <w:kern w:val="2"/>
          <w:sz w:val="22"/>
          <w:szCs w:val="22"/>
          <w:lang w:val="zh-CN" w:bidi="zh-CN"/>
        </w:rPr>
        <w:t>谨建议大会通过如下决议：</w:t>
      </w:r>
    </w:p>
    <w:p w14:paraId="1EC5A77F" w14:textId="0404BE8C" w:rsidR="00A42B5E" w:rsidRPr="00554627" w:rsidRDefault="00A42B5E" w:rsidP="00554627">
      <w:pPr>
        <w:pStyle w:val="GAPara"/>
      </w:pPr>
      <w:r w:rsidRPr="00554627">
        <w:rPr>
          <w:rFonts w:hint="eastAsia"/>
        </w:rPr>
        <w:t>第</w:t>
      </w:r>
      <w:r w:rsidRPr="00554627">
        <w:t>11.GA </w:t>
      </w:r>
      <w:r w:rsidR="00C4749C" w:rsidRPr="00554627">
        <w:t>8</w:t>
      </w:r>
      <w:r w:rsidRPr="00554627">
        <w:rPr>
          <w:rFonts w:hint="eastAsia"/>
        </w:rPr>
        <w:t>号决议草案</w:t>
      </w:r>
    </w:p>
    <w:p w14:paraId="1FB77108" w14:textId="77777777" w:rsidR="00A42B5E" w:rsidRPr="00522D05" w:rsidRDefault="00A42B5E" w:rsidP="00DF64A5">
      <w:pPr>
        <w:pStyle w:val="COMPreambulaDecisions"/>
        <w:rPr>
          <w:rFonts w:ascii="SimSun" w:hAnsi="SimSun"/>
          <w:kern w:val="2"/>
        </w:rPr>
      </w:pPr>
      <w:r w:rsidRPr="00522D05">
        <w:rPr>
          <w:rFonts w:ascii="SimSun" w:hAnsi="SimSun" w:hint="eastAsia"/>
          <w:kern w:val="2"/>
        </w:rPr>
        <w:t>大会，</w:t>
      </w:r>
    </w:p>
    <w:p w14:paraId="0837C276" w14:textId="4A35FEB8" w:rsidR="00C4749C" w:rsidRPr="00522D05" w:rsidRDefault="00C4749C" w:rsidP="00DF64A5">
      <w:pPr>
        <w:pStyle w:val="COMParaDecision"/>
        <w:rPr>
          <w:rFonts w:ascii="SimSun" w:hAnsi="SimSun"/>
          <w:kern w:val="2"/>
          <w:u w:val="none"/>
        </w:rPr>
      </w:pPr>
      <w:r w:rsidRPr="00522D05">
        <w:rPr>
          <w:rFonts w:ascii="SimSun" w:hAnsi="SimSun"/>
          <w:kern w:val="2"/>
          <w:lang w:val="zh-CN" w:bidi="zh-CN"/>
        </w:rPr>
        <w:t>审</w:t>
      </w:r>
      <w:r w:rsidR="00CA69EB" w:rsidRPr="00522D05">
        <w:rPr>
          <w:rFonts w:ascii="SimSun" w:hAnsi="SimSun" w:hint="eastAsia"/>
          <w:kern w:val="2"/>
          <w:lang w:val="zh-CN" w:bidi="zh-CN"/>
        </w:rPr>
        <w:t>议</w:t>
      </w:r>
      <w:r w:rsidRPr="00522D05">
        <w:rPr>
          <w:rFonts w:ascii="SimSun" w:hAnsi="SimSun"/>
          <w:kern w:val="2"/>
          <w:lang w:val="zh-CN" w:bidi="zh-CN"/>
        </w:rPr>
        <w:t>了</w:t>
      </w:r>
      <w:r w:rsidRPr="00522D05">
        <w:rPr>
          <w:rFonts w:ascii="SimSun" w:hAnsi="SimSun"/>
          <w:kern w:val="2"/>
          <w:u w:val="none"/>
          <w:lang w:val="zh-CN" w:bidi="zh-CN"/>
        </w:rPr>
        <w:t>LHE/26/11.GA/8</w:t>
      </w:r>
      <w:r w:rsidRPr="00554627">
        <w:rPr>
          <w:rFonts w:ascii="SimSun" w:hAnsi="SimSun"/>
          <w:kern w:val="2"/>
          <w:u w:val="none"/>
          <w:lang w:val="zh-CN" w:bidi="zh-CN"/>
        </w:rPr>
        <w:t>号文件和</w:t>
      </w:r>
      <w:hyperlink r:id="rId40" w:history="1">
        <w:r w:rsidRPr="00554627">
          <w:rPr>
            <w:rStyle w:val="Hyperlink"/>
            <w:rFonts w:ascii="SimSun" w:hAnsi="SimSun"/>
            <w:kern w:val="2"/>
            <w:lang w:val="zh-CN" w:bidi="zh-CN"/>
          </w:rPr>
          <w:t>LHE/26/11.GA/INF.8</w:t>
        </w:r>
      </w:hyperlink>
      <w:r w:rsidRPr="00554627">
        <w:rPr>
          <w:rFonts w:ascii="SimSun" w:hAnsi="SimSun"/>
          <w:kern w:val="2"/>
          <w:u w:val="none"/>
          <w:lang w:val="zh-CN" w:bidi="zh-CN"/>
        </w:rPr>
        <w:t>号文件及其各自的附件</w:t>
      </w:r>
      <w:r w:rsidRPr="00522D05">
        <w:rPr>
          <w:rFonts w:ascii="SimSun" w:hAnsi="SimSun"/>
          <w:kern w:val="2"/>
          <w:u w:val="none"/>
          <w:lang w:val="zh-CN" w:bidi="zh-CN"/>
        </w:rPr>
        <w:t>，</w:t>
      </w:r>
    </w:p>
    <w:p w14:paraId="5E2BE961" w14:textId="77777777" w:rsidR="00C4749C" w:rsidRPr="00522D05" w:rsidRDefault="00C4749C" w:rsidP="00DF64A5">
      <w:pPr>
        <w:pStyle w:val="COMParaDecision"/>
        <w:rPr>
          <w:rFonts w:ascii="SimSun" w:hAnsi="SimSun"/>
          <w:kern w:val="2"/>
        </w:rPr>
      </w:pPr>
      <w:r w:rsidRPr="00522D05">
        <w:rPr>
          <w:rFonts w:ascii="SimSun" w:hAnsi="SimSun"/>
          <w:kern w:val="2"/>
          <w:lang w:val="zh-CN" w:bidi="zh-CN"/>
        </w:rPr>
        <w:t>忆及</w:t>
      </w:r>
      <w:r w:rsidRPr="00522D05">
        <w:rPr>
          <w:rFonts w:ascii="SimSun" w:hAnsi="SimSun"/>
          <w:kern w:val="2"/>
          <w:u w:val="none"/>
          <w:lang w:val="zh-CN" w:bidi="zh-CN"/>
        </w:rPr>
        <w:t>《公约》第七条(c)款以及《业务指南》第II.1章，</w:t>
      </w:r>
    </w:p>
    <w:p w14:paraId="55A51723" w14:textId="1A62213C" w:rsidR="00C4749C" w:rsidRPr="00522D05" w:rsidRDefault="00C4749C" w:rsidP="00DF64A5">
      <w:pPr>
        <w:pStyle w:val="COMParaDecision"/>
        <w:rPr>
          <w:rFonts w:ascii="SimSun" w:hAnsi="SimSun"/>
          <w:kern w:val="2"/>
          <w:u w:val="none"/>
        </w:rPr>
      </w:pPr>
      <w:r w:rsidRPr="00522D05">
        <w:rPr>
          <w:rFonts w:ascii="SimSun" w:hAnsi="SimSun"/>
          <w:kern w:val="2"/>
          <w:lang w:val="zh-CN" w:bidi="zh-CN"/>
        </w:rPr>
        <w:t>进一步忆及</w:t>
      </w:r>
      <w:r w:rsidRPr="00522D05">
        <w:rPr>
          <w:rFonts w:ascii="SimSun" w:hAnsi="SimSun"/>
          <w:kern w:val="2"/>
          <w:u w:val="none"/>
          <w:lang w:val="zh-CN" w:bidi="zh-CN"/>
        </w:rPr>
        <w:t>教科文组织大会的</w:t>
      </w:r>
      <w:bookmarkStart w:id="6" w:name="_Hlk150367455"/>
      <w:r w:rsidRPr="00522D05">
        <w:rPr>
          <w:rFonts w:ascii="SimSun" w:hAnsi="SimSun"/>
          <w:kern w:val="2"/>
          <w:u w:val="none"/>
          <w:lang w:val="zh-CN" w:bidi="zh-CN"/>
        </w:rPr>
        <w:t>2026–</w:t>
      </w:r>
      <w:bookmarkEnd w:id="6"/>
      <w:r w:rsidRPr="00522D05">
        <w:rPr>
          <w:rFonts w:ascii="SimSun" w:hAnsi="SimSun"/>
          <w:kern w:val="2"/>
          <w:u w:val="none"/>
          <w:lang w:val="zh-CN" w:bidi="zh-CN"/>
        </w:rPr>
        <w:t>2027</w:t>
      </w:r>
      <w:r w:rsidRPr="00554627">
        <w:rPr>
          <w:rFonts w:ascii="SimSun" w:hAnsi="SimSun"/>
          <w:kern w:val="2"/>
          <w:u w:val="none"/>
          <w:lang w:val="zh-CN" w:bidi="zh-CN"/>
        </w:rPr>
        <w:t>拨款决议</w:t>
      </w:r>
      <w:r w:rsidRPr="00522D05">
        <w:rPr>
          <w:rFonts w:ascii="SimSun" w:hAnsi="SimSun"/>
          <w:color w:val="212121"/>
          <w:kern w:val="2"/>
          <w:u w:val="none"/>
          <w:shd w:val="clear" w:color="auto" w:fill="FFFFFF"/>
          <w:lang w:val="zh-CN" w:bidi="zh-CN"/>
        </w:rPr>
        <w:t>（第</w:t>
      </w:r>
      <w:hyperlink r:id="rId41" w:history="1">
        <w:r w:rsidRPr="00522D05">
          <w:rPr>
            <w:rStyle w:val="Hyperlink"/>
            <w:rFonts w:ascii="SimSun" w:hAnsi="SimSun"/>
            <w:kern w:val="2"/>
            <w:lang w:val="zh-CN" w:bidi="zh-CN"/>
          </w:rPr>
          <w:t>43 C/84</w:t>
        </w:r>
      </w:hyperlink>
      <w:r w:rsidRPr="00522D05">
        <w:rPr>
          <w:rFonts w:ascii="SimSun" w:hAnsi="SimSun"/>
          <w:color w:val="212121"/>
          <w:kern w:val="2"/>
          <w:u w:val="none"/>
          <w:shd w:val="clear" w:color="auto" w:fill="FFFFFF"/>
          <w:lang w:val="zh-CN" w:bidi="zh-CN"/>
        </w:rPr>
        <w:t>号决议）</w:t>
      </w:r>
      <w:r w:rsidRPr="00522D05">
        <w:rPr>
          <w:rFonts w:ascii="SimSun" w:hAnsi="SimSun"/>
          <w:kern w:val="2"/>
          <w:u w:val="none"/>
          <w:lang w:val="zh-CN" w:bidi="zh-CN"/>
        </w:rPr>
        <w:t>，</w:t>
      </w:r>
    </w:p>
    <w:p w14:paraId="39757EF2" w14:textId="19943FAC" w:rsidR="00C4749C" w:rsidRPr="00522D05" w:rsidRDefault="00C4749C" w:rsidP="00DF64A5">
      <w:pPr>
        <w:pStyle w:val="COMParaDecision"/>
        <w:rPr>
          <w:rFonts w:ascii="SimSun" w:hAnsi="SimSun"/>
          <w:kern w:val="2"/>
        </w:rPr>
      </w:pPr>
      <w:r w:rsidRPr="00522D05">
        <w:rPr>
          <w:rFonts w:ascii="SimSun" w:hAnsi="SimSun"/>
          <w:kern w:val="2"/>
          <w:lang w:val="zh-CN" w:bidi="zh-CN"/>
        </w:rPr>
        <w:t>还忆及</w:t>
      </w:r>
      <w:r w:rsidRPr="00554627">
        <w:rPr>
          <w:rFonts w:ascii="SimSun" w:hAnsi="SimSun"/>
          <w:kern w:val="2"/>
          <w:u w:val="none"/>
          <w:lang w:val="zh-CN" w:bidi="zh-CN"/>
        </w:rPr>
        <w:t>委员会</w:t>
      </w:r>
      <w:r w:rsidRPr="00522D05">
        <w:rPr>
          <w:rFonts w:ascii="SimSun" w:hAnsi="SimSun"/>
          <w:kern w:val="2"/>
          <w:u w:val="none"/>
          <w:lang w:val="zh-CN" w:bidi="zh-CN"/>
        </w:rPr>
        <w:t>第</w:t>
      </w:r>
      <w:hyperlink r:id="rId42" w:history="1">
        <w:r w:rsidRPr="00522D05">
          <w:rPr>
            <w:rStyle w:val="Hyperlink"/>
            <w:rFonts w:ascii="SimSun" w:hAnsi="SimSun"/>
            <w:kern w:val="2"/>
            <w:lang w:val="zh-CN" w:bidi="zh-CN"/>
          </w:rPr>
          <w:t>20.COM 13</w:t>
        </w:r>
      </w:hyperlink>
      <w:r w:rsidRPr="00522D05">
        <w:rPr>
          <w:rFonts w:ascii="SimSun" w:hAnsi="SimSun"/>
          <w:kern w:val="2"/>
          <w:u w:val="none"/>
          <w:lang w:val="zh-CN" w:bidi="zh-CN"/>
        </w:rPr>
        <w:t>号决定和第</w:t>
      </w:r>
      <w:hyperlink r:id="rId43" w:history="1">
        <w:r w:rsidRPr="00522D05">
          <w:rPr>
            <w:rStyle w:val="Hyperlink"/>
            <w:rFonts w:ascii="SimSun" w:hAnsi="SimSun"/>
            <w:kern w:val="2"/>
            <w:lang w:val="zh-CN" w:bidi="zh-CN"/>
          </w:rPr>
          <w:t>20.COM 14</w:t>
        </w:r>
      </w:hyperlink>
      <w:r w:rsidRPr="00522D05">
        <w:rPr>
          <w:rFonts w:ascii="SimSun" w:hAnsi="SimSun"/>
          <w:kern w:val="2"/>
          <w:u w:val="none"/>
          <w:lang w:val="zh-CN" w:bidi="zh-CN"/>
        </w:rPr>
        <w:t>号决定，</w:t>
      </w:r>
    </w:p>
    <w:p w14:paraId="6B93CC99" w14:textId="77777777" w:rsidR="00C4749C" w:rsidRPr="00522D05" w:rsidRDefault="00C4749C" w:rsidP="00DF64A5">
      <w:pPr>
        <w:pStyle w:val="COMParaDecision"/>
        <w:keepNext/>
        <w:keepLines/>
        <w:numPr>
          <w:ilvl w:val="0"/>
          <w:numId w:val="0"/>
        </w:numPr>
        <w:ind w:left="992" w:firstLine="142"/>
        <w:rPr>
          <w:rFonts w:ascii="SimSun" w:hAnsi="SimSun"/>
          <w:b/>
          <w:bCs/>
          <w:kern w:val="2"/>
          <w:u w:val="none"/>
        </w:rPr>
      </w:pPr>
      <w:r w:rsidRPr="00522D05">
        <w:rPr>
          <w:rFonts w:ascii="SimSun" w:hAnsi="SimSun"/>
          <w:b/>
          <w:kern w:val="2"/>
          <w:u w:val="none"/>
          <w:lang w:val="zh-CN" w:bidi="zh-CN"/>
        </w:rPr>
        <w:t>基金的现状和趋势</w:t>
      </w:r>
    </w:p>
    <w:p w14:paraId="201CFCC0" w14:textId="41A1C221" w:rsidR="00C4749C" w:rsidRPr="00522D05" w:rsidRDefault="00C4749C" w:rsidP="00DF64A5">
      <w:pPr>
        <w:pStyle w:val="COMParaDecision"/>
        <w:rPr>
          <w:rFonts w:ascii="SimSun" w:hAnsi="SimSun"/>
          <w:kern w:val="2"/>
        </w:rPr>
      </w:pPr>
      <w:r w:rsidRPr="00522D05">
        <w:rPr>
          <w:rFonts w:ascii="SimSun" w:hAnsi="SimSun"/>
          <w:kern w:val="2"/>
          <w:lang w:val="zh-CN" w:bidi="zh-CN"/>
        </w:rPr>
        <w:t>注意到</w:t>
      </w:r>
      <w:r w:rsidRPr="00522D05">
        <w:rPr>
          <w:rFonts w:ascii="SimSun" w:hAnsi="SimSun"/>
          <w:kern w:val="2"/>
          <w:u w:val="none"/>
          <w:lang w:val="zh-CN" w:bidi="zh-CN"/>
        </w:rPr>
        <w:t>基金2024-2025</w:t>
      </w:r>
      <w:r w:rsidRPr="00554627">
        <w:rPr>
          <w:rFonts w:ascii="SimSun" w:hAnsi="SimSun"/>
          <w:kern w:val="2"/>
          <w:u w:val="none"/>
          <w:lang w:val="zh-CN" w:bidi="zh-CN"/>
        </w:rPr>
        <w:t>年分摊纳款报表，</w:t>
      </w:r>
      <w:r w:rsidRPr="00554627">
        <w:rPr>
          <w:rFonts w:ascii="SimSun" w:hAnsi="SimSun"/>
          <w:kern w:val="2"/>
          <w:lang w:val="zh-CN" w:bidi="zh-CN"/>
        </w:rPr>
        <w:t>忆及</w:t>
      </w:r>
      <w:r w:rsidRPr="00554627">
        <w:rPr>
          <w:rFonts w:ascii="SimSun" w:hAnsi="SimSun"/>
          <w:kern w:val="2"/>
          <w:u w:val="none"/>
          <w:lang w:val="zh-CN" w:bidi="zh-CN"/>
        </w:rPr>
        <w:t>按照《公约》第二十六条的规定，缴付义务</w:t>
      </w:r>
      <w:r w:rsidR="00D85B57" w:rsidRPr="00554627">
        <w:rPr>
          <w:rFonts w:ascii="SimSun" w:hAnsi="SimSun" w:hint="eastAsia"/>
          <w:kern w:val="2"/>
          <w:u w:val="none"/>
          <w:lang w:val="zh-CN" w:bidi="zh-CN"/>
        </w:rPr>
        <w:t>分摊</w:t>
      </w:r>
      <w:r w:rsidRPr="00554627">
        <w:rPr>
          <w:rFonts w:ascii="SimSun" w:hAnsi="SimSun"/>
          <w:kern w:val="2"/>
          <w:u w:val="none"/>
          <w:lang w:val="zh-CN" w:bidi="zh-CN"/>
        </w:rPr>
        <w:t>纳款和自愿捐款是所有已批准《公约》的缔约国的义务，</w:t>
      </w:r>
      <w:r w:rsidRPr="00554627">
        <w:rPr>
          <w:rFonts w:ascii="SimSun" w:hAnsi="SimSun"/>
          <w:kern w:val="2"/>
          <w:lang w:val="zh-CN" w:bidi="zh-CN"/>
        </w:rPr>
        <w:t>吁请</w:t>
      </w:r>
      <w:r w:rsidRPr="00554627">
        <w:rPr>
          <w:rFonts w:ascii="SimSun" w:hAnsi="SimSun"/>
          <w:kern w:val="2"/>
          <w:u w:val="none"/>
          <w:lang w:val="zh-CN" w:bidi="zh-CN"/>
        </w:rPr>
        <w:t>尚未全额缴付其分摊纳款（包括自愿分摊捐款）的所有缔约国确保按时缴付纳款</w:t>
      </w:r>
      <w:r w:rsidRPr="00522D05">
        <w:rPr>
          <w:rFonts w:ascii="SimSun" w:hAnsi="SimSun"/>
          <w:kern w:val="2"/>
          <w:u w:val="none"/>
          <w:lang w:val="zh-CN" w:bidi="zh-CN"/>
        </w:rPr>
        <w:t xml:space="preserve">； </w:t>
      </w:r>
    </w:p>
    <w:p w14:paraId="13190C46" w14:textId="75A142D4" w:rsidR="00C4749C" w:rsidRPr="00522D05" w:rsidRDefault="00C4749C" w:rsidP="00DF64A5">
      <w:pPr>
        <w:pStyle w:val="COMParaDecision"/>
        <w:rPr>
          <w:rFonts w:ascii="SimSun" w:hAnsi="SimSun"/>
          <w:kern w:val="2"/>
        </w:rPr>
      </w:pPr>
      <w:r w:rsidRPr="00522D05">
        <w:rPr>
          <w:rFonts w:ascii="SimSun" w:hAnsi="SimSun"/>
          <w:kern w:val="2"/>
          <w:lang w:val="zh-CN" w:bidi="zh-CN"/>
        </w:rPr>
        <w:t>还注意到</w:t>
      </w:r>
      <w:r w:rsidRPr="00522D05">
        <w:rPr>
          <w:rFonts w:ascii="SimSun" w:hAnsi="SimSun"/>
          <w:kern w:val="2"/>
          <w:u w:val="none"/>
          <w:lang w:val="zh-CN" w:bidi="zh-CN"/>
        </w:rPr>
        <w:t>在2024-2025两年期（a）为方案活动提供自愿补充捐款的捐助方，即圣文森特和格林纳丁斯，（b）为委员会核准的特定活动提供自愿补充捐款的捐助方，即荷兰王国和瑞典，以及（c）对用于加强秘书处人力</w:t>
      </w:r>
      <w:r w:rsidR="003C0464" w:rsidRPr="00522D05">
        <w:rPr>
          <w:rFonts w:ascii="SimSun" w:hAnsi="SimSun" w:hint="eastAsia"/>
          <w:kern w:val="2"/>
          <w:u w:val="none"/>
          <w:lang w:val="zh-CN" w:bidi="zh-CN"/>
        </w:rPr>
        <w:t>资源</w:t>
      </w:r>
      <w:r w:rsidRPr="00522D05">
        <w:rPr>
          <w:rFonts w:ascii="SimSun" w:hAnsi="SimSun"/>
          <w:kern w:val="2"/>
          <w:u w:val="none"/>
          <w:lang w:val="zh-CN" w:bidi="zh-CN"/>
        </w:rPr>
        <w:t>的子基金提供自愿补充捐款的捐助方，即法国、立陶宛、摩纳哥、斯洛文尼亚和大不列颠及北爱尔兰联合王国；</w:t>
      </w:r>
    </w:p>
    <w:p w14:paraId="42F88796" w14:textId="468DACDC" w:rsidR="00C4749C" w:rsidRPr="00522D05" w:rsidRDefault="00C4749C" w:rsidP="00DF64A5">
      <w:pPr>
        <w:pStyle w:val="COMParaDecision"/>
        <w:rPr>
          <w:rFonts w:ascii="SimSun" w:hAnsi="SimSun"/>
          <w:kern w:val="2"/>
        </w:rPr>
      </w:pPr>
      <w:r w:rsidRPr="00522D05">
        <w:rPr>
          <w:rFonts w:ascii="SimSun" w:hAnsi="SimSun"/>
          <w:kern w:val="2"/>
          <w:lang w:val="zh-CN" w:bidi="zh-CN"/>
        </w:rPr>
        <w:t>感谢</w:t>
      </w:r>
      <w:r w:rsidRPr="00522D05">
        <w:rPr>
          <w:rFonts w:ascii="SimSun" w:hAnsi="SimSun"/>
          <w:kern w:val="2"/>
          <w:u w:val="none"/>
          <w:lang w:val="zh-CN" w:bidi="zh-CN"/>
        </w:rPr>
        <w:t>自上届会议以来，所有通过不同形式（资金或实物，例如向非物质文化遗产基金或用于加强秘书处人力</w:t>
      </w:r>
      <w:r w:rsidR="00B119BC" w:rsidRPr="00522D05">
        <w:rPr>
          <w:rFonts w:ascii="SimSun" w:hAnsi="SimSun" w:hint="eastAsia"/>
          <w:kern w:val="2"/>
          <w:u w:val="none"/>
          <w:lang w:val="zh-CN" w:bidi="zh-CN"/>
        </w:rPr>
        <w:t>资源</w:t>
      </w:r>
      <w:r w:rsidRPr="00522D05">
        <w:rPr>
          <w:rFonts w:ascii="SimSun" w:hAnsi="SimSun"/>
          <w:kern w:val="2"/>
          <w:u w:val="none"/>
          <w:lang w:val="zh-CN" w:bidi="zh-CN"/>
        </w:rPr>
        <w:t>的子基金提供的专项补充自愿捐款、信托基金或租借人员）为《公约》及其秘书处提供支持的贡献者，同时</w:t>
      </w:r>
      <w:r w:rsidRPr="00522D05">
        <w:rPr>
          <w:rFonts w:ascii="SimSun" w:hAnsi="SimSun"/>
          <w:kern w:val="2"/>
          <w:lang w:val="zh-CN" w:bidi="zh-CN"/>
        </w:rPr>
        <w:t>鼓励</w:t>
      </w:r>
      <w:r w:rsidRPr="00522D05">
        <w:rPr>
          <w:rFonts w:ascii="SimSun" w:hAnsi="SimSun"/>
          <w:kern w:val="2"/>
          <w:u w:val="none"/>
          <w:lang w:val="zh-CN" w:bidi="zh-CN"/>
        </w:rPr>
        <w:t>潜在贡献者考虑通过各自选择的方式来为《公约》提供支持的可能性；</w:t>
      </w:r>
    </w:p>
    <w:p w14:paraId="53765B22" w14:textId="77777777" w:rsidR="00C4749C" w:rsidRPr="00522D05" w:rsidRDefault="00C4749C" w:rsidP="00DF64A5">
      <w:pPr>
        <w:pStyle w:val="COMParaDecision"/>
        <w:rPr>
          <w:rFonts w:ascii="SimSun" w:hAnsi="SimSun"/>
          <w:kern w:val="2"/>
        </w:rPr>
      </w:pPr>
      <w:r w:rsidRPr="00522D05">
        <w:rPr>
          <w:rFonts w:ascii="SimSun" w:hAnsi="SimSun"/>
          <w:kern w:val="2"/>
          <w:lang w:val="zh-CN" w:bidi="zh-CN"/>
        </w:rPr>
        <w:t>重申</w:t>
      </w:r>
      <w:r w:rsidRPr="00522D05">
        <w:rPr>
          <w:rFonts w:ascii="SimSun" w:hAnsi="SimSun"/>
          <w:kern w:val="2"/>
          <w:u w:val="none"/>
          <w:lang w:val="zh-CN" w:bidi="zh-CN"/>
        </w:rPr>
        <w:t>有必要长期加强秘书处的人力资源，使秘书处能够响应缔约国的需求，并</w:t>
      </w:r>
      <w:r w:rsidRPr="00522D05">
        <w:rPr>
          <w:rFonts w:ascii="SimSun" w:hAnsi="SimSun"/>
          <w:kern w:val="2"/>
          <w:lang w:val="zh-CN" w:bidi="zh-CN"/>
        </w:rPr>
        <w:t>邀请</w:t>
      </w:r>
      <w:r w:rsidRPr="00522D05">
        <w:rPr>
          <w:rFonts w:ascii="SimSun" w:hAnsi="SimSun"/>
          <w:kern w:val="2"/>
          <w:u w:val="none"/>
          <w:lang w:val="zh-CN" w:bidi="zh-CN"/>
        </w:rPr>
        <w:t>缔约国向用于加强秘书处人力能力的子基金提供自愿补充捐款；</w:t>
      </w:r>
    </w:p>
    <w:p w14:paraId="7E9318CA" w14:textId="77777777" w:rsidR="00C4749C" w:rsidRPr="00522D05" w:rsidRDefault="00C4749C" w:rsidP="00DF64A5">
      <w:pPr>
        <w:pStyle w:val="COMParaDecision"/>
        <w:keepNext/>
        <w:keepLines/>
        <w:numPr>
          <w:ilvl w:val="0"/>
          <w:numId w:val="0"/>
        </w:numPr>
        <w:ind w:left="992" w:firstLine="142"/>
        <w:rPr>
          <w:rFonts w:ascii="SimSun" w:hAnsi="SimSun"/>
          <w:b/>
          <w:bCs/>
          <w:kern w:val="2"/>
          <w:u w:val="none"/>
        </w:rPr>
      </w:pPr>
      <w:r w:rsidRPr="00522D05">
        <w:rPr>
          <w:rFonts w:ascii="SimSun" w:hAnsi="SimSun"/>
          <w:b/>
          <w:kern w:val="2"/>
          <w:u w:val="none"/>
          <w:lang w:val="zh-CN" w:bidi="zh-CN"/>
        </w:rPr>
        <w:t>基金资源的使用计划</w:t>
      </w:r>
    </w:p>
    <w:p w14:paraId="6C2AFDBC" w14:textId="77777777" w:rsidR="00C4749C" w:rsidRPr="00522D05" w:rsidRDefault="00C4749C" w:rsidP="00DF64A5">
      <w:pPr>
        <w:pStyle w:val="COMParaDecision"/>
        <w:rPr>
          <w:rFonts w:ascii="SimSun" w:hAnsi="SimSun"/>
          <w:kern w:val="2"/>
          <w:u w:val="none"/>
        </w:rPr>
      </w:pPr>
      <w:r w:rsidRPr="00522D05">
        <w:rPr>
          <w:rFonts w:ascii="SimSun" w:hAnsi="SimSun"/>
          <w:kern w:val="2"/>
          <w:lang w:val="zh-CN" w:bidi="zh-CN"/>
        </w:rPr>
        <w:t>批准</w:t>
      </w:r>
      <w:r w:rsidRPr="00522D05">
        <w:rPr>
          <w:rFonts w:ascii="SimSun" w:hAnsi="SimSun"/>
          <w:kern w:val="2"/>
          <w:u w:val="none"/>
          <w:lang w:val="zh-CN" w:bidi="zh-CN"/>
        </w:rPr>
        <w:t>本决议附件中关于2026年1月1日至2027年12月31日期间以及2028年1月1日至2028年6月30日期间的基金资源使用计划；</w:t>
      </w:r>
    </w:p>
    <w:p w14:paraId="4854F4FB" w14:textId="77777777" w:rsidR="00C4749C" w:rsidRPr="00522D05" w:rsidRDefault="00C4749C" w:rsidP="00DF64A5">
      <w:pPr>
        <w:pStyle w:val="COMParaDecision"/>
        <w:rPr>
          <w:rFonts w:ascii="SimSun" w:hAnsi="SimSun"/>
          <w:kern w:val="2"/>
          <w:u w:val="none"/>
        </w:rPr>
      </w:pPr>
      <w:r w:rsidRPr="00522D05">
        <w:rPr>
          <w:rFonts w:ascii="SimSun" w:hAnsi="SimSun"/>
          <w:kern w:val="2"/>
          <w:lang w:val="zh-CN" w:bidi="zh-CN"/>
        </w:rPr>
        <w:t>了解到</w:t>
      </w:r>
      <w:r w:rsidRPr="00522D05">
        <w:rPr>
          <w:rFonts w:ascii="SimSun" w:hAnsi="SimSun"/>
          <w:kern w:val="2"/>
          <w:u w:val="none"/>
          <w:lang w:val="zh-CN" w:bidi="zh-CN"/>
        </w:rPr>
        <w:t>在2028年第十二届会议期间，大会可能会将预算计划从2028年1月1日调整至2028年6月30日；如果大会不能在2028年6月30日之前召开会议，则授权秘书处继续运作，直到大会能够开会为止</w:t>
      </w:r>
      <w:r w:rsidRPr="00554627">
        <w:rPr>
          <w:rFonts w:ascii="SimSun" w:hAnsi="SimSun"/>
          <w:kern w:val="2"/>
          <w:u w:val="none"/>
          <w:lang w:val="zh-CN" w:bidi="zh-CN"/>
        </w:rPr>
        <w:t>；</w:t>
      </w:r>
    </w:p>
    <w:p w14:paraId="7E47195F" w14:textId="77777777" w:rsidR="00C4749C" w:rsidRPr="00522D05" w:rsidRDefault="00C4749C" w:rsidP="00DF64A5">
      <w:pPr>
        <w:pStyle w:val="COMParaDecision"/>
        <w:rPr>
          <w:rFonts w:ascii="SimSun" w:hAnsi="SimSun"/>
          <w:kern w:val="2"/>
          <w:u w:val="none"/>
        </w:rPr>
      </w:pPr>
      <w:r w:rsidRPr="00522D05">
        <w:rPr>
          <w:rFonts w:ascii="SimSun" w:hAnsi="SimSun"/>
          <w:kern w:val="2"/>
          <w:lang w:val="zh-CN" w:bidi="zh-CN"/>
        </w:rPr>
        <w:t>还注意到</w:t>
      </w:r>
      <w:r w:rsidRPr="00522D05">
        <w:rPr>
          <w:rFonts w:ascii="SimSun" w:hAnsi="SimSun"/>
          <w:kern w:val="2"/>
          <w:u w:val="none"/>
          <w:lang w:val="zh-CN" w:bidi="zh-CN"/>
        </w:rPr>
        <w:t>委员会授权秘书处，除委员会或其主席团为每个项目核准的金额外，还可使用不超过每个国际援助项目核定预算10%的金额，以监测和评估基金资助的项目的影响；</w:t>
      </w:r>
    </w:p>
    <w:p w14:paraId="08A549B3" w14:textId="77777777" w:rsidR="00C4749C" w:rsidRPr="00522D05" w:rsidRDefault="00C4749C" w:rsidP="00DF64A5">
      <w:pPr>
        <w:pStyle w:val="COMParaDecision"/>
        <w:rPr>
          <w:rFonts w:ascii="SimSun" w:hAnsi="SimSun"/>
          <w:kern w:val="2"/>
        </w:rPr>
      </w:pPr>
      <w:r w:rsidRPr="00522D05">
        <w:rPr>
          <w:rFonts w:ascii="SimSun" w:hAnsi="SimSun"/>
          <w:kern w:val="2"/>
          <w:lang w:val="zh-CN" w:bidi="zh-CN"/>
        </w:rPr>
        <w:t>进一步注意到</w:t>
      </w:r>
      <w:r w:rsidRPr="00522D05">
        <w:rPr>
          <w:rFonts w:ascii="SimSun" w:hAnsi="SimSun"/>
          <w:kern w:val="2"/>
          <w:u w:val="none"/>
          <w:lang w:val="zh-CN" w:bidi="zh-CN"/>
        </w:rPr>
        <w:t>委员会向秘书处授权，在利用根据计划中预算项目3所分配的资金时，可以在预算项目3所包含的活动之间进行资金转移，金额累计最高为出于此目的向大会提议的初始拨款总额的5%；</w:t>
      </w:r>
    </w:p>
    <w:p w14:paraId="480918FD" w14:textId="64075B90" w:rsidR="00C4749C" w:rsidRPr="00522D05" w:rsidRDefault="00C4749C" w:rsidP="00DF64A5">
      <w:pPr>
        <w:pStyle w:val="COMParaDecision"/>
        <w:rPr>
          <w:rFonts w:ascii="SimSun" w:hAnsi="SimSun"/>
          <w:kern w:val="2"/>
          <w:u w:val="none"/>
        </w:rPr>
      </w:pPr>
      <w:r w:rsidRPr="00522D05">
        <w:rPr>
          <w:rFonts w:ascii="SimSun" w:hAnsi="SimSun"/>
          <w:kern w:val="2"/>
          <w:lang w:val="zh-CN" w:bidi="zh-CN"/>
        </w:rPr>
        <w:t>授权</w:t>
      </w:r>
      <w:r w:rsidRPr="00522D05">
        <w:rPr>
          <w:rFonts w:ascii="SimSun" w:hAnsi="SimSun"/>
          <w:kern w:val="2"/>
          <w:u w:val="none"/>
          <w:lang w:val="zh-CN" w:bidi="zh-CN"/>
        </w:rPr>
        <w:t>委员会根据《公约》第二十七</w:t>
      </w:r>
      <w:r w:rsidR="00771DAC" w:rsidRPr="00522D05">
        <w:rPr>
          <w:rFonts w:ascii="SimSun" w:hAnsi="SimSun" w:hint="eastAsia"/>
          <w:kern w:val="2"/>
          <w:u w:val="none"/>
          <w:lang w:val="zh-CN" w:bidi="zh-CN"/>
        </w:rPr>
        <w:t>条</w:t>
      </w:r>
      <w:r w:rsidRPr="00522D05">
        <w:rPr>
          <w:rFonts w:ascii="SimSun" w:hAnsi="SimSun"/>
          <w:kern w:val="2"/>
          <w:u w:val="none"/>
          <w:lang w:val="zh-CN" w:bidi="zh-CN"/>
        </w:rPr>
        <w:t>的规定，按照计划所列的百分比，立即使用在这些期间内可能收到的任何自愿补充捐款；</w:t>
      </w:r>
    </w:p>
    <w:p w14:paraId="20108E42" w14:textId="77777777" w:rsidR="00C4749C" w:rsidRPr="00522D05" w:rsidRDefault="00C4749C" w:rsidP="00DF64A5">
      <w:pPr>
        <w:pStyle w:val="COMParaDecision"/>
        <w:rPr>
          <w:rFonts w:ascii="SimSun" w:hAnsi="SimSun"/>
          <w:kern w:val="2"/>
          <w:u w:val="none"/>
        </w:rPr>
      </w:pPr>
      <w:r w:rsidRPr="00522D05">
        <w:rPr>
          <w:rFonts w:ascii="SimSun" w:hAnsi="SimSun"/>
          <w:kern w:val="2"/>
          <w:lang w:val="zh-CN" w:bidi="zh-CN"/>
        </w:rPr>
        <w:lastRenderedPageBreak/>
        <w:t>进一步授权</w:t>
      </w:r>
      <w:r w:rsidRPr="00522D05">
        <w:rPr>
          <w:rFonts w:ascii="SimSun" w:hAnsi="SimSun"/>
          <w:kern w:val="2"/>
          <w:u w:val="none"/>
          <w:lang w:val="zh-CN" w:bidi="zh-CN"/>
        </w:rPr>
        <w:t>委员会在这些期间立即将其可能接受的任何捐款用于与具体项目有关的特定目的，但前提是这些项目必须根据《公约》第二十五条第5款的规定，在收到资金之前已由委员会批准；</w:t>
      </w:r>
    </w:p>
    <w:p w14:paraId="5B77F4BB" w14:textId="548442F3" w:rsidR="00A42B5E" w:rsidRPr="00522D05" w:rsidRDefault="00C4749C" w:rsidP="00DF64A5">
      <w:pPr>
        <w:pStyle w:val="COMParaDecision"/>
        <w:rPr>
          <w:rFonts w:ascii="SimSun" w:hAnsi="SimSun"/>
          <w:kern w:val="2"/>
        </w:rPr>
      </w:pPr>
      <w:r w:rsidRPr="00522D05">
        <w:rPr>
          <w:rFonts w:ascii="SimSun" w:hAnsi="SimSun"/>
          <w:kern w:val="2"/>
          <w:lang w:val="zh-CN" w:bidi="zh-CN"/>
        </w:rPr>
        <w:t>还授权</w:t>
      </w:r>
      <w:r w:rsidRPr="00522D05">
        <w:rPr>
          <w:rFonts w:ascii="SimSun" w:hAnsi="SimSun"/>
          <w:kern w:val="2"/>
          <w:u w:val="none"/>
          <w:lang w:val="zh-CN" w:bidi="zh-CN"/>
        </w:rPr>
        <w:t>秘书处在预算项目4、5、6和7之间进行资金转移，金额最高相当于其初始拨款总额的30%，还</w:t>
      </w:r>
      <w:r w:rsidRPr="00522D05">
        <w:rPr>
          <w:rFonts w:ascii="SimSun" w:hAnsi="SimSun"/>
          <w:kern w:val="2"/>
          <w:lang w:val="zh-CN" w:bidi="zh-CN"/>
        </w:rPr>
        <w:t>要求</w:t>
      </w:r>
      <w:r w:rsidRPr="00522D05">
        <w:rPr>
          <w:rFonts w:ascii="SimSun" w:hAnsi="SimSun"/>
          <w:kern w:val="2"/>
          <w:u w:val="none"/>
          <w:lang w:val="zh-CN" w:bidi="zh-CN"/>
        </w:rPr>
        <w:t>秘书处在进行此类操作后的</w:t>
      </w:r>
      <w:r w:rsidR="00771DAC" w:rsidRPr="00522D05">
        <w:rPr>
          <w:rFonts w:ascii="SimSun" w:hAnsi="SimSun" w:hint="eastAsia"/>
          <w:kern w:val="2"/>
          <w:u w:val="none"/>
          <w:lang w:val="zh-CN" w:bidi="zh-CN"/>
        </w:rPr>
        <w:t>下一届</w:t>
      </w:r>
      <w:r w:rsidRPr="00522D05">
        <w:rPr>
          <w:rFonts w:ascii="SimSun" w:hAnsi="SimSun"/>
          <w:kern w:val="2"/>
          <w:u w:val="none"/>
          <w:lang w:val="zh-CN" w:bidi="zh-CN"/>
        </w:rPr>
        <w:t>会议上以书面形式通知委员会和大会此类转移的详情及理由。</w:t>
      </w:r>
    </w:p>
    <w:p w14:paraId="011A1905" w14:textId="77777777" w:rsidR="00C4749C" w:rsidRPr="000463B5" w:rsidRDefault="00A42B5E" w:rsidP="00C4749C">
      <w:pPr>
        <w:jc w:val="center"/>
        <w:rPr>
          <w:rFonts w:cs="Arial"/>
          <w:b/>
          <w:bCs/>
          <w:kern w:val="2"/>
          <w:sz w:val="22"/>
          <w:szCs w:val="22"/>
          <w:u w:val="single"/>
        </w:rPr>
      </w:pPr>
      <w:r w:rsidRPr="00554627">
        <w:rPr>
          <w:kern w:val="2"/>
          <w:sz w:val="22"/>
          <w:szCs w:val="22"/>
          <w:lang w:val="zh-CN" w:bidi="zh-CN"/>
        </w:rPr>
        <w:br w:type="page"/>
      </w:r>
      <w:r w:rsidR="00C4749C" w:rsidRPr="000463B5">
        <w:rPr>
          <w:rFonts w:cs="Arial"/>
          <w:b/>
          <w:kern w:val="2"/>
          <w:sz w:val="22"/>
          <w:szCs w:val="22"/>
          <w:u w:val="single"/>
          <w:lang w:val="zh-CN" w:bidi="zh-CN"/>
        </w:rPr>
        <w:lastRenderedPageBreak/>
        <w:t>附件</w:t>
      </w:r>
    </w:p>
    <w:p w14:paraId="613E746F" w14:textId="77777777" w:rsidR="00C4749C" w:rsidRPr="000463B5" w:rsidRDefault="00C4749C" w:rsidP="00C4749C">
      <w:pPr>
        <w:jc w:val="center"/>
        <w:rPr>
          <w:rFonts w:cs="Arial"/>
          <w:b/>
          <w:bCs/>
          <w:kern w:val="2"/>
          <w:sz w:val="22"/>
          <w:szCs w:val="22"/>
          <w:u w:val="single"/>
        </w:rPr>
      </w:pPr>
    </w:p>
    <w:tbl>
      <w:tblPr>
        <w:tblW w:w="10070" w:type="dxa"/>
        <w:tblCellMar>
          <w:left w:w="70" w:type="dxa"/>
          <w:right w:w="70" w:type="dxa"/>
        </w:tblCellMar>
        <w:tblLook w:val="04A0" w:firstRow="1" w:lastRow="0" w:firstColumn="1" w:lastColumn="0" w:noHBand="0" w:noVBand="1"/>
      </w:tblPr>
      <w:tblGrid>
        <w:gridCol w:w="583"/>
        <w:gridCol w:w="4007"/>
        <w:gridCol w:w="1406"/>
        <w:gridCol w:w="1402"/>
        <w:gridCol w:w="1221"/>
        <w:gridCol w:w="1286"/>
        <w:gridCol w:w="16"/>
        <w:gridCol w:w="133"/>
        <w:gridCol w:w="16"/>
      </w:tblGrid>
      <w:tr w:rsidR="00C4749C" w:rsidRPr="000463B5" w14:paraId="6FAE196A" w14:textId="77777777" w:rsidTr="005A7E1A">
        <w:trPr>
          <w:gridAfter w:val="3"/>
          <w:wAfter w:w="165" w:type="dxa"/>
          <w:trHeight w:val="313"/>
        </w:trPr>
        <w:tc>
          <w:tcPr>
            <w:tcW w:w="7361" w:type="dxa"/>
            <w:gridSpan w:val="4"/>
            <w:tcBorders>
              <w:top w:val="single" w:sz="8" w:space="0" w:color="auto"/>
              <w:left w:val="single" w:sz="8" w:space="0" w:color="auto"/>
              <w:bottom w:val="single" w:sz="8" w:space="0" w:color="auto"/>
              <w:right w:val="nil"/>
            </w:tcBorders>
            <w:shd w:val="clear" w:color="000000" w:fill="D8D8D8"/>
            <w:vAlign w:val="center"/>
            <w:hideMark/>
          </w:tcPr>
          <w:p w14:paraId="3405B931" w14:textId="77777777" w:rsidR="00C4749C" w:rsidRPr="000463B5" w:rsidRDefault="00C4749C" w:rsidP="005A7E1A">
            <w:pPr>
              <w:jc w:val="center"/>
              <w:rPr>
                <w:rFonts w:cs="Arial"/>
                <w:b/>
                <w:bCs/>
                <w:color w:val="000000"/>
                <w:kern w:val="2"/>
                <w:sz w:val="22"/>
                <w:szCs w:val="18"/>
              </w:rPr>
            </w:pPr>
            <w:r w:rsidRPr="000463B5">
              <w:rPr>
                <w:rFonts w:cs="Arial"/>
                <w:b/>
                <w:color w:val="000000"/>
                <w:kern w:val="2"/>
                <w:sz w:val="22"/>
                <w:szCs w:val="18"/>
                <w:lang w:val="zh-CN" w:bidi="zh-CN"/>
              </w:rPr>
              <w:t>基金资源的使用计划草案</w:t>
            </w:r>
          </w:p>
        </w:tc>
        <w:tc>
          <w:tcPr>
            <w:tcW w:w="1237" w:type="dxa"/>
            <w:tcBorders>
              <w:top w:val="dashed" w:sz="4" w:space="0" w:color="auto"/>
              <w:left w:val="dashed" w:sz="4" w:space="0" w:color="auto"/>
              <w:bottom w:val="dashed" w:sz="4" w:space="0" w:color="auto"/>
              <w:right w:val="dashed" w:sz="4" w:space="0" w:color="auto"/>
            </w:tcBorders>
            <w:shd w:val="clear" w:color="000000" w:fill="FFFFFF"/>
            <w:vAlign w:val="center"/>
            <w:hideMark/>
          </w:tcPr>
          <w:p w14:paraId="5A9E5D33" w14:textId="77777777" w:rsidR="00C4749C" w:rsidRPr="000463B5" w:rsidRDefault="00C4749C" w:rsidP="005A7E1A">
            <w:pPr>
              <w:jc w:val="center"/>
              <w:rPr>
                <w:rFonts w:cs="Arial"/>
                <w:b/>
                <w:bCs/>
                <w:color w:val="000000"/>
                <w:kern w:val="2"/>
                <w:sz w:val="22"/>
                <w:szCs w:val="18"/>
              </w:rPr>
            </w:pPr>
            <w:r w:rsidRPr="000463B5">
              <w:rPr>
                <w:rFonts w:cs="Arial"/>
                <w:b/>
                <w:color w:val="000000"/>
                <w:kern w:val="2"/>
                <w:sz w:val="22"/>
                <w:szCs w:val="18"/>
                <w:lang w:val="zh-CN" w:bidi="zh-CN"/>
              </w:rPr>
              <w:t> </w:t>
            </w:r>
          </w:p>
        </w:tc>
        <w:tc>
          <w:tcPr>
            <w:tcW w:w="1307" w:type="dxa"/>
            <w:tcBorders>
              <w:top w:val="dashed" w:sz="4" w:space="0" w:color="auto"/>
              <w:left w:val="nil"/>
              <w:bottom w:val="dashed" w:sz="4" w:space="0" w:color="auto"/>
              <w:right w:val="dashed" w:sz="4" w:space="0" w:color="auto"/>
            </w:tcBorders>
            <w:shd w:val="clear" w:color="000000" w:fill="FFFFFF"/>
            <w:vAlign w:val="center"/>
            <w:hideMark/>
          </w:tcPr>
          <w:p w14:paraId="086A438C" w14:textId="77777777" w:rsidR="00C4749C" w:rsidRPr="000463B5" w:rsidRDefault="00C4749C" w:rsidP="005A7E1A">
            <w:pPr>
              <w:jc w:val="center"/>
              <w:rPr>
                <w:rFonts w:cs="Arial"/>
                <w:b/>
                <w:bCs/>
                <w:color w:val="000000"/>
                <w:kern w:val="2"/>
                <w:sz w:val="22"/>
                <w:szCs w:val="18"/>
              </w:rPr>
            </w:pPr>
            <w:r w:rsidRPr="000463B5">
              <w:rPr>
                <w:rFonts w:cs="Arial"/>
                <w:b/>
                <w:color w:val="000000"/>
                <w:kern w:val="2"/>
                <w:sz w:val="22"/>
                <w:szCs w:val="18"/>
                <w:lang w:val="zh-CN" w:bidi="zh-CN"/>
              </w:rPr>
              <w:t> </w:t>
            </w:r>
          </w:p>
        </w:tc>
      </w:tr>
      <w:tr w:rsidR="00C4749C" w:rsidRPr="000463B5" w14:paraId="3B4CC1A3" w14:textId="77777777" w:rsidTr="005A7E1A">
        <w:trPr>
          <w:gridAfter w:val="3"/>
          <w:wAfter w:w="165" w:type="dxa"/>
          <w:trHeight w:val="978"/>
        </w:trPr>
        <w:tc>
          <w:tcPr>
            <w:tcW w:w="4523" w:type="dxa"/>
            <w:gridSpan w:val="2"/>
            <w:tcBorders>
              <w:top w:val="single" w:sz="8" w:space="0" w:color="auto"/>
              <w:left w:val="single" w:sz="8" w:space="0" w:color="auto"/>
              <w:bottom w:val="single" w:sz="8" w:space="0" w:color="auto"/>
              <w:right w:val="nil"/>
            </w:tcBorders>
            <w:vAlign w:val="center"/>
            <w:hideMark/>
          </w:tcPr>
          <w:p w14:paraId="0511E342" w14:textId="77777777" w:rsidR="00C4749C" w:rsidRPr="000463B5" w:rsidRDefault="00C4749C" w:rsidP="005A7E1A">
            <w:pPr>
              <w:rPr>
                <w:rFonts w:cstheme="minorBidi"/>
                <w:color w:val="000000"/>
                <w:kern w:val="2"/>
                <w:sz w:val="22"/>
                <w:szCs w:val="18"/>
              </w:rPr>
            </w:pPr>
            <w:r w:rsidRPr="000463B5">
              <w:rPr>
                <w:rFonts w:cstheme="minorBidi"/>
                <w:color w:val="000000"/>
                <w:kern w:val="2"/>
                <w:sz w:val="22"/>
                <w:szCs w:val="18"/>
                <w:lang w:val="zh-CN" w:bidi="zh-CN"/>
              </w:rPr>
              <w:t>2026年1月1日至2027年12月31日期间以及2028年1月1日至6月30日期间，非物质文化遗产基金的资源可用于以下目的：</w:t>
            </w:r>
          </w:p>
        </w:tc>
        <w:tc>
          <w:tcPr>
            <w:tcW w:w="1421" w:type="dxa"/>
            <w:tcBorders>
              <w:top w:val="single" w:sz="4" w:space="0" w:color="auto"/>
              <w:left w:val="single" w:sz="4" w:space="0" w:color="auto"/>
              <w:bottom w:val="single" w:sz="4" w:space="0" w:color="auto"/>
              <w:right w:val="single" w:sz="4" w:space="0" w:color="auto"/>
            </w:tcBorders>
            <w:vAlign w:val="center"/>
            <w:hideMark/>
          </w:tcPr>
          <w:p w14:paraId="1A48163F"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上一两年期（2024-2025年）的已申请百分比（%）</w:t>
            </w:r>
            <w:r w:rsidRPr="000463B5">
              <w:rPr>
                <w:rFonts w:cstheme="minorBidi"/>
                <w:color w:val="000000"/>
                <w:kern w:val="2"/>
                <w:sz w:val="22"/>
                <w:szCs w:val="18"/>
                <w:lang w:val="zh-CN" w:bidi="zh-CN"/>
              </w:rPr>
              <w:br/>
              <w:t xml:space="preserve"> </w:t>
            </w:r>
          </w:p>
        </w:tc>
        <w:tc>
          <w:tcPr>
            <w:tcW w:w="1417" w:type="dxa"/>
            <w:tcBorders>
              <w:top w:val="single" w:sz="4" w:space="0" w:color="auto"/>
              <w:left w:val="nil"/>
              <w:bottom w:val="single" w:sz="4" w:space="0" w:color="auto"/>
              <w:right w:val="dashed" w:sz="4" w:space="0" w:color="auto"/>
            </w:tcBorders>
            <w:vAlign w:val="center"/>
            <w:hideMark/>
          </w:tcPr>
          <w:p w14:paraId="5A8A3C5C"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拟议2026-2027年总金额的百分比（%）[1]</w:t>
            </w:r>
          </w:p>
        </w:tc>
        <w:tc>
          <w:tcPr>
            <w:tcW w:w="1237" w:type="dxa"/>
            <w:tcBorders>
              <w:top w:val="nil"/>
              <w:left w:val="nil"/>
              <w:bottom w:val="dashed" w:sz="4" w:space="0" w:color="auto"/>
              <w:right w:val="dashed" w:sz="4" w:space="0" w:color="auto"/>
            </w:tcBorders>
            <w:vAlign w:val="center"/>
            <w:hideMark/>
          </w:tcPr>
          <w:p w14:paraId="043A8E96"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参考金额</w:t>
            </w:r>
          </w:p>
          <w:p w14:paraId="557CB8F4"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 xml:space="preserve">2026-2027 </w:t>
            </w:r>
          </w:p>
        </w:tc>
        <w:tc>
          <w:tcPr>
            <w:tcW w:w="1307" w:type="dxa"/>
            <w:tcBorders>
              <w:top w:val="nil"/>
              <w:left w:val="nil"/>
              <w:bottom w:val="dashed" w:sz="4" w:space="0" w:color="auto"/>
              <w:right w:val="dashed" w:sz="4" w:space="0" w:color="auto"/>
            </w:tcBorders>
            <w:vAlign w:val="center"/>
            <w:hideMark/>
          </w:tcPr>
          <w:p w14:paraId="2CD045C7"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参考金额</w:t>
            </w:r>
          </w:p>
          <w:p w14:paraId="4D11B4AA"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2028年1月至6月</w:t>
            </w:r>
          </w:p>
        </w:tc>
      </w:tr>
      <w:tr w:rsidR="00C4749C" w:rsidRPr="000463B5" w14:paraId="7B97F7A6" w14:textId="77777777" w:rsidTr="005A7E1A">
        <w:trPr>
          <w:gridAfter w:val="3"/>
          <w:wAfter w:w="165" w:type="dxa"/>
          <w:trHeight w:val="1446"/>
        </w:trPr>
        <w:tc>
          <w:tcPr>
            <w:tcW w:w="416" w:type="dxa"/>
            <w:tcBorders>
              <w:top w:val="nil"/>
              <w:left w:val="single" w:sz="8" w:space="0" w:color="auto"/>
              <w:bottom w:val="single" w:sz="8" w:space="0" w:color="auto"/>
              <w:right w:val="single" w:sz="8" w:space="0" w:color="auto"/>
            </w:tcBorders>
            <w:noWrap/>
            <w:hideMark/>
          </w:tcPr>
          <w:p w14:paraId="0AAD68EE" w14:textId="77777777" w:rsidR="00C4749C" w:rsidRPr="000463B5" w:rsidRDefault="00C4749C" w:rsidP="005A7E1A">
            <w:pPr>
              <w:spacing w:before="60"/>
              <w:rPr>
                <w:rFonts w:cstheme="minorBidi"/>
                <w:color w:val="000000"/>
                <w:kern w:val="2"/>
                <w:sz w:val="22"/>
                <w:szCs w:val="18"/>
              </w:rPr>
            </w:pPr>
            <w:r w:rsidRPr="000463B5">
              <w:rPr>
                <w:rFonts w:cstheme="minorBidi"/>
                <w:color w:val="000000"/>
                <w:kern w:val="2"/>
                <w:sz w:val="22"/>
                <w:szCs w:val="18"/>
                <w:lang w:val="zh-CN" w:bidi="zh-CN"/>
              </w:rPr>
              <w:t>1.</w:t>
            </w:r>
          </w:p>
        </w:tc>
        <w:tc>
          <w:tcPr>
            <w:tcW w:w="4107" w:type="dxa"/>
            <w:tcBorders>
              <w:top w:val="nil"/>
              <w:left w:val="nil"/>
              <w:bottom w:val="single" w:sz="8" w:space="0" w:color="auto"/>
              <w:right w:val="nil"/>
            </w:tcBorders>
            <w:vAlign w:val="center"/>
            <w:hideMark/>
          </w:tcPr>
          <w:p w14:paraId="399F165A" w14:textId="77777777" w:rsidR="00C4749C" w:rsidRPr="000463B5" w:rsidRDefault="00C4749C" w:rsidP="005A7E1A">
            <w:pPr>
              <w:spacing w:before="20" w:after="20"/>
              <w:rPr>
                <w:rFonts w:cstheme="minorBidi"/>
                <w:color w:val="000000"/>
                <w:kern w:val="2"/>
                <w:sz w:val="22"/>
                <w:szCs w:val="18"/>
              </w:rPr>
            </w:pPr>
            <w:r w:rsidRPr="000463B5">
              <w:rPr>
                <w:rFonts w:cstheme="minorBidi"/>
                <w:color w:val="000000"/>
                <w:kern w:val="2"/>
                <w:sz w:val="22"/>
                <w:szCs w:val="18"/>
                <w:lang w:val="zh-CN" w:bidi="zh-CN"/>
              </w:rPr>
              <w:t>国际援助，包括保护已列入急需保护的非物质文化遗产名录的遗产、编制清单，以及对其他保护计划、项目和活动的支持，包括监测和评估已核准的申请</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272954C3"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50.0%</w:t>
            </w:r>
          </w:p>
        </w:tc>
        <w:tc>
          <w:tcPr>
            <w:tcW w:w="1417" w:type="dxa"/>
            <w:tcBorders>
              <w:top w:val="nil"/>
              <w:left w:val="nil"/>
              <w:bottom w:val="single" w:sz="4" w:space="0" w:color="auto"/>
              <w:right w:val="dashed" w:sz="4" w:space="0" w:color="auto"/>
            </w:tcBorders>
            <w:vAlign w:val="center"/>
            <w:hideMark/>
          </w:tcPr>
          <w:p w14:paraId="77A57D0D"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50.0%</w:t>
            </w:r>
          </w:p>
        </w:tc>
        <w:tc>
          <w:tcPr>
            <w:tcW w:w="1237" w:type="dxa"/>
            <w:tcBorders>
              <w:top w:val="nil"/>
              <w:left w:val="nil"/>
              <w:bottom w:val="dashed" w:sz="4" w:space="0" w:color="auto"/>
              <w:right w:val="dashed" w:sz="4" w:space="0" w:color="auto"/>
            </w:tcBorders>
            <w:vAlign w:val="center"/>
            <w:hideMark/>
          </w:tcPr>
          <w:p w14:paraId="22BB4F1D"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$3 938 295</w:t>
            </w:r>
          </w:p>
        </w:tc>
        <w:tc>
          <w:tcPr>
            <w:tcW w:w="1307" w:type="dxa"/>
            <w:tcBorders>
              <w:top w:val="nil"/>
              <w:left w:val="nil"/>
              <w:bottom w:val="dashed" w:sz="4" w:space="0" w:color="auto"/>
              <w:right w:val="dashed" w:sz="4" w:space="0" w:color="auto"/>
            </w:tcBorders>
            <w:vAlign w:val="center"/>
            <w:hideMark/>
          </w:tcPr>
          <w:p w14:paraId="06D6DAE3"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$984 574</w:t>
            </w:r>
          </w:p>
        </w:tc>
      </w:tr>
      <w:tr w:rsidR="00C4749C" w:rsidRPr="000463B5" w14:paraId="60B29D02" w14:textId="77777777" w:rsidTr="005A7E1A">
        <w:trPr>
          <w:gridAfter w:val="3"/>
          <w:wAfter w:w="165" w:type="dxa"/>
          <w:trHeight w:val="969"/>
        </w:trPr>
        <w:tc>
          <w:tcPr>
            <w:tcW w:w="416" w:type="dxa"/>
            <w:tcBorders>
              <w:top w:val="nil"/>
              <w:left w:val="single" w:sz="8" w:space="0" w:color="auto"/>
              <w:bottom w:val="single" w:sz="8" w:space="0" w:color="auto"/>
              <w:right w:val="single" w:sz="8" w:space="0" w:color="auto"/>
            </w:tcBorders>
            <w:noWrap/>
            <w:hideMark/>
          </w:tcPr>
          <w:p w14:paraId="10049C8F" w14:textId="77777777" w:rsidR="00C4749C" w:rsidRPr="000463B5" w:rsidRDefault="00C4749C" w:rsidP="005A7E1A">
            <w:pPr>
              <w:spacing w:before="60"/>
              <w:rPr>
                <w:rFonts w:cstheme="minorBidi"/>
                <w:color w:val="000000"/>
                <w:kern w:val="2"/>
                <w:sz w:val="22"/>
                <w:szCs w:val="18"/>
              </w:rPr>
            </w:pPr>
            <w:r w:rsidRPr="000463B5">
              <w:rPr>
                <w:rFonts w:cstheme="minorBidi"/>
                <w:color w:val="000000"/>
                <w:kern w:val="2"/>
                <w:sz w:val="22"/>
                <w:szCs w:val="18"/>
                <w:lang w:val="zh-CN" w:bidi="zh-CN"/>
              </w:rPr>
              <w:t>1.1</w:t>
            </w:r>
          </w:p>
        </w:tc>
        <w:tc>
          <w:tcPr>
            <w:tcW w:w="4107" w:type="dxa"/>
            <w:tcBorders>
              <w:top w:val="nil"/>
              <w:left w:val="nil"/>
              <w:bottom w:val="single" w:sz="8" w:space="0" w:color="auto"/>
              <w:right w:val="nil"/>
            </w:tcBorders>
            <w:vAlign w:val="center"/>
            <w:hideMark/>
          </w:tcPr>
          <w:p w14:paraId="1BF6DA2A" w14:textId="77777777" w:rsidR="00C4749C" w:rsidRPr="000463B5" w:rsidRDefault="00C4749C" w:rsidP="005A7E1A">
            <w:pPr>
              <w:spacing w:before="20" w:after="20"/>
              <w:rPr>
                <w:rFonts w:cstheme="minorBidi"/>
                <w:color w:val="000000"/>
                <w:kern w:val="2"/>
                <w:sz w:val="22"/>
                <w:szCs w:val="18"/>
              </w:rPr>
            </w:pPr>
            <w:r w:rsidRPr="000463B5">
              <w:rPr>
                <w:rFonts w:cstheme="minorBidi"/>
                <w:color w:val="000000"/>
                <w:kern w:val="2"/>
                <w:sz w:val="22"/>
                <w:szCs w:val="18"/>
                <w:lang w:val="zh-CN" w:bidi="zh-CN"/>
              </w:rPr>
              <w:t>通过设立3个预算外定期员额（1个P3、1个P2和1个G5），加强人力资源以改善国际援助机制的实施</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681C4A48"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12.3%</w:t>
            </w:r>
          </w:p>
        </w:tc>
        <w:tc>
          <w:tcPr>
            <w:tcW w:w="1417" w:type="dxa"/>
            <w:tcBorders>
              <w:top w:val="nil"/>
              <w:left w:val="nil"/>
              <w:bottom w:val="single" w:sz="4" w:space="0" w:color="auto"/>
              <w:right w:val="dashed" w:sz="4" w:space="0" w:color="auto"/>
            </w:tcBorders>
            <w:shd w:val="clear" w:color="000000" w:fill="FFFFFF"/>
            <w:vAlign w:val="center"/>
            <w:hideMark/>
          </w:tcPr>
          <w:p w14:paraId="205AA1DF"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13.4%</w:t>
            </w:r>
          </w:p>
        </w:tc>
        <w:tc>
          <w:tcPr>
            <w:tcW w:w="1237" w:type="dxa"/>
            <w:tcBorders>
              <w:top w:val="nil"/>
              <w:left w:val="nil"/>
              <w:bottom w:val="dashed" w:sz="4" w:space="0" w:color="auto"/>
              <w:right w:val="dashed" w:sz="4" w:space="0" w:color="auto"/>
            </w:tcBorders>
            <w:shd w:val="clear" w:color="000000" w:fill="FFFFFF"/>
            <w:vAlign w:val="center"/>
            <w:hideMark/>
          </w:tcPr>
          <w:p w14:paraId="5000A933"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$1 055 463</w:t>
            </w:r>
          </w:p>
        </w:tc>
        <w:tc>
          <w:tcPr>
            <w:tcW w:w="1307" w:type="dxa"/>
            <w:tcBorders>
              <w:top w:val="nil"/>
              <w:left w:val="nil"/>
              <w:bottom w:val="dashed" w:sz="4" w:space="0" w:color="auto"/>
              <w:right w:val="dashed" w:sz="4" w:space="0" w:color="auto"/>
            </w:tcBorders>
            <w:vAlign w:val="center"/>
            <w:hideMark/>
          </w:tcPr>
          <w:p w14:paraId="4467E46A"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$263 866</w:t>
            </w:r>
          </w:p>
        </w:tc>
      </w:tr>
      <w:tr w:rsidR="00C4749C" w:rsidRPr="000463B5" w14:paraId="5DFAA3B6" w14:textId="77777777" w:rsidTr="005A7E1A">
        <w:trPr>
          <w:gridAfter w:val="3"/>
          <w:wAfter w:w="165" w:type="dxa"/>
          <w:trHeight w:val="730"/>
        </w:trPr>
        <w:tc>
          <w:tcPr>
            <w:tcW w:w="416" w:type="dxa"/>
            <w:tcBorders>
              <w:top w:val="nil"/>
              <w:left w:val="single" w:sz="8" w:space="0" w:color="auto"/>
              <w:bottom w:val="single" w:sz="8" w:space="0" w:color="auto"/>
              <w:right w:val="single" w:sz="8" w:space="0" w:color="auto"/>
            </w:tcBorders>
            <w:noWrap/>
            <w:hideMark/>
          </w:tcPr>
          <w:p w14:paraId="3F3E4226" w14:textId="77777777" w:rsidR="00C4749C" w:rsidRPr="000463B5" w:rsidRDefault="00C4749C" w:rsidP="005A7E1A">
            <w:pPr>
              <w:spacing w:before="60"/>
              <w:rPr>
                <w:rFonts w:cstheme="minorBidi"/>
                <w:color w:val="000000"/>
                <w:kern w:val="2"/>
                <w:sz w:val="22"/>
                <w:szCs w:val="18"/>
              </w:rPr>
            </w:pPr>
            <w:r w:rsidRPr="000463B5">
              <w:rPr>
                <w:rFonts w:cstheme="minorBidi"/>
                <w:color w:val="000000"/>
                <w:kern w:val="2"/>
                <w:sz w:val="22"/>
                <w:szCs w:val="18"/>
                <w:lang w:val="zh-CN" w:bidi="zh-CN"/>
              </w:rPr>
              <w:t>2.</w:t>
            </w:r>
          </w:p>
        </w:tc>
        <w:tc>
          <w:tcPr>
            <w:tcW w:w="4107" w:type="dxa"/>
            <w:tcBorders>
              <w:top w:val="nil"/>
              <w:left w:val="nil"/>
              <w:bottom w:val="single" w:sz="8" w:space="0" w:color="auto"/>
              <w:right w:val="nil"/>
            </w:tcBorders>
            <w:vAlign w:val="center"/>
            <w:hideMark/>
          </w:tcPr>
          <w:p w14:paraId="527C7F46" w14:textId="1AB67060" w:rsidR="00C4749C" w:rsidRPr="000463B5" w:rsidRDefault="00C4749C" w:rsidP="005A7E1A">
            <w:pPr>
              <w:spacing w:before="20" w:after="20"/>
              <w:rPr>
                <w:rFonts w:cstheme="minorBidi"/>
                <w:color w:val="000000"/>
                <w:kern w:val="2"/>
                <w:sz w:val="22"/>
                <w:szCs w:val="18"/>
              </w:rPr>
            </w:pPr>
            <w:r w:rsidRPr="000463B5">
              <w:rPr>
                <w:rFonts w:cstheme="minorBidi"/>
                <w:color w:val="000000"/>
                <w:kern w:val="2"/>
                <w:sz w:val="22"/>
                <w:szCs w:val="18"/>
                <w:lang w:val="zh-CN" w:bidi="zh-CN"/>
              </w:rPr>
              <w:t>为《公约》名录和登记册的国际援助</w:t>
            </w:r>
            <w:r w:rsidR="00A205F1">
              <w:rPr>
                <w:rFonts w:cstheme="minorBidi" w:hint="eastAsia"/>
                <w:color w:val="000000"/>
                <w:kern w:val="2"/>
                <w:sz w:val="22"/>
                <w:szCs w:val="18"/>
                <w:lang w:val="zh-CN" w:bidi="zh-CN"/>
              </w:rPr>
              <w:t>申请</w:t>
            </w:r>
            <w:r w:rsidRPr="000463B5">
              <w:rPr>
                <w:rFonts w:cstheme="minorBidi"/>
                <w:color w:val="000000"/>
                <w:kern w:val="2"/>
                <w:sz w:val="22"/>
                <w:szCs w:val="18"/>
                <w:lang w:val="zh-CN" w:bidi="zh-CN"/>
              </w:rPr>
              <w:t>、申报材料和</w:t>
            </w:r>
            <w:r w:rsidR="00A205F1">
              <w:rPr>
                <w:rFonts w:cstheme="minorBidi" w:hint="eastAsia"/>
                <w:color w:val="000000"/>
                <w:kern w:val="2"/>
                <w:sz w:val="22"/>
                <w:szCs w:val="18"/>
                <w:lang w:val="zh-CN" w:bidi="zh-CN"/>
              </w:rPr>
              <w:t>提名</w:t>
            </w:r>
            <w:r w:rsidRPr="000463B5">
              <w:rPr>
                <w:rFonts w:cstheme="minorBidi"/>
                <w:color w:val="000000"/>
                <w:kern w:val="2"/>
                <w:sz w:val="22"/>
                <w:szCs w:val="18"/>
                <w:lang w:val="zh-CN" w:bidi="zh-CN"/>
              </w:rPr>
              <w:t>材料提供筹备性援助</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0D2B879C"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2.8%</w:t>
            </w:r>
          </w:p>
        </w:tc>
        <w:tc>
          <w:tcPr>
            <w:tcW w:w="1417" w:type="dxa"/>
            <w:tcBorders>
              <w:top w:val="nil"/>
              <w:left w:val="nil"/>
              <w:bottom w:val="single" w:sz="4" w:space="0" w:color="auto"/>
              <w:right w:val="dashed" w:sz="4" w:space="0" w:color="auto"/>
            </w:tcBorders>
            <w:shd w:val="clear" w:color="000000" w:fill="FFFFFF"/>
            <w:vAlign w:val="center"/>
            <w:hideMark/>
          </w:tcPr>
          <w:p w14:paraId="59FE23B8"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1.7%</w:t>
            </w:r>
          </w:p>
        </w:tc>
        <w:tc>
          <w:tcPr>
            <w:tcW w:w="1237" w:type="dxa"/>
            <w:tcBorders>
              <w:top w:val="nil"/>
              <w:left w:val="nil"/>
              <w:bottom w:val="dashed" w:sz="4" w:space="0" w:color="auto"/>
              <w:right w:val="dashed" w:sz="4" w:space="0" w:color="auto"/>
            </w:tcBorders>
            <w:vAlign w:val="center"/>
            <w:hideMark/>
          </w:tcPr>
          <w:p w14:paraId="05AD1E97"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$133 902</w:t>
            </w:r>
          </w:p>
        </w:tc>
        <w:tc>
          <w:tcPr>
            <w:tcW w:w="1307" w:type="dxa"/>
            <w:tcBorders>
              <w:top w:val="nil"/>
              <w:left w:val="nil"/>
              <w:bottom w:val="dashed" w:sz="4" w:space="0" w:color="auto"/>
              <w:right w:val="dashed" w:sz="4" w:space="0" w:color="auto"/>
            </w:tcBorders>
            <w:vAlign w:val="center"/>
            <w:hideMark/>
          </w:tcPr>
          <w:p w14:paraId="5D7B4B0A"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$33 476</w:t>
            </w:r>
          </w:p>
        </w:tc>
      </w:tr>
      <w:tr w:rsidR="00C4749C" w:rsidRPr="000463B5" w14:paraId="03DC302C" w14:textId="77777777" w:rsidTr="005A7E1A">
        <w:trPr>
          <w:gridAfter w:val="3"/>
          <w:wAfter w:w="165" w:type="dxa"/>
          <w:trHeight w:val="1832"/>
        </w:trPr>
        <w:tc>
          <w:tcPr>
            <w:tcW w:w="416" w:type="dxa"/>
            <w:tcBorders>
              <w:top w:val="nil"/>
              <w:left w:val="single" w:sz="8" w:space="0" w:color="auto"/>
              <w:bottom w:val="single" w:sz="8" w:space="0" w:color="auto"/>
              <w:right w:val="single" w:sz="8" w:space="0" w:color="auto"/>
            </w:tcBorders>
            <w:noWrap/>
            <w:hideMark/>
          </w:tcPr>
          <w:p w14:paraId="7367583A" w14:textId="77777777" w:rsidR="00C4749C" w:rsidRPr="000463B5" w:rsidRDefault="00C4749C" w:rsidP="005A7E1A">
            <w:pPr>
              <w:spacing w:before="60"/>
              <w:rPr>
                <w:rFonts w:cstheme="minorBidi"/>
                <w:color w:val="000000"/>
                <w:kern w:val="2"/>
                <w:sz w:val="22"/>
                <w:szCs w:val="18"/>
              </w:rPr>
            </w:pPr>
            <w:r w:rsidRPr="000463B5">
              <w:rPr>
                <w:rFonts w:cstheme="minorBidi"/>
                <w:color w:val="000000"/>
                <w:kern w:val="2"/>
                <w:sz w:val="22"/>
                <w:szCs w:val="18"/>
                <w:lang w:val="zh-CN" w:bidi="zh-CN"/>
              </w:rPr>
              <w:t>3.</w:t>
            </w:r>
          </w:p>
        </w:tc>
        <w:tc>
          <w:tcPr>
            <w:tcW w:w="4107" w:type="dxa"/>
            <w:tcBorders>
              <w:top w:val="nil"/>
              <w:left w:val="nil"/>
              <w:bottom w:val="single" w:sz="8" w:space="0" w:color="auto"/>
              <w:right w:val="nil"/>
            </w:tcBorders>
            <w:vAlign w:val="center"/>
            <w:hideMark/>
          </w:tcPr>
          <w:p w14:paraId="5EB0A47A" w14:textId="77777777" w:rsidR="00C4749C" w:rsidRPr="000463B5" w:rsidRDefault="00C4749C" w:rsidP="005A7E1A">
            <w:pPr>
              <w:spacing w:before="20" w:after="20"/>
              <w:rPr>
                <w:rFonts w:cstheme="minorBidi"/>
                <w:color w:val="000000"/>
                <w:kern w:val="2"/>
                <w:sz w:val="22"/>
                <w:szCs w:val="18"/>
              </w:rPr>
            </w:pPr>
            <w:r w:rsidRPr="000463B5">
              <w:rPr>
                <w:rFonts w:cstheme="minorBidi"/>
                <w:color w:val="000000"/>
                <w:kern w:val="2"/>
                <w:sz w:val="22"/>
                <w:szCs w:val="18"/>
                <w:lang w:val="zh-CN" w:bidi="zh-CN"/>
              </w:rPr>
              <w:t>委员会的其他职能，如《公约》第七条所述，旨在推广《公约》目标，鼓励和监督实施情况，特别是通过加强能力从而有效地保护非物质文化遗产，提高人们有关此类遗产重要性的认识，提供关于优秀保护实践的指导：</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39A2BC74"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20.0%</w:t>
            </w:r>
          </w:p>
        </w:tc>
        <w:tc>
          <w:tcPr>
            <w:tcW w:w="1417" w:type="dxa"/>
            <w:tcBorders>
              <w:top w:val="nil"/>
              <w:left w:val="nil"/>
              <w:bottom w:val="single" w:sz="4" w:space="0" w:color="auto"/>
              <w:right w:val="dashed" w:sz="4" w:space="0" w:color="auto"/>
            </w:tcBorders>
            <w:vAlign w:val="center"/>
            <w:hideMark/>
          </w:tcPr>
          <w:p w14:paraId="332489B4"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20.0%</w:t>
            </w:r>
          </w:p>
        </w:tc>
        <w:tc>
          <w:tcPr>
            <w:tcW w:w="1237" w:type="dxa"/>
            <w:tcBorders>
              <w:top w:val="nil"/>
              <w:left w:val="nil"/>
              <w:bottom w:val="dashed" w:sz="4" w:space="0" w:color="auto"/>
              <w:right w:val="dashed" w:sz="4" w:space="0" w:color="auto"/>
            </w:tcBorders>
            <w:vAlign w:val="center"/>
            <w:hideMark/>
          </w:tcPr>
          <w:p w14:paraId="1BC396E2"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$1 575 318</w:t>
            </w:r>
          </w:p>
        </w:tc>
        <w:tc>
          <w:tcPr>
            <w:tcW w:w="1307" w:type="dxa"/>
            <w:tcBorders>
              <w:top w:val="nil"/>
              <w:left w:val="nil"/>
              <w:bottom w:val="dashed" w:sz="4" w:space="0" w:color="auto"/>
              <w:right w:val="dashed" w:sz="4" w:space="0" w:color="auto"/>
            </w:tcBorders>
            <w:vAlign w:val="center"/>
            <w:hideMark/>
          </w:tcPr>
          <w:p w14:paraId="3980236F"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$393 830</w:t>
            </w:r>
          </w:p>
        </w:tc>
      </w:tr>
      <w:tr w:rsidR="00C4749C" w:rsidRPr="000463B5" w14:paraId="335750EE" w14:textId="77777777" w:rsidTr="005A7E1A">
        <w:trPr>
          <w:gridAfter w:val="3"/>
          <w:wAfter w:w="165" w:type="dxa"/>
          <w:trHeight w:val="521"/>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3130A91B" w14:textId="77777777" w:rsidR="00C4749C" w:rsidRPr="000463B5" w:rsidRDefault="00C4749C" w:rsidP="005A7E1A">
            <w:pPr>
              <w:spacing w:before="60"/>
              <w:rPr>
                <w:rFonts w:cstheme="minorBidi"/>
                <w:i/>
                <w:iCs/>
                <w:color w:val="000000"/>
                <w:kern w:val="2"/>
                <w:sz w:val="22"/>
                <w:szCs w:val="18"/>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32D42F3A" w14:textId="77777777" w:rsidR="00C4749C" w:rsidRPr="000463B5" w:rsidRDefault="00C4749C" w:rsidP="005A7E1A">
            <w:pPr>
              <w:spacing w:before="20" w:after="20"/>
              <w:rPr>
                <w:rFonts w:cstheme="minorBidi"/>
                <w:b/>
                <w:bCs/>
                <w:i/>
                <w:iCs/>
                <w:color w:val="000000"/>
                <w:kern w:val="2"/>
                <w:sz w:val="22"/>
                <w:szCs w:val="16"/>
              </w:rPr>
            </w:pPr>
            <w:r w:rsidRPr="000463B5">
              <w:rPr>
                <w:rFonts w:cstheme="minorBidi"/>
                <w:b/>
                <w:i/>
                <w:color w:val="000000"/>
                <w:kern w:val="2"/>
                <w:sz w:val="22"/>
                <w:szCs w:val="16"/>
                <w:lang w:val="zh-CN" w:bidi="zh-CN"/>
              </w:rPr>
              <w:t>预期结果1：通过强化能力建设方案和将非物质文化遗产纳入发展规划和政策框架来加强《公约》的执行</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11248350"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10.4%</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40CE533A"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10.0%</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465BB6A1"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$787 659</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477A212B"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$196 915</w:t>
            </w:r>
          </w:p>
        </w:tc>
      </w:tr>
      <w:tr w:rsidR="00C4749C" w:rsidRPr="000463B5" w14:paraId="0760BFAF" w14:textId="77777777" w:rsidTr="005A7E1A">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37C879ED" w14:textId="77777777" w:rsidR="00C4749C" w:rsidRPr="000463B5" w:rsidRDefault="00C4749C" w:rsidP="005A7E1A">
            <w:pPr>
              <w:spacing w:before="60"/>
              <w:rPr>
                <w:rFonts w:cstheme="minorBidi"/>
                <w:i/>
                <w:iCs/>
                <w:color w:val="000000"/>
                <w:kern w:val="2"/>
                <w:sz w:val="22"/>
                <w:szCs w:val="18"/>
              </w:rPr>
            </w:pPr>
          </w:p>
        </w:tc>
        <w:tc>
          <w:tcPr>
            <w:tcW w:w="4107" w:type="dxa"/>
            <w:vMerge/>
            <w:tcBorders>
              <w:top w:val="nil"/>
              <w:left w:val="single" w:sz="8" w:space="0" w:color="auto"/>
              <w:bottom w:val="single" w:sz="8" w:space="0" w:color="000000"/>
              <w:right w:val="nil"/>
            </w:tcBorders>
            <w:vAlign w:val="center"/>
            <w:hideMark/>
          </w:tcPr>
          <w:p w14:paraId="20FA4D2B" w14:textId="77777777" w:rsidR="00C4749C" w:rsidRPr="000463B5" w:rsidRDefault="00C4749C" w:rsidP="005A7E1A">
            <w:pPr>
              <w:spacing w:before="20" w:after="20"/>
              <w:rPr>
                <w:rFonts w:cstheme="minorBidi"/>
                <w:b/>
                <w:bCs/>
                <w:i/>
                <w:iCs/>
                <w:color w:val="000000"/>
                <w:kern w:val="2"/>
                <w:sz w:val="22"/>
                <w:szCs w:val="16"/>
              </w:rPr>
            </w:pPr>
          </w:p>
        </w:tc>
        <w:tc>
          <w:tcPr>
            <w:tcW w:w="1421" w:type="dxa"/>
            <w:vMerge/>
            <w:tcBorders>
              <w:top w:val="nil"/>
              <w:left w:val="single" w:sz="4" w:space="0" w:color="auto"/>
              <w:bottom w:val="single" w:sz="4" w:space="0" w:color="000000"/>
              <w:right w:val="single" w:sz="4" w:space="0" w:color="auto"/>
            </w:tcBorders>
            <w:vAlign w:val="center"/>
            <w:hideMark/>
          </w:tcPr>
          <w:p w14:paraId="3D6F3CD1" w14:textId="77777777" w:rsidR="00C4749C" w:rsidRPr="000463B5" w:rsidRDefault="00C4749C" w:rsidP="005A7E1A">
            <w:pPr>
              <w:rPr>
                <w:rFonts w:cstheme="minorBidi"/>
                <w:i/>
                <w:iCs/>
                <w:color w:val="000000"/>
                <w:kern w:val="2"/>
                <w:sz w:val="22"/>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6F7D01BA" w14:textId="77777777" w:rsidR="00C4749C" w:rsidRPr="000463B5" w:rsidRDefault="00C4749C" w:rsidP="005A7E1A">
            <w:pPr>
              <w:rPr>
                <w:rFonts w:cstheme="minorBidi"/>
                <w:i/>
                <w:iCs/>
                <w:color w:val="000000"/>
                <w:kern w:val="2"/>
                <w:sz w:val="22"/>
                <w:szCs w:val="18"/>
              </w:rPr>
            </w:pPr>
          </w:p>
        </w:tc>
        <w:tc>
          <w:tcPr>
            <w:tcW w:w="1237" w:type="dxa"/>
            <w:vMerge/>
            <w:tcBorders>
              <w:top w:val="nil"/>
              <w:left w:val="dashed" w:sz="4" w:space="0" w:color="auto"/>
              <w:bottom w:val="dashed" w:sz="4" w:space="0" w:color="auto"/>
              <w:right w:val="dashed" w:sz="4" w:space="0" w:color="auto"/>
            </w:tcBorders>
            <w:vAlign w:val="center"/>
            <w:hideMark/>
          </w:tcPr>
          <w:p w14:paraId="29B83AAD" w14:textId="77777777" w:rsidR="00C4749C" w:rsidRPr="000463B5" w:rsidRDefault="00C4749C" w:rsidP="005A7E1A">
            <w:pPr>
              <w:rPr>
                <w:rFonts w:cstheme="minorBidi"/>
                <w:i/>
                <w:iCs/>
                <w:color w:val="000000"/>
                <w:kern w:val="2"/>
                <w:sz w:val="22"/>
                <w:szCs w:val="18"/>
              </w:rPr>
            </w:pPr>
          </w:p>
        </w:tc>
        <w:tc>
          <w:tcPr>
            <w:tcW w:w="1307" w:type="dxa"/>
            <w:vMerge/>
            <w:tcBorders>
              <w:top w:val="nil"/>
              <w:left w:val="dashed" w:sz="4" w:space="0" w:color="auto"/>
              <w:bottom w:val="dashed" w:sz="4" w:space="0" w:color="auto"/>
              <w:right w:val="dashed" w:sz="4" w:space="0" w:color="auto"/>
            </w:tcBorders>
            <w:vAlign w:val="center"/>
            <w:hideMark/>
          </w:tcPr>
          <w:p w14:paraId="1BAFCD4D" w14:textId="77777777" w:rsidR="00C4749C" w:rsidRPr="000463B5" w:rsidRDefault="00C4749C" w:rsidP="005A7E1A">
            <w:pPr>
              <w:rPr>
                <w:rFonts w:cstheme="minorBidi"/>
                <w:i/>
                <w:iCs/>
                <w:color w:val="000000"/>
                <w:kern w:val="2"/>
                <w:sz w:val="22"/>
                <w:szCs w:val="18"/>
              </w:rPr>
            </w:pPr>
          </w:p>
        </w:tc>
        <w:tc>
          <w:tcPr>
            <w:tcW w:w="149" w:type="dxa"/>
            <w:gridSpan w:val="2"/>
            <w:tcBorders>
              <w:top w:val="nil"/>
              <w:left w:val="nil"/>
              <w:bottom w:val="nil"/>
              <w:right w:val="nil"/>
            </w:tcBorders>
            <w:noWrap/>
            <w:vAlign w:val="bottom"/>
            <w:hideMark/>
          </w:tcPr>
          <w:p w14:paraId="4263BD44" w14:textId="77777777" w:rsidR="00C4749C" w:rsidRPr="000463B5" w:rsidRDefault="00C4749C" w:rsidP="005A7E1A">
            <w:pPr>
              <w:jc w:val="center"/>
              <w:rPr>
                <w:rFonts w:cs="Arial"/>
                <w:i/>
                <w:iCs/>
                <w:color w:val="000000"/>
                <w:kern w:val="2"/>
                <w:sz w:val="22"/>
                <w:szCs w:val="18"/>
              </w:rPr>
            </w:pPr>
          </w:p>
        </w:tc>
      </w:tr>
      <w:tr w:rsidR="00C4749C" w:rsidRPr="000463B5" w14:paraId="3E43E49C" w14:textId="77777777" w:rsidTr="005A7E1A">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25A65838" w14:textId="77777777" w:rsidR="00C4749C" w:rsidRPr="000463B5" w:rsidRDefault="00C4749C" w:rsidP="005A7E1A">
            <w:pPr>
              <w:spacing w:before="60"/>
              <w:rPr>
                <w:rFonts w:cstheme="minorBidi"/>
                <w:i/>
                <w:iCs/>
                <w:color w:val="000000"/>
                <w:kern w:val="2"/>
                <w:sz w:val="22"/>
                <w:szCs w:val="18"/>
              </w:rPr>
            </w:pPr>
          </w:p>
        </w:tc>
        <w:tc>
          <w:tcPr>
            <w:tcW w:w="4107" w:type="dxa"/>
            <w:vMerge/>
            <w:tcBorders>
              <w:top w:val="nil"/>
              <w:left w:val="single" w:sz="8" w:space="0" w:color="auto"/>
              <w:bottom w:val="single" w:sz="8" w:space="0" w:color="000000"/>
              <w:right w:val="nil"/>
            </w:tcBorders>
            <w:vAlign w:val="center"/>
            <w:hideMark/>
          </w:tcPr>
          <w:p w14:paraId="7993264B" w14:textId="77777777" w:rsidR="00C4749C" w:rsidRPr="000463B5" w:rsidRDefault="00C4749C" w:rsidP="005A7E1A">
            <w:pPr>
              <w:spacing w:before="20" w:after="20"/>
              <w:rPr>
                <w:rFonts w:cstheme="minorBidi"/>
                <w:b/>
                <w:bCs/>
                <w:i/>
                <w:iCs/>
                <w:color w:val="000000"/>
                <w:kern w:val="2"/>
                <w:sz w:val="22"/>
                <w:szCs w:val="16"/>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1D31162A"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（项目3的52%）</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7F2C1A1A"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（项目3的50%）</w:t>
            </w:r>
          </w:p>
        </w:tc>
        <w:tc>
          <w:tcPr>
            <w:tcW w:w="1237" w:type="dxa"/>
            <w:vMerge/>
            <w:tcBorders>
              <w:top w:val="nil"/>
              <w:left w:val="dashed" w:sz="4" w:space="0" w:color="auto"/>
              <w:bottom w:val="dashed" w:sz="4" w:space="0" w:color="auto"/>
              <w:right w:val="dashed" w:sz="4" w:space="0" w:color="auto"/>
            </w:tcBorders>
            <w:vAlign w:val="center"/>
            <w:hideMark/>
          </w:tcPr>
          <w:p w14:paraId="59F25746" w14:textId="77777777" w:rsidR="00C4749C" w:rsidRPr="000463B5" w:rsidRDefault="00C4749C" w:rsidP="005A7E1A">
            <w:pPr>
              <w:rPr>
                <w:rFonts w:cstheme="minorBidi"/>
                <w:i/>
                <w:iCs/>
                <w:color w:val="000000"/>
                <w:kern w:val="2"/>
                <w:sz w:val="22"/>
                <w:szCs w:val="18"/>
              </w:rPr>
            </w:pPr>
          </w:p>
        </w:tc>
        <w:tc>
          <w:tcPr>
            <w:tcW w:w="1307" w:type="dxa"/>
            <w:vMerge/>
            <w:tcBorders>
              <w:top w:val="nil"/>
              <w:left w:val="dashed" w:sz="4" w:space="0" w:color="auto"/>
              <w:bottom w:val="dashed" w:sz="4" w:space="0" w:color="auto"/>
              <w:right w:val="dashed" w:sz="4" w:space="0" w:color="auto"/>
            </w:tcBorders>
            <w:vAlign w:val="center"/>
            <w:hideMark/>
          </w:tcPr>
          <w:p w14:paraId="410AEDC6" w14:textId="77777777" w:rsidR="00C4749C" w:rsidRPr="000463B5" w:rsidRDefault="00C4749C" w:rsidP="005A7E1A">
            <w:pPr>
              <w:rPr>
                <w:rFonts w:cstheme="minorBidi"/>
                <w:i/>
                <w:iCs/>
                <w:color w:val="000000"/>
                <w:kern w:val="2"/>
                <w:sz w:val="22"/>
                <w:szCs w:val="18"/>
              </w:rPr>
            </w:pPr>
          </w:p>
        </w:tc>
        <w:tc>
          <w:tcPr>
            <w:tcW w:w="149" w:type="dxa"/>
            <w:gridSpan w:val="2"/>
            <w:vAlign w:val="center"/>
            <w:hideMark/>
          </w:tcPr>
          <w:p w14:paraId="5B509A7F" w14:textId="77777777" w:rsidR="00C4749C" w:rsidRPr="000463B5" w:rsidRDefault="00C4749C" w:rsidP="005A7E1A">
            <w:pPr>
              <w:rPr>
                <w:kern w:val="2"/>
                <w:sz w:val="22"/>
                <w:szCs w:val="20"/>
              </w:rPr>
            </w:pPr>
          </w:p>
        </w:tc>
      </w:tr>
      <w:tr w:rsidR="00C4749C" w:rsidRPr="000463B5" w14:paraId="53D5CE4A" w14:textId="77777777" w:rsidTr="005A7E1A">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4DA612C8" w14:textId="77777777" w:rsidR="00C4749C" w:rsidRPr="000463B5" w:rsidRDefault="00C4749C" w:rsidP="005A7E1A">
            <w:pPr>
              <w:spacing w:before="60"/>
              <w:rPr>
                <w:rFonts w:cstheme="minorBidi"/>
                <w:i/>
                <w:iCs/>
                <w:color w:val="000000"/>
                <w:kern w:val="2"/>
                <w:sz w:val="22"/>
                <w:szCs w:val="18"/>
              </w:rPr>
            </w:pPr>
          </w:p>
        </w:tc>
        <w:tc>
          <w:tcPr>
            <w:tcW w:w="4107" w:type="dxa"/>
            <w:vMerge/>
            <w:tcBorders>
              <w:top w:val="nil"/>
              <w:left w:val="single" w:sz="8" w:space="0" w:color="auto"/>
              <w:bottom w:val="single" w:sz="8" w:space="0" w:color="000000"/>
              <w:right w:val="nil"/>
            </w:tcBorders>
            <w:vAlign w:val="center"/>
            <w:hideMark/>
          </w:tcPr>
          <w:p w14:paraId="772B61E3" w14:textId="77777777" w:rsidR="00C4749C" w:rsidRPr="000463B5" w:rsidRDefault="00C4749C" w:rsidP="005A7E1A">
            <w:pPr>
              <w:spacing w:before="20" w:after="20"/>
              <w:rPr>
                <w:rFonts w:cstheme="minorBidi"/>
                <w:b/>
                <w:bCs/>
                <w:i/>
                <w:iCs/>
                <w:color w:val="000000"/>
                <w:kern w:val="2"/>
                <w:sz w:val="22"/>
                <w:szCs w:val="16"/>
              </w:rPr>
            </w:pPr>
          </w:p>
        </w:tc>
        <w:tc>
          <w:tcPr>
            <w:tcW w:w="1421" w:type="dxa"/>
            <w:vMerge/>
            <w:tcBorders>
              <w:top w:val="nil"/>
              <w:left w:val="single" w:sz="4" w:space="0" w:color="auto"/>
              <w:bottom w:val="single" w:sz="4" w:space="0" w:color="000000"/>
              <w:right w:val="single" w:sz="4" w:space="0" w:color="auto"/>
            </w:tcBorders>
            <w:vAlign w:val="center"/>
            <w:hideMark/>
          </w:tcPr>
          <w:p w14:paraId="56573C7F" w14:textId="77777777" w:rsidR="00C4749C" w:rsidRPr="000463B5" w:rsidRDefault="00C4749C" w:rsidP="005A7E1A">
            <w:pPr>
              <w:rPr>
                <w:rFonts w:cstheme="minorBidi"/>
                <w:i/>
                <w:iCs/>
                <w:color w:val="000000"/>
                <w:kern w:val="2"/>
                <w:sz w:val="22"/>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6BB8B7DD" w14:textId="77777777" w:rsidR="00C4749C" w:rsidRPr="000463B5" w:rsidRDefault="00C4749C" w:rsidP="005A7E1A">
            <w:pPr>
              <w:rPr>
                <w:rFonts w:cstheme="minorBidi"/>
                <w:i/>
                <w:iCs/>
                <w:color w:val="000000"/>
                <w:kern w:val="2"/>
                <w:sz w:val="22"/>
                <w:szCs w:val="18"/>
              </w:rPr>
            </w:pPr>
          </w:p>
        </w:tc>
        <w:tc>
          <w:tcPr>
            <w:tcW w:w="1237" w:type="dxa"/>
            <w:vMerge/>
            <w:tcBorders>
              <w:top w:val="nil"/>
              <w:left w:val="dashed" w:sz="4" w:space="0" w:color="auto"/>
              <w:bottom w:val="dashed" w:sz="4" w:space="0" w:color="auto"/>
              <w:right w:val="dashed" w:sz="4" w:space="0" w:color="auto"/>
            </w:tcBorders>
            <w:vAlign w:val="center"/>
            <w:hideMark/>
          </w:tcPr>
          <w:p w14:paraId="2872906C" w14:textId="77777777" w:rsidR="00C4749C" w:rsidRPr="000463B5" w:rsidRDefault="00C4749C" w:rsidP="005A7E1A">
            <w:pPr>
              <w:rPr>
                <w:rFonts w:cstheme="minorBidi"/>
                <w:i/>
                <w:iCs/>
                <w:color w:val="000000"/>
                <w:kern w:val="2"/>
                <w:sz w:val="22"/>
                <w:szCs w:val="18"/>
              </w:rPr>
            </w:pPr>
          </w:p>
        </w:tc>
        <w:tc>
          <w:tcPr>
            <w:tcW w:w="1307" w:type="dxa"/>
            <w:vMerge/>
            <w:tcBorders>
              <w:top w:val="nil"/>
              <w:left w:val="dashed" w:sz="4" w:space="0" w:color="auto"/>
              <w:bottom w:val="dashed" w:sz="4" w:space="0" w:color="auto"/>
              <w:right w:val="dashed" w:sz="4" w:space="0" w:color="auto"/>
            </w:tcBorders>
            <w:vAlign w:val="center"/>
            <w:hideMark/>
          </w:tcPr>
          <w:p w14:paraId="4E1B51E1" w14:textId="77777777" w:rsidR="00C4749C" w:rsidRPr="000463B5" w:rsidRDefault="00C4749C" w:rsidP="005A7E1A">
            <w:pPr>
              <w:rPr>
                <w:rFonts w:cstheme="minorBidi"/>
                <w:i/>
                <w:iCs/>
                <w:color w:val="000000"/>
                <w:kern w:val="2"/>
                <w:sz w:val="22"/>
                <w:szCs w:val="18"/>
              </w:rPr>
            </w:pPr>
          </w:p>
        </w:tc>
        <w:tc>
          <w:tcPr>
            <w:tcW w:w="149" w:type="dxa"/>
            <w:gridSpan w:val="2"/>
            <w:tcBorders>
              <w:top w:val="nil"/>
              <w:left w:val="nil"/>
              <w:bottom w:val="nil"/>
              <w:right w:val="nil"/>
            </w:tcBorders>
            <w:noWrap/>
            <w:vAlign w:val="bottom"/>
            <w:hideMark/>
          </w:tcPr>
          <w:p w14:paraId="09210BFE" w14:textId="77777777" w:rsidR="00C4749C" w:rsidRPr="000463B5" w:rsidRDefault="00C4749C" w:rsidP="005A7E1A">
            <w:pPr>
              <w:jc w:val="center"/>
              <w:rPr>
                <w:rFonts w:cs="Arial"/>
                <w:i/>
                <w:iCs/>
                <w:color w:val="000000"/>
                <w:kern w:val="2"/>
                <w:sz w:val="22"/>
                <w:szCs w:val="16"/>
              </w:rPr>
            </w:pPr>
          </w:p>
        </w:tc>
      </w:tr>
      <w:tr w:rsidR="00C4749C" w:rsidRPr="000463B5" w14:paraId="23BACC3F" w14:textId="77777777" w:rsidTr="005A7E1A">
        <w:trPr>
          <w:gridAfter w:val="1"/>
          <w:wAfter w:w="16"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4C57BD81" w14:textId="77777777" w:rsidR="00C4749C" w:rsidRPr="000463B5" w:rsidRDefault="00C4749C" w:rsidP="005A7E1A">
            <w:pPr>
              <w:spacing w:before="60"/>
              <w:rPr>
                <w:rFonts w:cstheme="minorBidi"/>
                <w:i/>
                <w:iCs/>
                <w:color w:val="000000"/>
                <w:kern w:val="2"/>
                <w:sz w:val="22"/>
                <w:szCs w:val="18"/>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5D0DE8C9" w14:textId="77777777" w:rsidR="00C4749C" w:rsidRPr="000463B5" w:rsidRDefault="00C4749C" w:rsidP="005A7E1A">
            <w:pPr>
              <w:spacing w:before="20" w:after="20"/>
              <w:rPr>
                <w:rFonts w:cstheme="minorBidi"/>
                <w:b/>
                <w:bCs/>
                <w:i/>
                <w:iCs/>
                <w:color w:val="000000"/>
                <w:kern w:val="2"/>
                <w:sz w:val="22"/>
                <w:szCs w:val="16"/>
              </w:rPr>
            </w:pPr>
            <w:r w:rsidRPr="000463B5">
              <w:rPr>
                <w:rFonts w:cstheme="minorBidi"/>
                <w:b/>
                <w:i/>
                <w:color w:val="000000"/>
                <w:kern w:val="2"/>
                <w:sz w:val="22"/>
                <w:szCs w:val="16"/>
                <w:lang w:val="zh-CN" w:bidi="zh-CN"/>
              </w:rPr>
              <w:t>预期结果2：通过加强与国际合作机制有关的监测、知识管理服务和意识提升促进对《公约》的健全治理</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79A84893"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9.6%</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47F51C46"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10.0%</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214A806C"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$787 659</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422D84A7"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$196 915</w:t>
            </w:r>
          </w:p>
        </w:tc>
        <w:tc>
          <w:tcPr>
            <w:tcW w:w="149" w:type="dxa"/>
            <w:gridSpan w:val="2"/>
            <w:vAlign w:val="center"/>
            <w:hideMark/>
          </w:tcPr>
          <w:p w14:paraId="6746D734" w14:textId="77777777" w:rsidR="00C4749C" w:rsidRPr="000463B5" w:rsidRDefault="00C4749C" w:rsidP="005A7E1A">
            <w:pPr>
              <w:rPr>
                <w:kern w:val="2"/>
                <w:sz w:val="22"/>
                <w:szCs w:val="20"/>
              </w:rPr>
            </w:pPr>
          </w:p>
        </w:tc>
      </w:tr>
      <w:tr w:rsidR="00C4749C" w:rsidRPr="000463B5" w14:paraId="29E00945" w14:textId="77777777" w:rsidTr="005A7E1A">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503A4502" w14:textId="77777777" w:rsidR="00C4749C" w:rsidRPr="000463B5" w:rsidRDefault="00C4749C" w:rsidP="005A7E1A">
            <w:pPr>
              <w:spacing w:before="60"/>
              <w:rPr>
                <w:rFonts w:cstheme="minorBidi"/>
                <w:i/>
                <w:iCs/>
                <w:color w:val="000000"/>
                <w:kern w:val="2"/>
                <w:sz w:val="22"/>
                <w:szCs w:val="18"/>
              </w:rPr>
            </w:pPr>
          </w:p>
        </w:tc>
        <w:tc>
          <w:tcPr>
            <w:tcW w:w="4107" w:type="dxa"/>
            <w:vMerge/>
            <w:tcBorders>
              <w:top w:val="nil"/>
              <w:left w:val="single" w:sz="8" w:space="0" w:color="auto"/>
              <w:bottom w:val="single" w:sz="8" w:space="0" w:color="000000"/>
              <w:right w:val="nil"/>
            </w:tcBorders>
            <w:vAlign w:val="center"/>
            <w:hideMark/>
          </w:tcPr>
          <w:p w14:paraId="66763970" w14:textId="77777777" w:rsidR="00C4749C" w:rsidRPr="000463B5" w:rsidRDefault="00C4749C" w:rsidP="005A7E1A">
            <w:pPr>
              <w:spacing w:before="20" w:after="20"/>
              <w:rPr>
                <w:rFonts w:cstheme="minorBidi"/>
                <w:b/>
                <w:bCs/>
                <w:i/>
                <w:iCs/>
                <w:color w:val="000000"/>
                <w:kern w:val="2"/>
                <w:sz w:val="22"/>
                <w:szCs w:val="18"/>
              </w:rPr>
            </w:pPr>
          </w:p>
        </w:tc>
        <w:tc>
          <w:tcPr>
            <w:tcW w:w="1421" w:type="dxa"/>
            <w:vMerge/>
            <w:tcBorders>
              <w:top w:val="nil"/>
              <w:left w:val="single" w:sz="4" w:space="0" w:color="auto"/>
              <w:bottom w:val="single" w:sz="4" w:space="0" w:color="000000"/>
              <w:right w:val="single" w:sz="4" w:space="0" w:color="auto"/>
            </w:tcBorders>
            <w:vAlign w:val="center"/>
            <w:hideMark/>
          </w:tcPr>
          <w:p w14:paraId="6086641D" w14:textId="77777777" w:rsidR="00C4749C" w:rsidRPr="000463B5" w:rsidRDefault="00C4749C" w:rsidP="005A7E1A">
            <w:pPr>
              <w:rPr>
                <w:rFonts w:cstheme="minorBidi"/>
                <w:i/>
                <w:iCs/>
                <w:color w:val="000000"/>
                <w:kern w:val="2"/>
                <w:sz w:val="22"/>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1EBB91FE" w14:textId="77777777" w:rsidR="00C4749C" w:rsidRPr="000463B5" w:rsidRDefault="00C4749C" w:rsidP="005A7E1A">
            <w:pPr>
              <w:rPr>
                <w:rFonts w:cstheme="minorBidi"/>
                <w:i/>
                <w:iCs/>
                <w:color w:val="000000"/>
                <w:kern w:val="2"/>
                <w:sz w:val="22"/>
                <w:szCs w:val="18"/>
              </w:rPr>
            </w:pPr>
          </w:p>
        </w:tc>
        <w:tc>
          <w:tcPr>
            <w:tcW w:w="1237" w:type="dxa"/>
            <w:vMerge/>
            <w:tcBorders>
              <w:top w:val="nil"/>
              <w:left w:val="dashed" w:sz="4" w:space="0" w:color="auto"/>
              <w:bottom w:val="dashed" w:sz="4" w:space="0" w:color="auto"/>
              <w:right w:val="dashed" w:sz="4" w:space="0" w:color="auto"/>
            </w:tcBorders>
            <w:vAlign w:val="center"/>
            <w:hideMark/>
          </w:tcPr>
          <w:p w14:paraId="1CDC6E81" w14:textId="77777777" w:rsidR="00C4749C" w:rsidRPr="000463B5" w:rsidRDefault="00C4749C" w:rsidP="005A7E1A">
            <w:pPr>
              <w:rPr>
                <w:rFonts w:cstheme="minorBidi"/>
                <w:i/>
                <w:iCs/>
                <w:color w:val="000000"/>
                <w:kern w:val="2"/>
                <w:sz w:val="22"/>
                <w:szCs w:val="18"/>
              </w:rPr>
            </w:pPr>
          </w:p>
        </w:tc>
        <w:tc>
          <w:tcPr>
            <w:tcW w:w="1307" w:type="dxa"/>
            <w:vMerge/>
            <w:tcBorders>
              <w:top w:val="nil"/>
              <w:left w:val="dashed" w:sz="4" w:space="0" w:color="auto"/>
              <w:bottom w:val="dashed" w:sz="4" w:space="0" w:color="auto"/>
              <w:right w:val="dashed" w:sz="4" w:space="0" w:color="auto"/>
            </w:tcBorders>
            <w:vAlign w:val="center"/>
            <w:hideMark/>
          </w:tcPr>
          <w:p w14:paraId="4F880B4D" w14:textId="77777777" w:rsidR="00C4749C" w:rsidRPr="000463B5" w:rsidRDefault="00C4749C" w:rsidP="005A7E1A">
            <w:pPr>
              <w:rPr>
                <w:rFonts w:cstheme="minorBidi"/>
                <w:i/>
                <w:iCs/>
                <w:color w:val="000000"/>
                <w:kern w:val="2"/>
                <w:sz w:val="22"/>
                <w:szCs w:val="18"/>
              </w:rPr>
            </w:pPr>
          </w:p>
        </w:tc>
        <w:tc>
          <w:tcPr>
            <w:tcW w:w="149" w:type="dxa"/>
            <w:gridSpan w:val="2"/>
            <w:tcBorders>
              <w:top w:val="nil"/>
              <w:left w:val="nil"/>
              <w:bottom w:val="nil"/>
              <w:right w:val="nil"/>
            </w:tcBorders>
            <w:noWrap/>
            <w:vAlign w:val="bottom"/>
            <w:hideMark/>
          </w:tcPr>
          <w:p w14:paraId="31266AE8" w14:textId="77777777" w:rsidR="00C4749C" w:rsidRPr="000463B5" w:rsidRDefault="00C4749C" w:rsidP="005A7E1A">
            <w:pPr>
              <w:jc w:val="center"/>
              <w:rPr>
                <w:rFonts w:cs="Arial"/>
                <w:i/>
                <w:iCs/>
                <w:color w:val="000000"/>
                <w:kern w:val="2"/>
                <w:sz w:val="22"/>
                <w:szCs w:val="18"/>
              </w:rPr>
            </w:pPr>
          </w:p>
        </w:tc>
      </w:tr>
      <w:tr w:rsidR="00C4749C" w:rsidRPr="000463B5" w14:paraId="44325795" w14:textId="77777777" w:rsidTr="005A7E1A">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12D05E62" w14:textId="77777777" w:rsidR="00C4749C" w:rsidRPr="000463B5" w:rsidRDefault="00C4749C" w:rsidP="005A7E1A">
            <w:pPr>
              <w:spacing w:before="60"/>
              <w:rPr>
                <w:rFonts w:cstheme="minorBidi"/>
                <w:i/>
                <w:iCs/>
                <w:color w:val="000000"/>
                <w:kern w:val="2"/>
                <w:sz w:val="22"/>
                <w:szCs w:val="18"/>
              </w:rPr>
            </w:pPr>
          </w:p>
        </w:tc>
        <w:tc>
          <w:tcPr>
            <w:tcW w:w="4107" w:type="dxa"/>
            <w:vMerge/>
            <w:tcBorders>
              <w:top w:val="nil"/>
              <w:left w:val="single" w:sz="8" w:space="0" w:color="auto"/>
              <w:bottom w:val="single" w:sz="8" w:space="0" w:color="000000"/>
              <w:right w:val="nil"/>
            </w:tcBorders>
            <w:vAlign w:val="center"/>
            <w:hideMark/>
          </w:tcPr>
          <w:p w14:paraId="5EC17F8F" w14:textId="77777777" w:rsidR="00C4749C" w:rsidRPr="000463B5" w:rsidRDefault="00C4749C" w:rsidP="005A7E1A">
            <w:pPr>
              <w:spacing w:before="20" w:after="20"/>
              <w:rPr>
                <w:rFonts w:cstheme="minorBidi"/>
                <w:b/>
                <w:bCs/>
                <w:i/>
                <w:iCs/>
                <w:color w:val="000000"/>
                <w:kern w:val="2"/>
                <w:sz w:val="22"/>
                <w:szCs w:val="18"/>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4047865D"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（项目3的48%）</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12FA6977"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（项目3的50%）</w:t>
            </w:r>
          </w:p>
        </w:tc>
        <w:tc>
          <w:tcPr>
            <w:tcW w:w="1237" w:type="dxa"/>
            <w:vMerge/>
            <w:tcBorders>
              <w:top w:val="nil"/>
              <w:left w:val="dashed" w:sz="4" w:space="0" w:color="auto"/>
              <w:bottom w:val="dashed" w:sz="4" w:space="0" w:color="auto"/>
              <w:right w:val="dashed" w:sz="4" w:space="0" w:color="auto"/>
            </w:tcBorders>
            <w:vAlign w:val="center"/>
            <w:hideMark/>
          </w:tcPr>
          <w:p w14:paraId="2BACBF3E" w14:textId="77777777" w:rsidR="00C4749C" w:rsidRPr="000463B5" w:rsidRDefault="00C4749C" w:rsidP="005A7E1A">
            <w:pPr>
              <w:rPr>
                <w:rFonts w:cstheme="minorBidi"/>
                <w:i/>
                <w:iCs/>
                <w:color w:val="000000"/>
                <w:kern w:val="2"/>
                <w:sz w:val="22"/>
                <w:szCs w:val="18"/>
              </w:rPr>
            </w:pPr>
          </w:p>
        </w:tc>
        <w:tc>
          <w:tcPr>
            <w:tcW w:w="1307" w:type="dxa"/>
            <w:vMerge/>
            <w:tcBorders>
              <w:top w:val="nil"/>
              <w:left w:val="dashed" w:sz="4" w:space="0" w:color="auto"/>
              <w:bottom w:val="dashed" w:sz="4" w:space="0" w:color="auto"/>
              <w:right w:val="dashed" w:sz="4" w:space="0" w:color="auto"/>
            </w:tcBorders>
            <w:vAlign w:val="center"/>
            <w:hideMark/>
          </w:tcPr>
          <w:p w14:paraId="1D316C2A" w14:textId="77777777" w:rsidR="00C4749C" w:rsidRPr="000463B5" w:rsidRDefault="00C4749C" w:rsidP="005A7E1A">
            <w:pPr>
              <w:rPr>
                <w:rFonts w:cstheme="minorBidi"/>
                <w:i/>
                <w:iCs/>
                <w:color w:val="000000"/>
                <w:kern w:val="2"/>
                <w:sz w:val="22"/>
                <w:szCs w:val="18"/>
              </w:rPr>
            </w:pPr>
          </w:p>
        </w:tc>
        <w:tc>
          <w:tcPr>
            <w:tcW w:w="149" w:type="dxa"/>
            <w:gridSpan w:val="2"/>
            <w:vAlign w:val="center"/>
            <w:hideMark/>
          </w:tcPr>
          <w:p w14:paraId="0C0F5B68" w14:textId="77777777" w:rsidR="00C4749C" w:rsidRPr="000463B5" w:rsidRDefault="00C4749C" w:rsidP="005A7E1A">
            <w:pPr>
              <w:rPr>
                <w:kern w:val="2"/>
                <w:sz w:val="22"/>
                <w:szCs w:val="20"/>
              </w:rPr>
            </w:pPr>
          </w:p>
        </w:tc>
      </w:tr>
      <w:tr w:rsidR="00C4749C" w:rsidRPr="000463B5" w14:paraId="1DD9E1C1" w14:textId="77777777" w:rsidTr="005A7E1A">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5A56CED0" w14:textId="77777777" w:rsidR="00C4749C" w:rsidRPr="000463B5" w:rsidRDefault="00C4749C" w:rsidP="005A7E1A">
            <w:pPr>
              <w:spacing w:before="60"/>
              <w:rPr>
                <w:rFonts w:cstheme="minorBidi"/>
                <w:i/>
                <w:iCs/>
                <w:color w:val="000000"/>
                <w:kern w:val="2"/>
                <w:sz w:val="22"/>
                <w:szCs w:val="18"/>
              </w:rPr>
            </w:pPr>
          </w:p>
        </w:tc>
        <w:tc>
          <w:tcPr>
            <w:tcW w:w="4107" w:type="dxa"/>
            <w:vMerge/>
            <w:tcBorders>
              <w:top w:val="nil"/>
              <w:left w:val="single" w:sz="8" w:space="0" w:color="auto"/>
              <w:bottom w:val="single" w:sz="8" w:space="0" w:color="000000"/>
              <w:right w:val="nil"/>
            </w:tcBorders>
            <w:vAlign w:val="center"/>
            <w:hideMark/>
          </w:tcPr>
          <w:p w14:paraId="4F48D9AD" w14:textId="77777777" w:rsidR="00C4749C" w:rsidRPr="000463B5" w:rsidRDefault="00C4749C" w:rsidP="005A7E1A">
            <w:pPr>
              <w:spacing w:before="20" w:after="20"/>
              <w:rPr>
                <w:rFonts w:cstheme="minorBidi"/>
                <w:b/>
                <w:bCs/>
                <w:i/>
                <w:iCs/>
                <w:color w:val="000000"/>
                <w:kern w:val="2"/>
                <w:sz w:val="22"/>
                <w:szCs w:val="18"/>
              </w:rPr>
            </w:pPr>
          </w:p>
        </w:tc>
        <w:tc>
          <w:tcPr>
            <w:tcW w:w="1421" w:type="dxa"/>
            <w:vMerge/>
            <w:tcBorders>
              <w:top w:val="nil"/>
              <w:left w:val="single" w:sz="4" w:space="0" w:color="auto"/>
              <w:bottom w:val="single" w:sz="4" w:space="0" w:color="000000"/>
              <w:right w:val="single" w:sz="4" w:space="0" w:color="auto"/>
            </w:tcBorders>
            <w:vAlign w:val="center"/>
            <w:hideMark/>
          </w:tcPr>
          <w:p w14:paraId="38D3B311" w14:textId="77777777" w:rsidR="00C4749C" w:rsidRPr="000463B5" w:rsidRDefault="00C4749C" w:rsidP="005A7E1A">
            <w:pPr>
              <w:rPr>
                <w:rFonts w:cstheme="minorBidi"/>
                <w:i/>
                <w:iCs/>
                <w:color w:val="000000"/>
                <w:kern w:val="2"/>
                <w:sz w:val="22"/>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2C895843" w14:textId="77777777" w:rsidR="00C4749C" w:rsidRPr="000463B5" w:rsidRDefault="00C4749C" w:rsidP="005A7E1A">
            <w:pPr>
              <w:rPr>
                <w:rFonts w:cstheme="minorBidi"/>
                <w:i/>
                <w:iCs/>
                <w:color w:val="000000"/>
                <w:kern w:val="2"/>
                <w:sz w:val="22"/>
                <w:szCs w:val="18"/>
              </w:rPr>
            </w:pPr>
          </w:p>
        </w:tc>
        <w:tc>
          <w:tcPr>
            <w:tcW w:w="1237" w:type="dxa"/>
            <w:vMerge/>
            <w:tcBorders>
              <w:top w:val="nil"/>
              <w:left w:val="dashed" w:sz="4" w:space="0" w:color="auto"/>
              <w:bottom w:val="dashed" w:sz="4" w:space="0" w:color="auto"/>
              <w:right w:val="dashed" w:sz="4" w:space="0" w:color="auto"/>
            </w:tcBorders>
            <w:vAlign w:val="center"/>
            <w:hideMark/>
          </w:tcPr>
          <w:p w14:paraId="2C0BC7F3" w14:textId="77777777" w:rsidR="00C4749C" w:rsidRPr="000463B5" w:rsidRDefault="00C4749C" w:rsidP="005A7E1A">
            <w:pPr>
              <w:rPr>
                <w:rFonts w:cstheme="minorBidi"/>
                <w:i/>
                <w:iCs/>
                <w:color w:val="000000"/>
                <w:kern w:val="2"/>
                <w:sz w:val="22"/>
                <w:szCs w:val="18"/>
              </w:rPr>
            </w:pPr>
          </w:p>
        </w:tc>
        <w:tc>
          <w:tcPr>
            <w:tcW w:w="1307" w:type="dxa"/>
            <w:vMerge/>
            <w:tcBorders>
              <w:top w:val="nil"/>
              <w:left w:val="dashed" w:sz="4" w:space="0" w:color="auto"/>
              <w:bottom w:val="dashed" w:sz="4" w:space="0" w:color="auto"/>
              <w:right w:val="dashed" w:sz="4" w:space="0" w:color="auto"/>
            </w:tcBorders>
            <w:vAlign w:val="center"/>
            <w:hideMark/>
          </w:tcPr>
          <w:p w14:paraId="5B02854D" w14:textId="77777777" w:rsidR="00C4749C" w:rsidRPr="000463B5" w:rsidRDefault="00C4749C" w:rsidP="005A7E1A">
            <w:pPr>
              <w:rPr>
                <w:rFonts w:cstheme="minorBidi"/>
                <w:i/>
                <w:iCs/>
                <w:color w:val="000000"/>
                <w:kern w:val="2"/>
                <w:sz w:val="22"/>
                <w:szCs w:val="18"/>
              </w:rPr>
            </w:pPr>
          </w:p>
        </w:tc>
        <w:tc>
          <w:tcPr>
            <w:tcW w:w="149" w:type="dxa"/>
            <w:gridSpan w:val="2"/>
            <w:tcBorders>
              <w:top w:val="nil"/>
              <w:left w:val="nil"/>
              <w:bottom w:val="nil"/>
              <w:right w:val="nil"/>
            </w:tcBorders>
            <w:noWrap/>
            <w:vAlign w:val="bottom"/>
            <w:hideMark/>
          </w:tcPr>
          <w:p w14:paraId="0AC0B484" w14:textId="77777777" w:rsidR="00C4749C" w:rsidRPr="000463B5" w:rsidRDefault="00C4749C" w:rsidP="005A7E1A">
            <w:pPr>
              <w:jc w:val="center"/>
              <w:rPr>
                <w:rFonts w:cs="Arial"/>
                <w:i/>
                <w:iCs/>
                <w:color w:val="000000"/>
                <w:kern w:val="2"/>
                <w:sz w:val="22"/>
                <w:szCs w:val="16"/>
              </w:rPr>
            </w:pPr>
          </w:p>
        </w:tc>
      </w:tr>
      <w:tr w:rsidR="00C4749C" w:rsidRPr="000463B5" w14:paraId="7B12EC55" w14:textId="77777777" w:rsidTr="005A7E1A">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4AB66CA0" w14:textId="77777777" w:rsidR="00C4749C" w:rsidRPr="000463B5" w:rsidRDefault="00C4749C" w:rsidP="005A7E1A">
            <w:pPr>
              <w:spacing w:before="60"/>
              <w:rPr>
                <w:rFonts w:cstheme="minorBidi"/>
                <w:color w:val="000000"/>
                <w:kern w:val="2"/>
                <w:sz w:val="22"/>
                <w:szCs w:val="18"/>
              </w:rPr>
            </w:pPr>
            <w:r w:rsidRPr="000463B5">
              <w:rPr>
                <w:rFonts w:cstheme="minorBidi"/>
                <w:color w:val="000000"/>
                <w:kern w:val="2"/>
                <w:sz w:val="22"/>
                <w:szCs w:val="18"/>
                <w:lang w:val="zh-CN" w:bidi="zh-CN"/>
              </w:rPr>
              <w:t>4.</w:t>
            </w:r>
          </w:p>
        </w:tc>
        <w:tc>
          <w:tcPr>
            <w:tcW w:w="4107" w:type="dxa"/>
            <w:tcBorders>
              <w:top w:val="nil"/>
              <w:left w:val="nil"/>
              <w:bottom w:val="single" w:sz="8" w:space="0" w:color="auto"/>
              <w:right w:val="nil"/>
            </w:tcBorders>
            <w:vAlign w:val="center"/>
            <w:hideMark/>
          </w:tcPr>
          <w:p w14:paraId="537202DA" w14:textId="77777777" w:rsidR="00C4749C" w:rsidRPr="000463B5" w:rsidRDefault="00C4749C" w:rsidP="005A7E1A">
            <w:pPr>
              <w:spacing w:before="20" w:after="20"/>
              <w:rPr>
                <w:rFonts w:cstheme="minorBidi"/>
                <w:color w:val="000000"/>
                <w:kern w:val="2"/>
                <w:sz w:val="22"/>
                <w:szCs w:val="18"/>
              </w:rPr>
            </w:pPr>
            <w:r w:rsidRPr="000463B5">
              <w:rPr>
                <w:rFonts w:cstheme="minorBidi"/>
                <w:color w:val="000000"/>
                <w:kern w:val="2"/>
                <w:sz w:val="22"/>
                <w:szCs w:val="18"/>
                <w:lang w:val="zh-CN" w:bidi="zh-CN"/>
              </w:rPr>
              <w:t>代表发展中国家并且是委员会成员的非物质文化遗产专家参加委员会、其主席团和附属机构的会议</w:t>
            </w:r>
          </w:p>
        </w:tc>
        <w:tc>
          <w:tcPr>
            <w:tcW w:w="1421" w:type="dxa"/>
            <w:tcBorders>
              <w:top w:val="nil"/>
              <w:left w:val="single" w:sz="4" w:space="0" w:color="auto"/>
              <w:bottom w:val="single" w:sz="4" w:space="0" w:color="auto"/>
              <w:right w:val="single" w:sz="4" w:space="0" w:color="auto"/>
            </w:tcBorders>
            <w:vAlign w:val="center"/>
            <w:hideMark/>
          </w:tcPr>
          <w:p w14:paraId="57E43F08"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2.5%</w:t>
            </w:r>
          </w:p>
        </w:tc>
        <w:tc>
          <w:tcPr>
            <w:tcW w:w="1417" w:type="dxa"/>
            <w:tcBorders>
              <w:top w:val="nil"/>
              <w:left w:val="nil"/>
              <w:bottom w:val="single" w:sz="4" w:space="0" w:color="auto"/>
              <w:right w:val="dashed" w:sz="4" w:space="0" w:color="auto"/>
            </w:tcBorders>
            <w:vAlign w:val="center"/>
            <w:hideMark/>
          </w:tcPr>
          <w:p w14:paraId="6A530DF0"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2.5%</w:t>
            </w:r>
          </w:p>
        </w:tc>
        <w:tc>
          <w:tcPr>
            <w:tcW w:w="1237" w:type="dxa"/>
            <w:tcBorders>
              <w:top w:val="nil"/>
              <w:left w:val="nil"/>
              <w:bottom w:val="dashed" w:sz="4" w:space="0" w:color="auto"/>
              <w:right w:val="dashed" w:sz="4" w:space="0" w:color="auto"/>
            </w:tcBorders>
            <w:vAlign w:val="center"/>
            <w:hideMark/>
          </w:tcPr>
          <w:p w14:paraId="0F4AAFF2"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$196 915</w:t>
            </w:r>
          </w:p>
        </w:tc>
        <w:tc>
          <w:tcPr>
            <w:tcW w:w="1307" w:type="dxa"/>
            <w:tcBorders>
              <w:top w:val="nil"/>
              <w:left w:val="nil"/>
              <w:bottom w:val="dashed" w:sz="4" w:space="0" w:color="auto"/>
              <w:right w:val="dashed" w:sz="4" w:space="0" w:color="auto"/>
            </w:tcBorders>
            <w:vAlign w:val="center"/>
            <w:hideMark/>
          </w:tcPr>
          <w:p w14:paraId="3F4C7EC7"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$49 229</w:t>
            </w:r>
          </w:p>
        </w:tc>
        <w:tc>
          <w:tcPr>
            <w:tcW w:w="149" w:type="dxa"/>
            <w:gridSpan w:val="2"/>
            <w:vAlign w:val="center"/>
            <w:hideMark/>
          </w:tcPr>
          <w:p w14:paraId="74A8640B" w14:textId="77777777" w:rsidR="00C4749C" w:rsidRPr="000463B5" w:rsidRDefault="00C4749C" w:rsidP="005A7E1A">
            <w:pPr>
              <w:rPr>
                <w:kern w:val="2"/>
                <w:sz w:val="22"/>
                <w:szCs w:val="20"/>
              </w:rPr>
            </w:pPr>
          </w:p>
        </w:tc>
      </w:tr>
      <w:tr w:rsidR="00C4749C" w:rsidRPr="000463B5" w14:paraId="0426BE83" w14:textId="77777777" w:rsidTr="005A7E1A">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20018047" w14:textId="77777777" w:rsidR="00C4749C" w:rsidRPr="000463B5" w:rsidRDefault="00C4749C" w:rsidP="005A7E1A">
            <w:pPr>
              <w:spacing w:before="60"/>
              <w:rPr>
                <w:rFonts w:cstheme="minorBidi"/>
                <w:color w:val="000000"/>
                <w:kern w:val="2"/>
                <w:sz w:val="22"/>
                <w:szCs w:val="18"/>
              </w:rPr>
            </w:pPr>
            <w:r w:rsidRPr="000463B5">
              <w:rPr>
                <w:rFonts w:cstheme="minorBidi"/>
                <w:color w:val="000000"/>
                <w:kern w:val="2"/>
                <w:sz w:val="22"/>
                <w:szCs w:val="18"/>
                <w:lang w:val="zh-CN" w:bidi="zh-CN"/>
              </w:rPr>
              <w:t>5.</w:t>
            </w:r>
          </w:p>
        </w:tc>
        <w:tc>
          <w:tcPr>
            <w:tcW w:w="4107" w:type="dxa"/>
            <w:tcBorders>
              <w:top w:val="nil"/>
              <w:left w:val="nil"/>
              <w:bottom w:val="single" w:sz="8" w:space="0" w:color="auto"/>
              <w:right w:val="nil"/>
            </w:tcBorders>
            <w:vAlign w:val="center"/>
            <w:hideMark/>
          </w:tcPr>
          <w:p w14:paraId="74A2DFF5" w14:textId="77777777" w:rsidR="00C4749C" w:rsidRPr="000463B5" w:rsidRDefault="00C4749C" w:rsidP="005A7E1A">
            <w:pPr>
              <w:spacing w:before="20" w:after="20"/>
              <w:rPr>
                <w:rFonts w:cstheme="minorBidi"/>
                <w:color w:val="000000"/>
                <w:kern w:val="2"/>
                <w:sz w:val="22"/>
                <w:szCs w:val="18"/>
              </w:rPr>
            </w:pPr>
            <w:r w:rsidRPr="000463B5">
              <w:rPr>
                <w:rFonts w:cstheme="minorBidi"/>
                <w:color w:val="000000"/>
                <w:kern w:val="2"/>
                <w:sz w:val="22"/>
                <w:szCs w:val="18"/>
                <w:lang w:val="zh-CN" w:bidi="zh-CN"/>
              </w:rPr>
              <w:t>代表《公约》缔约国中发展中国家但不是委员会成员的非物质文化遗产专家参加委员会及其磋商机构的会议</w:t>
            </w:r>
          </w:p>
        </w:tc>
        <w:tc>
          <w:tcPr>
            <w:tcW w:w="1421" w:type="dxa"/>
            <w:tcBorders>
              <w:top w:val="nil"/>
              <w:left w:val="single" w:sz="4" w:space="0" w:color="auto"/>
              <w:bottom w:val="single" w:sz="4" w:space="0" w:color="auto"/>
              <w:right w:val="single" w:sz="4" w:space="0" w:color="auto"/>
            </w:tcBorders>
            <w:vAlign w:val="center"/>
            <w:hideMark/>
          </w:tcPr>
          <w:p w14:paraId="2776B4BD"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2.70%</w:t>
            </w:r>
          </w:p>
        </w:tc>
        <w:tc>
          <w:tcPr>
            <w:tcW w:w="1417" w:type="dxa"/>
            <w:tcBorders>
              <w:top w:val="nil"/>
              <w:left w:val="nil"/>
              <w:bottom w:val="single" w:sz="4" w:space="0" w:color="auto"/>
              <w:right w:val="dashed" w:sz="4" w:space="0" w:color="auto"/>
            </w:tcBorders>
            <w:vAlign w:val="center"/>
            <w:hideMark/>
          </w:tcPr>
          <w:p w14:paraId="10007E85"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2.70%</w:t>
            </w:r>
          </w:p>
        </w:tc>
        <w:tc>
          <w:tcPr>
            <w:tcW w:w="1237" w:type="dxa"/>
            <w:tcBorders>
              <w:top w:val="nil"/>
              <w:left w:val="nil"/>
              <w:bottom w:val="dashed" w:sz="4" w:space="0" w:color="auto"/>
              <w:right w:val="dashed" w:sz="4" w:space="0" w:color="auto"/>
            </w:tcBorders>
            <w:vAlign w:val="center"/>
            <w:hideMark/>
          </w:tcPr>
          <w:p w14:paraId="7E026F35"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$212 668</w:t>
            </w:r>
          </w:p>
        </w:tc>
        <w:tc>
          <w:tcPr>
            <w:tcW w:w="1307" w:type="dxa"/>
            <w:tcBorders>
              <w:top w:val="nil"/>
              <w:left w:val="nil"/>
              <w:bottom w:val="dashed" w:sz="4" w:space="0" w:color="auto"/>
              <w:right w:val="dashed" w:sz="4" w:space="0" w:color="auto"/>
            </w:tcBorders>
            <w:vAlign w:val="center"/>
            <w:hideMark/>
          </w:tcPr>
          <w:p w14:paraId="3E713B9D"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$53 167</w:t>
            </w:r>
          </w:p>
        </w:tc>
        <w:tc>
          <w:tcPr>
            <w:tcW w:w="149" w:type="dxa"/>
            <w:gridSpan w:val="2"/>
            <w:vAlign w:val="center"/>
            <w:hideMark/>
          </w:tcPr>
          <w:p w14:paraId="1908DD84" w14:textId="77777777" w:rsidR="00C4749C" w:rsidRPr="000463B5" w:rsidRDefault="00C4749C" w:rsidP="005A7E1A">
            <w:pPr>
              <w:rPr>
                <w:kern w:val="2"/>
                <w:sz w:val="22"/>
                <w:szCs w:val="20"/>
              </w:rPr>
            </w:pPr>
          </w:p>
        </w:tc>
      </w:tr>
      <w:tr w:rsidR="00C4749C" w:rsidRPr="000463B5" w14:paraId="57BC3393" w14:textId="77777777" w:rsidTr="005A7E1A">
        <w:trPr>
          <w:gridAfter w:val="1"/>
          <w:wAfter w:w="16" w:type="dxa"/>
          <w:trHeight w:val="1684"/>
        </w:trPr>
        <w:tc>
          <w:tcPr>
            <w:tcW w:w="416" w:type="dxa"/>
            <w:tcBorders>
              <w:top w:val="nil"/>
              <w:left w:val="single" w:sz="8" w:space="0" w:color="auto"/>
              <w:bottom w:val="single" w:sz="8" w:space="0" w:color="auto"/>
              <w:right w:val="single" w:sz="8" w:space="0" w:color="auto"/>
            </w:tcBorders>
            <w:noWrap/>
            <w:hideMark/>
          </w:tcPr>
          <w:p w14:paraId="5D676BD9" w14:textId="77777777" w:rsidR="00C4749C" w:rsidRPr="000463B5" w:rsidRDefault="00C4749C" w:rsidP="005A7E1A">
            <w:pPr>
              <w:spacing w:before="60"/>
              <w:rPr>
                <w:rFonts w:cstheme="minorBidi"/>
                <w:color w:val="000000"/>
                <w:kern w:val="2"/>
                <w:sz w:val="22"/>
                <w:szCs w:val="18"/>
              </w:rPr>
            </w:pPr>
            <w:r w:rsidRPr="000463B5">
              <w:rPr>
                <w:rFonts w:cstheme="minorBidi"/>
                <w:color w:val="000000"/>
                <w:kern w:val="2"/>
                <w:sz w:val="22"/>
                <w:szCs w:val="18"/>
                <w:lang w:val="zh-CN" w:bidi="zh-CN"/>
              </w:rPr>
              <w:t>6.</w:t>
            </w:r>
          </w:p>
        </w:tc>
        <w:tc>
          <w:tcPr>
            <w:tcW w:w="4107" w:type="dxa"/>
            <w:tcBorders>
              <w:top w:val="nil"/>
              <w:left w:val="nil"/>
              <w:bottom w:val="single" w:sz="8" w:space="0" w:color="auto"/>
              <w:right w:val="nil"/>
            </w:tcBorders>
            <w:vAlign w:val="center"/>
            <w:hideMark/>
          </w:tcPr>
          <w:p w14:paraId="63A14FE0" w14:textId="77777777" w:rsidR="00C4749C" w:rsidRPr="000463B5" w:rsidRDefault="00C4749C" w:rsidP="005A7E1A">
            <w:pPr>
              <w:spacing w:before="20" w:after="20"/>
              <w:rPr>
                <w:rFonts w:cstheme="minorBidi"/>
                <w:color w:val="000000"/>
                <w:kern w:val="2"/>
                <w:sz w:val="22"/>
                <w:szCs w:val="18"/>
              </w:rPr>
            </w:pPr>
            <w:r w:rsidRPr="000463B5">
              <w:rPr>
                <w:rFonts w:cstheme="minorBidi"/>
                <w:color w:val="000000"/>
                <w:kern w:val="2"/>
                <w:sz w:val="22"/>
                <w:szCs w:val="18"/>
                <w:lang w:val="zh-CN" w:bidi="zh-CN"/>
              </w:rPr>
              <w:t>受到委员会邀请就具体事务提供建议的公共或私人机构、私人个人以及社区和团体成员，还有代表发展中国家经认证的非政府组织的非物质文化遗产专家，参加委员会、主席团和磋商机构的会议</w:t>
            </w:r>
          </w:p>
        </w:tc>
        <w:tc>
          <w:tcPr>
            <w:tcW w:w="1421" w:type="dxa"/>
            <w:tcBorders>
              <w:top w:val="nil"/>
              <w:left w:val="single" w:sz="4" w:space="0" w:color="auto"/>
              <w:bottom w:val="single" w:sz="4" w:space="0" w:color="auto"/>
              <w:right w:val="single" w:sz="4" w:space="0" w:color="auto"/>
            </w:tcBorders>
            <w:vAlign w:val="center"/>
            <w:hideMark/>
          </w:tcPr>
          <w:p w14:paraId="3E8241BB"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2.70%</w:t>
            </w:r>
          </w:p>
        </w:tc>
        <w:tc>
          <w:tcPr>
            <w:tcW w:w="1417" w:type="dxa"/>
            <w:tcBorders>
              <w:top w:val="nil"/>
              <w:left w:val="nil"/>
              <w:bottom w:val="single" w:sz="4" w:space="0" w:color="auto"/>
              <w:right w:val="dashed" w:sz="4" w:space="0" w:color="auto"/>
            </w:tcBorders>
            <w:vAlign w:val="center"/>
            <w:hideMark/>
          </w:tcPr>
          <w:p w14:paraId="2620785B"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2.70%</w:t>
            </w:r>
          </w:p>
        </w:tc>
        <w:tc>
          <w:tcPr>
            <w:tcW w:w="1237" w:type="dxa"/>
            <w:tcBorders>
              <w:top w:val="nil"/>
              <w:left w:val="nil"/>
              <w:bottom w:val="dashed" w:sz="4" w:space="0" w:color="auto"/>
              <w:right w:val="dashed" w:sz="4" w:space="0" w:color="auto"/>
            </w:tcBorders>
            <w:vAlign w:val="center"/>
            <w:hideMark/>
          </w:tcPr>
          <w:p w14:paraId="46B5F13B"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$212 668</w:t>
            </w:r>
          </w:p>
        </w:tc>
        <w:tc>
          <w:tcPr>
            <w:tcW w:w="1307" w:type="dxa"/>
            <w:tcBorders>
              <w:top w:val="nil"/>
              <w:left w:val="nil"/>
              <w:bottom w:val="dashed" w:sz="4" w:space="0" w:color="auto"/>
              <w:right w:val="dashed" w:sz="4" w:space="0" w:color="auto"/>
            </w:tcBorders>
            <w:vAlign w:val="center"/>
            <w:hideMark/>
          </w:tcPr>
          <w:p w14:paraId="4CF44AC9"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$53 167</w:t>
            </w:r>
          </w:p>
        </w:tc>
        <w:tc>
          <w:tcPr>
            <w:tcW w:w="149" w:type="dxa"/>
            <w:gridSpan w:val="2"/>
            <w:vAlign w:val="center"/>
            <w:hideMark/>
          </w:tcPr>
          <w:p w14:paraId="52E5DF81" w14:textId="77777777" w:rsidR="00C4749C" w:rsidRPr="000463B5" w:rsidRDefault="00C4749C" w:rsidP="005A7E1A">
            <w:pPr>
              <w:rPr>
                <w:kern w:val="2"/>
                <w:sz w:val="22"/>
                <w:szCs w:val="20"/>
              </w:rPr>
            </w:pPr>
          </w:p>
        </w:tc>
      </w:tr>
      <w:tr w:rsidR="00C4749C" w:rsidRPr="000463B5" w14:paraId="59FC57A6" w14:textId="77777777" w:rsidTr="005A7E1A">
        <w:trPr>
          <w:gridAfter w:val="1"/>
          <w:wAfter w:w="16" w:type="dxa"/>
          <w:trHeight w:val="492"/>
        </w:trPr>
        <w:tc>
          <w:tcPr>
            <w:tcW w:w="416" w:type="dxa"/>
            <w:tcBorders>
              <w:top w:val="nil"/>
              <w:left w:val="single" w:sz="8" w:space="0" w:color="auto"/>
              <w:bottom w:val="single" w:sz="8" w:space="0" w:color="auto"/>
              <w:right w:val="single" w:sz="8" w:space="0" w:color="auto"/>
            </w:tcBorders>
            <w:noWrap/>
            <w:hideMark/>
          </w:tcPr>
          <w:p w14:paraId="6A1374D4" w14:textId="77777777" w:rsidR="00C4749C" w:rsidRPr="000463B5" w:rsidRDefault="00C4749C" w:rsidP="005A7E1A">
            <w:pPr>
              <w:spacing w:before="60"/>
              <w:rPr>
                <w:rFonts w:cstheme="minorBidi"/>
                <w:color w:val="000000"/>
                <w:kern w:val="2"/>
                <w:sz w:val="22"/>
                <w:szCs w:val="18"/>
              </w:rPr>
            </w:pPr>
            <w:r w:rsidRPr="000463B5">
              <w:rPr>
                <w:rFonts w:cstheme="minorBidi"/>
                <w:color w:val="000000"/>
                <w:kern w:val="2"/>
                <w:sz w:val="22"/>
                <w:szCs w:val="18"/>
                <w:lang w:val="zh-CN" w:bidi="zh-CN"/>
              </w:rPr>
              <w:lastRenderedPageBreak/>
              <w:t>7.</w:t>
            </w:r>
          </w:p>
        </w:tc>
        <w:tc>
          <w:tcPr>
            <w:tcW w:w="4107" w:type="dxa"/>
            <w:tcBorders>
              <w:top w:val="nil"/>
              <w:left w:val="nil"/>
              <w:bottom w:val="single" w:sz="8" w:space="0" w:color="auto"/>
              <w:right w:val="nil"/>
            </w:tcBorders>
            <w:vAlign w:val="center"/>
            <w:hideMark/>
          </w:tcPr>
          <w:p w14:paraId="0775CE79" w14:textId="77777777" w:rsidR="00C4749C" w:rsidRPr="000463B5" w:rsidRDefault="00C4749C" w:rsidP="005A7E1A">
            <w:pPr>
              <w:spacing w:before="20" w:after="20"/>
              <w:rPr>
                <w:rFonts w:cstheme="minorBidi"/>
                <w:color w:val="000000"/>
                <w:kern w:val="2"/>
                <w:sz w:val="22"/>
                <w:szCs w:val="18"/>
              </w:rPr>
            </w:pPr>
            <w:r w:rsidRPr="000463B5">
              <w:rPr>
                <w:rFonts w:cstheme="minorBidi"/>
                <w:color w:val="000000"/>
                <w:kern w:val="2"/>
                <w:sz w:val="22"/>
                <w:szCs w:val="18"/>
                <w:lang w:val="zh-CN" w:bidi="zh-CN"/>
              </w:rPr>
              <w:t>应委员会要求提供的咨询服务的费用</w:t>
            </w:r>
          </w:p>
        </w:tc>
        <w:tc>
          <w:tcPr>
            <w:tcW w:w="1421" w:type="dxa"/>
            <w:tcBorders>
              <w:top w:val="nil"/>
              <w:left w:val="single" w:sz="4" w:space="0" w:color="auto"/>
              <w:bottom w:val="single" w:sz="4" w:space="0" w:color="auto"/>
              <w:right w:val="single" w:sz="4" w:space="0" w:color="auto"/>
            </w:tcBorders>
            <w:vAlign w:val="center"/>
            <w:hideMark/>
          </w:tcPr>
          <w:p w14:paraId="4D7EA92F"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7.0%</w:t>
            </w:r>
          </w:p>
        </w:tc>
        <w:tc>
          <w:tcPr>
            <w:tcW w:w="1417" w:type="dxa"/>
            <w:tcBorders>
              <w:top w:val="nil"/>
              <w:left w:val="nil"/>
              <w:bottom w:val="single" w:sz="4" w:space="0" w:color="auto"/>
              <w:right w:val="dashed" w:sz="4" w:space="0" w:color="auto"/>
            </w:tcBorders>
            <w:vAlign w:val="center"/>
            <w:hideMark/>
          </w:tcPr>
          <w:p w14:paraId="0F2D56E1" w14:textId="77777777" w:rsidR="00C4749C" w:rsidRPr="000463B5" w:rsidRDefault="00C4749C" w:rsidP="005A7E1A">
            <w:pPr>
              <w:jc w:val="center"/>
              <w:rPr>
                <w:rFonts w:cstheme="minorBidi"/>
                <w:color w:val="000000"/>
                <w:kern w:val="2"/>
                <w:sz w:val="22"/>
                <w:szCs w:val="18"/>
              </w:rPr>
            </w:pPr>
            <w:r w:rsidRPr="000463B5">
              <w:rPr>
                <w:rFonts w:cstheme="minorBidi"/>
                <w:color w:val="000000"/>
                <w:kern w:val="2"/>
                <w:sz w:val="22"/>
                <w:szCs w:val="18"/>
                <w:lang w:val="zh-CN" w:bidi="zh-CN"/>
              </w:rPr>
              <w:t>7.0%</w:t>
            </w:r>
          </w:p>
        </w:tc>
        <w:tc>
          <w:tcPr>
            <w:tcW w:w="1237" w:type="dxa"/>
            <w:tcBorders>
              <w:top w:val="nil"/>
              <w:left w:val="nil"/>
              <w:bottom w:val="dashed" w:sz="4" w:space="0" w:color="auto"/>
              <w:right w:val="dashed" w:sz="4" w:space="0" w:color="auto"/>
            </w:tcBorders>
            <w:vAlign w:val="center"/>
            <w:hideMark/>
          </w:tcPr>
          <w:p w14:paraId="596AB14E"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$551 361</w:t>
            </w:r>
          </w:p>
        </w:tc>
        <w:tc>
          <w:tcPr>
            <w:tcW w:w="1307" w:type="dxa"/>
            <w:tcBorders>
              <w:top w:val="nil"/>
              <w:left w:val="nil"/>
              <w:bottom w:val="dashed" w:sz="4" w:space="0" w:color="auto"/>
              <w:right w:val="dashed" w:sz="4" w:space="0" w:color="auto"/>
            </w:tcBorders>
            <w:vAlign w:val="center"/>
            <w:hideMark/>
          </w:tcPr>
          <w:p w14:paraId="6D20E6AF" w14:textId="77777777" w:rsidR="00C4749C" w:rsidRPr="000463B5" w:rsidRDefault="00C4749C" w:rsidP="005A7E1A">
            <w:pPr>
              <w:jc w:val="center"/>
              <w:rPr>
                <w:rFonts w:cstheme="minorBidi"/>
                <w:i/>
                <w:iCs/>
                <w:color w:val="000000"/>
                <w:kern w:val="2"/>
                <w:sz w:val="22"/>
                <w:szCs w:val="18"/>
              </w:rPr>
            </w:pPr>
            <w:r w:rsidRPr="000463B5">
              <w:rPr>
                <w:rFonts w:cstheme="minorBidi"/>
                <w:i/>
                <w:color w:val="000000"/>
                <w:kern w:val="2"/>
                <w:sz w:val="22"/>
                <w:szCs w:val="18"/>
                <w:lang w:val="zh-CN" w:bidi="zh-CN"/>
              </w:rPr>
              <w:t>$137 840</w:t>
            </w:r>
          </w:p>
        </w:tc>
        <w:tc>
          <w:tcPr>
            <w:tcW w:w="149" w:type="dxa"/>
            <w:gridSpan w:val="2"/>
            <w:vAlign w:val="center"/>
            <w:hideMark/>
          </w:tcPr>
          <w:p w14:paraId="223EB040" w14:textId="77777777" w:rsidR="00C4749C" w:rsidRPr="000463B5" w:rsidRDefault="00C4749C" w:rsidP="005A7E1A">
            <w:pPr>
              <w:rPr>
                <w:kern w:val="2"/>
                <w:sz w:val="22"/>
                <w:szCs w:val="20"/>
              </w:rPr>
            </w:pPr>
          </w:p>
        </w:tc>
      </w:tr>
      <w:tr w:rsidR="00C4749C" w:rsidRPr="000463B5" w14:paraId="1136D01B" w14:textId="77777777" w:rsidTr="005A7E1A">
        <w:trPr>
          <w:gridAfter w:val="1"/>
          <w:wAfter w:w="16" w:type="dxa"/>
          <w:trHeight w:val="298"/>
        </w:trPr>
        <w:tc>
          <w:tcPr>
            <w:tcW w:w="416" w:type="dxa"/>
            <w:tcBorders>
              <w:top w:val="nil"/>
              <w:left w:val="single" w:sz="8" w:space="0" w:color="auto"/>
              <w:bottom w:val="single" w:sz="4" w:space="0" w:color="auto"/>
              <w:right w:val="single" w:sz="8" w:space="0" w:color="auto"/>
            </w:tcBorders>
            <w:noWrap/>
            <w:vAlign w:val="center"/>
            <w:hideMark/>
          </w:tcPr>
          <w:p w14:paraId="40BB5153" w14:textId="77777777" w:rsidR="00C4749C" w:rsidRPr="000463B5" w:rsidRDefault="00C4749C" w:rsidP="005A7E1A">
            <w:pPr>
              <w:ind w:firstLineChars="100" w:firstLine="221"/>
              <w:rPr>
                <w:rFonts w:cstheme="minorBidi"/>
                <w:b/>
                <w:bCs/>
                <w:color w:val="000000"/>
                <w:kern w:val="2"/>
                <w:sz w:val="22"/>
                <w:szCs w:val="18"/>
              </w:rPr>
            </w:pPr>
            <w:r w:rsidRPr="000463B5">
              <w:rPr>
                <w:rFonts w:cstheme="minorBidi"/>
                <w:b/>
                <w:color w:val="000000"/>
                <w:kern w:val="2"/>
                <w:sz w:val="22"/>
                <w:szCs w:val="18"/>
                <w:lang w:val="zh-CN" w:bidi="zh-CN"/>
              </w:rPr>
              <w:t> </w:t>
            </w:r>
          </w:p>
        </w:tc>
        <w:tc>
          <w:tcPr>
            <w:tcW w:w="4107" w:type="dxa"/>
            <w:tcBorders>
              <w:top w:val="nil"/>
              <w:left w:val="nil"/>
              <w:bottom w:val="single" w:sz="4" w:space="0" w:color="auto"/>
              <w:right w:val="nil"/>
            </w:tcBorders>
            <w:vAlign w:val="center"/>
            <w:hideMark/>
          </w:tcPr>
          <w:p w14:paraId="6D2BA4B5" w14:textId="77777777" w:rsidR="00C4749C" w:rsidRPr="000463B5" w:rsidRDefault="00C4749C" w:rsidP="005A7E1A">
            <w:pPr>
              <w:rPr>
                <w:rFonts w:cstheme="minorBidi"/>
                <w:b/>
                <w:bCs/>
                <w:color w:val="000000"/>
                <w:kern w:val="2"/>
                <w:sz w:val="22"/>
                <w:szCs w:val="18"/>
              </w:rPr>
            </w:pPr>
            <w:r w:rsidRPr="000463B5">
              <w:rPr>
                <w:rFonts w:cstheme="minorBidi"/>
                <w:b/>
                <w:color w:val="000000"/>
                <w:kern w:val="2"/>
                <w:sz w:val="22"/>
                <w:szCs w:val="18"/>
                <w:lang w:val="zh-CN" w:bidi="zh-CN"/>
              </w:rPr>
              <w:t>总计</w:t>
            </w:r>
          </w:p>
        </w:tc>
        <w:tc>
          <w:tcPr>
            <w:tcW w:w="1421" w:type="dxa"/>
            <w:tcBorders>
              <w:top w:val="nil"/>
              <w:left w:val="single" w:sz="4" w:space="0" w:color="auto"/>
              <w:bottom w:val="single" w:sz="4" w:space="0" w:color="auto"/>
              <w:right w:val="single" w:sz="4" w:space="0" w:color="auto"/>
            </w:tcBorders>
            <w:vAlign w:val="center"/>
            <w:hideMark/>
          </w:tcPr>
          <w:p w14:paraId="3E5A9F80" w14:textId="77777777" w:rsidR="00C4749C" w:rsidRPr="000463B5" w:rsidRDefault="00C4749C" w:rsidP="005A7E1A">
            <w:pPr>
              <w:jc w:val="center"/>
              <w:rPr>
                <w:rFonts w:cstheme="minorBidi"/>
                <w:b/>
                <w:bCs/>
                <w:color w:val="000000"/>
                <w:kern w:val="2"/>
                <w:sz w:val="22"/>
                <w:szCs w:val="18"/>
              </w:rPr>
            </w:pPr>
            <w:r w:rsidRPr="000463B5">
              <w:rPr>
                <w:rFonts w:cstheme="minorBidi"/>
                <w:b/>
                <w:color w:val="000000"/>
                <w:kern w:val="2"/>
                <w:sz w:val="22"/>
                <w:szCs w:val="18"/>
                <w:lang w:val="zh-CN" w:bidi="zh-CN"/>
              </w:rPr>
              <w:t>100.00%</w:t>
            </w:r>
          </w:p>
        </w:tc>
        <w:tc>
          <w:tcPr>
            <w:tcW w:w="1417" w:type="dxa"/>
            <w:tcBorders>
              <w:top w:val="nil"/>
              <w:left w:val="nil"/>
              <w:bottom w:val="single" w:sz="4" w:space="0" w:color="auto"/>
              <w:right w:val="dashed" w:sz="4" w:space="0" w:color="auto"/>
            </w:tcBorders>
            <w:vAlign w:val="center"/>
            <w:hideMark/>
          </w:tcPr>
          <w:p w14:paraId="35A5D322" w14:textId="77777777" w:rsidR="00C4749C" w:rsidRPr="000463B5" w:rsidRDefault="00C4749C" w:rsidP="005A7E1A">
            <w:pPr>
              <w:jc w:val="center"/>
              <w:rPr>
                <w:rFonts w:cstheme="minorBidi"/>
                <w:b/>
                <w:bCs/>
                <w:color w:val="000000"/>
                <w:kern w:val="2"/>
                <w:sz w:val="22"/>
                <w:szCs w:val="18"/>
              </w:rPr>
            </w:pPr>
            <w:r w:rsidRPr="000463B5">
              <w:rPr>
                <w:rFonts w:cstheme="minorBidi"/>
                <w:b/>
                <w:color w:val="000000"/>
                <w:kern w:val="2"/>
                <w:sz w:val="22"/>
                <w:szCs w:val="18"/>
                <w:lang w:val="zh-CN" w:bidi="zh-CN"/>
              </w:rPr>
              <w:t>100.00%</w:t>
            </w:r>
          </w:p>
        </w:tc>
        <w:tc>
          <w:tcPr>
            <w:tcW w:w="1237" w:type="dxa"/>
            <w:tcBorders>
              <w:top w:val="nil"/>
              <w:left w:val="nil"/>
              <w:bottom w:val="dashed" w:sz="4" w:space="0" w:color="auto"/>
              <w:right w:val="dashed" w:sz="4" w:space="0" w:color="auto"/>
            </w:tcBorders>
            <w:vAlign w:val="center"/>
            <w:hideMark/>
          </w:tcPr>
          <w:p w14:paraId="35A18CD4" w14:textId="77777777" w:rsidR="00C4749C" w:rsidRPr="000463B5" w:rsidRDefault="00C4749C" w:rsidP="005A7E1A">
            <w:pPr>
              <w:jc w:val="center"/>
              <w:rPr>
                <w:rFonts w:cstheme="minorBidi"/>
                <w:b/>
                <w:bCs/>
                <w:i/>
                <w:iCs/>
                <w:color w:val="000000"/>
                <w:kern w:val="2"/>
                <w:sz w:val="22"/>
                <w:szCs w:val="18"/>
              </w:rPr>
            </w:pPr>
            <w:r w:rsidRPr="000463B5">
              <w:rPr>
                <w:rFonts w:cstheme="minorBidi"/>
                <w:b/>
                <w:i/>
                <w:color w:val="000000"/>
                <w:kern w:val="2"/>
                <w:sz w:val="22"/>
                <w:szCs w:val="18"/>
                <w:lang w:val="zh-CN" w:bidi="zh-CN"/>
              </w:rPr>
              <w:t>$7 876 590</w:t>
            </w:r>
          </w:p>
        </w:tc>
        <w:tc>
          <w:tcPr>
            <w:tcW w:w="1307" w:type="dxa"/>
            <w:tcBorders>
              <w:top w:val="nil"/>
              <w:left w:val="nil"/>
              <w:bottom w:val="dashed" w:sz="4" w:space="0" w:color="auto"/>
              <w:right w:val="dashed" w:sz="4" w:space="0" w:color="auto"/>
            </w:tcBorders>
            <w:vAlign w:val="center"/>
            <w:hideMark/>
          </w:tcPr>
          <w:p w14:paraId="11A473D1" w14:textId="77777777" w:rsidR="00C4749C" w:rsidRPr="000463B5" w:rsidRDefault="00C4749C" w:rsidP="005A7E1A">
            <w:pPr>
              <w:jc w:val="center"/>
              <w:rPr>
                <w:rFonts w:cstheme="minorBidi"/>
                <w:b/>
                <w:bCs/>
                <w:i/>
                <w:iCs/>
                <w:color w:val="000000"/>
                <w:kern w:val="2"/>
                <w:sz w:val="22"/>
                <w:szCs w:val="18"/>
              </w:rPr>
            </w:pPr>
            <w:r w:rsidRPr="000463B5">
              <w:rPr>
                <w:rFonts w:cstheme="minorBidi"/>
                <w:b/>
                <w:i/>
                <w:color w:val="000000"/>
                <w:kern w:val="2"/>
                <w:sz w:val="22"/>
                <w:szCs w:val="18"/>
                <w:lang w:val="zh-CN" w:bidi="zh-CN"/>
              </w:rPr>
              <w:t>$1 969 148</w:t>
            </w:r>
          </w:p>
        </w:tc>
        <w:tc>
          <w:tcPr>
            <w:tcW w:w="149" w:type="dxa"/>
            <w:gridSpan w:val="2"/>
            <w:vAlign w:val="center"/>
            <w:hideMark/>
          </w:tcPr>
          <w:p w14:paraId="6CFBC162" w14:textId="77777777" w:rsidR="00C4749C" w:rsidRPr="000463B5" w:rsidRDefault="00C4749C" w:rsidP="005A7E1A">
            <w:pPr>
              <w:rPr>
                <w:kern w:val="2"/>
                <w:sz w:val="22"/>
                <w:szCs w:val="20"/>
              </w:rPr>
            </w:pPr>
          </w:p>
        </w:tc>
      </w:tr>
      <w:tr w:rsidR="00C4749C" w:rsidRPr="000463B5" w14:paraId="716E5E95" w14:textId="77777777" w:rsidTr="005A7E1A">
        <w:trPr>
          <w:trHeight w:val="565"/>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7EDA46E4" w14:textId="77777777" w:rsidR="00C4749C" w:rsidRPr="000463B5" w:rsidRDefault="00C4749C" w:rsidP="005A7E1A">
            <w:pPr>
              <w:spacing w:before="120" w:after="120"/>
              <w:rPr>
                <w:rFonts w:cs="Arial"/>
                <w:color w:val="000000"/>
                <w:kern w:val="2"/>
                <w:sz w:val="22"/>
                <w:szCs w:val="18"/>
              </w:rPr>
            </w:pPr>
            <w:r w:rsidRPr="000463B5">
              <w:rPr>
                <w:rFonts w:cs="Arial"/>
                <w:color w:val="000000"/>
                <w:kern w:val="2"/>
                <w:sz w:val="22"/>
                <w:szCs w:val="18"/>
                <w:lang w:val="zh-CN" w:bidi="zh-CN"/>
              </w:rPr>
              <w:t>[1] 百分比适用于截至2025年12月31日的基金余额。此余额不包括储备金（100万美元）。</w:t>
            </w:r>
          </w:p>
        </w:tc>
        <w:tc>
          <w:tcPr>
            <w:tcW w:w="149" w:type="dxa"/>
            <w:gridSpan w:val="2"/>
            <w:vAlign w:val="center"/>
            <w:hideMark/>
          </w:tcPr>
          <w:p w14:paraId="16DE83AE" w14:textId="77777777" w:rsidR="00C4749C" w:rsidRPr="000463B5" w:rsidRDefault="00C4749C" w:rsidP="005A7E1A">
            <w:pPr>
              <w:rPr>
                <w:kern w:val="2"/>
                <w:sz w:val="22"/>
                <w:szCs w:val="20"/>
              </w:rPr>
            </w:pPr>
          </w:p>
        </w:tc>
      </w:tr>
      <w:tr w:rsidR="00C4749C" w:rsidRPr="000463B5" w14:paraId="66301236" w14:textId="77777777" w:rsidTr="005A7E1A">
        <w:trPr>
          <w:trHeight w:val="404"/>
        </w:trPr>
        <w:tc>
          <w:tcPr>
            <w:tcW w:w="992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322F790F" w14:textId="77777777" w:rsidR="00C4749C" w:rsidRPr="000463B5" w:rsidRDefault="00C4749C" w:rsidP="005A7E1A">
            <w:pPr>
              <w:spacing w:before="120" w:after="120"/>
              <w:rPr>
                <w:rFonts w:cs="Arial"/>
                <w:color w:val="000000"/>
                <w:kern w:val="2"/>
                <w:sz w:val="22"/>
                <w:szCs w:val="18"/>
              </w:rPr>
            </w:pPr>
            <w:r w:rsidRPr="000463B5">
              <w:rPr>
                <w:rFonts w:cs="Arial"/>
                <w:color w:val="000000"/>
                <w:kern w:val="2"/>
                <w:sz w:val="22"/>
                <w:szCs w:val="18"/>
                <w:lang w:val="zh-CN" w:bidi="zh-CN"/>
              </w:rPr>
              <w:t>在本计划期间结束时尚未承付的资金将结转到下一个财务期，并应按照大会届时核可的计划进行分配。</w:t>
            </w:r>
          </w:p>
        </w:tc>
        <w:tc>
          <w:tcPr>
            <w:tcW w:w="149" w:type="dxa"/>
            <w:gridSpan w:val="2"/>
            <w:vAlign w:val="center"/>
            <w:hideMark/>
          </w:tcPr>
          <w:p w14:paraId="624402E6" w14:textId="77777777" w:rsidR="00C4749C" w:rsidRPr="000463B5" w:rsidRDefault="00C4749C" w:rsidP="005A7E1A">
            <w:pPr>
              <w:rPr>
                <w:kern w:val="2"/>
                <w:sz w:val="22"/>
                <w:szCs w:val="20"/>
              </w:rPr>
            </w:pPr>
          </w:p>
        </w:tc>
      </w:tr>
      <w:tr w:rsidR="00C4749C" w:rsidRPr="000463B5" w14:paraId="2A63DF07" w14:textId="77777777" w:rsidTr="005A7E1A">
        <w:trPr>
          <w:trHeight w:val="626"/>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5D378798" w14:textId="3B400A8B" w:rsidR="00C4749C" w:rsidRPr="000463B5" w:rsidRDefault="00C4749C" w:rsidP="005A7E1A">
            <w:pPr>
              <w:spacing w:before="120" w:after="120"/>
              <w:rPr>
                <w:rFonts w:cs="Arial"/>
                <w:color w:val="000000"/>
                <w:kern w:val="2"/>
                <w:sz w:val="22"/>
                <w:szCs w:val="18"/>
              </w:rPr>
            </w:pPr>
            <w:r w:rsidRPr="000463B5">
              <w:rPr>
                <w:rFonts w:cs="Arial"/>
                <w:color w:val="000000"/>
                <w:kern w:val="2"/>
                <w:sz w:val="22"/>
                <w:szCs w:val="18"/>
                <w:lang w:val="zh-CN" w:bidi="zh-CN"/>
              </w:rPr>
              <w:t>对于</w:t>
            </w:r>
            <w:r w:rsidRPr="000463B5">
              <w:rPr>
                <w:rFonts w:cstheme="minorBidi"/>
                <w:color w:val="000000"/>
                <w:kern w:val="2"/>
                <w:sz w:val="22"/>
                <w:szCs w:val="18"/>
                <w:lang w:val="zh-CN" w:bidi="zh-CN"/>
              </w:rPr>
              <w:t>2028年1月1日至2028年6月30日期间，除储备金外（其数额由委员会确定为100万美元），应临时拨出2026-2027年财务期24个月的规定数额的四分之一（第</w:t>
            </w:r>
            <w:hyperlink r:id="rId44" w:history="1">
              <w:r w:rsidRPr="000463B5">
                <w:rPr>
                  <w:rStyle w:val="Hyperlink"/>
                  <w:rFonts w:cstheme="minorBidi"/>
                  <w:kern w:val="2"/>
                  <w:sz w:val="22"/>
                  <w:szCs w:val="18"/>
                  <w:lang w:val="zh-CN" w:bidi="zh-CN"/>
                </w:rPr>
                <w:t>10.COM 8</w:t>
              </w:r>
            </w:hyperlink>
            <w:r w:rsidRPr="000463B5">
              <w:rPr>
                <w:rFonts w:cstheme="minorBidi"/>
                <w:kern w:val="2"/>
                <w:sz w:val="22"/>
                <w:szCs w:val="18"/>
                <w:lang w:val="zh-CN" w:bidi="zh-CN"/>
              </w:rPr>
              <w:t>号决定）。</w:t>
            </w:r>
          </w:p>
        </w:tc>
        <w:tc>
          <w:tcPr>
            <w:tcW w:w="149" w:type="dxa"/>
            <w:gridSpan w:val="2"/>
            <w:vAlign w:val="center"/>
            <w:hideMark/>
          </w:tcPr>
          <w:p w14:paraId="3659B43A" w14:textId="77777777" w:rsidR="00C4749C" w:rsidRPr="000463B5" w:rsidRDefault="00C4749C" w:rsidP="005A7E1A">
            <w:pPr>
              <w:rPr>
                <w:kern w:val="2"/>
                <w:sz w:val="22"/>
                <w:szCs w:val="20"/>
              </w:rPr>
            </w:pPr>
          </w:p>
        </w:tc>
      </w:tr>
    </w:tbl>
    <w:p w14:paraId="546FCDBC" w14:textId="77777777" w:rsidR="00C4749C" w:rsidRPr="000463B5" w:rsidRDefault="00C4749C" w:rsidP="00C4749C">
      <w:pPr>
        <w:rPr>
          <w:rFonts w:cs="Arial"/>
          <w:kern w:val="2"/>
          <w:sz w:val="22"/>
          <w:szCs w:val="22"/>
          <w:u w:val="single"/>
        </w:rPr>
      </w:pPr>
    </w:p>
    <w:p w14:paraId="603475FE" w14:textId="77777777" w:rsidR="00C4749C" w:rsidRPr="000463B5" w:rsidRDefault="00C4749C" w:rsidP="00C4749C">
      <w:pPr>
        <w:rPr>
          <w:rFonts w:cs="Arial"/>
          <w:kern w:val="2"/>
          <w:sz w:val="22"/>
          <w:szCs w:val="22"/>
          <w:u w:val="single"/>
        </w:rPr>
      </w:pPr>
    </w:p>
    <w:p w14:paraId="2BE315BB" w14:textId="579F832A" w:rsidR="00B948AD" w:rsidRPr="000463B5" w:rsidRDefault="00B948AD">
      <w:pPr>
        <w:rPr>
          <w:rFonts w:cs="Arial"/>
          <w:kern w:val="2"/>
          <w:sz w:val="22"/>
          <w:szCs w:val="22"/>
          <w:u w:val="single"/>
        </w:rPr>
      </w:pPr>
    </w:p>
    <w:sectPr w:rsidR="00B948AD" w:rsidRPr="000463B5" w:rsidSect="00A42B5E">
      <w:headerReference w:type="even" r:id="rId45"/>
      <w:headerReference w:type="default" r:id="rId46"/>
      <w:headerReference w:type="first" r:id="rId47"/>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B3A9" w14:textId="77777777" w:rsidR="00E52FCA" w:rsidRDefault="00E52FCA" w:rsidP="00A42B5E">
      <w:r>
        <w:separator/>
      </w:r>
    </w:p>
  </w:endnote>
  <w:endnote w:type="continuationSeparator" w:id="0">
    <w:p w14:paraId="187664BA" w14:textId="77777777" w:rsidR="00E52FCA" w:rsidRDefault="00E52FCA" w:rsidP="00A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47E14" w14:textId="77777777" w:rsidR="00E52FCA" w:rsidRDefault="00E52FCA" w:rsidP="00A42B5E">
      <w:r>
        <w:separator/>
      </w:r>
    </w:p>
  </w:footnote>
  <w:footnote w:type="continuationSeparator" w:id="0">
    <w:p w14:paraId="072E463F" w14:textId="77777777" w:rsidR="00E52FCA" w:rsidRDefault="00E52FCA" w:rsidP="00A42B5E">
      <w:r>
        <w:continuationSeparator/>
      </w:r>
    </w:p>
  </w:footnote>
  <w:footnote w:id="1">
    <w:p w14:paraId="03EF5FCB" w14:textId="577D1800" w:rsidR="00C4749C" w:rsidRPr="006D3FCF" w:rsidRDefault="00C4749C" w:rsidP="00554627">
      <w:pPr>
        <w:pStyle w:val="FootnoteText"/>
        <w:spacing w:after="60"/>
        <w:ind w:left="567" w:hanging="567"/>
        <w:rPr>
          <w:rFonts w:asciiTheme="minorBidi" w:hAnsiTheme="minorBidi" w:cstheme="minorBidi"/>
          <w:sz w:val="18"/>
          <w:szCs w:val="18"/>
        </w:rPr>
      </w:pPr>
      <w:r w:rsidRPr="00E259FA">
        <w:rPr>
          <w:rStyle w:val="FootnoteReference"/>
          <w:rFonts w:asciiTheme="minorBidi" w:hAnsiTheme="minorBidi" w:cstheme="minorBidi"/>
          <w:sz w:val="18"/>
          <w:szCs w:val="18"/>
          <w:lang w:val="zh-CN" w:bidi="zh-CN"/>
        </w:rPr>
        <w:footnoteRef/>
      </w:r>
      <w:r w:rsidR="00554627">
        <w:rPr>
          <w:rFonts w:asciiTheme="minorBidi" w:hAnsiTheme="minorBidi" w:cstheme="minorBidi"/>
          <w:sz w:val="18"/>
          <w:szCs w:val="18"/>
          <w:lang w:val="en-GB" w:bidi="zh-CN"/>
        </w:rPr>
        <w:t xml:space="preserve"> </w:t>
      </w:r>
      <w:r w:rsidR="00554627">
        <w:rPr>
          <w:rFonts w:asciiTheme="minorBidi" w:hAnsiTheme="minorBidi" w:cstheme="minorBidi"/>
          <w:sz w:val="18"/>
          <w:szCs w:val="18"/>
          <w:lang w:val="en-GB" w:bidi="zh-CN"/>
        </w:rPr>
        <w:tab/>
      </w:r>
      <w:r w:rsidRPr="004A44E5">
        <w:rPr>
          <w:rFonts w:asciiTheme="minorBidi" w:hAnsiTheme="minorBidi" w:cstheme="minorBidi"/>
          <w:sz w:val="18"/>
          <w:szCs w:val="18"/>
          <w:lang w:val="zh-CN" w:bidi="zh-CN"/>
        </w:rPr>
        <w:t>最新的义务纳款报表可在此</w:t>
      </w:r>
      <w:hyperlink r:id="rId1" w:history="1">
        <w:r w:rsidRPr="004A44E5">
          <w:rPr>
            <w:rStyle w:val="Hyperlink"/>
            <w:rFonts w:asciiTheme="minorBidi" w:hAnsiTheme="minorBidi" w:cstheme="minorBidi"/>
            <w:sz w:val="18"/>
            <w:szCs w:val="18"/>
            <w:lang w:val="zh-CN" w:bidi="zh-CN"/>
          </w:rPr>
          <w:t>网页</w:t>
        </w:r>
      </w:hyperlink>
      <w:r w:rsidRPr="004A44E5">
        <w:rPr>
          <w:rFonts w:asciiTheme="minorBidi" w:hAnsiTheme="minorBidi" w:cstheme="minorBidi"/>
          <w:sz w:val="18"/>
          <w:szCs w:val="18"/>
          <w:lang w:val="zh-CN" w:bidi="zh-CN"/>
        </w:rPr>
        <w:t>查阅。</w:t>
      </w:r>
    </w:p>
  </w:footnote>
  <w:footnote w:id="2">
    <w:p w14:paraId="113AA4C6" w14:textId="79E04886" w:rsidR="00C4749C" w:rsidRPr="00554627" w:rsidRDefault="00C4749C" w:rsidP="00554627">
      <w:pPr>
        <w:pStyle w:val="FootnoteText"/>
        <w:spacing w:after="60"/>
        <w:ind w:left="567" w:hanging="567"/>
        <w:rPr>
          <w:sz w:val="18"/>
          <w:szCs w:val="18"/>
        </w:rPr>
      </w:pPr>
      <w:r w:rsidRPr="00E259FA">
        <w:rPr>
          <w:rStyle w:val="FootnoteReference"/>
          <w:rFonts w:ascii="Arial" w:eastAsia="Arial" w:hAnsi="Arial" w:cs="Arial"/>
          <w:sz w:val="18"/>
          <w:szCs w:val="18"/>
          <w:lang w:val="zh-CN" w:bidi="zh-CN"/>
        </w:rPr>
        <w:footnoteRef/>
      </w:r>
      <w:r w:rsidR="00554627" w:rsidRPr="00554627">
        <w:rPr>
          <w:rFonts w:cstheme="minorBidi"/>
          <w:sz w:val="18"/>
          <w:szCs w:val="18"/>
          <w:lang w:bidi="zh-CN"/>
        </w:rPr>
        <w:t xml:space="preserve"> </w:t>
      </w:r>
      <w:r w:rsidR="00554627" w:rsidRPr="00554627">
        <w:rPr>
          <w:rFonts w:cstheme="minorBidi"/>
          <w:sz w:val="18"/>
          <w:szCs w:val="18"/>
          <w:lang w:bidi="zh-CN"/>
        </w:rPr>
        <w:tab/>
      </w:r>
      <w:r w:rsidRPr="00554627">
        <w:rPr>
          <w:rFonts w:cstheme="minorBidi"/>
          <w:sz w:val="18"/>
          <w:szCs w:val="18"/>
          <w:lang w:val="zh-CN" w:bidi="zh-CN"/>
        </w:rPr>
        <w:t>“</w:t>
      </w:r>
      <w:r w:rsidRPr="00554627">
        <w:rPr>
          <w:rFonts w:cstheme="minorBidi" w:hint="eastAsia"/>
          <w:sz w:val="18"/>
          <w:szCs w:val="18"/>
          <w:lang w:val="zh-CN" w:bidi="zh-CN"/>
        </w:rPr>
        <w:t>技术援助</w:t>
      </w:r>
      <w:r w:rsidRPr="00554627">
        <w:rPr>
          <w:rFonts w:cstheme="minorBidi"/>
          <w:sz w:val="18"/>
          <w:szCs w:val="18"/>
          <w:lang w:val="zh-CN" w:bidi="zh-CN"/>
        </w:rPr>
        <w:t>”</w:t>
      </w:r>
      <w:r w:rsidRPr="00554627">
        <w:rPr>
          <w:rFonts w:cstheme="minorBidi" w:hint="eastAsia"/>
          <w:sz w:val="18"/>
          <w:szCs w:val="18"/>
          <w:lang w:val="zh-CN" w:bidi="zh-CN"/>
        </w:rPr>
        <w:t>是指，如《公约》第二十一条所述，向希望提出国际援助申请的缔约国提供专家支持（第</w:t>
      </w:r>
      <w:hyperlink r:id="rId2" w:history="1">
        <w:r w:rsidRPr="00554627">
          <w:rPr>
            <w:rStyle w:val="Hyperlink"/>
            <w:rFonts w:cstheme="minorBidi"/>
            <w:sz w:val="18"/>
            <w:szCs w:val="18"/>
            <w:lang w:val="zh-CN" w:bidi="zh-CN"/>
          </w:rPr>
          <w:t>8.COM 7.c</w:t>
        </w:r>
      </w:hyperlink>
      <w:r w:rsidRPr="00554627">
        <w:rPr>
          <w:rFonts w:cstheme="minorBidi" w:hint="eastAsia"/>
          <w:sz w:val="18"/>
          <w:szCs w:val="18"/>
          <w:lang w:val="zh-CN" w:bidi="zh-CN"/>
        </w:rPr>
        <w:t>号决定）。</w:t>
      </w:r>
    </w:p>
  </w:footnote>
  <w:footnote w:id="3">
    <w:p w14:paraId="11CFF1FC" w14:textId="766A4A89" w:rsidR="00C4749C" w:rsidRPr="005C5434" w:rsidRDefault="00C4749C" w:rsidP="00554627">
      <w:pPr>
        <w:pStyle w:val="FootnoteText"/>
        <w:spacing w:after="60"/>
        <w:ind w:left="567" w:hanging="567"/>
        <w:rPr>
          <w:rFonts w:asciiTheme="minorBidi" w:hAnsiTheme="minorBidi" w:cstheme="minorBidi"/>
          <w:sz w:val="18"/>
          <w:szCs w:val="18"/>
        </w:rPr>
      </w:pPr>
      <w:r w:rsidRPr="005C5434">
        <w:rPr>
          <w:rStyle w:val="FootnoteReference"/>
          <w:rFonts w:asciiTheme="minorBidi" w:hAnsiTheme="minorBidi" w:cstheme="minorBidi"/>
          <w:sz w:val="18"/>
          <w:szCs w:val="18"/>
          <w:lang w:val="zh-CN" w:bidi="zh-CN"/>
        </w:rPr>
        <w:footnoteRef/>
      </w:r>
      <w:r w:rsidR="005C5434" w:rsidRPr="005C5434">
        <w:rPr>
          <w:rFonts w:asciiTheme="minorBidi" w:hAnsiTheme="minorBidi" w:cstheme="minorBidi" w:hint="eastAsia"/>
          <w:sz w:val="18"/>
          <w:szCs w:val="18"/>
          <w:lang w:val="zh-CN" w:bidi="zh-CN"/>
        </w:rPr>
        <w:t xml:space="preserve"> </w:t>
      </w:r>
      <w:r w:rsidR="00554627">
        <w:rPr>
          <w:rFonts w:asciiTheme="minorBidi" w:hAnsiTheme="minorBidi" w:cstheme="minorBidi"/>
          <w:sz w:val="18"/>
          <w:szCs w:val="18"/>
          <w:lang w:val="en-GB" w:bidi="zh-CN"/>
        </w:rPr>
        <w:tab/>
      </w:r>
      <w:r w:rsidRPr="005C5434">
        <w:rPr>
          <w:rFonts w:asciiTheme="minorBidi" w:hAnsiTheme="minorBidi" w:cstheme="minorBidi"/>
          <w:sz w:val="18"/>
          <w:szCs w:val="18"/>
          <w:lang w:val="zh-CN" w:bidi="zh-CN"/>
        </w:rPr>
        <w:t>拟议的预期结果</w:t>
      </w:r>
      <w:r w:rsidRPr="005C5434">
        <w:rPr>
          <w:rFonts w:asciiTheme="minorBidi" w:hAnsiTheme="minorBidi" w:cstheme="minorBidi"/>
          <w:sz w:val="18"/>
          <w:szCs w:val="18"/>
          <w:lang w:val="zh-CN" w:bidi="zh-CN"/>
        </w:rPr>
        <w:t>1</w:t>
      </w:r>
      <w:r w:rsidRPr="005C5434">
        <w:rPr>
          <w:rFonts w:asciiTheme="minorBidi" w:hAnsiTheme="minorBidi" w:cstheme="minorBidi"/>
          <w:sz w:val="18"/>
          <w:szCs w:val="18"/>
          <w:lang w:val="zh-CN" w:bidi="zh-CN"/>
        </w:rPr>
        <w:t>与批准的</w:t>
      </w:r>
      <w:hyperlink r:id="rId3" w:history="1">
        <w:r w:rsidRPr="005C5434">
          <w:rPr>
            <w:rStyle w:val="Hyperlink"/>
            <w:rFonts w:asciiTheme="minorBidi" w:hAnsiTheme="minorBidi" w:cstheme="minorBidi"/>
            <w:sz w:val="18"/>
            <w:szCs w:val="18"/>
            <w:lang w:val="zh-CN" w:bidi="zh-CN"/>
          </w:rPr>
          <w:t xml:space="preserve">43 </w:t>
        </w:r>
        <w:r w:rsidRPr="005C5434">
          <w:rPr>
            <w:rStyle w:val="Hyperlink"/>
            <w:rFonts w:asciiTheme="minorBidi" w:hAnsiTheme="minorBidi" w:cstheme="minorBidi"/>
            <w:sz w:val="18"/>
            <w:szCs w:val="18"/>
            <w:lang w:val="zh-CN" w:bidi="zh-CN"/>
          </w:rPr>
          <w:t>C/5</w:t>
        </w:r>
      </w:hyperlink>
      <w:r w:rsidRPr="005C5434">
        <w:rPr>
          <w:rFonts w:asciiTheme="minorBidi" w:hAnsiTheme="minorBidi" w:cstheme="minorBidi"/>
          <w:sz w:val="18"/>
          <w:szCs w:val="18"/>
          <w:lang w:val="zh-CN" w:bidi="zh-CN"/>
        </w:rPr>
        <w:t>中对产出</w:t>
      </w:r>
      <w:r w:rsidRPr="005C5434">
        <w:rPr>
          <w:rFonts w:asciiTheme="minorBidi" w:hAnsiTheme="minorBidi" w:cstheme="minorBidi"/>
          <w:sz w:val="18"/>
          <w:szCs w:val="18"/>
          <w:lang w:val="zh-CN" w:bidi="zh-CN"/>
        </w:rPr>
        <w:t>4.2.CLT</w:t>
      </w:r>
      <w:r w:rsidRPr="005C5434">
        <w:rPr>
          <w:rFonts w:asciiTheme="minorBidi" w:hAnsiTheme="minorBidi" w:cstheme="minorBidi"/>
          <w:sz w:val="18"/>
          <w:szCs w:val="18"/>
          <w:lang w:val="zh-CN" w:bidi="zh-CN"/>
        </w:rPr>
        <w:t>的业绩指标</w:t>
      </w:r>
      <w:r w:rsidRPr="005C5434">
        <w:rPr>
          <w:rFonts w:asciiTheme="minorBidi" w:hAnsiTheme="minorBidi" w:cstheme="minorBidi"/>
          <w:sz w:val="18"/>
          <w:szCs w:val="18"/>
          <w:lang w:val="zh-CN" w:bidi="zh-CN"/>
        </w:rPr>
        <w:t>4.2.CLT.3</w:t>
      </w:r>
      <w:r w:rsidR="005C5434">
        <w:rPr>
          <w:rFonts w:asciiTheme="minorBidi" w:hAnsiTheme="minorBidi" w:cstheme="minorBidi" w:hint="eastAsia"/>
          <w:sz w:val="18"/>
          <w:szCs w:val="18"/>
          <w:lang w:val="zh-CN" w:bidi="zh-CN"/>
        </w:rPr>
        <w:t>“</w:t>
      </w:r>
      <w:r w:rsidR="00C40285" w:rsidRPr="00C40285">
        <w:rPr>
          <w:rFonts w:asciiTheme="minorBidi" w:hAnsiTheme="minorBidi" w:cstheme="minorBidi"/>
          <w:sz w:val="18"/>
          <w:szCs w:val="18"/>
          <w:lang w:bidi="zh-CN"/>
        </w:rPr>
        <w:t>在根据</w:t>
      </w:r>
      <w:r w:rsidR="00C40285" w:rsidRPr="00C40285">
        <w:rPr>
          <w:rFonts w:asciiTheme="minorBidi" w:hAnsiTheme="minorBidi" w:cstheme="minorBidi"/>
          <w:sz w:val="18"/>
          <w:szCs w:val="18"/>
          <w:lang w:bidi="zh-CN"/>
        </w:rPr>
        <w:t>2003</w:t>
      </w:r>
      <w:r w:rsidR="00C40285" w:rsidRPr="00C40285">
        <w:rPr>
          <w:rFonts w:asciiTheme="minorBidi" w:hAnsiTheme="minorBidi" w:cstheme="minorBidi"/>
          <w:sz w:val="18"/>
          <w:szCs w:val="18"/>
          <w:lang w:bidi="zh-CN"/>
        </w:rPr>
        <w:t>年《保护非物质文化遗产公约》在可持续发展计划和框架等范围内实施新的或经修订的活态遗产保护政策、战略和计划方面能力得到加强的会员国数量</w:t>
      </w:r>
      <w:r w:rsidR="005C5434">
        <w:rPr>
          <w:rFonts w:asciiTheme="minorBidi" w:hAnsiTheme="minorBidi" w:cstheme="minorBidi" w:hint="eastAsia"/>
          <w:sz w:val="18"/>
          <w:szCs w:val="18"/>
          <w:lang w:val="zh-CN" w:bidi="zh-CN"/>
        </w:rPr>
        <w:t>”</w:t>
      </w:r>
      <w:r w:rsidRPr="005C5434">
        <w:rPr>
          <w:rFonts w:asciiTheme="minorBidi" w:hAnsiTheme="minorBidi" w:cstheme="minorBidi"/>
          <w:sz w:val="18"/>
          <w:szCs w:val="18"/>
          <w:lang w:val="zh-CN" w:bidi="zh-CN"/>
        </w:rPr>
        <w:t>一致。</w:t>
      </w:r>
    </w:p>
  </w:footnote>
  <w:footnote w:id="4">
    <w:p w14:paraId="718310E8" w14:textId="66BA530B" w:rsidR="00C4749C" w:rsidRPr="006D3FCF" w:rsidRDefault="00C4749C" w:rsidP="00554627">
      <w:pPr>
        <w:pStyle w:val="FootnoteText"/>
        <w:spacing w:after="60"/>
        <w:ind w:left="567" w:hanging="567"/>
        <w:rPr>
          <w:rFonts w:asciiTheme="minorBidi" w:hAnsiTheme="minorBidi" w:cstheme="minorBidi"/>
          <w:sz w:val="18"/>
          <w:szCs w:val="18"/>
        </w:rPr>
      </w:pPr>
      <w:r w:rsidRPr="005C5434">
        <w:rPr>
          <w:rFonts w:asciiTheme="minorBidi" w:hAnsiTheme="minorBidi" w:cstheme="minorBidi"/>
          <w:sz w:val="18"/>
          <w:szCs w:val="18"/>
          <w:vertAlign w:val="superscript"/>
          <w:lang w:val="zh-CN" w:bidi="zh-CN"/>
        </w:rPr>
        <w:footnoteRef/>
      </w:r>
      <w:r w:rsidR="005C5434" w:rsidRPr="005C5434">
        <w:rPr>
          <w:rFonts w:asciiTheme="minorBidi" w:hAnsiTheme="minorBidi" w:cstheme="minorBidi" w:hint="eastAsia"/>
          <w:sz w:val="18"/>
          <w:szCs w:val="18"/>
          <w:lang w:val="zh-CN" w:bidi="zh-CN"/>
        </w:rPr>
        <w:t xml:space="preserve"> </w:t>
      </w:r>
      <w:r w:rsidR="00554627">
        <w:rPr>
          <w:rFonts w:asciiTheme="minorBidi" w:hAnsiTheme="minorBidi" w:cstheme="minorBidi"/>
          <w:sz w:val="18"/>
          <w:szCs w:val="18"/>
          <w:lang w:val="en-GB" w:bidi="zh-CN"/>
        </w:rPr>
        <w:tab/>
      </w:r>
      <w:r w:rsidRPr="005C5434">
        <w:rPr>
          <w:rFonts w:asciiTheme="minorBidi" w:hAnsiTheme="minorBidi" w:cstheme="minorBidi"/>
          <w:sz w:val="18"/>
          <w:szCs w:val="18"/>
          <w:lang w:val="zh-CN" w:bidi="zh-CN"/>
        </w:rPr>
        <w:t>拟议的预期结果</w:t>
      </w:r>
      <w:r w:rsidRPr="005C5434">
        <w:rPr>
          <w:rFonts w:asciiTheme="minorBidi" w:hAnsiTheme="minorBidi" w:cstheme="minorBidi"/>
          <w:sz w:val="18"/>
          <w:szCs w:val="18"/>
          <w:lang w:val="zh-CN" w:bidi="zh-CN"/>
        </w:rPr>
        <w:t>2</w:t>
      </w:r>
      <w:r w:rsidRPr="005C5434">
        <w:rPr>
          <w:rFonts w:asciiTheme="minorBidi" w:hAnsiTheme="minorBidi" w:cstheme="minorBidi"/>
          <w:sz w:val="18"/>
          <w:szCs w:val="18"/>
          <w:lang w:val="zh-CN" w:bidi="zh-CN"/>
        </w:rPr>
        <w:t>与批准的</w:t>
      </w:r>
      <w:hyperlink r:id="rId4" w:history="1">
        <w:r w:rsidRPr="005C5434">
          <w:rPr>
            <w:rStyle w:val="Hyperlink"/>
            <w:rFonts w:asciiTheme="minorBidi" w:hAnsiTheme="minorBidi" w:cstheme="minorBidi"/>
            <w:sz w:val="18"/>
            <w:szCs w:val="18"/>
            <w:lang w:val="zh-CN" w:bidi="zh-CN"/>
          </w:rPr>
          <w:t>43 C/5</w:t>
        </w:r>
      </w:hyperlink>
      <w:r w:rsidRPr="005C5434">
        <w:rPr>
          <w:rFonts w:asciiTheme="minorBidi" w:hAnsiTheme="minorBidi" w:cstheme="minorBidi"/>
          <w:sz w:val="18"/>
          <w:szCs w:val="18"/>
          <w:lang w:val="zh-CN" w:bidi="zh-CN"/>
        </w:rPr>
        <w:t>中对产出</w:t>
      </w:r>
      <w:r w:rsidRPr="005C5434">
        <w:rPr>
          <w:rFonts w:asciiTheme="minorBidi" w:hAnsiTheme="minorBidi" w:cstheme="minorBidi"/>
          <w:sz w:val="18"/>
          <w:szCs w:val="18"/>
          <w:lang w:val="zh-CN" w:bidi="zh-CN"/>
        </w:rPr>
        <w:t>4.2.CLT</w:t>
      </w:r>
      <w:r w:rsidRPr="005C5434">
        <w:rPr>
          <w:rFonts w:asciiTheme="minorBidi" w:hAnsiTheme="minorBidi" w:cstheme="minorBidi"/>
          <w:sz w:val="18"/>
          <w:szCs w:val="18"/>
          <w:lang w:val="zh-CN" w:bidi="zh-CN"/>
        </w:rPr>
        <w:t>的业绩指标</w:t>
      </w:r>
      <w:r w:rsidRPr="005C5434">
        <w:rPr>
          <w:rFonts w:asciiTheme="minorBidi" w:hAnsiTheme="minorBidi" w:cstheme="minorBidi"/>
          <w:sz w:val="18"/>
          <w:szCs w:val="18"/>
          <w:lang w:val="zh-CN" w:bidi="zh-CN"/>
        </w:rPr>
        <w:t>4.2.CLT.4</w:t>
      </w:r>
      <w:r w:rsidR="005C5434">
        <w:rPr>
          <w:rFonts w:asciiTheme="minorBidi" w:hAnsiTheme="minorBidi" w:cstheme="minorBidi" w:hint="eastAsia"/>
          <w:sz w:val="18"/>
          <w:szCs w:val="18"/>
          <w:lang w:val="zh-CN" w:bidi="zh-CN"/>
        </w:rPr>
        <w:t>“</w:t>
      </w:r>
      <w:r w:rsidR="00C40285" w:rsidRPr="00C40285">
        <w:rPr>
          <w:rFonts w:asciiTheme="minorBidi" w:hAnsiTheme="minorBidi" w:cstheme="minorBidi"/>
          <w:sz w:val="18"/>
          <w:szCs w:val="18"/>
          <w:lang w:bidi="zh-CN"/>
        </w:rPr>
        <w:t>在借助经强化的</w:t>
      </w:r>
      <w:r w:rsidR="00C40285" w:rsidRPr="00C40285">
        <w:rPr>
          <w:rFonts w:asciiTheme="minorBidi" w:hAnsiTheme="minorBidi" w:cstheme="minorBidi"/>
          <w:sz w:val="18"/>
          <w:szCs w:val="18"/>
          <w:lang w:bidi="zh-CN"/>
        </w:rPr>
        <w:t>2003</w:t>
      </w:r>
      <w:r w:rsidR="00C40285" w:rsidRPr="00C40285">
        <w:rPr>
          <w:rFonts w:asciiTheme="minorBidi" w:hAnsiTheme="minorBidi" w:cstheme="minorBidi"/>
          <w:sz w:val="18"/>
          <w:szCs w:val="18"/>
          <w:lang w:bidi="zh-CN"/>
        </w:rPr>
        <w:t>年《保护非物质文化遗产公约》国际合作和援助机制以可持续方式保护活态遗产方面得到支持的会员国数量</w:t>
      </w:r>
      <w:r w:rsidR="005C5434">
        <w:rPr>
          <w:rFonts w:asciiTheme="minorBidi" w:hAnsiTheme="minorBidi" w:cstheme="minorBidi" w:hint="eastAsia"/>
          <w:sz w:val="18"/>
          <w:szCs w:val="18"/>
          <w:lang w:val="zh-CN" w:bidi="zh-CN"/>
        </w:rPr>
        <w:t>”</w:t>
      </w:r>
      <w:r w:rsidRPr="005C5434">
        <w:rPr>
          <w:rFonts w:asciiTheme="minorBidi" w:hAnsiTheme="minorBidi" w:cstheme="minorBidi"/>
          <w:sz w:val="18"/>
          <w:szCs w:val="18"/>
          <w:lang w:val="zh-CN" w:bidi="zh-CN"/>
        </w:rPr>
        <w:t>一致。</w:t>
      </w:r>
    </w:p>
  </w:footnote>
  <w:footnote w:id="5">
    <w:p w14:paraId="4C2C959B" w14:textId="11D2AE90" w:rsidR="00C4749C" w:rsidRPr="0072578A" w:rsidRDefault="00C4749C" w:rsidP="00C4749C">
      <w:pPr>
        <w:pStyle w:val="FootnoteText"/>
        <w:rPr>
          <w:rFonts w:asciiTheme="minorBidi" w:hAnsiTheme="minorBidi" w:cstheme="minorBidi"/>
          <w:sz w:val="18"/>
          <w:szCs w:val="18"/>
        </w:rPr>
      </w:pPr>
      <w:r w:rsidRPr="00E259FA">
        <w:rPr>
          <w:rStyle w:val="FootnoteReference"/>
          <w:rFonts w:asciiTheme="minorBidi" w:hAnsiTheme="minorBidi" w:cstheme="minorBidi"/>
          <w:sz w:val="18"/>
          <w:szCs w:val="18"/>
          <w:lang w:val="zh-CN" w:bidi="zh-CN"/>
        </w:rPr>
        <w:footnoteRef/>
      </w:r>
      <w:r w:rsidRPr="00E259FA">
        <w:rPr>
          <w:rFonts w:asciiTheme="minorBidi" w:hAnsiTheme="minorBidi" w:cstheme="minorBidi"/>
          <w:sz w:val="18"/>
          <w:szCs w:val="18"/>
          <w:lang w:val="zh-CN" w:bidi="zh-CN"/>
        </w:rPr>
        <w:t>其中包括：（</w:t>
      </w:r>
      <w:r w:rsidRPr="00E259FA">
        <w:rPr>
          <w:rFonts w:asciiTheme="minorBidi" w:hAnsiTheme="minorBidi" w:cstheme="minorBidi"/>
          <w:sz w:val="18"/>
          <w:szCs w:val="18"/>
          <w:lang w:val="zh-CN" w:bidi="zh-CN"/>
        </w:rPr>
        <w:t>a</w:t>
      </w:r>
      <w:r w:rsidRPr="00E259FA">
        <w:rPr>
          <w:rFonts w:asciiTheme="minorBidi" w:hAnsiTheme="minorBidi" w:cstheme="minorBidi"/>
          <w:sz w:val="18"/>
          <w:szCs w:val="18"/>
          <w:lang w:val="zh-CN" w:bidi="zh-CN"/>
        </w:rPr>
        <w:t>）将遗产项目从一个名录转入另一个名录的申请；（</w:t>
      </w:r>
      <w:r w:rsidRPr="00E259FA">
        <w:rPr>
          <w:rFonts w:asciiTheme="minorBidi" w:hAnsiTheme="minorBidi" w:cstheme="minorBidi"/>
          <w:sz w:val="18"/>
          <w:szCs w:val="18"/>
          <w:lang w:val="zh-CN" w:bidi="zh-CN"/>
        </w:rPr>
        <w:t>b</w:t>
      </w:r>
      <w:r w:rsidRPr="00E259FA">
        <w:rPr>
          <w:rFonts w:asciiTheme="minorBidi" w:hAnsiTheme="minorBidi" w:cstheme="minorBidi"/>
          <w:sz w:val="18"/>
          <w:szCs w:val="18"/>
          <w:lang w:val="zh-CN" w:bidi="zh-CN"/>
        </w:rPr>
        <w:t>）将那些从急需保护名录成功转入代表作名录的优秀保护经验纳入《优秀保护实践登记册》；（</w:t>
      </w:r>
      <w:r w:rsidRPr="00E259FA">
        <w:rPr>
          <w:rFonts w:asciiTheme="minorBidi" w:hAnsiTheme="minorBidi" w:cstheme="minorBidi"/>
          <w:sz w:val="18"/>
          <w:szCs w:val="18"/>
          <w:lang w:val="zh-CN" w:bidi="zh-CN"/>
        </w:rPr>
        <w:t>c</w:t>
      </w:r>
      <w:r w:rsidRPr="00E259FA">
        <w:rPr>
          <w:rFonts w:asciiTheme="minorBidi" w:hAnsiTheme="minorBidi" w:cstheme="minorBidi"/>
          <w:sz w:val="18"/>
          <w:szCs w:val="18"/>
          <w:lang w:val="zh-CN" w:bidi="zh-CN"/>
        </w:rPr>
        <w:t>）</w:t>
      </w:r>
      <w:r w:rsidR="003C0464">
        <w:rPr>
          <w:rFonts w:asciiTheme="minorBidi" w:hAnsiTheme="minorBidi" w:cstheme="minorBidi" w:hint="eastAsia"/>
          <w:sz w:val="18"/>
          <w:szCs w:val="18"/>
          <w:lang w:val="zh-CN" w:bidi="zh-CN"/>
        </w:rPr>
        <w:t>其</w:t>
      </w:r>
      <w:r w:rsidRPr="00E259FA">
        <w:rPr>
          <w:rFonts w:asciiTheme="minorBidi" w:hAnsiTheme="minorBidi" w:cstheme="minorBidi"/>
          <w:sz w:val="18"/>
          <w:szCs w:val="18"/>
          <w:lang w:val="zh-CN" w:bidi="zh-CN"/>
        </w:rPr>
        <w:t>转移申请已由委员会第十九届会议（</w:t>
      </w:r>
      <w:r w:rsidRPr="00E259FA">
        <w:rPr>
          <w:rFonts w:asciiTheme="minorBidi" w:hAnsiTheme="minorBidi" w:cstheme="minorBidi"/>
          <w:sz w:val="18"/>
          <w:szCs w:val="18"/>
          <w:lang w:val="zh-CN" w:bidi="zh-CN"/>
        </w:rPr>
        <w:t>2024</w:t>
      </w:r>
      <w:r w:rsidRPr="00E259FA">
        <w:rPr>
          <w:rFonts w:asciiTheme="minorBidi" w:hAnsiTheme="minorBidi" w:cstheme="minorBidi"/>
          <w:sz w:val="18"/>
          <w:szCs w:val="18"/>
          <w:lang w:val="zh-CN" w:bidi="zh-CN"/>
        </w:rPr>
        <w:t>年周期）审议过的缔约国提交的《优秀保护实践登记册》提案；（</w:t>
      </w:r>
      <w:r w:rsidRPr="00E259FA">
        <w:rPr>
          <w:rFonts w:asciiTheme="minorBidi" w:hAnsiTheme="minorBidi" w:cstheme="minorBidi"/>
          <w:sz w:val="18"/>
          <w:szCs w:val="18"/>
          <w:lang w:val="zh-CN" w:bidi="zh-CN"/>
        </w:rPr>
        <w:t>d</w:t>
      </w:r>
      <w:r w:rsidRPr="00E259FA">
        <w:rPr>
          <w:rFonts w:asciiTheme="minorBidi" w:hAnsiTheme="minorBidi" w:cstheme="minorBidi"/>
          <w:sz w:val="18"/>
          <w:szCs w:val="18"/>
          <w:lang w:val="zh-CN" w:bidi="zh-CN"/>
        </w:rPr>
        <w:t>）其转移申请</w:t>
      </w:r>
      <w:r w:rsidR="0069202D">
        <w:rPr>
          <w:rFonts w:hint="eastAsia"/>
        </w:rPr>
        <w:t>已</w:t>
      </w:r>
      <w:r w:rsidRPr="00554627">
        <w:rPr>
          <w:rFonts w:hint="eastAsia"/>
        </w:rPr>
        <w:t>由</w:t>
      </w:r>
      <w:r w:rsidRPr="00E259FA">
        <w:rPr>
          <w:rFonts w:asciiTheme="minorBidi" w:hAnsiTheme="minorBidi" w:cstheme="minorBidi"/>
          <w:sz w:val="18"/>
          <w:szCs w:val="18"/>
          <w:lang w:val="zh-CN" w:bidi="zh-CN"/>
        </w:rPr>
        <w:t>委员会第二十届会议（</w:t>
      </w:r>
      <w:r w:rsidRPr="00E259FA">
        <w:rPr>
          <w:rFonts w:asciiTheme="minorBidi" w:hAnsiTheme="minorBidi" w:cstheme="minorBidi"/>
          <w:sz w:val="18"/>
          <w:szCs w:val="18"/>
          <w:lang w:val="zh-CN" w:bidi="zh-CN"/>
        </w:rPr>
        <w:t>2025</w:t>
      </w:r>
      <w:r w:rsidRPr="00E259FA">
        <w:rPr>
          <w:rFonts w:asciiTheme="minorBidi" w:hAnsiTheme="minorBidi" w:cstheme="minorBidi"/>
          <w:sz w:val="18"/>
          <w:szCs w:val="18"/>
          <w:lang w:val="zh-CN" w:bidi="zh-CN"/>
        </w:rPr>
        <w:t>年周期）审议的缔约国提交的《优秀保护实践登记册》提案；（</w:t>
      </w:r>
      <w:r w:rsidRPr="00E259FA">
        <w:rPr>
          <w:rFonts w:asciiTheme="minorBidi" w:hAnsiTheme="minorBidi" w:cstheme="minorBidi"/>
          <w:sz w:val="18"/>
          <w:szCs w:val="18"/>
          <w:lang w:val="zh-CN" w:bidi="zh-CN"/>
        </w:rPr>
        <w:t>e</w:t>
      </w:r>
      <w:r w:rsidRPr="00E259FA">
        <w:rPr>
          <w:rFonts w:asciiTheme="minorBidi" w:hAnsiTheme="minorBidi" w:cstheme="minorBidi"/>
          <w:sz w:val="18"/>
          <w:szCs w:val="18"/>
          <w:lang w:val="zh-CN" w:bidi="zh-CN"/>
        </w:rPr>
        <w:t>）在扩展或缩减基础上列入名录的申请；以及</w:t>
      </w:r>
      <w:r w:rsidRPr="00E259FA">
        <w:rPr>
          <w:rFonts w:asciiTheme="minorBidi" w:hAnsiTheme="minorBidi" w:cstheme="minorBidi"/>
          <w:sz w:val="18"/>
          <w:szCs w:val="18"/>
          <w:lang w:val="zh-CN" w:bidi="zh-CN"/>
        </w:rPr>
        <w:t xml:space="preserve"> </w:t>
      </w:r>
      <w:r w:rsidRPr="00E259FA">
        <w:rPr>
          <w:rFonts w:asciiTheme="minorBidi" w:hAnsiTheme="minorBidi" w:cstheme="minorBidi"/>
          <w:sz w:val="18"/>
          <w:szCs w:val="18"/>
          <w:lang w:val="zh-CN" w:bidi="zh-CN"/>
        </w:rPr>
        <w:t>（</w:t>
      </w:r>
      <w:r w:rsidRPr="00E259FA">
        <w:rPr>
          <w:rFonts w:asciiTheme="minorBidi" w:hAnsiTheme="minorBidi" w:cstheme="minorBidi"/>
          <w:sz w:val="18"/>
          <w:szCs w:val="18"/>
          <w:lang w:val="zh-CN" w:bidi="zh-CN"/>
        </w:rPr>
        <w:t>f</w:t>
      </w:r>
      <w:r w:rsidRPr="00E259FA">
        <w:rPr>
          <w:rFonts w:asciiTheme="minorBidi" w:hAnsiTheme="minorBidi" w:cstheme="minorBidi"/>
          <w:sz w:val="18"/>
          <w:szCs w:val="18"/>
          <w:lang w:val="zh-CN" w:bidi="zh-CN"/>
        </w:rPr>
        <w:t>）对已列入名录的遗产项目的后续行动。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A453" w14:textId="4E706808" w:rsidR="00A42B5E" w:rsidRPr="000E0708" w:rsidRDefault="00A42B5E" w:rsidP="00C5776D">
    <w:pPr>
      <w:pStyle w:val="Header"/>
      <w:rPr>
        <w:rFonts w:ascii="Arial" w:hAnsi="Arial" w:cs="Arial"/>
      </w:rPr>
    </w:pPr>
    <w:r w:rsidRPr="000E0708">
      <w:rPr>
        <w:rFonts w:ascii="Arial" w:hAnsi="Arial" w:hint="eastAsia"/>
        <w:lang w:val="en-GB"/>
      </w:rPr>
      <w:t xml:space="preserve">LHE/26/11.GA/8 </w:t>
    </w:r>
    <w:r w:rsidRPr="000E0708">
      <w:rPr>
        <w:rFonts w:ascii="Arial" w:hAnsi="Arial" w:hint="eastAsia"/>
        <w:lang w:val="en-GB"/>
      </w:rPr>
      <w:t>–</w:t>
    </w:r>
    <w:r w:rsidRPr="000E0708">
      <w:rPr>
        <w:rFonts w:ascii="Arial" w:hAnsi="Arial" w:hint="eastAsia"/>
        <w:lang w:val="en-GB"/>
      </w:rPr>
      <w:t xml:space="preserve"> </w:t>
    </w:r>
    <w:r w:rsidRPr="000E0708">
      <w:rPr>
        <w:rFonts w:ascii="Arial" w:hAnsi="Arial" w:hint="eastAsia"/>
        <w:lang w:val="en-GB"/>
      </w:rPr>
      <w:t>第</w:t>
    </w:r>
    <w:r w:rsidRPr="00B51284">
      <w:rPr>
        <w:rStyle w:val="PageNumber"/>
        <w:rFonts w:cs="Arial" w:hint="eastAsia"/>
      </w:rPr>
      <w:fldChar w:fldCharType="begin"/>
    </w:r>
    <w:r w:rsidRPr="00B51284">
      <w:rPr>
        <w:rStyle w:val="PageNumber"/>
        <w:rFonts w:cs="Arial" w:hint="eastAsia"/>
      </w:rPr>
      <w:instrText xml:space="preserve"> PAGE </w:instrText>
    </w:r>
    <w:r w:rsidRPr="00B51284">
      <w:rPr>
        <w:rStyle w:val="PageNumber"/>
        <w:rFonts w:cs="Arial" w:hint="eastAsia"/>
      </w:rPr>
      <w:fldChar w:fldCharType="separate"/>
    </w:r>
    <w:r w:rsidRPr="00B51284">
      <w:rPr>
        <w:rStyle w:val="PageNumber"/>
        <w:rFonts w:cs="Arial" w:hint="eastAsia"/>
      </w:rPr>
      <w:t>2</w:t>
    </w:r>
    <w:r w:rsidRPr="00B51284">
      <w:rPr>
        <w:rStyle w:val="PageNumber"/>
        <w:rFonts w:cs="Arial" w:hint="eastAsia"/>
      </w:rPr>
      <w:fldChar w:fldCharType="end"/>
    </w:r>
    <w:r w:rsidRPr="00B51284">
      <w:rPr>
        <w:rFonts w:hint="eastAsia"/>
        <w:lang w:val="en-GB"/>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4E2D" w14:textId="45A249D1" w:rsidR="00A42B5E" w:rsidRPr="000E0708" w:rsidRDefault="00A42B5E" w:rsidP="00C5776D">
    <w:pPr>
      <w:pStyle w:val="Header"/>
      <w:jc w:val="right"/>
      <w:rPr>
        <w:rFonts w:ascii="Arial" w:hAnsi="Arial" w:cs="Arial"/>
      </w:rPr>
    </w:pPr>
    <w:r w:rsidRPr="000E0708">
      <w:rPr>
        <w:rFonts w:ascii="Arial" w:hAnsi="Arial" w:hint="eastAsia"/>
        <w:lang w:val="en-GB"/>
      </w:rPr>
      <w:t>LHE/26/11.GA/8</w:t>
    </w:r>
    <w:r w:rsidRPr="000E0708">
      <w:rPr>
        <w:rFonts w:hint="eastAsia"/>
        <w:lang w:val="en-GB"/>
      </w:rPr>
      <w:t xml:space="preserve"> </w:t>
    </w:r>
    <w:r w:rsidRPr="000E0708">
      <w:rPr>
        <w:rFonts w:hint="eastAsia"/>
        <w:lang w:val="en-GB"/>
      </w:rPr>
      <w:t xml:space="preserve">– </w:t>
    </w:r>
    <w:r w:rsidRPr="00D4280D">
      <w:rPr>
        <w:rFonts w:hint="eastAsia"/>
        <w:lang w:val="en-GB"/>
      </w:rPr>
      <w:t>第</w:t>
    </w:r>
    <w:r w:rsidRPr="00554627">
      <w:rPr>
        <w:rStyle w:val="PageNumber"/>
        <w:rFonts w:cs="Arial" w:hint="eastAsia"/>
        <w:lang w:val="en-GB"/>
      </w:rPr>
      <w:fldChar w:fldCharType="begin"/>
    </w:r>
    <w:r w:rsidRPr="00554627">
      <w:rPr>
        <w:rStyle w:val="PageNumber"/>
        <w:rFonts w:cs="Arial"/>
        <w:lang w:val="en-GB"/>
      </w:rPr>
      <w:instrText xml:space="preserve"> PAGE </w:instrText>
    </w:r>
    <w:r w:rsidRPr="00554627">
      <w:rPr>
        <w:rStyle w:val="PageNumber"/>
        <w:rFonts w:cs="Arial" w:hint="eastAsia"/>
        <w:lang w:val="en-GB"/>
      </w:rPr>
      <w:fldChar w:fldCharType="separate"/>
    </w:r>
    <w:r w:rsidRPr="00554627">
      <w:rPr>
        <w:rStyle w:val="PageNumber"/>
        <w:rFonts w:cs="Arial"/>
        <w:lang w:val="en-GB"/>
      </w:rPr>
      <w:t>3</w:t>
    </w:r>
    <w:r w:rsidRPr="00554627">
      <w:rPr>
        <w:rStyle w:val="PageNumber"/>
        <w:rFonts w:cs="Arial" w:hint="eastAsia"/>
        <w:lang w:val="en-GB"/>
      </w:rPr>
      <w:fldChar w:fldCharType="end"/>
    </w:r>
    <w:r w:rsidRPr="00D4280D">
      <w:rPr>
        <w:rFonts w:hint="eastAsia"/>
        <w:lang w:val="en-GB"/>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2C7F" w14:textId="77777777" w:rsidR="00A42B5E" w:rsidRPr="00E95AE2" w:rsidRDefault="00A42B5E">
    <w:pPr>
      <w:pStyle w:val="Header"/>
      <w:rPr>
        <w:sz w:val="22"/>
        <w:szCs w:val="22"/>
      </w:rPr>
    </w:pPr>
    <w:r>
      <w:rPr>
        <w:noProof/>
        <w:lang w:val="zh-CN" w:bidi="zh-CN"/>
      </w:rPr>
      <w:drawing>
        <wp:anchor distT="0" distB="0" distL="114300" distR="114300" simplePos="0" relativeHeight="251659264" behindDoc="0" locked="0" layoutInCell="1" allowOverlap="1" wp14:anchorId="1AACFD25" wp14:editId="7978218C">
          <wp:simplePos x="0" y="0"/>
          <wp:positionH relativeFrom="column">
            <wp:posOffset>0</wp:posOffset>
          </wp:positionH>
          <wp:positionV relativeFrom="paragraph">
            <wp:posOffset>166370</wp:posOffset>
          </wp:positionV>
          <wp:extent cx="1893600" cy="1440000"/>
          <wp:effectExtent l="0" t="0" r="0" b="8255"/>
          <wp:wrapSquare wrapText="bothSides"/>
          <wp:docPr id="2"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DB4D8" w14:textId="47BFB5EF" w:rsidR="00A42B5E" w:rsidRPr="00AF30DE" w:rsidRDefault="00A42B5E" w:rsidP="00C5776D">
    <w:pPr>
      <w:pStyle w:val="Header"/>
      <w:spacing w:after="520"/>
      <w:jc w:val="right"/>
      <w:rPr>
        <w:rFonts w:ascii="Arial" w:hAnsi="Arial" w:cs="Arial"/>
        <w:b/>
        <w:sz w:val="44"/>
        <w:szCs w:val="44"/>
        <w:lang w:val="nl-NL"/>
      </w:rPr>
    </w:pPr>
    <w:r w:rsidRPr="00AF30DE">
      <w:rPr>
        <w:rFonts w:ascii="Arial" w:hAnsi="Arial" w:hint="eastAsia"/>
        <w:b/>
        <w:sz w:val="44"/>
        <w:lang w:val="nl-NL"/>
      </w:rPr>
      <w:t>11 GA</w:t>
    </w:r>
  </w:p>
  <w:p w14:paraId="207F8F7F" w14:textId="1818AE04" w:rsidR="00A42B5E" w:rsidRPr="00AF30DE" w:rsidRDefault="00A42B5E" w:rsidP="00C5776D">
    <w:pPr>
      <w:jc w:val="right"/>
      <w:rPr>
        <w:rFonts w:ascii="Arial" w:hAnsi="Arial" w:cs="Arial"/>
        <w:b/>
        <w:sz w:val="22"/>
        <w:szCs w:val="22"/>
        <w:lang w:val="nl-NL"/>
      </w:rPr>
    </w:pPr>
    <w:r w:rsidRPr="00AF30DE">
      <w:rPr>
        <w:rFonts w:ascii="Arial" w:hAnsi="Arial" w:hint="eastAsia"/>
        <w:b/>
        <w:sz w:val="22"/>
        <w:lang w:val="nl-NL"/>
      </w:rPr>
      <w:t>LHE/26/11.GA/8</w:t>
    </w:r>
  </w:p>
  <w:p w14:paraId="58B0CA7C" w14:textId="48E0EACC" w:rsidR="00A42B5E" w:rsidRPr="00AF30DE" w:rsidRDefault="00A42B5E" w:rsidP="00655736">
    <w:pPr>
      <w:jc w:val="right"/>
      <w:rPr>
        <w:rFonts w:ascii="Arial" w:eastAsiaTheme="minorEastAsia" w:hAnsi="Arial" w:cs="Arial"/>
        <w:b/>
        <w:sz w:val="22"/>
        <w:szCs w:val="22"/>
        <w:lang w:val="nl-NL"/>
      </w:rPr>
    </w:pPr>
    <w:r w:rsidRPr="000E0708">
      <w:rPr>
        <w:rFonts w:ascii="Arial" w:hAnsi="Arial" w:hint="eastAsia"/>
        <w:b/>
        <w:sz w:val="22"/>
        <w:lang w:val="en-GB"/>
      </w:rPr>
      <w:t>巴黎</w:t>
    </w:r>
    <w:r w:rsidRPr="00AF30DE">
      <w:rPr>
        <w:rFonts w:ascii="Arial" w:hAnsi="Arial" w:hint="eastAsia"/>
        <w:b/>
        <w:sz w:val="22"/>
        <w:lang w:val="nl-NL"/>
      </w:rPr>
      <w:t>，</w:t>
    </w:r>
    <w:r w:rsidRPr="00AF30DE">
      <w:rPr>
        <w:rFonts w:ascii="Arial" w:hAnsi="Arial" w:hint="eastAsia"/>
        <w:b/>
        <w:sz w:val="22"/>
        <w:lang w:val="nl-NL"/>
      </w:rPr>
      <w:t>2026</w:t>
    </w:r>
    <w:r w:rsidRPr="000E0708">
      <w:rPr>
        <w:rFonts w:ascii="Arial" w:hAnsi="Arial" w:hint="eastAsia"/>
        <w:b/>
        <w:sz w:val="22"/>
        <w:lang w:val="en-GB"/>
      </w:rPr>
      <w:t>年</w:t>
    </w:r>
    <w:r w:rsidRPr="00AF30DE">
      <w:rPr>
        <w:rFonts w:ascii="Arial" w:hAnsi="Arial" w:hint="eastAsia"/>
        <w:b/>
        <w:sz w:val="22"/>
        <w:lang w:val="nl-NL"/>
      </w:rPr>
      <w:t>5</w:t>
    </w:r>
    <w:r w:rsidRPr="000E0708">
      <w:rPr>
        <w:rFonts w:ascii="Arial" w:hAnsi="Arial" w:hint="eastAsia"/>
        <w:b/>
        <w:sz w:val="22"/>
        <w:lang w:val="en-GB"/>
      </w:rPr>
      <w:t>月</w:t>
    </w:r>
    <w:r w:rsidRPr="00AF30DE">
      <w:rPr>
        <w:rFonts w:ascii="Arial" w:hAnsi="Arial" w:hint="eastAsia"/>
        <w:b/>
        <w:sz w:val="22"/>
        <w:lang w:val="nl-NL"/>
      </w:rPr>
      <w:t>18</w:t>
    </w:r>
    <w:r w:rsidRPr="000E0708">
      <w:rPr>
        <w:rFonts w:ascii="Arial" w:hAnsi="Arial" w:hint="eastAsia"/>
        <w:b/>
        <w:sz w:val="22"/>
        <w:lang w:val="en-GB"/>
      </w:rPr>
      <w:t>日</w:t>
    </w:r>
  </w:p>
  <w:p w14:paraId="1154DE9A" w14:textId="77777777" w:rsidR="00A42B5E" w:rsidRPr="000E0708" w:rsidRDefault="00A42B5E" w:rsidP="00962034">
    <w:pPr>
      <w:spacing w:after="120"/>
      <w:jc w:val="right"/>
      <w:rPr>
        <w:rFonts w:ascii="Arial" w:hAnsi="Arial" w:cs="Arial"/>
        <w:b/>
        <w:sz w:val="22"/>
        <w:szCs w:val="22"/>
      </w:rPr>
    </w:pPr>
    <w:r w:rsidRPr="000E0708">
      <w:rPr>
        <w:rFonts w:ascii="Arial" w:hAnsi="Arial" w:hint="eastAsia"/>
        <w:b/>
        <w:sz w:val="22"/>
        <w:lang w:val="en-GB"/>
      </w:rPr>
      <w:t>原文：英文</w:t>
    </w:r>
  </w:p>
  <w:p w14:paraId="7FEC6E77" w14:textId="77777777" w:rsidR="00A42B5E" w:rsidRPr="00BC5B1A" w:rsidRDefault="00A42B5E">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50C"/>
    <w:multiLevelType w:val="hybridMultilevel"/>
    <w:tmpl w:val="545824E6"/>
    <w:lvl w:ilvl="0" w:tplc="0409000F">
      <w:start w:val="1"/>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07A4"/>
    <w:multiLevelType w:val="hybridMultilevel"/>
    <w:tmpl w:val="9E908AA4"/>
    <w:lvl w:ilvl="0" w:tplc="4A66941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2550F78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43224439"/>
    <w:multiLevelType w:val="hybridMultilevel"/>
    <w:tmpl w:val="85B00F70"/>
    <w:lvl w:ilvl="0" w:tplc="2EDC08DE">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8" w15:restartNumberingAfterBreak="0">
    <w:nsid w:val="612D3893"/>
    <w:multiLevelType w:val="hybridMultilevel"/>
    <w:tmpl w:val="6728C45E"/>
    <w:lvl w:ilvl="0" w:tplc="E99CB6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30725E"/>
    <w:multiLevelType w:val="hybridMultilevel"/>
    <w:tmpl w:val="8988BE28"/>
    <w:lvl w:ilvl="0" w:tplc="040C0017">
      <w:start w:val="1"/>
      <w:numFmt w:val="lowerLetter"/>
      <w:lvlText w:val="%1)"/>
      <w:lvlJc w:val="left"/>
      <w:pPr>
        <w:ind w:left="927" w:hanging="360"/>
      </w:pPr>
      <w:rPr>
        <w:rFonts w:hint="default"/>
        <w:b w:val="0"/>
        <w:bCs w:val="0"/>
      </w:rPr>
    </w:lvl>
    <w:lvl w:ilvl="1" w:tplc="FFFFFFFF">
      <w:start w:val="1"/>
      <w:numFmt w:val="lowerLetter"/>
      <w:lvlText w:val="%2."/>
      <w:lvlJc w:val="left"/>
      <w:pPr>
        <w:ind w:left="1647" w:hanging="360"/>
      </w:pPr>
    </w:lvl>
    <w:lvl w:ilvl="2" w:tplc="FFFFFFFF">
      <w:start w:val="1"/>
      <w:numFmt w:val="lowerLetter"/>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64EF7540"/>
    <w:multiLevelType w:val="hybridMultilevel"/>
    <w:tmpl w:val="F834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33764642">
    <w:abstractNumId w:val="3"/>
  </w:num>
  <w:num w:numId="2" w16cid:durableId="1246129">
    <w:abstractNumId w:val="5"/>
  </w:num>
  <w:num w:numId="3" w16cid:durableId="1263951029">
    <w:abstractNumId w:val="11"/>
  </w:num>
  <w:num w:numId="4" w16cid:durableId="540821319">
    <w:abstractNumId w:val="2"/>
  </w:num>
  <w:num w:numId="5" w16cid:durableId="822628298">
    <w:abstractNumId w:val="7"/>
  </w:num>
  <w:num w:numId="6" w16cid:durableId="414475267">
    <w:abstractNumId w:val="1"/>
  </w:num>
  <w:num w:numId="7" w16cid:durableId="1384599108">
    <w:abstractNumId w:val="9"/>
  </w:num>
  <w:num w:numId="8" w16cid:durableId="699629408">
    <w:abstractNumId w:val="4"/>
  </w:num>
  <w:num w:numId="9" w16cid:durableId="751242440">
    <w:abstractNumId w:val="10"/>
  </w:num>
  <w:num w:numId="10" w16cid:durableId="1004013158">
    <w:abstractNumId w:val="0"/>
  </w:num>
  <w:num w:numId="11" w16cid:durableId="683868203">
    <w:abstractNumId w:val="6"/>
  </w:num>
  <w:num w:numId="12" w16cid:durableId="380904619">
    <w:abstractNumId w:val="3"/>
  </w:num>
  <w:num w:numId="13" w16cid:durableId="309790422">
    <w:abstractNumId w:val="8"/>
  </w:num>
  <w:num w:numId="14" w16cid:durableId="223177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hyphenationZone w:val="425"/>
  <w:evenAndOddHeaders/>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E"/>
    <w:rsid w:val="00024422"/>
    <w:rsid w:val="000463B5"/>
    <w:rsid w:val="000762EB"/>
    <w:rsid w:val="000819FD"/>
    <w:rsid w:val="000E0708"/>
    <w:rsid w:val="000E233D"/>
    <w:rsid w:val="001308AF"/>
    <w:rsid w:val="001424CF"/>
    <w:rsid w:val="00153CED"/>
    <w:rsid w:val="001643C1"/>
    <w:rsid w:val="00174C9F"/>
    <w:rsid w:val="001A07E0"/>
    <w:rsid w:val="001B3A1C"/>
    <w:rsid w:val="00220391"/>
    <w:rsid w:val="0032134C"/>
    <w:rsid w:val="00360D7C"/>
    <w:rsid w:val="00362E06"/>
    <w:rsid w:val="003C0464"/>
    <w:rsid w:val="003C67EC"/>
    <w:rsid w:val="003D473C"/>
    <w:rsid w:val="003F7E88"/>
    <w:rsid w:val="004436A0"/>
    <w:rsid w:val="00457C86"/>
    <w:rsid w:val="004A44E5"/>
    <w:rsid w:val="004F3DD7"/>
    <w:rsid w:val="004F4256"/>
    <w:rsid w:val="004F7725"/>
    <w:rsid w:val="00517D1A"/>
    <w:rsid w:val="00522D05"/>
    <w:rsid w:val="00527999"/>
    <w:rsid w:val="00554627"/>
    <w:rsid w:val="005B102C"/>
    <w:rsid w:val="005C5434"/>
    <w:rsid w:val="006356FC"/>
    <w:rsid w:val="0065149C"/>
    <w:rsid w:val="00656C60"/>
    <w:rsid w:val="00670E62"/>
    <w:rsid w:val="0067342D"/>
    <w:rsid w:val="00685F16"/>
    <w:rsid w:val="0069202D"/>
    <w:rsid w:val="00705DAE"/>
    <w:rsid w:val="00707E6E"/>
    <w:rsid w:val="0075334D"/>
    <w:rsid w:val="00767231"/>
    <w:rsid w:val="00771DAC"/>
    <w:rsid w:val="007A13C3"/>
    <w:rsid w:val="007B08E6"/>
    <w:rsid w:val="007B4A71"/>
    <w:rsid w:val="00803098"/>
    <w:rsid w:val="00856446"/>
    <w:rsid w:val="008C6777"/>
    <w:rsid w:val="008E7A81"/>
    <w:rsid w:val="00907520"/>
    <w:rsid w:val="00924E03"/>
    <w:rsid w:val="00930A26"/>
    <w:rsid w:val="00935CCA"/>
    <w:rsid w:val="00961147"/>
    <w:rsid w:val="00966FC5"/>
    <w:rsid w:val="009722BF"/>
    <w:rsid w:val="00990A65"/>
    <w:rsid w:val="009A2AAA"/>
    <w:rsid w:val="009D4A54"/>
    <w:rsid w:val="00A205F1"/>
    <w:rsid w:val="00A30A15"/>
    <w:rsid w:val="00A42B5E"/>
    <w:rsid w:val="00A47201"/>
    <w:rsid w:val="00A71122"/>
    <w:rsid w:val="00AA1A65"/>
    <w:rsid w:val="00AB4938"/>
    <w:rsid w:val="00AB4F88"/>
    <w:rsid w:val="00AD44C4"/>
    <w:rsid w:val="00AD5B79"/>
    <w:rsid w:val="00AE131B"/>
    <w:rsid w:val="00AE49F2"/>
    <w:rsid w:val="00AF30DE"/>
    <w:rsid w:val="00AF45CE"/>
    <w:rsid w:val="00B02A94"/>
    <w:rsid w:val="00B119BC"/>
    <w:rsid w:val="00B51284"/>
    <w:rsid w:val="00B65863"/>
    <w:rsid w:val="00B75B38"/>
    <w:rsid w:val="00B948AD"/>
    <w:rsid w:val="00BA517F"/>
    <w:rsid w:val="00BC5B1A"/>
    <w:rsid w:val="00C26FAF"/>
    <w:rsid w:val="00C40285"/>
    <w:rsid w:val="00C4749C"/>
    <w:rsid w:val="00C82D06"/>
    <w:rsid w:val="00C9263E"/>
    <w:rsid w:val="00CA69EB"/>
    <w:rsid w:val="00CB1E0F"/>
    <w:rsid w:val="00CE4BFC"/>
    <w:rsid w:val="00D22530"/>
    <w:rsid w:val="00D276D7"/>
    <w:rsid w:val="00D4280D"/>
    <w:rsid w:val="00D85B57"/>
    <w:rsid w:val="00DD49A5"/>
    <w:rsid w:val="00DF64A5"/>
    <w:rsid w:val="00E52FCA"/>
    <w:rsid w:val="00E67A35"/>
    <w:rsid w:val="00E87B13"/>
    <w:rsid w:val="00EC47D9"/>
    <w:rsid w:val="00ED0ADA"/>
    <w:rsid w:val="00F00031"/>
    <w:rsid w:val="00F06BB3"/>
    <w:rsid w:val="00F32B1D"/>
    <w:rsid w:val="00F3411B"/>
    <w:rsid w:val="00FA1A5B"/>
    <w:rsid w:val="00FB47A2"/>
    <w:rsid w:val="00FF2DDE"/>
    <w:rsid w:val="00FF6D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30DE"/>
    <w:rPr>
      <w:rFonts w:ascii="SimSun" w:eastAsia="SimSun" w:hAnsi="SimSun" w:cs="Times New Roman"/>
      <w:kern w:val="0"/>
      <w:lang w:val="fr-FR"/>
      <w14:ligatures w14:val="none"/>
    </w:rPr>
  </w:style>
  <w:style w:type="paragraph" w:styleId="Heading1">
    <w:name w:val="heading 1"/>
    <w:basedOn w:val="Normal"/>
    <w:next w:val="Normal"/>
    <w:link w:val="Heading1Char"/>
    <w:uiPriority w:val="9"/>
    <w:qFormat/>
    <w:rsid w:val="00A42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5E"/>
    <w:rPr>
      <w:rFonts w:eastAsiaTheme="majorEastAsia" w:cstheme="majorBidi"/>
      <w:color w:val="272727" w:themeColor="text1" w:themeTint="D8"/>
    </w:rPr>
  </w:style>
  <w:style w:type="paragraph" w:styleId="Title">
    <w:name w:val="Title"/>
    <w:basedOn w:val="Normal"/>
    <w:next w:val="Normal"/>
    <w:link w:val="TitleChar"/>
    <w:uiPriority w:val="10"/>
    <w:qFormat/>
    <w:rsid w:val="00A42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5E"/>
    <w:pPr>
      <w:spacing w:before="160"/>
      <w:jc w:val="center"/>
    </w:pPr>
    <w:rPr>
      <w:i/>
      <w:iCs/>
      <w:color w:val="404040" w:themeColor="text1" w:themeTint="BF"/>
    </w:rPr>
  </w:style>
  <w:style w:type="character" w:customStyle="1" w:styleId="QuoteChar">
    <w:name w:val="Quote Char"/>
    <w:basedOn w:val="DefaultParagraphFont"/>
    <w:link w:val="Quote"/>
    <w:uiPriority w:val="29"/>
    <w:rsid w:val="00A42B5E"/>
    <w:rPr>
      <w:i/>
      <w:iCs/>
      <w:color w:val="404040" w:themeColor="text1" w:themeTint="BF"/>
    </w:rPr>
  </w:style>
  <w:style w:type="paragraph" w:styleId="ListParagraph">
    <w:name w:val="List Paragraph"/>
    <w:basedOn w:val="Normal"/>
    <w:uiPriority w:val="34"/>
    <w:qFormat/>
    <w:rsid w:val="00670E62"/>
    <w:pPr>
      <w:kinsoku w:val="0"/>
      <w:wordWrap w:val="0"/>
      <w:topLinePunct/>
      <w:ind w:left="720"/>
      <w:contextualSpacing/>
    </w:pPr>
  </w:style>
  <w:style w:type="character" w:styleId="IntenseEmphasis">
    <w:name w:val="Intense Emphasis"/>
    <w:basedOn w:val="DefaultParagraphFont"/>
    <w:uiPriority w:val="21"/>
    <w:qFormat/>
    <w:rsid w:val="00A42B5E"/>
    <w:rPr>
      <w:i/>
      <w:iCs/>
      <w:color w:val="0F4761" w:themeColor="accent1" w:themeShade="BF"/>
    </w:rPr>
  </w:style>
  <w:style w:type="paragraph" w:styleId="IntenseQuote">
    <w:name w:val="Intense Quote"/>
    <w:basedOn w:val="Normal"/>
    <w:next w:val="Normal"/>
    <w:link w:val="IntenseQuoteChar"/>
    <w:uiPriority w:val="30"/>
    <w:qFormat/>
    <w:rsid w:val="00A42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B5E"/>
    <w:rPr>
      <w:i/>
      <w:iCs/>
      <w:color w:val="0F4761" w:themeColor="accent1" w:themeShade="BF"/>
    </w:rPr>
  </w:style>
  <w:style w:type="character" w:styleId="IntenseReference">
    <w:name w:val="Intense Reference"/>
    <w:basedOn w:val="DefaultParagraphFont"/>
    <w:uiPriority w:val="32"/>
    <w:qFormat/>
    <w:rsid w:val="00A42B5E"/>
    <w:rPr>
      <w:b/>
      <w:bCs/>
      <w:smallCaps/>
      <w:color w:val="0F4761" w:themeColor="accent1" w:themeShade="BF"/>
      <w:spacing w:val="5"/>
    </w:rPr>
  </w:style>
  <w:style w:type="paragraph" w:styleId="Header">
    <w:name w:val="header"/>
    <w:basedOn w:val="Normal"/>
    <w:link w:val="HeaderChar"/>
    <w:unhideWhenUsed/>
    <w:rsid w:val="00024422"/>
    <w:pPr>
      <w:tabs>
        <w:tab w:val="center" w:pos="4536"/>
        <w:tab w:val="right" w:pos="9072"/>
      </w:tabs>
    </w:pPr>
    <w:rPr>
      <w:rFonts w:cs="SimSun"/>
      <w:sz w:val="20"/>
      <w:szCs w:val="20"/>
    </w:rPr>
  </w:style>
  <w:style w:type="character" w:customStyle="1" w:styleId="HeaderChar">
    <w:name w:val="Header Char"/>
    <w:basedOn w:val="DefaultParagraphFont"/>
    <w:link w:val="Header"/>
    <w:rsid w:val="00024422"/>
    <w:rPr>
      <w:rFonts w:ascii="SimSun" w:eastAsia="SimSun" w:hAnsi="SimSun" w:cs="SimSun"/>
      <w:kern w:val="0"/>
      <w:sz w:val="20"/>
      <w:szCs w:val="20"/>
      <w:lang w:val="fr-FR"/>
      <w14:ligatures w14:val="none"/>
    </w:rPr>
  </w:style>
  <w:style w:type="paragraph" w:customStyle="1" w:styleId="Sansinterligne2">
    <w:name w:val="Sans interligne2"/>
    <w:uiPriority w:val="1"/>
    <w:rsid w:val="00A42B5E"/>
    <w:rPr>
      <w:rFonts w:ascii="Times New Roman" w:eastAsia="SimSun" w:hAnsi="Times New Roman" w:cs="Times New Roman"/>
      <w:kern w:val="0"/>
      <w:lang w:val="fr-FR"/>
      <w14:ligatures w14:val="none"/>
    </w:rPr>
  </w:style>
  <w:style w:type="character" w:styleId="PageNumber">
    <w:name w:val="page number"/>
    <w:basedOn w:val="DefaultParagraphFont"/>
    <w:semiHidden/>
    <w:rsid w:val="00A42B5E"/>
  </w:style>
  <w:style w:type="paragraph" w:customStyle="1" w:styleId="Sansinterligne1">
    <w:name w:val="Sans interligne1"/>
    <w:uiPriority w:val="1"/>
    <w:rsid w:val="00AD44C4"/>
    <w:rPr>
      <w:rFonts w:ascii="Times New Roman" w:eastAsia="SimSun" w:hAnsi="Times New Roman" w:cs="Times New Roman"/>
      <w:kern w:val="0"/>
      <w:sz w:val="22"/>
      <w:szCs w:val="22"/>
      <w:lang w:val="fr-FR"/>
      <w14:ligatures w14:val="none"/>
    </w:rPr>
  </w:style>
  <w:style w:type="paragraph" w:customStyle="1" w:styleId="COMPara">
    <w:name w:val="COM Para"/>
    <w:qFormat/>
    <w:rsid w:val="00A42B5E"/>
    <w:pPr>
      <w:numPr>
        <w:numId w:val="1"/>
      </w:numPr>
      <w:spacing w:after="120"/>
    </w:pPr>
    <w:rPr>
      <w:rFonts w:ascii="Arial" w:eastAsia="SimSun" w:hAnsi="Arial" w:cs="Arial"/>
      <w:snapToGrid w:val="0"/>
      <w:kern w:val="0"/>
      <w:sz w:val="22"/>
      <w:szCs w:val="22"/>
      <w14:ligatures w14:val="none"/>
    </w:rPr>
  </w:style>
  <w:style w:type="paragraph" w:customStyle="1" w:styleId="COMTitleDecision">
    <w:name w:val="COM Title Decision"/>
    <w:basedOn w:val="Normal"/>
    <w:qFormat/>
    <w:rsid w:val="00A42B5E"/>
    <w:pPr>
      <w:keepNext/>
      <w:spacing w:before="240" w:after="120"/>
      <w:ind w:left="567"/>
    </w:pPr>
    <w:rPr>
      <w:rFonts w:ascii="Arial" w:hAnsi="Arial" w:cs="Arial"/>
      <w:b/>
      <w:sz w:val="22"/>
      <w:szCs w:val="22"/>
      <w:lang w:val="en-GB"/>
    </w:rPr>
  </w:style>
  <w:style w:type="paragraph" w:customStyle="1" w:styleId="COMPreambulaDecisions">
    <w:name w:val="COM Preambula Decisions"/>
    <w:basedOn w:val="Normal"/>
    <w:qFormat/>
    <w:rsid w:val="00A42B5E"/>
    <w:pPr>
      <w:keepNext/>
      <w:spacing w:after="120"/>
      <w:ind w:left="567"/>
    </w:pPr>
    <w:rPr>
      <w:rFonts w:ascii="Arial" w:hAnsi="Arial" w:cs="Arial"/>
      <w:sz w:val="22"/>
      <w:szCs w:val="22"/>
      <w:lang w:val="en-GB"/>
    </w:rPr>
  </w:style>
  <w:style w:type="paragraph" w:customStyle="1" w:styleId="COMParaDecision">
    <w:name w:val="COM Para Decision"/>
    <w:basedOn w:val="Normal"/>
    <w:qFormat/>
    <w:rsid w:val="00A42B5E"/>
    <w:pPr>
      <w:numPr>
        <w:numId w:val="2"/>
      </w:numPr>
      <w:autoSpaceDE w:val="0"/>
      <w:autoSpaceDN w:val="0"/>
      <w:adjustRightInd w:val="0"/>
      <w:spacing w:after="120"/>
      <w:ind w:left="1134" w:hanging="567"/>
    </w:pPr>
    <w:rPr>
      <w:rFonts w:ascii="Arial" w:hAnsi="Arial" w:cs="Arial"/>
      <w:sz w:val="22"/>
      <w:szCs w:val="22"/>
      <w:u w:val="single"/>
      <w:lang w:val="en-GB"/>
    </w:rPr>
  </w:style>
  <w:style w:type="paragraph" w:styleId="FootnoteText">
    <w:name w:val="footnote text"/>
    <w:basedOn w:val="Normal"/>
    <w:link w:val="FootnoteTextChar"/>
    <w:uiPriority w:val="99"/>
    <w:unhideWhenUsed/>
    <w:rsid w:val="00A42B5E"/>
    <w:rPr>
      <w:sz w:val="20"/>
      <w:szCs w:val="20"/>
    </w:rPr>
  </w:style>
  <w:style w:type="character" w:customStyle="1" w:styleId="FootnoteTextChar">
    <w:name w:val="Footnote Text Char"/>
    <w:basedOn w:val="DefaultParagraphFont"/>
    <w:link w:val="FootnoteText"/>
    <w:uiPriority w:val="99"/>
    <w:rsid w:val="00A42B5E"/>
    <w:rPr>
      <w:rFonts w:ascii="Times New Roman" w:eastAsia="SimSun" w:hAnsi="Times New Roman" w:cs="Times New Roman"/>
      <w:kern w:val="0"/>
      <w:sz w:val="20"/>
      <w:szCs w:val="20"/>
      <w:lang w:val="fr-FR" w:eastAsia="zh-CN"/>
      <w14:ligatures w14:val="none"/>
    </w:rPr>
  </w:style>
  <w:style w:type="character" w:styleId="FootnoteReference">
    <w:name w:val="footnote reference"/>
    <w:basedOn w:val="DefaultParagraphFont"/>
    <w:uiPriority w:val="99"/>
    <w:unhideWhenUsed/>
    <w:rsid w:val="00A42B5E"/>
    <w:rPr>
      <w:vertAlign w:val="superscript"/>
    </w:rPr>
  </w:style>
  <w:style w:type="paragraph" w:styleId="Footer">
    <w:name w:val="footer"/>
    <w:basedOn w:val="Normal"/>
    <w:link w:val="FooterChar"/>
    <w:uiPriority w:val="99"/>
    <w:unhideWhenUsed/>
    <w:rsid w:val="00A42B5E"/>
    <w:pPr>
      <w:tabs>
        <w:tab w:val="center" w:pos="4536"/>
        <w:tab w:val="right" w:pos="9072"/>
      </w:tabs>
    </w:pPr>
  </w:style>
  <w:style w:type="character" w:customStyle="1" w:styleId="FooterChar">
    <w:name w:val="Footer Char"/>
    <w:basedOn w:val="DefaultParagraphFont"/>
    <w:link w:val="Footer"/>
    <w:uiPriority w:val="99"/>
    <w:rsid w:val="00A42B5E"/>
    <w:rPr>
      <w:rFonts w:ascii="Times New Roman" w:eastAsia="SimSun" w:hAnsi="Times New Roman" w:cs="Times New Roman"/>
      <w:kern w:val="0"/>
      <w:lang w:val="fr-FR" w:eastAsia="zh-CN"/>
      <w14:ligatures w14:val="none"/>
    </w:rPr>
  </w:style>
  <w:style w:type="table" w:styleId="TableGrid">
    <w:name w:val="Table Grid"/>
    <w:basedOn w:val="TableNormal"/>
    <w:uiPriority w:val="59"/>
    <w:rsid w:val="00C4749C"/>
    <w:rPr>
      <w:rFonts w:ascii="Calibri" w:eastAsia="SimSun" w:hAnsi="Calibri"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Para">
    <w:name w:val="GA Para"/>
    <w:autoRedefine/>
    <w:qFormat/>
    <w:rsid w:val="00FA1A5B"/>
    <w:pPr>
      <w:spacing w:before="240" w:after="120"/>
      <w:ind w:left="360"/>
    </w:pPr>
    <w:rPr>
      <w:rFonts w:ascii="SimSun" w:eastAsia="SimSun" w:hAnsi="SimSun" w:cs="SimSun"/>
      <w:b/>
      <w:bCs/>
      <w:snapToGrid w:val="0"/>
      <w:kern w:val="0"/>
      <w:sz w:val="22"/>
      <w:szCs w:val="22"/>
      <w:lang w:bidi="zh-CN"/>
      <w14:ligatures w14:val="none"/>
    </w:rPr>
  </w:style>
  <w:style w:type="character" w:styleId="Hyperlink">
    <w:name w:val="Hyperlink"/>
    <w:unhideWhenUsed/>
    <w:rsid w:val="00C4749C"/>
    <w:rPr>
      <w:color w:val="0000FF"/>
      <w:u w:val="single"/>
    </w:rPr>
  </w:style>
  <w:style w:type="character" w:customStyle="1" w:styleId="hps">
    <w:name w:val="hps"/>
    <w:rsid w:val="00C4749C"/>
  </w:style>
  <w:style w:type="paragraph" w:customStyle="1" w:styleId="GAParaResolution">
    <w:name w:val="GA Para Resolution"/>
    <w:basedOn w:val="Normal"/>
    <w:qFormat/>
    <w:rsid w:val="00C4749C"/>
    <w:pPr>
      <w:autoSpaceDE w:val="0"/>
      <w:autoSpaceDN w:val="0"/>
      <w:adjustRightInd w:val="0"/>
      <w:spacing w:after="120"/>
      <w:ind w:left="1287" w:hanging="360"/>
    </w:pPr>
    <w:rPr>
      <w:rFonts w:ascii="Arial" w:hAnsi="Arial" w:cs="Arial"/>
      <w:sz w:val="22"/>
      <w:szCs w:val="22"/>
      <w:u w:val="single"/>
      <w:lang w:val="en-GB" w:eastAsia="fr-FR"/>
    </w:rPr>
  </w:style>
  <w:style w:type="paragraph" w:styleId="Revision">
    <w:name w:val="Revision"/>
    <w:hidden/>
    <w:uiPriority w:val="99"/>
    <w:semiHidden/>
    <w:rsid w:val="001424CF"/>
    <w:pPr>
      <w:jc w:val="left"/>
    </w:pPr>
    <w:rPr>
      <w:rFonts w:ascii="SimSun" w:eastAsia="SimSun" w:hAnsi="SimSun" w:cs="Times New Roman"/>
      <w:kern w:val="0"/>
      <w:lang w:val="fr-FR"/>
      <w14:ligatures w14:val="none"/>
    </w:rPr>
  </w:style>
  <w:style w:type="character" w:styleId="UnresolvedMention">
    <w:name w:val="Unresolved Mention"/>
    <w:basedOn w:val="DefaultParagraphFont"/>
    <w:uiPriority w:val="99"/>
    <w:semiHidden/>
    <w:unhideWhenUsed/>
    <w:rsid w:val="00F00031"/>
    <w:rPr>
      <w:color w:val="605E5C"/>
      <w:shd w:val="clear" w:color="auto" w:fill="E1DFDD"/>
    </w:rPr>
  </w:style>
  <w:style w:type="character" w:styleId="FollowedHyperlink">
    <w:name w:val="FollowedHyperlink"/>
    <w:basedOn w:val="DefaultParagraphFont"/>
    <w:uiPriority w:val="99"/>
    <w:semiHidden/>
    <w:unhideWhenUsed/>
    <w:rsid w:val="000244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5-20.COM-10-EN.docx" TargetMode="External"/><Relationship Id="rId18" Type="http://schemas.openxmlformats.org/officeDocument/2006/relationships/hyperlink" Target="http://ich.unesco.org/en/Decisions/16.COM/13" TargetMode="External"/><Relationship Id="rId26" Type="http://schemas.openxmlformats.org/officeDocument/2006/relationships/hyperlink" Target="https://ich.unesco.org/doc/src/61291-EN.pdf" TargetMode="External"/><Relationship Id="rId39" Type="http://schemas.openxmlformats.org/officeDocument/2006/relationships/hyperlink" Target="https://ich.unesco.org/en/decisions/20.COM/14" TargetMode="External"/><Relationship Id="rId21" Type="http://schemas.openxmlformats.org/officeDocument/2006/relationships/hyperlink" Target="https://ich.unesco.org/en/decisions/20.COM/14" TargetMode="External"/><Relationship Id="rId34" Type="http://schemas.openxmlformats.org/officeDocument/2006/relationships/hyperlink" Target="https://www.unesco.org/sites/default/files/medias/fichiers/2025/09/CH_MONDIACULT_Outcome_Document%20Final%20CLEAN.pdf?hub=171169" TargetMode="External"/><Relationship Id="rId42" Type="http://schemas.openxmlformats.org/officeDocument/2006/relationships/hyperlink" Target="https://ich.unesco.org/en/decisions/20.COM/13" TargetMode="External"/><Relationship Id="rId47" Type="http://schemas.openxmlformats.org/officeDocument/2006/relationships/header" Target="header3.xml"/><Relationship Id="rId7" Type="http://schemas.openxmlformats.org/officeDocument/2006/relationships/hyperlink" Target="https://ich.unesco.org/en/directives" TargetMode="External"/><Relationship Id="rId2" Type="http://schemas.openxmlformats.org/officeDocument/2006/relationships/styles" Target="styles.xml"/><Relationship Id="rId16" Type="http://schemas.openxmlformats.org/officeDocument/2006/relationships/hyperlink" Target="https://ich.unesco.org/doc/src/LHE-25-20.COM-14_EN.docx?t=1764362577" TargetMode="External"/><Relationship Id="rId29" Type="http://schemas.openxmlformats.org/officeDocument/2006/relationships/hyperlink" Target="https://ich.unesco.org/doc/src/LHE-25-20.COM-INF.13.2_EN.docx" TargetMode="External"/><Relationship Id="rId11" Type="http://schemas.openxmlformats.org/officeDocument/2006/relationships/hyperlink" Target="https://ich.unesco.org/doc/src/LHE-25-20.COM-14_EN.docx?t=1764362577" TargetMode="External"/><Relationship Id="rId24" Type="http://schemas.openxmlformats.org/officeDocument/2006/relationships/hyperlink" Target="https://ich.unesco.org/en/facilitator" TargetMode="External"/><Relationship Id="rId32" Type="http://schemas.openxmlformats.org/officeDocument/2006/relationships/hyperlink" Target="https://ich.unesco.org/doc/src/LHE-25-20.COM-6.c_EN.docx" TargetMode="External"/><Relationship Id="rId37" Type="http://schemas.openxmlformats.org/officeDocument/2006/relationships/hyperlink" Target="https://ich.unesco.org/doc/src/LHE-24-10.GA-Resolutions_ZH.docx?v=1721290689" TargetMode="External"/><Relationship Id="rId40" Type="http://schemas.openxmlformats.org/officeDocument/2006/relationships/hyperlink" Target="https://ich.unesco.org/doc/src/LHE-26-11.GA-INF.8_EN.docx"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ich.unesco.org/en/learning-platform-01397" TargetMode="External"/><Relationship Id="rId28" Type="http://schemas.openxmlformats.org/officeDocument/2006/relationships/hyperlink" Target="https://ich.unesco.org/doc/src/LHE-25-20.COM-13_EN.docx" TargetMode="External"/><Relationship Id="rId36" Type="http://schemas.openxmlformats.org/officeDocument/2006/relationships/hyperlink" Target="https://ich.unesco.org/en/decisions/19.COM/15" TargetMode="External"/><Relationship Id="rId49" Type="http://schemas.openxmlformats.org/officeDocument/2006/relationships/theme" Target="theme/theme1.xml"/><Relationship Id="rId10" Type="http://schemas.openxmlformats.org/officeDocument/2006/relationships/hyperlink" Target="https://ich.unesco.org/doc/src/LHE-26-11.GA-INF.8_EN.docx" TargetMode="External"/><Relationship Id="rId19" Type="http://schemas.openxmlformats.org/officeDocument/2006/relationships/hyperlink" Target="https://unesdoc.unesco.org/ark:/48223/pf0000392982_chi" TargetMode="External"/><Relationship Id="rId31" Type="http://schemas.openxmlformats.org/officeDocument/2006/relationships/hyperlink" Target="https://ich.unesco.org/en/towards-a-platform-for-sharing-good-safeguarding-experiences-01404" TargetMode="External"/><Relationship Id="rId44" Type="http://schemas.openxmlformats.org/officeDocument/2006/relationships/hyperlink" Target="https://ich.unesco.org/en/decisions/10.COM/8" TargetMode="External"/><Relationship Id="rId4" Type="http://schemas.openxmlformats.org/officeDocument/2006/relationships/webSettings" Target="webSettings.xml"/><Relationship Id="rId9" Type="http://schemas.openxmlformats.org/officeDocument/2006/relationships/hyperlink" Target="https://ich.unesco.org/doc/src/LHE-25-20.COM-14_EN.docx?t=1764362577" TargetMode="External"/><Relationship Id="rId14" Type="http://schemas.openxmlformats.org/officeDocument/2006/relationships/hyperlink" Target="https://ich.unesco.org/doc/src/LHE-26-11.GA-INF.8_EN.docx" TargetMode="External"/><Relationship Id="rId22" Type="http://schemas.openxmlformats.org/officeDocument/2006/relationships/hyperlink" Target="https://www.unesco.org/sites/default/files/medias/fichiers/2025/09/CH_MONDIACULT_Outcome_Document%20Final%20CLEAN.pdf?hub=171169" TargetMode="External"/><Relationship Id="rId27" Type="http://schemas.openxmlformats.org/officeDocument/2006/relationships/hyperlink" Target="https://www.unesco.org/sites/default/files/medias/fichiers/2024/04/WCCAE_UNESCO%20Framework_EN_CLT-EDWCCAE20241.pdf" TargetMode="External"/><Relationship Id="rId30" Type="http://schemas.openxmlformats.org/officeDocument/2006/relationships/hyperlink" Target="https://ich.unesco.org/en/reflection-on-a-broader-implementation-of-article-18-01302" TargetMode="External"/><Relationship Id="rId35" Type="http://schemas.openxmlformats.org/officeDocument/2006/relationships/hyperlink" Target="https://ich.unesco.org/en/dive" TargetMode="External"/><Relationship Id="rId43" Type="http://schemas.openxmlformats.org/officeDocument/2006/relationships/hyperlink" Target="https://ich.unesco.org/en/decisions/20.COM/14" TargetMode="External"/><Relationship Id="rId48" Type="http://schemas.openxmlformats.org/officeDocument/2006/relationships/fontTable" Target="fontTable.xml"/><Relationship Id="rId8" Type="http://schemas.openxmlformats.org/officeDocument/2006/relationships/hyperlink" Target="https://ich.unesco.org/doc/src/LHE-26-11.GA-INF.8_EN.docx"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ch.unesco.org/doc/src/LHE-25-20.COM-5_EN.docx?t=1762809973" TargetMode="External"/><Relationship Id="rId25" Type="http://schemas.openxmlformats.org/officeDocument/2006/relationships/hyperlink" Target="https://ich.unesco.org/doc/src/LHE-25-20.COM-6.c_EN.docx" TargetMode="External"/><Relationship Id="rId33" Type="http://schemas.openxmlformats.org/officeDocument/2006/relationships/hyperlink" Target="https://ich.unesco.org/en/decisions/19.COM/15" TargetMode="External"/><Relationship Id="rId38" Type="http://schemas.openxmlformats.org/officeDocument/2006/relationships/hyperlink" Target="https://ich.unesco.org/doc/src/LHE-26-11.GA-INF.8_EN.docx" TargetMode="External"/><Relationship Id="rId46" Type="http://schemas.openxmlformats.org/officeDocument/2006/relationships/header" Target="header2.xml"/><Relationship Id="rId20" Type="http://schemas.openxmlformats.org/officeDocument/2006/relationships/hyperlink" Target="https://unesdoc.unesco.org/ark:/48223/pf0000396877_chi" TargetMode="External"/><Relationship Id="rId41" Type="http://schemas.openxmlformats.org/officeDocument/2006/relationships/hyperlink" Target="https://unesdoc.unesco.org/ark:/48223/pf0000396877_chi"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92982_chi" TargetMode="External"/><Relationship Id="rId2" Type="http://schemas.openxmlformats.org/officeDocument/2006/relationships/hyperlink" Target="https://ich.unesco.org/en/Decisions/8.COM/7.c" TargetMode="External"/><Relationship Id="rId1" Type="http://schemas.openxmlformats.org/officeDocument/2006/relationships/hyperlink" Target="https://unesco.sharepoint.com/sites/ms/en-US/Shared%20Documents/Forms/AssessedContributions.aspx?id=%2Fsites%2Fms%2Fen%2DUS%2FShared%20Documents%2FMember%20States%20Assessed%20Contributions%2FICH%2DStatus%2Dof%2DContributions%2Epdf&amp;parent=%2Fsites%2F" TargetMode="External"/><Relationship Id="rId4" Type="http://schemas.openxmlformats.org/officeDocument/2006/relationships/hyperlink" Target="https://unesdoc.unesco.org/ark:/48223/pf0000392982_ch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2250</Words>
  <Characters>12829</Characters>
  <Application>Microsoft Office Word</Application>
  <DocSecurity>0</DocSecurity>
  <Lines>106</Lines>
  <Paragraphs>30</Paragraphs>
  <ScaleCrop>false</ScaleCrop>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2026-05-18T21:44:00Z</dcterms:created>
  <dcterms:modified xsi:type="dcterms:W3CDTF">2026-05-18T21:44:00Z</dcterms:modified>
</cp:coreProperties>
</file>