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6FC07C36" w:rsidR="00EC6F8D" w:rsidRPr="00FA771B" w:rsidRDefault="00EC6F8D" w:rsidP="00EC6F8D">
      <w:pPr>
        <w:spacing w:before="1440"/>
        <w:jc w:val="center"/>
        <w:rPr>
          <w:rFonts w:ascii="Arial" w:hAnsi="Arial" w:cs="Arial"/>
          <w:b/>
          <w:sz w:val="22"/>
          <w:szCs w:val="22"/>
        </w:rPr>
      </w:pPr>
      <w:r w:rsidRPr="00FA771B">
        <w:rPr>
          <w:rFonts w:ascii="Arial" w:hAnsi="Arial"/>
          <w:b/>
          <w:sz w:val="22"/>
        </w:rPr>
        <w:t>CONVENCIÓN PARA LA SALVAGUARDIA DEL</w:t>
      </w:r>
      <w:r w:rsidRPr="00FA771B">
        <w:rPr>
          <w:rFonts w:ascii="Arial" w:hAnsi="Arial"/>
          <w:b/>
          <w:sz w:val="22"/>
        </w:rPr>
        <w:br/>
        <w:t>PATRIMONIO CULTURAL INMATERIAL</w:t>
      </w:r>
    </w:p>
    <w:p w14:paraId="3F72B1D3" w14:textId="37133200" w:rsidR="00EC6F8D" w:rsidRPr="00FA771B" w:rsidRDefault="005C792B" w:rsidP="00EC6F8D">
      <w:pPr>
        <w:spacing w:before="1200"/>
        <w:jc w:val="center"/>
        <w:rPr>
          <w:rFonts w:ascii="Arial" w:hAnsi="Arial" w:cs="Arial"/>
          <w:b/>
          <w:sz w:val="22"/>
          <w:szCs w:val="22"/>
        </w:rPr>
      </w:pPr>
      <w:r w:rsidRPr="00FA771B">
        <w:rPr>
          <w:rFonts w:ascii="Arial" w:hAnsi="Arial"/>
          <w:b/>
          <w:sz w:val="22"/>
        </w:rPr>
        <w:t xml:space="preserve">ASAMBLEA GENERAL DE LOS </w:t>
      </w:r>
      <w:proofErr w:type="gramStart"/>
      <w:r w:rsidRPr="00FA771B">
        <w:rPr>
          <w:rFonts w:ascii="Arial" w:hAnsi="Arial"/>
          <w:b/>
          <w:sz w:val="22"/>
        </w:rPr>
        <w:t>ESTADOS PARTES</w:t>
      </w:r>
      <w:proofErr w:type="gramEnd"/>
      <w:r w:rsidRPr="00FA771B">
        <w:rPr>
          <w:rFonts w:ascii="Arial" w:hAnsi="Arial"/>
          <w:b/>
          <w:sz w:val="22"/>
        </w:rPr>
        <w:t xml:space="preserve"> EN LA CONVENCIÓN</w:t>
      </w:r>
    </w:p>
    <w:p w14:paraId="2E1CD4B4" w14:textId="761739AB" w:rsidR="00EC6F8D" w:rsidRPr="00FA771B" w:rsidRDefault="00671799" w:rsidP="001D14FE">
      <w:pPr>
        <w:spacing w:before="840"/>
        <w:jc w:val="center"/>
        <w:rPr>
          <w:rFonts w:ascii="Arial" w:hAnsi="Arial" w:cs="Arial"/>
          <w:b/>
          <w:sz w:val="22"/>
          <w:szCs w:val="22"/>
        </w:rPr>
      </w:pPr>
      <w:r w:rsidRPr="00FA771B">
        <w:rPr>
          <w:rFonts w:ascii="Arial" w:hAnsi="Arial"/>
          <w:b/>
          <w:sz w:val="22"/>
        </w:rPr>
        <w:t>Undécima reunión</w:t>
      </w:r>
    </w:p>
    <w:p w14:paraId="1FD89575" w14:textId="05D2C62D" w:rsidR="00B2172B" w:rsidRPr="00FA771B" w:rsidRDefault="005C792B" w:rsidP="00B2172B">
      <w:pPr>
        <w:jc w:val="center"/>
        <w:rPr>
          <w:rFonts w:ascii="Arial" w:hAnsi="Arial" w:cs="Arial"/>
          <w:b/>
          <w:sz w:val="22"/>
          <w:szCs w:val="22"/>
        </w:rPr>
      </w:pPr>
      <w:r w:rsidRPr="00FA771B">
        <w:rPr>
          <w:rFonts w:ascii="Arial" w:hAnsi="Arial"/>
          <w:b/>
          <w:sz w:val="22"/>
        </w:rPr>
        <w:t>Sede de la UNESCO, Sala I</w:t>
      </w:r>
    </w:p>
    <w:p w14:paraId="52EA6D50" w14:textId="038451F8" w:rsidR="00B2172B" w:rsidRPr="00FA771B" w:rsidRDefault="0054535F" w:rsidP="00B2172B">
      <w:pPr>
        <w:jc w:val="center"/>
        <w:rPr>
          <w:rFonts w:ascii="Arial" w:hAnsi="Arial" w:cs="Arial"/>
          <w:b/>
          <w:sz w:val="22"/>
          <w:szCs w:val="22"/>
        </w:rPr>
      </w:pPr>
      <w:r w:rsidRPr="00FA771B">
        <w:rPr>
          <w:rFonts w:ascii="Arial" w:hAnsi="Arial"/>
          <w:b/>
          <w:sz w:val="22"/>
        </w:rPr>
        <w:t>17 al 18 de junio de 2026</w:t>
      </w:r>
    </w:p>
    <w:p w14:paraId="0365203A" w14:textId="2EEDBD37" w:rsidR="00EC6F8D" w:rsidRPr="00FA771B" w:rsidRDefault="00EC6F8D" w:rsidP="00EC6F8D">
      <w:pPr>
        <w:pStyle w:val="Sansinterligne2"/>
        <w:spacing w:before="1200"/>
        <w:jc w:val="center"/>
        <w:rPr>
          <w:rFonts w:ascii="Arial" w:hAnsi="Arial" w:cs="Arial"/>
          <w:b/>
          <w:sz w:val="22"/>
          <w:szCs w:val="22"/>
        </w:rPr>
      </w:pPr>
      <w:r w:rsidRPr="00FA771B">
        <w:rPr>
          <w:rFonts w:ascii="Arial" w:hAnsi="Arial"/>
          <w:b/>
          <w:sz w:val="22"/>
          <w:u w:val="single"/>
        </w:rPr>
        <w:t>Punto 8 del orden del día provisional</w:t>
      </w:r>
      <w:r w:rsidRPr="00FA771B">
        <w:rPr>
          <w:rFonts w:ascii="Arial" w:hAnsi="Arial"/>
          <w:b/>
          <w:sz w:val="22"/>
        </w:rPr>
        <w:t>:</w:t>
      </w:r>
    </w:p>
    <w:p w14:paraId="59920478" w14:textId="5898B45C" w:rsidR="004A2875" w:rsidRPr="00FA771B" w:rsidRDefault="00FA771B" w:rsidP="004A2875">
      <w:pPr>
        <w:pStyle w:val="Sansinterligne2"/>
        <w:spacing w:after="960"/>
        <w:jc w:val="center"/>
        <w:rPr>
          <w:rFonts w:ascii="Arial" w:hAnsi="Arial" w:cs="Arial"/>
          <w:bCs/>
          <w:sz w:val="22"/>
          <w:szCs w:val="22"/>
        </w:rPr>
      </w:pPr>
      <w:r w:rsidRPr="00FA771B">
        <w:rPr>
          <w:rFonts w:ascii="Arial" w:eastAsia="Arial" w:hAnsi="Arial" w:cs="Arial"/>
          <w:b/>
          <w:sz w:val="22"/>
          <w:lang w:bidi="es-ES"/>
        </w:rPr>
        <w:t>Utilización de los recursos del Fondo del Patrimonio Cultural Inmaterial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A771B" w14:paraId="75AC6221" w14:textId="77777777" w:rsidTr="00EC6F8D">
        <w:trPr>
          <w:jc w:val="center"/>
        </w:trPr>
        <w:tc>
          <w:tcPr>
            <w:tcW w:w="5670" w:type="dxa"/>
            <w:vAlign w:val="center"/>
          </w:tcPr>
          <w:p w14:paraId="51C260A9" w14:textId="77777777" w:rsidR="00EC6F8D" w:rsidRPr="00FA771B" w:rsidRDefault="00EC6F8D" w:rsidP="00CA56BB">
            <w:pPr>
              <w:pStyle w:val="Sansinterligne1"/>
              <w:spacing w:before="200" w:after="200"/>
              <w:jc w:val="center"/>
              <w:rPr>
                <w:rFonts w:ascii="Arial" w:hAnsi="Arial" w:cs="Arial"/>
                <w:b/>
                <w:sz w:val="22"/>
                <w:szCs w:val="22"/>
              </w:rPr>
            </w:pPr>
            <w:r w:rsidRPr="00FA771B">
              <w:rPr>
                <w:rFonts w:ascii="Arial" w:hAnsi="Arial"/>
                <w:b/>
                <w:sz w:val="22"/>
              </w:rPr>
              <w:t>Resumen</w:t>
            </w:r>
          </w:p>
          <w:p w14:paraId="612E5DE6" w14:textId="7065B1C0" w:rsidR="00BB6EEC" w:rsidRPr="00FA771B" w:rsidRDefault="005C47D7" w:rsidP="00BB6EEC">
            <w:pPr>
              <w:pStyle w:val="Sansinterligne1"/>
              <w:jc w:val="both"/>
              <w:rPr>
                <w:rFonts w:ascii="Arial" w:hAnsi="Arial" w:cs="Arial"/>
                <w:bCs/>
                <w:sz w:val="22"/>
                <w:szCs w:val="22"/>
              </w:rPr>
            </w:pPr>
            <w:r w:rsidRPr="00FA771B">
              <w:rPr>
                <w:rFonts w:ascii="Arial" w:eastAsia="Arial" w:hAnsi="Arial" w:cs="Arial"/>
                <w:sz w:val="22"/>
                <w:szCs w:val="22"/>
                <w:lang w:bidi="es-ES"/>
              </w:rPr>
              <w:t xml:space="preserve">El Artículo 7 </w:t>
            </w:r>
            <w:r w:rsidR="00DA4FDC">
              <w:rPr>
                <w:rFonts w:ascii="Arial" w:eastAsia="Arial" w:hAnsi="Arial" w:cs="Arial"/>
                <w:sz w:val="22"/>
                <w:szCs w:val="22"/>
                <w:lang w:bidi="es-ES"/>
              </w:rPr>
              <w:t>(</w:t>
            </w:r>
            <w:r w:rsidRPr="00FA771B">
              <w:rPr>
                <w:rFonts w:ascii="Arial" w:eastAsia="Arial" w:hAnsi="Arial" w:cs="Arial"/>
                <w:sz w:val="22"/>
                <w:szCs w:val="22"/>
                <w:lang w:bidi="es-ES"/>
              </w:rPr>
              <w:t>c) de la Convención establece que el Comité debe preparar un proyecto de plan para la utilización de los recursos del Fondo y someterlo a la aprobación de la Asamblea General. El documento presenta el proyecto de plan recomendado por el Comité para el periodo 2026</w:t>
            </w:r>
            <w:r w:rsidR="00613B45">
              <w:rPr>
                <w:lang w:bidi="es-ES"/>
              </w:rPr>
              <w:t>-</w:t>
            </w:r>
            <w:r w:rsidRPr="00FA771B">
              <w:rPr>
                <w:rFonts w:ascii="Arial" w:eastAsia="Arial" w:hAnsi="Arial" w:cs="Arial"/>
                <w:sz w:val="22"/>
                <w:szCs w:val="22"/>
                <w:lang w:bidi="es-ES"/>
              </w:rPr>
              <w:t>2027 y el primer semestre de 2028</w:t>
            </w:r>
            <w:r w:rsidR="00613B45">
              <w:rPr>
                <w:rFonts w:ascii="Arial" w:eastAsia="Arial" w:hAnsi="Arial" w:cs="Arial"/>
                <w:sz w:val="22"/>
                <w:szCs w:val="22"/>
                <w:lang w:bidi="es-ES"/>
              </w:rPr>
              <w:t>.</w:t>
            </w:r>
          </w:p>
          <w:p w14:paraId="290310E8" w14:textId="7F645696" w:rsidR="00EC6F8D" w:rsidRPr="00FA771B" w:rsidRDefault="00EC6F8D" w:rsidP="00CA56BB">
            <w:pPr>
              <w:pStyle w:val="Sansinterligne2"/>
              <w:spacing w:before="200" w:after="200"/>
              <w:jc w:val="both"/>
              <w:rPr>
                <w:rFonts w:ascii="Arial" w:hAnsi="Arial" w:cs="Arial"/>
                <w:b/>
                <w:sz w:val="22"/>
                <w:szCs w:val="22"/>
              </w:rPr>
            </w:pPr>
            <w:r w:rsidRPr="00FA771B">
              <w:rPr>
                <w:rFonts w:ascii="Arial" w:hAnsi="Arial"/>
                <w:b/>
                <w:sz w:val="22"/>
              </w:rPr>
              <w:t xml:space="preserve">Decisión requerida: </w:t>
            </w:r>
            <w:r w:rsidRPr="00FA771B">
              <w:rPr>
                <w:rFonts w:ascii="Arial" w:hAnsi="Arial"/>
                <w:sz w:val="22"/>
              </w:rPr>
              <w:t>párrafo 32</w:t>
            </w:r>
          </w:p>
        </w:tc>
      </w:tr>
    </w:tbl>
    <w:p w14:paraId="713D819F" w14:textId="77777777" w:rsidR="004A2875" w:rsidRPr="00FA771B"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FA771B">
        <w:rPr>
          <w:lang w:bidi="es-ES"/>
        </w:rPr>
        <w:br w:type="page"/>
      </w:r>
    </w:p>
    <w:p w14:paraId="6C62585F" w14:textId="1FBD00B9" w:rsidR="00F70CC5" w:rsidRPr="00FA771B" w:rsidRDefault="00FD4BC8" w:rsidP="00F70CC5">
      <w:pPr>
        <w:pStyle w:val="COMPara"/>
        <w:numPr>
          <w:ilvl w:val="0"/>
          <w:numId w:val="0"/>
        </w:numPr>
        <w:spacing w:before="240"/>
        <w:jc w:val="both"/>
        <w:rPr>
          <w:b/>
          <w:bCs/>
        </w:rPr>
      </w:pPr>
      <w:bookmarkStart w:id="0" w:name="_Hlk124351255"/>
      <w:r w:rsidRPr="00FA771B">
        <w:rPr>
          <w:b/>
          <w:lang w:bidi="es-ES"/>
        </w:rPr>
        <w:lastRenderedPageBreak/>
        <w:t>Antecedentes</w:t>
      </w:r>
    </w:p>
    <w:bookmarkEnd w:id="0"/>
    <w:p w14:paraId="2BEFB7FF" w14:textId="46AFE19C" w:rsidR="005C47D7" w:rsidRPr="00DA4FDC" w:rsidRDefault="005C47D7" w:rsidP="005C47D7">
      <w:pPr>
        <w:pStyle w:val="GAPara"/>
        <w:numPr>
          <w:ilvl w:val="0"/>
          <w:numId w:val="23"/>
        </w:numPr>
        <w:ind w:left="567" w:hanging="567"/>
        <w:jc w:val="both"/>
        <w:rPr>
          <w:lang w:val="es-ES"/>
        </w:rPr>
      </w:pPr>
      <w:r w:rsidRPr="00FA771B">
        <w:rPr>
          <w:lang w:val="es-ES" w:bidi="es-ES"/>
        </w:rPr>
        <w:t>El Artículo 7</w:t>
      </w:r>
      <w:r w:rsidR="00723493">
        <w:rPr>
          <w:lang w:val="es-ES" w:bidi="es-ES"/>
        </w:rPr>
        <w:t>(</w:t>
      </w:r>
      <w:r w:rsidRPr="00FA771B">
        <w:rPr>
          <w:lang w:val="es-ES" w:bidi="es-ES"/>
        </w:rPr>
        <w:t xml:space="preserve">c) de la Convención establece que el Comité debe “preparar y someter a la aprobación de la Asamblea General un proyecto de utilización de los recursos [de la Cuenta Especial] del Fondo [para la Salvaguardia del Patrimonio Cultural Inmaterial (en adelante, el </w:t>
      </w:r>
      <w:r w:rsidR="00E5209C">
        <w:rPr>
          <w:lang w:val="es-ES" w:bidi="es-ES"/>
        </w:rPr>
        <w:t>“</w:t>
      </w:r>
      <w:r w:rsidRPr="00FA771B">
        <w:rPr>
          <w:lang w:val="es-ES" w:bidi="es-ES"/>
        </w:rPr>
        <w:t>Fondo</w:t>
      </w:r>
      <w:r w:rsidR="00E5209C">
        <w:rPr>
          <w:lang w:val="es-ES" w:bidi="es-ES"/>
        </w:rPr>
        <w:t>”</w:t>
      </w:r>
      <w:r w:rsidRPr="00FA771B">
        <w:rPr>
          <w:lang w:val="es-ES" w:bidi="es-ES"/>
        </w:rPr>
        <w:t>)], de conformidad con el Artículo 25”. El proyecto de plan (en adelante, el “Plan”) presentado por el Comité conforme a su Decisión </w:t>
      </w:r>
      <w:r>
        <w:fldChar w:fldCharType="begin"/>
      </w:r>
      <w:r w:rsidRPr="00711589">
        <w:rPr>
          <w:lang w:val="es-ES"/>
        </w:rPr>
        <w:instrText>HYPERLINK "https://ich.unesco.org/en/decisions/20.COM/14"</w:instrText>
      </w:r>
      <w:r>
        <w:fldChar w:fldCharType="separate"/>
      </w:r>
      <w:r w:rsidRPr="00FA771B">
        <w:rPr>
          <w:rStyle w:val="Hyperlink"/>
          <w:lang w:val="es-ES" w:bidi="es-ES"/>
        </w:rPr>
        <w:t>20.COM 14</w:t>
      </w:r>
      <w:r>
        <w:fldChar w:fldCharType="end"/>
      </w:r>
      <w:r w:rsidRPr="00FA771B">
        <w:rPr>
          <w:lang w:val="es-ES" w:bidi="es-ES"/>
        </w:rPr>
        <w:t xml:space="preserve"> y anexo a este documento, se preparó con arreglo a las pautas que figuran en el capítulo II.1 de las </w:t>
      </w:r>
      <w:r>
        <w:fldChar w:fldCharType="begin"/>
      </w:r>
      <w:r w:rsidRPr="00711589">
        <w:rPr>
          <w:lang w:val="es-ES"/>
        </w:rPr>
        <w:instrText>HYPERLINK "https://ich.unesco.org/doc/src/ICH-Directrices_operativas-10.GA_ES.pdf?v=1738063497"</w:instrText>
      </w:r>
      <w:r>
        <w:fldChar w:fldCharType="separate"/>
      </w:r>
      <w:r w:rsidRPr="00FA771B">
        <w:rPr>
          <w:rStyle w:val="Hyperlink"/>
          <w:lang w:val="es-ES" w:bidi="es-ES"/>
        </w:rPr>
        <w:t>Directrices Operativas</w:t>
      </w:r>
      <w:r>
        <w:fldChar w:fldCharType="end"/>
      </w:r>
      <w:r w:rsidRPr="00FA771B">
        <w:rPr>
          <w:lang w:val="es-ES" w:bidi="es-ES"/>
        </w:rPr>
        <w:t xml:space="preserve">, y se basó en la experiencia de la aplicación del Plan en anteriores bienios. El informe descriptivo y financiero para el período comprendido entre el 1 de enero de 2024 y el 31 de diciembre de 2025, según los requisitos del Artículo 10 del Reglamento Financiero del Fondo, se encuentra disponible en el </w:t>
      </w:r>
      <w:r w:rsidRPr="003E5580">
        <w:rPr>
          <w:lang w:val="es-ES" w:bidi="es-ES"/>
        </w:rPr>
        <w:t xml:space="preserve">documento </w:t>
      </w:r>
      <w:r>
        <w:fldChar w:fldCharType="begin"/>
      </w:r>
      <w:r w:rsidRPr="00711589">
        <w:rPr>
          <w:lang w:val="es-ES"/>
        </w:rPr>
        <w:instrText>HYPERLINK "https://ich.unesco.org/doc/src/LHE-26-11.GA-INF.8_EN.docx"</w:instrText>
      </w:r>
      <w:r>
        <w:fldChar w:fldCharType="separate"/>
      </w:r>
      <w:r w:rsidRPr="003E5580">
        <w:rPr>
          <w:rStyle w:val="Hyperlink"/>
          <w:lang w:val="es-ES" w:bidi="es-ES"/>
        </w:rPr>
        <w:t>LHE/26/11.GA/INF.8</w:t>
      </w:r>
      <w:r>
        <w:fldChar w:fldCharType="end"/>
      </w:r>
      <w:r w:rsidRPr="003E5580">
        <w:rPr>
          <w:lang w:val="es-ES" w:bidi="es-ES"/>
        </w:rPr>
        <w:t>.</w:t>
      </w:r>
    </w:p>
    <w:p w14:paraId="26728DF3" w14:textId="2A86405A" w:rsidR="005C47D7" w:rsidRPr="00DA4FDC" w:rsidRDefault="005C47D7" w:rsidP="005C47D7">
      <w:pPr>
        <w:pStyle w:val="GAPara"/>
        <w:numPr>
          <w:ilvl w:val="0"/>
          <w:numId w:val="23"/>
        </w:numPr>
        <w:ind w:left="567" w:hanging="567"/>
        <w:jc w:val="both"/>
        <w:rPr>
          <w:lang w:val="es-ES"/>
        </w:rPr>
      </w:pPr>
      <w:r w:rsidRPr="00FA771B">
        <w:rPr>
          <w:lang w:val="es-ES" w:bidi="es-ES"/>
        </w:rPr>
        <w:t xml:space="preserve">De conformidad con el Artículo 2 del Reglamento Financiero del Fondo, “el ejercicio económico para las estimaciones presupuestarias será de dos años </w:t>
      </w:r>
      <w:r w:rsidR="00166900">
        <w:rPr>
          <w:lang w:val="es-ES" w:bidi="es-ES"/>
        </w:rPr>
        <w:t>civiles</w:t>
      </w:r>
      <w:r w:rsidR="00166900" w:rsidRPr="00FA771B">
        <w:rPr>
          <w:lang w:val="es-ES" w:bidi="es-ES"/>
        </w:rPr>
        <w:t xml:space="preserve"> </w:t>
      </w:r>
      <w:r w:rsidRPr="00FA771B">
        <w:rPr>
          <w:lang w:val="es-ES" w:bidi="es-ES"/>
        </w:rPr>
        <w:t xml:space="preserve">consecutivos, </w:t>
      </w:r>
      <w:r w:rsidR="00166900" w:rsidRPr="003E5580">
        <w:rPr>
          <w:lang w:val="es-ES"/>
        </w:rPr>
        <w:t>el primero de los cuales será</w:t>
      </w:r>
      <w:r w:rsidR="00166900" w:rsidRPr="00FA771B" w:rsidDel="00166900">
        <w:rPr>
          <w:lang w:val="es-ES" w:bidi="es-ES"/>
        </w:rPr>
        <w:t xml:space="preserve"> </w:t>
      </w:r>
      <w:r w:rsidRPr="00FA771B">
        <w:rPr>
          <w:lang w:val="es-ES" w:bidi="es-ES"/>
        </w:rPr>
        <w:t xml:space="preserve">un año par”. Sin embargo, la Asamblea General de los </w:t>
      </w:r>
      <w:proofErr w:type="gramStart"/>
      <w:r w:rsidRPr="00FA771B">
        <w:rPr>
          <w:lang w:val="es-ES" w:bidi="es-ES"/>
        </w:rPr>
        <w:t>Estados Partes</w:t>
      </w:r>
      <w:proofErr w:type="gramEnd"/>
      <w:r w:rsidRPr="00FA771B">
        <w:rPr>
          <w:lang w:val="es-ES" w:bidi="es-ES"/>
        </w:rPr>
        <w:t xml:space="preserve"> en la Convención </w:t>
      </w:r>
      <w:r w:rsidR="00166900" w:rsidRPr="003E5580">
        <w:rPr>
          <w:lang w:val="es-ES"/>
        </w:rPr>
        <w:t>se congrega en reuniones ordinarias los años pares, unos seis meses después del inicio del año civil</w:t>
      </w:r>
      <w:r w:rsidRPr="00FA771B">
        <w:rPr>
          <w:lang w:val="es-ES" w:bidi="es-ES"/>
        </w:rPr>
        <w:t xml:space="preserve">. Por consiguiente, se solicita a la presente reunión de la Asamblea la aprobación del Plan para el ejercicio del 1 de enero de 2026 al 31 de diciembre de 2027 y, de manera provisional, para los primeros seis meses del siguiente ejercicio financiero, es decir, del 1 de enero de 2028 al 30 de junio de 2028. El presupuesto provisional para el primer semestre de 2026 adoptado en la décima reunión de la Asamblea General (Resolución </w:t>
      </w:r>
      <w:r>
        <w:fldChar w:fldCharType="begin"/>
      </w:r>
      <w:r w:rsidRPr="00711589">
        <w:rPr>
          <w:lang w:val="es-ES"/>
        </w:rPr>
        <w:instrText>HYPERLINK "https://ich.unesco.org/doc/src/LHE-24-10.GA-Resolutions_SP.docx?v=1721290553"</w:instrText>
      </w:r>
      <w:r>
        <w:fldChar w:fldCharType="separate"/>
      </w:r>
      <w:r w:rsidRPr="00CD4B54">
        <w:rPr>
          <w:rStyle w:val="Hyperlink"/>
          <w:lang w:val="es-ES" w:bidi="es-ES"/>
        </w:rPr>
        <w:t>10.GA 8</w:t>
      </w:r>
      <w:r>
        <w:fldChar w:fldCharType="end"/>
      </w:r>
      <w:r w:rsidRPr="00FA771B">
        <w:rPr>
          <w:lang w:val="es-ES" w:bidi="es-ES"/>
        </w:rPr>
        <w:t xml:space="preserve">) será sustituido por el presente Plan una vez </w:t>
      </w:r>
      <w:r w:rsidR="00166900">
        <w:rPr>
          <w:lang w:val="es-ES" w:bidi="es-ES"/>
        </w:rPr>
        <w:t xml:space="preserve">que sea </w:t>
      </w:r>
      <w:r w:rsidRPr="00FA771B">
        <w:rPr>
          <w:lang w:val="es-ES" w:bidi="es-ES"/>
        </w:rPr>
        <w:t>adoptado en la actual reunión de la Asamblea General.</w:t>
      </w:r>
      <w:r w:rsidR="00166900">
        <w:rPr>
          <w:lang w:val="es-ES" w:bidi="es-ES"/>
        </w:rPr>
        <w:t xml:space="preserve"> </w:t>
      </w:r>
    </w:p>
    <w:p w14:paraId="13BC74BA" w14:textId="77777777" w:rsidR="005C47D7" w:rsidRPr="00FA771B" w:rsidRDefault="005C47D7" w:rsidP="005C47D7">
      <w:pPr>
        <w:pStyle w:val="COMPara"/>
        <w:numPr>
          <w:ilvl w:val="0"/>
          <w:numId w:val="23"/>
        </w:numPr>
        <w:tabs>
          <w:tab w:val="left" w:pos="567"/>
        </w:tabs>
        <w:ind w:left="567" w:hanging="567"/>
        <w:jc w:val="both"/>
        <w:rPr>
          <w:bCs/>
        </w:rPr>
      </w:pPr>
      <w:r w:rsidRPr="00FA771B">
        <w:rPr>
          <w:lang w:bidi="es-ES"/>
        </w:rPr>
        <w:t>Se propone que la Asamblea General asigne fondos para cada partida presupuestaria basándose en los porcentajes de los recursos totales disponibles, y no en cifras absolutas. Esto permitirá, en caso de necesidad, que las contribuciones asignadas recibidas durante el bienio sean asignadas a cada partida presupuestaria siguiendo los porcentajes aprobados. De esta manera el Comité podrá utilizar cualquier contribución voluntaria complementaria importante sin restricciones (tal como se describe en el Artículo 27) que se acredite al Fondo durante el bienio. Al mismo tiempo, se sugiere también que la Asamblea General autorice al Comité, como lo hizo en sus reuniones previas, a utilizar inmediatamente dichas contribuciones a partir de su recepción, de conformidad con los porcentajes establecidos en el Plan.</w:t>
      </w:r>
    </w:p>
    <w:p w14:paraId="3FD6C80E" w14:textId="0FFE4D46" w:rsidR="005C47D7" w:rsidRPr="00FA771B" w:rsidRDefault="005C47D7" w:rsidP="005C47D7">
      <w:pPr>
        <w:pStyle w:val="COMPara"/>
        <w:numPr>
          <w:ilvl w:val="0"/>
          <w:numId w:val="23"/>
        </w:numPr>
        <w:tabs>
          <w:tab w:val="left" w:pos="567"/>
        </w:tabs>
        <w:ind w:left="567" w:hanging="567"/>
        <w:jc w:val="both"/>
      </w:pPr>
      <w:r w:rsidRPr="00FA771B">
        <w:rPr>
          <w:lang w:bidi="es-ES"/>
        </w:rPr>
        <w:t xml:space="preserve">Asimismo, se solicita a la Asamblea General que autorice al Comité a utilizar de manera inmediata las contribuciones vinculadas a proyectos concretos, siempre y cuando estén dentro del alcance de las dos prioridades de financiación aprobadas por el Comité para el período 2026-2029 (Decisión </w:t>
      </w:r>
      <w:hyperlink r:id="rId8" w:history="1">
        <w:r w:rsidRPr="00FA771B">
          <w:rPr>
            <w:rStyle w:val="Hyperlink"/>
            <w:lang w:bidi="es-ES"/>
          </w:rPr>
          <w:t>20.COM 13</w:t>
        </w:r>
      </w:hyperlink>
      <w:r w:rsidRPr="00FA771B">
        <w:rPr>
          <w:lang w:bidi="es-ES"/>
        </w:rPr>
        <w:t>): "</w:t>
      </w:r>
      <w:r w:rsidR="00545348">
        <w:rPr>
          <w:lang w:bidi="es-ES"/>
        </w:rPr>
        <w:t>Fomentar</w:t>
      </w:r>
      <w:r w:rsidR="00545348" w:rsidRPr="00FA771B">
        <w:rPr>
          <w:lang w:bidi="es-ES"/>
        </w:rPr>
        <w:t xml:space="preserve"> </w:t>
      </w:r>
      <w:r w:rsidRPr="00FA771B">
        <w:rPr>
          <w:lang w:bidi="es-ES"/>
        </w:rPr>
        <w:t xml:space="preserve">los enfoques de fortalecimiento de las capacidades para salvaguardar el patrimonio cultural inmaterial </w:t>
      </w:r>
      <w:r w:rsidR="00006DEE">
        <w:rPr>
          <w:lang w:bidi="es-ES"/>
        </w:rPr>
        <w:t>con foco</w:t>
      </w:r>
      <w:r w:rsidR="00006DEE" w:rsidRPr="00FA771B">
        <w:rPr>
          <w:lang w:bidi="es-ES"/>
        </w:rPr>
        <w:t xml:space="preserve"> </w:t>
      </w:r>
      <w:r w:rsidRPr="00FA771B">
        <w:rPr>
          <w:lang w:bidi="es-ES"/>
        </w:rPr>
        <w:t>en el bienestar humano y el empoderamiento de la</w:t>
      </w:r>
      <w:r w:rsidR="00006DEE">
        <w:rPr>
          <w:lang w:bidi="es-ES"/>
        </w:rPr>
        <w:t>s</w:t>
      </w:r>
      <w:r w:rsidRPr="00FA771B">
        <w:rPr>
          <w:lang w:bidi="es-ES"/>
        </w:rPr>
        <w:t xml:space="preserve"> comunidad</w:t>
      </w:r>
      <w:r w:rsidR="00006DEE">
        <w:rPr>
          <w:lang w:bidi="es-ES"/>
        </w:rPr>
        <w:t>es</w:t>
      </w:r>
      <w:r w:rsidRPr="00FA771B">
        <w:rPr>
          <w:lang w:bidi="es-ES"/>
        </w:rPr>
        <w:t xml:space="preserve">" (Prioridad de financiación A) y "Perfeccionar los enfoques para salvaguardar el patrimonio cultural inmaterial" (Prioridad de </w:t>
      </w:r>
      <w:r w:rsidRPr="003E5580">
        <w:rPr>
          <w:lang w:bidi="es-ES"/>
        </w:rPr>
        <w:t xml:space="preserve">financiación B). La lista de tales contribuciones recibidas en 2024-2025, así como otras contribuciones complementarias voluntarias y donantes, se incluye en el documento informativo </w:t>
      </w:r>
      <w:hyperlink r:id="rId9" w:history="1">
        <w:r w:rsidRPr="003E5580">
          <w:rPr>
            <w:rStyle w:val="Hyperlink"/>
            <w:lang w:bidi="es-ES"/>
          </w:rPr>
          <w:t>LHE/26/11.GA/INF.8</w:t>
        </w:r>
      </w:hyperlink>
      <w:r w:rsidRPr="003E5580">
        <w:rPr>
          <w:lang w:bidi="es-ES"/>
        </w:rPr>
        <w:t>.</w:t>
      </w:r>
    </w:p>
    <w:p w14:paraId="2DC59BAD" w14:textId="7A4F89E7" w:rsidR="005C47D7" w:rsidRPr="00DA4FDC" w:rsidRDefault="005C47D7" w:rsidP="005C47D7">
      <w:pPr>
        <w:pStyle w:val="GAPara"/>
        <w:numPr>
          <w:ilvl w:val="0"/>
          <w:numId w:val="23"/>
        </w:numPr>
        <w:ind w:left="567" w:hanging="567"/>
        <w:jc w:val="both"/>
        <w:rPr>
          <w:lang w:val="es-ES"/>
        </w:rPr>
      </w:pPr>
      <w:r w:rsidRPr="00FA771B">
        <w:rPr>
          <w:lang w:val="es-ES" w:bidi="es-ES"/>
        </w:rPr>
        <w:t xml:space="preserve">El presente documento proporciona primero un resumen del estado del Fondo y de las tendencias actuales, incluida una actualización </w:t>
      </w:r>
      <w:r w:rsidR="00830746">
        <w:rPr>
          <w:lang w:val="es-ES" w:bidi="es-ES"/>
        </w:rPr>
        <w:t>relativa al</w:t>
      </w:r>
      <w:r w:rsidR="00830746" w:rsidRPr="00FA771B">
        <w:rPr>
          <w:lang w:val="es-ES" w:bidi="es-ES"/>
        </w:rPr>
        <w:t xml:space="preserve"> </w:t>
      </w:r>
      <w:proofErr w:type="spellStart"/>
      <w:r w:rsidRPr="00FA771B">
        <w:rPr>
          <w:lang w:val="es-ES" w:bidi="es-ES"/>
        </w:rPr>
        <w:t>sub</w:t>
      </w:r>
      <w:r w:rsidR="00830746">
        <w:rPr>
          <w:lang w:val="es-ES" w:bidi="es-ES"/>
        </w:rPr>
        <w:t>-</w:t>
      </w:r>
      <w:r w:rsidRPr="00FA771B">
        <w:rPr>
          <w:lang w:val="es-ES" w:bidi="es-ES"/>
        </w:rPr>
        <w:t>fondo</w:t>
      </w:r>
      <w:proofErr w:type="spellEnd"/>
      <w:r w:rsidRPr="00FA771B">
        <w:rPr>
          <w:lang w:val="es-ES" w:bidi="es-ES"/>
        </w:rPr>
        <w:t xml:space="preserve"> para reforzar los recursos humanos de la Secretaría (parte I). A continuación, se presenta el plan propuesto para la utilización de los recursos del Fondo en el período 2026-2027 con una justificación de cada partida presupuestaria (parte II).</w:t>
      </w:r>
    </w:p>
    <w:p w14:paraId="10F2067B" w14:textId="77777777" w:rsidR="005C47D7" w:rsidRPr="00FA771B" w:rsidRDefault="005C47D7" w:rsidP="005C47D7">
      <w:pPr>
        <w:pStyle w:val="Heading4"/>
        <w:spacing w:before="240" w:after="120"/>
        <w:ind w:hanging="425"/>
      </w:pPr>
      <w:r w:rsidRPr="00FA771B">
        <w:rPr>
          <w:lang w:bidi="es-ES"/>
        </w:rPr>
        <w:t>ESTADO Y TENDENCIAS</w:t>
      </w:r>
    </w:p>
    <w:p w14:paraId="2FEF4CDD" w14:textId="15964096" w:rsidR="005C47D7" w:rsidRPr="00DA4FDC" w:rsidRDefault="005C47D7" w:rsidP="005C47D7">
      <w:pPr>
        <w:pStyle w:val="GAPara"/>
        <w:numPr>
          <w:ilvl w:val="0"/>
          <w:numId w:val="23"/>
        </w:numPr>
        <w:ind w:left="567" w:hanging="567"/>
        <w:jc w:val="both"/>
        <w:rPr>
          <w:lang w:val="es-ES"/>
        </w:rPr>
      </w:pPr>
      <w:r w:rsidRPr="00FA771B">
        <w:rPr>
          <w:lang w:val="es-ES" w:bidi="es-ES"/>
        </w:rPr>
        <w:t xml:space="preserve">Sobre la base del informe financiero incluido en el </w:t>
      </w:r>
      <w:r w:rsidRPr="003E5580">
        <w:rPr>
          <w:lang w:val="es-ES" w:bidi="es-ES"/>
        </w:rPr>
        <w:t xml:space="preserve">documento </w:t>
      </w:r>
      <w:r>
        <w:fldChar w:fldCharType="begin"/>
      </w:r>
      <w:r w:rsidRPr="00711589">
        <w:rPr>
          <w:lang w:val="es-ES"/>
        </w:rPr>
        <w:instrText>HYPERLINK "https://ich.unesco.org/doc/src/LHE-26-11.GA-INF.8_EN.docx"</w:instrText>
      </w:r>
      <w:r>
        <w:fldChar w:fldCharType="separate"/>
      </w:r>
      <w:r w:rsidRPr="003E5580">
        <w:rPr>
          <w:rStyle w:val="Hyperlink"/>
          <w:lang w:val="es-ES" w:bidi="es-ES"/>
        </w:rPr>
        <w:t>LHE/26/11.GA/INF.8</w:t>
      </w:r>
      <w:r>
        <w:fldChar w:fldCharType="end"/>
      </w:r>
      <w:r w:rsidRPr="00FA771B">
        <w:rPr>
          <w:lang w:val="es-ES" w:bidi="es-ES"/>
        </w:rPr>
        <w:t xml:space="preserve"> para el período comprendido entre el 1 de enero de 2024 y el 31 de diciembre de 2025 y </w:t>
      </w:r>
      <w:r w:rsidR="00830746">
        <w:rPr>
          <w:lang w:val="es-ES" w:bidi="es-ES"/>
        </w:rPr>
        <w:t>siguiendo el análisis de</w:t>
      </w:r>
      <w:r w:rsidRPr="00FA771B">
        <w:rPr>
          <w:lang w:val="es-ES" w:bidi="es-ES"/>
        </w:rPr>
        <w:t xml:space="preserve"> tendencias descrit</w:t>
      </w:r>
      <w:r w:rsidR="00830746">
        <w:rPr>
          <w:lang w:val="es-ES" w:bidi="es-ES"/>
        </w:rPr>
        <w:t>o</w:t>
      </w:r>
      <w:r w:rsidRPr="00FA771B">
        <w:rPr>
          <w:lang w:val="es-ES" w:bidi="es-ES"/>
        </w:rPr>
        <w:t xml:space="preserve"> en el documento </w:t>
      </w:r>
      <w:r>
        <w:fldChar w:fldCharType="begin"/>
      </w:r>
      <w:r w:rsidRPr="00711589">
        <w:rPr>
          <w:lang w:val="es-ES"/>
        </w:rPr>
        <w:instrText>HYPERLINK "https://ich.unesco.org/doc/src/LHE-25-20.COM-14_EN.docx?t=1764362577"</w:instrText>
      </w:r>
      <w:r>
        <w:fldChar w:fldCharType="separate"/>
      </w:r>
      <w:r w:rsidRPr="00FA771B">
        <w:rPr>
          <w:rStyle w:val="Hyperlink"/>
          <w:lang w:val="es-ES" w:bidi="es-ES"/>
        </w:rPr>
        <w:t>LHE/25/20.COM/14</w:t>
      </w:r>
      <w:r>
        <w:fldChar w:fldCharType="end"/>
      </w:r>
      <w:r w:rsidRPr="00FA771B">
        <w:rPr>
          <w:lang w:val="es-ES" w:bidi="es-ES"/>
        </w:rPr>
        <w:t xml:space="preserve">, en esta sección se </w:t>
      </w:r>
      <w:r w:rsidRPr="00FA771B">
        <w:rPr>
          <w:lang w:val="es-ES" w:bidi="es-ES"/>
        </w:rPr>
        <w:lastRenderedPageBreak/>
        <w:t>explica la evolución del gasto del Fondo y de las contribuciones asignadas hasta el 31 de diciembre de 2025.</w:t>
      </w:r>
    </w:p>
    <w:p w14:paraId="0A648C43" w14:textId="77777777" w:rsidR="005C47D7" w:rsidRPr="00FA771B" w:rsidRDefault="005C47D7" w:rsidP="005C47D7">
      <w:pPr>
        <w:pStyle w:val="GAPara"/>
        <w:spacing w:before="240"/>
        <w:ind w:left="567" w:firstLine="0"/>
        <w:jc w:val="both"/>
        <w:rPr>
          <w:b/>
          <w:bCs/>
        </w:rPr>
      </w:pPr>
      <w:r w:rsidRPr="00FA771B">
        <w:rPr>
          <w:b/>
          <w:lang w:val="es-ES" w:bidi="es-ES"/>
        </w:rPr>
        <w:t>Gastos</w:t>
      </w:r>
    </w:p>
    <w:p w14:paraId="4E658EE0" w14:textId="6B79D0C3" w:rsidR="005C47D7" w:rsidRPr="00DA4FDC" w:rsidRDefault="005C47D7" w:rsidP="005C47D7">
      <w:pPr>
        <w:pStyle w:val="GAPara"/>
        <w:numPr>
          <w:ilvl w:val="0"/>
          <w:numId w:val="23"/>
        </w:numPr>
        <w:ind w:left="567" w:hanging="567"/>
        <w:jc w:val="both"/>
        <w:rPr>
          <w:lang w:val="es-ES"/>
        </w:rPr>
      </w:pPr>
      <w:r w:rsidRPr="00FA771B">
        <w:rPr>
          <w:lang w:val="es-ES" w:bidi="es-ES"/>
        </w:rPr>
        <w:t xml:space="preserve">El índice de </w:t>
      </w:r>
      <w:r w:rsidRPr="00FA771B">
        <w:rPr>
          <w:b/>
          <w:lang w:val="es-ES" w:bidi="es-ES"/>
        </w:rPr>
        <w:t xml:space="preserve">gastos </w:t>
      </w:r>
      <w:r w:rsidRPr="00FA771B">
        <w:rPr>
          <w:lang w:val="es-ES" w:bidi="es-ES"/>
        </w:rPr>
        <w:t>del último plan aprobado por la Asamblea General ha aumentado hasta el 76,9</w:t>
      </w:r>
      <w:r w:rsidRPr="00FA771B">
        <w:rPr>
          <w:i/>
          <w:lang w:val="es-ES" w:bidi="es-ES"/>
        </w:rPr>
        <w:t> </w:t>
      </w:r>
      <w:r w:rsidRPr="00FA771B">
        <w:rPr>
          <w:lang w:val="es-ES" w:bidi="es-ES"/>
        </w:rPr>
        <w:t>% a 31 de diciembre de 2025 (comparado con el 73,2</w:t>
      </w:r>
      <w:r w:rsidRPr="00FA771B">
        <w:rPr>
          <w:i/>
          <w:lang w:val="es-ES" w:bidi="es-ES"/>
        </w:rPr>
        <w:t> </w:t>
      </w:r>
      <w:r w:rsidRPr="00FA771B">
        <w:rPr>
          <w:lang w:val="es-ES" w:bidi="es-ES"/>
        </w:rPr>
        <w:t>% del bienio anterior y un índice medio del 61</w:t>
      </w:r>
      <w:r w:rsidRPr="00FA771B">
        <w:rPr>
          <w:i/>
          <w:lang w:val="es-ES" w:bidi="es-ES"/>
        </w:rPr>
        <w:t> </w:t>
      </w:r>
      <w:r w:rsidRPr="00FA771B">
        <w:rPr>
          <w:lang w:val="es-ES" w:bidi="es-ES"/>
        </w:rPr>
        <w:t>% en los últimos diez años, entre 2016 y 2025), lo que representa el índice de gastos más elevado del Fondo. Es el segundo bienio consecutivo en el que el índice de gastos alcanza un nivel alto.</w:t>
      </w:r>
    </w:p>
    <w:p w14:paraId="29270B7B" w14:textId="0061BF05" w:rsidR="005C47D7" w:rsidRPr="00DA4FDC" w:rsidRDefault="005C47D7" w:rsidP="005C47D7">
      <w:pPr>
        <w:pStyle w:val="GAPara"/>
        <w:numPr>
          <w:ilvl w:val="0"/>
          <w:numId w:val="23"/>
        </w:numPr>
        <w:ind w:left="567" w:hanging="567"/>
        <w:jc w:val="both"/>
        <w:rPr>
          <w:lang w:val="es-ES"/>
        </w:rPr>
      </w:pPr>
      <w:r w:rsidRPr="00FA771B">
        <w:rPr>
          <w:lang w:val="es-ES" w:bidi="es-ES"/>
        </w:rPr>
        <w:t xml:space="preserve">El gasto fue de 6,29 millones de dólares </w:t>
      </w:r>
      <w:r w:rsidR="00830746" w:rsidRPr="003E5580">
        <w:rPr>
          <w:lang w:val="es-ES"/>
        </w:rPr>
        <w:t>estadounidenses</w:t>
      </w:r>
      <w:r w:rsidR="00830746" w:rsidRPr="00FA771B">
        <w:rPr>
          <w:lang w:val="es-ES" w:bidi="es-ES"/>
        </w:rPr>
        <w:t xml:space="preserve"> </w:t>
      </w:r>
      <w:r w:rsidRPr="00FA771B">
        <w:rPr>
          <w:lang w:val="es-ES" w:bidi="es-ES"/>
        </w:rPr>
        <w:t xml:space="preserve">en el bienio 2024-2025, un nivel comparable al del bienio 2022-2023, en el que alcanzó los 6,39 millones de dólares </w:t>
      </w:r>
      <w:r w:rsidR="00830746" w:rsidRPr="003E5580">
        <w:rPr>
          <w:lang w:val="es-ES"/>
        </w:rPr>
        <w:t>estadounidenses</w:t>
      </w:r>
      <w:r w:rsidR="00830746">
        <w:rPr>
          <w:lang w:val="es-ES" w:bidi="es-ES"/>
        </w:rPr>
        <w:t xml:space="preserve"> </w:t>
      </w:r>
      <w:r w:rsidRPr="00FA771B">
        <w:rPr>
          <w:lang w:val="es-ES" w:bidi="es-ES"/>
        </w:rPr>
        <w:t xml:space="preserve">(véase la Figura 1). </w:t>
      </w:r>
      <w:r w:rsidR="00830746">
        <w:rPr>
          <w:lang w:val="es-ES" w:bidi="es-ES"/>
        </w:rPr>
        <w:t>Este s</w:t>
      </w:r>
      <w:r w:rsidRPr="00FA771B">
        <w:rPr>
          <w:lang w:val="es-ES" w:bidi="es-ES"/>
        </w:rPr>
        <w:t>uperó ampliamente el importe total de las contribuciones asignadas para 2024-2025 (4,73 millones de dólares</w:t>
      </w:r>
      <w:r w:rsidR="00830746">
        <w:rPr>
          <w:lang w:val="es-ES" w:bidi="es-ES"/>
        </w:rPr>
        <w:t xml:space="preserve"> </w:t>
      </w:r>
      <w:r w:rsidR="00830746" w:rsidRPr="003E5580">
        <w:rPr>
          <w:lang w:val="es-ES"/>
        </w:rPr>
        <w:t>estadounidenses</w:t>
      </w:r>
      <w:r w:rsidRPr="00FA771B">
        <w:rPr>
          <w:lang w:val="es-ES" w:bidi="es-ES"/>
        </w:rPr>
        <w:t>), que representan la mayor fuente de ingresos del Fondo. Est</w:t>
      </w:r>
      <w:r w:rsidR="00F73B7B">
        <w:rPr>
          <w:lang w:val="es-ES" w:bidi="es-ES"/>
        </w:rPr>
        <w:t>e incremento del</w:t>
      </w:r>
      <w:r w:rsidRPr="00FA771B">
        <w:rPr>
          <w:lang w:val="es-ES" w:bidi="es-ES"/>
        </w:rPr>
        <w:t xml:space="preserve"> </w:t>
      </w:r>
      <w:r w:rsidR="00F73B7B">
        <w:rPr>
          <w:lang w:val="es-ES" w:bidi="es-ES"/>
        </w:rPr>
        <w:t>gasto</w:t>
      </w:r>
      <w:r w:rsidRPr="00FA771B">
        <w:rPr>
          <w:lang w:val="es-ES" w:bidi="es-ES"/>
        </w:rPr>
        <w:t xml:space="preserve"> corresponde al desarrollo continuo de la Convención, que </w:t>
      </w:r>
      <w:r w:rsidR="00F73B7B">
        <w:rPr>
          <w:lang w:val="es-ES" w:bidi="es-ES"/>
        </w:rPr>
        <w:t>alcanza</w:t>
      </w:r>
      <w:r w:rsidRPr="00FA771B">
        <w:rPr>
          <w:lang w:val="es-ES" w:bidi="es-ES"/>
        </w:rPr>
        <w:t xml:space="preserve"> un número cada vez mayor de </w:t>
      </w:r>
      <w:r w:rsidR="00F73B7B">
        <w:rPr>
          <w:lang w:val="es-ES" w:bidi="es-ES"/>
        </w:rPr>
        <w:t xml:space="preserve">países </w:t>
      </w:r>
      <w:r w:rsidRPr="00FA771B">
        <w:rPr>
          <w:lang w:val="es-ES" w:bidi="es-ES"/>
        </w:rPr>
        <w:t>y comunidades, al tiempo que aborda un mayor número de ámbitos temáticos que ilustran la relevancia de la salvaguardia del patrimonio vivo para el desarrollo sostenible (</w:t>
      </w:r>
      <w:bookmarkStart w:id="1" w:name="_Hlk162009935"/>
      <w:r w:rsidRPr="00FA771B">
        <w:rPr>
          <w:lang w:val="es-ES" w:bidi="es-ES"/>
        </w:rPr>
        <w:t>véanse los documentos</w:t>
      </w:r>
      <w:bookmarkEnd w:id="1"/>
      <w:r w:rsidRPr="003E5580">
        <w:rPr>
          <w:lang w:val="es-ES" w:bidi="es-ES"/>
        </w:rPr>
        <w:t xml:space="preserve"> </w:t>
      </w:r>
      <w:r>
        <w:fldChar w:fldCharType="begin"/>
      </w:r>
      <w:r w:rsidR="00711589" w:rsidRPr="00711589">
        <w:rPr>
          <w:lang w:val="es-ES"/>
        </w:rPr>
        <w:instrText>HYPERLINK "https://ich.unesco.org/doc/src/LHE-26-11.GA-6_ES.docx"</w:instrText>
      </w:r>
      <w:r>
        <w:fldChar w:fldCharType="separate"/>
      </w:r>
      <w:r w:rsidRPr="003E5580">
        <w:rPr>
          <w:rStyle w:val="Hyperlink"/>
          <w:lang w:val="es-ES" w:bidi="es-ES"/>
        </w:rPr>
        <w:t>LHE/26/11.GA/6</w:t>
      </w:r>
      <w:r>
        <w:fldChar w:fldCharType="end"/>
      </w:r>
      <w:r w:rsidRPr="003E5580">
        <w:rPr>
          <w:lang w:val="es-ES" w:bidi="es-ES"/>
        </w:rPr>
        <w:t xml:space="preserve">, </w:t>
      </w:r>
      <w:r>
        <w:fldChar w:fldCharType="begin"/>
      </w:r>
      <w:r w:rsidRPr="00711589">
        <w:rPr>
          <w:lang w:val="es-ES"/>
        </w:rPr>
        <w:instrText>HYPERLINK "https://ich.unesco.org/doc/src/LHE-26-11.GA-INF.8_EN.docx"</w:instrText>
      </w:r>
      <w:r>
        <w:fldChar w:fldCharType="separate"/>
      </w:r>
      <w:r w:rsidRPr="003E5580">
        <w:rPr>
          <w:rStyle w:val="Hyperlink"/>
          <w:lang w:val="es-ES" w:bidi="es-ES"/>
        </w:rPr>
        <w:t>LHE/26/11.GA/INF.8</w:t>
      </w:r>
      <w:r>
        <w:fldChar w:fldCharType="end"/>
      </w:r>
      <w:r w:rsidRPr="003E5580">
        <w:rPr>
          <w:lang w:val="es-ES" w:bidi="es-ES"/>
        </w:rPr>
        <w:t xml:space="preserve"> y </w:t>
      </w:r>
      <w:r>
        <w:fldChar w:fldCharType="begin"/>
      </w:r>
      <w:r w:rsidRPr="00711589">
        <w:rPr>
          <w:lang w:val="es-ES"/>
        </w:rPr>
        <w:instrText>HYPERLINK "https://ich.unesco.org/doc/src/LHE-25-20.COM-14_EN.docx?t=1764362577"</w:instrText>
      </w:r>
      <w:r>
        <w:fldChar w:fldCharType="separate"/>
      </w:r>
      <w:r w:rsidRPr="003E5580">
        <w:rPr>
          <w:rStyle w:val="Hyperlink"/>
          <w:lang w:val="es-ES" w:bidi="es-ES"/>
        </w:rPr>
        <w:t>LHE/25/20.COM/14</w:t>
      </w:r>
      <w:r>
        <w:fldChar w:fldCharType="end"/>
      </w:r>
      <w:r w:rsidRPr="00FA771B">
        <w:rPr>
          <w:lang w:val="es-ES" w:bidi="es-ES"/>
        </w:rPr>
        <w:t>). Este nivel de gastos tan elevado, que supera el nivel de ingresos, es posible gracias al uso de fondos remanentes arrastrados de bienios anteriores.</w:t>
      </w:r>
    </w:p>
    <w:p w14:paraId="59F03AEF" w14:textId="1072A8C0" w:rsidR="005C47D7" w:rsidRPr="00FA771B" w:rsidRDefault="0012051C" w:rsidP="005C47D7">
      <w:pPr>
        <w:pStyle w:val="GAPara"/>
        <w:ind w:left="567" w:firstLine="0"/>
        <w:jc w:val="center"/>
      </w:pPr>
      <w:r>
        <w:rPr>
          <w:noProof/>
        </w:rPr>
        <w:drawing>
          <wp:inline distT="0" distB="0" distL="0" distR="0" wp14:anchorId="780706A1" wp14:editId="0F612446">
            <wp:extent cx="5680800" cy="3261600"/>
            <wp:effectExtent l="0" t="0" r="0" b="0"/>
            <wp:docPr id="1732303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0800" cy="3261600"/>
                    </a:xfrm>
                    <a:prstGeom prst="rect">
                      <a:avLst/>
                    </a:prstGeom>
                    <a:noFill/>
                  </pic:spPr>
                </pic:pic>
              </a:graphicData>
            </a:graphic>
          </wp:inline>
        </w:drawing>
      </w:r>
    </w:p>
    <w:p w14:paraId="7011C713" w14:textId="77777777" w:rsidR="005C47D7" w:rsidRPr="00FA771B" w:rsidRDefault="005C47D7" w:rsidP="005C47D7">
      <w:pPr>
        <w:spacing w:after="120"/>
        <w:ind w:right="201" w:firstLine="567"/>
        <w:rPr>
          <w:rFonts w:ascii="Arial" w:hAnsi="Arial" w:cs="Arial"/>
          <w:sz w:val="16"/>
          <w:szCs w:val="16"/>
        </w:rPr>
      </w:pPr>
      <w:r w:rsidRPr="00FA771B">
        <w:rPr>
          <w:rFonts w:ascii="Arial" w:eastAsia="Arial" w:hAnsi="Arial" w:cs="Arial"/>
          <w:b/>
          <w:sz w:val="16"/>
          <w:lang w:bidi="es-ES"/>
        </w:rPr>
        <w:t xml:space="preserve">Figura 1: </w:t>
      </w:r>
      <w:r w:rsidRPr="00FA771B">
        <w:rPr>
          <w:rFonts w:ascii="Arial" w:eastAsia="Arial" w:hAnsi="Arial" w:cs="Arial"/>
          <w:sz w:val="16"/>
          <w:lang w:bidi="es-ES"/>
        </w:rPr>
        <w:t>Evolución de los gastos del Fondo entre enero de 2016 y diciembre de 2025.</w:t>
      </w:r>
    </w:p>
    <w:p w14:paraId="750F2573" w14:textId="77777777" w:rsidR="005C47D7" w:rsidRPr="00FA771B" w:rsidRDefault="005C47D7" w:rsidP="005C47D7">
      <w:pPr>
        <w:pStyle w:val="GAPara"/>
        <w:spacing w:before="240"/>
        <w:ind w:left="567" w:firstLine="0"/>
        <w:jc w:val="both"/>
        <w:rPr>
          <w:b/>
          <w:bCs/>
        </w:rPr>
      </w:pPr>
      <w:r w:rsidRPr="00FA771B">
        <w:rPr>
          <w:b/>
          <w:lang w:val="es-ES" w:bidi="es-ES"/>
        </w:rPr>
        <w:t>Asistencia internacional</w:t>
      </w:r>
    </w:p>
    <w:p w14:paraId="611CAF3A" w14:textId="2D24C823" w:rsidR="005C47D7" w:rsidRPr="00FA771B" w:rsidRDefault="005C47D7" w:rsidP="005C47D7">
      <w:pPr>
        <w:pStyle w:val="COMPara"/>
        <w:numPr>
          <w:ilvl w:val="0"/>
          <w:numId w:val="23"/>
        </w:numPr>
        <w:ind w:left="567" w:hanging="567"/>
        <w:jc w:val="both"/>
      </w:pPr>
      <w:r w:rsidRPr="00FA771B">
        <w:rPr>
          <w:lang w:bidi="es-ES"/>
        </w:rPr>
        <w:t xml:space="preserve">Durante el período que abarca el informe, los </w:t>
      </w:r>
      <w:proofErr w:type="gramStart"/>
      <w:r w:rsidRPr="00FA771B">
        <w:rPr>
          <w:lang w:bidi="es-ES"/>
        </w:rPr>
        <w:t>Estados Partes</w:t>
      </w:r>
      <w:proofErr w:type="gramEnd"/>
      <w:r w:rsidRPr="00FA771B">
        <w:rPr>
          <w:lang w:bidi="es-ES"/>
        </w:rPr>
        <w:t xml:space="preserve"> han seguido haciendo un amplio uso de los </w:t>
      </w:r>
      <w:r w:rsidRPr="00FA771B">
        <w:rPr>
          <w:b/>
          <w:lang w:bidi="es-ES"/>
        </w:rPr>
        <w:t>mecanismos de asistencia internacional</w:t>
      </w:r>
      <w:r w:rsidRPr="00FA771B">
        <w:rPr>
          <w:lang w:bidi="es-ES"/>
        </w:rPr>
        <w:t>. La Figura 2 (a continuación) muestra un aumento en el uso de los fondos destinados a mecanismos de asistencia internacional, que corresponden a las partidas presupuestarias 1, 1.1 y 2.</w:t>
      </w:r>
      <w:r w:rsidRPr="00FA771B">
        <w:rPr>
          <w:rFonts w:ascii="Times New Roman" w:hAnsi="Times New Roman" w:cs="Times New Roman"/>
          <w:snapToGrid/>
          <w:sz w:val="24"/>
          <w:szCs w:val="24"/>
          <w:lang w:bidi="es-ES"/>
        </w:rPr>
        <w:t xml:space="preserve"> </w:t>
      </w:r>
      <w:r w:rsidRPr="00FA771B">
        <w:rPr>
          <w:lang w:bidi="es-ES"/>
        </w:rPr>
        <w:t>El índice de gasto de estas tres partidas presupuestarias juntas alcanzó el 74</w:t>
      </w:r>
      <w:r w:rsidRPr="00FA771B">
        <w:rPr>
          <w:i/>
          <w:lang w:bidi="es-ES"/>
        </w:rPr>
        <w:t> </w:t>
      </w:r>
      <w:r w:rsidRPr="00FA771B">
        <w:rPr>
          <w:lang w:bidi="es-ES"/>
        </w:rPr>
        <w:t>%, frente al 71</w:t>
      </w:r>
      <w:r w:rsidRPr="00FA771B">
        <w:rPr>
          <w:i/>
          <w:lang w:bidi="es-ES"/>
        </w:rPr>
        <w:t> </w:t>
      </w:r>
      <w:r w:rsidRPr="00FA771B">
        <w:rPr>
          <w:lang w:bidi="es-ES"/>
        </w:rPr>
        <w:t xml:space="preserve">% del bienio 2022-2023, lo que constituye el mayor índice de </w:t>
      </w:r>
      <w:r w:rsidR="00594A76">
        <w:rPr>
          <w:lang w:bidi="es-ES"/>
        </w:rPr>
        <w:t>gasto</w:t>
      </w:r>
      <w:r w:rsidR="00594A76" w:rsidRPr="00FA771B">
        <w:rPr>
          <w:lang w:bidi="es-ES"/>
        </w:rPr>
        <w:t xml:space="preserve"> </w:t>
      </w:r>
      <w:r w:rsidRPr="00FA771B">
        <w:rPr>
          <w:lang w:bidi="es-ES"/>
        </w:rPr>
        <w:t xml:space="preserve">hasta la fecha. Los siguientes factores explican la buena salud de los mecanismos: </w:t>
      </w:r>
    </w:p>
    <w:p w14:paraId="247B270D" w14:textId="6EF3BA1B" w:rsidR="005C47D7" w:rsidRPr="00FA771B" w:rsidRDefault="005C47D7" w:rsidP="003E5580">
      <w:pPr>
        <w:pStyle w:val="COMPara"/>
        <w:numPr>
          <w:ilvl w:val="0"/>
          <w:numId w:val="24"/>
        </w:numPr>
        <w:ind w:left="1134" w:hanging="567"/>
        <w:jc w:val="both"/>
        <w:rPr>
          <w:rFonts w:asciiTheme="minorBidi" w:hAnsiTheme="minorBidi" w:cstheme="minorBidi"/>
        </w:rPr>
      </w:pPr>
      <w:r w:rsidRPr="00FA771B">
        <w:rPr>
          <w:lang w:bidi="es-ES"/>
        </w:rPr>
        <w:t xml:space="preserve">la continua expansión geográfica de los mecanismos, con un total de ochenta y ocho </w:t>
      </w:r>
      <w:proofErr w:type="gramStart"/>
      <w:r w:rsidRPr="00FA771B">
        <w:rPr>
          <w:lang w:bidi="es-ES"/>
        </w:rPr>
        <w:t>Estados Partes</w:t>
      </w:r>
      <w:proofErr w:type="gramEnd"/>
      <w:r w:rsidRPr="00FA771B">
        <w:rPr>
          <w:lang w:bidi="es-ES"/>
        </w:rPr>
        <w:t xml:space="preserve"> que se han beneficiado de la asistencia internacional hasta la fecha, </w:t>
      </w:r>
      <w:r w:rsidRPr="00FA771B">
        <w:rPr>
          <w:rFonts w:asciiTheme="minorBidi" w:hAnsiTheme="minorBidi" w:cstheme="minorBidi"/>
          <w:lang w:bidi="es-ES"/>
        </w:rPr>
        <w:t xml:space="preserve">incluidos quince Estados (seis de África y cinco </w:t>
      </w:r>
      <w:r w:rsidR="00594A76" w:rsidRPr="00FA771B">
        <w:rPr>
          <w:rFonts w:asciiTheme="minorBidi" w:hAnsiTheme="minorBidi" w:cstheme="minorBidi"/>
          <w:lang w:bidi="es-ES"/>
        </w:rPr>
        <w:t>P</w:t>
      </w:r>
      <w:r w:rsidR="00594A76">
        <w:rPr>
          <w:rFonts w:asciiTheme="minorBidi" w:hAnsiTheme="minorBidi" w:cstheme="minorBidi"/>
          <w:lang w:bidi="es-ES"/>
        </w:rPr>
        <w:t xml:space="preserve">equeños </w:t>
      </w:r>
      <w:r w:rsidRPr="00FA771B">
        <w:rPr>
          <w:rFonts w:asciiTheme="minorBidi" w:hAnsiTheme="minorBidi" w:cstheme="minorBidi"/>
          <w:lang w:bidi="es-ES"/>
        </w:rPr>
        <w:t>E</w:t>
      </w:r>
      <w:r w:rsidR="00594A76">
        <w:rPr>
          <w:rFonts w:asciiTheme="minorBidi" w:hAnsiTheme="minorBidi" w:cstheme="minorBidi"/>
          <w:lang w:bidi="es-ES"/>
        </w:rPr>
        <w:t xml:space="preserve">stados </w:t>
      </w:r>
      <w:r w:rsidRPr="00FA771B">
        <w:rPr>
          <w:rFonts w:asciiTheme="minorBidi" w:hAnsiTheme="minorBidi" w:cstheme="minorBidi"/>
          <w:lang w:bidi="es-ES"/>
        </w:rPr>
        <w:t>I</w:t>
      </w:r>
      <w:r w:rsidR="00594A76">
        <w:rPr>
          <w:rFonts w:asciiTheme="minorBidi" w:hAnsiTheme="minorBidi" w:cstheme="minorBidi"/>
          <w:lang w:bidi="es-ES"/>
        </w:rPr>
        <w:t xml:space="preserve">nsulares en </w:t>
      </w:r>
      <w:r w:rsidRPr="00FA771B">
        <w:rPr>
          <w:rFonts w:asciiTheme="minorBidi" w:hAnsiTheme="minorBidi" w:cstheme="minorBidi"/>
          <w:lang w:bidi="es-ES"/>
        </w:rPr>
        <w:lastRenderedPageBreak/>
        <w:t>D</w:t>
      </w:r>
      <w:r w:rsidR="00594A76">
        <w:rPr>
          <w:rFonts w:asciiTheme="minorBidi" w:hAnsiTheme="minorBidi" w:cstheme="minorBidi"/>
          <w:lang w:bidi="es-ES"/>
        </w:rPr>
        <w:t>esarrollo -PEID</w:t>
      </w:r>
      <w:r w:rsidRPr="00FA771B">
        <w:rPr>
          <w:rFonts w:asciiTheme="minorBidi" w:hAnsiTheme="minorBidi" w:cstheme="minorBidi"/>
          <w:lang w:bidi="es-ES"/>
        </w:rPr>
        <w:t>) que recibieron dicha asistencia por primera vez durante el período que abarca el informe</w:t>
      </w:r>
      <w:r w:rsidRPr="00FA771B">
        <w:rPr>
          <w:lang w:bidi="es-ES"/>
        </w:rPr>
        <w:t xml:space="preserve">; </w:t>
      </w:r>
    </w:p>
    <w:p w14:paraId="2395F58A" w14:textId="5515D4C6" w:rsidR="005C47D7" w:rsidRPr="00FA771B" w:rsidRDefault="005C47D7" w:rsidP="003E5580">
      <w:pPr>
        <w:pStyle w:val="COMPara"/>
        <w:numPr>
          <w:ilvl w:val="0"/>
          <w:numId w:val="24"/>
        </w:numPr>
        <w:ind w:left="1134" w:hanging="567"/>
        <w:jc w:val="both"/>
      </w:pPr>
      <w:r w:rsidRPr="00FA771B">
        <w:rPr>
          <w:lang w:bidi="es-ES"/>
        </w:rPr>
        <w:t xml:space="preserve">la ampliación del alcance de la asistencia preparatoria </w:t>
      </w:r>
      <w:r w:rsidR="00594A76">
        <w:rPr>
          <w:lang w:bidi="es-ES"/>
        </w:rPr>
        <w:t>de conformidad</w:t>
      </w:r>
      <w:r w:rsidRPr="00FA771B">
        <w:rPr>
          <w:lang w:bidi="es-ES"/>
        </w:rPr>
        <w:t xml:space="preserve"> con la reflexión mundial sobre los mecanismos de </w:t>
      </w:r>
      <w:r w:rsidR="00594A76" w:rsidRPr="00FA771B">
        <w:rPr>
          <w:lang w:bidi="es-ES"/>
        </w:rPr>
        <w:t>i</w:t>
      </w:r>
      <w:r w:rsidR="00594A76">
        <w:rPr>
          <w:lang w:bidi="es-ES"/>
        </w:rPr>
        <w:t>nscripci</w:t>
      </w:r>
      <w:r w:rsidR="00594A76" w:rsidRPr="00FA771B">
        <w:rPr>
          <w:lang w:bidi="es-ES"/>
        </w:rPr>
        <w:t xml:space="preserve">ón </w:t>
      </w:r>
      <w:r w:rsidRPr="00FA771B">
        <w:rPr>
          <w:lang w:bidi="es-ES"/>
        </w:rPr>
        <w:t>en las Listas de la Convención, con ocho solicitudes aprobadas en 2024 y 2025 (frente a un total de seis solicitudes aprobadas entre 2014 y 2023);</w:t>
      </w:r>
    </w:p>
    <w:p w14:paraId="4AF9847A" w14:textId="77777777" w:rsidR="005C47D7" w:rsidRPr="00FA771B" w:rsidRDefault="005C47D7" w:rsidP="003E5580">
      <w:pPr>
        <w:pStyle w:val="COMPara"/>
        <w:numPr>
          <w:ilvl w:val="0"/>
          <w:numId w:val="24"/>
        </w:numPr>
        <w:ind w:left="1134" w:hanging="567"/>
        <w:jc w:val="both"/>
      </w:pPr>
      <w:r w:rsidRPr="00FA771B">
        <w:rPr>
          <w:lang w:bidi="es-ES"/>
        </w:rPr>
        <w:t>el apoyo técnico previo prestado por la Secretaría a los Estados solicitantes durante la fase de elaboración de las solicitudes (cinco Estados beneficiarios desde enero de 2024), que ha contribuido a la aprobación de las solicitudes de asistencia internacional presentadas a la Mesa durante el período que abarca el informe.</w:t>
      </w:r>
    </w:p>
    <w:p w14:paraId="615C11E3" w14:textId="60717B0A" w:rsidR="005C47D7" w:rsidRPr="00FA771B" w:rsidRDefault="005C47D7" w:rsidP="005C47D7">
      <w:pPr>
        <w:pStyle w:val="COMPara"/>
        <w:numPr>
          <w:ilvl w:val="0"/>
          <w:numId w:val="0"/>
        </w:numPr>
        <w:ind w:left="567"/>
        <w:jc w:val="both"/>
        <w:rPr>
          <w:b/>
          <w:bCs/>
        </w:rPr>
      </w:pPr>
      <w:r w:rsidRPr="00FA771B">
        <w:rPr>
          <w:lang w:bidi="es-ES"/>
        </w:rPr>
        <w:t xml:space="preserve">En el documento </w:t>
      </w:r>
      <w:hyperlink r:id="rId11" w:history="1">
        <w:r w:rsidRPr="00FA771B">
          <w:rPr>
            <w:rStyle w:val="Hyperlink"/>
            <w:lang w:bidi="es-ES"/>
          </w:rPr>
          <w:t>LHE/25/20.COM/10</w:t>
        </w:r>
      </w:hyperlink>
      <w:r w:rsidRPr="00FA771B">
        <w:rPr>
          <w:lang w:bidi="es-ES"/>
        </w:rPr>
        <w:t xml:space="preserve"> se incluye un informe detallado sobre la aplicación de los mecanismos de asistencia internacional. Para más información sobre los gastos en las partidas presupuestarias 1, 1.1 y 2 para el período </w:t>
      </w:r>
      <w:r w:rsidRPr="003E5580">
        <w:rPr>
          <w:lang w:bidi="es-ES"/>
        </w:rPr>
        <w:t xml:space="preserve">comprendido entre el 1 de enero de 2024 y el 31 de diciembre de 2025, véase el documento </w:t>
      </w:r>
      <w:hyperlink r:id="rId12" w:history="1">
        <w:r w:rsidRPr="003E5580">
          <w:rPr>
            <w:rStyle w:val="Hyperlink"/>
            <w:lang w:bidi="es-ES"/>
          </w:rPr>
          <w:t>LHE/26/11.GA/INF.8</w:t>
        </w:r>
      </w:hyperlink>
      <w:r w:rsidRPr="003E5580">
        <w:rPr>
          <w:lang w:bidi="es-ES"/>
        </w:rPr>
        <w:t>.</w:t>
      </w:r>
    </w:p>
    <w:p w14:paraId="24271BF1" w14:textId="765D593F" w:rsidR="005C47D7" w:rsidRPr="00FA771B" w:rsidRDefault="00C11660" w:rsidP="005C47D7">
      <w:pPr>
        <w:pStyle w:val="COMPara"/>
        <w:numPr>
          <w:ilvl w:val="0"/>
          <w:numId w:val="0"/>
        </w:numPr>
        <w:ind w:left="567"/>
        <w:jc w:val="both"/>
        <w:rPr>
          <w:b/>
          <w:bCs/>
        </w:rPr>
      </w:pPr>
      <w:r>
        <w:rPr>
          <w:b/>
          <w:bCs/>
          <w:noProof/>
        </w:rPr>
        <w:drawing>
          <wp:inline distT="0" distB="0" distL="0" distR="0" wp14:anchorId="5AE0BD4E" wp14:editId="7C4E2444">
            <wp:extent cx="6246000" cy="3668400"/>
            <wp:effectExtent l="0" t="0" r="2540" b="8255"/>
            <wp:docPr id="386763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46000" cy="3668400"/>
                    </a:xfrm>
                    <a:prstGeom prst="rect">
                      <a:avLst/>
                    </a:prstGeom>
                    <a:noFill/>
                  </pic:spPr>
                </pic:pic>
              </a:graphicData>
            </a:graphic>
          </wp:inline>
        </w:drawing>
      </w:r>
    </w:p>
    <w:p w14:paraId="0B67A44D" w14:textId="77777777" w:rsidR="005C47D7" w:rsidRPr="00FA771B" w:rsidRDefault="005C47D7" w:rsidP="005C47D7">
      <w:pPr>
        <w:spacing w:after="120"/>
        <w:ind w:left="567" w:right="198"/>
        <w:rPr>
          <w:rFonts w:ascii="Arial" w:hAnsi="Arial" w:cs="Arial"/>
          <w:sz w:val="16"/>
          <w:szCs w:val="16"/>
        </w:rPr>
      </w:pPr>
      <w:r w:rsidRPr="00FA771B">
        <w:rPr>
          <w:lang w:bidi="es-ES"/>
        </w:rPr>
        <w:t xml:space="preserve"> </w:t>
      </w:r>
      <w:r w:rsidRPr="00FA771B">
        <w:rPr>
          <w:rFonts w:ascii="Arial" w:eastAsia="Arial" w:hAnsi="Arial" w:cs="Arial"/>
          <w:b/>
          <w:sz w:val="16"/>
          <w:lang w:bidi="es-ES"/>
        </w:rPr>
        <w:t xml:space="preserve">Figura 2: </w:t>
      </w:r>
      <w:r w:rsidRPr="00FA771B">
        <w:rPr>
          <w:rFonts w:ascii="Arial" w:eastAsia="Arial" w:hAnsi="Arial" w:cs="Arial"/>
          <w:sz w:val="16"/>
          <w:lang w:bidi="es-ES"/>
        </w:rPr>
        <w:t>Índice de gastos para la asistencia internacional y la asistencia preparatoria</w:t>
      </w:r>
    </w:p>
    <w:p w14:paraId="2216D6D8" w14:textId="77777777" w:rsidR="005C47D7" w:rsidRPr="00FA771B" w:rsidRDefault="005C47D7" w:rsidP="005C47D7">
      <w:pPr>
        <w:pStyle w:val="COMPara"/>
        <w:numPr>
          <w:ilvl w:val="0"/>
          <w:numId w:val="0"/>
        </w:numPr>
        <w:tabs>
          <w:tab w:val="left" w:pos="567"/>
        </w:tabs>
        <w:spacing w:before="240"/>
        <w:ind w:left="567"/>
        <w:jc w:val="both"/>
        <w:rPr>
          <w:b/>
          <w:bCs/>
        </w:rPr>
      </w:pPr>
      <w:r w:rsidRPr="00FA771B">
        <w:rPr>
          <w:b/>
          <w:lang w:bidi="es-ES"/>
        </w:rPr>
        <w:t>Contribuciones asignadas</w:t>
      </w:r>
    </w:p>
    <w:p w14:paraId="613CF123" w14:textId="4190881F" w:rsidR="005C47D7" w:rsidRPr="00FA771B" w:rsidRDefault="005C47D7" w:rsidP="005C47D7">
      <w:pPr>
        <w:pStyle w:val="COMPara"/>
        <w:numPr>
          <w:ilvl w:val="0"/>
          <w:numId w:val="23"/>
        </w:numPr>
        <w:tabs>
          <w:tab w:val="left" w:pos="567"/>
        </w:tabs>
        <w:spacing w:before="120"/>
        <w:ind w:left="567" w:hanging="567"/>
        <w:jc w:val="both"/>
      </w:pPr>
      <w:r w:rsidRPr="00FA771B">
        <w:rPr>
          <w:lang w:bidi="es-ES"/>
        </w:rPr>
        <w:t xml:space="preserve">Cabe recordar que el </w:t>
      </w:r>
      <w:r w:rsidRPr="00FA771B">
        <w:rPr>
          <w:b/>
          <w:lang w:bidi="es-ES"/>
        </w:rPr>
        <w:t>pago de las contribuciones</w:t>
      </w:r>
      <w:r w:rsidR="0010042E">
        <w:rPr>
          <w:b/>
          <w:lang w:bidi="es-ES"/>
        </w:rPr>
        <w:t xml:space="preserve"> asignadas</w:t>
      </w:r>
      <w:r w:rsidRPr="00FA771B">
        <w:rPr>
          <w:lang w:bidi="es-ES"/>
        </w:rPr>
        <w:t xml:space="preserve"> es una obligación de todos los </w:t>
      </w:r>
      <w:proofErr w:type="gramStart"/>
      <w:r w:rsidRPr="00FA771B">
        <w:rPr>
          <w:lang w:bidi="es-ES"/>
        </w:rPr>
        <w:t>Estados Partes</w:t>
      </w:r>
      <w:proofErr w:type="gramEnd"/>
      <w:r w:rsidRPr="00FA771B">
        <w:rPr>
          <w:lang w:bidi="es-ES"/>
        </w:rPr>
        <w:t xml:space="preserve"> que han ratificado la Convención, de conformidad con el Artículo 26. Dado que los </w:t>
      </w:r>
      <w:proofErr w:type="gramStart"/>
      <w:r w:rsidRPr="00FA771B">
        <w:rPr>
          <w:lang w:bidi="es-ES"/>
        </w:rPr>
        <w:t>Estados Partes</w:t>
      </w:r>
      <w:proofErr w:type="gramEnd"/>
      <w:r w:rsidRPr="00FA771B">
        <w:rPr>
          <w:lang w:bidi="es-ES"/>
        </w:rPr>
        <w:t xml:space="preserve"> ejercen los derechos y disfrutan de los beneficios que les confiere la Convención, también se espera que cumplan sus compromisos correspondientes a cambio. Tal y como se destaca en varios documentos estatutarios (los más recientes son los documentos </w:t>
      </w:r>
      <w:hyperlink r:id="rId14" w:history="1">
        <w:r w:rsidRPr="00FA771B">
          <w:rPr>
            <w:rStyle w:val="Hyperlink"/>
            <w:lang w:bidi="es-ES"/>
          </w:rPr>
          <w:t>LHE/25/20.COM/14</w:t>
        </w:r>
      </w:hyperlink>
      <w:r w:rsidRPr="00FA771B">
        <w:rPr>
          <w:lang w:bidi="es-ES"/>
        </w:rPr>
        <w:t xml:space="preserve"> y </w:t>
      </w:r>
      <w:hyperlink r:id="rId15" w:history="1">
        <w:r w:rsidRPr="00FA771B">
          <w:rPr>
            <w:rStyle w:val="Hyperlink"/>
            <w:lang w:bidi="es-ES"/>
          </w:rPr>
          <w:t>LHE/24/10.GA/8</w:t>
        </w:r>
      </w:hyperlink>
      <w:r w:rsidRPr="00FA771B">
        <w:rPr>
          <w:lang w:bidi="es-ES"/>
        </w:rPr>
        <w:t xml:space="preserve">), se insta a todos los </w:t>
      </w:r>
      <w:proofErr w:type="gramStart"/>
      <w:r w:rsidRPr="00FA771B">
        <w:rPr>
          <w:lang w:bidi="es-ES"/>
        </w:rPr>
        <w:t>Estados Partes</w:t>
      </w:r>
      <w:proofErr w:type="gramEnd"/>
      <w:r w:rsidRPr="00FA771B">
        <w:rPr>
          <w:lang w:bidi="es-ES"/>
        </w:rPr>
        <w:t xml:space="preserve"> a pagar la totalidad de sus contribuciones asignadas lo antes posible.</w:t>
      </w:r>
    </w:p>
    <w:p w14:paraId="79FBAF4B" w14:textId="771DB67F" w:rsidR="005C47D7" w:rsidRPr="00FA771B" w:rsidRDefault="005C47D7" w:rsidP="005C47D7">
      <w:pPr>
        <w:pStyle w:val="COMPara"/>
        <w:numPr>
          <w:ilvl w:val="0"/>
          <w:numId w:val="23"/>
        </w:numPr>
        <w:tabs>
          <w:tab w:val="left" w:pos="567"/>
        </w:tabs>
        <w:spacing w:before="120"/>
        <w:ind w:left="567" w:hanging="567"/>
        <w:jc w:val="both"/>
      </w:pPr>
      <w:r w:rsidRPr="00FA771B">
        <w:rPr>
          <w:lang w:bidi="es-ES"/>
        </w:rPr>
        <w:t xml:space="preserve">En lo que respecta a las </w:t>
      </w:r>
      <w:r w:rsidRPr="00FA771B">
        <w:rPr>
          <w:b/>
          <w:lang w:bidi="es-ES"/>
        </w:rPr>
        <w:t>contribuciones asignadas obligatorias</w:t>
      </w:r>
      <w:r w:rsidRPr="00FA771B">
        <w:rPr>
          <w:lang w:bidi="es-ES"/>
        </w:rPr>
        <w:t xml:space="preserve"> a pagar por los </w:t>
      </w:r>
      <w:proofErr w:type="gramStart"/>
      <w:r w:rsidRPr="00FA771B">
        <w:rPr>
          <w:lang w:bidi="es-ES"/>
        </w:rPr>
        <w:t>Estados Partes</w:t>
      </w:r>
      <w:proofErr w:type="gramEnd"/>
      <w:r w:rsidRPr="00FA771B">
        <w:rPr>
          <w:lang w:bidi="es-ES"/>
        </w:rPr>
        <w:t xml:space="preserve"> de conformidad con el Artículo 26.1 de la Convención, </w:t>
      </w:r>
      <w:r w:rsidR="0010042E">
        <w:rPr>
          <w:lang w:bidi="es-ES"/>
        </w:rPr>
        <w:t xml:space="preserve">el total de </w:t>
      </w:r>
      <w:r w:rsidRPr="00FA771B">
        <w:rPr>
          <w:lang w:bidi="es-ES"/>
        </w:rPr>
        <w:t xml:space="preserve">las contribuciones impagadas representaban 371.959 dólares estadounidenses al final del período que abarca este documento, de los cuales 239.624 dólares estadounidenses corresponden a contribuciones impagadas de años anteriores. A 31 de diciembre de 2025, 89 </w:t>
      </w:r>
      <w:proofErr w:type="gramStart"/>
      <w:r w:rsidRPr="00FA771B">
        <w:rPr>
          <w:lang w:bidi="es-ES"/>
        </w:rPr>
        <w:t>Estados Partes</w:t>
      </w:r>
      <w:proofErr w:type="gramEnd"/>
      <w:r w:rsidRPr="00FA771B">
        <w:rPr>
          <w:lang w:bidi="es-ES"/>
        </w:rPr>
        <w:t xml:space="preserve"> (aproximadamente la mitad de los </w:t>
      </w:r>
      <w:proofErr w:type="gramStart"/>
      <w:r w:rsidRPr="00FA771B">
        <w:rPr>
          <w:lang w:bidi="es-ES"/>
        </w:rPr>
        <w:t>Estados Partes</w:t>
      </w:r>
      <w:proofErr w:type="gramEnd"/>
      <w:r w:rsidRPr="00FA771B">
        <w:rPr>
          <w:lang w:bidi="es-ES"/>
        </w:rPr>
        <w:t xml:space="preserve"> obligados por el Artículo 26.1) aún no han </w:t>
      </w:r>
      <w:r w:rsidRPr="00FA771B">
        <w:rPr>
          <w:lang w:bidi="es-ES"/>
        </w:rPr>
        <w:lastRenderedPageBreak/>
        <w:t xml:space="preserve">pagado sus contribuciones para 2024-2025, incluidos 31 </w:t>
      </w:r>
      <w:proofErr w:type="gramStart"/>
      <w:r w:rsidRPr="00FA771B">
        <w:rPr>
          <w:lang w:bidi="es-ES"/>
        </w:rPr>
        <w:t>Estados Partes</w:t>
      </w:r>
      <w:proofErr w:type="gramEnd"/>
      <w:r w:rsidRPr="00FA771B">
        <w:rPr>
          <w:lang w:bidi="es-ES"/>
        </w:rPr>
        <w:t xml:space="preserve"> que tampoco han pagado su contribución </w:t>
      </w:r>
      <w:r w:rsidR="0010042E">
        <w:rPr>
          <w:lang w:bidi="es-ES"/>
        </w:rPr>
        <w:t xml:space="preserve">asignada </w:t>
      </w:r>
      <w:r w:rsidRPr="00FA771B">
        <w:rPr>
          <w:lang w:bidi="es-ES"/>
        </w:rPr>
        <w:t xml:space="preserve">para años anteriores (véase </w:t>
      </w:r>
      <w:hyperlink r:id="rId16" w:history="1">
        <w:r w:rsidRPr="00FA771B">
          <w:rPr>
            <w:rStyle w:val="Hyperlink"/>
            <w:lang w:bidi="es-ES"/>
          </w:rPr>
          <w:t>el Estado de las contribuciones asignadas a 31 de diciembre de 2025</w:t>
        </w:r>
      </w:hyperlink>
      <w:r w:rsidRPr="00FA771B">
        <w:rPr>
          <w:lang w:bidi="es-ES"/>
        </w:rPr>
        <w:t>).</w:t>
      </w:r>
      <w:r w:rsidRPr="00FA771B">
        <w:rPr>
          <w:rStyle w:val="FootnoteReference"/>
          <w:lang w:bidi="es-ES"/>
        </w:rPr>
        <w:footnoteReference w:id="1"/>
      </w:r>
    </w:p>
    <w:p w14:paraId="4780B972" w14:textId="3C68C534" w:rsidR="005C47D7" w:rsidRPr="00FA771B" w:rsidRDefault="005C47D7" w:rsidP="005C47D7">
      <w:pPr>
        <w:pStyle w:val="COMPara"/>
        <w:numPr>
          <w:ilvl w:val="0"/>
          <w:numId w:val="23"/>
        </w:numPr>
        <w:tabs>
          <w:tab w:val="left" w:pos="567"/>
        </w:tabs>
        <w:spacing w:before="120"/>
        <w:ind w:left="567" w:hanging="567"/>
        <w:jc w:val="both"/>
      </w:pPr>
      <w:r w:rsidRPr="00FA771B">
        <w:rPr>
          <w:lang w:bidi="es-ES"/>
        </w:rPr>
        <w:t xml:space="preserve">El pago de las </w:t>
      </w:r>
      <w:r w:rsidRPr="00FA771B">
        <w:rPr>
          <w:b/>
          <w:lang w:bidi="es-ES"/>
        </w:rPr>
        <w:t>contribuciones asignadas voluntarias</w:t>
      </w:r>
      <w:r w:rsidRPr="00FA771B">
        <w:rPr>
          <w:lang w:bidi="es-ES"/>
        </w:rPr>
        <w:t xml:space="preserve"> de los </w:t>
      </w:r>
      <w:proofErr w:type="gramStart"/>
      <w:r w:rsidRPr="00FA771B">
        <w:rPr>
          <w:lang w:bidi="es-ES"/>
        </w:rPr>
        <w:t>Estados Partes</w:t>
      </w:r>
      <w:proofErr w:type="gramEnd"/>
      <w:r w:rsidRPr="00FA771B">
        <w:rPr>
          <w:lang w:bidi="es-ES"/>
        </w:rPr>
        <w:t xml:space="preserve"> de conformidad con el artículo 26.2 de la Convención representa el 89</w:t>
      </w:r>
      <w:r w:rsidRPr="00FA771B">
        <w:rPr>
          <w:i/>
          <w:lang w:bidi="es-ES"/>
        </w:rPr>
        <w:t> </w:t>
      </w:r>
      <w:r w:rsidRPr="00FA771B">
        <w:rPr>
          <w:lang w:bidi="es-ES"/>
        </w:rPr>
        <w:t>% de la cantidad asignada para el bienio 2024-2025, que es ligeramente inferior al porcentaje en el mismo período del bienio anterior (92</w:t>
      </w:r>
      <w:r w:rsidRPr="00FA771B">
        <w:rPr>
          <w:i/>
          <w:lang w:bidi="es-ES"/>
        </w:rPr>
        <w:t> </w:t>
      </w:r>
      <w:r w:rsidRPr="00FA771B">
        <w:rPr>
          <w:lang w:bidi="es-ES"/>
        </w:rPr>
        <w:t>%)</w:t>
      </w:r>
      <w:r w:rsidR="008A4E90">
        <w:rPr>
          <w:lang w:bidi="es-ES"/>
        </w:rPr>
        <w:t>.</w:t>
      </w:r>
    </w:p>
    <w:p w14:paraId="30572527" w14:textId="4BB9B155" w:rsidR="005C47D7" w:rsidRPr="00FA771B" w:rsidRDefault="005C47D7" w:rsidP="005C47D7">
      <w:pPr>
        <w:pStyle w:val="COMPara"/>
        <w:numPr>
          <w:ilvl w:val="0"/>
          <w:numId w:val="0"/>
        </w:numPr>
        <w:spacing w:before="240"/>
        <w:ind w:firstLine="567"/>
        <w:rPr>
          <w:b/>
          <w:bCs/>
        </w:rPr>
      </w:pPr>
      <w:r w:rsidRPr="00FA771B">
        <w:rPr>
          <w:b/>
          <w:lang w:bidi="es-ES"/>
        </w:rPr>
        <w:t xml:space="preserve">Actualización del </w:t>
      </w:r>
      <w:proofErr w:type="spellStart"/>
      <w:r w:rsidRPr="00FA771B">
        <w:rPr>
          <w:b/>
          <w:lang w:bidi="es-ES"/>
        </w:rPr>
        <w:t>sub</w:t>
      </w:r>
      <w:r w:rsidR="008A4E90">
        <w:rPr>
          <w:b/>
          <w:lang w:bidi="es-ES"/>
        </w:rPr>
        <w:t>-</w:t>
      </w:r>
      <w:r w:rsidRPr="00FA771B">
        <w:rPr>
          <w:b/>
          <w:lang w:bidi="es-ES"/>
        </w:rPr>
        <w:t>fondo</w:t>
      </w:r>
      <w:proofErr w:type="spellEnd"/>
      <w:r w:rsidRPr="00FA771B">
        <w:rPr>
          <w:b/>
          <w:lang w:bidi="es-ES"/>
        </w:rPr>
        <w:t xml:space="preserve"> para reforzar los recursos humanos de la Secretaría</w:t>
      </w:r>
    </w:p>
    <w:p w14:paraId="1A3921BC" w14:textId="0A71EFFE" w:rsidR="005C47D7" w:rsidRPr="00FA771B" w:rsidRDefault="005C47D7" w:rsidP="005C47D7">
      <w:pPr>
        <w:pStyle w:val="COMPara"/>
        <w:numPr>
          <w:ilvl w:val="0"/>
          <w:numId w:val="23"/>
        </w:numPr>
        <w:tabs>
          <w:tab w:val="left" w:pos="567"/>
        </w:tabs>
        <w:spacing w:before="120"/>
        <w:ind w:left="567" w:hanging="567"/>
        <w:jc w:val="both"/>
      </w:pPr>
      <w:r w:rsidRPr="00FA771B">
        <w:rPr>
          <w:lang w:bidi="es-ES"/>
        </w:rPr>
        <w:t xml:space="preserve">La Asamblea General creó el </w:t>
      </w:r>
      <w:proofErr w:type="spellStart"/>
      <w:r w:rsidRPr="00FA771B">
        <w:rPr>
          <w:lang w:bidi="es-ES"/>
        </w:rPr>
        <w:t>sub</w:t>
      </w:r>
      <w:r w:rsidR="008A4E90">
        <w:rPr>
          <w:lang w:bidi="es-ES"/>
        </w:rPr>
        <w:t>-</w:t>
      </w:r>
      <w:r w:rsidRPr="00FA771B">
        <w:rPr>
          <w:lang w:bidi="es-ES"/>
        </w:rPr>
        <w:t>fondo</w:t>
      </w:r>
      <w:proofErr w:type="spellEnd"/>
      <w:r w:rsidRPr="00FA771B">
        <w:rPr>
          <w:lang w:bidi="es-ES"/>
        </w:rPr>
        <w:t xml:space="preserve"> para reforzar los recursos humanos de la Secretaría en junio de 2010 (</w:t>
      </w:r>
      <w:r w:rsidRPr="00CD4B54">
        <w:rPr>
          <w:lang w:bidi="es-ES"/>
        </w:rPr>
        <w:t xml:space="preserve">Resolución </w:t>
      </w:r>
      <w:hyperlink r:id="rId17" w:history="1">
        <w:r w:rsidRPr="00CD4B54">
          <w:rPr>
            <w:rFonts w:asciiTheme="minorBidi" w:hAnsiTheme="minorBidi" w:cstheme="minorBidi"/>
            <w:color w:val="0000FF" w:themeColor="hyperlink"/>
            <w:lang w:bidi="es-ES"/>
          </w:rPr>
          <w:t>3.GA 9</w:t>
        </w:r>
      </w:hyperlink>
      <w:r w:rsidRPr="00FA771B">
        <w:rPr>
          <w:lang w:bidi="es-ES"/>
        </w:rPr>
        <w:t xml:space="preserve">) con el fin de apoyar a la Secretaría y permitirle responder a las necesidades expresadas por los </w:t>
      </w:r>
      <w:proofErr w:type="gramStart"/>
      <w:r w:rsidRPr="00FA771B">
        <w:rPr>
          <w:lang w:bidi="es-ES"/>
        </w:rPr>
        <w:t>Estados Partes</w:t>
      </w:r>
      <w:proofErr w:type="gramEnd"/>
      <w:r w:rsidRPr="00FA771B">
        <w:rPr>
          <w:lang w:bidi="es-ES"/>
        </w:rPr>
        <w:t xml:space="preserve">. En 2020, la octava reunión de la Asamblea General replanteó el objetivo anual del </w:t>
      </w:r>
      <w:proofErr w:type="spellStart"/>
      <w:r w:rsidRPr="00FA771B">
        <w:rPr>
          <w:lang w:bidi="es-ES"/>
        </w:rPr>
        <w:t>sub</w:t>
      </w:r>
      <w:r w:rsidR="008A4E90">
        <w:rPr>
          <w:lang w:bidi="es-ES"/>
        </w:rPr>
        <w:t>-</w:t>
      </w:r>
      <w:r w:rsidRPr="00FA771B">
        <w:rPr>
          <w:lang w:bidi="es-ES"/>
        </w:rPr>
        <w:t>fondo</w:t>
      </w:r>
      <w:proofErr w:type="spellEnd"/>
      <w:r w:rsidRPr="00FA771B">
        <w:rPr>
          <w:lang w:bidi="es-ES"/>
        </w:rPr>
        <w:t>, establecido en un primer momento, en 2010, en 1,1 millones de dólares estadounidenses aproximadamente, y lo fijó en 950.000 dólares estadounidenses al año (</w:t>
      </w:r>
      <w:r w:rsidRPr="00CD4B54">
        <w:rPr>
          <w:lang w:bidi="es-ES"/>
        </w:rPr>
        <w:t xml:space="preserve">Resolución </w:t>
      </w:r>
      <w:hyperlink r:id="rId18" w:history="1">
        <w:r w:rsidRPr="00CD4B54">
          <w:rPr>
            <w:rFonts w:asciiTheme="minorBidi" w:hAnsiTheme="minorBidi" w:cstheme="minorBidi"/>
            <w:color w:val="0000FF" w:themeColor="hyperlink"/>
            <w:lang w:bidi="es-ES"/>
          </w:rPr>
          <w:t>8.GA 7</w:t>
        </w:r>
      </w:hyperlink>
      <w:r w:rsidRPr="00FA771B">
        <w:rPr>
          <w:lang w:bidi="es-ES"/>
        </w:rPr>
        <w:t>). Durante el bienio 2024-2025, se recibieron ocho contribuciones voluntarias de Francia, Lituania (dos veces), Mónaco (dos veces), Eslovenia y el Reino Unido de Gran Bretaña e Irlanda del Norte (dos veces) por un importe total de 238.113 dólares estadounidenses.</w:t>
      </w:r>
    </w:p>
    <w:p w14:paraId="1CCFF799" w14:textId="77777777" w:rsidR="005C47D7" w:rsidRPr="00FA771B" w:rsidRDefault="005C47D7" w:rsidP="005C47D7">
      <w:pPr>
        <w:pStyle w:val="COMPara"/>
        <w:numPr>
          <w:ilvl w:val="0"/>
          <w:numId w:val="0"/>
        </w:numPr>
        <w:tabs>
          <w:tab w:val="left" w:pos="567"/>
        </w:tabs>
        <w:spacing w:before="240"/>
        <w:ind w:left="714" w:hanging="357"/>
        <w:jc w:val="both"/>
        <w:rPr>
          <w:b/>
          <w:bCs/>
        </w:rPr>
      </w:pPr>
      <w:r w:rsidRPr="00FA771B">
        <w:rPr>
          <w:b/>
          <w:lang w:bidi="es-ES"/>
        </w:rPr>
        <w:tab/>
        <w:t>Perspectivas para futuros ciclos presupuestarios</w:t>
      </w:r>
    </w:p>
    <w:p w14:paraId="715A7B4D" w14:textId="3FFA166B" w:rsidR="005C47D7" w:rsidRPr="00FA771B" w:rsidRDefault="005C47D7" w:rsidP="005C47D7">
      <w:pPr>
        <w:pStyle w:val="COMPara"/>
        <w:numPr>
          <w:ilvl w:val="0"/>
          <w:numId w:val="23"/>
        </w:numPr>
        <w:ind w:left="567" w:hanging="567"/>
        <w:jc w:val="both"/>
      </w:pPr>
      <w:r w:rsidRPr="00FA771B">
        <w:rPr>
          <w:lang w:bidi="es-ES"/>
        </w:rPr>
        <w:t>En los dos últimos bienios, el Fondo ha demostrado una capacidad de aplicación sólida y en buen estado, con un alto nivel de gasto (73,2</w:t>
      </w:r>
      <w:r w:rsidRPr="00FA771B">
        <w:rPr>
          <w:i/>
          <w:lang w:bidi="es-ES"/>
        </w:rPr>
        <w:t> </w:t>
      </w:r>
      <w:r w:rsidRPr="00FA771B">
        <w:rPr>
          <w:lang w:bidi="es-ES"/>
        </w:rPr>
        <w:t>% en el bienio 2022-2023 y 76,9</w:t>
      </w:r>
      <w:r w:rsidRPr="00FA771B">
        <w:rPr>
          <w:i/>
          <w:lang w:bidi="es-ES"/>
        </w:rPr>
        <w:t> </w:t>
      </w:r>
      <w:r w:rsidRPr="00FA771B">
        <w:rPr>
          <w:lang w:bidi="es-ES"/>
        </w:rPr>
        <w:t xml:space="preserve">% en el bienio 2024-2025). Cabe destacar que, si el nivel de gastos se mantiene </w:t>
      </w:r>
      <w:r w:rsidR="008A4E90">
        <w:rPr>
          <w:lang w:bidi="es-ES"/>
        </w:rPr>
        <w:t xml:space="preserve">a un nivel </w:t>
      </w:r>
      <w:r w:rsidRPr="00FA771B">
        <w:rPr>
          <w:lang w:bidi="es-ES"/>
        </w:rPr>
        <w:t xml:space="preserve">tan elevado (es decir, por encima del nivel de las contribuciones asignadas recibidas cada bienio), la previsión es que los recursos disponibles para los futuros bienios disminuyan en consecuencia. Por lo tanto, no debe darse por sentada la capacidad actual del Fondo de responder a las necesidades de salvaguardia de los </w:t>
      </w:r>
      <w:proofErr w:type="gramStart"/>
      <w:r w:rsidRPr="00FA771B">
        <w:rPr>
          <w:lang w:bidi="es-ES"/>
        </w:rPr>
        <w:t>Estados Partes</w:t>
      </w:r>
      <w:proofErr w:type="gramEnd"/>
      <w:r w:rsidRPr="00FA771B">
        <w:rPr>
          <w:lang w:bidi="es-ES"/>
        </w:rPr>
        <w:t xml:space="preserve">, como se explica en la Parte II. </w:t>
      </w:r>
      <w:r w:rsidR="008A4E90">
        <w:rPr>
          <w:lang w:bidi="es-ES"/>
        </w:rPr>
        <w:t>Es necesario</w:t>
      </w:r>
      <w:r w:rsidRPr="00FA771B">
        <w:rPr>
          <w:lang w:bidi="es-ES"/>
        </w:rPr>
        <w:t xml:space="preserve"> hacer un buen seguimiento más allá del corto plazo para garantizar que la aplicación de la Convención de 2003 sea sostenible. </w:t>
      </w:r>
      <w:r w:rsidRPr="00780E52">
        <w:rPr>
          <w:lang w:bidi="es-ES"/>
        </w:rPr>
        <w:t xml:space="preserve">En particular, deben tenerse en cuenta las repercusiones </w:t>
      </w:r>
      <w:r w:rsidR="00780E52" w:rsidRPr="003E5580">
        <w:rPr>
          <w:lang w:bidi="es-ES"/>
        </w:rPr>
        <w:t xml:space="preserve">en cuanto a recursos humanos </w:t>
      </w:r>
      <w:r w:rsidRPr="00780E52">
        <w:rPr>
          <w:lang w:bidi="es-ES"/>
        </w:rPr>
        <w:t>de</w:t>
      </w:r>
      <w:r w:rsidR="00780E52" w:rsidRPr="003E5580">
        <w:rPr>
          <w:lang w:bidi="es-ES"/>
        </w:rPr>
        <w:t xml:space="preserve"> la expansión </w:t>
      </w:r>
      <w:r w:rsidRPr="00780E52">
        <w:rPr>
          <w:lang w:bidi="es-ES"/>
        </w:rPr>
        <w:t>geográfic</w:t>
      </w:r>
      <w:r w:rsidR="00780E52" w:rsidRPr="003E5580">
        <w:rPr>
          <w:lang w:bidi="es-ES"/>
        </w:rPr>
        <w:t>a</w:t>
      </w:r>
      <w:r w:rsidRPr="00780E52">
        <w:rPr>
          <w:lang w:bidi="es-ES"/>
        </w:rPr>
        <w:t xml:space="preserve"> </w:t>
      </w:r>
      <w:r w:rsidR="00851D55" w:rsidRPr="003E5580">
        <w:rPr>
          <w:lang w:bidi="es-ES"/>
        </w:rPr>
        <w:t xml:space="preserve">y </w:t>
      </w:r>
      <w:r w:rsidR="00780E52" w:rsidRPr="003E5580">
        <w:rPr>
          <w:lang w:bidi="es-ES"/>
        </w:rPr>
        <w:t xml:space="preserve">el desarrollo </w:t>
      </w:r>
      <w:r w:rsidR="00851D55" w:rsidRPr="003E5580">
        <w:rPr>
          <w:lang w:bidi="es-ES"/>
        </w:rPr>
        <w:t xml:space="preserve">sustantivo </w:t>
      </w:r>
      <w:r w:rsidRPr="00780E52">
        <w:rPr>
          <w:lang w:bidi="es-ES"/>
        </w:rPr>
        <w:t>de la Convención</w:t>
      </w:r>
      <w:r w:rsidR="00780E52" w:rsidRPr="003E5580">
        <w:rPr>
          <w:lang w:bidi="es-ES"/>
        </w:rPr>
        <w:t>,</w:t>
      </w:r>
      <w:r w:rsidRPr="00780E52">
        <w:rPr>
          <w:lang w:bidi="es-ES"/>
        </w:rPr>
        <w:t xml:space="preserve"> para garantizar que la Secretaría esté preparada para ofrecer un apoyo adecuado a los </w:t>
      </w:r>
      <w:proofErr w:type="gramStart"/>
      <w:r w:rsidRPr="00780E52">
        <w:rPr>
          <w:lang w:bidi="es-ES"/>
        </w:rPr>
        <w:t>Estados Partes</w:t>
      </w:r>
      <w:proofErr w:type="gramEnd"/>
      <w:r w:rsidRPr="00780E52">
        <w:rPr>
          <w:lang w:bidi="es-ES"/>
        </w:rPr>
        <w:t xml:space="preserve"> y otras partes interesadas. De lo contrario, algunas</w:t>
      </w:r>
      <w:r w:rsidRPr="00FA771B">
        <w:rPr>
          <w:lang w:bidi="es-ES"/>
        </w:rPr>
        <w:t xml:space="preserve"> de las iniciativas temáticas, programas y proyectos en curso deberán suspenderse en función de las prioridades </w:t>
      </w:r>
      <w:r w:rsidRPr="003E5580">
        <w:rPr>
          <w:lang w:bidi="es-ES"/>
        </w:rPr>
        <w:t xml:space="preserve">que determinen los órganos rectores (véanse los documentos </w:t>
      </w:r>
      <w:hyperlink r:id="rId19" w:history="1">
        <w:r w:rsidRPr="003E5580">
          <w:rPr>
            <w:rStyle w:val="Hyperlink"/>
            <w:lang w:bidi="es-ES"/>
          </w:rPr>
          <w:t>LHE/25/20.COM/5</w:t>
        </w:r>
      </w:hyperlink>
      <w:r w:rsidRPr="003E5580">
        <w:rPr>
          <w:lang w:bidi="es-ES"/>
        </w:rPr>
        <w:t xml:space="preserve"> y </w:t>
      </w:r>
      <w:hyperlink r:id="rId20" w:history="1">
        <w:r w:rsidRPr="003E5580">
          <w:rPr>
            <w:rStyle w:val="Hyperlink"/>
            <w:lang w:bidi="es-ES"/>
          </w:rPr>
          <w:t>LHE/26/11.GA/6</w:t>
        </w:r>
      </w:hyperlink>
      <w:r w:rsidRPr="003E5580">
        <w:rPr>
          <w:lang w:bidi="es-ES"/>
        </w:rPr>
        <w:t>).</w:t>
      </w:r>
      <w:r w:rsidRPr="00FA771B">
        <w:rPr>
          <w:lang w:bidi="es-ES"/>
        </w:rPr>
        <w:t xml:space="preserve"> En este sentido, es importante recordar que, desde la creación del </w:t>
      </w:r>
      <w:proofErr w:type="spellStart"/>
      <w:r w:rsidRPr="00FA771B">
        <w:rPr>
          <w:lang w:bidi="es-ES"/>
        </w:rPr>
        <w:t>sub</w:t>
      </w:r>
      <w:r w:rsidR="00780E52">
        <w:rPr>
          <w:lang w:bidi="es-ES"/>
        </w:rPr>
        <w:t>-</w:t>
      </w:r>
      <w:r w:rsidRPr="00FA771B">
        <w:rPr>
          <w:lang w:bidi="es-ES"/>
        </w:rPr>
        <w:t>fondo</w:t>
      </w:r>
      <w:proofErr w:type="spellEnd"/>
      <w:r w:rsidRPr="00FA771B">
        <w:rPr>
          <w:lang w:bidi="es-ES"/>
        </w:rPr>
        <w:t xml:space="preserve"> en 2010, nunca se ha alcanzado el objetivo fijado por la Asamblea General. De hecho, las contribuciones al </w:t>
      </w:r>
      <w:proofErr w:type="spellStart"/>
      <w:r w:rsidR="0012051C">
        <w:rPr>
          <w:lang w:bidi="es-ES"/>
        </w:rPr>
        <w:t>s</w:t>
      </w:r>
      <w:r w:rsidRPr="00FA771B">
        <w:rPr>
          <w:lang w:bidi="es-ES"/>
        </w:rPr>
        <w:t>ub</w:t>
      </w:r>
      <w:r w:rsidR="0012051C">
        <w:rPr>
          <w:lang w:bidi="es-ES"/>
        </w:rPr>
        <w:t>-</w:t>
      </w:r>
      <w:r w:rsidRPr="00FA771B">
        <w:rPr>
          <w:lang w:bidi="es-ES"/>
        </w:rPr>
        <w:t>fondo</w:t>
      </w:r>
      <w:proofErr w:type="spellEnd"/>
      <w:r w:rsidRPr="00FA771B">
        <w:rPr>
          <w:lang w:bidi="es-ES"/>
        </w:rPr>
        <w:t xml:space="preserve"> disminuyeron durante los últimos quince años, pasando de 511.885 dólares estadounidenses en 2010-2011 (el 23</w:t>
      </w:r>
      <w:r w:rsidRPr="00FA771B">
        <w:rPr>
          <w:i/>
          <w:lang w:bidi="es-ES"/>
        </w:rPr>
        <w:t> </w:t>
      </w:r>
      <w:r w:rsidRPr="00FA771B">
        <w:rPr>
          <w:lang w:bidi="es-ES"/>
        </w:rPr>
        <w:t>% del objetivo, el porcentaje más alto jamás alcanzado) a 238.113 dólares estadounidenses en 2024-2025 (lo que representa el 12,5</w:t>
      </w:r>
      <w:r w:rsidRPr="00FA771B">
        <w:rPr>
          <w:i/>
          <w:lang w:bidi="es-ES"/>
        </w:rPr>
        <w:t> </w:t>
      </w:r>
      <w:r w:rsidRPr="00FA771B">
        <w:rPr>
          <w:lang w:bidi="es-ES"/>
        </w:rPr>
        <w:t>% del objetivo bienal de 1,9 millones de dólares estadounidenses fijado para 2024-2025).</w:t>
      </w:r>
    </w:p>
    <w:p w14:paraId="37392731" w14:textId="07E0E6B2" w:rsidR="005C47D7" w:rsidRPr="00FA771B" w:rsidRDefault="005C47D7" w:rsidP="005C47D7">
      <w:pPr>
        <w:pStyle w:val="Heading4"/>
        <w:spacing w:before="240" w:after="120"/>
        <w:ind w:hanging="425"/>
      </w:pPr>
      <w:r w:rsidRPr="00FA771B">
        <w:rPr>
          <w:lang w:bidi="es-ES"/>
        </w:rPr>
        <w:t>PARTIDAS PRESUPUESTARIAS Y ASIGNACIONES PARA EL 43</w:t>
      </w:r>
      <w:r w:rsidR="00780E52">
        <w:rPr>
          <w:lang w:bidi="es-ES"/>
        </w:rPr>
        <w:t xml:space="preserve"> </w:t>
      </w:r>
      <w:r w:rsidRPr="00FA771B">
        <w:rPr>
          <w:lang w:bidi="es-ES"/>
        </w:rPr>
        <w:t>C/5 (2026–2027)</w:t>
      </w:r>
    </w:p>
    <w:p w14:paraId="26A16422" w14:textId="1AE7E87F" w:rsidR="005C47D7" w:rsidRPr="00FA771B" w:rsidRDefault="005C47D7" w:rsidP="005C47D7">
      <w:pPr>
        <w:pStyle w:val="COMPara"/>
        <w:numPr>
          <w:ilvl w:val="0"/>
          <w:numId w:val="23"/>
        </w:numPr>
        <w:ind w:left="567" w:hanging="567"/>
        <w:jc w:val="both"/>
      </w:pPr>
      <w:bookmarkStart w:id="2" w:name="_Hlk166581136"/>
      <w:r w:rsidRPr="00FA771B">
        <w:rPr>
          <w:lang w:bidi="es-ES"/>
        </w:rPr>
        <w:t xml:space="preserve">El proyecto de plan que se propone a continuación se basa en el saldo de fondos disponible para las actividades del programa a 31 de diciembre de 2025, excluido el Fondo de Reserva, es decir, 7,9 millones de dólares estadounidenses. Esto representa una disminución en comparación con el presupuesto aprobado por la décima reunión de la Asamblea General, que ascendía a 8,2 millones de dólares estadounidenses (Resolución </w:t>
      </w:r>
      <w:hyperlink r:id="rId21" w:history="1">
        <w:r w:rsidRPr="003E5580">
          <w:rPr>
            <w:rStyle w:val="Hyperlink"/>
          </w:rPr>
          <w:t>10.GA 8</w:t>
        </w:r>
      </w:hyperlink>
      <w:r w:rsidRPr="00FA771B">
        <w:rPr>
          <w:lang w:bidi="es-ES"/>
        </w:rPr>
        <w:t>).</w:t>
      </w:r>
    </w:p>
    <w:bookmarkEnd w:id="2"/>
    <w:p w14:paraId="188B4452" w14:textId="77777777" w:rsidR="005C47D7" w:rsidRPr="00FA771B" w:rsidRDefault="005C47D7" w:rsidP="005C47D7">
      <w:pPr>
        <w:pStyle w:val="COMPara"/>
        <w:numPr>
          <w:ilvl w:val="0"/>
          <w:numId w:val="23"/>
        </w:numPr>
        <w:ind w:left="567" w:hanging="567"/>
        <w:jc w:val="both"/>
      </w:pPr>
      <w:r w:rsidRPr="00FA771B">
        <w:rPr>
          <w:lang w:bidi="es-ES"/>
        </w:rPr>
        <w:t xml:space="preserve">La propuesta de asignación de fondos para el 43 C/5 (2026-2027) sigue la estructura establecida basada en partidas presupuestarias, en consonancia con ejercicios bienales anteriores. Estas partidas presupuestarias se pueden dividir en tres categorías de gastos: a) la asistencia internacional; b) “otras funciones del Comité” en el sentido del Artículo 7 de la </w:t>
      </w:r>
      <w:r w:rsidRPr="00FA771B">
        <w:rPr>
          <w:lang w:bidi="es-ES"/>
        </w:rPr>
        <w:lastRenderedPageBreak/>
        <w:t>Convención; y c) la participación en reuniones de los órganos rectores y servicios de asesoramiento al Comité. Si bien la estructura general se mantiene intacta, se proponen algunos ajustes entre partidas presupuestarias, como se detalla en los párrafos siguientes, teniendo en cuenta que el presupuesto total disponible es inferior al del bienio 2024-2025.</w:t>
      </w:r>
    </w:p>
    <w:p w14:paraId="31C8BAB5" w14:textId="77777777" w:rsidR="005C47D7" w:rsidRPr="00FA771B" w:rsidRDefault="005C47D7" w:rsidP="005C47D7">
      <w:pPr>
        <w:pStyle w:val="COMPara"/>
        <w:numPr>
          <w:ilvl w:val="0"/>
          <w:numId w:val="0"/>
        </w:numPr>
        <w:ind w:left="567"/>
        <w:jc w:val="both"/>
        <w:rPr>
          <w:b/>
          <w:bCs/>
        </w:rPr>
      </w:pPr>
      <w:r w:rsidRPr="00FA771B">
        <w:rPr>
          <w:b/>
          <w:lang w:bidi="es-ES"/>
        </w:rPr>
        <w:t>Asistencia internacional</w:t>
      </w:r>
    </w:p>
    <w:p w14:paraId="7CAF7F14" w14:textId="0AD7BF27" w:rsidR="005C47D7" w:rsidRPr="00FA771B" w:rsidRDefault="005C47D7" w:rsidP="005C47D7">
      <w:pPr>
        <w:pStyle w:val="COMPara"/>
        <w:numPr>
          <w:ilvl w:val="0"/>
          <w:numId w:val="23"/>
        </w:numPr>
        <w:ind w:left="567" w:hanging="567"/>
        <w:jc w:val="both"/>
      </w:pPr>
      <w:r w:rsidRPr="00FA771B">
        <w:rPr>
          <w:lang w:bidi="es-ES"/>
        </w:rPr>
        <w:t xml:space="preserve">De acuerdo con las prioridades establecidas por las Orientaciones para la utilización de los recursos del Fondo en el capítulo II.1 de las Directrices Operativas, se propone que la mayoría de los recursos (el 65,1 %) se asigne a la prestación de asistencia internacional a los </w:t>
      </w:r>
      <w:proofErr w:type="gramStart"/>
      <w:r w:rsidRPr="00FA771B">
        <w:rPr>
          <w:lang w:bidi="es-ES"/>
        </w:rPr>
        <w:t>Estados Partes</w:t>
      </w:r>
      <w:proofErr w:type="gramEnd"/>
      <w:r w:rsidRPr="00FA771B">
        <w:rPr>
          <w:lang w:bidi="es-ES"/>
        </w:rPr>
        <w:t xml:space="preserve"> para complementar sus </w:t>
      </w:r>
      <w:r w:rsidR="009A3A2E">
        <w:rPr>
          <w:lang w:bidi="es-ES"/>
        </w:rPr>
        <w:t xml:space="preserve">esfuerzos </w:t>
      </w:r>
      <w:r w:rsidRPr="00FA771B">
        <w:rPr>
          <w:lang w:bidi="es-ES"/>
        </w:rPr>
        <w:t xml:space="preserve">nacionales de salvaguardia del patrimonio cultural inmaterial </w:t>
      </w:r>
      <w:r w:rsidRPr="003E5580">
        <w:rPr>
          <w:bCs/>
          <w:lang w:bidi="es-ES"/>
        </w:rPr>
        <w:t>(</w:t>
      </w:r>
      <w:r w:rsidRPr="00FA771B">
        <w:rPr>
          <w:b/>
          <w:lang w:bidi="es-ES"/>
        </w:rPr>
        <w:t>partidas presupuestarias 1, 1.1 y 2</w:t>
      </w:r>
      <w:r w:rsidRPr="003E5580">
        <w:rPr>
          <w:bCs/>
          <w:lang w:bidi="es-ES"/>
        </w:rPr>
        <w:t>)</w:t>
      </w:r>
      <w:r w:rsidRPr="00FA771B">
        <w:rPr>
          <w:lang w:bidi="es-ES"/>
        </w:rPr>
        <w:t xml:space="preserve">. La parte del Fondo destinada a los mecanismos de asistencia internacional se mantendrá intacta en comparación con el bienio anterior. </w:t>
      </w:r>
    </w:p>
    <w:p w14:paraId="73AB0D7C" w14:textId="77777777" w:rsidR="005C47D7" w:rsidRPr="00FA771B" w:rsidRDefault="005C47D7" w:rsidP="005C47D7">
      <w:pPr>
        <w:pStyle w:val="COMPara"/>
        <w:numPr>
          <w:ilvl w:val="0"/>
          <w:numId w:val="23"/>
        </w:numPr>
        <w:ind w:left="567" w:hanging="567"/>
        <w:jc w:val="both"/>
      </w:pPr>
      <w:r w:rsidRPr="00FA771B">
        <w:rPr>
          <w:lang w:bidi="es-ES"/>
        </w:rPr>
        <w:t xml:space="preserve">Está previsto que los fondos asignados a la </w:t>
      </w:r>
      <w:r w:rsidRPr="003E5580">
        <w:rPr>
          <w:b/>
          <w:bCs/>
          <w:lang w:bidi="es-ES"/>
        </w:rPr>
        <w:t>partida presupuestaria 1</w:t>
      </w:r>
      <w:r w:rsidRPr="00FA771B">
        <w:rPr>
          <w:lang w:bidi="es-ES"/>
        </w:rPr>
        <w:t xml:space="preserve"> (el 50 %) se destinen al apoyo a los Estados, a través de los mecanismos de asistencia internacional, en la salvaguardia del patrimonio inscrito en la Lista del Patrimonio Cultural Inmaterial que requiere medidas urgentes de salvaguardia, la preparación de inventarios y otros programas y proyectos de salvaguardia. Se propone mantener la asignación de la partida presupuestaria 1 en el mismo porcentaje para que los </w:t>
      </w:r>
      <w:proofErr w:type="gramStart"/>
      <w:r w:rsidRPr="00FA771B">
        <w:rPr>
          <w:lang w:bidi="es-ES"/>
        </w:rPr>
        <w:t>Estados Partes</w:t>
      </w:r>
      <w:proofErr w:type="gramEnd"/>
      <w:r w:rsidRPr="00FA771B">
        <w:rPr>
          <w:lang w:bidi="es-ES"/>
        </w:rPr>
        <w:t xml:space="preserve"> puedan fortalecer su labor de salvaguardia, con especial atención a la región de África y los PEID. Estos recursos se utilizarán para conceder fondos al mayor número posible de proyectos de salvaguardia, aprobados por el Comité y la Mesa, a condición de que cumplan los criterios de la asistencia internacional. Además, esta partida presupuestaria servirá para cubrir los costes de las solicitudes de asistencia internacional aprobadas por el Comité y su Mesa durante el bienio 2024-2025 pero que no hayan podido contratarse durante el mismo período, por razones administrativas o a petición del Estado beneficiario: es el caso, en particular, de las solicitudes aprobadas durante el segundo semestre de 2025.</w:t>
      </w:r>
    </w:p>
    <w:p w14:paraId="04314B8E" w14:textId="0D1579E7" w:rsidR="005C47D7" w:rsidRPr="00FA771B" w:rsidRDefault="005C47D7" w:rsidP="005C47D7">
      <w:pPr>
        <w:pStyle w:val="COMPara"/>
        <w:numPr>
          <w:ilvl w:val="0"/>
          <w:numId w:val="23"/>
        </w:numPr>
        <w:ind w:left="567" w:hanging="567"/>
        <w:jc w:val="both"/>
      </w:pPr>
      <w:r w:rsidRPr="00FA771B">
        <w:rPr>
          <w:lang w:bidi="es-ES"/>
        </w:rPr>
        <w:t xml:space="preserve">A raíz de las conclusiones de la evaluación efectuada en 2021 por la División de Servicios de Supervisión Interna (IOS) de </w:t>
      </w:r>
      <w:r w:rsidR="009A3A2E">
        <w:t>la acción</w:t>
      </w:r>
      <w:r w:rsidRPr="00FA771B">
        <w:rPr>
          <w:lang w:bidi="es-ES"/>
        </w:rPr>
        <w:t xml:space="preserve"> de la UNESCO en el marco de la Convención para la Salvaguardia del Patrimonio Cultural Inmaterial de 2003 (véanse las recomendaciones 5 y 6 del documento </w:t>
      </w:r>
      <w:hyperlink r:id="rId22" w:history="1">
        <w:r w:rsidRPr="00FA771B">
          <w:rPr>
            <w:rStyle w:val="Hyperlink"/>
            <w:lang w:bidi="es-ES"/>
          </w:rPr>
          <w:t>LHE/21/16.COM/INF.10 Rev.</w:t>
        </w:r>
      </w:hyperlink>
      <w:r w:rsidRPr="00FA771B">
        <w:rPr>
          <w:lang w:bidi="es-ES"/>
        </w:rPr>
        <w:t>), el Comité autorizó, con carácter experimental</w:t>
      </w:r>
      <w:r w:rsidR="009A3A2E">
        <w:rPr>
          <w:lang w:bidi="es-ES"/>
        </w:rPr>
        <w:t>,</w:t>
      </w:r>
      <w:r w:rsidRPr="00FA771B">
        <w:rPr>
          <w:lang w:bidi="es-ES"/>
        </w:rPr>
        <w:t xml:space="preserve"> desde 2021, la utilización de fondos de la partida presupuestaria 1 por un monto no superior al 10 % del presupuesto aprobado de cada proyecto de asistencia internacional aprobado, para financiar la prestación de servicios de expertos, tal como se describe en el Artículo 21 de la Convención, para el seguimiento y la evaluación de los proyectos de asistencia internacional en curso y recientemente finalizados (</w:t>
      </w:r>
      <w:bookmarkStart w:id="3" w:name="_Hlk210205072"/>
      <w:r w:rsidRPr="00FA771B">
        <w:rPr>
          <w:lang w:bidi="es-ES"/>
        </w:rPr>
        <w:t xml:space="preserve">Decisiones </w:t>
      </w:r>
      <w:hyperlink r:id="rId23" w:history="1">
        <w:r w:rsidRPr="00FA771B">
          <w:rPr>
            <w:rStyle w:val="Hyperlink"/>
            <w:lang w:bidi="es-ES"/>
          </w:rPr>
          <w:t>16.COM13</w:t>
        </w:r>
      </w:hyperlink>
      <w:r w:rsidRPr="00FA771B">
        <w:rPr>
          <w:lang w:bidi="es-ES"/>
        </w:rPr>
        <w:t xml:space="preserve">, </w:t>
      </w:r>
      <w:hyperlink r:id="rId24" w:history="1">
        <w:r w:rsidRPr="00FA771B">
          <w:rPr>
            <w:rStyle w:val="Hyperlink"/>
            <w:lang w:bidi="es-ES"/>
          </w:rPr>
          <w:t>18.COM14</w:t>
        </w:r>
      </w:hyperlink>
      <w:bookmarkEnd w:id="3"/>
      <w:r w:rsidRPr="00FA771B">
        <w:rPr>
          <w:lang w:bidi="es-ES"/>
        </w:rPr>
        <w:t xml:space="preserve"> y </w:t>
      </w:r>
      <w:hyperlink r:id="rId25" w:history="1">
        <w:r w:rsidRPr="00FA771B">
          <w:rPr>
            <w:rStyle w:val="Hyperlink"/>
            <w:lang w:bidi="es-ES"/>
          </w:rPr>
          <w:t>20.COM 14</w:t>
        </w:r>
      </w:hyperlink>
      <w:r w:rsidRPr="00FA771B">
        <w:rPr>
          <w:lang w:bidi="es-ES"/>
        </w:rPr>
        <w:t xml:space="preserve">). Siguiendo la Estrategia de seguimiento y evaluación de los proyectos de asistencia internacional (Decisión </w:t>
      </w:r>
      <w:hyperlink r:id="rId26" w:history="1">
        <w:r w:rsidRPr="00FA771B">
          <w:rPr>
            <w:rStyle w:val="Hyperlink"/>
            <w:lang w:bidi="es-ES"/>
          </w:rPr>
          <w:t>17.COM 11</w:t>
        </w:r>
      </w:hyperlink>
      <w:r w:rsidRPr="00FA771B">
        <w:rPr>
          <w:lang w:bidi="es-ES"/>
        </w:rPr>
        <w:t xml:space="preserve">), la Secretaría tiene previsto organizar, en colaboración con los Estados beneficiarios, misiones sobre el terreno para evaluar los proyectos finalizados (véase el documento </w:t>
      </w:r>
      <w:hyperlink r:id="rId27" w:history="1">
        <w:r w:rsidRPr="00FA771B">
          <w:rPr>
            <w:rStyle w:val="Hyperlink"/>
            <w:lang w:bidi="es-ES"/>
          </w:rPr>
          <w:t>LHE/25/20.COM/10</w:t>
        </w:r>
      </w:hyperlink>
      <w:r w:rsidRPr="00FA771B">
        <w:rPr>
          <w:lang w:bidi="es-ES"/>
        </w:rPr>
        <w:t>). Estos fondos adicionales de la partida presupuestaria 1, independientes de las donaciones asignadas a los beneficiarios, se dedicarán, con carácter experimental, por un importe no superior al 10 % del presupuesto de cada proyecto de asistencia internacional aprobado y seleccionado, a financiar la prestación de servicios de expertos, tal como se describe en el Artículo 21 de la Convención, con el fin de evaluar los proyectos de asistencia internacional finalizados.</w:t>
      </w:r>
    </w:p>
    <w:p w14:paraId="722C43A6" w14:textId="0BF249B2" w:rsidR="005C47D7" w:rsidRPr="00FA771B" w:rsidRDefault="005C47D7" w:rsidP="005C47D7">
      <w:pPr>
        <w:pStyle w:val="COMPara"/>
        <w:numPr>
          <w:ilvl w:val="0"/>
          <w:numId w:val="23"/>
        </w:numPr>
        <w:tabs>
          <w:tab w:val="left" w:pos="567"/>
        </w:tabs>
        <w:ind w:left="567" w:hanging="567"/>
        <w:jc w:val="both"/>
      </w:pPr>
      <w:r w:rsidRPr="00FA771B">
        <w:rPr>
          <w:lang w:bidi="es-ES"/>
        </w:rPr>
        <w:t>En su séptima reunión, en 2018, la Asamblea General aprobó la creación de tres puestos extrapresupuestarios de plazo fijo (un P3, un P2 y un G5) para formar un equipo dedicado a poner en marcha la aplicación de los mecanismos de asistencia internacional (Resolución </w:t>
      </w:r>
      <w:hyperlink r:id="rId28" w:history="1">
        <w:r w:rsidRPr="00FA771B">
          <w:rPr>
            <w:rStyle w:val="Hyperlink"/>
            <w:lang w:bidi="es-ES"/>
          </w:rPr>
          <w:t>7.GA 8</w:t>
        </w:r>
      </w:hyperlink>
      <w:r w:rsidRPr="00FA771B">
        <w:rPr>
          <w:lang w:bidi="es-ES"/>
        </w:rPr>
        <w:t xml:space="preserve">). En febrero de 2020 se creó el </w:t>
      </w:r>
      <w:r w:rsidR="009A3A2E">
        <w:rPr>
          <w:lang w:bidi="es-ES"/>
        </w:rPr>
        <w:t>“</w:t>
      </w:r>
      <w:r w:rsidRPr="00FA771B">
        <w:rPr>
          <w:lang w:bidi="es-ES"/>
        </w:rPr>
        <w:t>Equipo de Aplicación y Seguimiento de la Salvaguardia</w:t>
      </w:r>
      <w:r w:rsidR="009A3A2E">
        <w:rPr>
          <w:lang w:bidi="es-ES"/>
        </w:rPr>
        <w:t>”</w:t>
      </w:r>
      <w:r w:rsidRPr="00FA771B">
        <w:rPr>
          <w:lang w:bidi="es-ES"/>
        </w:rPr>
        <w:t xml:space="preserve"> (SIM). Se propone destinar un 13,4</w:t>
      </w:r>
      <w:r w:rsidRPr="00FA771B">
        <w:rPr>
          <w:i/>
          <w:lang w:bidi="es-ES"/>
        </w:rPr>
        <w:t> </w:t>
      </w:r>
      <w:r w:rsidRPr="00FA771B">
        <w:rPr>
          <w:lang w:bidi="es-ES"/>
        </w:rPr>
        <w:t xml:space="preserve">% de los recursos del Fondo a cubrir los costes de estos tres puestos </w:t>
      </w:r>
      <w:r w:rsidRPr="003E5580">
        <w:rPr>
          <w:bCs/>
          <w:lang w:bidi="es-ES"/>
        </w:rPr>
        <w:t>(</w:t>
      </w:r>
      <w:r w:rsidRPr="00FA771B">
        <w:rPr>
          <w:b/>
          <w:lang w:bidi="es-ES"/>
        </w:rPr>
        <w:t>partida presupuestaria 1.1</w:t>
      </w:r>
      <w:r w:rsidRPr="00723493">
        <w:rPr>
          <w:lang w:bidi="es-ES"/>
        </w:rPr>
        <w:t>)</w:t>
      </w:r>
      <w:r w:rsidRPr="00FA771B">
        <w:rPr>
          <w:lang w:bidi="es-ES"/>
        </w:rPr>
        <w:t>, frente al 12,3</w:t>
      </w:r>
      <w:r w:rsidRPr="00FA771B">
        <w:rPr>
          <w:i/>
          <w:lang w:bidi="es-ES"/>
        </w:rPr>
        <w:t> </w:t>
      </w:r>
      <w:r w:rsidRPr="00FA771B">
        <w:rPr>
          <w:lang w:bidi="es-ES"/>
        </w:rPr>
        <w:t>% del bienio 2024-2025 para mantener esta partida presupuestaria con la misma cantidad nominal.</w:t>
      </w:r>
    </w:p>
    <w:p w14:paraId="272C38EF" w14:textId="6901DCAC" w:rsidR="005C47D7" w:rsidRPr="00FA771B" w:rsidRDefault="005C47D7" w:rsidP="005C47D7">
      <w:pPr>
        <w:pStyle w:val="COMPara"/>
        <w:numPr>
          <w:ilvl w:val="0"/>
          <w:numId w:val="23"/>
        </w:numPr>
        <w:tabs>
          <w:tab w:val="left" w:pos="567"/>
        </w:tabs>
        <w:ind w:left="567" w:hanging="567"/>
        <w:jc w:val="both"/>
      </w:pPr>
      <w:r w:rsidRPr="00FA771B">
        <w:rPr>
          <w:lang w:bidi="es-ES"/>
        </w:rPr>
        <w:t>Se propone asignar el 1,7</w:t>
      </w:r>
      <w:r w:rsidRPr="00FA771B">
        <w:rPr>
          <w:i/>
          <w:lang w:bidi="es-ES"/>
        </w:rPr>
        <w:t> </w:t>
      </w:r>
      <w:r w:rsidRPr="00FA771B">
        <w:rPr>
          <w:lang w:bidi="es-ES"/>
        </w:rPr>
        <w:t xml:space="preserve">% de los fondos a la concesión de ayuda preparatoria </w:t>
      </w:r>
      <w:r w:rsidRPr="003E5580">
        <w:rPr>
          <w:bCs/>
          <w:lang w:bidi="es-ES"/>
        </w:rPr>
        <w:t>(</w:t>
      </w:r>
      <w:r w:rsidRPr="00FA771B">
        <w:rPr>
          <w:b/>
          <w:lang w:bidi="es-ES"/>
        </w:rPr>
        <w:t>partida presupuestaria 2</w:t>
      </w:r>
      <w:r w:rsidRPr="00723493">
        <w:rPr>
          <w:lang w:bidi="es-ES"/>
        </w:rPr>
        <w:t>)</w:t>
      </w:r>
      <w:r w:rsidRPr="00FA771B">
        <w:rPr>
          <w:lang w:bidi="es-ES"/>
        </w:rPr>
        <w:t xml:space="preserve">, lo que representa una ligera reducción con respecto al bienio actual </w:t>
      </w:r>
      <w:r w:rsidRPr="00FA771B">
        <w:rPr>
          <w:lang w:bidi="es-ES"/>
        </w:rPr>
        <w:lastRenderedPageBreak/>
        <w:t>(2,8</w:t>
      </w:r>
      <w:r w:rsidRPr="00FA771B">
        <w:rPr>
          <w:i/>
          <w:lang w:bidi="es-ES"/>
        </w:rPr>
        <w:t> </w:t>
      </w:r>
      <w:r w:rsidRPr="00FA771B">
        <w:rPr>
          <w:lang w:bidi="es-ES"/>
        </w:rPr>
        <w:t xml:space="preserve">%). A pesar de este descenso, esta partida presupuestaria estará disponible para proporcionar la asistencia preparatoria y técnica pertinente. Además, la Secretaría podrá seguir prestando apoyo a los </w:t>
      </w:r>
      <w:proofErr w:type="gramStart"/>
      <w:r w:rsidRPr="00FA771B">
        <w:rPr>
          <w:lang w:bidi="es-ES"/>
        </w:rPr>
        <w:t>Estados Partes</w:t>
      </w:r>
      <w:proofErr w:type="gramEnd"/>
      <w:r w:rsidRPr="00FA771B">
        <w:rPr>
          <w:lang w:bidi="es-ES"/>
        </w:rPr>
        <w:t xml:space="preserve"> con asistencia preparatoria para los expedientes de candidatura, tal y como se define en el apartado 21 de las </w:t>
      </w:r>
      <w:hyperlink r:id="rId29" w:history="1">
        <w:r w:rsidRPr="00FA771B">
          <w:rPr>
            <w:rStyle w:val="Hyperlink"/>
            <w:lang w:bidi="es-ES"/>
          </w:rPr>
          <w:t>Directrices Operativas</w:t>
        </w:r>
      </w:hyperlink>
      <w:r w:rsidRPr="00FA771B">
        <w:rPr>
          <w:lang w:bidi="es-ES"/>
        </w:rPr>
        <w:t>. Esta partida presupuestaria también cubrirá los costes relacionados con la prestación de asistencia técnica</w:t>
      </w:r>
      <w:r w:rsidRPr="00FA771B">
        <w:rPr>
          <w:rStyle w:val="FootnoteReference"/>
          <w:lang w:bidi="es-ES"/>
        </w:rPr>
        <w:footnoteReference w:id="2"/>
      </w:r>
      <w:r w:rsidRPr="00FA771B">
        <w:rPr>
          <w:lang w:bidi="es-ES"/>
        </w:rPr>
        <w:t xml:space="preserve"> para los </w:t>
      </w:r>
      <w:proofErr w:type="gramStart"/>
      <w:r w:rsidRPr="00FA771B">
        <w:rPr>
          <w:lang w:bidi="es-ES"/>
        </w:rPr>
        <w:t>Estados Partes</w:t>
      </w:r>
      <w:proofErr w:type="gramEnd"/>
      <w:r w:rsidRPr="00FA771B">
        <w:rPr>
          <w:lang w:bidi="es-ES"/>
        </w:rPr>
        <w:t xml:space="preserve"> que preparen solicitudes de asistencia internacional.</w:t>
      </w:r>
    </w:p>
    <w:p w14:paraId="6690E597" w14:textId="77777777" w:rsidR="005C47D7" w:rsidRPr="00FA771B" w:rsidRDefault="005C47D7" w:rsidP="005C47D7">
      <w:pPr>
        <w:pStyle w:val="COMPara"/>
        <w:numPr>
          <w:ilvl w:val="0"/>
          <w:numId w:val="0"/>
        </w:numPr>
        <w:tabs>
          <w:tab w:val="left" w:pos="567"/>
        </w:tabs>
        <w:ind w:firstLine="567"/>
        <w:jc w:val="both"/>
        <w:rPr>
          <w:b/>
          <w:bCs/>
        </w:rPr>
      </w:pPr>
      <w:r w:rsidRPr="00FA771B">
        <w:rPr>
          <w:b/>
          <w:lang w:bidi="es-ES"/>
        </w:rPr>
        <w:t>Otras funciones del Comité</w:t>
      </w:r>
    </w:p>
    <w:p w14:paraId="5FC4B79B" w14:textId="077B965E" w:rsidR="005C47D7" w:rsidRPr="00FA771B" w:rsidRDefault="005C47D7" w:rsidP="005C47D7">
      <w:pPr>
        <w:pStyle w:val="COMPara"/>
        <w:numPr>
          <w:ilvl w:val="0"/>
          <w:numId w:val="23"/>
        </w:numPr>
        <w:tabs>
          <w:tab w:val="left" w:pos="567"/>
        </w:tabs>
        <w:ind w:left="567" w:hanging="567"/>
        <w:jc w:val="both"/>
      </w:pPr>
      <w:r w:rsidRPr="00FA771B">
        <w:rPr>
          <w:lang w:bidi="es-ES"/>
        </w:rPr>
        <w:t xml:space="preserve">La </w:t>
      </w:r>
      <w:r w:rsidRPr="00FA771B">
        <w:rPr>
          <w:b/>
          <w:lang w:bidi="es-ES"/>
        </w:rPr>
        <w:t>partida presupuestaria 3</w:t>
      </w:r>
      <w:r w:rsidRPr="00FA771B">
        <w:rPr>
          <w:lang w:bidi="es-ES"/>
        </w:rPr>
        <w:t xml:space="preserve"> (“otras funciones del Comité”) se mantendrá en un 20 % para reforzar la labor iniciada durante los anteriores bienios. Dichas funciones se enumeran en el artículo 7 de la Convención, y la Secretaría utiliza estos fondos, complementados con contribuciones voluntarias suplementarias a las dos prioridades de financiación establecidas por el Comité para 2026-2029, con el fin de ayudar al Comité a desempeñar estas funciones, tal y como exige el artículo 10 de la Convención. En otras palabras, estos fondos se utilizarán principalmente para </w:t>
      </w:r>
      <w:r w:rsidRPr="00FA771B">
        <w:rPr>
          <w:rStyle w:val="hps"/>
          <w:lang w:bidi="es-ES"/>
        </w:rPr>
        <w:t xml:space="preserve">las acciones </w:t>
      </w:r>
      <w:r w:rsidR="002673F6">
        <w:rPr>
          <w:rStyle w:val="hps"/>
          <w:lang w:bidi="es-ES"/>
        </w:rPr>
        <w:t>iniciales</w:t>
      </w:r>
      <w:r w:rsidR="002673F6" w:rsidRPr="00FA771B">
        <w:rPr>
          <w:rStyle w:val="hps"/>
          <w:lang w:bidi="es-ES"/>
        </w:rPr>
        <w:t xml:space="preserve"> </w:t>
      </w:r>
      <w:r w:rsidRPr="00FA771B">
        <w:rPr>
          <w:rStyle w:val="hps"/>
          <w:lang w:bidi="es-ES"/>
        </w:rPr>
        <w:t xml:space="preserve">y transversales destinadas a </w:t>
      </w:r>
      <w:r w:rsidRPr="00FA771B">
        <w:rPr>
          <w:lang w:bidi="es-ES"/>
        </w:rPr>
        <w:t>promover los objetivos de la Convención y fomentar y seguir su aplicación (Artículo 7 [a]), así como a ofrecer asesoramiento sobre medidas encaminadas a salvaguardar el patrimonio cultural inmaterial (Artículo 7 [b]). Es importante señalar que, si bien la asignación en porcentaje se mantiene sin cambios, la cantidad nominal de la partida presupuestaria 3 disminuye debido a la reducción general del importe disponible para el bienio actual (2026-2027).</w:t>
      </w:r>
    </w:p>
    <w:p w14:paraId="18C4A8C7" w14:textId="4792CC64" w:rsidR="005C47D7" w:rsidRPr="00FA771B" w:rsidRDefault="005C47D7" w:rsidP="005C47D7">
      <w:pPr>
        <w:pStyle w:val="COMPara"/>
        <w:numPr>
          <w:ilvl w:val="0"/>
          <w:numId w:val="23"/>
        </w:numPr>
        <w:tabs>
          <w:tab w:val="left" w:pos="567"/>
        </w:tabs>
        <w:ind w:left="567" w:hanging="567"/>
        <w:jc w:val="both"/>
      </w:pPr>
      <w:r w:rsidRPr="00FA771B">
        <w:rPr>
          <w:lang w:bidi="es-ES"/>
        </w:rPr>
        <w:t xml:space="preserve">De conformidad con la Decisión </w:t>
      </w:r>
      <w:hyperlink r:id="rId30" w:history="1">
        <w:r w:rsidRPr="00FA771B">
          <w:rPr>
            <w:rStyle w:val="Hyperlink"/>
            <w:lang w:bidi="es-ES"/>
          </w:rPr>
          <w:t>14.COM 7</w:t>
        </w:r>
      </w:hyperlink>
      <w:r w:rsidRPr="00FA771B">
        <w:rPr>
          <w:lang w:bidi="es-ES"/>
        </w:rPr>
        <w:t xml:space="preserve">, la propuesta de Plan presentada al Comité y a la Asamblea General incluye un desglose porcentual en la partida presupuestaria 3 en términos de Resultados Esperados (RE) en consonancia con los Productos aprobados en el C/5. El Plan propone dividir la partida presupuestaria 3 en dos RE basados en dos de los indicadores de resultados definidos en el </w:t>
      </w:r>
      <w:hyperlink r:id="rId31" w:history="1">
        <w:r w:rsidRPr="00FA771B">
          <w:rPr>
            <w:rStyle w:val="Hyperlink"/>
            <w:lang w:bidi="es-ES"/>
          </w:rPr>
          <w:t>43 C/5</w:t>
        </w:r>
      </w:hyperlink>
      <w:r w:rsidRPr="00FA771B">
        <w:rPr>
          <w:lang w:bidi="es-ES"/>
        </w:rPr>
        <w:t xml:space="preserve"> aprobado (páginas </w:t>
      </w:r>
      <w:r w:rsidR="00FA2A91">
        <w:rPr>
          <w:lang w:bidi="es-ES"/>
        </w:rPr>
        <w:t>204</w:t>
      </w:r>
      <w:r w:rsidR="00FA2A91" w:rsidRPr="00FA771B">
        <w:rPr>
          <w:lang w:bidi="es-ES"/>
        </w:rPr>
        <w:t xml:space="preserve"> </w:t>
      </w:r>
      <w:r w:rsidRPr="00FA771B">
        <w:rPr>
          <w:lang w:bidi="es-ES"/>
        </w:rPr>
        <w:t xml:space="preserve">a </w:t>
      </w:r>
      <w:r w:rsidR="00FA2A91">
        <w:rPr>
          <w:lang w:bidi="es-ES"/>
        </w:rPr>
        <w:t>207</w:t>
      </w:r>
      <w:r w:rsidRPr="00FA771B">
        <w:rPr>
          <w:lang w:bidi="es-ES"/>
        </w:rPr>
        <w:t xml:space="preserve">): Gran Programa IV - Cultura, Resultado 4, </w:t>
      </w:r>
      <w:bookmarkStart w:id="4" w:name="_Hlk210144015"/>
      <w:r w:rsidRPr="00FA771B">
        <w:rPr>
          <w:lang w:bidi="es-ES"/>
        </w:rPr>
        <w:t>Producto 4.2.CLT</w:t>
      </w:r>
      <w:bookmarkEnd w:id="4"/>
      <w:r w:rsidRPr="00FA771B">
        <w:rPr>
          <w:lang w:bidi="es-ES"/>
        </w:rPr>
        <w:t xml:space="preserve"> "Fortalecimiento de las capacidades de los Estados Miembros y las comunidades para proteger, salvaguardar y promover el patrimonio natural y cultural, comprendidos el patrimonio material, inmaterial y subacuático". El reparto de la asignación presupuestaria entre los dos RE propuestos se hará equitativamente de la siguiente manera:</w:t>
      </w:r>
    </w:p>
    <w:tbl>
      <w:tblPr>
        <w:tblStyle w:val="TableGrid"/>
        <w:tblW w:w="0" w:type="auto"/>
        <w:jc w:val="center"/>
        <w:tblLook w:val="04A0" w:firstRow="1" w:lastRow="0" w:firstColumn="1" w:lastColumn="0" w:noHBand="0" w:noVBand="1"/>
      </w:tblPr>
      <w:tblGrid>
        <w:gridCol w:w="6075"/>
        <w:gridCol w:w="1150"/>
      </w:tblGrid>
      <w:tr w:rsidR="005C47D7" w:rsidRPr="00FA771B" w14:paraId="0E1EDCB1" w14:textId="77777777" w:rsidTr="005A7E1A">
        <w:trPr>
          <w:trHeight w:val="365"/>
          <w:jc w:val="center"/>
        </w:trPr>
        <w:tc>
          <w:tcPr>
            <w:tcW w:w="6075" w:type="dxa"/>
            <w:shd w:val="clear" w:color="auto" w:fill="D9D9D9" w:themeFill="background1" w:themeFillShade="D9"/>
          </w:tcPr>
          <w:p w14:paraId="4B8B8A3F" w14:textId="77777777" w:rsidR="005C47D7" w:rsidRPr="00FA771B" w:rsidRDefault="005C47D7" w:rsidP="005A7E1A">
            <w:pPr>
              <w:pStyle w:val="COMPara"/>
              <w:numPr>
                <w:ilvl w:val="0"/>
                <w:numId w:val="0"/>
              </w:numPr>
              <w:tabs>
                <w:tab w:val="left" w:pos="567"/>
              </w:tabs>
              <w:jc w:val="both"/>
              <w:rPr>
                <w:b/>
                <w:bCs/>
              </w:rPr>
            </w:pPr>
            <w:r w:rsidRPr="00FA771B">
              <w:rPr>
                <w:b/>
                <w:lang w:bidi="es-ES"/>
              </w:rPr>
              <w:t>Resultados esperados</w:t>
            </w:r>
          </w:p>
        </w:tc>
        <w:tc>
          <w:tcPr>
            <w:tcW w:w="1150" w:type="dxa"/>
            <w:shd w:val="clear" w:color="auto" w:fill="D9D9D9" w:themeFill="background1" w:themeFillShade="D9"/>
          </w:tcPr>
          <w:p w14:paraId="43437651" w14:textId="77777777" w:rsidR="005C47D7" w:rsidRPr="00FA771B" w:rsidRDefault="005C47D7" w:rsidP="005A7E1A">
            <w:pPr>
              <w:pStyle w:val="COMPara"/>
              <w:numPr>
                <w:ilvl w:val="0"/>
                <w:numId w:val="0"/>
              </w:numPr>
              <w:tabs>
                <w:tab w:val="left" w:pos="567"/>
              </w:tabs>
              <w:jc w:val="center"/>
              <w:rPr>
                <w:b/>
                <w:bCs/>
              </w:rPr>
            </w:pPr>
            <w:r w:rsidRPr="00FA771B">
              <w:rPr>
                <w:b/>
                <w:lang w:bidi="es-ES"/>
              </w:rPr>
              <w:t xml:space="preserve">2026–2027 </w:t>
            </w:r>
          </w:p>
        </w:tc>
      </w:tr>
      <w:tr w:rsidR="005C47D7" w:rsidRPr="00FA771B" w14:paraId="5FCA97C7" w14:textId="77777777" w:rsidTr="005A7E1A">
        <w:trPr>
          <w:trHeight w:val="881"/>
          <w:jc w:val="center"/>
        </w:trPr>
        <w:tc>
          <w:tcPr>
            <w:tcW w:w="6075" w:type="dxa"/>
            <w:shd w:val="clear" w:color="auto" w:fill="DBE5F1" w:themeFill="accent1" w:themeFillTint="33"/>
          </w:tcPr>
          <w:p w14:paraId="51052EEB" w14:textId="77777777" w:rsidR="005C47D7" w:rsidRPr="00FA771B" w:rsidRDefault="005C47D7" w:rsidP="005A7E1A">
            <w:pPr>
              <w:pStyle w:val="COMPara"/>
              <w:numPr>
                <w:ilvl w:val="0"/>
                <w:numId w:val="0"/>
              </w:numPr>
              <w:tabs>
                <w:tab w:val="left" w:pos="567"/>
              </w:tabs>
            </w:pPr>
            <w:proofErr w:type="gramStart"/>
            <w:r w:rsidRPr="00FA771B">
              <w:rPr>
                <w:sz w:val="20"/>
                <w:szCs w:val="20"/>
                <w:lang w:bidi="es-ES"/>
              </w:rPr>
              <w:t>RE 1</w:t>
            </w:r>
            <w:proofErr w:type="gramEnd"/>
            <w:r w:rsidRPr="00FA771B">
              <w:rPr>
                <w:sz w:val="20"/>
                <w:szCs w:val="20"/>
                <w:lang w:bidi="es-ES"/>
              </w:rPr>
              <w:t>: Implementación de la Convención fomentada mediante un programa de fortalecimiento de capacidades reforzado y la integración del patrimonio cultural inmaterial en los marcos y planes de desarrollo</w:t>
            </w:r>
            <w:r w:rsidRPr="00FA771B">
              <w:rPr>
                <w:rStyle w:val="FootnoteReference"/>
                <w:sz w:val="20"/>
                <w:szCs w:val="20"/>
                <w:lang w:bidi="es-ES"/>
              </w:rPr>
              <w:footnoteReference w:id="3"/>
            </w:r>
          </w:p>
        </w:tc>
        <w:tc>
          <w:tcPr>
            <w:tcW w:w="1150" w:type="dxa"/>
            <w:shd w:val="clear" w:color="auto" w:fill="DBE5F1" w:themeFill="accent1" w:themeFillTint="33"/>
          </w:tcPr>
          <w:p w14:paraId="4EE5C530" w14:textId="77777777" w:rsidR="005C47D7" w:rsidRPr="00FA771B" w:rsidRDefault="005C47D7" w:rsidP="005A7E1A">
            <w:pPr>
              <w:pStyle w:val="COMPara"/>
              <w:numPr>
                <w:ilvl w:val="0"/>
                <w:numId w:val="0"/>
              </w:numPr>
              <w:tabs>
                <w:tab w:val="left" w:pos="567"/>
              </w:tabs>
              <w:jc w:val="center"/>
              <w:rPr>
                <w:b/>
                <w:bCs/>
              </w:rPr>
            </w:pPr>
            <w:r w:rsidRPr="00FA771B">
              <w:rPr>
                <w:b/>
                <w:lang w:bidi="es-ES"/>
              </w:rPr>
              <w:t>50 %</w:t>
            </w:r>
          </w:p>
        </w:tc>
      </w:tr>
      <w:tr w:rsidR="005C47D7" w:rsidRPr="00FA771B" w14:paraId="5BDBF4E5" w14:textId="77777777" w:rsidTr="005A7E1A">
        <w:trPr>
          <w:trHeight w:val="825"/>
          <w:jc w:val="center"/>
        </w:trPr>
        <w:tc>
          <w:tcPr>
            <w:tcW w:w="6075" w:type="dxa"/>
            <w:shd w:val="clear" w:color="auto" w:fill="FDE9D9" w:themeFill="accent6" w:themeFillTint="33"/>
          </w:tcPr>
          <w:p w14:paraId="7A2DA939" w14:textId="77777777" w:rsidR="005C47D7" w:rsidRPr="00FA771B" w:rsidRDefault="005C47D7" w:rsidP="005A7E1A">
            <w:pPr>
              <w:pStyle w:val="COMPara"/>
              <w:numPr>
                <w:ilvl w:val="0"/>
                <w:numId w:val="0"/>
              </w:numPr>
              <w:tabs>
                <w:tab w:val="left" w:pos="567"/>
              </w:tabs>
            </w:pPr>
            <w:proofErr w:type="gramStart"/>
            <w:r w:rsidRPr="00FA771B">
              <w:rPr>
                <w:sz w:val="20"/>
                <w:szCs w:val="20"/>
                <w:lang w:bidi="es-ES"/>
              </w:rPr>
              <w:t>RE 2</w:t>
            </w:r>
            <w:proofErr w:type="gramEnd"/>
            <w:r w:rsidRPr="00FA771B">
              <w:rPr>
                <w:sz w:val="20"/>
                <w:szCs w:val="20"/>
                <w:lang w:bidi="es-ES"/>
              </w:rPr>
              <w:t>: Una gobernanza sólida de la Convención apoyada por un seguimiento y servicios de gestión de conocimientos y sensibilización reforzados asociados a los mecanismos de cooperación internacional</w:t>
            </w:r>
            <w:r w:rsidRPr="00FA771B">
              <w:rPr>
                <w:rStyle w:val="FootnoteReference"/>
                <w:sz w:val="20"/>
                <w:szCs w:val="20"/>
                <w:lang w:bidi="es-ES"/>
              </w:rPr>
              <w:footnoteReference w:id="4"/>
            </w:r>
          </w:p>
        </w:tc>
        <w:tc>
          <w:tcPr>
            <w:tcW w:w="1150" w:type="dxa"/>
            <w:shd w:val="clear" w:color="auto" w:fill="FDE9D9" w:themeFill="accent6" w:themeFillTint="33"/>
          </w:tcPr>
          <w:p w14:paraId="44C1DA2E" w14:textId="77777777" w:rsidR="005C47D7" w:rsidRPr="00FA771B" w:rsidRDefault="005C47D7" w:rsidP="005A7E1A">
            <w:pPr>
              <w:pStyle w:val="COMPara"/>
              <w:numPr>
                <w:ilvl w:val="0"/>
                <w:numId w:val="0"/>
              </w:numPr>
              <w:tabs>
                <w:tab w:val="left" w:pos="567"/>
              </w:tabs>
              <w:jc w:val="center"/>
              <w:rPr>
                <w:b/>
                <w:bCs/>
              </w:rPr>
            </w:pPr>
            <w:r w:rsidRPr="00FA771B">
              <w:rPr>
                <w:b/>
                <w:lang w:bidi="es-ES"/>
              </w:rPr>
              <w:t>50</w:t>
            </w:r>
            <w:r w:rsidRPr="00FA771B">
              <w:rPr>
                <w:i/>
                <w:lang w:bidi="es-ES"/>
              </w:rPr>
              <w:t> </w:t>
            </w:r>
            <w:r w:rsidRPr="00FA771B">
              <w:rPr>
                <w:b/>
                <w:lang w:bidi="es-ES"/>
              </w:rPr>
              <w:t>%</w:t>
            </w:r>
          </w:p>
        </w:tc>
      </w:tr>
    </w:tbl>
    <w:p w14:paraId="204EDB65" w14:textId="39F3BD72" w:rsidR="005C47D7" w:rsidRPr="00FA771B" w:rsidRDefault="005C47D7" w:rsidP="005C47D7">
      <w:pPr>
        <w:pStyle w:val="COMPara"/>
        <w:numPr>
          <w:ilvl w:val="0"/>
          <w:numId w:val="23"/>
        </w:numPr>
        <w:spacing w:before="240"/>
        <w:ind w:left="567" w:hanging="567"/>
        <w:jc w:val="both"/>
      </w:pPr>
      <w:r w:rsidRPr="00FA771B">
        <w:rPr>
          <w:lang w:bidi="es-ES"/>
        </w:rPr>
        <w:t>De conformidad con la resolución de consignación para 2026–2027 (</w:t>
      </w:r>
      <w:hyperlink r:id="rId32" w:history="1">
        <w:r w:rsidRPr="00FA771B">
          <w:rPr>
            <w:rStyle w:val="Hyperlink"/>
            <w:lang w:bidi="es-ES"/>
          </w:rPr>
          <w:t>43 C/Resolución 84</w:t>
        </w:r>
      </w:hyperlink>
      <w:r w:rsidRPr="00FA771B">
        <w:rPr>
          <w:lang w:bidi="es-ES"/>
        </w:rPr>
        <w:t xml:space="preserve">, (párrafo 12) adoptada por la Conferencia General en su 43ª reunión, en noviembre de 2025, </w:t>
      </w:r>
      <w:r w:rsidRPr="00FA771B">
        <w:rPr>
          <w:lang w:bidi="es-ES"/>
        </w:rPr>
        <w:lastRenderedPageBreak/>
        <w:t xml:space="preserve">en la que se autoriza </w:t>
      </w:r>
      <w:r w:rsidR="00567A84">
        <w:rPr>
          <w:lang w:bidi="es-ES"/>
        </w:rPr>
        <w:t>al</w:t>
      </w:r>
      <w:r w:rsidRPr="00FA771B">
        <w:rPr>
          <w:lang w:bidi="es-ES"/>
        </w:rPr>
        <w:t xml:space="preserve"> Director General a </w:t>
      </w:r>
      <w:r w:rsidR="00567A84">
        <w:rPr>
          <w:lang w:bidi="es-ES"/>
        </w:rPr>
        <w:t>“</w:t>
      </w:r>
      <w:r w:rsidRPr="00FA771B">
        <w:rPr>
          <w:lang w:bidi="es-ES"/>
        </w:rPr>
        <w:t>efectuar transferencias</w:t>
      </w:r>
      <w:r w:rsidR="009221B1">
        <w:rPr>
          <w:lang w:bidi="es-ES"/>
        </w:rPr>
        <w:t xml:space="preserve"> de consignaciones</w:t>
      </w:r>
      <w:r w:rsidRPr="00FA771B">
        <w:rPr>
          <w:lang w:bidi="es-ES"/>
        </w:rPr>
        <w:t xml:space="preserve"> entre partidas </w:t>
      </w:r>
      <w:r w:rsidR="009221B1">
        <w:rPr>
          <w:lang w:bidi="es-ES"/>
        </w:rPr>
        <w:t>presupuestarias</w:t>
      </w:r>
      <w:r w:rsidRPr="00FA771B">
        <w:rPr>
          <w:lang w:bidi="es-ES"/>
        </w:rPr>
        <w:t xml:space="preserve"> </w:t>
      </w:r>
      <w:r w:rsidR="009221B1">
        <w:rPr>
          <w:lang w:bidi="es-ES"/>
        </w:rPr>
        <w:t>por</w:t>
      </w:r>
      <w:r w:rsidR="009221B1" w:rsidRPr="00FA771B">
        <w:rPr>
          <w:lang w:bidi="es-ES"/>
        </w:rPr>
        <w:t xml:space="preserve"> </w:t>
      </w:r>
      <w:r w:rsidRPr="00FA771B">
        <w:rPr>
          <w:lang w:bidi="es-ES"/>
        </w:rPr>
        <w:t xml:space="preserve">un importe </w:t>
      </w:r>
      <w:r w:rsidR="009221B1">
        <w:rPr>
          <w:lang w:bidi="es-ES"/>
        </w:rPr>
        <w:t xml:space="preserve">que corresponda como máximo al </w:t>
      </w:r>
      <w:r w:rsidRPr="00FA771B">
        <w:rPr>
          <w:lang w:bidi="es-ES"/>
        </w:rPr>
        <w:t xml:space="preserve">5 % de la </w:t>
      </w:r>
      <w:r w:rsidR="009221B1">
        <w:rPr>
          <w:lang w:bidi="es-ES"/>
        </w:rPr>
        <w:t xml:space="preserve">consignación </w:t>
      </w:r>
      <w:r w:rsidRPr="00FA771B">
        <w:rPr>
          <w:lang w:bidi="es-ES"/>
        </w:rPr>
        <w:t xml:space="preserve">inicial desde la que se </w:t>
      </w:r>
      <w:r w:rsidR="00567A84">
        <w:rPr>
          <w:lang w:bidi="es-ES"/>
        </w:rPr>
        <w:t xml:space="preserve">efectúen </w:t>
      </w:r>
      <w:r w:rsidRPr="00FA771B">
        <w:rPr>
          <w:lang w:bidi="es-ES"/>
        </w:rPr>
        <w:t>las transferencias</w:t>
      </w:r>
      <w:r w:rsidR="00567A84">
        <w:rPr>
          <w:lang w:bidi="es-ES"/>
        </w:rPr>
        <w:t>”</w:t>
      </w:r>
      <w:r w:rsidRPr="00FA771B">
        <w:rPr>
          <w:lang w:bidi="es-ES"/>
        </w:rPr>
        <w:t xml:space="preserve">, el Comité autorizó a la Secretaría a hacer transferencias entre actividades, incluido dentro de la asignación específica para la partida presupuestaria 3 hasta un importe acumulativo equivalente al 5 % del total de la asignación inicial (Decisión </w:t>
      </w:r>
      <w:hyperlink r:id="rId33" w:history="1">
        <w:r w:rsidRPr="00FA771B">
          <w:rPr>
            <w:rStyle w:val="Hyperlink"/>
            <w:lang w:bidi="es-ES"/>
          </w:rPr>
          <w:t>20.COM 14</w:t>
        </w:r>
      </w:hyperlink>
      <w:r w:rsidRPr="00FA771B">
        <w:rPr>
          <w:lang w:bidi="es-ES"/>
        </w:rPr>
        <w:t xml:space="preserve">). </w:t>
      </w:r>
      <w:r w:rsidR="009A045C">
        <w:rPr>
          <w:lang w:bidi="es-ES"/>
        </w:rPr>
        <w:t>Sobre la base del</w:t>
      </w:r>
      <w:r w:rsidR="009A045C" w:rsidRPr="00FA771B">
        <w:rPr>
          <w:lang w:bidi="es-ES"/>
        </w:rPr>
        <w:t xml:space="preserve"> </w:t>
      </w:r>
      <w:r w:rsidR="009A045C">
        <w:rPr>
          <w:lang w:bidi="es-ES"/>
        </w:rPr>
        <w:t xml:space="preserve">importe indicativo </w:t>
      </w:r>
      <w:r w:rsidRPr="00FA771B">
        <w:rPr>
          <w:lang w:bidi="es-ES"/>
        </w:rPr>
        <w:t>de</w:t>
      </w:r>
      <w:r w:rsidR="009A045C">
        <w:rPr>
          <w:lang w:bidi="es-ES"/>
        </w:rPr>
        <w:t>l</w:t>
      </w:r>
      <w:r w:rsidRPr="00FA771B">
        <w:rPr>
          <w:lang w:bidi="es-ES"/>
        </w:rPr>
        <w:t xml:space="preserve"> presupuesto</w:t>
      </w:r>
      <w:r w:rsidR="009A045C">
        <w:rPr>
          <w:lang w:bidi="es-ES"/>
        </w:rPr>
        <w:t xml:space="preserve"> precisado </w:t>
      </w:r>
      <w:r w:rsidRPr="00FA771B">
        <w:rPr>
          <w:lang w:bidi="es-ES"/>
        </w:rPr>
        <w:t xml:space="preserve">en el anexo, </w:t>
      </w:r>
      <w:r w:rsidR="00A30B36">
        <w:rPr>
          <w:lang w:bidi="es-ES"/>
        </w:rPr>
        <w:t xml:space="preserve">esto </w:t>
      </w:r>
      <w:r w:rsidRPr="00FA771B">
        <w:rPr>
          <w:lang w:bidi="es-ES"/>
        </w:rPr>
        <w:t xml:space="preserve">sería equivalente a 78.766 dólares estadounidenses. La Secretaría informaría a la Asamblea General y al Comité por escrito, en la reunión </w:t>
      </w:r>
      <w:r w:rsidR="00A30B36">
        <w:rPr>
          <w:lang w:bidi="es-ES"/>
        </w:rPr>
        <w:t>posterior</w:t>
      </w:r>
      <w:r w:rsidR="00A30B36" w:rsidRPr="00FA771B">
        <w:rPr>
          <w:lang w:bidi="es-ES"/>
        </w:rPr>
        <w:t xml:space="preserve"> </w:t>
      </w:r>
      <w:r w:rsidRPr="00FA771B">
        <w:rPr>
          <w:lang w:bidi="es-ES"/>
        </w:rPr>
        <w:t>a dicha acción, sobre los detalles y las razones de estas transferencias, en caso de que tuvieran lugar.</w:t>
      </w:r>
    </w:p>
    <w:p w14:paraId="0C43823E" w14:textId="77777777" w:rsidR="005C47D7" w:rsidRPr="00FA771B" w:rsidRDefault="005C47D7" w:rsidP="005C47D7">
      <w:pPr>
        <w:pStyle w:val="COMPara"/>
        <w:numPr>
          <w:ilvl w:val="0"/>
          <w:numId w:val="0"/>
        </w:numPr>
        <w:ind w:left="567"/>
        <w:jc w:val="both"/>
        <w:rPr>
          <w:b/>
          <w:bCs/>
        </w:rPr>
      </w:pPr>
      <w:r w:rsidRPr="00FA771B">
        <w:rPr>
          <w:b/>
          <w:lang w:bidi="es-ES"/>
        </w:rPr>
        <w:t>Resultado esperado 1: Aplicación de la Convención mediante un programa de fortalecimiento de las capacidades reforzado y la integración del patrimonio cultural inmaterial en los planes y marcos de desarrollo</w:t>
      </w:r>
    </w:p>
    <w:p w14:paraId="14E8421E" w14:textId="2D182B75" w:rsidR="005C47D7" w:rsidRPr="00FA771B" w:rsidRDefault="005C47D7" w:rsidP="005C47D7">
      <w:pPr>
        <w:pStyle w:val="COMPara"/>
        <w:numPr>
          <w:ilvl w:val="0"/>
          <w:numId w:val="23"/>
        </w:numPr>
        <w:spacing w:before="120"/>
        <w:ind w:left="567" w:hanging="567"/>
        <w:jc w:val="both"/>
      </w:pPr>
      <w:r w:rsidRPr="00FA771B">
        <w:rPr>
          <w:lang w:bidi="es-ES"/>
        </w:rPr>
        <w:t xml:space="preserve">Sobre la base del compromiso colectivo esbozado en el </w:t>
      </w:r>
      <w:hyperlink r:id="rId34" w:history="1">
        <w:r w:rsidRPr="00FA771B">
          <w:rPr>
            <w:rStyle w:val="Hyperlink"/>
            <w:lang w:bidi="es-ES"/>
          </w:rPr>
          <w:t>Documento Final de</w:t>
        </w:r>
      </w:hyperlink>
      <w:r w:rsidRPr="00FA771B">
        <w:rPr>
          <w:lang w:bidi="es-ES"/>
        </w:rPr>
        <w:t xml:space="preserve"> MONDIACULT 2025 de fortalecer las capacidades institucionales para la salvaguardia del patrimonio, la Secretaría </w:t>
      </w:r>
      <w:r w:rsidR="006E54A0">
        <w:rPr>
          <w:lang w:bidi="es-ES"/>
        </w:rPr>
        <w:t>proseguirá la</w:t>
      </w:r>
      <w:r w:rsidR="006E54A0" w:rsidRPr="00FA771B">
        <w:rPr>
          <w:lang w:bidi="es-ES"/>
        </w:rPr>
        <w:t xml:space="preserve"> </w:t>
      </w:r>
      <w:r w:rsidR="006E54A0">
        <w:rPr>
          <w:lang w:bidi="es-ES"/>
        </w:rPr>
        <w:t>reorientación</w:t>
      </w:r>
      <w:r w:rsidRPr="00FA771B">
        <w:rPr>
          <w:lang w:bidi="es-ES"/>
        </w:rPr>
        <w:t xml:space="preserve"> </w:t>
      </w:r>
      <w:r w:rsidR="006E54A0">
        <w:rPr>
          <w:lang w:bidi="es-ES"/>
        </w:rPr>
        <w:t>d</w:t>
      </w:r>
      <w:r w:rsidRPr="00FA771B">
        <w:rPr>
          <w:lang w:bidi="es-ES"/>
        </w:rPr>
        <w:t xml:space="preserve">el programa mundial de fortalecimiento </w:t>
      </w:r>
      <w:r w:rsidRPr="00FA771B">
        <w:rPr>
          <w:rFonts w:ascii="Cambria Math" w:eastAsia="Cambria Math" w:hAnsi="Cambria Math" w:cs="Cambria Math"/>
          <w:lang w:bidi="es-ES"/>
        </w:rPr>
        <w:t>de</w:t>
      </w:r>
      <w:r w:rsidRPr="00FA771B">
        <w:rPr>
          <w:lang w:bidi="es-ES"/>
        </w:rPr>
        <w:t xml:space="preserve">las capacidades para responder mejor a las necesidades cambiantes de los Estados y las comunidades, en particular mediante la consolidación de la </w:t>
      </w:r>
      <w:hyperlink r:id="rId35" w:history="1">
        <w:r w:rsidRPr="00FA771B">
          <w:rPr>
            <w:rStyle w:val="Hyperlink"/>
            <w:rFonts w:asciiTheme="minorBidi" w:eastAsia="Calibri" w:hAnsiTheme="minorBidi" w:cstheme="minorBidi"/>
            <w:lang w:bidi="es-ES"/>
          </w:rPr>
          <w:t>Plataforma de Aprendizaje de la UNESCO</w:t>
        </w:r>
      </w:hyperlink>
      <w:r w:rsidRPr="00FA771B">
        <w:rPr>
          <w:lang w:bidi="es-ES"/>
        </w:rPr>
        <w:t xml:space="preserve">, que ofrece oportunidades de aprendizaje multimodal en formatos en línea, </w:t>
      </w:r>
      <w:r w:rsidR="006E54A0">
        <w:rPr>
          <w:lang w:bidi="es-ES"/>
        </w:rPr>
        <w:t>mixtos</w:t>
      </w:r>
      <w:r w:rsidR="006E54A0" w:rsidRPr="00FA771B">
        <w:rPr>
          <w:lang w:bidi="es-ES"/>
        </w:rPr>
        <w:t xml:space="preserve"> </w:t>
      </w:r>
      <w:r w:rsidRPr="00FA771B">
        <w:rPr>
          <w:lang w:bidi="es-ES"/>
        </w:rPr>
        <w:t xml:space="preserve">e híbridos para </w:t>
      </w:r>
      <w:r w:rsidR="006E54A0">
        <w:rPr>
          <w:lang w:bidi="es-ES"/>
        </w:rPr>
        <w:t>alcanzar</w:t>
      </w:r>
      <w:r w:rsidR="006E54A0" w:rsidRPr="00FA771B">
        <w:rPr>
          <w:lang w:bidi="es-ES"/>
        </w:rPr>
        <w:t xml:space="preserve"> </w:t>
      </w:r>
      <w:r w:rsidRPr="00FA771B">
        <w:rPr>
          <w:lang w:bidi="es-ES"/>
        </w:rPr>
        <w:t xml:space="preserve">a una gama más amplia de partes interesadas. Además, se dedicarán iniciativas a reforzar la </w:t>
      </w:r>
      <w:hyperlink r:id="rId36" w:history="1">
        <w:r w:rsidRPr="00FA771B">
          <w:rPr>
            <w:rStyle w:val="Hyperlink"/>
            <w:lang w:bidi="es-ES"/>
          </w:rPr>
          <w:t>red mundial de facilitadores</w:t>
        </w:r>
      </w:hyperlink>
      <w:r w:rsidRPr="00FA771B">
        <w:rPr>
          <w:lang w:bidi="es-ES"/>
        </w:rPr>
        <w:t xml:space="preserve">, dotándola de conocimientos temáticos, orientación actualizada y herramientas para lograr el fortalecimiento de las capacidades en formatos híbridos y llegar a nuevos públicos. En el bienio 2026-2027, se prestará apoyo específico para fortalecer </w:t>
      </w:r>
      <w:r w:rsidRPr="003E5580">
        <w:rPr>
          <w:lang w:bidi="es-ES"/>
        </w:rPr>
        <w:t>las</w:t>
      </w:r>
      <w:r w:rsidR="006E54A0" w:rsidRPr="003E5580">
        <w:rPr>
          <w:lang w:bidi="es-ES"/>
        </w:rPr>
        <w:t xml:space="preserve"> </w:t>
      </w:r>
      <w:r w:rsidRPr="00FA771B">
        <w:rPr>
          <w:lang w:bidi="es-ES"/>
        </w:rPr>
        <w:t>capacidades en materia de presentación de informes periódicos, en particular en el contexto de la transición al sistema único de presentación de informes</w:t>
      </w:r>
      <w:r w:rsidR="006E54A0">
        <w:rPr>
          <w:lang w:bidi="es-ES"/>
        </w:rPr>
        <w:t xml:space="preserve"> a escala mundial</w:t>
      </w:r>
      <w:r w:rsidRPr="00FA771B">
        <w:rPr>
          <w:lang w:bidi="es-ES"/>
        </w:rPr>
        <w:t xml:space="preserve"> (véase el documento </w:t>
      </w:r>
      <w:hyperlink r:id="rId37" w:history="1">
        <w:r w:rsidRPr="00FA771B">
          <w:rPr>
            <w:rStyle w:val="Hyperlink"/>
            <w:lang w:bidi="es-ES"/>
          </w:rPr>
          <w:t>LHE/25/20.COM/6.c</w:t>
        </w:r>
      </w:hyperlink>
      <w:r w:rsidRPr="00FA771B">
        <w:rPr>
          <w:lang w:bidi="es-ES"/>
        </w:rPr>
        <w:t xml:space="preserve">), lo que permitirá a los Estados Partes generar y utilizar los datos de manera más eficaz para salvaguardar el patrimonio vivo y apoyar la elaboración de políticas. Se reforzarán las </w:t>
      </w:r>
      <w:r w:rsidR="006E54A0">
        <w:rPr>
          <w:lang w:bidi="es-ES"/>
        </w:rPr>
        <w:t>alianzas</w:t>
      </w:r>
      <w:r w:rsidR="006E54A0" w:rsidRPr="00FA771B">
        <w:rPr>
          <w:lang w:bidi="es-ES"/>
        </w:rPr>
        <w:t xml:space="preserve"> </w:t>
      </w:r>
      <w:r w:rsidRPr="00FA771B">
        <w:rPr>
          <w:lang w:bidi="es-ES"/>
        </w:rPr>
        <w:t>con centros de categoría 2, Cátedras UNESCO/UNITWIN y otras partes interesadas para ampliar el alcance geográfico de las actividades y fomentar las sinergias con los expertos académicos y regionales.</w:t>
      </w:r>
    </w:p>
    <w:p w14:paraId="2D3D3837" w14:textId="33D719FA" w:rsidR="005C47D7" w:rsidRPr="00FA771B" w:rsidRDefault="005C47D7" w:rsidP="005C47D7">
      <w:pPr>
        <w:pStyle w:val="COMPara"/>
        <w:numPr>
          <w:ilvl w:val="0"/>
          <w:numId w:val="23"/>
        </w:numPr>
        <w:spacing w:before="120"/>
        <w:ind w:left="567" w:hanging="567"/>
        <w:jc w:val="both"/>
      </w:pPr>
      <w:r w:rsidRPr="00FA771B">
        <w:rPr>
          <w:lang w:bidi="es-ES"/>
        </w:rPr>
        <w:t xml:space="preserve">Siguiendo la línea de la </w:t>
      </w:r>
      <w:hyperlink r:id="rId38" w:history="1">
        <w:r w:rsidRPr="00FA771B">
          <w:rPr>
            <w:rStyle w:val="Hyperlink"/>
            <w:lang w:bidi="es-ES"/>
          </w:rPr>
          <w:t>Visión de Seúl</w:t>
        </w:r>
      </w:hyperlink>
      <w:r w:rsidRPr="00FA771B">
        <w:rPr>
          <w:lang w:bidi="es-ES"/>
        </w:rPr>
        <w:t xml:space="preserve"> </w:t>
      </w:r>
      <w:r w:rsidR="006E54A0">
        <w:rPr>
          <w:lang w:bidi="es-ES"/>
        </w:rPr>
        <w:t>para</w:t>
      </w:r>
      <w:r w:rsidRPr="00FA771B">
        <w:rPr>
          <w:lang w:bidi="es-ES"/>
        </w:rPr>
        <w:t xml:space="preserve"> el futuro de la salvaguardia del patrimonio vivo para el desarrollo sostenible y la paz (2023) y del más reciente </w:t>
      </w:r>
      <w:hyperlink r:id="rId39" w:history="1">
        <w:r w:rsidRPr="00FA771B">
          <w:rPr>
            <w:rStyle w:val="Hyperlink"/>
            <w:lang w:bidi="es-ES"/>
          </w:rPr>
          <w:t>Marco de</w:t>
        </w:r>
      </w:hyperlink>
      <w:r w:rsidRPr="00FA771B">
        <w:rPr>
          <w:lang w:bidi="es-ES"/>
        </w:rPr>
        <w:t xml:space="preserve"> la UNESCO para la Educación Cultural y Artística (2024), la Secretaría seguirá fomentando la integración del patrimonio vivo en la educación formal y no formal, haciendo hincapié en la importancia de una educación adaptada al contexto. Dentro de los recursos disponibles, incluidos los procedentes de contribuciones voluntarias complementarias (véanse los documentos </w:t>
      </w:r>
      <w:hyperlink r:id="rId40" w:history="1">
        <w:r w:rsidRPr="00FA771B">
          <w:rPr>
            <w:rStyle w:val="Hyperlink"/>
            <w:lang w:bidi="es-ES"/>
          </w:rPr>
          <w:t>LHE/25/20.COM/13</w:t>
        </w:r>
      </w:hyperlink>
      <w:r w:rsidRPr="00FA771B">
        <w:rPr>
          <w:lang w:bidi="es-ES"/>
        </w:rPr>
        <w:t xml:space="preserve"> y </w:t>
      </w:r>
      <w:hyperlink r:id="rId41" w:history="1">
        <w:r w:rsidRPr="00FA771B">
          <w:rPr>
            <w:rStyle w:val="Hyperlink"/>
            <w:lang w:bidi="es-ES"/>
          </w:rPr>
          <w:t>LHE/25/20.COM/INF.13.2</w:t>
        </w:r>
      </w:hyperlink>
      <w:r w:rsidRPr="00FA771B">
        <w:rPr>
          <w:lang w:bidi="es-ES"/>
        </w:rPr>
        <w:t xml:space="preserve">), los ámbitos de acción pueden incluir la organización de actividades de formación y el desarrollo de herramientas y metodologías contextualizadas para diversos entornos y niveles educativos; el avance en ámbitos menos explorados como la enseñanza y formación técnica y profesional (EFTP) y la educación no formal; y el fortalecimiento de la comunicación, la creación de redes y el intercambio interregional. Además, durante el bienio se prestará especial atención a las actividades de divulgación dirigidas a grupos destinatarios específicos, y se fomentará la </w:t>
      </w:r>
      <w:r w:rsidR="006E54A0">
        <w:rPr>
          <w:lang w:bidi="es-ES"/>
        </w:rPr>
        <w:t xml:space="preserve">inclusión </w:t>
      </w:r>
      <w:r w:rsidRPr="00FA771B">
        <w:rPr>
          <w:lang w:bidi="es-ES"/>
        </w:rPr>
        <w:t>en referencia a los apartados 174 y 194 de las Directrices Operativas.</w:t>
      </w:r>
    </w:p>
    <w:p w14:paraId="20A25C1E" w14:textId="77777777" w:rsidR="005C47D7" w:rsidRPr="00FA771B" w:rsidRDefault="005C47D7" w:rsidP="005C47D7">
      <w:pPr>
        <w:pStyle w:val="COMPara"/>
        <w:numPr>
          <w:ilvl w:val="0"/>
          <w:numId w:val="0"/>
        </w:numPr>
        <w:spacing w:before="120"/>
        <w:ind w:left="567"/>
        <w:jc w:val="both"/>
        <w:rPr>
          <w:b/>
          <w:bCs/>
        </w:rPr>
      </w:pPr>
      <w:r w:rsidRPr="00FA771B">
        <w:rPr>
          <w:b/>
          <w:lang w:bidi="es-ES"/>
        </w:rPr>
        <w:t>Resultado esperado 2: Gobernanza sólida de la Convención apoyada por un seguimiento, servicios de gestión de conocimientos y sensibilización mejorados asociados a los mecanismos de cooperación internacional</w:t>
      </w:r>
    </w:p>
    <w:p w14:paraId="0FB49EFA" w14:textId="794AB3ED" w:rsidR="005C47D7" w:rsidRPr="00FA771B" w:rsidRDefault="005C47D7" w:rsidP="005C47D7">
      <w:pPr>
        <w:pStyle w:val="COMPara"/>
        <w:numPr>
          <w:ilvl w:val="0"/>
          <w:numId w:val="23"/>
        </w:numPr>
        <w:spacing w:before="120"/>
        <w:ind w:left="567" w:hanging="567"/>
        <w:jc w:val="both"/>
      </w:pPr>
      <w:r w:rsidRPr="00FA771B">
        <w:rPr>
          <w:lang w:bidi="es-ES"/>
        </w:rPr>
        <w:t xml:space="preserve">Mantener la buena gobernanza, gracias a la puesta en práctica de las decisiones de los órganos de gobierno, sigue siendo una prioridad para garantizar la aplicación eficaz de la Convención. En el bienio 2026-2027, la Secretaría se centrará en la aplicación de los resultados de la </w:t>
      </w:r>
      <w:hyperlink r:id="rId42" w:history="1">
        <w:r w:rsidRPr="00FA771B">
          <w:rPr>
            <w:rStyle w:val="Hyperlink"/>
            <w:lang w:bidi="es-ES"/>
          </w:rPr>
          <w:t>reflexión</w:t>
        </w:r>
      </w:hyperlink>
      <w:r w:rsidRPr="00FA771B">
        <w:rPr>
          <w:lang w:bidi="es-ES"/>
        </w:rPr>
        <w:t xml:space="preserve"> sobre una aplicación más amplia del Artículo 18, apoyando la actual creación de una </w:t>
      </w:r>
      <w:hyperlink r:id="rId43" w:history="1">
        <w:r w:rsidRPr="00FA771B">
          <w:rPr>
            <w:rStyle w:val="Hyperlink"/>
            <w:lang w:bidi="es-ES"/>
          </w:rPr>
          <w:t>plataforma en línea</w:t>
        </w:r>
      </w:hyperlink>
      <w:r w:rsidRPr="00FA771B">
        <w:rPr>
          <w:lang w:bidi="es-ES"/>
        </w:rPr>
        <w:t xml:space="preserve"> para compartir buenas prácticas de salvaguardia que puedan orientar las iniciativas a escala internacional y nacional. Además, una vez finalizado el primer ciclo regional de presentación de informes periódicos, se hará especial hincapié en </w:t>
      </w:r>
      <w:r w:rsidRPr="00FA771B">
        <w:rPr>
          <w:lang w:bidi="es-ES"/>
        </w:rPr>
        <w:lastRenderedPageBreak/>
        <w:t xml:space="preserve">facilitar las actividades que se llevarán a cabo en el marco del año de reflexión en 2026; también se dedicarán iniciativas específicas a preparar y apoyar a los Estados en la presentación de informes periódicos en 2027, en el contexto de la </w:t>
      </w:r>
      <w:r w:rsidR="00CE7E88">
        <w:rPr>
          <w:lang w:bidi="es-ES"/>
        </w:rPr>
        <w:t xml:space="preserve">transición </w:t>
      </w:r>
      <w:r w:rsidRPr="00FA771B">
        <w:rPr>
          <w:lang w:bidi="es-ES"/>
        </w:rPr>
        <w:t>hacia un sistema único de presentación</w:t>
      </w:r>
      <w:r w:rsidR="00AD1AD2">
        <w:rPr>
          <w:lang w:bidi="es-ES"/>
        </w:rPr>
        <w:t xml:space="preserve"> a escala mundial</w:t>
      </w:r>
      <w:r w:rsidRPr="00FA771B">
        <w:rPr>
          <w:lang w:bidi="es-ES"/>
        </w:rPr>
        <w:t xml:space="preserve"> (véase el documento </w:t>
      </w:r>
      <w:hyperlink r:id="rId44" w:history="1">
        <w:r w:rsidRPr="00FA771B">
          <w:rPr>
            <w:rStyle w:val="Hyperlink"/>
            <w:lang w:bidi="es-ES"/>
          </w:rPr>
          <w:t>LHE/25/20.COM/6.c</w:t>
        </w:r>
      </w:hyperlink>
      <w:r w:rsidRPr="00FA771B">
        <w:rPr>
          <w:lang w:bidi="es-ES"/>
        </w:rPr>
        <w:t xml:space="preserve">). Paralelamente, la Secretaría llevará a cabo un primer análisis de las tendencias emergentes en materia de representatividad en los ámbitos del patrimonio cultural inmaterial y del desarrollo sostenible entre los elementos inscritos en los mecanismos de </w:t>
      </w:r>
      <w:r w:rsidR="00CE7E88" w:rsidRPr="00FA771B">
        <w:rPr>
          <w:lang w:bidi="es-ES"/>
        </w:rPr>
        <w:t>i</w:t>
      </w:r>
      <w:r w:rsidR="00CE7E88">
        <w:rPr>
          <w:lang w:bidi="es-ES"/>
        </w:rPr>
        <w:t>nscripci</w:t>
      </w:r>
      <w:r w:rsidR="00CE7E88" w:rsidRPr="00FA771B">
        <w:rPr>
          <w:lang w:bidi="es-ES"/>
        </w:rPr>
        <w:t xml:space="preserve">ón </w:t>
      </w:r>
      <w:r w:rsidRPr="00FA771B">
        <w:rPr>
          <w:lang w:bidi="es-ES"/>
        </w:rPr>
        <w:t xml:space="preserve">en las Listas, en respuesta a una decisión del Comité en 2024 (Decisión </w:t>
      </w:r>
      <w:hyperlink r:id="rId45" w:history="1">
        <w:r w:rsidRPr="00FA771B">
          <w:rPr>
            <w:rStyle w:val="Hyperlink"/>
            <w:lang w:bidi="es-ES"/>
          </w:rPr>
          <w:t>19.COM 15</w:t>
        </w:r>
      </w:hyperlink>
      <w:r w:rsidRPr="00FA771B">
        <w:rPr>
          <w:lang w:bidi="es-ES"/>
        </w:rPr>
        <w:t xml:space="preserve">). </w:t>
      </w:r>
    </w:p>
    <w:p w14:paraId="1F439984" w14:textId="1D014773" w:rsidR="005C47D7" w:rsidRPr="00FA771B" w:rsidRDefault="005C47D7" w:rsidP="005C47D7">
      <w:pPr>
        <w:pStyle w:val="COMPara"/>
        <w:numPr>
          <w:ilvl w:val="0"/>
          <w:numId w:val="23"/>
        </w:numPr>
        <w:spacing w:before="120"/>
        <w:ind w:left="567" w:hanging="567"/>
        <w:jc w:val="both"/>
      </w:pPr>
      <w:r w:rsidRPr="00FA771B">
        <w:rPr>
          <w:lang w:bidi="es-ES"/>
        </w:rPr>
        <w:t xml:space="preserve">De conformidad con las acciones iniciadas durante los bienios anteriores y en consonancia con el </w:t>
      </w:r>
      <w:hyperlink r:id="rId46" w:history="1">
        <w:r w:rsidRPr="00FA771B">
          <w:rPr>
            <w:rStyle w:val="Hyperlink"/>
            <w:lang w:bidi="es-ES"/>
          </w:rPr>
          <w:t>Documento Final de</w:t>
        </w:r>
      </w:hyperlink>
      <w:r w:rsidRPr="00FA771B">
        <w:rPr>
          <w:lang w:bidi="es-ES"/>
        </w:rPr>
        <w:t xml:space="preserve"> MONDIACULT 2025, que reafirma el poder transformador de la cultura para el desarrollo sostenible, la Secretaría impulsará las tres iniciativas temáticas que conectan el patrimonio cultural inmaterial con los desafíos mundiales, en particular (i) las dimensiones económicas de la salvaguardia del patrimonio cultural inmaterial, (</w:t>
      </w:r>
      <w:proofErr w:type="spellStart"/>
      <w:r w:rsidRPr="00FA771B">
        <w:rPr>
          <w:lang w:bidi="es-ES"/>
        </w:rPr>
        <w:t>ii</w:t>
      </w:r>
      <w:proofErr w:type="spellEnd"/>
      <w:r w:rsidRPr="00FA771B">
        <w:rPr>
          <w:lang w:bidi="es-ES"/>
        </w:rPr>
        <w:t>) la salvaguardia del patrimonio cultural inmaterial y el cambio climático, y (</w:t>
      </w:r>
      <w:proofErr w:type="spellStart"/>
      <w:r w:rsidRPr="00FA771B">
        <w:rPr>
          <w:lang w:bidi="es-ES"/>
        </w:rPr>
        <w:t>iii</w:t>
      </w:r>
      <w:proofErr w:type="spellEnd"/>
      <w:r w:rsidRPr="00FA771B">
        <w:rPr>
          <w:lang w:bidi="es-ES"/>
        </w:rPr>
        <w:t xml:space="preserve">) la salvaguardia del patrimonio cultural inmaterial en contextos urbanos. También se seguirá trabajando en el tema del patrimonio cultural inmaterial en el entorno digital, incluidas las repercusiones de la inteligencia artificial para la salvaguardia. Paralelamente, se mantendrán las iniciativas de comunicación y divulgación para dar a conocer los efectos de la Convención, destacar las buenas prácticas y ampliar el alcance a diversas partes interesadas. En este sentido, se mantendrá la cooperación con las </w:t>
      </w:r>
      <w:r w:rsidR="00C91C10">
        <w:rPr>
          <w:lang w:bidi="es-ES"/>
        </w:rPr>
        <w:t>organizaciones no gubernamentales (</w:t>
      </w:r>
      <w:r w:rsidRPr="00FA771B">
        <w:rPr>
          <w:lang w:bidi="es-ES"/>
        </w:rPr>
        <w:t>ONG</w:t>
      </w:r>
      <w:r w:rsidR="00C91C10">
        <w:rPr>
          <w:lang w:bidi="es-ES"/>
        </w:rPr>
        <w:t>)</w:t>
      </w:r>
      <w:r w:rsidRPr="00FA771B">
        <w:rPr>
          <w:lang w:bidi="es-ES"/>
        </w:rPr>
        <w:t xml:space="preserve"> acreditadas a través del Foro de ONG del PCI como alianza importante, y así se reconocerá su papel fundamental en la gobernanza participativa. Se movilizarán servicios de gestión del conocimiento en apoyo a todas estas iniciativas, con el fin de racionalizar la producción de datos y facilitar el acceso a la información en formatos de </w:t>
      </w:r>
      <w:r w:rsidRPr="003E5580">
        <w:rPr>
          <w:lang w:bidi="es-ES"/>
        </w:rPr>
        <w:t>fácil</w:t>
      </w:r>
      <w:r w:rsidR="00304223" w:rsidRPr="003E5580">
        <w:rPr>
          <w:lang w:bidi="es-ES"/>
        </w:rPr>
        <w:t xml:space="preserve"> </w:t>
      </w:r>
      <w:r w:rsidRPr="00FA771B">
        <w:rPr>
          <w:lang w:bidi="es-ES"/>
        </w:rPr>
        <w:t>uso, entre otras cosas mediante actualizaciones periódicas de "</w:t>
      </w:r>
      <w:hyperlink r:id="rId47" w:history="1">
        <w:r w:rsidR="00304223">
          <w:rPr>
            <w:rStyle w:val="Hyperlink"/>
            <w:lang w:bidi="es-ES"/>
          </w:rPr>
          <w:t>Indague en el patrimonio vivo</w:t>
        </w:r>
        <w:r w:rsidR="00304223" w:rsidRPr="00FA771B">
          <w:rPr>
            <w:rStyle w:val="Hyperlink"/>
            <w:lang w:bidi="es-ES"/>
          </w:rPr>
          <w:t>"</w:t>
        </w:r>
      </w:hyperlink>
      <w:r w:rsidRPr="00FA771B">
        <w:rPr>
          <w:lang w:bidi="es-ES"/>
        </w:rPr>
        <w:t>.</w:t>
      </w:r>
    </w:p>
    <w:p w14:paraId="7F65155F" w14:textId="77777777" w:rsidR="005C47D7" w:rsidRPr="00FA771B" w:rsidRDefault="005C47D7" w:rsidP="005C47D7">
      <w:pPr>
        <w:pStyle w:val="COMPara"/>
        <w:numPr>
          <w:ilvl w:val="0"/>
          <w:numId w:val="0"/>
        </w:numPr>
        <w:ind w:left="567"/>
      </w:pPr>
      <w:r w:rsidRPr="00FA771B">
        <w:rPr>
          <w:b/>
          <w:lang w:bidi="es-ES"/>
        </w:rPr>
        <w:t xml:space="preserve">Participación de expertos en las reuniones de los órganos rectores </w:t>
      </w:r>
    </w:p>
    <w:p w14:paraId="63F1D518" w14:textId="3E66E38D" w:rsidR="005C47D7" w:rsidRPr="00FA771B" w:rsidRDefault="005C47D7" w:rsidP="005C47D7">
      <w:pPr>
        <w:pStyle w:val="COMPara"/>
        <w:numPr>
          <w:ilvl w:val="0"/>
          <w:numId w:val="23"/>
        </w:numPr>
        <w:spacing w:before="120"/>
        <w:ind w:left="567" w:hanging="567"/>
        <w:jc w:val="both"/>
      </w:pPr>
      <w:r w:rsidRPr="00FA771B">
        <w:rPr>
          <w:lang w:bidi="es-ES"/>
        </w:rPr>
        <w:t xml:space="preserve">La participación de expertos en patrimonio cultural inmaterial en las reuniones reglamentarias que representen a los </w:t>
      </w:r>
      <w:proofErr w:type="gramStart"/>
      <w:r w:rsidRPr="00FA771B">
        <w:rPr>
          <w:lang w:bidi="es-ES"/>
        </w:rPr>
        <w:t>Estados Partes</w:t>
      </w:r>
      <w:proofErr w:type="gramEnd"/>
      <w:r w:rsidRPr="00FA771B">
        <w:rPr>
          <w:lang w:bidi="es-ES"/>
        </w:rPr>
        <w:t xml:space="preserve"> en desarrollo se cubre con la </w:t>
      </w:r>
      <w:r w:rsidRPr="00FA771B">
        <w:rPr>
          <w:b/>
          <w:lang w:bidi="es-ES"/>
        </w:rPr>
        <w:t>partida presupuestaria 4</w:t>
      </w:r>
      <w:r w:rsidRPr="00FA771B">
        <w:rPr>
          <w:lang w:bidi="es-ES"/>
        </w:rPr>
        <w:t xml:space="preserve">, cuando </w:t>
      </w:r>
      <w:r w:rsidR="00304223">
        <w:rPr>
          <w:lang w:bidi="es-ES"/>
        </w:rPr>
        <w:t xml:space="preserve">estos </w:t>
      </w:r>
      <w:r w:rsidRPr="00FA771B">
        <w:rPr>
          <w:lang w:bidi="es-ES"/>
        </w:rPr>
        <w:t xml:space="preserve">son miembros del Comité, o con la </w:t>
      </w:r>
      <w:r w:rsidRPr="00FA771B">
        <w:rPr>
          <w:b/>
          <w:lang w:bidi="es-ES"/>
        </w:rPr>
        <w:t>partida presupuestaria 5</w:t>
      </w:r>
      <w:r w:rsidRPr="00FA771B">
        <w:rPr>
          <w:lang w:bidi="es-ES"/>
        </w:rPr>
        <w:t xml:space="preserve">, cuando no lo son. La participación de expertos que representan a ONG acreditadas de países en desarrollo </w:t>
      </w:r>
      <w:r w:rsidR="00304223" w:rsidRPr="00FA771B">
        <w:rPr>
          <w:lang w:bidi="es-ES"/>
        </w:rPr>
        <w:t xml:space="preserve">en las reuniones del Comité </w:t>
      </w:r>
      <w:r w:rsidRPr="00FA771B">
        <w:rPr>
          <w:lang w:bidi="es-ES"/>
        </w:rPr>
        <w:t xml:space="preserve">está cubierta por la </w:t>
      </w:r>
      <w:r w:rsidRPr="00FA771B">
        <w:rPr>
          <w:b/>
          <w:lang w:bidi="es-ES"/>
        </w:rPr>
        <w:t>partida presupuestaria 6</w:t>
      </w:r>
      <w:r w:rsidRPr="00FA771B">
        <w:rPr>
          <w:lang w:bidi="es-ES"/>
        </w:rPr>
        <w:t xml:space="preserve">. Estas líneas se mantendrán en el </w:t>
      </w:r>
      <w:r w:rsidRPr="003E5580">
        <w:rPr>
          <w:bCs/>
          <w:lang w:bidi="es-ES"/>
        </w:rPr>
        <w:t>2,5</w:t>
      </w:r>
      <w:r w:rsidRPr="003E5580">
        <w:rPr>
          <w:bCs/>
          <w:i/>
          <w:lang w:bidi="es-ES"/>
        </w:rPr>
        <w:t> </w:t>
      </w:r>
      <w:r w:rsidRPr="003E5580">
        <w:rPr>
          <w:bCs/>
          <w:lang w:bidi="es-ES"/>
        </w:rPr>
        <w:t>%, 2,7</w:t>
      </w:r>
      <w:r w:rsidRPr="003E5580">
        <w:rPr>
          <w:bCs/>
          <w:i/>
          <w:lang w:bidi="es-ES"/>
        </w:rPr>
        <w:t> </w:t>
      </w:r>
      <w:r w:rsidRPr="003E5580">
        <w:rPr>
          <w:bCs/>
          <w:lang w:bidi="es-ES"/>
        </w:rPr>
        <w:t>% y 2,7</w:t>
      </w:r>
      <w:r w:rsidRPr="003E5580">
        <w:rPr>
          <w:bCs/>
          <w:i/>
          <w:lang w:bidi="es-ES"/>
        </w:rPr>
        <w:t> </w:t>
      </w:r>
      <w:r w:rsidRPr="003E5580">
        <w:rPr>
          <w:bCs/>
          <w:lang w:bidi="es-ES"/>
        </w:rPr>
        <w:t>%</w:t>
      </w:r>
      <w:r w:rsidRPr="00FA771B">
        <w:rPr>
          <w:b/>
          <w:lang w:bidi="es-ES"/>
        </w:rPr>
        <w:t xml:space="preserve"> </w:t>
      </w:r>
      <w:r w:rsidRPr="00FA771B">
        <w:rPr>
          <w:lang w:bidi="es-ES"/>
        </w:rPr>
        <w:t>respectivamente</w:t>
      </w:r>
      <w:r w:rsidR="00BE2925">
        <w:rPr>
          <w:lang w:bidi="es-ES"/>
        </w:rPr>
        <w:t>,</w:t>
      </w:r>
      <w:r w:rsidRPr="00FA771B">
        <w:rPr>
          <w:lang w:bidi="es-ES"/>
        </w:rPr>
        <w:t xml:space="preserve"> para responder a todas las solicitudes de los miembros del Comité, así como al mayor número posible de solicitudes aptas presentadas por los </w:t>
      </w:r>
      <w:proofErr w:type="gramStart"/>
      <w:r w:rsidRPr="00FA771B">
        <w:rPr>
          <w:lang w:bidi="es-ES"/>
        </w:rPr>
        <w:t>Estados Partes</w:t>
      </w:r>
      <w:proofErr w:type="gramEnd"/>
      <w:r w:rsidRPr="00FA771B">
        <w:rPr>
          <w:lang w:bidi="es-ES"/>
        </w:rPr>
        <w:t xml:space="preserve"> no miembros del Comité y las ONG acreditadas. Si no fuera posible dar una respuesta positiva a todas las solicitudes aptas de las ONG acreditadas, </w:t>
      </w:r>
      <w:r w:rsidR="00BE2925">
        <w:rPr>
          <w:lang w:bidi="es-ES"/>
        </w:rPr>
        <w:t>en particular,</w:t>
      </w:r>
      <w:r w:rsidRPr="00FA771B">
        <w:rPr>
          <w:lang w:bidi="es-ES"/>
        </w:rPr>
        <w:t xml:space="preserve"> </w:t>
      </w:r>
      <w:r w:rsidR="00BE2925">
        <w:rPr>
          <w:lang w:bidi="es-ES"/>
        </w:rPr>
        <w:t>dado</w:t>
      </w:r>
      <w:r w:rsidRPr="00FA771B">
        <w:rPr>
          <w:lang w:bidi="es-ES"/>
        </w:rPr>
        <w:t xml:space="preserve"> que el número de ONG acreditadas aumenta ciclo tras ciclo, se dará prioridad a los representantes elegidos del Foro de ONG del PCI y a las ONG con sede en países en desarrollo, </w:t>
      </w:r>
      <w:r w:rsidR="00BE2925">
        <w:rPr>
          <w:lang w:bidi="es-ES"/>
        </w:rPr>
        <w:t>garantizando</w:t>
      </w:r>
      <w:r w:rsidRPr="00FA771B">
        <w:rPr>
          <w:lang w:bidi="es-ES"/>
        </w:rPr>
        <w:t xml:space="preserve"> al mismo tiempo la diversidad geográfica entre las ONG que reciben y alenta</w:t>
      </w:r>
      <w:r w:rsidR="00BE2925">
        <w:rPr>
          <w:lang w:bidi="es-ES"/>
        </w:rPr>
        <w:t>ndo</w:t>
      </w:r>
      <w:r w:rsidRPr="00FA771B">
        <w:rPr>
          <w:lang w:bidi="es-ES"/>
        </w:rPr>
        <w:t xml:space="preserve"> a un amplio número de ONG a participar en una reunión del Comité a lo largo del período de dos años, de forma rotatoria si fuera necesario. </w:t>
      </w:r>
    </w:p>
    <w:p w14:paraId="4F88F606" w14:textId="77777777" w:rsidR="005C47D7" w:rsidRPr="00FA771B" w:rsidRDefault="005C47D7" w:rsidP="005C47D7">
      <w:pPr>
        <w:pStyle w:val="COMPara"/>
        <w:numPr>
          <w:ilvl w:val="0"/>
          <w:numId w:val="0"/>
        </w:numPr>
        <w:ind w:left="567"/>
        <w:rPr>
          <w:b/>
          <w:bCs/>
        </w:rPr>
      </w:pPr>
      <w:r w:rsidRPr="00FA771B">
        <w:rPr>
          <w:b/>
          <w:lang w:bidi="es-ES"/>
        </w:rPr>
        <w:t>Servicios de asesoramiento al Comité</w:t>
      </w:r>
    </w:p>
    <w:p w14:paraId="54532B21" w14:textId="3E58177E" w:rsidR="005C47D7" w:rsidRPr="00FA771B" w:rsidRDefault="005C47D7" w:rsidP="005C47D7">
      <w:pPr>
        <w:pStyle w:val="COMPara"/>
        <w:numPr>
          <w:ilvl w:val="0"/>
          <w:numId w:val="23"/>
        </w:numPr>
        <w:ind w:left="567" w:hanging="567"/>
        <w:jc w:val="both"/>
      </w:pPr>
      <w:r w:rsidRPr="00FA771B">
        <w:rPr>
          <w:lang w:bidi="es-ES"/>
        </w:rPr>
        <w:t xml:space="preserve">Se propone mantener la </w:t>
      </w:r>
      <w:r w:rsidRPr="00FA771B">
        <w:rPr>
          <w:b/>
          <w:lang w:bidi="es-ES"/>
        </w:rPr>
        <w:t>partida presupuestaria 7</w:t>
      </w:r>
      <w:r w:rsidRPr="00FA771B">
        <w:rPr>
          <w:lang w:bidi="es-ES"/>
        </w:rPr>
        <w:t xml:space="preserve"> en un 7 % para cubrir los costes de los servicios de asesoramiento prestados a petición del Comité entre enero de 2026 y diciembre de 2027. En particular, esta partida presupuestaria está destinada a cubrir los costes asociados a la labor del Órgano de Evaluación y el apoyo que le presta la Secretaría para los ciclos de presentación de candidaturas de 2026 y 2027, teniendo en cuenta el creciente número de expedientes para los dos ciclos correspondientes tras la decisión del Comité de tramitar varias categorías de expedientes</w:t>
      </w:r>
      <w:r w:rsidRPr="00FA771B">
        <w:rPr>
          <w:rStyle w:val="FootnoteReference"/>
          <w:lang w:bidi="es-ES"/>
        </w:rPr>
        <w:footnoteReference w:id="5"/>
      </w:r>
      <w:r w:rsidRPr="00FA771B">
        <w:rPr>
          <w:lang w:bidi="es-ES"/>
        </w:rPr>
        <w:t xml:space="preserve"> fuera del límite máximo anual </w:t>
      </w:r>
      <w:r w:rsidRPr="00FA771B">
        <w:rPr>
          <w:lang w:bidi="es-ES"/>
        </w:rPr>
        <w:lastRenderedPageBreak/>
        <w:t>(Decisión</w:t>
      </w:r>
      <w:r w:rsidR="003E5580">
        <w:rPr>
          <w:lang w:bidi="es-ES"/>
        </w:rPr>
        <w:t> </w:t>
      </w:r>
      <w:hyperlink r:id="rId48" w:history="1">
        <w:r w:rsidRPr="00FA771B">
          <w:rPr>
            <w:rStyle w:val="Hyperlink"/>
            <w:lang w:bidi="es-ES"/>
          </w:rPr>
          <w:t>19.COM</w:t>
        </w:r>
        <w:r w:rsidR="003E5580">
          <w:rPr>
            <w:rStyle w:val="Hyperlink"/>
            <w:lang w:bidi="es-ES"/>
          </w:rPr>
          <w:t> </w:t>
        </w:r>
        <w:r w:rsidRPr="00FA771B">
          <w:rPr>
            <w:rStyle w:val="Hyperlink"/>
            <w:lang w:bidi="es-ES"/>
          </w:rPr>
          <w:t>15</w:t>
        </w:r>
      </w:hyperlink>
      <w:r w:rsidRPr="00FA771B">
        <w:rPr>
          <w:lang w:bidi="es-ES"/>
        </w:rPr>
        <w:t xml:space="preserve">), así como cualquier otra tarea que el Comité decida asignar al Órgano de Evaluación durante ese período. </w:t>
      </w:r>
    </w:p>
    <w:p w14:paraId="15AA80DC" w14:textId="23B02E99" w:rsidR="005C47D7" w:rsidRPr="00FA771B" w:rsidRDefault="005C47D7" w:rsidP="005C47D7">
      <w:pPr>
        <w:pStyle w:val="COMPara"/>
        <w:numPr>
          <w:ilvl w:val="0"/>
          <w:numId w:val="23"/>
        </w:numPr>
        <w:tabs>
          <w:tab w:val="left" w:pos="567"/>
        </w:tabs>
        <w:ind w:left="567" w:hanging="567"/>
        <w:jc w:val="both"/>
        <w:rPr>
          <w:bCs/>
        </w:rPr>
      </w:pPr>
      <w:r w:rsidRPr="00FA771B">
        <w:rPr>
          <w:lang w:bidi="es-ES"/>
        </w:rPr>
        <w:t xml:space="preserve">En su décima reunión, la Asamblea General recomendó que la Secretaría fuera autorizada a realizar transferencias entre las partidas presupuestarias 4, 5, 6 y 7 de hasta el 30 % de su asignación total inicial (Resolución </w:t>
      </w:r>
      <w:hyperlink r:id="rId49" w:history="1">
        <w:r w:rsidRPr="003D3933">
          <w:rPr>
            <w:rStyle w:val="Hyperlink"/>
            <w:lang w:bidi="es-ES"/>
          </w:rPr>
          <w:t>10.GA 8</w:t>
        </w:r>
      </w:hyperlink>
      <w:r w:rsidRPr="003D3933">
        <w:rPr>
          <w:lang w:bidi="es-ES"/>
        </w:rPr>
        <w:t>).</w:t>
      </w:r>
      <w:r w:rsidRPr="00FA771B">
        <w:rPr>
          <w:lang w:bidi="es-ES"/>
        </w:rPr>
        <w:t xml:space="preserve"> Durante el período </w:t>
      </w:r>
      <w:r w:rsidR="00BE5788">
        <w:rPr>
          <w:lang w:bidi="es-ES"/>
        </w:rPr>
        <w:t>cubierto por este</w:t>
      </w:r>
      <w:r w:rsidRPr="00FA771B">
        <w:rPr>
          <w:lang w:bidi="es-ES"/>
        </w:rPr>
        <w:t xml:space="preserve"> informe, se realizaron simultáneamente tres transferencias presupuestarias en julio de 2025, respectivamente de la partida presupuestaria 4 a la partida presupuestaria 5 (10.000 dólares), de la partida presupuestaria 7 a la partida presupuestaria 5 (40.000 dólares) y de la partida presupuestaria 7 a la partida presupuestaria 6 (110.000 dólares). La finalidad de estas transferencias era permitir al Fondo dar una respuesta positiva a un mayor número de solicitudes para cubrir los gastos de participación de los expertos representantes de Estados Partes en desarrollo que no son miembros del Comité (partida presupuestaria 5) y de ONG acreditadas de países en desarrollo (partida presupuestaria 6) en la vigésima reunión del Comité (véase el documento </w:t>
      </w:r>
      <w:hyperlink r:id="rId50" w:history="1">
        <w:r w:rsidRPr="003E5580">
          <w:rPr>
            <w:rStyle w:val="Hyperlink"/>
            <w:lang w:bidi="es-ES"/>
          </w:rPr>
          <w:t>LHE/26/11.GA/INF.8</w:t>
        </w:r>
      </w:hyperlink>
      <w:r w:rsidRPr="003E5580">
        <w:rPr>
          <w:lang w:bidi="es-ES"/>
        </w:rPr>
        <w:t>).</w:t>
      </w:r>
      <w:r w:rsidRPr="00FA771B">
        <w:rPr>
          <w:lang w:bidi="es-ES"/>
        </w:rPr>
        <w:t xml:space="preserve"> Para poder seguir respondiendo al mayor número posible de solicitudes de asistencia financiera </w:t>
      </w:r>
      <w:r w:rsidR="00A727A9">
        <w:rPr>
          <w:lang w:bidi="es-ES"/>
        </w:rPr>
        <w:t>en</w:t>
      </w:r>
      <w:r w:rsidR="00A727A9" w:rsidRPr="00FA771B">
        <w:rPr>
          <w:lang w:bidi="es-ES"/>
        </w:rPr>
        <w:t xml:space="preserve"> </w:t>
      </w:r>
      <w:r w:rsidRPr="00FA771B">
        <w:rPr>
          <w:lang w:bidi="es-ES"/>
        </w:rPr>
        <w:t xml:space="preserve">las diferentes categorías de participantes, el Comité recomendó que la Asamblea General siguiera autorizando a la Secretaría a realizar transferencias entre las partidas presupuestarias 4, 5, 6 y 7, hasta un equivalente del 30 % de su total inicial (Decisión </w:t>
      </w:r>
      <w:hyperlink r:id="rId51" w:history="1">
        <w:r w:rsidRPr="00FA771B">
          <w:rPr>
            <w:rStyle w:val="Hyperlink"/>
            <w:lang w:bidi="es-ES"/>
          </w:rPr>
          <w:t>20.COM 14</w:t>
        </w:r>
      </w:hyperlink>
      <w:r w:rsidRPr="00FA771B">
        <w:rPr>
          <w:lang w:bidi="es-ES"/>
        </w:rPr>
        <w:t xml:space="preserve">). Si fuera necesaria una transferencia de esta clase, la Secretaría informaría a la Asamblea General y al Comité por escrito, en la reunión </w:t>
      </w:r>
      <w:r w:rsidR="00FF67A8">
        <w:rPr>
          <w:lang w:bidi="es-ES"/>
        </w:rPr>
        <w:t>posterior</w:t>
      </w:r>
      <w:r w:rsidR="00FF67A8" w:rsidRPr="00FA771B">
        <w:rPr>
          <w:lang w:bidi="es-ES"/>
        </w:rPr>
        <w:t xml:space="preserve"> </w:t>
      </w:r>
      <w:r w:rsidRPr="00FA771B">
        <w:rPr>
          <w:lang w:bidi="es-ES"/>
        </w:rPr>
        <w:t>a dicha acción, sobre los detalles y las razones de estas transferencias.</w:t>
      </w:r>
    </w:p>
    <w:p w14:paraId="5E60D54E" w14:textId="43B74A8C" w:rsidR="005C47D7" w:rsidRPr="00FA771B" w:rsidRDefault="005C47D7" w:rsidP="005C47D7">
      <w:pPr>
        <w:pStyle w:val="COMPara"/>
        <w:numPr>
          <w:ilvl w:val="0"/>
          <w:numId w:val="23"/>
        </w:numPr>
        <w:tabs>
          <w:tab w:val="left" w:pos="567"/>
        </w:tabs>
        <w:ind w:left="567" w:hanging="567"/>
        <w:jc w:val="both"/>
        <w:rPr>
          <w:bCs/>
        </w:rPr>
      </w:pPr>
      <w:r w:rsidRPr="00FA771B">
        <w:rPr>
          <w:bCs/>
          <w:lang w:eastAsia="fr-FR"/>
        </w:rPr>
        <w:t>La Asamblea General podría aprobar la siguiente resolución:</w:t>
      </w:r>
    </w:p>
    <w:p w14:paraId="6CEB1E9D" w14:textId="6D83930F" w:rsidR="00D95C4C" w:rsidRPr="00FA771B" w:rsidRDefault="004A34A0" w:rsidP="001D14FE">
      <w:pPr>
        <w:pStyle w:val="COMTitleDecision"/>
        <w:rPr>
          <w:rFonts w:eastAsia="SimSun"/>
        </w:rPr>
      </w:pPr>
      <w:r w:rsidRPr="00FA771B">
        <w:t>PROYECTO DE RESOLUCIÓN 11.GA 8</w:t>
      </w:r>
    </w:p>
    <w:p w14:paraId="13024F0B" w14:textId="5181E164" w:rsidR="00D95C4C" w:rsidRPr="00FA771B" w:rsidRDefault="005C792B" w:rsidP="00285BB4">
      <w:pPr>
        <w:pStyle w:val="COMPreambulaDecisions"/>
        <w:rPr>
          <w:rFonts w:eastAsia="SimSun"/>
        </w:rPr>
      </w:pPr>
      <w:r w:rsidRPr="00FA771B">
        <w:t>La Asamblea General,</w:t>
      </w:r>
    </w:p>
    <w:p w14:paraId="1AA72367" w14:textId="396B4B34" w:rsidR="005C47D7" w:rsidRPr="00FA771B" w:rsidRDefault="005C47D7" w:rsidP="005C47D7">
      <w:pPr>
        <w:pStyle w:val="COMParaDecision"/>
        <w:rPr>
          <w:u w:val="none"/>
        </w:rPr>
      </w:pPr>
      <w:r w:rsidRPr="00FA771B">
        <w:rPr>
          <w:lang w:bidi="es-ES"/>
        </w:rPr>
        <w:t>Habiendo examinado</w:t>
      </w:r>
      <w:r w:rsidRPr="00FA771B">
        <w:rPr>
          <w:u w:val="none"/>
          <w:lang w:bidi="es-ES"/>
        </w:rPr>
        <w:t xml:space="preserve"> los documentos LHE/26/11.GA/8 y </w:t>
      </w:r>
      <w:hyperlink r:id="rId52" w:history="1">
        <w:r w:rsidRPr="003E5580">
          <w:rPr>
            <w:rStyle w:val="Hyperlink"/>
            <w:lang w:bidi="es-ES"/>
          </w:rPr>
          <w:t>LHE/26/11.GA/INF.8</w:t>
        </w:r>
      </w:hyperlink>
      <w:r w:rsidRPr="00FA771B">
        <w:rPr>
          <w:u w:val="none"/>
          <w:lang w:bidi="es-ES"/>
        </w:rPr>
        <w:t xml:space="preserve"> y sus respectivos anexos, </w:t>
      </w:r>
    </w:p>
    <w:p w14:paraId="1905EE21" w14:textId="52B20B9C" w:rsidR="005C47D7" w:rsidRPr="00FA771B" w:rsidRDefault="005C47D7" w:rsidP="005C47D7">
      <w:pPr>
        <w:pStyle w:val="COMParaDecision"/>
      </w:pPr>
      <w:r w:rsidRPr="00FA771B">
        <w:rPr>
          <w:lang w:bidi="es-ES"/>
        </w:rPr>
        <w:t>Recordando</w:t>
      </w:r>
      <w:r w:rsidRPr="00FA771B">
        <w:rPr>
          <w:u w:val="none"/>
          <w:lang w:bidi="es-ES"/>
        </w:rPr>
        <w:t xml:space="preserve"> el Artículo 7 c) de la Convención y el capítulo II.1 de las Directrices Operativas,</w:t>
      </w:r>
    </w:p>
    <w:p w14:paraId="138D14F3" w14:textId="137442E1" w:rsidR="005C47D7" w:rsidRPr="00FA771B" w:rsidRDefault="005C47D7" w:rsidP="005C47D7">
      <w:pPr>
        <w:pStyle w:val="COMParaDecision"/>
        <w:rPr>
          <w:u w:val="none"/>
        </w:rPr>
      </w:pPr>
      <w:r w:rsidRPr="00FA771B">
        <w:rPr>
          <w:lang w:bidi="es-ES"/>
        </w:rPr>
        <w:t>Recordando también</w:t>
      </w:r>
      <w:r w:rsidRPr="00FA771B">
        <w:rPr>
          <w:u w:val="none"/>
          <w:lang w:bidi="es-ES"/>
        </w:rPr>
        <w:t xml:space="preserve"> la resolución de consignación de créditos de la Conferencia General de la UNESCO para </w:t>
      </w:r>
      <w:bookmarkStart w:id="5" w:name="_Hlk150367455"/>
      <w:r w:rsidRPr="00FA771B">
        <w:rPr>
          <w:u w:val="none"/>
          <w:lang w:bidi="es-ES"/>
        </w:rPr>
        <w:t>2026–</w:t>
      </w:r>
      <w:bookmarkEnd w:id="5"/>
      <w:r w:rsidRPr="00FA771B">
        <w:rPr>
          <w:u w:val="none"/>
          <w:lang w:bidi="es-ES"/>
        </w:rPr>
        <w:t xml:space="preserve">2027 </w:t>
      </w:r>
      <w:r w:rsidRPr="00FA771B">
        <w:rPr>
          <w:color w:val="212121"/>
          <w:u w:val="none"/>
          <w:shd w:val="clear" w:color="auto" w:fill="FFFFFF"/>
          <w:lang w:bidi="es-ES"/>
        </w:rPr>
        <w:t>(</w:t>
      </w:r>
      <w:hyperlink r:id="rId53" w:history="1">
        <w:r w:rsidRPr="00FA771B">
          <w:rPr>
            <w:rStyle w:val="Hyperlink"/>
            <w:lang w:bidi="es-ES"/>
          </w:rPr>
          <w:t>43 C/Resolución 84</w:t>
        </w:r>
      </w:hyperlink>
      <w:r w:rsidRPr="00FA771B">
        <w:rPr>
          <w:color w:val="212121"/>
          <w:u w:val="none"/>
          <w:shd w:val="clear" w:color="auto" w:fill="FFFFFF"/>
          <w:lang w:bidi="es-ES"/>
        </w:rPr>
        <w:t>)</w:t>
      </w:r>
      <w:r w:rsidRPr="00FA771B">
        <w:rPr>
          <w:u w:val="none"/>
          <w:lang w:bidi="es-ES"/>
        </w:rPr>
        <w:t>,</w:t>
      </w:r>
    </w:p>
    <w:p w14:paraId="26696128" w14:textId="1A98A724" w:rsidR="005C47D7" w:rsidRPr="00FA771B" w:rsidRDefault="005C47D7" w:rsidP="005C47D7">
      <w:pPr>
        <w:pStyle w:val="COMParaDecision"/>
      </w:pPr>
      <w:r w:rsidRPr="00FA771B">
        <w:rPr>
          <w:lang w:bidi="es-ES"/>
        </w:rPr>
        <w:t>Recordando también</w:t>
      </w:r>
      <w:r w:rsidRPr="00FA771B">
        <w:rPr>
          <w:u w:val="none"/>
          <w:lang w:bidi="es-ES"/>
        </w:rPr>
        <w:t xml:space="preserve"> las Decisiones </w:t>
      </w:r>
      <w:hyperlink r:id="rId54" w:history="1">
        <w:r w:rsidRPr="00FA771B">
          <w:rPr>
            <w:rStyle w:val="Hyperlink"/>
            <w:lang w:bidi="es-ES"/>
          </w:rPr>
          <w:t>20.COM 13</w:t>
        </w:r>
      </w:hyperlink>
      <w:r w:rsidRPr="00FA771B">
        <w:rPr>
          <w:u w:val="none"/>
          <w:lang w:bidi="es-ES"/>
        </w:rPr>
        <w:t xml:space="preserve"> y</w:t>
      </w:r>
      <w:r w:rsidR="00A146D5">
        <w:rPr>
          <w:u w:val="none"/>
          <w:lang w:bidi="es-ES"/>
        </w:rPr>
        <w:t xml:space="preserve"> </w:t>
      </w:r>
      <w:hyperlink r:id="rId55" w:history="1">
        <w:r w:rsidRPr="00FA771B">
          <w:rPr>
            <w:rStyle w:val="Hyperlink"/>
            <w:lang w:bidi="es-ES"/>
          </w:rPr>
          <w:t>20.COM 14</w:t>
        </w:r>
      </w:hyperlink>
      <w:r w:rsidRPr="00FA771B">
        <w:rPr>
          <w:u w:val="none"/>
          <w:lang w:bidi="es-ES"/>
        </w:rPr>
        <w:t xml:space="preserve"> del Comité, </w:t>
      </w:r>
    </w:p>
    <w:p w14:paraId="33C0FBD2" w14:textId="77777777" w:rsidR="005C47D7" w:rsidRPr="00FA771B" w:rsidRDefault="005C47D7" w:rsidP="005C47D7">
      <w:pPr>
        <w:pStyle w:val="COMParaDecision"/>
        <w:keepNext/>
        <w:keepLines/>
        <w:numPr>
          <w:ilvl w:val="0"/>
          <w:numId w:val="0"/>
        </w:numPr>
        <w:ind w:left="992" w:firstLine="142"/>
        <w:rPr>
          <w:b/>
          <w:bCs/>
          <w:u w:val="none"/>
        </w:rPr>
      </w:pPr>
      <w:r w:rsidRPr="00FA771B">
        <w:rPr>
          <w:b/>
          <w:u w:val="none"/>
          <w:lang w:bidi="es-ES"/>
        </w:rPr>
        <w:t>Estado y tendencias del Fondo</w:t>
      </w:r>
    </w:p>
    <w:p w14:paraId="0D897B49" w14:textId="77777777" w:rsidR="005C47D7" w:rsidRPr="00FA771B" w:rsidRDefault="005C47D7" w:rsidP="005C47D7">
      <w:pPr>
        <w:pStyle w:val="COMParaDecision"/>
      </w:pPr>
      <w:r w:rsidRPr="00FA771B">
        <w:rPr>
          <w:lang w:bidi="es-ES"/>
        </w:rPr>
        <w:t>Toma nota</w:t>
      </w:r>
      <w:r w:rsidRPr="00FA771B">
        <w:rPr>
          <w:u w:val="none"/>
          <w:lang w:bidi="es-ES"/>
        </w:rPr>
        <w:t xml:space="preserve"> del estado de las contribuciones asignadas del Fondo para 2024–2025, </w:t>
      </w:r>
      <w:r w:rsidRPr="00FA771B">
        <w:rPr>
          <w:lang w:bidi="es-ES"/>
        </w:rPr>
        <w:t>recuerda</w:t>
      </w:r>
      <w:r w:rsidRPr="00FA771B">
        <w:rPr>
          <w:u w:val="none"/>
          <w:lang w:bidi="es-ES"/>
        </w:rPr>
        <w:t xml:space="preserve"> que el pago de las contribuciones asignadas voluntarias y obligatorias es, según el Artículo 26 de la Convención, una obligación que incumbe a todos los Estados Partes que han ratificado la Convención, y </w:t>
      </w:r>
      <w:r w:rsidRPr="00FA771B">
        <w:rPr>
          <w:lang w:bidi="es-ES"/>
        </w:rPr>
        <w:t>pide</w:t>
      </w:r>
      <w:r w:rsidRPr="00FA771B">
        <w:rPr>
          <w:u w:val="none"/>
          <w:lang w:bidi="es-ES"/>
        </w:rPr>
        <w:t xml:space="preserve"> a todos los Estados Partes que aún no hayan pagado la totalidad de sus contribuciones asignadas, incluidas las contribuciones asignadas voluntarias, que se aseguren de abonar sus contribuciones a su debido tiempo; </w:t>
      </w:r>
    </w:p>
    <w:p w14:paraId="6E4B6ABF" w14:textId="6F5F3E59" w:rsidR="005C47D7" w:rsidRPr="00FA771B" w:rsidRDefault="005C47D7" w:rsidP="005C47D7">
      <w:pPr>
        <w:pStyle w:val="COMParaDecision"/>
      </w:pPr>
      <w:r w:rsidRPr="00FA771B">
        <w:rPr>
          <w:lang w:bidi="es-ES"/>
        </w:rPr>
        <w:t>Toma nota además</w:t>
      </w:r>
      <w:r w:rsidRPr="00FA771B">
        <w:rPr>
          <w:u w:val="none"/>
          <w:lang w:bidi="es-ES"/>
        </w:rPr>
        <w:t xml:space="preserve"> de los donantes que han aportado durante el bienio 2024–2025 (a) contribuciones voluntarias complementarias para actividades del programa, es decir, San Vicente y las Granadinas, (b) contribuciones voluntarias complementarias para actividades específicas aprobadas por el Comité, es decir, el Reino de los Países Bajos y Suecia, así como (c) contribuciones voluntarias complementarias al </w:t>
      </w:r>
      <w:proofErr w:type="spellStart"/>
      <w:r w:rsidRPr="00FA771B">
        <w:rPr>
          <w:u w:val="none"/>
          <w:lang w:bidi="es-ES"/>
        </w:rPr>
        <w:t>sub</w:t>
      </w:r>
      <w:r w:rsidR="00F04406">
        <w:rPr>
          <w:u w:val="none"/>
          <w:lang w:bidi="es-ES"/>
        </w:rPr>
        <w:t>-</w:t>
      </w:r>
      <w:r w:rsidRPr="00FA771B">
        <w:rPr>
          <w:u w:val="none"/>
          <w:lang w:bidi="es-ES"/>
        </w:rPr>
        <w:t>fondo</w:t>
      </w:r>
      <w:proofErr w:type="spellEnd"/>
      <w:r w:rsidRPr="00FA771B">
        <w:rPr>
          <w:u w:val="none"/>
          <w:lang w:bidi="es-ES"/>
        </w:rPr>
        <w:t xml:space="preserve"> para reforzar las capacidades humanas de la Secretaría, es decir, Francia, Lituania, Mónaco, Eslovenia y el Reino Unido de Gran Bretaña e Irlanda del Norte;</w:t>
      </w:r>
    </w:p>
    <w:p w14:paraId="5E4B0950" w14:textId="65617747" w:rsidR="005C47D7" w:rsidRPr="00FA771B" w:rsidRDefault="005C47D7" w:rsidP="005C47D7">
      <w:pPr>
        <w:pStyle w:val="COMParaDecision"/>
      </w:pPr>
      <w:r w:rsidRPr="00FA771B">
        <w:rPr>
          <w:lang w:bidi="es-ES"/>
        </w:rPr>
        <w:lastRenderedPageBreak/>
        <w:t>Expresa agradecimiento</w:t>
      </w:r>
      <w:r w:rsidRPr="00FA771B">
        <w:rPr>
          <w:u w:val="none"/>
          <w:lang w:bidi="es-ES"/>
        </w:rPr>
        <w:t xml:space="preserve"> a todos los contribuyentes que, desde la última reunión, han aportado a la Convención y a su Secretaría distintos tipos de apoyo financiero o en especie, en forma, por ejemplo, de contribuciones voluntarias complementarias al Fondo del Patrimonio Cultural Inmaterial y al </w:t>
      </w:r>
      <w:proofErr w:type="spellStart"/>
      <w:r w:rsidRPr="00FA771B">
        <w:rPr>
          <w:u w:val="none"/>
          <w:lang w:bidi="es-ES"/>
        </w:rPr>
        <w:t>sub</w:t>
      </w:r>
      <w:r w:rsidR="00412F51">
        <w:rPr>
          <w:u w:val="none"/>
          <w:lang w:bidi="es-ES"/>
        </w:rPr>
        <w:t>-</w:t>
      </w:r>
      <w:r w:rsidRPr="00FA771B">
        <w:rPr>
          <w:u w:val="none"/>
          <w:lang w:bidi="es-ES"/>
        </w:rPr>
        <w:t>fondo</w:t>
      </w:r>
      <w:proofErr w:type="spellEnd"/>
      <w:r w:rsidRPr="00FA771B">
        <w:rPr>
          <w:u w:val="none"/>
          <w:lang w:bidi="es-ES"/>
        </w:rPr>
        <w:t xml:space="preserve"> para reforzar las capacidades humanas de la Secretaría, fondos fiduciarios o cesiones de personal, y</w:t>
      </w:r>
      <w:r w:rsidRPr="003E5580">
        <w:rPr>
          <w:u w:val="none"/>
          <w:lang w:bidi="es-ES"/>
        </w:rPr>
        <w:t xml:space="preserve"> </w:t>
      </w:r>
      <w:r w:rsidRPr="00FA771B">
        <w:rPr>
          <w:lang w:bidi="es-ES"/>
        </w:rPr>
        <w:t>alienta</w:t>
      </w:r>
      <w:r w:rsidRPr="00FA771B">
        <w:rPr>
          <w:u w:val="none"/>
          <w:lang w:bidi="es-ES"/>
        </w:rPr>
        <w:t xml:space="preserve"> a los posibles contribuyentes a considerar la posibilidad de apoyar a la Convención utilizando la modalidad de su elección;</w:t>
      </w:r>
    </w:p>
    <w:p w14:paraId="7FB11980" w14:textId="1DE20C36" w:rsidR="005C47D7" w:rsidRPr="00FA771B" w:rsidRDefault="005C47D7" w:rsidP="005C47D7">
      <w:pPr>
        <w:pStyle w:val="COMParaDecision"/>
      </w:pPr>
      <w:r w:rsidRPr="00FA771B">
        <w:rPr>
          <w:lang w:bidi="es-ES"/>
        </w:rPr>
        <w:t>Reitera</w:t>
      </w:r>
      <w:r w:rsidRPr="00FA771B">
        <w:rPr>
          <w:u w:val="none"/>
          <w:lang w:bidi="es-ES"/>
        </w:rPr>
        <w:t xml:space="preserve"> la necesidad de reforzar los recursos humanos de la Secretaría de forma estructural para que pueda responder mejor a las necesidades de los </w:t>
      </w:r>
      <w:proofErr w:type="gramStart"/>
      <w:r w:rsidRPr="00FA771B">
        <w:rPr>
          <w:u w:val="none"/>
          <w:lang w:bidi="es-ES"/>
        </w:rPr>
        <w:t>Estados Partes</w:t>
      </w:r>
      <w:proofErr w:type="gramEnd"/>
      <w:r w:rsidRPr="00FA771B">
        <w:rPr>
          <w:u w:val="none"/>
          <w:lang w:bidi="es-ES"/>
        </w:rPr>
        <w:t xml:space="preserve"> e </w:t>
      </w:r>
      <w:r w:rsidRPr="00FA771B">
        <w:rPr>
          <w:lang w:bidi="es-ES"/>
        </w:rPr>
        <w:t>invita</w:t>
      </w:r>
      <w:r w:rsidRPr="00FA771B">
        <w:rPr>
          <w:u w:val="none"/>
          <w:lang w:bidi="es-ES"/>
        </w:rPr>
        <w:t xml:space="preserve"> a los </w:t>
      </w:r>
      <w:proofErr w:type="gramStart"/>
      <w:r w:rsidRPr="00FA771B">
        <w:rPr>
          <w:u w:val="none"/>
          <w:lang w:bidi="es-ES"/>
        </w:rPr>
        <w:t>Estados Partes</w:t>
      </w:r>
      <w:proofErr w:type="gramEnd"/>
      <w:r w:rsidRPr="00FA771B">
        <w:rPr>
          <w:u w:val="none"/>
          <w:lang w:bidi="es-ES"/>
        </w:rPr>
        <w:t xml:space="preserve"> a aportar contribuciones voluntarias complementarias al </w:t>
      </w:r>
      <w:proofErr w:type="spellStart"/>
      <w:r w:rsidRPr="00FA771B">
        <w:rPr>
          <w:u w:val="none"/>
          <w:lang w:bidi="es-ES"/>
        </w:rPr>
        <w:t>sub</w:t>
      </w:r>
      <w:r w:rsidR="00412F51">
        <w:rPr>
          <w:u w:val="none"/>
          <w:lang w:bidi="es-ES"/>
        </w:rPr>
        <w:t>-</w:t>
      </w:r>
      <w:r w:rsidRPr="00FA771B">
        <w:rPr>
          <w:u w:val="none"/>
          <w:lang w:bidi="es-ES"/>
        </w:rPr>
        <w:t>fondo</w:t>
      </w:r>
      <w:proofErr w:type="spellEnd"/>
      <w:r w:rsidRPr="00FA771B">
        <w:rPr>
          <w:u w:val="none"/>
          <w:lang w:bidi="es-ES"/>
        </w:rPr>
        <w:t xml:space="preserve"> para reforzar los recursos humanos de la Secretaría;</w:t>
      </w:r>
    </w:p>
    <w:p w14:paraId="482C42BA" w14:textId="77777777" w:rsidR="005C47D7" w:rsidRPr="00FA771B" w:rsidRDefault="005C47D7" w:rsidP="005C47D7">
      <w:pPr>
        <w:pStyle w:val="COMParaDecision"/>
        <w:keepNext/>
        <w:keepLines/>
        <w:numPr>
          <w:ilvl w:val="0"/>
          <w:numId w:val="0"/>
        </w:numPr>
        <w:ind w:left="992" w:firstLine="142"/>
        <w:rPr>
          <w:b/>
          <w:bCs/>
          <w:u w:val="none"/>
        </w:rPr>
      </w:pPr>
      <w:r w:rsidRPr="00FA771B">
        <w:rPr>
          <w:b/>
          <w:u w:val="none"/>
          <w:lang w:bidi="es-ES"/>
        </w:rPr>
        <w:t>Plan para la utilización de los recursos del Fondo</w:t>
      </w:r>
    </w:p>
    <w:p w14:paraId="6508C3E4" w14:textId="77777777" w:rsidR="005C47D7" w:rsidRPr="00FA771B" w:rsidRDefault="005C47D7" w:rsidP="005C47D7">
      <w:pPr>
        <w:pStyle w:val="COMParaDecision"/>
        <w:rPr>
          <w:u w:val="none"/>
        </w:rPr>
      </w:pPr>
      <w:r w:rsidRPr="00FA771B">
        <w:rPr>
          <w:lang w:bidi="es-ES"/>
        </w:rPr>
        <w:t>Aprueba</w:t>
      </w:r>
      <w:r w:rsidRPr="00FA771B">
        <w:rPr>
          <w:u w:val="none"/>
          <w:lang w:bidi="es-ES"/>
        </w:rPr>
        <w:t xml:space="preserve"> el Plan para la utilización de los recursos del fondo para el período del 1 de enero de 2026 al 31 de diciembre de 2027, así como para el período del 1 de enero de 2028 al 30 de junio de 2028, en el Anexo de esta Resolución;</w:t>
      </w:r>
    </w:p>
    <w:p w14:paraId="1C4FF85E" w14:textId="6E367818" w:rsidR="005C47D7" w:rsidRPr="00FA771B" w:rsidRDefault="005C47D7" w:rsidP="005C47D7">
      <w:pPr>
        <w:pStyle w:val="COMParaDecision"/>
        <w:rPr>
          <w:u w:val="none"/>
        </w:rPr>
      </w:pPr>
      <w:r w:rsidRPr="00FA771B">
        <w:rPr>
          <w:lang w:bidi="es-ES"/>
        </w:rPr>
        <w:t>Comprende</w:t>
      </w:r>
      <w:r w:rsidRPr="00FA771B">
        <w:rPr>
          <w:u w:val="none"/>
          <w:lang w:bidi="es-ES"/>
        </w:rPr>
        <w:t xml:space="preserve"> que, en su duodécima reunión en 2028, podría adaptar el </w:t>
      </w:r>
      <w:r w:rsidR="003062B9">
        <w:rPr>
          <w:u w:val="none"/>
          <w:lang w:bidi="es-ES"/>
        </w:rPr>
        <w:t>P</w:t>
      </w:r>
      <w:r w:rsidRPr="00FA771B">
        <w:rPr>
          <w:u w:val="none"/>
          <w:lang w:bidi="es-ES"/>
        </w:rPr>
        <w:t>lan presupuestario del 1 de enero de 2028 al 30 de junio de 2028; si la Asamblea General no puede reunirse antes del 30 de junio de 2028, la Secretaría está autorizada a continuar sus operaciones hasta que la Asamblea General pueda reunirse;</w:t>
      </w:r>
    </w:p>
    <w:p w14:paraId="42F7EF43" w14:textId="3AAA2010" w:rsidR="005C47D7" w:rsidRPr="00FA771B" w:rsidRDefault="005C47D7" w:rsidP="005C47D7">
      <w:pPr>
        <w:pStyle w:val="COMParaDecision"/>
        <w:rPr>
          <w:u w:val="none"/>
        </w:rPr>
      </w:pPr>
      <w:r w:rsidRPr="00FA771B">
        <w:rPr>
          <w:lang w:bidi="es-ES"/>
        </w:rPr>
        <w:t>Toma nota también</w:t>
      </w:r>
      <w:r w:rsidRPr="00FA771B">
        <w:rPr>
          <w:u w:val="none"/>
          <w:lang w:bidi="es-ES"/>
        </w:rPr>
        <w:t xml:space="preserve"> de la autorización otorgada por el Comité a la Secretaría para utilizar un importe que no supere el 10 % del presupuesto aprobado para cada proyecto de asistencia internacional, además de la cantidad concedida por el Comité o su Mesa para cada proyecto, para el seguimiento y la evaluación de</w:t>
      </w:r>
      <w:r w:rsidR="003062B9">
        <w:rPr>
          <w:u w:val="none"/>
          <w:lang w:bidi="es-ES"/>
        </w:rPr>
        <w:t xml:space="preserve">l impacto </w:t>
      </w:r>
      <w:r w:rsidRPr="00FA771B">
        <w:rPr>
          <w:u w:val="none"/>
          <w:lang w:bidi="es-ES"/>
        </w:rPr>
        <w:t>de los proyectos respaldados por el Fondo;</w:t>
      </w:r>
    </w:p>
    <w:p w14:paraId="3CA2B143" w14:textId="77777777" w:rsidR="005C47D7" w:rsidRPr="00FA771B" w:rsidRDefault="005C47D7" w:rsidP="005C47D7">
      <w:pPr>
        <w:pStyle w:val="COMParaDecision"/>
      </w:pPr>
      <w:r w:rsidRPr="00FA771B">
        <w:rPr>
          <w:lang w:bidi="es-ES"/>
        </w:rPr>
        <w:t>Toma nota también</w:t>
      </w:r>
      <w:r w:rsidRPr="00FA771B">
        <w:rPr>
          <w:u w:val="none"/>
          <w:lang w:bidi="es-ES"/>
        </w:rPr>
        <w:t xml:space="preserve"> de la autorización otorgada por el Comité a la Secretaría, al utilizar los fondos asignados en la partida presupuestaria 3 del Plan, para realizar transferencias entre las actividades incluidas en la partida presupuestaria 3 hasta un importe acumulado equivalente al 5 % de la cantidad inicial de la asignación total propuesta a la Asamblea General con este fin;</w:t>
      </w:r>
    </w:p>
    <w:p w14:paraId="48771B99" w14:textId="77777777" w:rsidR="005C47D7" w:rsidRPr="00FA771B" w:rsidRDefault="005C47D7" w:rsidP="005C47D7">
      <w:pPr>
        <w:pStyle w:val="COMParaDecision"/>
        <w:rPr>
          <w:u w:val="none"/>
        </w:rPr>
      </w:pPr>
      <w:r w:rsidRPr="00FA771B">
        <w:rPr>
          <w:lang w:bidi="es-ES"/>
        </w:rPr>
        <w:t>Autoriza</w:t>
      </w:r>
      <w:r w:rsidRPr="00FA771B">
        <w:rPr>
          <w:u w:val="none"/>
          <w:lang w:bidi="es-ES"/>
        </w:rPr>
        <w:t xml:space="preserve"> al Comité a utilizar inmediatamente todas las contribuciones voluntarias complementarias que puedan recibirse durante esos períodos, como se indica en el Artículo 27 de la Convención, de acuerdo con los porcentajes establecidos en el Plan;</w:t>
      </w:r>
    </w:p>
    <w:p w14:paraId="1C6AA8A2" w14:textId="77777777" w:rsidR="005C47D7" w:rsidRPr="00FA771B" w:rsidRDefault="005C47D7" w:rsidP="005C47D7">
      <w:pPr>
        <w:pStyle w:val="COMParaDecision"/>
        <w:rPr>
          <w:u w:val="none"/>
        </w:rPr>
      </w:pPr>
      <w:r w:rsidRPr="00FA771B">
        <w:rPr>
          <w:lang w:bidi="es-ES"/>
        </w:rPr>
        <w:t>Autoriza además</w:t>
      </w:r>
      <w:r w:rsidRPr="00FA771B">
        <w:rPr>
          <w:u w:val="none"/>
          <w:lang w:bidi="es-ES"/>
        </w:rPr>
        <w:t xml:space="preserve"> al Comité a utilizar inmediatamente todas las contribuciones que pueda aceptar durante esos períodos con fines específicos, ligados a proyectos concretos, siempre y cuando esos proyectos cuenten con la aprobación del Comité antes de la recepción de los fondos, como se indica en el Artículo 25.5 de la Convención;</w:t>
      </w:r>
    </w:p>
    <w:p w14:paraId="5A9F22F3" w14:textId="3BC9E083" w:rsidR="0057439C" w:rsidRPr="00FA771B" w:rsidRDefault="005C47D7" w:rsidP="005C47D7">
      <w:pPr>
        <w:pStyle w:val="COMParaDecision"/>
      </w:pPr>
      <w:r w:rsidRPr="00FA771B">
        <w:rPr>
          <w:lang w:bidi="es-ES"/>
        </w:rPr>
        <w:t xml:space="preserve">Autoriza </w:t>
      </w:r>
      <w:r w:rsidR="007F7254">
        <w:rPr>
          <w:lang w:bidi="es-ES"/>
        </w:rPr>
        <w:t>también</w:t>
      </w:r>
      <w:r w:rsidR="007F7254" w:rsidRPr="00FA771B">
        <w:rPr>
          <w:u w:val="none"/>
          <w:lang w:bidi="es-ES"/>
        </w:rPr>
        <w:t xml:space="preserve"> </w:t>
      </w:r>
      <w:r w:rsidRPr="00FA771B">
        <w:rPr>
          <w:u w:val="none"/>
          <w:lang w:bidi="es-ES"/>
        </w:rPr>
        <w:t xml:space="preserve">a la Secretaría a realizar transferencias entre las partidas presupuestarias 4, 5, 6 y 7, hasta un equivalente del 30 % de su asignación total inicial, y </w:t>
      </w:r>
      <w:r w:rsidRPr="00FA771B">
        <w:rPr>
          <w:lang w:bidi="es-ES"/>
        </w:rPr>
        <w:t>solicita</w:t>
      </w:r>
      <w:r w:rsidRPr="00FA771B">
        <w:rPr>
          <w:u w:val="none"/>
          <w:lang w:bidi="es-ES"/>
        </w:rPr>
        <w:t xml:space="preserve"> que la Secretaría informe por escrito al Comité y a la Asamblea General, en la </w:t>
      </w:r>
      <w:r w:rsidRPr="00A00028">
        <w:rPr>
          <w:u w:val="none"/>
          <w:lang w:bidi="es-ES"/>
        </w:rPr>
        <w:t>reunión posterior</w:t>
      </w:r>
      <w:r w:rsidRPr="00FA771B">
        <w:rPr>
          <w:u w:val="none"/>
          <w:lang w:bidi="es-ES"/>
        </w:rPr>
        <w:t xml:space="preserve"> a dicha acción, sobre los detalles y las razones de estas transferencias.</w:t>
      </w:r>
    </w:p>
    <w:p w14:paraId="19AC5F4A" w14:textId="23EB7589" w:rsidR="00937D53" w:rsidRPr="00FA771B" w:rsidRDefault="00937D53">
      <w:pPr>
        <w:rPr>
          <w:rFonts w:ascii="Arial" w:eastAsia="SimSun" w:hAnsi="Arial" w:cs="Arial"/>
          <w:sz w:val="22"/>
          <w:szCs w:val="22"/>
          <w:u w:val="single"/>
        </w:rPr>
      </w:pPr>
      <w:r w:rsidRPr="00FA771B">
        <w:rPr>
          <w:lang w:bidi="es-ES"/>
        </w:rPr>
        <w:br w:type="page"/>
      </w:r>
    </w:p>
    <w:p w14:paraId="520431CC" w14:textId="77777777" w:rsidR="005C47D7" w:rsidRPr="00FA771B" w:rsidRDefault="005C47D7" w:rsidP="005C47D7">
      <w:pPr>
        <w:jc w:val="center"/>
        <w:rPr>
          <w:rFonts w:ascii="Arial" w:eastAsia="SimSun" w:hAnsi="Arial" w:cs="Arial"/>
          <w:b/>
          <w:bCs/>
          <w:sz w:val="22"/>
          <w:szCs w:val="22"/>
          <w:u w:val="single"/>
        </w:rPr>
      </w:pPr>
      <w:r w:rsidRPr="00FA771B">
        <w:rPr>
          <w:rFonts w:ascii="Arial" w:eastAsia="SimSun" w:hAnsi="Arial" w:cs="Arial"/>
          <w:b/>
          <w:sz w:val="22"/>
          <w:szCs w:val="22"/>
          <w:u w:val="single"/>
          <w:lang w:bidi="es-ES"/>
        </w:rPr>
        <w:lastRenderedPageBreak/>
        <w:t>ANEXO</w:t>
      </w:r>
    </w:p>
    <w:p w14:paraId="05F7410B" w14:textId="77777777" w:rsidR="005C47D7" w:rsidRPr="00FA771B" w:rsidRDefault="005C47D7" w:rsidP="005C47D7">
      <w:pPr>
        <w:jc w:val="center"/>
        <w:rPr>
          <w:rFonts w:ascii="Arial" w:eastAsia="SimSun" w:hAnsi="Arial" w:cs="Arial"/>
          <w:b/>
          <w:bCs/>
          <w:sz w:val="22"/>
          <w:szCs w:val="22"/>
          <w:u w:val="single"/>
        </w:rPr>
      </w:pPr>
    </w:p>
    <w:tbl>
      <w:tblPr>
        <w:tblW w:w="10070" w:type="dxa"/>
        <w:tblCellMar>
          <w:left w:w="70" w:type="dxa"/>
          <w:right w:w="70" w:type="dxa"/>
        </w:tblCellMar>
        <w:tblLook w:val="04A0" w:firstRow="1" w:lastRow="0" w:firstColumn="1" w:lastColumn="0" w:noHBand="0" w:noVBand="1"/>
      </w:tblPr>
      <w:tblGrid>
        <w:gridCol w:w="416"/>
        <w:gridCol w:w="4107"/>
        <w:gridCol w:w="1421"/>
        <w:gridCol w:w="1417"/>
        <w:gridCol w:w="1237"/>
        <w:gridCol w:w="1307"/>
        <w:gridCol w:w="16"/>
        <w:gridCol w:w="133"/>
        <w:gridCol w:w="16"/>
      </w:tblGrid>
      <w:tr w:rsidR="005C47D7" w:rsidRPr="00FA771B" w14:paraId="22D14DCF" w14:textId="77777777" w:rsidTr="005A7E1A">
        <w:trPr>
          <w:gridAfter w:val="3"/>
          <w:wAfter w:w="165" w:type="dxa"/>
          <w:trHeight w:val="313"/>
        </w:trPr>
        <w:tc>
          <w:tcPr>
            <w:tcW w:w="7361" w:type="dxa"/>
            <w:gridSpan w:val="4"/>
            <w:tcBorders>
              <w:top w:val="single" w:sz="8" w:space="0" w:color="auto"/>
              <w:left w:val="single" w:sz="8" w:space="0" w:color="auto"/>
              <w:bottom w:val="single" w:sz="8" w:space="0" w:color="auto"/>
              <w:right w:val="nil"/>
            </w:tcBorders>
            <w:shd w:val="clear" w:color="000000" w:fill="D8D8D8"/>
            <w:vAlign w:val="center"/>
            <w:hideMark/>
          </w:tcPr>
          <w:p w14:paraId="798705FB" w14:textId="77777777" w:rsidR="005C47D7" w:rsidRPr="00FA771B" w:rsidRDefault="005C47D7" w:rsidP="005A7E1A">
            <w:pPr>
              <w:jc w:val="center"/>
              <w:rPr>
                <w:rFonts w:ascii="Arial" w:hAnsi="Arial" w:cs="Arial"/>
                <w:b/>
                <w:bCs/>
                <w:color w:val="000000"/>
                <w:sz w:val="18"/>
                <w:szCs w:val="18"/>
              </w:rPr>
            </w:pPr>
            <w:r w:rsidRPr="00FA771B">
              <w:rPr>
                <w:rFonts w:ascii="Arial" w:eastAsia="Arial" w:hAnsi="Arial" w:cs="Arial"/>
                <w:b/>
                <w:color w:val="000000"/>
                <w:sz w:val="18"/>
                <w:szCs w:val="18"/>
                <w:lang w:bidi="es-ES"/>
              </w:rPr>
              <w:t>Proyecto de Plan para la utilización de los recursos del Fondo</w:t>
            </w:r>
          </w:p>
        </w:tc>
        <w:tc>
          <w:tcPr>
            <w:tcW w:w="1237" w:type="dxa"/>
            <w:tcBorders>
              <w:top w:val="dashed" w:sz="4" w:space="0" w:color="auto"/>
              <w:left w:val="dashed" w:sz="4" w:space="0" w:color="auto"/>
              <w:bottom w:val="dashed" w:sz="4" w:space="0" w:color="auto"/>
              <w:right w:val="dashed" w:sz="4" w:space="0" w:color="auto"/>
            </w:tcBorders>
            <w:shd w:val="clear" w:color="000000" w:fill="FFFFFF"/>
            <w:vAlign w:val="center"/>
            <w:hideMark/>
          </w:tcPr>
          <w:p w14:paraId="4BFD56DC" w14:textId="77777777" w:rsidR="005C47D7" w:rsidRPr="00FA771B" w:rsidRDefault="005C47D7" w:rsidP="005A7E1A">
            <w:pPr>
              <w:jc w:val="center"/>
              <w:rPr>
                <w:rFonts w:ascii="Arial" w:hAnsi="Arial" w:cs="Arial"/>
                <w:b/>
                <w:bCs/>
                <w:color w:val="000000"/>
                <w:sz w:val="18"/>
                <w:szCs w:val="18"/>
              </w:rPr>
            </w:pPr>
            <w:r w:rsidRPr="00FA771B">
              <w:rPr>
                <w:rFonts w:ascii="Arial" w:eastAsia="Arial" w:hAnsi="Arial" w:cs="Arial"/>
                <w:b/>
                <w:color w:val="000000"/>
                <w:sz w:val="18"/>
                <w:szCs w:val="18"/>
                <w:lang w:bidi="es-ES"/>
              </w:rPr>
              <w:t> </w:t>
            </w:r>
          </w:p>
        </w:tc>
        <w:tc>
          <w:tcPr>
            <w:tcW w:w="1307" w:type="dxa"/>
            <w:tcBorders>
              <w:top w:val="dashed" w:sz="4" w:space="0" w:color="auto"/>
              <w:left w:val="nil"/>
              <w:bottom w:val="dashed" w:sz="4" w:space="0" w:color="auto"/>
              <w:right w:val="dashed" w:sz="4" w:space="0" w:color="auto"/>
            </w:tcBorders>
            <w:shd w:val="clear" w:color="000000" w:fill="FFFFFF"/>
            <w:vAlign w:val="center"/>
            <w:hideMark/>
          </w:tcPr>
          <w:p w14:paraId="50FA0652" w14:textId="77777777" w:rsidR="005C47D7" w:rsidRPr="00FA771B" w:rsidRDefault="005C47D7" w:rsidP="005A7E1A">
            <w:pPr>
              <w:jc w:val="center"/>
              <w:rPr>
                <w:rFonts w:ascii="Arial" w:hAnsi="Arial" w:cs="Arial"/>
                <w:b/>
                <w:bCs/>
                <w:color w:val="000000"/>
                <w:sz w:val="18"/>
                <w:szCs w:val="18"/>
              </w:rPr>
            </w:pPr>
            <w:r w:rsidRPr="00FA771B">
              <w:rPr>
                <w:rFonts w:ascii="Arial" w:eastAsia="Arial" w:hAnsi="Arial" w:cs="Arial"/>
                <w:b/>
                <w:color w:val="000000"/>
                <w:sz w:val="18"/>
                <w:szCs w:val="18"/>
                <w:lang w:bidi="es-ES"/>
              </w:rPr>
              <w:t> </w:t>
            </w:r>
          </w:p>
        </w:tc>
      </w:tr>
      <w:tr w:rsidR="005C47D7" w:rsidRPr="00FA771B" w14:paraId="76062AFC" w14:textId="77777777" w:rsidTr="005A7E1A">
        <w:trPr>
          <w:gridAfter w:val="3"/>
          <w:wAfter w:w="165" w:type="dxa"/>
          <w:trHeight w:val="978"/>
        </w:trPr>
        <w:tc>
          <w:tcPr>
            <w:tcW w:w="4523" w:type="dxa"/>
            <w:gridSpan w:val="2"/>
            <w:tcBorders>
              <w:top w:val="single" w:sz="8" w:space="0" w:color="auto"/>
              <w:left w:val="single" w:sz="8" w:space="0" w:color="auto"/>
              <w:bottom w:val="single" w:sz="8" w:space="0" w:color="auto"/>
              <w:right w:val="nil"/>
            </w:tcBorders>
            <w:vAlign w:val="center"/>
            <w:hideMark/>
          </w:tcPr>
          <w:p w14:paraId="52A2C5C1" w14:textId="77777777" w:rsidR="005C47D7" w:rsidRPr="00FA771B" w:rsidRDefault="005C47D7" w:rsidP="005A7E1A">
            <w:pPr>
              <w:jc w:val="both"/>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Para el período comprendido entre el 1 de enero de 2026 y el 31 de diciembre de 2027, y el período comprendido entre el 1 de enero y el 30 de junio de 2028, los recursos del Fondo del Patrimonio Cultural Inmaterial podrán ser utilizados para los siguientes objetivos:</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98968DC"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 aplicado en el bienio anterior</w:t>
            </w:r>
            <w:r w:rsidRPr="00FA771B">
              <w:rPr>
                <w:rFonts w:asciiTheme="minorBidi" w:hAnsiTheme="minorBidi" w:cstheme="minorBidi"/>
                <w:color w:val="000000"/>
                <w:sz w:val="18"/>
                <w:szCs w:val="18"/>
                <w:lang w:bidi="es-ES"/>
              </w:rPr>
              <w:br/>
              <w:t xml:space="preserve">2024–2025 </w:t>
            </w:r>
          </w:p>
        </w:tc>
        <w:tc>
          <w:tcPr>
            <w:tcW w:w="1417" w:type="dxa"/>
            <w:tcBorders>
              <w:top w:val="single" w:sz="4" w:space="0" w:color="auto"/>
              <w:left w:val="nil"/>
              <w:bottom w:val="single" w:sz="4" w:space="0" w:color="auto"/>
              <w:right w:val="dashed" w:sz="4" w:space="0" w:color="auto"/>
            </w:tcBorders>
            <w:vAlign w:val="center"/>
            <w:hideMark/>
          </w:tcPr>
          <w:p w14:paraId="3788A168"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 de la cantidad total propuesta 2026-2027 [1]</w:t>
            </w:r>
          </w:p>
        </w:tc>
        <w:tc>
          <w:tcPr>
            <w:tcW w:w="1237" w:type="dxa"/>
            <w:tcBorders>
              <w:top w:val="nil"/>
              <w:left w:val="nil"/>
              <w:bottom w:val="dashed" w:sz="4" w:space="0" w:color="auto"/>
              <w:right w:val="dashed" w:sz="4" w:space="0" w:color="auto"/>
            </w:tcBorders>
            <w:vAlign w:val="center"/>
            <w:hideMark/>
          </w:tcPr>
          <w:p w14:paraId="0FA4D253" w14:textId="77777777" w:rsidR="005C47D7" w:rsidRPr="00FA771B" w:rsidRDefault="005C47D7" w:rsidP="005A7E1A">
            <w:pPr>
              <w:jc w:val="center"/>
              <w:rPr>
                <w:rFonts w:asciiTheme="minorBidi" w:hAnsiTheme="minorBidi" w:cstheme="minorBidi"/>
                <w:i/>
                <w:iCs/>
                <w:color w:val="000000"/>
                <w:sz w:val="18"/>
                <w:szCs w:val="18"/>
              </w:rPr>
            </w:pPr>
            <w:r w:rsidRPr="00FA771B">
              <w:rPr>
                <w:rFonts w:asciiTheme="minorBidi" w:hAnsiTheme="minorBidi" w:cstheme="minorBidi"/>
                <w:i/>
                <w:color w:val="000000"/>
                <w:sz w:val="18"/>
                <w:szCs w:val="18"/>
                <w:lang w:bidi="es-ES"/>
              </w:rPr>
              <w:t>Cantidades indicativas</w:t>
            </w:r>
          </w:p>
          <w:p w14:paraId="41256ED4" w14:textId="77777777" w:rsidR="005C47D7" w:rsidRPr="00FA771B" w:rsidRDefault="005C47D7" w:rsidP="005A7E1A">
            <w:pPr>
              <w:jc w:val="center"/>
              <w:rPr>
                <w:rFonts w:asciiTheme="minorBidi" w:hAnsiTheme="minorBidi" w:cstheme="minorBidi"/>
                <w:i/>
                <w:iCs/>
                <w:color w:val="000000"/>
                <w:sz w:val="18"/>
                <w:szCs w:val="18"/>
              </w:rPr>
            </w:pPr>
            <w:r w:rsidRPr="00FA771B">
              <w:rPr>
                <w:rFonts w:asciiTheme="minorBidi" w:hAnsiTheme="minorBidi" w:cstheme="minorBidi"/>
                <w:i/>
                <w:color w:val="000000"/>
                <w:sz w:val="18"/>
                <w:szCs w:val="18"/>
                <w:lang w:bidi="es-ES"/>
              </w:rPr>
              <w:t xml:space="preserve">2026–2027 </w:t>
            </w:r>
          </w:p>
        </w:tc>
        <w:tc>
          <w:tcPr>
            <w:tcW w:w="1307" w:type="dxa"/>
            <w:tcBorders>
              <w:top w:val="nil"/>
              <w:left w:val="nil"/>
              <w:bottom w:val="dashed" w:sz="4" w:space="0" w:color="auto"/>
              <w:right w:val="dashed" w:sz="4" w:space="0" w:color="auto"/>
            </w:tcBorders>
            <w:vAlign w:val="center"/>
            <w:hideMark/>
          </w:tcPr>
          <w:p w14:paraId="54198917" w14:textId="77777777" w:rsidR="005C47D7" w:rsidRPr="00FA771B" w:rsidRDefault="005C47D7" w:rsidP="005A7E1A">
            <w:pPr>
              <w:jc w:val="center"/>
              <w:rPr>
                <w:rFonts w:asciiTheme="minorBidi" w:hAnsiTheme="minorBidi" w:cstheme="minorBidi"/>
                <w:i/>
                <w:iCs/>
                <w:color w:val="000000"/>
                <w:sz w:val="18"/>
                <w:szCs w:val="18"/>
              </w:rPr>
            </w:pPr>
            <w:r w:rsidRPr="00FA771B">
              <w:rPr>
                <w:rFonts w:asciiTheme="minorBidi" w:hAnsiTheme="minorBidi" w:cstheme="minorBidi"/>
                <w:i/>
                <w:color w:val="000000"/>
                <w:sz w:val="18"/>
                <w:szCs w:val="18"/>
                <w:lang w:bidi="es-ES"/>
              </w:rPr>
              <w:t>Cantidades indicativas</w:t>
            </w:r>
          </w:p>
          <w:p w14:paraId="72AD1B88" w14:textId="77777777" w:rsidR="005C47D7" w:rsidRPr="00FA771B" w:rsidRDefault="005C47D7" w:rsidP="005A7E1A">
            <w:pPr>
              <w:jc w:val="center"/>
              <w:rPr>
                <w:rFonts w:asciiTheme="minorBidi" w:hAnsiTheme="minorBidi" w:cstheme="minorBidi"/>
                <w:i/>
                <w:iCs/>
                <w:color w:val="000000"/>
                <w:sz w:val="18"/>
                <w:szCs w:val="18"/>
              </w:rPr>
            </w:pPr>
            <w:r w:rsidRPr="00FA771B">
              <w:rPr>
                <w:rFonts w:asciiTheme="minorBidi" w:hAnsiTheme="minorBidi" w:cstheme="minorBidi"/>
                <w:i/>
                <w:color w:val="000000"/>
                <w:sz w:val="18"/>
                <w:szCs w:val="18"/>
                <w:lang w:bidi="es-ES"/>
              </w:rPr>
              <w:t>enero</w:t>
            </w:r>
            <w:r w:rsidRPr="00FA771B">
              <w:rPr>
                <w:rFonts w:asciiTheme="minorBidi" w:hAnsiTheme="minorBidi" w:cstheme="minorBidi"/>
                <w:color w:val="000000"/>
                <w:sz w:val="18"/>
                <w:szCs w:val="18"/>
                <w:lang w:bidi="es-ES"/>
              </w:rPr>
              <w:t>–</w:t>
            </w:r>
            <w:r w:rsidRPr="00FA771B">
              <w:rPr>
                <w:rFonts w:asciiTheme="minorBidi" w:hAnsiTheme="minorBidi" w:cstheme="minorBidi"/>
                <w:i/>
                <w:color w:val="000000"/>
                <w:sz w:val="18"/>
                <w:szCs w:val="18"/>
                <w:lang w:bidi="es-ES"/>
              </w:rPr>
              <w:t>junio 2028</w:t>
            </w:r>
          </w:p>
        </w:tc>
      </w:tr>
      <w:tr w:rsidR="005C47D7" w:rsidRPr="00FA771B" w14:paraId="0640E7E1" w14:textId="77777777" w:rsidTr="005A7E1A">
        <w:trPr>
          <w:gridAfter w:val="3"/>
          <w:wAfter w:w="165" w:type="dxa"/>
          <w:trHeight w:val="1446"/>
        </w:trPr>
        <w:tc>
          <w:tcPr>
            <w:tcW w:w="416" w:type="dxa"/>
            <w:tcBorders>
              <w:top w:val="nil"/>
              <w:left w:val="single" w:sz="8" w:space="0" w:color="auto"/>
              <w:bottom w:val="single" w:sz="8" w:space="0" w:color="auto"/>
              <w:right w:val="single" w:sz="8" w:space="0" w:color="auto"/>
            </w:tcBorders>
            <w:noWrap/>
            <w:hideMark/>
          </w:tcPr>
          <w:p w14:paraId="65AC0C0B" w14:textId="77777777" w:rsidR="005C47D7" w:rsidRPr="00FA771B" w:rsidRDefault="005C47D7" w:rsidP="005A7E1A">
            <w:pPr>
              <w:spacing w:before="6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1.</w:t>
            </w:r>
          </w:p>
        </w:tc>
        <w:tc>
          <w:tcPr>
            <w:tcW w:w="4107" w:type="dxa"/>
            <w:tcBorders>
              <w:top w:val="nil"/>
              <w:left w:val="nil"/>
              <w:bottom w:val="single" w:sz="8" w:space="0" w:color="auto"/>
              <w:right w:val="nil"/>
            </w:tcBorders>
            <w:vAlign w:val="center"/>
            <w:hideMark/>
          </w:tcPr>
          <w:p w14:paraId="1456DDA3" w14:textId="4AB6E65E" w:rsidR="005C47D7" w:rsidRPr="00FA771B" w:rsidRDefault="005C47D7" w:rsidP="005A7E1A">
            <w:pPr>
              <w:spacing w:before="20" w:after="2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 xml:space="preserve">Asistencia internacional, incluyendo la salvaguardia del patrimonio inscrito en la Lista del Patrimonio Cultural Inmaterial que requiere medidas urgentes de salvaguardia, la preparación de inventarios y el apoyo a otros programas, proyectos y actividades de salvaguardia, </w:t>
            </w:r>
            <w:r w:rsidR="00EB46AB">
              <w:rPr>
                <w:rFonts w:asciiTheme="minorBidi" w:hAnsiTheme="minorBidi" w:cstheme="minorBidi"/>
                <w:color w:val="000000"/>
                <w:sz w:val="18"/>
                <w:szCs w:val="18"/>
                <w:lang w:bidi="es-ES"/>
              </w:rPr>
              <w:t>incluyendo</w:t>
            </w:r>
            <w:r w:rsidR="00EB46AB" w:rsidRPr="00FA771B">
              <w:rPr>
                <w:rFonts w:asciiTheme="minorBidi" w:hAnsiTheme="minorBidi" w:cstheme="minorBidi"/>
                <w:color w:val="000000"/>
                <w:sz w:val="18"/>
                <w:szCs w:val="18"/>
                <w:lang w:bidi="es-ES"/>
              </w:rPr>
              <w:t xml:space="preserve"> </w:t>
            </w:r>
            <w:r w:rsidRPr="00FA771B">
              <w:rPr>
                <w:rFonts w:asciiTheme="minorBidi" w:hAnsiTheme="minorBidi" w:cstheme="minorBidi"/>
                <w:color w:val="000000"/>
                <w:sz w:val="18"/>
                <w:szCs w:val="18"/>
                <w:lang w:bidi="es-ES"/>
              </w:rPr>
              <w:t>el seguimiento y la evaluación de las solicitudes aprobadas</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63816F4F"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50,0 %</w:t>
            </w:r>
          </w:p>
        </w:tc>
        <w:tc>
          <w:tcPr>
            <w:tcW w:w="1417" w:type="dxa"/>
            <w:tcBorders>
              <w:top w:val="nil"/>
              <w:left w:val="nil"/>
              <w:bottom w:val="single" w:sz="4" w:space="0" w:color="auto"/>
              <w:right w:val="dashed" w:sz="4" w:space="0" w:color="auto"/>
            </w:tcBorders>
            <w:vAlign w:val="center"/>
            <w:hideMark/>
          </w:tcPr>
          <w:p w14:paraId="77981345"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50,0 %</w:t>
            </w:r>
          </w:p>
        </w:tc>
        <w:tc>
          <w:tcPr>
            <w:tcW w:w="1237" w:type="dxa"/>
            <w:tcBorders>
              <w:top w:val="nil"/>
              <w:left w:val="nil"/>
              <w:bottom w:val="dashed" w:sz="4" w:space="0" w:color="auto"/>
              <w:right w:val="dashed" w:sz="4" w:space="0" w:color="auto"/>
            </w:tcBorders>
            <w:vAlign w:val="center"/>
            <w:hideMark/>
          </w:tcPr>
          <w:p w14:paraId="20283BA6"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3.938.295 $</w:t>
            </w:r>
          </w:p>
        </w:tc>
        <w:tc>
          <w:tcPr>
            <w:tcW w:w="1307" w:type="dxa"/>
            <w:tcBorders>
              <w:top w:val="nil"/>
              <w:left w:val="nil"/>
              <w:bottom w:val="dashed" w:sz="4" w:space="0" w:color="auto"/>
              <w:right w:val="dashed" w:sz="4" w:space="0" w:color="auto"/>
            </w:tcBorders>
            <w:vAlign w:val="center"/>
            <w:hideMark/>
          </w:tcPr>
          <w:p w14:paraId="42851344"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984.574 $</w:t>
            </w:r>
          </w:p>
        </w:tc>
      </w:tr>
      <w:tr w:rsidR="005C47D7" w:rsidRPr="00FA771B" w14:paraId="11EBEDFB" w14:textId="77777777" w:rsidTr="005A7E1A">
        <w:trPr>
          <w:gridAfter w:val="3"/>
          <w:wAfter w:w="165" w:type="dxa"/>
          <w:trHeight w:val="969"/>
        </w:trPr>
        <w:tc>
          <w:tcPr>
            <w:tcW w:w="416" w:type="dxa"/>
            <w:tcBorders>
              <w:top w:val="nil"/>
              <w:left w:val="single" w:sz="8" w:space="0" w:color="auto"/>
              <w:bottom w:val="single" w:sz="8" w:space="0" w:color="auto"/>
              <w:right w:val="single" w:sz="8" w:space="0" w:color="auto"/>
            </w:tcBorders>
            <w:noWrap/>
            <w:hideMark/>
          </w:tcPr>
          <w:p w14:paraId="030C63DB" w14:textId="77777777" w:rsidR="005C47D7" w:rsidRPr="00FA771B" w:rsidRDefault="005C47D7" w:rsidP="005A7E1A">
            <w:pPr>
              <w:spacing w:before="6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1.1</w:t>
            </w:r>
          </w:p>
        </w:tc>
        <w:tc>
          <w:tcPr>
            <w:tcW w:w="4107" w:type="dxa"/>
            <w:tcBorders>
              <w:top w:val="nil"/>
              <w:left w:val="nil"/>
              <w:bottom w:val="single" w:sz="8" w:space="0" w:color="auto"/>
              <w:right w:val="nil"/>
            </w:tcBorders>
            <w:vAlign w:val="center"/>
            <w:hideMark/>
          </w:tcPr>
          <w:p w14:paraId="0D5F761E" w14:textId="77777777" w:rsidR="005C47D7" w:rsidRPr="00FA771B" w:rsidRDefault="005C47D7" w:rsidP="005A7E1A">
            <w:pPr>
              <w:spacing w:before="20" w:after="2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Refuerzo de los recursos humanos para mejorar la aplicación de los mecanismos de asistencia internacional a través de tres puestos extrapresupuestarios de plazo fijo (un P3, un P2 y un G5)</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2243212A"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12,3</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417" w:type="dxa"/>
            <w:tcBorders>
              <w:top w:val="nil"/>
              <w:left w:val="nil"/>
              <w:bottom w:val="single" w:sz="4" w:space="0" w:color="auto"/>
              <w:right w:val="dashed" w:sz="4" w:space="0" w:color="auto"/>
            </w:tcBorders>
            <w:shd w:val="clear" w:color="000000" w:fill="FFFFFF"/>
            <w:vAlign w:val="center"/>
            <w:hideMark/>
          </w:tcPr>
          <w:p w14:paraId="045BFE96"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13,4</w:t>
            </w:r>
            <w:r w:rsidRPr="00FA771B">
              <w:rPr>
                <w:rFonts w:asciiTheme="minorBidi" w:hAnsiTheme="minorBidi" w:cstheme="minorBidi"/>
                <w:b/>
                <w:i/>
                <w:color w:val="000000"/>
                <w:sz w:val="18"/>
                <w:szCs w:val="18"/>
                <w:lang w:bidi="es-ES"/>
              </w:rPr>
              <w:t> </w:t>
            </w:r>
            <w:r w:rsidRPr="00FA771B">
              <w:rPr>
                <w:rFonts w:asciiTheme="minorBidi" w:hAnsiTheme="minorBidi" w:cstheme="minorBidi"/>
                <w:color w:val="000000"/>
                <w:sz w:val="18"/>
                <w:szCs w:val="18"/>
                <w:lang w:bidi="es-ES"/>
              </w:rPr>
              <w:t>%</w:t>
            </w:r>
          </w:p>
        </w:tc>
        <w:tc>
          <w:tcPr>
            <w:tcW w:w="1237" w:type="dxa"/>
            <w:tcBorders>
              <w:top w:val="nil"/>
              <w:left w:val="nil"/>
              <w:bottom w:val="dashed" w:sz="4" w:space="0" w:color="auto"/>
              <w:right w:val="dashed" w:sz="4" w:space="0" w:color="auto"/>
            </w:tcBorders>
            <w:shd w:val="clear" w:color="000000" w:fill="FFFFFF"/>
            <w:vAlign w:val="center"/>
            <w:hideMark/>
          </w:tcPr>
          <w:p w14:paraId="5842680E"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1.055.463 $</w:t>
            </w:r>
          </w:p>
        </w:tc>
        <w:tc>
          <w:tcPr>
            <w:tcW w:w="1307" w:type="dxa"/>
            <w:tcBorders>
              <w:top w:val="nil"/>
              <w:left w:val="nil"/>
              <w:bottom w:val="dashed" w:sz="4" w:space="0" w:color="auto"/>
              <w:right w:val="dashed" w:sz="4" w:space="0" w:color="auto"/>
            </w:tcBorders>
            <w:vAlign w:val="center"/>
            <w:hideMark/>
          </w:tcPr>
          <w:p w14:paraId="069EB755"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263.866 $</w:t>
            </w:r>
          </w:p>
        </w:tc>
      </w:tr>
      <w:tr w:rsidR="005C47D7" w:rsidRPr="00FA771B" w14:paraId="2390352E" w14:textId="77777777" w:rsidTr="005A7E1A">
        <w:trPr>
          <w:gridAfter w:val="3"/>
          <w:wAfter w:w="165" w:type="dxa"/>
          <w:trHeight w:val="730"/>
        </w:trPr>
        <w:tc>
          <w:tcPr>
            <w:tcW w:w="416" w:type="dxa"/>
            <w:tcBorders>
              <w:top w:val="nil"/>
              <w:left w:val="single" w:sz="8" w:space="0" w:color="auto"/>
              <w:bottom w:val="single" w:sz="8" w:space="0" w:color="auto"/>
              <w:right w:val="single" w:sz="8" w:space="0" w:color="auto"/>
            </w:tcBorders>
            <w:noWrap/>
            <w:hideMark/>
          </w:tcPr>
          <w:p w14:paraId="23156F35" w14:textId="77777777" w:rsidR="005C47D7" w:rsidRPr="00FA771B" w:rsidRDefault="005C47D7" w:rsidP="005A7E1A">
            <w:pPr>
              <w:spacing w:before="6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2.</w:t>
            </w:r>
          </w:p>
        </w:tc>
        <w:tc>
          <w:tcPr>
            <w:tcW w:w="4107" w:type="dxa"/>
            <w:tcBorders>
              <w:top w:val="nil"/>
              <w:left w:val="nil"/>
              <w:bottom w:val="single" w:sz="8" w:space="0" w:color="auto"/>
              <w:right w:val="nil"/>
            </w:tcBorders>
            <w:vAlign w:val="center"/>
            <w:hideMark/>
          </w:tcPr>
          <w:p w14:paraId="08580080" w14:textId="65B089C0" w:rsidR="005C47D7" w:rsidRPr="00FA771B" w:rsidRDefault="005C47D7" w:rsidP="005A7E1A">
            <w:pPr>
              <w:spacing w:before="20" w:after="2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 xml:space="preserve">Asistencia preparatoria para las solicitudes de asistencia internacional, las candidaturas y las propuestas </w:t>
            </w:r>
            <w:r w:rsidR="00EB46AB">
              <w:rPr>
                <w:rFonts w:asciiTheme="minorBidi" w:hAnsiTheme="minorBidi" w:cstheme="minorBidi"/>
                <w:color w:val="000000"/>
                <w:sz w:val="18"/>
                <w:szCs w:val="18"/>
                <w:lang w:bidi="es-ES"/>
              </w:rPr>
              <w:t>a</w:t>
            </w:r>
            <w:r w:rsidR="00EB46AB" w:rsidRPr="00FA771B">
              <w:rPr>
                <w:rFonts w:asciiTheme="minorBidi" w:hAnsiTheme="minorBidi" w:cstheme="minorBidi"/>
                <w:color w:val="000000"/>
                <w:sz w:val="18"/>
                <w:szCs w:val="18"/>
                <w:lang w:bidi="es-ES"/>
              </w:rPr>
              <w:t xml:space="preserve"> </w:t>
            </w:r>
            <w:r w:rsidRPr="00FA771B">
              <w:rPr>
                <w:rFonts w:asciiTheme="minorBidi" w:hAnsiTheme="minorBidi" w:cstheme="minorBidi"/>
                <w:color w:val="000000"/>
                <w:sz w:val="18"/>
                <w:szCs w:val="18"/>
                <w:lang w:bidi="es-ES"/>
              </w:rPr>
              <w:t>las Listas y el Registro de la Convención</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3317E37A"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2,8</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417" w:type="dxa"/>
            <w:tcBorders>
              <w:top w:val="nil"/>
              <w:left w:val="nil"/>
              <w:bottom w:val="single" w:sz="4" w:space="0" w:color="auto"/>
              <w:right w:val="dashed" w:sz="4" w:space="0" w:color="auto"/>
            </w:tcBorders>
            <w:shd w:val="clear" w:color="000000" w:fill="FFFFFF"/>
            <w:vAlign w:val="center"/>
            <w:hideMark/>
          </w:tcPr>
          <w:p w14:paraId="367E82E8"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1,7</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237" w:type="dxa"/>
            <w:tcBorders>
              <w:top w:val="nil"/>
              <w:left w:val="nil"/>
              <w:bottom w:val="dashed" w:sz="4" w:space="0" w:color="auto"/>
              <w:right w:val="dashed" w:sz="4" w:space="0" w:color="auto"/>
            </w:tcBorders>
            <w:vAlign w:val="center"/>
            <w:hideMark/>
          </w:tcPr>
          <w:p w14:paraId="2E70D1FA"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133.902 $</w:t>
            </w:r>
          </w:p>
        </w:tc>
        <w:tc>
          <w:tcPr>
            <w:tcW w:w="1307" w:type="dxa"/>
            <w:tcBorders>
              <w:top w:val="nil"/>
              <w:left w:val="nil"/>
              <w:bottom w:val="dashed" w:sz="4" w:space="0" w:color="auto"/>
              <w:right w:val="dashed" w:sz="4" w:space="0" w:color="auto"/>
            </w:tcBorders>
            <w:vAlign w:val="center"/>
            <w:hideMark/>
          </w:tcPr>
          <w:p w14:paraId="3934398A"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33.476 $</w:t>
            </w:r>
          </w:p>
        </w:tc>
      </w:tr>
      <w:tr w:rsidR="005C47D7" w:rsidRPr="00FA771B" w14:paraId="2D5B7C12" w14:textId="77777777" w:rsidTr="005A7E1A">
        <w:trPr>
          <w:gridAfter w:val="3"/>
          <w:wAfter w:w="165" w:type="dxa"/>
          <w:trHeight w:val="1832"/>
        </w:trPr>
        <w:tc>
          <w:tcPr>
            <w:tcW w:w="416" w:type="dxa"/>
            <w:tcBorders>
              <w:top w:val="nil"/>
              <w:left w:val="single" w:sz="8" w:space="0" w:color="auto"/>
              <w:bottom w:val="single" w:sz="8" w:space="0" w:color="auto"/>
              <w:right w:val="single" w:sz="8" w:space="0" w:color="auto"/>
            </w:tcBorders>
            <w:noWrap/>
            <w:hideMark/>
          </w:tcPr>
          <w:p w14:paraId="6E54FB94" w14:textId="77777777" w:rsidR="005C47D7" w:rsidRPr="00FA771B" w:rsidRDefault="005C47D7" w:rsidP="005A7E1A">
            <w:pPr>
              <w:spacing w:before="6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3.</w:t>
            </w:r>
          </w:p>
        </w:tc>
        <w:tc>
          <w:tcPr>
            <w:tcW w:w="4107" w:type="dxa"/>
            <w:tcBorders>
              <w:top w:val="nil"/>
              <w:left w:val="nil"/>
              <w:bottom w:val="single" w:sz="8" w:space="0" w:color="auto"/>
              <w:right w:val="nil"/>
            </w:tcBorders>
            <w:vAlign w:val="center"/>
            <w:hideMark/>
          </w:tcPr>
          <w:p w14:paraId="4D443CC0" w14:textId="77777777" w:rsidR="005C47D7" w:rsidRPr="00FA771B" w:rsidRDefault="005C47D7" w:rsidP="005A7E1A">
            <w:pPr>
              <w:spacing w:before="20" w:after="2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 xml:space="preserve">Otras funciones del Comité, tal como se describen en el Artículo 7 de la Convención, con la finalidad de promover los objetivos de la Convención y fomentar y dar seguimiento a su aplicación, en particular a través del fortalecimiento de las capacidades para salvaguardar de manera efectiva el patrimonio cultural inmaterial, sensibilizar acerca de la importancia de este patrimonio, ofrecer orientación sobre las buenas prácticas de salvaguardia: </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4DDB5F73"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20,0</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417" w:type="dxa"/>
            <w:tcBorders>
              <w:top w:val="nil"/>
              <w:left w:val="nil"/>
              <w:bottom w:val="single" w:sz="4" w:space="0" w:color="auto"/>
              <w:right w:val="dashed" w:sz="4" w:space="0" w:color="auto"/>
            </w:tcBorders>
            <w:vAlign w:val="center"/>
            <w:hideMark/>
          </w:tcPr>
          <w:p w14:paraId="73E9A67A"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20,0</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237" w:type="dxa"/>
            <w:tcBorders>
              <w:top w:val="nil"/>
              <w:left w:val="nil"/>
              <w:bottom w:val="dashed" w:sz="4" w:space="0" w:color="auto"/>
              <w:right w:val="dashed" w:sz="4" w:space="0" w:color="auto"/>
            </w:tcBorders>
            <w:vAlign w:val="center"/>
            <w:hideMark/>
          </w:tcPr>
          <w:p w14:paraId="65A47F25"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1.575.318 $</w:t>
            </w:r>
          </w:p>
        </w:tc>
        <w:tc>
          <w:tcPr>
            <w:tcW w:w="1307" w:type="dxa"/>
            <w:tcBorders>
              <w:top w:val="nil"/>
              <w:left w:val="nil"/>
              <w:bottom w:val="dashed" w:sz="4" w:space="0" w:color="auto"/>
              <w:right w:val="dashed" w:sz="4" w:space="0" w:color="auto"/>
            </w:tcBorders>
            <w:vAlign w:val="center"/>
            <w:hideMark/>
          </w:tcPr>
          <w:p w14:paraId="72AE8CC6"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393.830 $</w:t>
            </w:r>
          </w:p>
        </w:tc>
      </w:tr>
      <w:tr w:rsidR="005C47D7" w:rsidRPr="00FA771B" w14:paraId="15C295E3" w14:textId="77777777" w:rsidTr="005A7E1A">
        <w:trPr>
          <w:gridAfter w:val="3"/>
          <w:wAfter w:w="165"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29B386FF" w14:textId="77777777" w:rsidR="005C47D7" w:rsidRPr="00FA771B" w:rsidRDefault="005C47D7" w:rsidP="005A7E1A">
            <w:pPr>
              <w:spacing w:before="60"/>
              <w:rPr>
                <w:rFonts w:asciiTheme="minorBidi" w:hAnsiTheme="minorBidi" w:cstheme="minorBidi"/>
                <w:i/>
                <w:iCs/>
                <w:color w:val="000000"/>
                <w:sz w:val="18"/>
                <w:szCs w:val="18"/>
              </w:rPr>
            </w:pPr>
          </w:p>
        </w:tc>
        <w:tc>
          <w:tcPr>
            <w:tcW w:w="4107" w:type="dxa"/>
            <w:vMerge w:val="restart"/>
            <w:tcBorders>
              <w:top w:val="nil"/>
              <w:left w:val="single" w:sz="8" w:space="0" w:color="auto"/>
              <w:bottom w:val="single" w:sz="8" w:space="0" w:color="000000"/>
              <w:right w:val="nil"/>
            </w:tcBorders>
            <w:shd w:val="clear" w:color="000000" w:fill="E7E6E6"/>
            <w:vAlign w:val="bottom"/>
            <w:hideMark/>
          </w:tcPr>
          <w:p w14:paraId="674EB0E9" w14:textId="0C5D325B" w:rsidR="005C47D7" w:rsidRPr="00FA771B" w:rsidRDefault="005C47D7" w:rsidP="005A7E1A">
            <w:pPr>
              <w:spacing w:before="20" w:after="20"/>
              <w:rPr>
                <w:rFonts w:asciiTheme="minorBidi" w:hAnsiTheme="minorBidi" w:cstheme="minorBidi"/>
                <w:b/>
                <w:bCs/>
                <w:i/>
                <w:iCs/>
                <w:color w:val="000000"/>
                <w:sz w:val="16"/>
                <w:szCs w:val="16"/>
              </w:rPr>
            </w:pPr>
            <w:proofErr w:type="gramStart"/>
            <w:r w:rsidRPr="00FA771B">
              <w:rPr>
                <w:rFonts w:asciiTheme="minorBidi" w:hAnsiTheme="minorBidi" w:cstheme="minorBidi"/>
                <w:b/>
                <w:i/>
                <w:color w:val="000000"/>
                <w:sz w:val="16"/>
                <w:szCs w:val="16"/>
                <w:lang w:bidi="es-ES"/>
              </w:rPr>
              <w:t>RE 1</w:t>
            </w:r>
            <w:proofErr w:type="gramEnd"/>
            <w:r w:rsidRPr="00FA771B">
              <w:rPr>
                <w:rFonts w:asciiTheme="minorBidi" w:hAnsiTheme="minorBidi" w:cstheme="minorBidi"/>
                <w:b/>
                <w:i/>
                <w:color w:val="000000"/>
                <w:sz w:val="16"/>
                <w:szCs w:val="16"/>
                <w:lang w:bidi="es-ES"/>
              </w:rPr>
              <w:t xml:space="preserve">: </w:t>
            </w:r>
            <w:r w:rsidR="00DE2BF7">
              <w:rPr>
                <w:rFonts w:asciiTheme="minorBidi" w:hAnsiTheme="minorBidi" w:cstheme="minorBidi"/>
                <w:b/>
                <w:i/>
                <w:color w:val="000000"/>
                <w:sz w:val="16"/>
                <w:szCs w:val="16"/>
                <w:lang w:bidi="es-ES"/>
              </w:rPr>
              <w:t>Aplic</w:t>
            </w:r>
            <w:r w:rsidR="00DE2BF7" w:rsidRPr="00FA771B">
              <w:rPr>
                <w:rFonts w:asciiTheme="minorBidi" w:hAnsiTheme="minorBidi" w:cstheme="minorBidi"/>
                <w:b/>
                <w:i/>
                <w:color w:val="000000"/>
                <w:sz w:val="16"/>
                <w:szCs w:val="16"/>
                <w:lang w:bidi="es-ES"/>
              </w:rPr>
              <w:t xml:space="preserve">ación </w:t>
            </w:r>
            <w:r w:rsidRPr="00FA771B">
              <w:rPr>
                <w:rFonts w:asciiTheme="minorBidi" w:hAnsiTheme="minorBidi" w:cstheme="minorBidi"/>
                <w:b/>
                <w:i/>
                <w:color w:val="000000"/>
                <w:sz w:val="16"/>
                <w:szCs w:val="16"/>
                <w:lang w:bidi="es-ES"/>
              </w:rPr>
              <w:t>de la Convención mediante un programa de fortalecimiento de capacidades reforzado y la integración del patrimonio cultural inmaterial en los planes y marcos de desarrollo</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50E5D766"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10,4 %</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1C854E75"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10,0 %</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411F8F48"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787.659 $</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72C8A082"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196.915 $</w:t>
            </w:r>
          </w:p>
        </w:tc>
      </w:tr>
      <w:tr w:rsidR="005C47D7" w:rsidRPr="00FA771B" w14:paraId="6C06947C" w14:textId="77777777" w:rsidTr="005A7E1A">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64FCE647" w14:textId="77777777" w:rsidR="005C47D7" w:rsidRPr="00FA771B" w:rsidRDefault="005C47D7" w:rsidP="005A7E1A">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551B1034" w14:textId="77777777" w:rsidR="005C47D7" w:rsidRPr="00FA771B" w:rsidRDefault="005C47D7" w:rsidP="005A7E1A">
            <w:pPr>
              <w:spacing w:before="20" w:after="20"/>
              <w:rPr>
                <w:rFonts w:asciiTheme="minorBidi" w:hAnsiTheme="minorBidi" w:cstheme="minorBidi"/>
                <w:b/>
                <w:bCs/>
                <w:i/>
                <w:iCs/>
                <w:color w:val="000000"/>
                <w:sz w:val="16"/>
                <w:szCs w:val="16"/>
              </w:rPr>
            </w:pPr>
          </w:p>
        </w:tc>
        <w:tc>
          <w:tcPr>
            <w:tcW w:w="1421" w:type="dxa"/>
            <w:vMerge/>
            <w:tcBorders>
              <w:top w:val="nil"/>
              <w:left w:val="single" w:sz="4" w:space="0" w:color="auto"/>
              <w:bottom w:val="single" w:sz="4" w:space="0" w:color="000000"/>
              <w:right w:val="single" w:sz="4" w:space="0" w:color="auto"/>
            </w:tcBorders>
            <w:vAlign w:val="center"/>
            <w:hideMark/>
          </w:tcPr>
          <w:p w14:paraId="0A496FA3" w14:textId="77777777" w:rsidR="005C47D7" w:rsidRPr="00EB46AB" w:rsidRDefault="005C47D7" w:rsidP="005A7E1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3E4C8466" w14:textId="77777777" w:rsidR="005C47D7" w:rsidRPr="00EB46AB" w:rsidRDefault="005C47D7" w:rsidP="005A7E1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18802223" w14:textId="77777777" w:rsidR="005C47D7" w:rsidRPr="00EB46AB" w:rsidRDefault="005C47D7" w:rsidP="005A7E1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06AA4D78" w14:textId="77777777" w:rsidR="005C47D7" w:rsidRPr="00EB46AB" w:rsidRDefault="005C47D7" w:rsidP="005A7E1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4E6AA346" w14:textId="77777777" w:rsidR="005C47D7" w:rsidRPr="00FA771B" w:rsidRDefault="005C47D7" w:rsidP="005A7E1A">
            <w:pPr>
              <w:jc w:val="center"/>
              <w:rPr>
                <w:rFonts w:ascii="Arial" w:hAnsi="Arial" w:cs="Arial"/>
                <w:i/>
                <w:iCs/>
                <w:color w:val="000000"/>
                <w:sz w:val="18"/>
                <w:szCs w:val="18"/>
              </w:rPr>
            </w:pPr>
          </w:p>
        </w:tc>
      </w:tr>
      <w:tr w:rsidR="005C47D7" w:rsidRPr="00FA771B" w14:paraId="74F18AF9" w14:textId="77777777" w:rsidTr="005A7E1A">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537B5401" w14:textId="77777777" w:rsidR="005C47D7" w:rsidRPr="00FA771B" w:rsidRDefault="005C47D7" w:rsidP="005A7E1A">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3D52870D" w14:textId="77777777" w:rsidR="005C47D7" w:rsidRPr="00FA771B" w:rsidRDefault="005C47D7" w:rsidP="005A7E1A">
            <w:pPr>
              <w:spacing w:before="20" w:after="20"/>
              <w:rPr>
                <w:rFonts w:asciiTheme="minorBidi" w:hAnsiTheme="minorBidi" w:cstheme="minorBidi"/>
                <w:b/>
                <w:bCs/>
                <w:i/>
                <w:iCs/>
                <w:color w:val="000000"/>
                <w:sz w:val="16"/>
                <w:szCs w:val="16"/>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2213CBA6"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(52 % de la partida 3)</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6C78758B"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(50 % de la partida 3)</w:t>
            </w:r>
          </w:p>
        </w:tc>
        <w:tc>
          <w:tcPr>
            <w:tcW w:w="1237" w:type="dxa"/>
            <w:vMerge/>
            <w:tcBorders>
              <w:top w:val="nil"/>
              <w:left w:val="dashed" w:sz="4" w:space="0" w:color="auto"/>
              <w:bottom w:val="dashed" w:sz="4" w:space="0" w:color="auto"/>
              <w:right w:val="dashed" w:sz="4" w:space="0" w:color="auto"/>
            </w:tcBorders>
            <w:vAlign w:val="center"/>
            <w:hideMark/>
          </w:tcPr>
          <w:p w14:paraId="64425852" w14:textId="77777777" w:rsidR="005C47D7" w:rsidRPr="00EB46AB" w:rsidRDefault="005C47D7" w:rsidP="005A7E1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60432152" w14:textId="77777777" w:rsidR="005C47D7" w:rsidRPr="00EB46AB" w:rsidRDefault="005C47D7" w:rsidP="005A7E1A">
            <w:pPr>
              <w:rPr>
                <w:rFonts w:asciiTheme="minorBidi" w:hAnsiTheme="minorBidi" w:cstheme="minorBidi"/>
                <w:i/>
                <w:iCs/>
                <w:color w:val="000000"/>
                <w:sz w:val="18"/>
                <w:szCs w:val="18"/>
              </w:rPr>
            </w:pPr>
          </w:p>
        </w:tc>
        <w:tc>
          <w:tcPr>
            <w:tcW w:w="149" w:type="dxa"/>
            <w:gridSpan w:val="2"/>
            <w:vAlign w:val="center"/>
            <w:hideMark/>
          </w:tcPr>
          <w:p w14:paraId="0A623756" w14:textId="77777777" w:rsidR="005C47D7" w:rsidRPr="00FA771B" w:rsidRDefault="005C47D7" w:rsidP="005A7E1A">
            <w:pPr>
              <w:rPr>
                <w:sz w:val="20"/>
                <w:szCs w:val="20"/>
              </w:rPr>
            </w:pPr>
          </w:p>
        </w:tc>
      </w:tr>
      <w:tr w:rsidR="005C47D7" w:rsidRPr="00FA771B" w14:paraId="75A02251" w14:textId="77777777" w:rsidTr="005A7E1A">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716D5D27" w14:textId="77777777" w:rsidR="005C47D7" w:rsidRPr="00FA771B" w:rsidRDefault="005C47D7" w:rsidP="005A7E1A">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0B9B9430" w14:textId="77777777" w:rsidR="005C47D7" w:rsidRPr="00FA771B" w:rsidRDefault="005C47D7" w:rsidP="005A7E1A">
            <w:pPr>
              <w:spacing w:before="20" w:after="20"/>
              <w:rPr>
                <w:rFonts w:asciiTheme="minorBidi" w:hAnsiTheme="minorBidi" w:cstheme="minorBidi"/>
                <w:b/>
                <w:bCs/>
                <w:i/>
                <w:iCs/>
                <w:color w:val="000000"/>
                <w:sz w:val="16"/>
                <w:szCs w:val="16"/>
              </w:rPr>
            </w:pPr>
          </w:p>
        </w:tc>
        <w:tc>
          <w:tcPr>
            <w:tcW w:w="1421" w:type="dxa"/>
            <w:vMerge/>
            <w:tcBorders>
              <w:top w:val="nil"/>
              <w:left w:val="single" w:sz="4" w:space="0" w:color="auto"/>
              <w:bottom w:val="single" w:sz="4" w:space="0" w:color="000000"/>
              <w:right w:val="single" w:sz="4" w:space="0" w:color="auto"/>
            </w:tcBorders>
            <w:vAlign w:val="center"/>
            <w:hideMark/>
          </w:tcPr>
          <w:p w14:paraId="6A90A204" w14:textId="77777777" w:rsidR="005C47D7" w:rsidRPr="00EB46AB" w:rsidRDefault="005C47D7" w:rsidP="005A7E1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49A47694" w14:textId="77777777" w:rsidR="005C47D7" w:rsidRPr="00EB46AB" w:rsidRDefault="005C47D7" w:rsidP="005A7E1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4565E0A9" w14:textId="77777777" w:rsidR="005C47D7" w:rsidRPr="00EB46AB" w:rsidRDefault="005C47D7" w:rsidP="005A7E1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70688583" w14:textId="77777777" w:rsidR="005C47D7" w:rsidRPr="00EB46AB" w:rsidRDefault="005C47D7" w:rsidP="005A7E1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74D6F5C9" w14:textId="77777777" w:rsidR="005C47D7" w:rsidRPr="00FA771B" w:rsidRDefault="005C47D7" w:rsidP="005A7E1A">
            <w:pPr>
              <w:jc w:val="center"/>
              <w:rPr>
                <w:rFonts w:ascii="Arial" w:hAnsi="Arial" w:cs="Arial"/>
                <w:i/>
                <w:iCs/>
                <w:color w:val="000000"/>
                <w:sz w:val="16"/>
                <w:szCs w:val="16"/>
              </w:rPr>
            </w:pPr>
          </w:p>
        </w:tc>
      </w:tr>
      <w:tr w:rsidR="005C47D7" w:rsidRPr="00FA771B" w14:paraId="0E0DAFB1" w14:textId="77777777" w:rsidTr="005A7E1A">
        <w:trPr>
          <w:gridAfter w:val="1"/>
          <w:wAfter w:w="16"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1B5178D6" w14:textId="77777777" w:rsidR="005C47D7" w:rsidRPr="00FA771B" w:rsidRDefault="005C47D7" w:rsidP="005A7E1A">
            <w:pPr>
              <w:spacing w:before="60"/>
              <w:rPr>
                <w:rFonts w:asciiTheme="minorBidi" w:hAnsiTheme="minorBidi" w:cstheme="minorBidi"/>
                <w:i/>
                <w:iCs/>
                <w:color w:val="000000"/>
                <w:sz w:val="18"/>
                <w:szCs w:val="18"/>
              </w:rPr>
            </w:pPr>
          </w:p>
        </w:tc>
        <w:tc>
          <w:tcPr>
            <w:tcW w:w="4107" w:type="dxa"/>
            <w:vMerge w:val="restart"/>
            <w:tcBorders>
              <w:top w:val="nil"/>
              <w:left w:val="single" w:sz="8" w:space="0" w:color="auto"/>
              <w:bottom w:val="single" w:sz="8" w:space="0" w:color="000000"/>
              <w:right w:val="nil"/>
            </w:tcBorders>
            <w:shd w:val="clear" w:color="000000" w:fill="E7E6E6"/>
            <w:vAlign w:val="bottom"/>
            <w:hideMark/>
          </w:tcPr>
          <w:p w14:paraId="1F956384" w14:textId="63F36C89" w:rsidR="005C47D7" w:rsidRPr="00FA771B" w:rsidRDefault="005C47D7" w:rsidP="005A7E1A">
            <w:pPr>
              <w:spacing w:before="20" w:after="20"/>
              <w:rPr>
                <w:rFonts w:asciiTheme="minorBidi" w:hAnsiTheme="minorBidi" w:cstheme="minorBidi"/>
                <w:b/>
                <w:bCs/>
                <w:i/>
                <w:iCs/>
                <w:color w:val="000000"/>
                <w:sz w:val="16"/>
                <w:szCs w:val="16"/>
              </w:rPr>
            </w:pPr>
            <w:proofErr w:type="gramStart"/>
            <w:r w:rsidRPr="00FA771B">
              <w:rPr>
                <w:rFonts w:asciiTheme="minorBidi" w:hAnsiTheme="minorBidi" w:cstheme="minorBidi"/>
                <w:b/>
                <w:i/>
                <w:color w:val="000000"/>
                <w:sz w:val="16"/>
                <w:szCs w:val="16"/>
                <w:lang w:bidi="es-ES"/>
              </w:rPr>
              <w:t>RE 2</w:t>
            </w:r>
            <w:proofErr w:type="gramEnd"/>
            <w:r w:rsidRPr="00FA771B">
              <w:rPr>
                <w:rFonts w:asciiTheme="minorBidi" w:hAnsiTheme="minorBidi" w:cstheme="minorBidi"/>
                <w:b/>
                <w:i/>
                <w:color w:val="000000"/>
                <w:sz w:val="16"/>
                <w:szCs w:val="16"/>
                <w:lang w:bidi="es-ES"/>
              </w:rPr>
              <w:t xml:space="preserve">: </w:t>
            </w:r>
            <w:r w:rsidR="00DE2BF7">
              <w:rPr>
                <w:rFonts w:asciiTheme="minorBidi" w:hAnsiTheme="minorBidi" w:cstheme="minorBidi"/>
                <w:b/>
                <w:i/>
                <w:color w:val="000000"/>
                <w:sz w:val="16"/>
                <w:szCs w:val="16"/>
                <w:lang w:bidi="es-ES"/>
              </w:rPr>
              <w:t>G</w:t>
            </w:r>
            <w:r w:rsidRPr="00FA771B">
              <w:rPr>
                <w:rFonts w:asciiTheme="minorBidi" w:hAnsiTheme="minorBidi" w:cstheme="minorBidi"/>
                <w:b/>
                <w:i/>
                <w:color w:val="000000"/>
                <w:sz w:val="16"/>
                <w:szCs w:val="16"/>
                <w:lang w:bidi="es-ES"/>
              </w:rPr>
              <w:t>obernanza sólida de la Convención apoyada por un seguimiento, servicios de gestión de conocimientos y sensibilización reforzados asociados a los mecanismos de cooperación internacional</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41177427"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9,6 %</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3BCFD4A9"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10,0 %</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2F1E1EBA"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787.659 $</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318D9C6A"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196.915 $</w:t>
            </w:r>
          </w:p>
        </w:tc>
        <w:tc>
          <w:tcPr>
            <w:tcW w:w="149" w:type="dxa"/>
            <w:gridSpan w:val="2"/>
            <w:vAlign w:val="center"/>
            <w:hideMark/>
          </w:tcPr>
          <w:p w14:paraId="20B655FE" w14:textId="77777777" w:rsidR="005C47D7" w:rsidRPr="00FA771B" w:rsidRDefault="005C47D7" w:rsidP="005A7E1A">
            <w:pPr>
              <w:rPr>
                <w:sz w:val="20"/>
                <w:szCs w:val="20"/>
              </w:rPr>
            </w:pPr>
          </w:p>
        </w:tc>
      </w:tr>
      <w:tr w:rsidR="005C47D7" w:rsidRPr="00FA771B" w14:paraId="3290FF2A" w14:textId="77777777" w:rsidTr="005A7E1A">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3E19D88A" w14:textId="77777777" w:rsidR="005C47D7" w:rsidRPr="00FA771B" w:rsidRDefault="005C47D7" w:rsidP="005A7E1A">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00950BAA" w14:textId="77777777" w:rsidR="005C47D7" w:rsidRPr="00FA771B" w:rsidRDefault="005C47D7" w:rsidP="005A7E1A">
            <w:pPr>
              <w:spacing w:before="20" w:after="20"/>
              <w:rPr>
                <w:rFonts w:asciiTheme="minorBidi" w:hAnsiTheme="minorBidi" w:cstheme="minorBidi"/>
                <w:b/>
                <w:bCs/>
                <w:i/>
                <w:iCs/>
                <w:color w:val="000000"/>
                <w:sz w:val="18"/>
                <w:szCs w:val="18"/>
              </w:rPr>
            </w:pPr>
          </w:p>
        </w:tc>
        <w:tc>
          <w:tcPr>
            <w:tcW w:w="1421" w:type="dxa"/>
            <w:vMerge/>
            <w:tcBorders>
              <w:top w:val="nil"/>
              <w:left w:val="single" w:sz="4" w:space="0" w:color="auto"/>
              <w:bottom w:val="single" w:sz="4" w:space="0" w:color="000000"/>
              <w:right w:val="single" w:sz="4" w:space="0" w:color="auto"/>
            </w:tcBorders>
            <w:vAlign w:val="center"/>
            <w:hideMark/>
          </w:tcPr>
          <w:p w14:paraId="70ED30F4" w14:textId="77777777" w:rsidR="005C47D7" w:rsidRPr="00EB46AB" w:rsidRDefault="005C47D7" w:rsidP="005A7E1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567BE352" w14:textId="77777777" w:rsidR="005C47D7" w:rsidRPr="00EB46AB" w:rsidRDefault="005C47D7" w:rsidP="005A7E1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69CCAEB5" w14:textId="77777777" w:rsidR="005C47D7" w:rsidRPr="00EB46AB" w:rsidRDefault="005C47D7" w:rsidP="005A7E1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6C574180" w14:textId="77777777" w:rsidR="005C47D7" w:rsidRPr="00EB46AB" w:rsidRDefault="005C47D7" w:rsidP="005A7E1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6A78ACFB" w14:textId="77777777" w:rsidR="005C47D7" w:rsidRPr="00FA771B" w:rsidRDefault="005C47D7" w:rsidP="005A7E1A">
            <w:pPr>
              <w:jc w:val="center"/>
              <w:rPr>
                <w:rFonts w:ascii="Arial" w:hAnsi="Arial" w:cs="Arial"/>
                <w:i/>
                <w:iCs/>
                <w:color w:val="000000"/>
                <w:sz w:val="18"/>
                <w:szCs w:val="18"/>
              </w:rPr>
            </w:pPr>
          </w:p>
        </w:tc>
      </w:tr>
      <w:tr w:rsidR="005C47D7" w:rsidRPr="00FA771B" w14:paraId="7286595A" w14:textId="77777777" w:rsidTr="005A7E1A">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7F99A9E6" w14:textId="77777777" w:rsidR="005C47D7" w:rsidRPr="00FA771B" w:rsidRDefault="005C47D7" w:rsidP="005A7E1A">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4517CCDF" w14:textId="77777777" w:rsidR="005C47D7" w:rsidRPr="00FA771B" w:rsidRDefault="005C47D7" w:rsidP="005A7E1A">
            <w:pPr>
              <w:spacing w:before="20" w:after="20"/>
              <w:rPr>
                <w:rFonts w:asciiTheme="minorBidi" w:hAnsiTheme="minorBidi" w:cstheme="minorBidi"/>
                <w:b/>
                <w:bCs/>
                <w:i/>
                <w:iCs/>
                <w:color w:val="000000"/>
                <w:sz w:val="18"/>
                <w:szCs w:val="18"/>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3D1B6BA4"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(48 % de la partida 3)</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5FFD4A3E"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(50 % de la partida 3)</w:t>
            </w:r>
          </w:p>
        </w:tc>
        <w:tc>
          <w:tcPr>
            <w:tcW w:w="1237" w:type="dxa"/>
            <w:vMerge/>
            <w:tcBorders>
              <w:top w:val="nil"/>
              <w:left w:val="dashed" w:sz="4" w:space="0" w:color="auto"/>
              <w:bottom w:val="dashed" w:sz="4" w:space="0" w:color="auto"/>
              <w:right w:val="dashed" w:sz="4" w:space="0" w:color="auto"/>
            </w:tcBorders>
            <w:vAlign w:val="center"/>
            <w:hideMark/>
          </w:tcPr>
          <w:p w14:paraId="13161A4C" w14:textId="77777777" w:rsidR="005C47D7" w:rsidRPr="00EB46AB" w:rsidRDefault="005C47D7" w:rsidP="005A7E1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51FB8D0E" w14:textId="77777777" w:rsidR="005C47D7" w:rsidRPr="00EB46AB" w:rsidRDefault="005C47D7" w:rsidP="005A7E1A">
            <w:pPr>
              <w:rPr>
                <w:rFonts w:asciiTheme="minorBidi" w:hAnsiTheme="minorBidi" w:cstheme="minorBidi"/>
                <w:i/>
                <w:iCs/>
                <w:color w:val="000000"/>
                <w:sz w:val="18"/>
                <w:szCs w:val="18"/>
              </w:rPr>
            </w:pPr>
          </w:p>
        </w:tc>
        <w:tc>
          <w:tcPr>
            <w:tcW w:w="149" w:type="dxa"/>
            <w:gridSpan w:val="2"/>
            <w:vAlign w:val="center"/>
            <w:hideMark/>
          </w:tcPr>
          <w:p w14:paraId="3A5F3BCF" w14:textId="77777777" w:rsidR="005C47D7" w:rsidRPr="00FA771B" w:rsidRDefault="005C47D7" w:rsidP="005A7E1A">
            <w:pPr>
              <w:rPr>
                <w:sz w:val="20"/>
                <w:szCs w:val="20"/>
              </w:rPr>
            </w:pPr>
          </w:p>
        </w:tc>
      </w:tr>
      <w:tr w:rsidR="005C47D7" w:rsidRPr="00FA771B" w14:paraId="77B49456" w14:textId="77777777" w:rsidTr="005A7E1A">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271EB3C7" w14:textId="77777777" w:rsidR="005C47D7" w:rsidRPr="00FA771B" w:rsidRDefault="005C47D7" w:rsidP="005A7E1A">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5FE3AA4A" w14:textId="77777777" w:rsidR="005C47D7" w:rsidRPr="00FA771B" w:rsidRDefault="005C47D7" w:rsidP="005A7E1A">
            <w:pPr>
              <w:spacing w:before="20" w:after="20"/>
              <w:rPr>
                <w:rFonts w:asciiTheme="minorBidi" w:hAnsiTheme="minorBidi" w:cstheme="minorBidi"/>
                <w:b/>
                <w:bCs/>
                <w:i/>
                <w:iCs/>
                <w:color w:val="000000"/>
                <w:sz w:val="18"/>
                <w:szCs w:val="18"/>
              </w:rPr>
            </w:pPr>
          </w:p>
        </w:tc>
        <w:tc>
          <w:tcPr>
            <w:tcW w:w="1421" w:type="dxa"/>
            <w:vMerge/>
            <w:tcBorders>
              <w:top w:val="nil"/>
              <w:left w:val="single" w:sz="4" w:space="0" w:color="auto"/>
              <w:bottom w:val="single" w:sz="4" w:space="0" w:color="000000"/>
              <w:right w:val="single" w:sz="4" w:space="0" w:color="auto"/>
            </w:tcBorders>
            <w:vAlign w:val="center"/>
            <w:hideMark/>
          </w:tcPr>
          <w:p w14:paraId="3C08C049" w14:textId="77777777" w:rsidR="005C47D7" w:rsidRPr="00FA771B" w:rsidRDefault="005C47D7" w:rsidP="005A7E1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36C57D79" w14:textId="77777777" w:rsidR="005C47D7" w:rsidRPr="00FA771B" w:rsidRDefault="005C47D7" w:rsidP="005A7E1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516B5356" w14:textId="77777777" w:rsidR="005C47D7" w:rsidRPr="00EB46AB" w:rsidRDefault="005C47D7" w:rsidP="005A7E1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1D68F5EB" w14:textId="77777777" w:rsidR="005C47D7" w:rsidRPr="00EB46AB" w:rsidRDefault="005C47D7" w:rsidP="005A7E1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5EAEEC85" w14:textId="77777777" w:rsidR="005C47D7" w:rsidRPr="00FA771B" w:rsidRDefault="005C47D7" w:rsidP="005A7E1A">
            <w:pPr>
              <w:jc w:val="center"/>
              <w:rPr>
                <w:rFonts w:ascii="Arial" w:hAnsi="Arial" w:cs="Arial"/>
                <w:i/>
                <w:iCs/>
                <w:color w:val="000000"/>
                <w:sz w:val="16"/>
                <w:szCs w:val="16"/>
              </w:rPr>
            </w:pPr>
          </w:p>
        </w:tc>
      </w:tr>
      <w:tr w:rsidR="005C47D7" w:rsidRPr="00FA771B" w14:paraId="5487065F" w14:textId="77777777" w:rsidTr="005A7E1A">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65ABA844" w14:textId="77777777" w:rsidR="005C47D7" w:rsidRPr="00FA771B" w:rsidRDefault="005C47D7" w:rsidP="005A7E1A">
            <w:pPr>
              <w:spacing w:before="6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4.</w:t>
            </w:r>
          </w:p>
        </w:tc>
        <w:tc>
          <w:tcPr>
            <w:tcW w:w="4107" w:type="dxa"/>
            <w:tcBorders>
              <w:top w:val="nil"/>
              <w:left w:val="nil"/>
              <w:bottom w:val="single" w:sz="8" w:space="0" w:color="auto"/>
              <w:right w:val="nil"/>
            </w:tcBorders>
            <w:vAlign w:val="center"/>
            <w:hideMark/>
          </w:tcPr>
          <w:p w14:paraId="056330D1" w14:textId="77777777" w:rsidR="005C47D7" w:rsidRPr="00FA771B" w:rsidRDefault="005C47D7" w:rsidP="005A7E1A">
            <w:pPr>
              <w:spacing w:before="20" w:after="2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La participación en las reuniones del Comité, su Mesa y sus órganos subsidiarios de expertos en patrimonio cultural inmaterial que representen a Estados en desarrollo que son miembros del Comité</w:t>
            </w:r>
          </w:p>
        </w:tc>
        <w:tc>
          <w:tcPr>
            <w:tcW w:w="1421" w:type="dxa"/>
            <w:tcBorders>
              <w:top w:val="nil"/>
              <w:left w:val="single" w:sz="4" w:space="0" w:color="auto"/>
              <w:bottom w:val="single" w:sz="4" w:space="0" w:color="auto"/>
              <w:right w:val="single" w:sz="4" w:space="0" w:color="auto"/>
            </w:tcBorders>
            <w:vAlign w:val="center"/>
            <w:hideMark/>
          </w:tcPr>
          <w:p w14:paraId="49547BEC"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2,5</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417" w:type="dxa"/>
            <w:tcBorders>
              <w:top w:val="nil"/>
              <w:left w:val="nil"/>
              <w:bottom w:val="single" w:sz="4" w:space="0" w:color="auto"/>
              <w:right w:val="dashed" w:sz="4" w:space="0" w:color="auto"/>
            </w:tcBorders>
            <w:vAlign w:val="center"/>
            <w:hideMark/>
          </w:tcPr>
          <w:p w14:paraId="4922D6D7"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2,5</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237" w:type="dxa"/>
            <w:tcBorders>
              <w:top w:val="nil"/>
              <w:left w:val="nil"/>
              <w:bottom w:val="dashed" w:sz="4" w:space="0" w:color="auto"/>
              <w:right w:val="dashed" w:sz="4" w:space="0" w:color="auto"/>
            </w:tcBorders>
            <w:vAlign w:val="center"/>
            <w:hideMark/>
          </w:tcPr>
          <w:p w14:paraId="5898C23B"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196.915 $</w:t>
            </w:r>
          </w:p>
        </w:tc>
        <w:tc>
          <w:tcPr>
            <w:tcW w:w="1307" w:type="dxa"/>
            <w:tcBorders>
              <w:top w:val="nil"/>
              <w:left w:val="nil"/>
              <w:bottom w:val="dashed" w:sz="4" w:space="0" w:color="auto"/>
              <w:right w:val="dashed" w:sz="4" w:space="0" w:color="auto"/>
            </w:tcBorders>
            <w:vAlign w:val="center"/>
            <w:hideMark/>
          </w:tcPr>
          <w:p w14:paraId="77604040"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49.229 $</w:t>
            </w:r>
          </w:p>
        </w:tc>
        <w:tc>
          <w:tcPr>
            <w:tcW w:w="149" w:type="dxa"/>
            <w:gridSpan w:val="2"/>
            <w:vAlign w:val="center"/>
            <w:hideMark/>
          </w:tcPr>
          <w:p w14:paraId="428DC9E4" w14:textId="77777777" w:rsidR="005C47D7" w:rsidRPr="00FA771B" w:rsidRDefault="005C47D7" w:rsidP="005A7E1A">
            <w:pPr>
              <w:rPr>
                <w:sz w:val="20"/>
                <w:szCs w:val="20"/>
              </w:rPr>
            </w:pPr>
          </w:p>
        </w:tc>
      </w:tr>
      <w:tr w:rsidR="005C47D7" w:rsidRPr="00FA771B" w14:paraId="689BA1DC" w14:textId="77777777" w:rsidTr="005A7E1A">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5B0C3C7B" w14:textId="77777777" w:rsidR="005C47D7" w:rsidRPr="00FA771B" w:rsidRDefault="005C47D7" w:rsidP="005A7E1A">
            <w:pPr>
              <w:spacing w:before="6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5.</w:t>
            </w:r>
          </w:p>
        </w:tc>
        <w:tc>
          <w:tcPr>
            <w:tcW w:w="4107" w:type="dxa"/>
            <w:tcBorders>
              <w:top w:val="nil"/>
              <w:left w:val="nil"/>
              <w:bottom w:val="single" w:sz="8" w:space="0" w:color="auto"/>
              <w:right w:val="nil"/>
            </w:tcBorders>
            <w:vAlign w:val="center"/>
            <w:hideMark/>
          </w:tcPr>
          <w:p w14:paraId="7F792FF1" w14:textId="77777777" w:rsidR="005C47D7" w:rsidRPr="00FA771B" w:rsidRDefault="005C47D7" w:rsidP="005A7E1A">
            <w:pPr>
              <w:spacing w:before="20" w:after="2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La participación en las reuniones del Comité y sus órganos consultivos de expertos en patrimonio cultural inmaterial que representen a Estados en desarrollo que sean Partes en la Convención, pero no miembros del Comité</w:t>
            </w:r>
          </w:p>
        </w:tc>
        <w:tc>
          <w:tcPr>
            <w:tcW w:w="1421" w:type="dxa"/>
            <w:tcBorders>
              <w:top w:val="nil"/>
              <w:left w:val="single" w:sz="4" w:space="0" w:color="auto"/>
              <w:bottom w:val="single" w:sz="4" w:space="0" w:color="auto"/>
              <w:right w:val="single" w:sz="4" w:space="0" w:color="auto"/>
            </w:tcBorders>
            <w:vAlign w:val="center"/>
            <w:hideMark/>
          </w:tcPr>
          <w:p w14:paraId="67313B04" w14:textId="0C97BE35"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2,7</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417" w:type="dxa"/>
            <w:tcBorders>
              <w:top w:val="nil"/>
              <w:left w:val="nil"/>
              <w:bottom w:val="single" w:sz="4" w:space="0" w:color="auto"/>
              <w:right w:val="dashed" w:sz="4" w:space="0" w:color="auto"/>
            </w:tcBorders>
            <w:vAlign w:val="center"/>
            <w:hideMark/>
          </w:tcPr>
          <w:p w14:paraId="66B1FC11" w14:textId="3468A31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2,7</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237" w:type="dxa"/>
            <w:tcBorders>
              <w:top w:val="nil"/>
              <w:left w:val="nil"/>
              <w:bottom w:val="dashed" w:sz="4" w:space="0" w:color="auto"/>
              <w:right w:val="dashed" w:sz="4" w:space="0" w:color="auto"/>
            </w:tcBorders>
            <w:vAlign w:val="center"/>
            <w:hideMark/>
          </w:tcPr>
          <w:p w14:paraId="551FFC6E"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212.668 $</w:t>
            </w:r>
          </w:p>
        </w:tc>
        <w:tc>
          <w:tcPr>
            <w:tcW w:w="1307" w:type="dxa"/>
            <w:tcBorders>
              <w:top w:val="nil"/>
              <w:left w:val="nil"/>
              <w:bottom w:val="dashed" w:sz="4" w:space="0" w:color="auto"/>
              <w:right w:val="dashed" w:sz="4" w:space="0" w:color="auto"/>
            </w:tcBorders>
            <w:vAlign w:val="center"/>
            <w:hideMark/>
          </w:tcPr>
          <w:p w14:paraId="4723E326"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53.167 $</w:t>
            </w:r>
          </w:p>
        </w:tc>
        <w:tc>
          <w:tcPr>
            <w:tcW w:w="149" w:type="dxa"/>
            <w:gridSpan w:val="2"/>
            <w:vAlign w:val="center"/>
            <w:hideMark/>
          </w:tcPr>
          <w:p w14:paraId="46CE04D1" w14:textId="77777777" w:rsidR="005C47D7" w:rsidRPr="00FA771B" w:rsidRDefault="005C47D7" w:rsidP="005A7E1A">
            <w:pPr>
              <w:rPr>
                <w:sz w:val="20"/>
                <w:szCs w:val="20"/>
              </w:rPr>
            </w:pPr>
          </w:p>
        </w:tc>
      </w:tr>
      <w:tr w:rsidR="005C47D7" w:rsidRPr="00FA771B" w14:paraId="7804C107" w14:textId="77777777" w:rsidTr="005A7E1A">
        <w:trPr>
          <w:gridAfter w:val="1"/>
          <w:wAfter w:w="16" w:type="dxa"/>
          <w:trHeight w:val="1684"/>
        </w:trPr>
        <w:tc>
          <w:tcPr>
            <w:tcW w:w="416" w:type="dxa"/>
            <w:tcBorders>
              <w:top w:val="nil"/>
              <w:left w:val="single" w:sz="8" w:space="0" w:color="auto"/>
              <w:bottom w:val="single" w:sz="8" w:space="0" w:color="auto"/>
              <w:right w:val="single" w:sz="8" w:space="0" w:color="auto"/>
            </w:tcBorders>
            <w:noWrap/>
            <w:hideMark/>
          </w:tcPr>
          <w:p w14:paraId="359D7041" w14:textId="77777777" w:rsidR="005C47D7" w:rsidRPr="00FA771B" w:rsidRDefault="005C47D7" w:rsidP="005A7E1A">
            <w:pPr>
              <w:spacing w:before="6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6.</w:t>
            </w:r>
          </w:p>
        </w:tc>
        <w:tc>
          <w:tcPr>
            <w:tcW w:w="4107" w:type="dxa"/>
            <w:tcBorders>
              <w:top w:val="nil"/>
              <w:left w:val="nil"/>
              <w:bottom w:val="single" w:sz="8" w:space="0" w:color="auto"/>
              <w:right w:val="nil"/>
            </w:tcBorders>
            <w:vAlign w:val="center"/>
            <w:hideMark/>
          </w:tcPr>
          <w:p w14:paraId="73E846B3" w14:textId="77777777" w:rsidR="005C47D7" w:rsidRPr="00FA771B" w:rsidRDefault="005C47D7" w:rsidP="005A7E1A">
            <w:pPr>
              <w:spacing w:before="20" w:after="2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 xml:space="preserve">La participación en las reuniones del Comité, su Mesa y sus órganos consultivos de organismos públicos o privados, de personas físicas, en particular miembros de comunidades y grupos, que hayan sido invitados por el Comité para ser consultados sobre asuntos específicos, y de expertos en el patrimonio cultural inmaterial que </w:t>
            </w:r>
            <w:r w:rsidRPr="00FA771B">
              <w:rPr>
                <w:rFonts w:asciiTheme="minorBidi" w:hAnsiTheme="minorBidi" w:cstheme="minorBidi"/>
                <w:color w:val="000000"/>
                <w:sz w:val="18"/>
                <w:szCs w:val="18"/>
                <w:lang w:bidi="es-ES"/>
              </w:rPr>
              <w:lastRenderedPageBreak/>
              <w:t>representen a ONG acreditadas de países en desarrollo</w:t>
            </w:r>
          </w:p>
        </w:tc>
        <w:tc>
          <w:tcPr>
            <w:tcW w:w="1421" w:type="dxa"/>
            <w:tcBorders>
              <w:top w:val="nil"/>
              <w:left w:val="single" w:sz="4" w:space="0" w:color="auto"/>
              <w:bottom w:val="single" w:sz="4" w:space="0" w:color="auto"/>
              <w:right w:val="single" w:sz="4" w:space="0" w:color="auto"/>
            </w:tcBorders>
            <w:vAlign w:val="center"/>
            <w:hideMark/>
          </w:tcPr>
          <w:p w14:paraId="30ED401B" w14:textId="2D4566CC"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lastRenderedPageBreak/>
              <w:t>2,7</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417" w:type="dxa"/>
            <w:tcBorders>
              <w:top w:val="nil"/>
              <w:left w:val="nil"/>
              <w:bottom w:val="single" w:sz="4" w:space="0" w:color="auto"/>
              <w:right w:val="dashed" w:sz="4" w:space="0" w:color="auto"/>
            </w:tcBorders>
            <w:vAlign w:val="center"/>
            <w:hideMark/>
          </w:tcPr>
          <w:p w14:paraId="18C1280C" w14:textId="5A8577D9"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2,7</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237" w:type="dxa"/>
            <w:tcBorders>
              <w:top w:val="nil"/>
              <w:left w:val="nil"/>
              <w:bottom w:val="dashed" w:sz="4" w:space="0" w:color="auto"/>
              <w:right w:val="dashed" w:sz="4" w:space="0" w:color="auto"/>
            </w:tcBorders>
            <w:vAlign w:val="center"/>
            <w:hideMark/>
          </w:tcPr>
          <w:p w14:paraId="452A1ED7"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212.668 $</w:t>
            </w:r>
          </w:p>
        </w:tc>
        <w:tc>
          <w:tcPr>
            <w:tcW w:w="1307" w:type="dxa"/>
            <w:tcBorders>
              <w:top w:val="nil"/>
              <w:left w:val="nil"/>
              <w:bottom w:val="dashed" w:sz="4" w:space="0" w:color="auto"/>
              <w:right w:val="dashed" w:sz="4" w:space="0" w:color="auto"/>
            </w:tcBorders>
            <w:vAlign w:val="center"/>
            <w:hideMark/>
          </w:tcPr>
          <w:p w14:paraId="7BEDE6B5" w14:textId="77777777" w:rsidR="005C47D7" w:rsidRPr="00EB46AB" w:rsidRDefault="005C47D7" w:rsidP="005A7E1A">
            <w:pPr>
              <w:jc w:val="center"/>
              <w:rPr>
                <w:rFonts w:asciiTheme="minorBidi" w:hAnsiTheme="minorBidi" w:cstheme="minorBidi"/>
                <w:i/>
                <w:iCs/>
                <w:color w:val="000000"/>
                <w:sz w:val="18"/>
                <w:szCs w:val="18"/>
              </w:rPr>
            </w:pPr>
            <w:r w:rsidRPr="003E5580">
              <w:rPr>
                <w:rFonts w:asciiTheme="minorBidi" w:hAnsiTheme="minorBidi" w:cstheme="minorBidi"/>
                <w:i/>
                <w:iCs/>
                <w:color w:val="000000"/>
                <w:sz w:val="18"/>
                <w:szCs w:val="18"/>
                <w:lang w:bidi="es-ES"/>
              </w:rPr>
              <w:t>53.167 $</w:t>
            </w:r>
          </w:p>
        </w:tc>
        <w:tc>
          <w:tcPr>
            <w:tcW w:w="149" w:type="dxa"/>
            <w:gridSpan w:val="2"/>
            <w:vAlign w:val="center"/>
            <w:hideMark/>
          </w:tcPr>
          <w:p w14:paraId="70B8AE54" w14:textId="77777777" w:rsidR="005C47D7" w:rsidRPr="00FA771B" w:rsidRDefault="005C47D7" w:rsidP="005A7E1A">
            <w:pPr>
              <w:rPr>
                <w:sz w:val="20"/>
                <w:szCs w:val="20"/>
              </w:rPr>
            </w:pPr>
          </w:p>
        </w:tc>
      </w:tr>
      <w:tr w:rsidR="005C47D7" w:rsidRPr="00FA771B" w14:paraId="574B28C2" w14:textId="77777777" w:rsidTr="005A7E1A">
        <w:trPr>
          <w:gridAfter w:val="1"/>
          <w:wAfter w:w="16" w:type="dxa"/>
          <w:trHeight w:val="492"/>
        </w:trPr>
        <w:tc>
          <w:tcPr>
            <w:tcW w:w="416" w:type="dxa"/>
            <w:tcBorders>
              <w:top w:val="nil"/>
              <w:left w:val="single" w:sz="8" w:space="0" w:color="auto"/>
              <w:bottom w:val="single" w:sz="8" w:space="0" w:color="auto"/>
              <w:right w:val="single" w:sz="8" w:space="0" w:color="auto"/>
            </w:tcBorders>
            <w:noWrap/>
            <w:hideMark/>
          </w:tcPr>
          <w:p w14:paraId="696E14C3" w14:textId="77777777" w:rsidR="005C47D7" w:rsidRPr="00FA771B" w:rsidRDefault="005C47D7" w:rsidP="005A7E1A">
            <w:pPr>
              <w:spacing w:before="6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7.</w:t>
            </w:r>
          </w:p>
        </w:tc>
        <w:tc>
          <w:tcPr>
            <w:tcW w:w="4107" w:type="dxa"/>
            <w:tcBorders>
              <w:top w:val="nil"/>
              <w:left w:val="nil"/>
              <w:bottom w:val="single" w:sz="8" w:space="0" w:color="auto"/>
              <w:right w:val="nil"/>
            </w:tcBorders>
            <w:vAlign w:val="center"/>
            <w:hideMark/>
          </w:tcPr>
          <w:p w14:paraId="3F1F7A58" w14:textId="77777777" w:rsidR="005C47D7" w:rsidRPr="00FA771B" w:rsidRDefault="005C47D7" w:rsidP="005A7E1A">
            <w:pPr>
              <w:spacing w:before="20" w:after="20"/>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Los costos de los servicios de asesoramiento prestados a pedido del Comité</w:t>
            </w:r>
          </w:p>
        </w:tc>
        <w:tc>
          <w:tcPr>
            <w:tcW w:w="1421" w:type="dxa"/>
            <w:tcBorders>
              <w:top w:val="nil"/>
              <w:left w:val="single" w:sz="4" w:space="0" w:color="auto"/>
              <w:bottom w:val="single" w:sz="4" w:space="0" w:color="auto"/>
              <w:right w:val="single" w:sz="4" w:space="0" w:color="auto"/>
            </w:tcBorders>
            <w:vAlign w:val="center"/>
            <w:hideMark/>
          </w:tcPr>
          <w:p w14:paraId="35A56553"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7,0</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417" w:type="dxa"/>
            <w:tcBorders>
              <w:top w:val="nil"/>
              <w:left w:val="nil"/>
              <w:bottom w:val="single" w:sz="4" w:space="0" w:color="auto"/>
              <w:right w:val="dashed" w:sz="4" w:space="0" w:color="auto"/>
            </w:tcBorders>
            <w:vAlign w:val="center"/>
            <w:hideMark/>
          </w:tcPr>
          <w:p w14:paraId="252CF573" w14:textId="77777777" w:rsidR="005C47D7" w:rsidRPr="00FA771B" w:rsidRDefault="005C47D7" w:rsidP="005A7E1A">
            <w:pPr>
              <w:jc w:val="center"/>
              <w:rPr>
                <w:rFonts w:asciiTheme="minorBidi" w:hAnsiTheme="minorBidi" w:cstheme="minorBidi"/>
                <w:color w:val="000000"/>
                <w:sz w:val="18"/>
                <w:szCs w:val="18"/>
              </w:rPr>
            </w:pPr>
            <w:r w:rsidRPr="00FA771B">
              <w:rPr>
                <w:rFonts w:asciiTheme="minorBidi" w:hAnsiTheme="minorBidi" w:cstheme="minorBidi"/>
                <w:color w:val="000000"/>
                <w:sz w:val="18"/>
                <w:szCs w:val="18"/>
                <w:lang w:bidi="es-ES"/>
              </w:rPr>
              <w:t>7,0</w:t>
            </w:r>
            <w:r w:rsidRPr="00FA771B">
              <w:rPr>
                <w:rFonts w:asciiTheme="minorBidi" w:hAnsiTheme="minorBidi" w:cstheme="minorBidi"/>
                <w:i/>
                <w:color w:val="000000"/>
                <w:sz w:val="18"/>
                <w:szCs w:val="18"/>
                <w:lang w:bidi="es-ES"/>
              </w:rPr>
              <w:t> </w:t>
            </w:r>
            <w:r w:rsidRPr="00FA771B">
              <w:rPr>
                <w:rFonts w:asciiTheme="minorBidi" w:hAnsiTheme="minorBidi" w:cstheme="minorBidi"/>
                <w:color w:val="000000"/>
                <w:sz w:val="18"/>
                <w:szCs w:val="18"/>
                <w:lang w:bidi="es-ES"/>
              </w:rPr>
              <w:t>%</w:t>
            </w:r>
          </w:p>
        </w:tc>
        <w:tc>
          <w:tcPr>
            <w:tcW w:w="1237" w:type="dxa"/>
            <w:tcBorders>
              <w:top w:val="nil"/>
              <w:left w:val="nil"/>
              <w:bottom w:val="dashed" w:sz="4" w:space="0" w:color="auto"/>
              <w:right w:val="dashed" w:sz="4" w:space="0" w:color="auto"/>
            </w:tcBorders>
            <w:vAlign w:val="center"/>
            <w:hideMark/>
          </w:tcPr>
          <w:p w14:paraId="48D0FD84" w14:textId="77777777" w:rsidR="005C47D7" w:rsidRPr="00FA771B" w:rsidRDefault="005C47D7" w:rsidP="005A7E1A">
            <w:pPr>
              <w:jc w:val="center"/>
              <w:rPr>
                <w:rFonts w:asciiTheme="minorBidi" w:hAnsiTheme="minorBidi" w:cstheme="minorBidi"/>
                <w:i/>
                <w:iCs/>
                <w:color w:val="000000"/>
                <w:sz w:val="18"/>
                <w:szCs w:val="18"/>
              </w:rPr>
            </w:pPr>
            <w:r w:rsidRPr="00FA771B">
              <w:rPr>
                <w:rFonts w:asciiTheme="minorBidi" w:hAnsiTheme="minorBidi" w:cstheme="minorBidi"/>
                <w:color w:val="000000"/>
                <w:sz w:val="18"/>
                <w:szCs w:val="18"/>
                <w:lang w:bidi="es-ES"/>
              </w:rPr>
              <w:t>551.361 $</w:t>
            </w:r>
          </w:p>
        </w:tc>
        <w:tc>
          <w:tcPr>
            <w:tcW w:w="1307" w:type="dxa"/>
            <w:tcBorders>
              <w:top w:val="nil"/>
              <w:left w:val="nil"/>
              <w:bottom w:val="dashed" w:sz="4" w:space="0" w:color="auto"/>
              <w:right w:val="dashed" w:sz="4" w:space="0" w:color="auto"/>
            </w:tcBorders>
            <w:vAlign w:val="center"/>
            <w:hideMark/>
          </w:tcPr>
          <w:p w14:paraId="149A8866" w14:textId="77777777" w:rsidR="005C47D7" w:rsidRPr="00FA771B" w:rsidRDefault="005C47D7" w:rsidP="005A7E1A">
            <w:pPr>
              <w:jc w:val="center"/>
              <w:rPr>
                <w:rFonts w:asciiTheme="minorBidi" w:hAnsiTheme="minorBidi" w:cstheme="minorBidi"/>
                <w:i/>
                <w:iCs/>
                <w:color w:val="000000"/>
                <w:sz w:val="18"/>
                <w:szCs w:val="18"/>
              </w:rPr>
            </w:pPr>
            <w:r w:rsidRPr="00FA771B">
              <w:rPr>
                <w:rFonts w:asciiTheme="minorBidi" w:hAnsiTheme="minorBidi" w:cstheme="minorBidi"/>
                <w:color w:val="000000"/>
                <w:sz w:val="18"/>
                <w:szCs w:val="18"/>
                <w:lang w:bidi="es-ES"/>
              </w:rPr>
              <w:t>137.840 $</w:t>
            </w:r>
          </w:p>
        </w:tc>
        <w:tc>
          <w:tcPr>
            <w:tcW w:w="149" w:type="dxa"/>
            <w:gridSpan w:val="2"/>
            <w:vAlign w:val="center"/>
            <w:hideMark/>
          </w:tcPr>
          <w:p w14:paraId="076F638F" w14:textId="77777777" w:rsidR="005C47D7" w:rsidRPr="00FA771B" w:rsidRDefault="005C47D7" w:rsidP="005A7E1A">
            <w:pPr>
              <w:rPr>
                <w:sz w:val="20"/>
                <w:szCs w:val="20"/>
              </w:rPr>
            </w:pPr>
          </w:p>
        </w:tc>
      </w:tr>
      <w:tr w:rsidR="005C47D7" w:rsidRPr="00FA771B" w14:paraId="69480BCE" w14:textId="77777777" w:rsidTr="005A7E1A">
        <w:trPr>
          <w:gridAfter w:val="1"/>
          <w:wAfter w:w="16" w:type="dxa"/>
          <w:trHeight w:val="298"/>
        </w:trPr>
        <w:tc>
          <w:tcPr>
            <w:tcW w:w="416" w:type="dxa"/>
            <w:tcBorders>
              <w:top w:val="nil"/>
              <w:left w:val="single" w:sz="8" w:space="0" w:color="auto"/>
              <w:bottom w:val="single" w:sz="4" w:space="0" w:color="auto"/>
              <w:right w:val="single" w:sz="8" w:space="0" w:color="auto"/>
            </w:tcBorders>
            <w:noWrap/>
            <w:vAlign w:val="center"/>
            <w:hideMark/>
          </w:tcPr>
          <w:p w14:paraId="79678313" w14:textId="77777777" w:rsidR="005C47D7" w:rsidRPr="00FA771B" w:rsidRDefault="005C47D7" w:rsidP="005A7E1A">
            <w:pPr>
              <w:ind w:firstLineChars="100" w:firstLine="181"/>
              <w:rPr>
                <w:rFonts w:asciiTheme="minorBidi" w:hAnsiTheme="minorBidi" w:cstheme="minorBidi"/>
                <w:b/>
                <w:bCs/>
                <w:color w:val="000000"/>
                <w:sz w:val="18"/>
                <w:szCs w:val="18"/>
              </w:rPr>
            </w:pPr>
            <w:r w:rsidRPr="00FA771B">
              <w:rPr>
                <w:rFonts w:asciiTheme="minorBidi" w:hAnsiTheme="minorBidi" w:cstheme="minorBidi"/>
                <w:b/>
                <w:color w:val="000000"/>
                <w:sz w:val="18"/>
                <w:szCs w:val="18"/>
                <w:lang w:bidi="es-ES"/>
              </w:rPr>
              <w:t> </w:t>
            </w:r>
          </w:p>
        </w:tc>
        <w:tc>
          <w:tcPr>
            <w:tcW w:w="4107" w:type="dxa"/>
            <w:tcBorders>
              <w:top w:val="nil"/>
              <w:left w:val="nil"/>
              <w:bottom w:val="single" w:sz="4" w:space="0" w:color="auto"/>
              <w:right w:val="nil"/>
            </w:tcBorders>
            <w:vAlign w:val="center"/>
            <w:hideMark/>
          </w:tcPr>
          <w:p w14:paraId="131C5FA0" w14:textId="77777777" w:rsidR="005C47D7" w:rsidRPr="00FA771B" w:rsidRDefault="005C47D7" w:rsidP="005A7E1A">
            <w:pPr>
              <w:jc w:val="both"/>
              <w:rPr>
                <w:rFonts w:asciiTheme="minorBidi" w:hAnsiTheme="minorBidi" w:cstheme="minorBidi"/>
                <w:b/>
                <w:bCs/>
                <w:color w:val="000000"/>
                <w:sz w:val="18"/>
                <w:szCs w:val="18"/>
              </w:rPr>
            </w:pPr>
            <w:r w:rsidRPr="00FA771B">
              <w:rPr>
                <w:rFonts w:asciiTheme="minorBidi" w:hAnsiTheme="minorBidi" w:cstheme="minorBidi"/>
                <w:b/>
                <w:color w:val="000000"/>
                <w:sz w:val="18"/>
                <w:szCs w:val="18"/>
                <w:lang w:bidi="es-ES"/>
              </w:rPr>
              <w:t>TOTAL</w:t>
            </w:r>
          </w:p>
        </w:tc>
        <w:tc>
          <w:tcPr>
            <w:tcW w:w="1421" w:type="dxa"/>
            <w:tcBorders>
              <w:top w:val="nil"/>
              <w:left w:val="single" w:sz="4" w:space="0" w:color="auto"/>
              <w:bottom w:val="single" w:sz="4" w:space="0" w:color="auto"/>
              <w:right w:val="single" w:sz="4" w:space="0" w:color="auto"/>
            </w:tcBorders>
            <w:vAlign w:val="center"/>
            <w:hideMark/>
          </w:tcPr>
          <w:p w14:paraId="428D2A02" w14:textId="77777777" w:rsidR="005C47D7" w:rsidRPr="00FA771B" w:rsidRDefault="005C47D7" w:rsidP="005A7E1A">
            <w:pPr>
              <w:jc w:val="center"/>
              <w:rPr>
                <w:rFonts w:asciiTheme="minorBidi" w:hAnsiTheme="minorBidi" w:cstheme="minorBidi"/>
                <w:b/>
                <w:bCs/>
                <w:color w:val="000000"/>
                <w:sz w:val="18"/>
                <w:szCs w:val="18"/>
              </w:rPr>
            </w:pPr>
            <w:r w:rsidRPr="00FA771B">
              <w:rPr>
                <w:rFonts w:asciiTheme="minorBidi" w:hAnsiTheme="minorBidi" w:cstheme="minorBidi"/>
                <w:b/>
                <w:color w:val="000000"/>
                <w:sz w:val="18"/>
                <w:szCs w:val="18"/>
                <w:lang w:bidi="es-ES"/>
              </w:rPr>
              <w:t>100,00</w:t>
            </w:r>
            <w:r w:rsidRPr="00FA771B">
              <w:rPr>
                <w:rFonts w:asciiTheme="minorBidi" w:hAnsiTheme="minorBidi" w:cstheme="minorBidi"/>
                <w:i/>
                <w:color w:val="000000"/>
                <w:sz w:val="18"/>
                <w:szCs w:val="18"/>
                <w:lang w:bidi="es-ES"/>
              </w:rPr>
              <w:t> </w:t>
            </w:r>
            <w:r w:rsidRPr="00FA771B">
              <w:rPr>
                <w:rFonts w:asciiTheme="minorBidi" w:hAnsiTheme="minorBidi" w:cstheme="minorBidi"/>
                <w:b/>
                <w:color w:val="000000"/>
                <w:sz w:val="18"/>
                <w:szCs w:val="18"/>
                <w:lang w:bidi="es-ES"/>
              </w:rPr>
              <w:t>%</w:t>
            </w:r>
          </w:p>
        </w:tc>
        <w:tc>
          <w:tcPr>
            <w:tcW w:w="1417" w:type="dxa"/>
            <w:tcBorders>
              <w:top w:val="nil"/>
              <w:left w:val="nil"/>
              <w:bottom w:val="single" w:sz="4" w:space="0" w:color="auto"/>
              <w:right w:val="dashed" w:sz="4" w:space="0" w:color="auto"/>
            </w:tcBorders>
            <w:vAlign w:val="center"/>
            <w:hideMark/>
          </w:tcPr>
          <w:p w14:paraId="3C916100" w14:textId="77777777" w:rsidR="005C47D7" w:rsidRPr="00FA771B" w:rsidRDefault="005C47D7" w:rsidP="005A7E1A">
            <w:pPr>
              <w:jc w:val="center"/>
              <w:rPr>
                <w:rFonts w:asciiTheme="minorBidi" w:hAnsiTheme="minorBidi" w:cstheme="minorBidi"/>
                <w:b/>
                <w:bCs/>
                <w:color w:val="000000"/>
                <w:sz w:val="18"/>
                <w:szCs w:val="18"/>
              </w:rPr>
            </w:pPr>
            <w:r w:rsidRPr="00FA771B">
              <w:rPr>
                <w:rFonts w:asciiTheme="minorBidi" w:hAnsiTheme="minorBidi" w:cstheme="minorBidi"/>
                <w:b/>
                <w:color w:val="000000"/>
                <w:sz w:val="18"/>
                <w:szCs w:val="18"/>
                <w:lang w:bidi="es-ES"/>
              </w:rPr>
              <w:t>100,00</w:t>
            </w:r>
            <w:r w:rsidRPr="00FA771B">
              <w:rPr>
                <w:rFonts w:asciiTheme="minorBidi" w:hAnsiTheme="minorBidi" w:cstheme="minorBidi"/>
                <w:i/>
                <w:color w:val="000000"/>
                <w:sz w:val="18"/>
                <w:szCs w:val="18"/>
                <w:lang w:bidi="es-ES"/>
              </w:rPr>
              <w:t> </w:t>
            </w:r>
            <w:r w:rsidRPr="00FA771B">
              <w:rPr>
                <w:rFonts w:asciiTheme="minorBidi" w:hAnsiTheme="minorBidi" w:cstheme="minorBidi"/>
                <w:b/>
                <w:color w:val="000000"/>
                <w:sz w:val="18"/>
                <w:szCs w:val="18"/>
                <w:lang w:bidi="es-ES"/>
              </w:rPr>
              <w:t>%</w:t>
            </w:r>
          </w:p>
        </w:tc>
        <w:tc>
          <w:tcPr>
            <w:tcW w:w="1237" w:type="dxa"/>
            <w:tcBorders>
              <w:top w:val="nil"/>
              <w:left w:val="nil"/>
              <w:bottom w:val="dashed" w:sz="4" w:space="0" w:color="auto"/>
              <w:right w:val="dashed" w:sz="4" w:space="0" w:color="auto"/>
            </w:tcBorders>
            <w:vAlign w:val="center"/>
            <w:hideMark/>
          </w:tcPr>
          <w:p w14:paraId="30430169" w14:textId="77777777" w:rsidR="005C47D7" w:rsidRPr="00FA771B" w:rsidRDefault="005C47D7" w:rsidP="005A7E1A">
            <w:pPr>
              <w:jc w:val="center"/>
              <w:rPr>
                <w:rFonts w:asciiTheme="minorBidi" w:hAnsiTheme="minorBidi" w:cstheme="minorBidi"/>
                <w:b/>
                <w:bCs/>
                <w:i/>
                <w:iCs/>
                <w:color w:val="000000"/>
                <w:sz w:val="18"/>
                <w:szCs w:val="18"/>
              </w:rPr>
            </w:pPr>
            <w:r w:rsidRPr="00FA771B">
              <w:rPr>
                <w:rFonts w:asciiTheme="minorBidi" w:hAnsiTheme="minorBidi" w:cstheme="minorBidi"/>
                <w:b/>
                <w:i/>
                <w:color w:val="000000"/>
                <w:sz w:val="18"/>
                <w:szCs w:val="18"/>
                <w:lang w:bidi="es-ES"/>
              </w:rPr>
              <w:t>7.876.590 $</w:t>
            </w:r>
          </w:p>
        </w:tc>
        <w:tc>
          <w:tcPr>
            <w:tcW w:w="1307" w:type="dxa"/>
            <w:tcBorders>
              <w:top w:val="nil"/>
              <w:left w:val="nil"/>
              <w:bottom w:val="dashed" w:sz="4" w:space="0" w:color="auto"/>
              <w:right w:val="dashed" w:sz="4" w:space="0" w:color="auto"/>
            </w:tcBorders>
            <w:vAlign w:val="center"/>
            <w:hideMark/>
          </w:tcPr>
          <w:p w14:paraId="1599ECC4" w14:textId="77777777" w:rsidR="005C47D7" w:rsidRPr="00FA771B" w:rsidRDefault="005C47D7" w:rsidP="005A7E1A">
            <w:pPr>
              <w:jc w:val="center"/>
              <w:rPr>
                <w:rFonts w:asciiTheme="minorBidi" w:hAnsiTheme="minorBidi" w:cstheme="minorBidi"/>
                <w:b/>
                <w:bCs/>
                <w:i/>
                <w:iCs/>
                <w:color w:val="000000"/>
                <w:sz w:val="18"/>
                <w:szCs w:val="18"/>
              </w:rPr>
            </w:pPr>
            <w:r w:rsidRPr="00FA771B">
              <w:rPr>
                <w:rFonts w:asciiTheme="minorBidi" w:hAnsiTheme="minorBidi" w:cstheme="minorBidi"/>
                <w:b/>
                <w:i/>
                <w:color w:val="000000"/>
                <w:sz w:val="18"/>
                <w:szCs w:val="18"/>
                <w:lang w:bidi="es-ES"/>
              </w:rPr>
              <w:t>1.969.148 $</w:t>
            </w:r>
          </w:p>
        </w:tc>
        <w:tc>
          <w:tcPr>
            <w:tcW w:w="149" w:type="dxa"/>
            <w:gridSpan w:val="2"/>
            <w:vAlign w:val="center"/>
            <w:hideMark/>
          </w:tcPr>
          <w:p w14:paraId="4D1CE9F4" w14:textId="77777777" w:rsidR="005C47D7" w:rsidRPr="00FA771B" w:rsidRDefault="005C47D7" w:rsidP="005A7E1A">
            <w:pPr>
              <w:rPr>
                <w:sz w:val="20"/>
                <w:szCs w:val="20"/>
              </w:rPr>
            </w:pPr>
          </w:p>
        </w:tc>
      </w:tr>
      <w:tr w:rsidR="005C47D7" w:rsidRPr="00FA771B" w14:paraId="15734712" w14:textId="77777777" w:rsidTr="005A7E1A">
        <w:trPr>
          <w:trHeight w:val="565"/>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0BF9D9B2" w14:textId="77777777" w:rsidR="005C47D7" w:rsidRPr="00FA771B" w:rsidRDefault="005C47D7" w:rsidP="005A7E1A">
            <w:pPr>
              <w:spacing w:before="120" w:after="120"/>
              <w:jc w:val="both"/>
              <w:rPr>
                <w:rFonts w:ascii="Arial" w:hAnsi="Arial" w:cs="Arial"/>
                <w:color w:val="000000"/>
                <w:sz w:val="18"/>
                <w:szCs w:val="18"/>
              </w:rPr>
            </w:pPr>
            <w:r w:rsidRPr="00FA771B">
              <w:rPr>
                <w:rFonts w:ascii="Arial" w:eastAsia="Arial" w:hAnsi="Arial" w:cs="Arial"/>
                <w:color w:val="000000"/>
                <w:sz w:val="18"/>
                <w:szCs w:val="18"/>
                <w:lang w:bidi="es-ES"/>
              </w:rPr>
              <w:t>[1] Los porcentajes se aplican al saldo del Fondo en fecha del 31 de diciembre de 2025. Este saldo no incluye el Fondo de Reserva (1 millón de dólares estadounidenses).</w:t>
            </w:r>
          </w:p>
        </w:tc>
        <w:tc>
          <w:tcPr>
            <w:tcW w:w="149" w:type="dxa"/>
            <w:gridSpan w:val="2"/>
            <w:vAlign w:val="center"/>
            <w:hideMark/>
          </w:tcPr>
          <w:p w14:paraId="0B213ECF" w14:textId="77777777" w:rsidR="005C47D7" w:rsidRPr="00FA771B" w:rsidRDefault="005C47D7" w:rsidP="005A7E1A">
            <w:pPr>
              <w:rPr>
                <w:sz w:val="20"/>
                <w:szCs w:val="20"/>
              </w:rPr>
            </w:pPr>
          </w:p>
        </w:tc>
      </w:tr>
      <w:tr w:rsidR="005C47D7" w:rsidRPr="00FA771B" w14:paraId="005EB3B2" w14:textId="77777777" w:rsidTr="005A7E1A">
        <w:trPr>
          <w:trHeight w:val="404"/>
        </w:trPr>
        <w:tc>
          <w:tcPr>
            <w:tcW w:w="992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027A360A" w14:textId="4D53B492" w:rsidR="005C47D7" w:rsidRPr="00FA771B" w:rsidRDefault="005C47D7" w:rsidP="005A7E1A">
            <w:pPr>
              <w:spacing w:before="120" w:after="120"/>
              <w:jc w:val="both"/>
              <w:rPr>
                <w:rFonts w:ascii="Arial" w:hAnsi="Arial" w:cs="Arial"/>
                <w:color w:val="000000"/>
                <w:sz w:val="18"/>
                <w:szCs w:val="18"/>
              </w:rPr>
            </w:pPr>
            <w:r w:rsidRPr="00FA771B">
              <w:rPr>
                <w:rFonts w:ascii="Arial" w:eastAsia="Arial" w:hAnsi="Arial" w:cs="Arial"/>
                <w:color w:val="000000"/>
                <w:sz w:val="18"/>
                <w:szCs w:val="18"/>
                <w:lang w:bidi="es-ES"/>
              </w:rPr>
              <w:t xml:space="preserve">Los Fondos que no hayan sido atribuidos al final del periodo de este Plan se transfieren al siguiente ejercicio </w:t>
            </w:r>
            <w:r w:rsidR="00AA741E">
              <w:rPr>
                <w:rFonts w:ascii="Arial" w:eastAsia="Arial" w:hAnsi="Arial" w:cs="Arial"/>
                <w:color w:val="000000"/>
                <w:sz w:val="18"/>
                <w:szCs w:val="18"/>
                <w:lang w:bidi="es-ES"/>
              </w:rPr>
              <w:t>financiero</w:t>
            </w:r>
            <w:r w:rsidR="00AA741E" w:rsidRPr="00FA771B">
              <w:rPr>
                <w:rFonts w:ascii="Arial" w:eastAsia="Arial" w:hAnsi="Arial" w:cs="Arial"/>
                <w:color w:val="000000"/>
                <w:sz w:val="18"/>
                <w:szCs w:val="18"/>
                <w:lang w:bidi="es-ES"/>
              </w:rPr>
              <w:t xml:space="preserve"> </w:t>
            </w:r>
            <w:r w:rsidRPr="00FA771B">
              <w:rPr>
                <w:rFonts w:ascii="Arial" w:eastAsia="Arial" w:hAnsi="Arial" w:cs="Arial"/>
                <w:color w:val="000000"/>
                <w:sz w:val="18"/>
                <w:szCs w:val="18"/>
                <w:lang w:bidi="es-ES"/>
              </w:rPr>
              <w:t>y se asignarán según lo establecido por el Plan que apruebe la Asamblea General en ese momento.</w:t>
            </w:r>
          </w:p>
        </w:tc>
        <w:tc>
          <w:tcPr>
            <w:tcW w:w="149" w:type="dxa"/>
            <w:gridSpan w:val="2"/>
            <w:vAlign w:val="center"/>
            <w:hideMark/>
          </w:tcPr>
          <w:p w14:paraId="2577CF76" w14:textId="77777777" w:rsidR="005C47D7" w:rsidRPr="00FA771B" w:rsidRDefault="005C47D7" w:rsidP="005A7E1A">
            <w:pPr>
              <w:rPr>
                <w:sz w:val="20"/>
                <w:szCs w:val="20"/>
              </w:rPr>
            </w:pPr>
          </w:p>
        </w:tc>
      </w:tr>
      <w:tr w:rsidR="005C47D7" w:rsidRPr="00FA771B" w14:paraId="6A66D342" w14:textId="77777777" w:rsidTr="005A7E1A">
        <w:trPr>
          <w:trHeight w:val="626"/>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4C206544" w14:textId="6CFEAFAB" w:rsidR="005C47D7" w:rsidRPr="00FA771B" w:rsidRDefault="005C47D7" w:rsidP="005A7E1A">
            <w:pPr>
              <w:spacing w:before="120" w:after="120"/>
              <w:jc w:val="both"/>
              <w:rPr>
                <w:rFonts w:ascii="Arial" w:hAnsi="Arial" w:cs="Arial"/>
                <w:color w:val="000000"/>
                <w:sz w:val="18"/>
                <w:szCs w:val="18"/>
              </w:rPr>
            </w:pPr>
            <w:r w:rsidRPr="00FA771B">
              <w:rPr>
                <w:rFonts w:asciiTheme="minorBidi" w:hAnsiTheme="minorBidi" w:cstheme="minorBidi"/>
                <w:color w:val="000000"/>
                <w:sz w:val="18"/>
                <w:szCs w:val="18"/>
                <w:lang w:bidi="es-ES"/>
              </w:rPr>
              <w:t xml:space="preserve">Para el período comprendido entre el 1 de enero </w:t>
            </w:r>
            <w:r w:rsidR="00AA741E">
              <w:rPr>
                <w:rFonts w:asciiTheme="minorBidi" w:hAnsiTheme="minorBidi" w:cstheme="minorBidi"/>
                <w:color w:val="000000"/>
                <w:sz w:val="18"/>
                <w:szCs w:val="18"/>
                <w:lang w:bidi="es-ES"/>
              </w:rPr>
              <w:t xml:space="preserve">2028 </w:t>
            </w:r>
            <w:r w:rsidRPr="00FA771B">
              <w:rPr>
                <w:rFonts w:asciiTheme="minorBidi" w:hAnsiTheme="minorBidi" w:cstheme="minorBidi"/>
                <w:color w:val="000000"/>
                <w:sz w:val="18"/>
                <w:szCs w:val="18"/>
                <w:lang w:bidi="es-ES"/>
              </w:rPr>
              <w:t xml:space="preserve">y el 30 de junio de 2028, una cuarta parte de la cantidad establecida para los 24 meses del ejercicio financiero 2026-2027 será asignada con carácter provisional, excepto para el Fondo de Reserva, cuyo </w:t>
            </w:r>
            <w:r w:rsidR="006A2CAE">
              <w:rPr>
                <w:rFonts w:asciiTheme="minorBidi" w:hAnsiTheme="minorBidi" w:cstheme="minorBidi"/>
                <w:color w:val="000000"/>
                <w:sz w:val="18"/>
                <w:szCs w:val="18"/>
                <w:lang w:bidi="es-ES"/>
              </w:rPr>
              <w:t>monto</w:t>
            </w:r>
            <w:r w:rsidR="006A2CAE" w:rsidRPr="00FA771B">
              <w:rPr>
                <w:rFonts w:asciiTheme="minorBidi" w:hAnsiTheme="minorBidi" w:cstheme="minorBidi"/>
                <w:color w:val="000000"/>
                <w:sz w:val="18"/>
                <w:szCs w:val="18"/>
                <w:lang w:bidi="es-ES"/>
              </w:rPr>
              <w:t xml:space="preserve"> </w:t>
            </w:r>
            <w:r w:rsidRPr="00FA771B">
              <w:rPr>
                <w:rFonts w:asciiTheme="minorBidi" w:hAnsiTheme="minorBidi" w:cstheme="minorBidi"/>
                <w:color w:val="000000"/>
                <w:sz w:val="18"/>
                <w:szCs w:val="18"/>
                <w:lang w:bidi="es-ES"/>
              </w:rPr>
              <w:t xml:space="preserve">fue establecido por el Comité en </w:t>
            </w:r>
            <w:r w:rsidR="006A2CAE">
              <w:rPr>
                <w:rFonts w:asciiTheme="minorBidi" w:hAnsiTheme="minorBidi" w:cstheme="minorBidi"/>
                <w:color w:val="000000"/>
                <w:sz w:val="18"/>
                <w:szCs w:val="18"/>
                <w:lang w:bidi="es-ES"/>
              </w:rPr>
              <w:t>1</w:t>
            </w:r>
            <w:r w:rsidR="006A2CAE" w:rsidRPr="00FA771B">
              <w:rPr>
                <w:rFonts w:asciiTheme="minorBidi" w:hAnsiTheme="minorBidi" w:cstheme="minorBidi"/>
                <w:color w:val="000000"/>
                <w:sz w:val="18"/>
                <w:szCs w:val="18"/>
                <w:lang w:bidi="es-ES"/>
              </w:rPr>
              <w:t xml:space="preserve"> </w:t>
            </w:r>
            <w:r w:rsidRPr="00FA771B">
              <w:rPr>
                <w:rFonts w:asciiTheme="minorBidi" w:hAnsiTheme="minorBidi" w:cstheme="minorBidi"/>
                <w:color w:val="000000"/>
                <w:sz w:val="18"/>
                <w:szCs w:val="18"/>
                <w:lang w:bidi="es-ES"/>
              </w:rPr>
              <w:t xml:space="preserve">millón de dólares estadounidenses (Decisión </w:t>
            </w:r>
            <w:hyperlink r:id="rId56" w:history="1">
              <w:r w:rsidRPr="00FA771B">
                <w:rPr>
                  <w:rStyle w:val="Hyperlink"/>
                  <w:rFonts w:asciiTheme="minorBidi" w:hAnsiTheme="minorBidi" w:cstheme="minorBidi"/>
                  <w:sz w:val="18"/>
                  <w:szCs w:val="18"/>
                  <w:lang w:bidi="es-ES"/>
                </w:rPr>
                <w:t>10.COM 8</w:t>
              </w:r>
            </w:hyperlink>
            <w:r w:rsidRPr="00FA771B">
              <w:rPr>
                <w:rFonts w:asciiTheme="minorBidi" w:hAnsiTheme="minorBidi" w:cstheme="minorBidi"/>
                <w:sz w:val="18"/>
                <w:szCs w:val="18"/>
                <w:lang w:bidi="es-ES"/>
              </w:rPr>
              <w:t>).</w:t>
            </w:r>
          </w:p>
        </w:tc>
        <w:tc>
          <w:tcPr>
            <w:tcW w:w="149" w:type="dxa"/>
            <w:gridSpan w:val="2"/>
            <w:vAlign w:val="center"/>
            <w:hideMark/>
          </w:tcPr>
          <w:p w14:paraId="11D9C4FD" w14:textId="77777777" w:rsidR="005C47D7" w:rsidRPr="00FA771B" w:rsidRDefault="005C47D7" w:rsidP="005A7E1A">
            <w:pPr>
              <w:rPr>
                <w:sz w:val="20"/>
                <w:szCs w:val="20"/>
              </w:rPr>
            </w:pPr>
          </w:p>
        </w:tc>
      </w:tr>
    </w:tbl>
    <w:p w14:paraId="05C37168" w14:textId="77777777" w:rsidR="005C47D7" w:rsidRPr="00FA771B" w:rsidRDefault="005C47D7" w:rsidP="005C47D7">
      <w:pPr>
        <w:rPr>
          <w:rFonts w:ascii="Arial" w:eastAsia="SimSun" w:hAnsi="Arial" w:cs="Arial"/>
          <w:sz w:val="22"/>
          <w:szCs w:val="22"/>
          <w:u w:val="single"/>
        </w:rPr>
      </w:pPr>
    </w:p>
    <w:p w14:paraId="35E261DF" w14:textId="77777777" w:rsidR="005C47D7" w:rsidRPr="00FA771B" w:rsidRDefault="005C47D7" w:rsidP="005C47D7">
      <w:pPr>
        <w:rPr>
          <w:rFonts w:ascii="Arial" w:eastAsia="SimSun" w:hAnsi="Arial" w:cs="Arial"/>
          <w:sz w:val="22"/>
          <w:szCs w:val="22"/>
          <w:u w:val="single"/>
        </w:rPr>
      </w:pPr>
    </w:p>
    <w:p w14:paraId="1B08DF9D" w14:textId="77777777" w:rsidR="00190205" w:rsidRPr="00DA4FDC" w:rsidRDefault="00190205" w:rsidP="00D86BB3">
      <w:pPr>
        <w:rPr>
          <w:rFonts w:ascii="Arial" w:eastAsia="SimSun" w:hAnsi="Arial" w:cs="Arial"/>
          <w:sz w:val="22"/>
          <w:szCs w:val="22"/>
          <w:u w:val="single"/>
        </w:rPr>
      </w:pPr>
    </w:p>
    <w:sectPr w:rsidR="00190205" w:rsidRPr="00DA4FDC" w:rsidSect="00655736">
      <w:headerReference w:type="even" r:id="rId57"/>
      <w:headerReference w:type="default" r:id="rId58"/>
      <w:headerReference w:type="first" r:id="rId5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A113" w14:textId="77777777" w:rsidR="005D0BC6" w:rsidRDefault="005D0BC6" w:rsidP="00655736">
      <w:r>
        <w:separator/>
      </w:r>
    </w:p>
  </w:endnote>
  <w:endnote w:type="continuationSeparator" w:id="0">
    <w:p w14:paraId="0A091A56" w14:textId="77777777" w:rsidR="005D0BC6" w:rsidRDefault="005D0BC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0255" w14:textId="77777777" w:rsidR="005D0BC6" w:rsidRDefault="005D0BC6" w:rsidP="00655736">
      <w:r>
        <w:separator/>
      </w:r>
    </w:p>
  </w:footnote>
  <w:footnote w:type="continuationSeparator" w:id="0">
    <w:p w14:paraId="3FFF94B4" w14:textId="77777777" w:rsidR="005D0BC6" w:rsidRDefault="005D0BC6" w:rsidP="00655736">
      <w:r>
        <w:continuationSeparator/>
      </w:r>
    </w:p>
  </w:footnote>
  <w:footnote w:id="1">
    <w:p w14:paraId="281D61C4" w14:textId="783AEF18" w:rsidR="005C47D7" w:rsidRPr="006D3FCF" w:rsidRDefault="005C47D7" w:rsidP="005C47D7">
      <w:pPr>
        <w:pStyle w:val="FootnoteText"/>
        <w:spacing w:after="60"/>
        <w:jc w:val="both"/>
        <w:rPr>
          <w:rFonts w:asciiTheme="minorBidi" w:hAnsiTheme="minorBidi" w:cstheme="minorBidi"/>
          <w:sz w:val="18"/>
          <w:szCs w:val="18"/>
        </w:rPr>
      </w:pPr>
      <w:r w:rsidRPr="00E259FA">
        <w:rPr>
          <w:rStyle w:val="FootnoteReference"/>
          <w:rFonts w:asciiTheme="minorBidi" w:hAnsiTheme="minorBidi" w:cstheme="minorBidi"/>
          <w:sz w:val="18"/>
          <w:szCs w:val="18"/>
          <w:lang w:bidi="es-ES"/>
        </w:rPr>
        <w:footnoteRef/>
      </w:r>
      <w:r w:rsidRPr="00E259FA">
        <w:rPr>
          <w:rFonts w:asciiTheme="minorBidi" w:hAnsiTheme="minorBidi" w:cstheme="minorBidi"/>
          <w:sz w:val="18"/>
          <w:szCs w:val="18"/>
          <w:lang w:bidi="es-ES"/>
        </w:rPr>
        <w:t xml:space="preserve"> </w:t>
      </w:r>
      <w:r w:rsidR="003E5580">
        <w:rPr>
          <w:rFonts w:asciiTheme="minorBidi" w:hAnsiTheme="minorBidi" w:cstheme="minorBidi"/>
          <w:sz w:val="18"/>
          <w:szCs w:val="18"/>
          <w:lang w:bidi="es-ES"/>
        </w:rPr>
        <w:tab/>
      </w:r>
      <w:r w:rsidRPr="00E259FA">
        <w:rPr>
          <w:rFonts w:asciiTheme="minorBidi" w:hAnsiTheme="minorBidi" w:cstheme="minorBidi"/>
          <w:sz w:val="18"/>
          <w:szCs w:val="18"/>
          <w:lang w:bidi="es-ES"/>
        </w:rPr>
        <w:t xml:space="preserve">El último Estado de las contribuciones obligatorias está disponible en esta </w:t>
      </w:r>
      <w:hyperlink r:id="rId1" w:history="1">
        <w:r w:rsidRPr="00E259FA">
          <w:rPr>
            <w:rStyle w:val="Hyperlink"/>
            <w:rFonts w:asciiTheme="minorBidi" w:hAnsiTheme="minorBidi" w:cstheme="minorBidi"/>
            <w:sz w:val="18"/>
            <w:szCs w:val="18"/>
            <w:lang w:bidi="es-ES"/>
          </w:rPr>
          <w:t>página web</w:t>
        </w:r>
      </w:hyperlink>
      <w:r w:rsidRPr="00E259FA">
        <w:rPr>
          <w:rFonts w:asciiTheme="minorBidi" w:hAnsiTheme="minorBidi" w:cstheme="minorBidi"/>
          <w:sz w:val="18"/>
          <w:szCs w:val="18"/>
          <w:lang w:bidi="es-ES"/>
        </w:rPr>
        <w:t>.</w:t>
      </w:r>
    </w:p>
  </w:footnote>
  <w:footnote w:id="2">
    <w:p w14:paraId="0A3C645D" w14:textId="5656F4C2" w:rsidR="005C47D7" w:rsidRPr="006D3FCF" w:rsidRDefault="005C47D7" w:rsidP="003E5580">
      <w:pPr>
        <w:pStyle w:val="FootnoteText"/>
        <w:spacing w:after="60"/>
        <w:ind w:left="567" w:hanging="567"/>
        <w:jc w:val="both"/>
      </w:pPr>
      <w:r w:rsidRPr="00E259FA">
        <w:rPr>
          <w:rStyle w:val="FootnoteReference"/>
          <w:rFonts w:ascii="Arial" w:eastAsia="Arial" w:hAnsi="Arial" w:cs="Arial"/>
          <w:sz w:val="18"/>
          <w:szCs w:val="18"/>
          <w:lang w:bidi="es-ES"/>
        </w:rPr>
        <w:footnoteRef/>
      </w:r>
      <w:r w:rsidRPr="006D3FCF">
        <w:rPr>
          <w:lang w:bidi="es-ES"/>
        </w:rPr>
        <w:t xml:space="preserve"> </w:t>
      </w:r>
      <w:r w:rsidR="003E5580">
        <w:rPr>
          <w:lang w:bidi="es-ES"/>
        </w:rPr>
        <w:tab/>
      </w:r>
      <w:r w:rsidRPr="006D3FCF">
        <w:rPr>
          <w:rFonts w:asciiTheme="minorBidi" w:hAnsiTheme="minorBidi" w:cstheme="minorBidi"/>
          <w:sz w:val="18"/>
          <w:szCs w:val="18"/>
          <w:lang w:bidi="es-ES"/>
        </w:rPr>
        <w:t xml:space="preserve">La “asistencia técnica” se refiere a la provisión de servicios de expertos, como se describe en el Artículo 21 de la Convención, a los </w:t>
      </w:r>
      <w:r w:rsidRPr="006D3FCF">
        <w:rPr>
          <w:rFonts w:asciiTheme="minorBidi" w:hAnsiTheme="minorBidi" w:cstheme="minorBidi"/>
          <w:sz w:val="18"/>
          <w:szCs w:val="18"/>
          <w:lang w:bidi="es-ES"/>
        </w:rPr>
        <w:t xml:space="preserve">Estados Partes que deseen elaborar solicitudes de asistencia internacional (Decisión </w:t>
      </w:r>
      <w:hyperlink r:id="rId2" w:history="1">
        <w:r w:rsidRPr="006D3FCF">
          <w:rPr>
            <w:rStyle w:val="Hyperlink"/>
            <w:rFonts w:asciiTheme="minorBidi" w:hAnsiTheme="minorBidi" w:cstheme="minorBidi"/>
            <w:sz w:val="18"/>
            <w:szCs w:val="18"/>
            <w:lang w:bidi="es-ES"/>
          </w:rPr>
          <w:t>8.COM 7.c</w:t>
        </w:r>
      </w:hyperlink>
      <w:r w:rsidRPr="006D3FCF">
        <w:rPr>
          <w:rFonts w:asciiTheme="minorBidi" w:hAnsiTheme="minorBidi" w:cstheme="minorBidi"/>
          <w:sz w:val="18"/>
          <w:szCs w:val="18"/>
          <w:lang w:bidi="es-ES"/>
        </w:rPr>
        <w:t>).</w:t>
      </w:r>
    </w:p>
  </w:footnote>
  <w:footnote w:id="3">
    <w:p w14:paraId="49E2F430" w14:textId="60F88EF7" w:rsidR="005C47D7" w:rsidRPr="006D3FCF" w:rsidRDefault="005C47D7" w:rsidP="003E5580">
      <w:pPr>
        <w:pStyle w:val="FootnoteText"/>
        <w:spacing w:after="60"/>
        <w:ind w:left="567" w:hanging="567"/>
        <w:jc w:val="both"/>
        <w:rPr>
          <w:rFonts w:asciiTheme="minorBidi" w:hAnsiTheme="minorBidi" w:cstheme="minorBidi"/>
          <w:sz w:val="18"/>
          <w:szCs w:val="18"/>
        </w:rPr>
      </w:pPr>
      <w:r w:rsidRPr="00E259FA">
        <w:rPr>
          <w:rStyle w:val="FootnoteReference"/>
          <w:rFonts w:asciiTheme="minorBidi" w:hAnsiTheme="minorBidi" w:cstheme="minorBidi"/>
          <w:sz w:val="18"/>
          <w:szCs w:val="18"/>
          <w:lang w:bidi="es-ES"/>
        </w:rPr>
        <w:footnoteRef/>
      </w:r>
      <w:r w:rsidRPr="006D3FCF">
        <w:rPr>
          <w:rFonts w:asciiTheme="minorBidi" w:hAnsiTheme="minorBidi" w:cstheme="minorBidi"/>
          <w:sz w:val="18"/>
          <w:szCs w:val="18"/>
          <w:lang w:bidi="es-ES"/>
        </w:rPr>
        <w:t xml:space="preserve"> </w:t>
      </w:r>
      <w:r w:rsidR="003E5580">
        <w:rPr>
          <w:rFonts w:asciiTheme="minorBidi" w:hAnsiTheme="minorBidi" w:cstheme="minorBidi"/>
          <w:sz w:val="18"/>
          <w:szCs w:val="18"/>
          <w:lang w:bidi="es-ES"/>
        </w:rPr>
        <w:tab/>
      </w:r>
      <w:r w:rsidRPr="006D3FCF">
        <w:rPr>
          <w:rFonts w:asciiTheme="minorBidi" w:hAnsiTheme="minorBidi" w:cstheme="minorBidi"/>
          <w:sz w:val="18"/>
          <w:szCs w:val="18"/>
          <w:lang w:bidi="es-ES"/>
        </w:rPr>
        <w:t xml:space="preserve">El resultado esperado 1 propuesto responde al indicador de resultados 4.2.CLT.3 “Número de Estados miembros </w:t>
      </w:r>
      <w:r w:rsidR="00FA2A91">
        <w:rPr>
          <w:rFonts w:asciiTheme="minorBidi" w:hAnsiTheme="minorBidi" w:cstheme="minorBidi"/>
          <w:sz w:val="18"/>
          <w:szCs w:val="18"/>
          <w:lang w:bidi="es-ES"/>
        </w:rPr>
        <w:t xml:space="preserve">que han mejorado sus </w:t>
      </w:r>
      <w:r w:rsidRPr="006D3FCF">
        <w:rPr>
          <w:rFonts w:asciiTheme="minorBidi" w:hAnsiTheme="minorBidi" w:cstheme="minorBidi"/>
          <w:sz w:val="18"/>
          <w:szCs w:val="18"/>
          <w:lang w:bidi="es-ES"/>
        </w:rPr>
        <w:t>capacidades mejoradas para aplicar políticas, estrategias y programas nuevos o revisados para salvaguardar el patrimonio vivo, en particular en el marco de los planes y programas de desarrollo sostenible, de acuerdo con la Convención para la Salvaguardia del Patrimonio Cultural Inmaterial</w:t>
      </w:r>
      <w:r w:rsidR="00FA2A91">
        <w:rPr>
          <w:rFonts w:asciiTheme="minorBidi" w:hAnsiTheme="minorBidi" w:cstheme="minorBidi"/>
          <w:sz w:val="18"/>
          <w:szCs w:val="18"/>
          <w:lang w:bidi="es-ES"/>
        </w:rPr>
        <w:t xml:space="preserve"> (2003)</w:t>
      </w:r>
      <w:r w:rsidRPr="006D3FCF">
        <w:rPr>
          <w:rFonts w:asciiTheme="minorBidi" w:hAnsiTheme="minorBidi" w:cstheme="minorBidi"/>
          <w:sz w:val="18"/>
          <w:szCs w:val="18"/>
          <w:lang w:bidi="es-ES"/>
        </w:rPr>
        <w:t xml:space="preserve">” en el </w:t>
      </w:r>
      <w:hyperlink r:id="rId3" w:history="1">
        <w:r w:rsidRPr="006D3FCF">
          <w:rPr>
            <w:rStyle w:val="Hyperlink"/>
            <w:rFonts w:asciiTheme="minorBidi" w:hAnsiTheme="minorBidi" w:cstheme="minorBidi"/>
            <w:sz w:val="18"/>
            <w:szCs w:val="18"/>
            <w:lang w:bidi="es-ES"/>
          </w:rPr>
          <w:t>43 C/5</w:t>
        </w:r>
      </w:hyperlink>
      <w:r w:rsidRPr="006D3FCF">
        <w:rPr>
          <w:rFonts w:asciiTheme="minorBidi" w:hAnsiTheme="minorBidi" w:cstheme="minorBidi"/>
          <w:sz w:val="18"/>
          <w:szCs w:val="18"/>
          <w:lang w:bidi="es-ES"/>
        </w:rPr>
        <w:t xml:space="preserve"> aprobado del Producto 4.2.CLT. </w:t>
      </w:r>
    </w:p>
  </w:footnote>
  <w:footnote w:id="4">
    <w:p w14:paraId="22BEBC51" w14:textId="3A91876D" w:rsidR="005C47D7" w:rsidRPr="006D3FCF" w:rsidRDefault="005C47D7" w:rsidP="003E5580">
      <w:pPr>
        <w:pStyle w:val="FootnoteText"/>
        <w:spacing w:after="60"/>
        <w:ind w:left="567" w:hanging="567"/>
        <w:jc w:val="both"/>
        <w:rPr>
          <w:rFonts w:asciiTheme="minorBidi" w:hAnsiTheme="minorBidi" w:cstheme="minorBidi"/>
          <w:sz w:val="18"/>
          <w:szCs w:val="18"/>
        </w:rPr>
      </w:pPr>
      <w:r w:rsidRPr="006D3FCF">
        <w:rPr>
          <w:rFonts w:asciiTheme="minorBidi" w:hAnsiTheme="minorBidi" w:cstheme="minorBidi"/>
          <w:sz w:val="18"/>
          <w:szCs w:val="18"/>
          <w:vertAlign w:val="superscript"/>
          <w:lang w:bidi="es-ES"/>
        </w:rPr>
        <w:footnoteRef/>
      </w:r>
      <w:r w:rsidRPr="006D3FCF">
        <w:rPr>
          <w:rFonts w:asciiTheme="minorBidi" w:hAnsiTheme="minorBidi" w:cstheme="minorBidi"/>
          <w:sz w:val="18"/>
          <w:szCs w:val="18"/>
          <w:lang w:bidi="es-ES"/>
        </w:rPr>
        <w:t xml:space="preserve"> </w:t>
      </w:r>
      <w:r w:rsidR="003E5580">
        <w:rPr>
          <w:rFonts w:asciiTheme="minorBidi" w:hAnsiTheme="minorBidi" w:cstheme="minorBidi"/>
          <w:sz w:val="18"/>
          <w:szCs w:val="18"/>
          <w:lang w:bidi="es-ES"/>
        </w:rPr>
        <w:tab/>
      </w:r>
      <w:r w:rsidRPr="006D3FCF">
        <w:rPr>
          <w:rFonts w:asciiTheme="minorBidi" w:hAnsiTheme="minorBidi" w:cstheme="minorBidi"/>
          <w:sz w:val="18"/>
          <w:szCs w:val="18"/>
          <w:lang w:bidi="es-ES"/>
        </w:rPr>
        <w:t xml:space="preserve">El resultado esperado 2 propuesto responde al indicador de resultados 4.2.CLT.4 “Número de Estados Miembros </w:t>
      </w:r>
      <w:r w:rsidR="00FA2A91">
        <w:rPr>
          <w:rFonts w:asciiTheme="minorBidi" w:hAnsiTheme="minorBidi" w:cstheme="minorBidi"/>
          <w:sz w:val="18"/>
          <w:szCs w:val="18"/>
          <w:lang w:bidi="es-ES"/>
        </w:rPr>
        <w:t>que han recibido</w:t>
      </w:r>
      <w:r w:rsidR="00FA2A91" w:rsidRPr="006D3FCF">
        <w:rPr>
          <w:rFonts w:asciiTheme="minorBidi" w:hAnsiTheme="minorBidi" w:cstheme="minorBidi"/>
          <w:sz w:val="18"/>
          <w:szCs w:val="18"/>
          <w:lang w:bidi="es-ES"/>
        </w:rPr>
        <w:t xml:space="preserve"> </w:t>
      </w:r>
      <w:r w:rsidRPr="006D3FCF">
        <w:rPr>
          <w:rFonts w:asciiTheme="minorBidi" w:hAnsiTheme="minorBidi" w:cstheme="minorBidi"/>
          <w:sz w:val="18"/>
          <w:szCs w:val="18"/>
          <w:lang w:bidi="es-ES"/>
        </w:rPr>
        <w:t xml:space="preserve">apoyo para </w:t>
      </w:r>
      <w:r w:rsidR="00FA2A91">
        <w:rPr>
          <w:rFonts w:asciiTheme="minorBidi" w:hAnsiTheme="minorBidi" w:cstheme="minorBidi"/>
          <w:sz w:val="18"/>
          <w:szCs w:val="18"/>
          <w:lang w:bidi="es-ES"/>
        </w:rPr>
        <w:t>la protección</w:t>
      </w:r>
      <w:r w:rsidRPr="006D3FCF">
        <w:rPr>
          <w:rFonts w:asciiTheme="minorBidi" w:hAnsiTheme="minorBidi" w:cstheme="minorBidi"/>
          <w:sz w:val="18"/>
          <w:szCs w:val="18"/>
          <w:lang w:bidi="es-ES"/>
        </w:rPr>
        <w:t xml:space="preserve"> sostenible </w:t>
      </w:r>
      <w:r w:rsidR="00FA2A91">
        <w:rPr>
          <w:rFonts w:asciiTheme="minorBidi" w:hAnsiTheme="minorBidi" w:cstheme="minorBidi"/>
          <w:sz w:val="18"/>
          <w:szCs w:val="18"/>
          <w:lang w:bidi="es-ES"/>
        </w:rPr>
        <w:t>d</w:t>
      </w:r>
      <w:r w:rsidRPr="006D3FCF">
        <w:rPr>
          <w:rFonts w:asciiTheme="minorBidi" w:hAnsiTheme="minorBidi" w:cstheme="minorBidi"/>
          <w:sz w:val="18"/>
          <w:szCs w:val="18"/>
          <w:lang w:bidi="es-ES"/>
        </w:rPr>
        <w:t xml:space="preserve">el patrimonio vivo mediante </w:t>
      </w:r>
      <w:r w:rsidR="00FA2A91">
        <w:rPr>
          <w:rFonts w:asciiTheme="minorBidi" w:hAnsiTheme="minorBidi" w:cstheme="minorBidi"/>
          <w:sz w:val="18"/>
          <w:szCs w:val="18"/>
          <w:lang w:bidi="es-ES"/>
        </w:rPr>
        <w:t>una</w:t>
      </w:r>
      <w:r w:rsidRPr="006D3FCF">
        <w:rPr>
          <w:rFonts w:asciiTheme="minorBidi" w:hAnsiTheme="minorBidi" w:cstheme="minorBidi"/>
          <w:sz w:val="18"/>
          <w:szCs w:val="18"/>
          <w:lang w:bidi="es-ES"/>
        </w:rPr>
        <w:t xml:space="preserve"> cooperación </w:t>
      </w:r>
      <w:r w:rsidR="00FA2A91">
        <w:rPr>
          <w:rFonts w:asciiTheme="minorBidi" w:hAnsiTheme="minorBidi" w:cstheme="minorBidi"/>
          <w:sz w:val="18"/>
          <w:szCs w:val="18"/>
          <w:lang w:bidi="es-ES"/>
        </w:rPr>
        <w:t>internacional reforzada y los mecanismos de</w:t>
      </w:r>
      <w:r w:rsidRPr="006D3FCF">
        <w:rPr>
          <w:rFonts w:asciiTheme="minorBidi" w:hAnsiTheme="minorBidi" w:cstheme="minorBidi"/>
          <w:sz w:val="18"/>
          <w:szCs w:val="18"/>
          <w:lang w:bidi="es-ES"/>
        </w:rPr>
        <w:t xml:space="preserve"> asistencia de la Convención para la Salvaguardia del Patrimonio Cultural Inmaterial</w:t>
      </w:r>
      <w:r w:rsidR="00FA2A91">
        <w:rPr>
          <w:rFonts w:asciiTheme="minorBidi" w:hAnsiTheme="minorBidi" w:cstheme="minorBidi"/>
          <w:sz w:val="18"/>
          <w:szCs w:val="18"/>
          <w:lang w:bidi="es-ES"/>
        </w:rPr>
        <w:t xml:space="preserve"> (2003)</w:t>
      </w:r>
      <w:r w:rsidRPr="006D3FCF">
        <w:rPr>
          <w:rFonts w:asciiTheme="minorBidi" w:hAnsiTheme="minorBidi" w:cstheme="minorBidi"/>
          <w:sz w:val="18"/>
          <w:szCs w:val="18"/>
          <w:lang w:bidi="es-ES"/>
        </w:rPr>
        <w:t xml:space="preserve">” en el </w:t>
      </w:r>
      <w:hyperlink r:id="rId4" w:history="1">
        <w:r w:rsidRPr="006D3FCF">
          <w:rPr>
            <w:rStyle w:val="Hyperlink"/>
            <w:rFonts w:asciiTheme="minorBidi" w:hAnsiTheme="minorBidi" w:cstheme="minorBidi"/>
            <w:sz w:val="18"/>
            <w:szCs w:val="18"/>
            <w:lang w:bidi="es-ES"/>
          </w:rPr>
          <w:t>43 C/5</w:t>
        </w:r>
      </w:hyperlink>
      <w:r w:rsidRPr="006D3FCF">
        <w:rPr>
          <w:rFonts w:asciiTheme="minorBidi" w:hAnsiTheme="minorBidi" w:cstheme="minorBidi"/>
          <w:sz w:val="18"/>
          <w:szCs w:val="18"/>
          <w:lang w:bidi="es-ES"/>
        </w:rPr>
        <w:t xml:space="preserve"> aprobado para el Producto 4.2.CLT.</w:t>
      </w:r>
    </w:p>
  </w:footnote>
  <w:footnote w:id="5">
    <w:p w14:paraId="0A4B31F7" w14:textId="548A2107" w:rsidR="005C47D7" w:rsidRPr="0072578A" w:rsidRDefault="005C47D7" w:rsidP="003E5580">
      <w:pPr>
        <w:pStyle w:val="FootnoteText"/>
        <w:ind w:left="567" w:hanging="567"/>
        <w:jc w:val="both"/>
        <w:rPr>
          <w:rFonts w:asciiTheme="minorBidi" w:hAnsiTheme="minorBidi" w:cstheme="minorBidi"/>
          <w:sz w:val="18"/>
          <w:szCs w:val="18"/>
        </w:rPr>
      </w:pPr>
      <w:r w:rsidRPr="00E259FA">
        <w:rPr>
          <w:rStyle w:val="FootnoteReference"/>
          <w:rFonts w:asciiTheme="minorBidi" w:hAnsiTheme="minorBidi" w:cstheme="minorBidi"/>
          <w:sz w:val="18"/>
          <w:szCs w:val="18"/>
          <w:lang w:bidi="es-ES"/>
        </w:rPr>
        <w:footnoteRef/>
      </w:r>
      <w:r w:rsidRPr="00E259FA">
        <w:rPr>
          <w:rFonts w:asciiTheme="minorBidi" w:hAnsiTheme="minorBidi" w:cstheme="minorBidi"/>
          <w:sz w:val="18"/>
          <w:szCs w:val="18"/>
          <w:lang w:bidi="es-ES"/>
        </w:rPr>
        <w:t xml:space="preserve"> </w:t>
      </w:r>
      <w:r w:rsidR="003E5580">
        <w:rPr>
          <w:rFonts w:asciiTheme="minorBidi" w:hAnsiTheme="minorBidi" w:cstheme="minorBidi"/>
          <w:sz w:val="18"/>
          <w:szCs w:val="18"/>
          <w:lang w:bidi="es-ES"/>
        </w:rPr>
        <w:tab/>
      </w:r>
      <w:r w:rsidRPr="00E259FA">
        <w:rPr>
          <w:rFonts w:asciiTheme="minorBidi" w:hAnsiTheme="minorBidi" w:cstheme="minorBidi"/>
          <w:sz w:val="18"/>
          <w:szCs w:val="18"/>
          <w:lang w:bidi="es-ES"/>
        </w:rPr>
        <w:t xml:space="preserve">Se trata, en particular, de: a) las solicitudes de </w:t>
      </w:r>
      <w:r w:rsidR="00FF0C0D">
        <w:rPr>
          <w:rFonts w:asciiTheme="minorBidi" w:hAnsiTheme="minorBidi" w:cstheme="minorBidi"/>
          <w:sz w:val="18"/>
          <w:szCs w:val="18"/>
          <w:lang w:bidi="es-ES"/>
        </w:rPr>
        <w:t>traspaso</w:t>
      </w:r>
      <w:r w:rsidR="00FF0C0D" w:rsidRPr="00E259FA">
        <w:rPr>
          <w:rFonts w:asciiTheme="minorBidi" w:hAnsiTheme="minorBidi" w:cstheme="minorBidi"/>
          <w:sz w:val="18"/>
          <w:szCs w:val="18"/>
          <w:lang w:bidi="es-ES"/>
        </w:rPr>
        <w:t xml:space="preserve"> </w:t>
      </w:r>
      <w:r w:rsidRPr="00E259FA">
        <w:rPr>
          <w:rFonts w:asciiTheme="minorBidi" w:hAnsiTheme="minorBidi" w:cstheme="minorBidi"/>
          <w:sz w:val="18"/>
          <w:szCs w:val="18"/>
          <w:lang w:bidi="es-ES"/>
        </w:rPr>
        <w:t xml:space="preserve">de elementos de una Lista a otra; b) la inclusión en el Registro de Buenas Prácticas de Salvaguardia de las experiencias satisfactorias de salvaguardia fruto de las </w:t>
      </w:r>
      <w:r w:rsidR="00FF0C0D">
        <w:rPr>
          <w:rFonts w:asciiTheme="minorBidi" w:hAnsiTheme="minorBidi" w:cstheme="minorBidi"/>
          <w:sz w:val="18"/>
          <w:szCs w:val="18"/>
          <w:lang w:bidi="es-ES"/>
        </w:rPr>
        <w:t>traspaso</w:t>
      </w:r>
      <w:r w:rsidR="00FF0C0D" w:rsidRPr="00E259FA">
        <w:rPr>
          <w:rFonts w:asciiTheme="minorBidi" w:hAnsiTheme="minorBidi" w:cstheme="minorBidi"/>
          <w:sz w:val="18"/>
          <w:szCs w:val="18"/>
          <w:lang w:bidi="es-ES"/>
        </w:rPr>
        <w:t xml:space="preserve"> </w:t>
      </w:r>
      <w:r w:rsidRPr="00E259FA">
        <w:rPr>
          <w:rFonts w:asciiTheme="minorBidi" w:hAnsiTheme="minorBidi" w:cstheme="minorBidi"/>
          <w:sz w:val="18"/>
          <w:szCs w:val="18"/>
          <w:lang w:bidi="es-ES"/>
        </w:rPr>
        <w:t xml:space="preserve">de la Lista de Salvaguardia Urgente a la Lista Representativa; c) las propuestas para el Registro de Buenas Prácticas de Salvaguardia de los Estados Partes cuyas solicitudes de </w:t>
      </w:r>
      <w:r w:rsidR="00FF0C0D">
        <w:rPr>
          <w:rFonts w:asciiTheme="minorBidi" w:hAnsiTheme="minorBidi" w:cstheme="minorBidi"/>
          <w:sz w:val="18"/>
          <w:szCs w:val="18"/>
          <w:lang w:bidi="es-ES"/>
        </w:rPr>
        <w:t>traspaso</w:t>
      </w:r>
      <w:r w:rsidR="00FF0C0D" w:rsidRPr="00E259FA">
        <w:rPr>
          <w:rFonts w:asciiTheme="minorBidi" w:hAnsiTheme="minorBidi" w:cstheme="minorBidi"/>
          <w:sz w:val="18"/>
          <w:szCs w:val="18"/>
          <w:lang w:bidi="es-ES"/>
        </w:rPr>
        <w:t xml:space="preserve"> </w:t>
      </w:r>
      <w:r w:rsidRPr="00E259FA">
        <w:rPr>
          <w:rFonts w:asciiTheme="minorBidi" w:hAnsiTheme="minorBidi" w:cstheme="minorBidi"/>
          <w:sz w:val="18"/>
          <w:szCs w:val="18"/>
          <w:lang w:bidi="es-ES"/>
        </w:rPr>
        <w:t xml:space="preserve">hayan sido examinadas por la decimonovena reunión del Comité (ciclo 2024) (d) las propuestas para el Registro de Buenas Prácticas de Salvaguardia de los Estados Partes cuyas solicitudes de </w:t>
      </w:r>
      <w:r w:rsidR="00FF0C0D">
        <w:rPr>
          <w:rFonts w:asciiTheme="minorBidi" w:hAnsiTheme="minorBidi" w:cstheme="minorBidi"/>
          <w:sz w:val="18"/>
          <w:szCs w:val="18"/>
          <w:lang w:bidi="es-ES"/>
        </w:rPr>
        <w:t>traspaso</w:t>
      </w:r>
      <w:r w:rsidR="00FF0C0D" w:rsidRPr="00E259FA">
        <w:rPr>
          <w:rFonts w:asciiTheme="minorBidi" w:hAnsiTheme="minorBidi" w:cstheme="minorBidi"/>
          <w:sz w:val="18"/>
          <w:szCs w:val="18"/>
          <w:lang w:bidi="es-ES"/>
        </w:rPr>
        <w:t xml:space="preserve"> </w:t>
      </w:r>
      <w:r w:rsidR="00FF0C0D">
        <w:rPr>
          <w:rFonts w:asciiTheme="minorBidi" w:hAnsiTheme="minorBidi" w:cstheme="minorBidi"/>
          <w:sz w:val="18"/>
          <w:szCs w:val="18"/>
          <w:lang w:bidi="es-ES"/>
        </w:rPr>
        <w:t>hayan sido</w:t>
      </w:r>
      <w:r w:rsidRPr="00E259FA">
        <w:rPr>
          <w:rFonts w:asciiTheme="minorBidi" w:hAnsiTheme="minorBidi" w:cstheme="minorBidi"/>
          <w:sz w:val="18"/>
          <w:szCs w:val="18"/>
          <w:lang w:bidi="es-ES"/>
        </w:rPr>
        <w:t xml:space="preserve"> examinadas por la vigésima reunión del Comité (ciclo 2025), (e) las solicitudes de inscripción ampliadas o reducidas, y (f) el seguimiento de los elementos inscritos.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5B17612E" w:rsidR="00D95C4C" w:rsidRPr="005C47D7" w:rsidRDefault="00C5776D" w:rsidP="00C5776D">
    <w:pPr>
      <w:pStyle w:val="Header"/>
      <w:rPr>
        <w:rFonts w:ascii="Arial" w:hAnsi="Arial" w:cs="Arial"/>
        <w:vanish/>
      </w:rPr>
    </w:pPr>
    <w:r w:rsidRPr="00FA771B">
      <w:rPr>
        <w:rFonts w:ascii="Arial" w:hAnsi="Arial"/>
        <w:sz w:val="20"/>
      </w:rPr>
      <w:t xml:space="preserve">LHE/26/11.GA/8 – página </w:t>
    </w:r>
    <w:r w:rsidR="00D95C4C" w:rsidRPr="00FA771B">
      <w:rPr>
        <w:rStyle w:val="PageNumber"/>
        <w:rFonts w:ascii="Arial" w:hAnsi="Arial" w:cs="Arial"/>
        <w:sz w:val="20"/>
      </w:rPr>
      <w:fldChar w:fldCharType="begin"/>
    </w:r>
    <w:r w:rsidR="00D95C4C" w:rsidRPr="00FA771B">
      <w:rPr>
        <w:rStyle w:val="PageNumber"/>
        <w:rFonts w:ascii="Arial" w:hAnsi="Arial" w:cs="Arial"/>
        <w:sz w:val="20"/>
      </w:rPr>
      <w:instrText xml:space="preserve"> PAGE </w:instrText>
    </w:r>
    <w:r w:rsidR="00D95C4C" w:rsidRPr="00FA771B">
      <w:rPr>
        <w:rStyle w:val="PageNumber"/>
        <w:rFonts w:ascii="Arial" w:hAnsi="Arial" w:cs="Arial"/>
        <w:sz w:val="20"/>
      </w:rPr>
      <w:fldChar w:fldCharType="separate"/>
    </w:r>
    <w:r w:rsidR="006E75EB" w:rsidRPr="00FA771B">
      <w:rPr>
        <w:rStyle w:val="PageNumber"/>
        <w:rFonts w:ascii="Arial" w:hAnsi="Arial" w:cs="Arial"/>
        <w:sz w:val="20"/>
      </w:rPr>
      <w:t>2</w:t>
    </w:r>
    <w:r w:rsidR="00D95C4C" w:rsidRPr="00FA771B">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9588CD2" w:rsidR="00D95C4C" w:rsidRPr="005C47D7" w:rsidRDefault="00C5776D" w:rsidP="00C5776D">
    <w:pPr>
      <w:pStyle w:val="Header"/>
      <w:jc w:val="right"/>
      <w:rPr>
        <w:rFonts w:ascii="Arial" w:hAnsi="Arial" w:cs="Arial"/>
        <w:vanish/>
      </w:rPr>
    </w:pPr>
    <w:r w:rsidRPr="00FA771B">
      <w:rPr>
        <w:rFonts w:ascii="Arial" w:hAnsi="Arial"/>
        <w:sz w:val="20"/>
      </w:rPr>
      <w:t xml:space="preserve">LHE/26/11.GA/8 – página </w:t>
    </w:r>
    <w:r w:rsidR="004A34A0" w:rsidRPr="00FA771B">
      <w:rPr>
        <w:rStyle w:val="PageNumber"/>
        <w:rFonts w:ascii="Arial" w:hAnsi="Arial" w:cs="Arial"/>
        <w:sz w:val="20"/>
      </w:rPr>
      <w:fldChar w:fldCharType="begin"/>
    </w:r>
    <w:r w:rsidR="004A34A0" w:rsidRPr="00FA771B">
      <w:rPr>
        <w:rStyle w:val="PageNumber"/>
        <w:rFonts w:ascii="Arial" w:hAnsi="Arial" w:cs="Arial"/>
        <w:sz w:val="20"/>
      </w:rPr>
      <w:instrText xml:space="preserve"> PAGE </w:instrText>
    </w:r>
    <w:r w:rsidR="004A34A0" w:rsidRPr="00FA771B">
      <w:rPr>
        <w:rStyle w:val="PageNumber"/>
        <w:rFonts w:ascii="Arial" w:hAnsi="Arial" w:cs="Arial"/>
        <w:sz w:val="20"/>
      </w:rPr>
      <w:fldChar w:fldCharType="separate"/>
    </w:r>
    <w:r w:rsidR="00190205" w:rsidRPr="00FA771B">
      <w:rPr>
        <w:rStyle w:val="PageNumber"/>
        <w:rFonts w:ascii="Arial" w:hAnsi="Arial" w:cs="Arial"/>
        <w:sz w:val="20"/>
      </w:rPr>
      <w:t>3</w:t>
    </w:r>
    <w:r w:rsidR="004A34A0" w:rsidRPr="00FA771B">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50838DBA" w:rsidR="00D95C4C" w:rsidRPr="00E95AE2" w:rsidRDefault="000875B4">
    <w:pPr>
      <w:pStyle w:val="Header"/>
      <w:rPr>
        <w:sz w:val="22"/>
        <w:szCs w:val="22"/>
      </w:rPr>
    </w:pPr>
    <w:r>
      <w:rPr>
        <w:noProof/>
        <w:lang w:bidi="es-ES"/>
      </w:rPr>
      <w:drawing>
        <wp:anchor distT="0" distB="0" distL="114300" distR="114300" simplePos="0" relativeHeight="251661312" behindDoc="0" locked="0" layoutInCell="1" allowOverlap="1" wp14:anchorId="38876ACA" wp14:editId="7B03A841">
          <wp:simplePos x="0" y="0"/>
          <wp:positionH relativeFrom="margin">
            <wp:posOffset>-558</wp:posOffset>
          </wp:positionH>
          <wp:positionV relativeFrom="paragraph">
            <wp:posOffset>102058</wp:posOffset>
          </wp:positionV>
          <wp:extent cx="1709420" cy="1439545"/>
          <wp:effectExtent l="0" t="0" r="5080" b="8255"/>
          <wp:wrapSquare wrapText="bothSides"/>
          <wp:docPr id="2" name="Imag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6DA8A611" w:rsidR="00D95C4C" w:rsidRPr="00FA771B" w:rsidRDefault="005C792B" w:rsidP="00C5776D">
    <w:pPr>
      <w:pStyle w:val="Header"/>
      <w:spacing w:after="520"/>
      <w:jc w:val="right"/>
      <w:rPr>
        <w:rFonts w:ascii="Arial" w:hAnsi="Arial" w:cs="Arial"/>
        <w:b/>
        <w:sz w:val="44"/>
        <w:szCs w:val="44"/>
        <w:lang w:val="pt-BR"/>
      </w:rPr>
    </w:pPr>
    <w:r w:rsidRPr="00FA771B">
      <w:rPr>
        <w:rFonts w:ascii="Arial" w:hAnsi="Arial"/>
        <w:b/>
        <w:sz w:val="44"/>
        <w:lang w:val="pt-BR" w:eastAsia="pt-BR" w:bidi="pt-BR"/>
      </w:rPr>
      <w:t>11 GA</w:t>
    </w:r>
  </w:p>
  <w:p w14:paraId="306484B8" w14:textId="45EADF77" w:rsidR="00D95C4C" w:rsidRPr="00FA771B" w:rsidRDefault="00C5776D" w:rsidP="00C5776D">
    <w:pPr>
      <w:jc w:val="right"/>
      <w:rPr>
        <w:rFonts w:ascii="Arial" w:hAnsi="Arial" w:cs="Arial"/>
        <w:b/>
        <w:sz w:val="22"/>
        <w:szCs w:val="22"/>
        <w:lang w:val="pt-BR"/>
      </w:rPr>
    </w:pPr>
    <w:r w:rsidRPr="00FA771B">
      <w:rPr>
        <w:rFonts w:ascii="Arial" w:hAnsi="Arial"/>
        <w:b/>
        <w:sz w:val="22"/>
        <w:lang w:val="pt-BR" w:eastAsia="pt-BR" w:bidi="pt-BR"/>
      </w:rPr>
      <w:t>LHE/26/11.GA/8</w:t>
    </w:r>
  </w:p>
  <w:p w14:paraId="1B4446C3" w14:textId="71EDF218" w:rsidR="00D95C4C" w:rsidRPr="00FA771B" w:rsidRDefault="00D95C4C" w:rsidP="00655736">
    <w:pPr>
      <w:jc w:val="right"/>
      <w:rPr>
        <w:rFonts w:ascii="Arial" w:eastAsiaTheme="minorEastAsia" w:hAnsi="Arial" w:cs="Arial"/>
        <w:b/>
        <w:sz w:val="22"/>
        <w:szCs w:val="22"/>
        <w:lang w:val="pt-BR"/>
      </w:rPr>
    </w:pPr>
    <w:r w:rsidRPr="00FA771B">
      <w:rPr>
        <w:rFonts w:ascii="Arial" w:hAnsi="Arial"/>
        <w:b/>
        <w:sz w:val="22"/>
        <w:lang w:val="pt-BR" w:eastAsia="pt-BR" w:bidi="pt-BR"/>
      </w:rPr>
      <w:t>París, 18 de mayo de 2026</w:t>
    </w:r>
  </w:p>
  <w:p w14:paraId="255B57FF" w14:textId="1D72292B" w:rsidR="00D95C4C" w:rsidRPr="00FA771B" w:rsidRDefault="00D95C4C" w:rsidP="00962034">
    <w:pPr>
      <w:spacing w:after="120"/>
      <w:jc w:val="right"/>
      <w:rPr>
        <w:rFonts w:ascii="Arial" w:hAnsi="Arial" w:cs="Arial"/>
        <w:b/>
        <w:sz w:val="22"/>
        <w:szCs w:val="22"/>
      </w:rPr>
    </w:pPr>
    <w:r w:rsidRPr="00FA771B">
      <w:rPr>
        <w:rFonts w:ascii="Arial" w:hAnsi="Arial"/>
        <w:b/>
        <w:sz w:val="22"/>
      </w:rPr>
      <w:t>Original: inglés</w:t>
    </w:r>
  </w:p>
  <w:p w14:paraId="3C4B8B1B" w14:textId="77777777" w:rsidR="00D95C4C" w:rsidRPr="00671799" w:rsidRDefault="00D95C4C">
    <w:pPr>
      <w:pStyle w:val="Header"/>
      <w:rPr>
        <w:sz w:val="22"/>
        <w:szCs w:val="22"/>
      </w:rPr>
    </w:pPr>
  </w:p>
  <w:p w14:paraId="3C997849" w14:textId="77777777" w:rsidR="007F171D" w:rsidRPr="00671799" w:rsidRDefault="007F171D">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7A4"/>
    <w:multiLevelType w:val="hybridMultilevel"/>
    <w:tmpl w:val="9E908AA4"/>
    <w:lvl w:ilvl="0" w:tplc="4A66941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2550F78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330725E"/>
    <w:multiLevelType w:val="hybridMultilevel"/>
    <w:tmpl w:val="8988BE28"/>
    <w:lvl w:ilvl="0" w:tplc="040C0017">
      <w:start w:val="1"/>
      <w:numFmt w:val="lowerLetter"/>
      <w:lvlText w:val="%1)"/>
      <w:lvlJc w:val="left"/>
      <w:pPr>
        <w:ind w:left="927" w:hanging="360"/>
      </w:pPr>
      <w:rPr>
        <w:rFonts w:hint="default"/>
        <w:b w:val="0"/>
        <w:bCs w:val="0"/>
      </w:rPr>
    </w:lvl>
    <w:lvl w:ilvl="1" w:tplc="FFFFFFFF">
      <w:start w:val="1"/>
      <w:numFmt w:val="lowerLetter"/>
      <w:lvlText w:val="%2."/>
      <w:lvlJc w:val="left"/>
      <w:pPr>
        <w:ind w:left="1647" w:hanging="360"/>
      </w:pPr>
    </w:lvl>
    <w:lvl w:ilvl="2" w:tplc="FFFFFFFF">
      <w:start w:val="1"/>
      <w:numFmt w:val="lowerLetter"/>
      <w:lvlText w:val="%3)"/>
      <w:lvlJc w:val="left"/>
      <w:pPr>
        <w:ind w:left="2547" w:hanging="36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2"/>
  </w:num>
  <w:num w:numId="2" w16cid:durableId="699629408">
    <w:abstractNumId w:val="7"/>
  </w:num>
  <w:num w:numId="3" w16cid:durableId="164177712">
    <w:abstractNumId w:val="3"/>
  </w:num>
  <w:num w:numId="4" w16cid:durableId="1416590798">
    <w:abstractNumId w:val="15"/>
  </w:num>
  <w:num w:numId="5" w16cid:durableId="1762608160">
    <w:abstractNumId w:val="14"/>
  </w:num>
  <w:num w:numId="6" w16cid:durableId="2146270374">
    <w:abstractNumId w:val="1"/>
  </w:num>
  <w:num w:numId="7" w16cid:durableId="1113592211">
    <w:abstractNumId w:val="4"/>
  </w:num>
  <w:num w:numId="8" w16cid:durableId="1920598164">
    <w:abstractNumId w:val="11"/>
  </w:num>
  <w:num w:numId="9" w16cid:durableId="1533764642">
    <w:abstractNumId w:val="6"/>
  </w:num>
  <w:num w:numId="10" w16cid:durableId="1246129">
    <w:abstractNumId w:val="8"/>
  </w:num>
  <w:num w:numId="11" w16cid:durableId="111829808">
    <w:abstractNumId w:val="10"/>
  </w:num>
  <w:num w:numId="12" w16cid:durableId="1088770206">
    <w:abstractNumId w:val="9"/>
  </w:num>
  <w:num w:numId="13" w16cid:durableId="1263951029">
    <w:abstractNumId w:val="16"/>
  </w:num>
  <w:num w:numId="14" w16cid:durableId="395903570">
    <w:abstractNumId w:val="5"/>
  </w:num>
  <w:num w:numId="15" w16cid:durableId="1857570918">
    <w:abstractNumId w:val="6"/>
  </w:num>
  <w:num w:numId="16" w16cid:durableId="248199808">
    <w:abstractNumId w:val="6"/>
  </w:num>
  <w:num w:numId="17" w16cid:durableId="350380342">
    <w:abstractNumId w:val="6"/>
  </w:num>
  <w:num w:numId="18" w16cid:durableId="944581980">
    <w:abstractNumId w:val="6"/>
  </w:num>
  <w:num w:numId="19" w16cid:durableId="772675100">
    <w:abstractNumId w:val="6"/>
  </w:num>
  <w:num w:numId="20" w16cid:durableId="1253010311">
    <w:abstractNumId w:val="6"/>
  </w:num>
  <w:num w:numId="21" w16cid:durableId="540821319">
    <w:abstractNumId w:val="2"/>
  </w:num>
  <w:num w:numId="22" w16cid:durableId="2046514942">
    <w:abstractNumId w:val="6"/>
  </w:num>
  <w:num w:numId="23" w16cid:durableId="414475267">
    <w:abstractNumId w:val="0"/>
  </w:num>
  <w:num w:numId="24" w16cid:durableId="1384599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06DEE"/>
    <w:rsid w:val="00014915"/>
    <w:rsid w:val="0003000E"/>
    <w:rsid w:val="00041A66"/>
    <w:rsid w:val="00042D88"/>
    <w:rsid w:val="0005176E"/>
    <w:rsid w:val="00054775"/>
    <w:rsid w:val="000765F7"/>
    <w:rsid w:val="0007725F"/>
    <w:rsid w:val="00077AB7"/>
    <w:rsid w:val="000819FD"/>
    <w:rsid w:val="00081CD8"/>
    <w:rsid w:val="000875B4"/>
    <w:rsid w:val="000A7F0E"/>
    <w:rsid w:val="000B1C8F"/>
    <w:rsid w:val="000C0D61"/>
    <w:rsid w:val="000F3A3F"/>
    <w:rsid w:val="0010042E"/>
    <w:rsid w:val="00102557"/>
    <w:rsid w:val="0012051C"/>
    <w:rsid w:val="00147A38"/>
    <w:rsid w:val="00153CED"/>
    <w:rsid w:val="00164D56"/>
    <w:rsid w:val="00166900"/>
    <w:rsid w:val="00167B10"/>
    <w:rsid w:val="0017402F"/>
    <w:rsid w:val="00190205"/>
    <w:rsid w:val="00195BC5"/>
    <w:rsid w:val="00196C1B"/>
    <w:rsid w:val="001B0F73"/>
    <w:rsid w:val="001C2DB7"/>
    <w:rsid w:val="001D14FE"/>
    <w:rsid w:val="001D5C04"/>
    <w:rsid w:val="001F26CF"/>
    <w:rsid w:val="00222A2D"/>
    <w:rsid w:val="00223029"/>
    <w:rsid w:val="00234745"/>
    <w:rsid w:val="002351A6"/>
    <w:rsid w:val="002407AF"/>
    <w:rsid w:val="00245501"/>
    <w:rsid w:val="00254B26"/>
    <w:rsid w:val="0026221A"/>
    <w:rsid w:val="002673F6"/>
    <w:rsid w:val="0027466B"/>
    <w:rsid w:val="00280CC6"/>
    <w:rsid w:val="002814F6"/>
    <w:rsid w:val="002838A5"/>
    <w:rsid w:val="00285BB4"/>
    <w:rsid w:val="002A4E67"/>
    <w:rsid w:val="002B24BB"/>
    <w:rsid w:val="002C09E3"/>
    <w:rsid w:val="002C6A2C"/>
    <w:rsid w:val="002D1244"/>
    <w:rsid w:val="002E369A"/>
    <w:rsid w:val="002F255B"/>
    <w:rsid w:val="00304223"/>
    <w:rsid w:val="003062B9"/>
    <w:rsid w:val="00337CEB"/>
    <w:rsid w:val="00344B58"/>
    <w:rsid w:val="0034539A"/>
    <w:rsid w:val="00345CB4"/>
    <w:rsid w:val="00375D42"/>
    <w:rsid w:val="0038015B"/>
    <w:rsid w:val="003C4B56"/>
    <w:rsid w:val="003D069C"/>
    <w:rsid w:val="003D3933"/>
    <w:rsid w:val="003D7646"/>
    <w:rsid w:val="003E5580"/>
    <w:rsid w:val="003F113A"/>
    <w:rsid w:val="003F3E63"/>
    <w:rsid w:val="00407480"/>
    <w:rsid w:val="00412F51"/>
    <w:rsid w:val="00414643"/>
    <w:rsid w:val="004313C4"/>
    <w:rsid w:val="004421E5"/>
    <w:rsid w:val="00452284"/>
    <w:rsid w:val="00457C8E"/>
    <w:rsid w:val="00480175"/>
    <w:rsid w:val="004856CA"/>
    <w:rsid w:val="00487E67"/>
    <w:rsid w:val="00490548"/>
    <w:rsid w:val="004906B7"/>
    <w:rsid w:val="0049705E"/>
    <w:rsid w:val="004A2875"/>
    <w:rsid w:val="004A34A0"/>
    <w:rsid w:val="004C7C82"/>
    <w:rsid w:val="004F4256"/>
    <w:rsid w:val="005008A8"/>
    <w:rsid w:val="00517FD8"/>
    <w:rsid w:val="00526B7B"/>
    <w:rsid w:val="005274D2"/>
    <w:rsid w:val="005308CE"/>
    <w:rsid w:val="0053318C"/>
    <w:rsid w:val="00545348"/>
    <w:rsid w:val="0054535F"/>
    <w:rsid w:val="00567A84"/>
    <w:rsid w:val="0057439C"/>
    <w:rsid w:val="00594A76"/>
    <w:rsid w:val="005960FA"/>
    <w:rsid w:val="005B0127"/>
    <w:rsid w:val="005B7A35"/>
    <w:rsid w:val="005C47D7"/>
    <w:rsid w:val="005C4B73"/>
    <w:rsid w:val="005C792B"/>
    <w:rsid w:val="005D0BC6"/>
    <w:rsid w:val="005D2A10"/>
    <w:rsid w:val="005E1D2B"/>
    <w:rsid w:val="005E7074"/>
    <w:rsid w:val="005F2BAF"/>
    <w:rsid w:val="00600D93"/>
    <w:rsid w:val="00613B45"/>
    <w:rsid w:val="00626BEA"/>
    <w:rsid w:val="0063300C"/>
    <w:rsid w:val="006519C6"/>
    <w:rsid w:val="00651A5B"/>
    <w:rsid w:val="00655736"/>
    <w:rsid w:val="00662180"/>
    <w:rsid w:val="00663B8D"/>
    <w:rsid w:val="00671799"/>
    <w:rsid w:val="006728AE"/>
    <w:rsid w:val="00696C8D"/>
    <w:rsid w:val="006A2AC2"/>
    <w:rsid w:val="006A2CAE"/>
    <w:rsid w:val="006A3617"/>
    <w:rsid w:val="006B4452"/>
    <w:rsid w:val="006E46E4"/>
    <w:rsid w:val="006E4D35"/>
    <w:rsid w:val="006E54A0"/>
    <w:rsid w:val="006E75EB"/>
    <w:rsid w:val="00711589"/>
    <w:rsid w:val="00717DA5"/>
    <w:rsid w:val="00723493"/>
    <w:rsid w:val="007333D0"/>
    <w:rsid w:val="00744484"/>
    <w:rsid w:val="00747566"/>
    <w:rsid w:val="00773188"/>
    <w:rsid w:val="00780E52"/>
    <w:rsid w:val="00783782"/>
    <w:rsid w:val="00784B8C"/>
    <w:rsid w:val="007879E1"/>
    <w:rsid w:val="007C11C6"/>
    <w:rsid w:val="007E57AA"/>
    <w:rsid w:val="007F171D"/>
    <w:rsid w:val="007F7254"/>
    <w:rsid w:val="00800746"/>
    <w:rsid w:val="00823A11"/>
    <w:rsid w:val="00830746"/>
    <w:rsid w:val="00851D55"/>
    <w:rsid w:val="0085405E"/>
    <w:rsid w:val="0085414A"/>
    <w:rsid w:val="00857EB9"/>
    <w:rsid w:val="0086269D"/>
    <w:rsid w:val="0086543A"/>
    <w:rsid w:val="00865FF2"/>
    <w:rsid w:val="008724E5"/>
    <w:rsid w:val="008765C9"/>
    <w:rsid w:val="00884A9D"/>
    <w:rsid w:val="0088512B"/>
    <w:rsid w:val="008A2B2D"/>
    <w:rsid w:val="008A47B3"/>
    <w:rsid w:val="008A4E1E"/>
    <w:rsid w:val="008A4E90"/>
    <w:rsid w:val="008A6458"/>
    <w:rsid w:val="008C296C"/>
    <w:rsid w:val="008D4305"/>
    <w:rsid w:val="008E1A85"/>
    <w:rsid w:val="008E344F"/>
    <w:rsid w:val="009163A7"/>
    <w:rsid w:val="009221B1"/>
    <w:rsid w:val="00937D53"/>
    <w:rsid w:val="00946D0B"/>
    <w:rsid w:val="00955877"/>
    <w:rsid w:val="00962034"/>
    <w:rsid w:val="009810D0"/>
    <w:rsid w:val="00994FA4"/>
    <w:rsid w:val="009A045C"/>
    <w:rsid w:val="009A18CD"/>
    <w:rsid w:val="009A3A2E"/>
    <w:rsid w:val="009D5428"/>
    <w:rsid w:val="00A00028"/>
    <w:rsid w:val="00A12558"/>
    <w:rsid w:val="00A13903"/>
    <w:rsid w:val="00A146D5"/>
    <w:rsid w:val="00A30A4E"/>
    <w:rsid w:val="00A30B36"/>
    <w:rsid w:val="00A34ED5"/>
    <w:rsid w:val="00A45DBF"/>
    <w:rsid w:val="00A56082"/>
    <w:rsid w:val="00A725CF"/>
    <w:rsid w:val="00A727A9"/>
    <w:rsid w:val="00A755A2"/>
    <w:rsid w:val="00A91430"/>
    <w:rsid w:val="00AA590D"/>
    <w:rsid w:val="00AA6660"/>
    <w:rsid w:val="00AA741E"/>
    <w:rsid w:val="00AB2C36"/>
    <w:rsid w:val="00AB6DDE"/>
    <w:rsid w:val="00AB70B6"/>
    <w:rsid w:val="00AC18C1"/>
    <w:rsid w:val="00AD1A86"/>
    <w:rsid w:val="00AD1AD2"/>
    <w:rsid w:val="00AD5C46"/>
    <w:rsid w:val="00AE0B06"/>
    <w:rsid w:val="00AE103E"/>
    <w:rsid w:val="00AF0A07"/>
    <w:rsid w:val="00AF4AEC"/>
    <w:rsid w:val="00AF625E"/>
    <w:rsid w:val="00B05EBB"/>
    <w:rsid w:val="00B139BE"/>
    <w:rsid w:val="00B2172B"/>
    <w:rsid w:val="00B34428"/>
    <w:rsid w:val="00B36C98"/>
    <w:rsid w:val="00B677BB"/>
    <w:rsid w:val="00B917D2"/>
    <w:rsid w:val="00B97EB3"/>
    <w:rsid w:val="00BA241A"/>
    <w:rsid w:val="00BB04AF"/>
    <w:rsid w:val="00BB6EEC"/>
    <w:rsid w:val="00BD52C9"/>
    <w:rsid w:val="00BE2925"/>
    <w:rsid w:val="00BE5788"/>
    <w:rsid w:val="00BE6354"/>
    <w:rsid w:val="00C11660"/>
    <w:rsid w:val="00C138D1"/>
    <w:rsid w:val="00C23A97"/>
    <w:rsid w:val="00C52EBE"/>
    <w:rsid w:val="00C5776D"/>
    <w:rsid w:val="00C64855"/>
    <w:rsid w:val="00C70EA7"/>
    <w:rsid w:val="00C7433F"/>
    <w:rsid w:val="00C7516E"/>
    <w:rsid w:val="00C75770"/>
    <w:rsid w:val="00C91C10"/>
    <w:rsid w:val="00CA56BB"/>
    <w:rsid w:val="00CB0542"/>
    <w:rsid w:val="00CD4B54"/>
    <w:rsid w:val="00CE7E88"/>
    <w:rsid w:val="00D00B2B"/>
    <w:rsid w:val="00D0494F"/>
    <w:rsid w:val="00D24877"/>
    <w:rsid w:val="00D63318"/>
    <w:rsid w:val="00D64D9C"/>
    <w:rsid w:val="00D7105A"/>
    <w:rsid w:val="00D8250F"/>
    <w:rsid w:val="00D86BB3"/>
    <w:rsid w:val="00D87CA4"/>
    <w:rsid w:val="00D95C4C"/>
    <w:rsid w:val="00DA36ED"/>
    <w:rsid w:val="00DA4FDC"/>
    <w:rsid w:val="00DC49CB"/>
    <w:rsid w:val="00DE2BF7"/>
    <w:rsid w:val="00DE34F1"/>
    <w:rsid w:val="00DE6160"/>
    <w:rsid w:val="00DF4942"/>
    <w:rsid w:val="00E0171E"/>
    <w:rsid w:val="00E2125F"/>
    <w:rsid w:val="00E244E1"/>
    <w:rsid w:val="00E4150C"/>
    <w:rsid w:val="00E5209C"/>
    <w:rsid w:val="00E627B1"/>
    <w:rsid w:val="00E70169"/>
    <w:rsid w:val="00E9376C"/>
    <w:rsid w:val="00E95AE2"/>
    <w:rsid w:val="00EA335E"/>
    <w:rsid w:val="00EA528C"/>
    <w:rsid w:val="00EA580C"/>
    <w:rsid w:val="00EB46AB"/>
    <w:rsid w:val="00EB5407"/>
    <w:rsid w:val="00EC6F8D"/>
    <w:rsid w:val="00ED39B2"/>
    <w:rsid w:val="00EE49F4"/>
    <w:rsid w:val="00EF34E2"/>
    <w:rsid w:val="00F04406"/>
    <w:rsid w:val="00F1486D"/>
    <w:rsid w:val="00F30DC6"/>
    <w:rsid w:val="00F31F96"/>
    <w:rsid w:val="00F32C23"/>
    <w:rsid w:val="00F53DE9"/>
    <w:rsid w:val="00F576CB"/>
    <w:rsid w:val="00F7035D"/>
    <w:rsid w:val="00F70CC5"/>
    <w:rsid w:val="00F71A02"/>
    <w:rsid w:val="00F73B7B"/>
    <w:rsid w:val="00F9168C"/>
    <w:rsid w:val="00FA0557"/>
    <w:rsid w:val="00FA0D63"/>
    <w:rsid w:val="00FA2A91"/>
    <w:rsid w:val="00FA771B"/>
    <w:rsid w:val="00FD1226"/>
    <w:rsid w:val="00FD4BC8"/>
    <w:rsid w:val="00FF0C0D"/>
    <w:rsid w:val="00FF4830"/>
    <w:rsid w:val="00FF67A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paragraph" w:styleId="Revision">
    <w:name w:val="Revision"/>
    <w:hidden/>
    <w:uiPriority w:val="99"/>
    <w:semiHidden/>
    <w:rsid w:val="0003000E"/>
    <w:rPr>
      <w:rFonts w:ascii="Times New Roman" w:eastAsia="Times New Roman" w:hAnsi="Times New Roman"/>
      <w:sz w:val="24"/>
      <w:szCs w:val="24"/>
    </w:rPr>
  </w:style>
  <w:style w:type="paragraph" w:customStyle="1" w:styleId="GAPara">
    <w:name w:val="GA Para"/>
    <w:qFormat/>
    <w:rsid w:val="005C47D7"/>
    <w:pPr>
      <w:spacing w:after="120"/>
      <w:ind w:left="720" w:hanging="360"/>
    </w:pPr>
    <w:rPr>
      <w:rFonts w:ascii="Arial" w:eastAsia="Times New Roman" w:hAnsi="Arial" w:cs="Arial"/>
      <w:snapToGrid w:val="0"/>
      <w:sz w:val="22"/>
      <w:szCs w:val="22"/>
      <w:lang w:val="en-GB" w:eastAsia="en-US"/>
    </w:rPr>
  </w:style>
  <w:style w:type="character" w:styleId="Hyperlink">
    <w:name w:val="Hyperlink"/>
    <w:unhideWhenUsed/>
    <w:rsid w:val="005C47D7"/>
    <w:rPr>
      <w:color w:val="0000FF"/>
      <w:u w:val="single"/>
    </w:rPr>
  </w:style>
  <w:style w:type="character" w:customStyle="1" w:styleId="hps">
    <w:name w:val="hps"/>
    <w:rsid w:val="005C47D7"/>
  </w:style>
  <w:style w:type="character" w:styleId="FollowedHyperlink">
    <w:name w:val="FollowedHyperlink"/>
    <w:basedOn w:val="DefaultParagraphFont"/>
    <w:uiPriority w:val="99"/>
    <w:semiHidden/>
    <w:unhideWhenUsed/>
    <w:rsid w:val="008A4E90"/>
    <w:rPr>
      <w:color w:val="800080" w:themeColor="followedHyperlink"/>
      <w:u w:val="single"/>
    </w:rPr>
  </w:style>
  <w:style w:type="character" w:styleId="UnresolvedMention">
    <w:name w:val="Unresolved Mention"/>
    <w:basedOn w:val="DefaultParagraphFont"/>
    <w:uiPriority w:val="99"/>
    <w:semiHidden/>
    <w:unhideWhenUsed/>
    <w:rsid w:val="002F2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ich.unesco.org/doc/src/LHE-20-8.GA-Resolutions-ES.docx?v=1600965916" TargetMode="External"/><Relationship Id="rId26" Type="http://schemas.openxmlformats.org/officeDocument/2006/relationships/hyperlink" Target="https://ich.unesco.org/en/Decisions/17.COM/11" TargetMode="External"/><Relationship Id="rId39" Type="http://schemas.openxmlformats.org/officeDocument/2006/relationships/hyperlink" Target="https://www.unesco.org/sites/default/files/medias/fichiers/2024/04/WCCAE_UNESCO%20Framework_EN_CLT-EDWCCAE20241.pdf" TargetMode="External"/><Relationship Id="rId21" Type="http://schemas.openxmlformats.org/officeDocument/2006/relationships/hyperlink" Target="https://ich.unesco.org/doc/src/LHE-24-10.GA-Resolutions_SP.docx?v=1721290553" TargetMode="External"/><Relationship Id="rId34" Type="http://schemas.openxmlformats.org/officeDocument/2006/relationships/hyperlink" Target="https://www.unesco.org/sites/default/files/medias/fichiers/2022/10/6.MONDIACULT_ES_DRAFT%20FINAL%20DECLARATION.pdf" TargetMode="External"/><Relationship Id="rId42" Type="http://schemas.openxmlformats.org/officeDocument/2006/relationships/hyperlink" Target="https://ich.unesco.org/en/reflection-on-a-broader-implementation-of-article-18-01302" TargetMode="External"/><Relationship Id="rId47" Type="http://schemas.openxmlformats.org/officeDocument/2006/relationships/hyperlink" Target="https://ich.unesco.org/es/explora" TargetMode="External"/><Relationship Id="rId50" Type="http://schemas.openxmlformats.org/officeDocument/2006/relationships/hyperlink" Target="https://ich.unesco.org/doc/src/LHE-26-11.GA-INF.8_EN.docx" TargetMode="External"/><Relationship Id="rId55" Type="http://schemas.openxmlformats.org/officeDocument/2006/relationships/hyperlink" Target="https://ich.unesco.org/en/decisions/20.COM/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download.php?versionID=86634" TargetMode="External"/><Relationship Id="rId29" Type="http://schemas.openxmlformats.org/officeDocument/2006/relationships/hyperlink" Target="https://ich.unesco.org/doc/src/ICH-Directrices_operativas-10.GA_ES.pdf?v=1738063497" TargetMode="External"/><Relationship Id="rId11" Type="http://schemas.openxmlformats.org/officeDocument/2006/relationships/hyperlink" Target="https://ich.unesco.org/doc/src/LHE-25-20.COM-10-EN.docx" TargetMode="External"/><Relationship Id="rId24" Type="http://schemas.openxmlformats.org/officeDocument/2006/relationships/hyperlink" Target="https://ich.unesco.org/en/decisions/18.COM/14" TargetMode="External"/><Relationship Id="rId32" Type="http://schemas.openxmlformats.org/officeDocument/2006/relationships/hyperlink" Target="https://unesdoc.unesco.org/ark:/48223/pf0000396877_spa" TargetMode="External"/><Relationship Id="rId37" Type="http://schemas.openxmlformats.org/officeDocument/2006/relationships/hyperlink" Target="https://ich.unesco.org/doc/src/LHE-25-20.COM-6.c_EN.docx" TargetMode="External"/><Relationship Id="rId40" Type="http://schemas.openxmlformats.org/officeDocument/2006/relationships/hyperlink" Target="https://ich.unesco.org/doc/src/LHE-25-20.COM-13_EN.docx" TargetMode="External"/><Relationship Id="rId45" Type="http://schemas.openxmlformats.org/officeDocument/2006/relationships/hyperlink" Target="https://ich.unesco.org/en/decisions/19.COM/15" TargetMode="External"/><Relationship Id="rId53" Type="http://schemas.openxmlformats.org/officeDocument/2006/relationships/hyperlink" Target="https://unesdoc.unesco.org/ark:/48223/pf0000396877_spa"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ich.unesco.org/doc/src/LHE-25-20.COM-5_EN.docx?t=1762809973" TargetMode="External"/><Relationship Id="rId14" Type="http://schemas.openxmlformats.org/officeDocument/2006/relationships/hyperlink" Target="https://ich.unesco.org/doc/src/LHE-25-20.COM-14_EN.docx?t=1764362577" TargetMode="External"/><Relationship Id="rId22" Type="http://schemas.openxmlformats.org/officeDocument/2006/relationships/hyperlink" Target="https://ich.unesco.org/doc/src/LHE-21-16.COM-INF.10_Rev.-EN.pdf" TargetMode="External"/><Relationship Id="rId27" Type="http://schemas.openxmlformats.org/officeDocument/2006/relationships/hyperlink" Target="https://ich.unesco.org/doc/src/LHE-25-20.COM-10-EN.docx" TargetMode="External"/><Relationship Id="rId30" Type="http://schemas.openxmlformats.org/officeDocument/2006/relationships/hyperlink" Target="https://ich.unesco.org/en/Decisions/14.COM/7" TargetMode="External"/><Relationship Id="rId35" Type="http://schemas.openxmlformats.org/officeDocument/2006/relationships/hyperlink" Target="https://ich.unesco.org/en/learning-platform-01397" TargetMode="External"/><Relationship Id="rId43" Type="http://schemas.openxmlformats.org/officeDocument/2006/relationships/hyperlink" Target="https://ich.unesco.org/en/towards-a-platform-for-sharing-good-safeguarding-experiences-01404" TargetMode="External"/><Relationship Id="rId48" Type="http://schemas.openxmlformats.org/officeDocument/2006/relationships/hyperlink" Target="https://ich.unesco.org/en/decisions/19.COM/15" TargetMode="External"/><Relationship Id="rId56" Type="http://schemas.openxmlformats.org/officeDocument/2006/relationships/hyperlink" Target="https://ich.unesco.org/en/decisions/10.COM/8" TargetMode="External"/><Relationship Id="rId8" Type="http://schemas.openxmlformats.org/officeDocument/2006/relationships/hyperlink" Target="https://ich.unesco.org/en/decisions/20.COM/13" TargetMode="External"/><Relationship Id="rId51" Type="http://schemas.openxmlformats.org/officeDocument/2006/relationships/hyperlink" Target="https://ich.unesco.org/en/decisions/20.COM/14" TargetMode="External"/><Relationship Id="rId3" Type="http://schemas.openxmlformats.org/officeDocument/2006/relationships/styles" Target="styles.xml"/><Relationship Id="rId12" Type="http://schemas.openxmlformats.org/officeDocument/2006/relationships/hyperlink" Target="https://ich.unesco.org/doc/src/LHE-26-11.GA-INF.8_EN.docx" TargetMode="External"/><Relationship Id="rId17" Type="http://schemas.openxmlformats.org/officeDocument/2006/relationships/hyperlink" Target="https://ich.unesco.org/doc/src/07003-ES.doc?v=1282654970" TargetMode="External"/><Relationship Id="rId25" Type="http://schemas.openxmlformats.org/officeDocument/2006/relationships/hyperlink" Target="https://ich.unesco.org/en/decisions/20.COM/14" TargetMode="External"/><Relationship Id="rId33" Type="http://schemas.openxmlformats.org/officeDocument/2006/relationships/hyperlink" Target="https://ich.unesco.org/en/decisions/20.COM/14" TargetMode="External"/><Relationship Id="rId38" Type="http://schemas.openxmlformats.org/officeDocument/2006/relationships/hyperlink" Target="https://ich.unesco.org/doc/src/61291-EN.pdf" TargetMode="External"/><Relationship Id="rId46" Type="http://schemas.openxmlformats.org/officeDocument/2006/relationships/hyperlink" Target="https://www.unesco.org/sites/default/files/medias/fichiers/2022/10/6.MONDIACULT_ES_DRAFT%20FINAL%20DECLARATION.pdf" TargetMode="External"/><Relationship Id="rId59" Type="http://schemas.openxmlformats.org/officeDocument/2006/relationships/header" Target="header3.xml"/><Relationship Id="rId20" Type="http://schemas.openxmlformats.org/officeDocument/2006/relationships/hyperlink" Target="https://ich.unesco.org/doc/src/LHE-26-11.GA-6_EN.docx" TargetMode="External"/><Relationship Id="rId41" Type="http://schemas.openxmlformats.org/officeDocument/2006/relationships/hyperlink" Target="https://ich.unesco.org/doc/src/LHE-25-20.COM-INF.13.2_EN.docx" TargetMode="External"/><Relationship Id="rId54" Type="http://schemas.openxmlformats.org/officeDocument/2006/relationships/hyperlink" Target="https://ich.unesco.org/en/decisions/20.COM/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4-10.GA-8_SP.docx?v=1716576417" TargetMode="External"/><Relationship Id="rId23" Type="http://schemas.openxmlformats.org/officeDocument/2006/relationships/hyperlink" Target="http://ich.unesco.org/en/Decisions/16.COM/13" TargetMode="External"/><Relationship Id="rId28" Type="http://schemas.openxmlformats.org/officeDocument/2006/relationships/hyperlink" Target="https://ich.unesco.org/doc/src/ITH-18-7.GA-Resolutions-ES.docx?v=1532091840" TargetMode="External"/><Relationship Id="rId36" Type="http://schemas.openxmlformats.org/officeDocument/2006/relationships/hyperlink" Target="https://ich.unesco.org/es/facilitador" TargetMode="External"/><Relationship Id="rId49" Type="http://schemas.openxmlformats.org/officeDocument/2006/relationships/hyperlink" Target="https://ich.unesco.org/doc/src/LHE-24-10.GA-Resolutions_SP.docx?v=1721290553" TargetMode="External"/><Relationship Id="rId57" Type="http://schemas.openxmlformats.org/officeDocument/2006/relationships/header" Target="header1.xml"/><Relationship Id="rId10" Type="http://schemas.openxmlformats.org/officeDocument/2006/relationships/image" Target="media/image1.jpeg"/><Relationship Id="rId31" Type="http://schemas.openxmlformats.org/officeDocument/2006/relationships/hyperlink" Target="https://unesdoc.unesco.org/ark:/48223/pf0000392982_spa" TargetMode="External"/><Relationship Id="rId44" Type="http://schemas.openxmlformats.org/officeDocument/2006/relationships/hyperlink" Target="https://ich.unesco.org/doc/src/LHE-25-20.COM-6.c_EN.docx" TargetMode="External"/><Relationship Id="rId52" Type="http://schemas.openxmlformats.org/officeDocument/2006/relationships/hyperlink" Target="https://ich.unesco.org/doc/src/LHE-26-11.GA-INF.8_EN.docx"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6-11.GA-INF.8_EN.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92982_spa" TargetMode="External"/><Relationship Id="rId2" Type="http://schemas.openxmlformats.org/officeDocument/2006/relationships/hyperlink" Target="https://ich.unesco.org/en/Decisions/8.COM/7.c" TargetMode="External"/><Relationship Id="rId1" Type="http://schemas.openxmlformats.org/officeDocument/2006/relationships/hyperlink" Target="https://unesco.sharepoint.com/sites/ms/en-US/Shared%20Documents/Forms/AssessedContributions.aspx?id=%2Fsites%2Fms%2Fen%2DUS%2FShared%20Documents%2FMember%20States%20Assessed%20Contributions%2FICH%2DStatus%2Dof%2DContributions%2Epdf&amp;parent=%2Fsites%2F" TargetMode="External"/><Relationship Id="rId4" Type="http://schemas.openxmlformats.org/officeDocument/2006/relationships/hyperlink" Target="https://unesdoc.unesco.org/ark:/48223/pf0000392982_sp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6701</Words>
  <Characters>38201</Characters>
  <Application>Microsoft Office Word</Application>
  <DocSecurity>0</DocSecurity>
  <Lines>318</Lines>
  <Paragraphs>89</Paragraphs>
  <ScaleCrop>false</ScaleCrop>
  <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2026-05-18T21:23:00Z</dcterms:created>
  <dcterms:modified xsi:type="dcterms:W3CDTF">2026-05-18T21:36:00Z</dcterms:modified>
</cp:coreProperties>
</file>