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E259FA" w:rsidRDefault="00EC6F8D" w:rsidP="00EC6F8D">
      <w:pPr>
        <w:spacing w:before="1440"/>
        <w:jc w:val="center"/>
        <w:rPr>
          <w:rFonts w:ascii="Arial" w:hAnsi="Arial" w:cs="Arial"/>
          <w:b/>
          <w:sz w:val="22"/>
          <w:szCs w:val="22"/>
        </w:rPr>
      </w:pPr>
      <w:r w:rsidRPr="00E259FA">
        <w:rPr>
          <w:rFonts w:ascii="Arial" w:hAnsi="Arial" w:cs="Arial"/>
          <w:b/>
          <w:sz w:val="22"/>
          <w:szCs w:val="22"/>
        </w:rPr>
        <w:t>CONVENTION FOR THE SAFEGUARDING OF THE</w:t>
      </w:r>
      <w:r w:rsidRPr="00E259FA">
        <w:rPr>
          <w:rFonts w:ascii="Arial" w:hAnsi="Arial" w:cs="Arial"/>
          <w:b/>
          <w:sz w:val="22"/>
          <w:szCs w:val="22"/>
        </w:rPr>
        <w:br/>
        <w:t>INTANGIBLE CULTURAL HERITAGE</w:t>
      </w:r>
    </w:p>
    <w:p w14:paraId="3F72B1D3" w14:textId="37133200" w:rsidR="00EC6F8D" w:rsidRPr="00E259FA" w:rsidRDefault="005C792B" w:rsidP="00EC6F8D">
      <w:pPr>
        <w:spacing w:before="1200"/>
        <w:jc w:val="center"/>
        <w:rPr>
          <w:rFonts w:ascii="Arial" w:hAnsi="Arial" w:cs="Arial"/>
          <w:b/>
          <w:sz w:val="22"/>
          <w:szCs w:val="22"/>
        </w:rPr>
      </w:pPr>
      <w:r w:rsidRPr="00E259FA">
        <w:rPr>
          <w:rFonts w:ascii="Arial" w:hAnsi="Arial" w:cs="Arial"/>
          <w:b/>
          <w:sz w:val="22"/>
          <w:szCs w:val="22"/>
        </w:rPr>
        <w:t>GENERAL ASSEMBLY OF THE STATES PARTIES TO THE CONVENTION</w:t>
      </w:r>
    </w:p>
    <w:p w14:paraId="2E1CD4B4" w14:textId="762C97E8" w:rsidR="00EC6F8D" w:rsidRPr="00E259FA" w:rsidRDefault="0026085B" w:rsidP="001D14FE">
      <w:pPr>
        <w:spacing w:before="840"/>
        <w:jc w:val="center"/>
        <w:rPr>
          <w:rFonts w:ascii="Arial" w:hAnsi="Arial" w:cs="Arial"/>
          <w:b/>
          <w:sz w:val="22"/>
          <w:szCs w:val="22"/>
        </w:rPr>
      </w:pPr>
      <w:r w:rsidRPr="00E259FA">
        <w:rPr>
          <w:rFonts w:ascii="Arial" w:eastAsiaTheme="minorEastAsia" w:hAnsi="Arial" w:cs="Arial"/>
          <w:b/>
          <w:sz w:val="22"/>
          <w:szCs w:val="22"/>
          <w:lang w:eastAsia="ko-KR"/>
        </w:rPr>
        <w:t>Eleventh</w:t>
      </w:r>
      <w:r w:rsidR="00B2172B" w:rsidRPr="00E259FA">
        <w:rPr>
          <w:rFonts w:ascii="Arial" w:eastAsiaTheme="minorEastAsia" w:hAnsi="Arial" w:cs="Arial"/>
          <w:b/>
          <w:sz w:val="22"/>
          <w:szCs w:val="22"/>
          <w:lang w:eastAsia="ko-KR"/>
        </w:rPr>
        <w:t xml:space="preserve"> </w:t>
      </w:r>
      <w:r w:rsidR="00EC6F8D" w:rsidRPr="00E259FA">
        <w:rPr>
          <w:rFonts w:ascii="Arial" w:hAnsi="Arial" w:cs="Arial"/>
          <w:b/>
          <w:sz w:val="22"/>
          <w:szCs w:val="22"/>
        </w:rPr>
        <w:t>session</w:t>
      </w:r>
    </w:p>
    <w:p w14:paraId="1FD89575" w14:textId="05D2C62D" w:rsidR="00B2172B" w:rsidRPr="00E259FA" w:rsidRDefault="005C792B" w:rsidP="00B2172B">
      <w:pPr>
        <w:jc w:val="center"/>
        <w:rPr>
          <w:rFonts w:ascii="Arial" w:hAnsi="Arial" w:cs="Arial"/>
          <w:b/>
          <w:sz w:val="22"/>
          <w:szCs w:val="22"/>
        </w:rPr>
      </w:pPr>
      <w:r w:rsidRPr="00E259FA">
        <w:rPr>
          <w:rFonts w:ascii="Arial" w:hAnsi="Arial" w:cs="Arial"/>
          <w:b/>
          <w:sz w:val="22"/>
          <w:szCs w:val="22"/>
        </w:rPr>
        <w:t>UNESCO Headquarters, Room I</w:t>
      </w:r>
    </w:p>
    <w:p w14:paraId="52EA6D50" w14:textId="46BCF87A" w:rsidR="00B2172B" w:rsidRPr="00E259FA" w:rsidRDefault="00544C93" w:rsidP="00B2172B">
      <w:pPr>
        <w:jc w:val="center"/>
        <w:rPr>
          <w:rFonts w:ascii="Arial" w:hAnsi="Arial" w:cs="Arial"/>
          <w:b/>
          <w:sz w:val="22"/>
          <w:szCs w:val="22"/>
        </w:rPr>
      </w:pPr>
      <w:r w:rsidRPr="00E259FA">
        <w:rPr>
          <w:rFonts w:ascii="Arial" w:hAnsi="Arial" w:cs="Arial"/>
          <w:b/>
          <w:sz w:val="22"/>
          <w:szCs w:val="22"/>
        </w:rPr>
        <w:t>17</w:t>
      </w:r>
      <w:r w:rsidR="0026221A" w:rsidRPr="00E259FA">
        <w:rPr>
          <w:rFonts w:ascii="Arial" w:hAnsi="Arial" w:cs="Arial"/>
          <w:b/>
          <w:sz w:val="22"/>
          <w:szCs w:val="22"/>
        </w:rPr>
        <w:t xml:space="preserve"> to </w:t>
      </w:r>
      <w:r w:rsidRPr="00E259FA">
        <w:rPr>
          <w:rFonts w:ascii="Arial" w:hAnsi="Arial" w:cs="Arial"/>
          <w:b/>
          <w:sz w:val="22"/>
          <w:szCs w:val="22"/>
        </w:rPr>
        <w:t>18</w:t>
      </w:r>
      <w:r w:rsidR="0054535F" w:rsidRPr="00E259FA">
        <w:rPr>
          <w:rFonts w:ascii="Arial" w:hAnsi="Arial" w:cs="Arial"/>
          <w:b/>
          <w:sz w:val="22"/>
          <w:szCs w:val="22"/>
        </w:rPr>
        <w:t xml:space="preserve"> June</w:t>
      </w:r>
      <w:r w:rsidR="00B2172B" w:rsidRPr="00E259FA">
        <w:rPr>
          <w:rFonts w:ascii="Arial" w:hAnsi="Arial" w:cs="Arial"/>
          <w:b/>
          <w:sz w:val="22"/>
          <w:szCs w:val="22"/>
        </w:rPr>
        <w:t xml:space="preserve"> 202</w:t>
      </w:r>
      <w:r w:rsidR="0026085B" w:rsidRPr="00E259FA">
        <w:rPr>
          <w:rFonts w:ascii="Arial" w:hAnsi="Arial" w:cs="Arial"/>
          <w:b/>
          <w:sz w:val="22"/>
          <w:szCs w:val="22"/>
        </w:rPr>
        <w:t>6</w:t>
      </w:r>
    </w:p>
    <w:p w14:paraId="0365203A" w14:textId="0599C623" w:rsidR="00EC6F8D" w:rsidRPr="00E259FA" w:rsidRDefault="00EC6F8D" w:rsidP="00EC6F8D">
      <w:pPr>
        <w:pStyle w:val="Sansinterligne2"/>
        <w:spacing w:before="1200"/>
        <w:jc w:val="center"/>
        <w:rPr>
          <w:rFonts w:ascii="Arial" w:hAnsi="Arial" w:cs="Arial"/>
          <w:b/>
          <w:sz w:val="22"/>
          <w:szCs w:val="22"/>
          <w:lang w:val="en-GB"/>
        </w:rPr>
      </w:pPr>
      <w:r w:rsidRPr="00E259FA">
        <w:rPr>
          <w:rFonts w:ascii="Arial" w:hAnsi="Arial" w:cs="Arial"/>
          <w:b/>
          <w:sz w:val="22"/>
          <w:szCs w:val="22"/>
          <w:u w:val="single"/>
          <w:lang w:val="en-GB"/>
        </w:rPr>
        <w:t xml:space="preserve">Item </w:t>
      </w:r>
      <w:r w:rsidR="00882FA2" w:rsidRPr="00E259FA">
        <w:rPr>
          <w:rFonts w:ascii="Arial" w:hAnsi="Arial" w:cs="Arial"/>
          <w:b/>
          <w:sz w:val="22"/>
          <w:szCs w:val="22"/>
          <w:u w:val="single"/>
          <w:lang w:val="en-GB"/>
        </w:rPr>
        <w:t>8</w:t>
      </w:r>
      <w:r w:rsidR="00651A5B" w:rsidRPr="00E259FA">
        <w:rPr>
          <w:rFonts w:ascii="Arial" w:hAnsi="Arial" w:cs="Arial"/>
          <w:b/>
          <w:sz w:val="22"/>
          <w:szCs w:val="22"/>
          <w:u w:val="single"/>
          <w:lang w:val="en-GB"/>
        </w:rPr>
        <w:t xml:space="preserve"> </w:t>
      </w:r>
      <w:r w:rsidRPr="00E259FA">
        <w:rPr>
          <w:rFonts w:ascii="Arial" w:hAnsi="Arial" w:cs="Arial"/>
          <w:b/>
          <w:sz w:val="22"/>
          <w:szCs w:val="22"/>
          <w:u w:val="single"/>
          <w:lang w:val="en-GB"/>
        </w:rPr>
        <w:t xml:space="preserve">of the </w:t>
      </w:r>
      <w:r w:rsidR="00937D53" w:rsidRPr="00E259FA">
        <w:rPr>
          <w:rFonts w:ascii="Arial" w:hAnsi="Arial" w:cs="Arial"/>
          <w:b/>
          <w:sz w:val="22"/>
          <w:szCs w:val="22"/>
          <w:u w:val="single"/>
          <w:lang w:val="en-GB"/>
        </w:rPr>
        <w:t>p</w:t>
      </w:r>
      <w:r w:rsidRPr="00E259FA">
        <w:rPr>
          <w:rFonts w:ascii="Arial" w:hAnsi="Arial" w:cs="Arial"/>
          <w:b/>
          <w:sz w:val="22"/>
          <w:szCs w:val="22"/>
          <w:u w:val="single"/>
          <w:lang w:val="en-GB"/>
        </w:rPr>
        <w:t xml:space="preserve">rovisional </w:t>
      </w:r>
      <w:r w:rsidR="00937D53" w:rsidRPr="00E259FA">
        <w:rPr>
          <w:rFonts w:ascii="Arial" w:hAnsi="Arial" w:cs="Arial"/>
          <w:b/>
          <w:sz w:val="22"/>
          <w:szCs w:val="22"/>
          <w:u w:val="single"/>
          <w:lang w:val="en-GB"/>
        </w:rPr>
        <w:t>a</w:t>
      </w:r>
      <w:r w:rsidRPr="00E259FA">
        <w:rPr>
          <w:rFonts w:ascii="Arial" w:hAnsi="Arial" w:cs="Arial"/>
          <w:b/>
          <w:sz w:val="22"/>
          <w:szCs w:val="22"/>
          <w:u w:val="single"/>
          <w:lang w:val="en-GB"/>
        </w:rPr>
        <w:t>genda</w:t>
      </w:r>
      <w:r w:rsidRPr="00E259FA">
        <w:rPr>
          <w:rFonts w:ascii="Arial" w:hAnsi="Arial" w:cs="Arial"/>
          <w:b/>
          <w:sz w:val="22"/>
          <w:szCs w:val="22"/>
          <w:lang w:val="en-GB"/>
        </w:rPr>
        <w:t>:</w:t>
      </w:r>
    </w:p>
    <w:p w14:paraId="59920478" w14:textId="627A206F" w:rsidR="004A2875" w:rsidRPr="00E259FA" w:rsidRDefault="00882FA2" w:rsidP="004A2875">
      <w:pPr>
        <w:pStyle w:val="Sansinterligne2"/>
        <w:spacing w:after="960"/>
        <w:jc w:val="center"/>
        <w:rPr>
          <w:rFonts w:ascii="Arial" w:hAnsi="Arial" w:cs="Arial"/>
          <w:bCs/>
          <w:sz w:val="22"/>
          <w:szCs w:val="22"/>
          <w:lang w:val="en-GB"/>
        </w:rPr>
      </w:pPr>
      <w:r w:rsidRPr="00E259FA">
        <w:rPr>
          <w:rFonts w:ascii="Arial" w:hAnsi="Arial" w:cs="Arial"/>
          <w:b/>
          <w:sz w:val="22"/>
          <w:szCs w:val="22"/>
          <w:lang w:val="en-GB"/>
        </w:rPr>
        <w:t xml:space="preserve">Use of the resources of the Intangible Cultural Heritage Fund </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E259FA" w14:paraId="75AC6221" w14:textId="77777777" w:rsidTr="00EC6F8D">
        <w:trPr>
          <w:jc w:val="center"/>
        </w:trPr>
        <w:tc>
          <w:tcPr>
            <w:tcW w:w="5670" w:type="dxa"/>
            <w:vAlign w:val="center"/>
          </w:tcPr>
          <w:p w14:paraId="51C260A9" w14:textId="77777777" w:rsidR="00EC6F8D" w:rsidRPr="00E259FA" w:rsidRDefault="00EC6F8D" w:rsidP="00CA56BB">
            <w:pPr>
              <w:pStyle w:val="Sansinterligne1"/>
              <w:spacing w:before="200" w:after="200"/>
              <w:jc w:val="center"/>
              <w:rPr>
                <w:rFonts w:ascii="Arial" w:hAnsi="Arial" w:cs="Arial"/>
                <w:b/>
                <w:sz w:val="22"/>
                <w:szCs w:val="22"/>
                <w:lang w:val="en-GB"/>
              </w:rPr>
            </w:pPr>
            <w:r w:rsidRPr="00E259FA">
              <w:rPr>
                <w:rFonts w:ascii="Arial" w:hAnsi="Arial" w:cs="Arial"/>
                <w:b/>
                <w:sz w:val="22"/>
                <w:szCs w:val="22"/>
                <w:lang w:val="en-GB"/>
              </w:rPr>
              <w:t>Summary</w:t>
            </w:r>
          </w:p>
          <w:p w14:paraId="612E5DE6" w14:textId="31A63EF5" w:rsidR="00BB6EEC" w:rsidRPr="00E259FA" w:rsidRDefault="00882FA2" w:rsidP="00BB6EEC">
            <w:pPr>
              <w:pStyle w:val="Sansinterligne1"/>
              <w:jc w:val="both"/>
              <w:rPr>
                <w:rFonts w:ascii="Arial" w:hAnsi="Arial" w:cs="Arial"/>
                <w:bCs/>
                <w:sz w:val="22"/>
                <w:szCs w:val="22"/>
                <w:lang w:val="en-GB"/>
              </w:rPr>
            </w:pPr>
            <w:r w:rsidRPr="00E259FA">
              <w:rPr>
                <w:rFonts w:ascii="Arial" w:hAnsi="Arial" w:cs="Arial"/>
                <w:sz w:val="22"/>
                <w:szCs w:val="22"/>
                <w:lang w:val="en-GB"/>
              </w:rPr>
              <w:t xml:space="preserve">Article </w:t>
            </w:r>
            <w:r w:rsidRPr="00E259FA">
              <w:rPr>
                <w:rFonts w:ascii="Arial" w:hAnsi="Arial" w:cs="Arial"/>
                <w:bCs/>
                <w:sz w:val="22"/>
                <w:szCs w:val="22"/>
                <w:lang w:val="en-GB"/>
              </w:rPr>
              <w:t xml:space="preserve">7(c) </w:t>
            </w:r>
            <w:r w:rsidRPr="00E259FA">
              <w:rPr>
                <w:rFonts w:ascii="Arial" w:hAnsi="Arial" w:cs="Arial"/>
                <w:sz w:val="22"/>
                <w:szCs w:val="22"/>
                <w:lang w:val="en-GB"/>
              </w:rPr>
              <w:t>of the Convention provides that the Committee shall prepare and submit to the General Assembly for approval a draft plan for the use of the resources of the Fund. The document presents such a draft plan, as recommended by the Committee for the period 2026</w:t>
            </w:r>
            <w:r w:rsidR="00AB5E42" w:rsidRPr="006D3FCF">
              <w:rPr>
                <w:lang w:val="en-GB"/>
              </w:rPr>
              <w:t>–</w:t>
            </w:r>
            <w:r w:rsidRPr="00E259FA">
              <w:rPr>
                <w:rFonts w:ascii="Arial" w:hAnsi="Arial" w:cs="Arial"/>
                <w:sz w:val="22"/>
                <w:szCs w:val="22"/>
                <w:lang w:val="en-GB"/>
              </w:rPr>
              <w:t>2027 and for the first semester of 2028.</w:t>
            </w:r>
          </w:p>
          <w:p w14:paraId="290310E8" w14:textId="51CA09BB" w:rsidR="00EC6F8D" w:rsidRPr="00E259FA" w:rsidRDefault="00EC6F8D" w:rsidP="00CA56BB">
            <w:pPr>
              <w:pStyle w:val="Sansinterligne2"/>
              <w:spacing w:before="200" w:after="200"/>
              <w:jc w:val="both"/>
              <w:rPr>
                <w:rFonts w:ascii="Arial" w:hAnsi="Arial" w:cs="Arial"/>
                <w:b/>
                <w:sz w:val="22"/>
                <w:szCs w:val="22"/>
                <w:lang w:val="en-GB"/>
              </w:rPr>
            </w:pPr>
            <w:r w:rsidRPr="00E259FA">
              <w:rPr>
                <w:rFonts w:ascii="Arial" w:hAnsi="Arial" w:cs="Arial"/>
                <w:b/>
                <w:sz w:val="22"/>
                <w:szCs w:val="22"/>
                <w:lang w:val="en-GB"/>
              </w:rPr>
              <w:t xml:space="preserve">Decision required: </w:t>
            </w:r>
            <w:r w:rsidRPr="00E259FA">
              <w:rPr>
                <w:rFonts w:ascii="Arial" w:hAnsi="Arial" w:cs="Arial"/>
                <w:bCs/>
                <w:sz w:val="22"/>
                <w:szCs w:val="22"/>
                <w:lang w:val="en-GB"/>
              </w:rPr>
              <w:t xml:space="preserve">paragraph </w:t>
            </w:r>
            <w:r w:rsidR="000E7D71" w:rsidRPr="00CC4CD0">
              <w:rPr>
                <w:rFonts w:ascii="Arial" w:hAnsi="Arial" w:cs="Arial"/>
                <w:bCs/>
                <w:sz w:val="22"/>
                <w:szCs w:val="22"/>
                <w:lang w:val="en-GB"/>
              </w:rPr>
              <w:t>3</w:t>
            </w:r>
            <w:r w:rsidR="00E259FA" w:rsidRPr="00CC4CD0">
              <w:rPr>
                <w:rFonts w:ascii="Arial" w:hAnsi="Arial" w:cs="Arial"/>
                <w:bCs/>
                <w:sz w:val="22"/>
                <w:szCs w:val="22"/>
                <w:lang w:val="en-GB"/>
              </w:rPr>
              <w:t>2</w:t>
            </w:r>
          </w:p>
        </w:tc>
      </w:tr>
    </w:tbl>
    <w:p w14:paraId="6C640CD4" w14:textId="77777777" w:rsidR="00DB56C4" w:rsidRDefault="00DB56C4" w:rsidP="00F70CC5">
      <w:pPr>
        <w:pStyle w:val="COMPara"/>
        <w:numPr>
          <w:ilvl w:val="0"/>
          <w:numId w:val="0"/>
        </w:numPr>
        <w:spacing w:before="240"/>
        <w:jc w:val="both"/>
        <w:rPr>
          <w:b/>
          <w:bCs/>
        </w:rPr>
      </w:pPr>
      <w:bookmarkStart w:id="0" w:name="_Hlk124351255"/>
    </w:p>
    <w:p w14:paraId="05F1F544" w14:textId="77777777" w:rsidR="00DB56C4" w:rsidRDefault="00DB56C4">
      <w:pPr>
        <w:rPr>
          <w:rFonts w:ascii="Arial" w:hAnsi="Arial" w:cs="Arial"/>
          <w:b/>
          <w:bCs/>
          <w:snapToGrid w:val="0"/>
          <w:sz w:val="22"/>
          <w:szCs w:val="22"/>
          <w:lang w:eastAsia="en-US"/>
        </w:rPr>
      </w:pPr>
      <w:r>
        <w:rPr>
          <w:b/>
          <w:bCs/>
        </w:rPr>
        <w:br w:type="page"/>
      </w:r>
    </w:p>
    <w:p w14:paraId="6C62585F" w14:textId="554CFF7B" w:rsidR="00F70CC5" w:rsidRPr="00E259FA" w:rsidRDefault="00FD4BC8" w:rsidP="00F70CC5">
      <w:pPr>
        <w:pStyle w:val="COMPara"/>
        <w:numPr>
          <w:ilvl w:val="0"/>
          <w:numId w:val="0"/>
        </w:numPr>
        <w:spacing w:before="240"/>
        <w:jc w:val="both"/>
        <w:rPr>
          <w:b/>
          <w:bCs/>
        </w:rPr>
      </w:pPr>
      <w:r w:rsidRPr="00E259FA">
        <w:rPr>
          <w:b/>
          <w:bCs/>
        </w:rPr>
        <w:lastRenderedPageBreak/>
        <w:t>Background</w:t>
      </w:r>
    </w:p>
    <w:bookmarkEnd w:id="0"/>
    <w:p w14:paraId="45CF59FE" w14:textId="04D3C9C8" w:rsidR="00882FA2" w:rsidRPr="00E259FA" w:rsidRDefault="00882FA2" w:rsidP="00882FA2">
      <w:pPr>
        <w:pStyle w:val="GAPara"/>
        <w:numPr>
          <w:ilvl w:val="0"/>
          <w:numId w:val="23"/>
        </w:numPr>
        <w:ind w:left="567" w:hanging="567"/>
        <w:jc w:val="both"/>
      </w:pPr>
      <w:r w:rsidRPr="00E259FA">
        <w:t>Article 7(c) of the Convention requests that the Committee ‘prepare and submit to the General Assembly for approval a draft plan for the use of the resources of the [Intangible Cultural Heritage] Fund [Special Account</w:t>
      </w:r>
      <w:r w:rsidR="00AB5E42" w:rsidRPr="00E259FA">
        <w:t>]’</w:t>
      </w:r>
      <w:r w:rsidRPr="00E259FA">
        <w:t xml:space="preserve"> (hereafter ‘the Fund’), in accordance with Article 25 of the Convention. The draft plan (hereafter the ‘Plan’), submitted by the Committee in accordance with its Decision </w:t>
      </w:r>
      <w:hyperlink r:id="rId8" w:history="1">
        <w:r w:rsidR="00976D68" w:rsidRPr="00E259FA">
          <w:rPr>
            <w:rStyle w:val="Hyperlink"/>
          </w:rPr>
          <w:t>20</w:t>
        </w:r>
        <w:r w:rsidRPr="00E259FA">
          <w:rPr>
            <w:rStyle w:val="Hyperlink"/>
          </w:rPr>
          <w:t>.COM 14</w:t>
        </w:r>
      </w:hyperlink>
      <w:r w:rsidRPr="00E259FA">
        <w:t xml:space="preserve"> and annexed to the present document, was prepared in conformity with the guidelines found in Chapter II.1 of the </w:t>
      </w:r>
      <w:hyperlink r:id="rId9" w:history="1">
        <w:r w:rsidRPr="00E259FA">
          <w:rPr>
            <w:rStyle w:val="Hyperlink"/>
          </w:rPr>
          <w:t>Operational Directives</w:t>
        </w:r>
      </w:hyperlink>
      <w:r w:rsidRPr="00E259FA">
        <w:t xml:space="preserve"> and based on the experience of implementing the Plan during previous biennia. The narrative and financial report for the period 1 January 2024 to 31 December 2025 as required by Article 10 of the Financial Regulations of the Fund, is available in document </w:t>
      </w:r>
      <w:hyperlink r:id="rId10" w:history="1">
        <w:r w:rsidR="00876785" w:rsidRPr="00CC4CD0">
          <w:rPr>
            <w:rStyle w:val="Hyperlink"/>
          </w:rPr>
          <w:t>LHE/26/11.GA/INF.8</w:t>
        </w:r>
      </w:hyperlink>
      <w:r w:rsidR="00876785" w:rsidRPr="00CC4CD0">
        <w:t>.</w:t>
      </w:r>
    </w:p>
    <w:p w14:paraId="3EBC354C" w14:textId="0D8625D5" w:rsidR="00882FA2" w:rsidRPr="00E259FA" w:rsidRDefault="00882FA2" w:rsidP="00882FA2">
      <w:pPr>
        <w:pStyle w:val="GAPara"/>
        <w:numPr>
          <w:ilvl w:val="0"/>
          <w:numId w:val="23"/>
        </w:numPr>
        <w:ind w:left="567" w:hanging="567"/>
        <w:jc w:val="both"/>
      </w:pPr>
      <w:r w:rsidRPr="00E259FA">
        <w:t>In accordance with Article 2 of the Financial Regulations of the Fund, ‘the financial period for budget estimates shall be two consecutive calendar years beginning with an even</w:t>
      </w:r>
      <w:r w:rsidR="00110005" w:rsidRPr="00E259FA">
        <w:t>-</w:t>
      </w:r>
      <w:r w:rsidRPr="00E259FA">
        <w:t xml:space="preserve">numbered year’. However, the General Assembly of the States Parties to the Convention meets in ordinary session in even years, about six months after the start of the calendar year. The present session of the Assembly </w:t>
      </w:r>
      <w:proofErr w:type="gramStart"/>
      <w:r w:rsidRPr="00E259FA">
        <w:t>is therefore requested</w:t>
      </w:r>
      <w:proofErr w:type="gramEnd"/>
      <w:r w:rsidRPr="00E259FA">
        <w:t xml:space="preserve"> to approve a Plan for the period 1 January </w:t>
      </w:r>
      <w:r w:rsidR="00976D68" w:rsidRPr="00E259FA">
        <w:t>2026</w:t>
      </w:r>
      <w:r w:rsidRPr="00E259FA">
        <w:t xml:space="preserve"> to 31 December </w:t>
      </w:r>
      <w:r w:rsidR="00976D68" w:rsidRPr="00E259FA">
        <w:t>2027</w:t>
      </w:r>
      <w:r w:rsidRPr="00E259FA">
        <w:t xml:space="preserve"> and, on a provisional basis, for the first six months of the next financial period, i.e. from 1 January 202</w:t>
      </w:r>
      <w:r w:rsidR="00110005" w:rsidRPr="00E259FA">
        <w:t>8</w:t>
      </w:r>
      <w:r w:rsidRPr="00E259FA">
        <w:t xml:space="preserve"> to 30 June </w:t>
      </w:r>
      <w:r w:rsidR="00976D68" w:rsidRPr="00E259FA">
        <w:t>2028</w:t>
      </w:r>
      <w:r w:rsidRPr="00E259FA">
        <w:t xml:space="preserve">. The provisional budget for the first semester of </w:t>
      </w:r>
      <w:r w:rsidR="00976D68" w:rsidRPr="00E259FA">
        <w:t>2026</w:t>
      </w:r>
      <w:r w:rsidRPr="00E259FA">
        <w:t xml:space="preserve"> adopted by the </w:t>
      </w:r>
      <w:r w:rsidR="00976D68" w:rsidRPr="00E259FA">
        <w:t xml:space="preserve">tenth </w:t>
      </w:r>
      <w:r w:rsidRPr="00E259FA">
        <w:t>session of the General Assembly (Resolution </w:t>
      </w:r>
      <w:hyperlink r:id="rId11" w:history="1">
        <w:proofErr w:type="gramStart"/>
        <w:r w:rsidR="00976D68" w:rsidRPr="00E259FA">
          <w:rPr>
            <w:rStyle w:val="Hyperlink"/>
          </w:rPr>
          <w:t>10</w:t>
        </w:r>
        <w:proofErr w:type="gramEnd"/>
        <w:r w:rsidR="00976D68" w:rsidRPr="00E259FA">
          <w:rPr>
            <w:rStyle w:val="Hyperlink"/>
          </w:rPr>
          <w:t>.GA 8</w:t>
        </w:r>
      </w:hyperlink>
      <w:r w:rsidRPr="00E259FA">
        <w:t xml:space="preserve">) will in turn </w:t>
      </w:r>
      <w:proofErr w:type="gramStart"/>
      <w:r w:rsidRPr="00E259FA">
        <w:t>be superseded</w:t>
      </w:r>
      <w:proofErr w:type="gramEnd"/>
      <w:r w:rsidRPr="00E259FA">
        <w:t xml:space="preserve"> by the present Plan once adopted by the current session of the General Assembly.</w:t>
      </w:r>
    </w:p>
    <w:p w14:paraId="55557E26" w14:textId="77777777" w:rsidR="00882FA2" w:rsidRPr="00E259FA" w:rsidRDefault="00882FA2" w:rsidP="00882FA2">
      <w:pPr>
        <w:pStyle w:val="COMPara"/>
        <w:numPr>
          <w:ilvl w:val="0"/>
          <w:numId w:val="23"/>
        </w:numPr>
        <w:tabs>
          <w:tab w:val="left" w:pos="567"/>
        </w:tabs>
        <w:ind w:left="567" w:hanging="567"/>
        <w:jc w:val="both"/>
        <w:rPr>
          <w:bCs/>
        </w:rPr>
      </w:pPr>
      <w:r w:rsidRPr="00E259FA">
        <w:t xml:space="preserve">It </w:t>
      </w:r>
      <w:proofErr w:type="gramStart"/>
      <w:r w:rsidRPr="00E259FA">
        <w:t>is proposed</w:t>
      </w:r>
      <w:proofErr w:type="gramEnd"/>
      <w:r w:rsidRPr="00E259FA">
        <w:t xml:space="preserve"> that the General Assembly allocates funds in each line on the basis of percentages of the total resources available, rather than in absolute figures. This will allow, in case of need, for assessed contributions received during the biennium to be allocated to each budget line following the approved percentages. In this way, the Committee will be able to make use of any significant unrestricted voluntary supplementary contributions (as described in Article 27) that might </w:t>
      </w:r>
      <w:proofErr w:type="gramStart"/>
      <w:r w:rsidRPr="00E259FA">
        <w:t>be credited</w:t>
      </w:r>
      <w:proofErr w:type="gramEnd"/>
      <w:r w:rsidRPr="00E259FA">
        <w:t xml:space="preserve"> to the Fund during the biennium. At the same time, it </w:t>
      </w:r>
      <w:proofErr w:type="gramStart"/>
      <w:r w:rsidRPr="00E259FA">
        <w:t>is also suggested</w:t>
      </w:r>
      <w:proofErr w:type="gramEnd"/>
      <w:r w:rsidRPr="00E259FA">
        <w:t xml:space="preserve"> that the General Assembly, as it did during its previous sessions, authorize the Committee to make immediate use of any such contributions upon receipt, in conformity with the percentages established in the Plan.</w:t>
      </w:r>
    </w:p>
    <w:p w14:paraId="4BD553F7" w14:textId="547DC5CE" w:rsidR="00882FA2" w:rsidRPr="00E259FA" w:rsidRDefault="00882FA2" w:rsidP="00882FA2">
      <w:pPr>
        <w:pStyle w:val="COMPara"/>
        <w:numPr>
          <w:ilvl w:val="0"/>
          <w:numId w:val="23"/>
        </w:numPr>
        <w:tabs>
          <w:tab w:val="left" w:pos="567"/>
        </w:tabs>
        <w:ind w:left="567" w:hanging="567"/>
        <w:jc w:val="both"/>
      </w:pPr>
      <w:r w:rsidRPr="00E259FA">
        <w:t>Furthermore, the General Assembly is asked to authorize the Committee to make immediate use of contributions related to specific projects, provided that they are within the scope of the two funding priorities approved by the Committee for the period 202</w:t>
      </w:r>
      <w:r w:rsidR="00976D68" w:rsidRPr="00E259FA">
        <w:t>6</w:t>
      </w:r>
      <w:r w:rsidR="003C3D11" w:rsidRPr="00E259FA">
        <w:t>–</w:t>
      </w:r>
      <w:r w:rsidRPr="00E259FA">
        <w:t>202</w:t>
      </w:r>
      <w:r w:rsidR="00976D68" w:rsidRPr="00E259FA">
        <w:t>9</w:t>
      </w:r>
      <w:r w:rsidRPr="00E259FA">
        <w:t xml:space="preserve"> (Decision </w:t>
      </w:r>
      <w:hyperlink r:id="rId12" w:history="1">
        <w:r w:rsidR="00976D68" w:rsidRPr="00E259FA">
          <w:rPr>
            <w:rStyle w:val="Hyperlink"/>
          </w:rPr>
          <w:t>20.COM 13</w:t>
        </w:r>
      </w:hyperlink>
      <w:r w:rsidRPr="00E259FA">
        <w:t xml:space="preserve">): </w:t>
      </w:r>
      <w:r w:rsidR="00976D68" w:rsidRPr="00E259FA">
        <w:t>‘Enhancing capacity-building approaches for safeguarding intangible cultural heritage with a focus on human well-being and community empowerment’ (Funding Priority A) and ‘Refining approaches for safeguarding intangible cultural heritage’ (Funding Priority B)</w:t>
      </w:r>
      <w:r w:rsidRPr="00E259FA">
        <w:t>. The list of such contributions</w:t>
      </w:r>
      <w:r w:rsidR="00AB5E42" w:rsidRPr="00E259FA">
        <w:t xml:space="preserve"> received in 2024</w:t>
      </w:r>
      <w:r w:rsidR="00AB5E42" w:rsidRPr="006D3FCF">
        <w:t>–2025</w:t>
      </w:r>
      <w:r w:rsidRPr="00E259FA">
        <w:t xml:space="preserve">, as well as other voluntary supplementary contributions and donors, can </w:t>
      </w:r>
      <w:proofErr w:type="gramStart"/>
      <w:r w:rsidRPr="00E259FA">
        <w:t>be found</w:t>
      </w:r>
      <w:proofErr w:type="gramEnd"/>
      <w:r w:rsidRPr="00E259FA">
        <w:t xml:space="preserve"> in the information document </w:t>
      </w:r>
      <w:hyperlink r:id="rId13" w:history="1">
        <w:r w:rsidRPr="00CC4CD0">
          <w:rPr>
            <w:rStyle w:val="Hyperlink"/>
          </w:rPr>
          <w:t>LHE/</w:t>
        </w:r>
        <w:r w:rsidR="00976D68" w:rsidRPr="00CC4CD0">
          <w:rPr>
            <w:rStyle w:val="Hyperlink"/>
          </w:rPr>
          <w:t>26</w:t>
        </w:r>
        <w:r w:rsidRPr="00CC4CD0">
          <w:rPr>
            <w:rStyle w:val="Hyperlink"/>
          </w:rPr>
          <w:t>/</w:t>
        </w:r>
        <w:r w:rsidR="00976D68" w:rsidRPr="00CC4CD0">
          <w:rPr>
            <w:rStyle w:val="Hyperlink"/>
          </w:rPr>
          <w:t>11</w:t>
        </w:r>
        <w:r w:rsidRPr="00CC4CD0">
          <w:rPr>
            <w:rStyle w:val="Hyperlink"/>
          </w:rPr>
          <w:t>.GA/INF.8</w:t>
        </w:r>
      </w:hyperlink>
      <w:r w:rsidRPr="00CC4CD0">
        <w:t>.</w:t>
      </w:r>
    </w:p>
    <w:p w14:paraId="5203149A" w14:textId="348EA378" w:rsidR="00882FA2" w:rsidRPr="00E259FA" w:rsidRDefault="00882FA2" w:rsidP="00882FA2">
      <w:pPr>
        <w:pStyle w:val="GAPara"/>
        <w:numPr>
          <w:ilvl w:val="0"/>
          <w:numId w:val="23"/>
        </w:numPr>
        <w:ind w:left="567" w:hanging="567"/>
        <w:jc w:val="both"/>
      </w:pPr>
      <w:r w:rsidRPr="00E259FA">
        <w:t xml:space="preserve">The present document first provides an overview of the status of the Fund and of current trends, including an update on the Sub–fund for enhancing the human resources of the Secretariat (Part </w:t>
      </w:r>
      <w:r w:rsidR="00DF48A7" w:rsidRPr="00E259FA">
        <w:t>I</w:t>
      </w:r>
      <w:r w:rsidRPr="00E259FA">
        <w:t>). The proposed plan for the use of the resources of the Fund for the period 202</w:t>
      </w:r>
      <w:r w:rsidR="00976D68" w:rsidRPr="00E259FA">
        <w:t>6</w:t>
      </w:r>
      <w:r w:rsidR="00AB5E42" w:rsidRPr="006D3FCF">
        <w:t>–</w:t>
      </w:r>
      <w:r w:rsidRPr="00E259FA">
        <w:t>202</w:t>
      </w:r>
      <w:r w:rsidR="00976D68" w:rsidRPr="00E259FA">
        <w:t>7</w:t>
      </w:r>
      <w:r w:rsidRPr="00E259FA">
        <w:t xml:space="preserve"> </w:t>
      </w:r>
      <w:proofErr w:type="gramStart"/>
      <w:r w:rsidRPr="00E259FA">
        <w:t>is then presented</w:t>
      </w:r>
      <w:proofErr w:type="gramEnd"/>
      <w:r w:rsidRPr="00E259FA">
        <w:t xml:space="preserve"> with a rationale for each budget line (Part </w:t>
      </w:r>
      <w:r w:rsidR="00DF48A7" w:rsidRPr="00E259FA">
        <w:t>II</w:t>
      </w:r>
      <w:r w:rsidRPr="00E259FA">
        <w:t>).</w:t>
      </w:r>
    </w:p>
    <w:p w14:paraId="123B6521" w14:textId="7E9E0477" w:rsidR="00F70CC5" w:rsidRPr="00E259FA" w:rsidRDefault="00976D68" w:rsidP="006D3FCF">
      <w:pPr>
        <w:pStyle w:val="Heading4"/>
        <w:spacing w:before="240" w:after="120"/>
        <w:ind w:left="567" w:hanging="425"/>
      </w:pPr>
      <w:r w:rsidRPr="00E259FA">
        <w:t>STATUS AND TRENDS</w:t>
      </w:r>
    </w:p>
    <w:p w14:paraId="133D27E5" w14:textId="3CBA19F5" w:rsidR="00976D68" w:rsidRPr="00E259FA" w:rsidRDefault="00976D68" w:rsidP="00976D68">
      <w:pPr>
        <w:pStyle w:val="GAPara"/>
        <w:numPr>
          <w:ilvl w:val="0"/>
          <w:numId w:val="23"/>
        </w:numPr>
        <w:ind w:left="567" w:hanging="567"/>
        <w:jc w:val="both"/>
      </w:pPr>
      <w:r w:rsidRPr="00E259FA">
        <w:t xml:space="preserve">Based on the </w:t>
      </w:r>
      <w:r w:rsidR="00E72F23" w:rsidRPr="00E259FA">
        <w:t>financial</w:t>
      </w:r>
      <w:r w:rsidRPr="00E259FA">
        <w:t xml:space="preserve"> report </w:t>
      </w:r>
      <w:r w:rsidR="00E72F23" w:rsidRPr="00E259FA">
        <w:t xml:space="preserve">included in </w:t>
      </w:r>
      <w:r w:rsidR="00E72F23" w:rsidRPr="00CC4CD0">
        <w:t xml:space="preserve">document </w:t>
      </w:r>
      <w:hyperlink r:id="rId14" w:history="1">
        <w:r w:rsidR="00E72F23" w:rsidRPr="00CC4CD0">
          <w:rPr>
            <w:rStyle w:val="Hyperlink"/>
          </w:rPr>
          <w:t>LHE/26/11.GA/INF.8</w:t>
        </w:r>
      </w:hyperlink>
      <w:r w:rsidR="00E72F23" w:rsidRPr="00E259FA">
        <w:t xml:space="preserve"> </w:t>
      </w:r>
      <w:r w:rsidRPr="00E259FA">
        <w:t>for the period 1</w:t>
      </w:r>
      <w:r w:rsidR="00E72F23" w:rsidRPr="00E259FA">
        <w:t> </w:t>
      </w:r>
      <w:r w:rsidRPr="00E259FA">
        <w:t xml:space="preserve">January </w:t>
      </w:r>
      <w:r w:rsidR="00876785" w:rsidRPr="00E259FA">
        <w:t>2024</w:t>
      </w:r>
      <w:r w:rsidRPr="00E259FA">
        <w:t xml:space="preserve"> to 31 December </w:t>
      </w:r>
      <w:r w:rsidR="00876785" w:rsidRPr="00E259FA">
        <w:t>2025</w:t>
      </w:r>
      <w:r w:rsidRPr="00E259FA">
        <w:t xml:space="preserve"> and following the analysis of trends outlined in document </w:t>
      </w:r>
      <w:hyperlink r:id="rId15" w:history="1">
        <w:r w:rsidRPr="00E259FA">
          <w:rPr>
            <w:rStyle w:val="Hyperlink"/>
          </w:rPr>
          <w:t>LHE/</w:t>
        </w:r>
        <w:r w:rsidR="00876785" w:rsidRPr="00E259FA">
          <w:rPr>
            <w:rStyle w:val="Hyperlink"/>
          </w:rPr>
          <w:t>25</w:t>
        </w:r>
        <w:r w:rsidRPr="00E259FA">
          <w:rPr>
            <w:rStyle w:val="Hyperlink"/>
          </w:rPr>
          <w:t>/</w:t>
        </w:r>
        <w:r w:rsidR="00876785" w:rsidRPr="00E259FA">
          <w:rPr>
            <w:rStyle w:val="Hyperlink"/>
          </w:rPr>
          <w:t>20</w:t>
        </w:r>
        <w:r w:rsidRPr="00E259FA">
          <w:rPr>
            <w:rStyle w:val="Hyperlink"/>
          </w:rPr>
          <w:t>.COM/14</w:t>
        </w:r>
      </w:hyperlink>
      <w:r w:rsidRPr="00E259FA">
        <w:t xml:space="preserve">, this section describes the evolution of the expenditure of the Fund and of assessed contributions until 31 December </w:t>
      </w:r>
      <w:r w:rsidR="00876785" w:rsidRPr="00E259FA">
        <w:t>2025</w:t>
      </w:r>
      <w:r w:rsidRPr="00E259FA">
        <w:t>.</w:t>
      </w:r>
    </w:p>
    <w:p w14:paraId="01BC7F3E" w14:textId="15836340" w:rsidR="00876785" w:rsidRPr="00E259FA" w:rsidRDefault="00876785" w:rsidP="006D3FCF">
      <w:pPr>
        <w:pStyle w:val="GAPara"/>
        <w:spacing w:before="240"/>
        <w:ind w:left="567" w:firstLine="0"/>
        <w:jc w:val="both"/>
        <w:rPr>
          <w:b/>
          <w:bCs/>
        </w:rPr>
      </w:pPr>
      <w:r w:rsidRPr="00E259FA">
        <w:rPr>
          <w:b/>
          <w:bCs/>
        </w:rPr>
        <w:t>Expenditure</w:t>
      </w:r>
    </w:p>
    <w:p w14:paraId="57E0F750" w14:textId="15E1D0AF" w:rsidR="003C3D11" w:rsidRPr="00E259FA" w:rsidRDefault="003C3D11" w:rsidP="006D3FCF">
      <w:pPr>
        <w:pStyle w:val="GAPara"/>
        <w:numPr>
          <w:ilvl w:val="0"/>
          <w:numId w:val="23"/>
        </w:numPr>
        <w:ind w:left="567" w:hanging="567"/>
        <w:jc w:val="both"/>
      </w:pPr>
      <w:r w:rsidRPr="00E259FA">
        <w:t xml:space="preserve">The </w:t>
      </w:r>
      <w:r w:rsidRPr="00E259FA">
        <w:rPr>
          <w:b/>
          <w:bCs/>
        </w:rPr>
        <w:t>expenditure</w:t>
      </w:r>
      <w:r w:rsidRPr="006D3FCF">
        <w:rPr>
          <w:b/>
          <w:bCs/>
        </w:rPr>
        <w:t xml:space="preserve"> </w:t>
      </w:r>
      <w:r w:rsidRPr="00E259FA">
        <w:t>rate</w:t>
      </w:r>
      <w:r w:rsidRPr="006D3FCF">
        <w:rPr>
          <w:b/>
          <w:bCs/>
        </w:rPr>
        <w:t xml:space="preserve"> </w:t>
      </w:r>
      <w:r w:rsidRPr="00E259FA">
        <w:t xml:space="preserve">of the latest plan approved by the General Assembly has </w:t>
      </w:r>
      <w:r w:rsidR="00A63E8E">
        <w:t xml:space="preserve">increased to </w:t>
      </w:r>
      <w:r w:rsidRPr="00E259FA">
        <w:t>76.9% as at 31 December 2025</w:t>
      </w:r>
      <w:r w:rsidR="00A63E8E">
        <w:t xml:space="preserve"> (compared to 73.2% in the previous biennium and </w:t>
      </w:r>
      <w:r w:rsidR="00A63E8E" w:rsidRPr="00E259FA">
        <w:t>an average rate of 61% over the past ten years, between 2016 and 2025</w:t>
      </w:r>
      <w:r w:rsidR="00A63E8E">
        <w:t>)</w:t>
      </w:r>
      <w:r w:rsidRPr="00E259FA">
        <w:t xml:space="preserve">, representing the highest </w:t>
      </w:r>
      <w:r w:rsidRPr="00E259FA">
        <w:lastRenderedPageBreak/>
        <w:t xml:space="preserve">expenditure rate of the Fund. This marks the second consecutive biennium in which the expenditure rate has reached </w:t>
      </w:r>
      <w:proofErr w:type="gramStart"/>
      <w:r w:rsidRPr="00E259FA">
        <w:t>a high level</w:t>
      </w:r>
      <w:proofErr w:type="gramEnd"/>
      <w:r w:rsidRPr="00E259FA">
        <w:t>.</w:t>
      </w:r>
    </w:p>
    <w:p w14:paraId="03DF7B62" w14:textId="70FE6D8D" w:rsidR="001B6D0C" w:rsidRPr="00E259FA" w:rsidRDefault="00DF48A7" w:rsidP="003C3D11">
      <w:pPr>
        <w:pStyle w:val="GAPara"/>
        <w:numPr>
          <w:ilvl w:val="0"/>
          <w:numId w:val="23"/>
        </w:numPr>
        <w:ind w:left="567" w:hanging="567"/>
        <w:jc w:val="both"/>
      </w:pPr>
      <w:r w:rsidRPr="00E259FA">
        <w:t>The expenditure represented US$6.</w:t>
      </w:r>
      <w:r w:rsidR="00EC2BA3" w:rsidRPr="00E259FA">
        <w:t>29</w:t>
      </w:r>
      <w:r w:rsidRPr="00E259FA">
        <w:t xml:space="preserve"> million in the </w:t>
      </w:r>
      <w:r w:rsidR="00EC2BA3" w:rsidRPr="00E259FA">
        <w:t>2024</w:t>
      </w:r>
      <w:r w:rsidR="00E72F23" w:rsidRPr="006D3FCF">
        <w:t>–</w:t>
      </w:r>
      <w:r w:rsidR="00EC2BA3" w:rsidRPr="00E259FA">
        <w:t>2025</w:t>
      </w:r>
      <w:r w:rsidRPr="00E259FA">
        <w:t xml:space="preserve"> biennium</w:t>
      </w:r>
      <w:r w:rsidR="00261F3C" w:rsidRPr="00E259FA">
        <w:t xml:space="preserve">, at a </w:t>
      </w:r>
      <w:r w:rsidR="00EC2BA3" w:rsidRPr="00E259FA">
        <w:t xml:space="preserve">comparable </w:t>
      </w:r>
      <w:r w:rsidR="00261F3C" w:rsidRPr="00E259FA">
        <w:t>level with the 2022</w:t>
      </w:r>
      <w:r w:rsidR="00261F3C" w:rsidRPr="006D3FCF">
        <w:t>–</w:t>
      </w:r>
      <w:r w:rsidR="00261F3C" w:rsidRPr="00E259FA">
        <w:t xml:space="preserve">2023 biennium in which it reached </w:t>
      </w:r>
      <w:r w:rsidRPr="00E259FA">
        <w:t>US$</w:t>
      </w:r>
      <w:r w:rsidR="00EC2BA3" w:rsidRPr="00E259FA">
        <w:t>6.39</w:t>
      </w:r>
      <w:r w:rsidRPr="00E259FA">
        <w:t xml:space="preserve"> million (see Figure 1)</w:t>
      </w:r>
      <w:r w:rsidR="00D174CA" w:rsidRPr="00E259FA">
        <w:t>. It</w:t>
      </w:r>
      <w:r w:rsidR="00EC2BA3" w:rsidRPr="00E259FA">
        <w:t xml:space="preserve"> </w:t>
      </w:r>
      <w:proofErr w:type="gramStart"/>
      <w:r w:rsidR="00EC2BA3" w:rsidRPr="00E259FA">
        <w:t>largely exceeded</w:t>
      </w:r>
      <w:proofErr w:type="gramEnd"/>
      <w:r w:rsidR="00EC2BA3" w:rsidRPr="00E259FA">
        <w:t xml:space="preserve"> the </w:t>
      </w:r>
      <w:r w:rsidR="00D174CA" w:rsidRPr="00E259FA">
        <w:t xml:space="preserve">total amount of </w:t>
      </w:r>
      <w:r w:rsidR="00EC2BA3" w:rsidRPr="00E259FA">
        <w:rPr>
          <w:bCs/>
        </w:rPr>
        <w:t>assessed</w:t>
      </w:r>
      <w:r w:rsidR="003C3D11" w:rsidRPr="00E259FA">
        <w:rPr>
          <w:bCs/>
        </w:rPr>
        <w:t xml:space="preserve"> contributions</w:t>
      </w:r>
      <w:r w:rsidR="00EC2BA3" w:rsidRPr="00E259FA">
        <w:rPr>
          <w:bCs/>
        </w:rPr>
        <w:t xml:space="preserve"> for 2024</w:t>
      </w:r>
      <w:r w:rsidR="00E72F23" w:rsidRPr="006D3FCF">
        <w:t>–</w:t>
      </w:r>
      <w:r w:rsidR="00EC2BA3" w:rsidRPr="00E259FA">
        <w:rPr>
          <w:bCs/>
        </w:rPr>
        <w:t>2025 (US$4.</w:t>
      </w:r>
      <w:r w:rsidR="00905AFF" w:rsidRPr="00E259FA">
        <w:rPr>
          <w:bCs/>
        </w:rPr>
        <w:t>73</w:t>
      </w:r>
      <w:r w:rsidR="00EC2BA3" w:rsidRPr="00E259FA">
        <w:rPr>
          <w:bCs/>
        </w:rPr>
        <w:t xml:space="preserve"> million), which </w:t>
      </w:r>
      <w:r w:rsidR="003C3D11" w:rsidRPr="00E259FA">
        <w:rPr>
          <w:bCs/>
        </w:rPr>
        <w:t xml:space="preserve">represents </w:t>
      </w:r>
      <w:r w:rsidR="00EC2BA3" w:rsidRPr="00E259FA">
        <w:rPr>
          <w:bCs/>
        </w:rPr>
        <w:t xml:space="preserve">the largest source of income for the Fund. </w:t>
      </w:r>
      <w:r w:rsidR="001B6D0C" w:rsidRPr="00A323A3">
        <w:rPr>
          <w:bCs/>
        </w:rPr>
        <w:t xml:space="preserve">This </w:t>
      </w:r>
      <w:r w:rsidR="00130665" w:rsidRPr="00A323A3">
        <w:rPr>
          <w:bCs/>
        </w:rPr>
        <w:t>increased expenditure</w:t>
      </w:r>
      <w:r w:rsidR="001B6D0C" w:rsidRPr="00A323A3">
        <w:rPr>
          <w:bCs/>
        </w:rPr>
        <w:t xml:space="preserve"> corresponds to the continuous development of the Convention, reaching an increasing number of </w:t>
      </w:r>
      <w:r w:rsidR="00130665" w:rsidRPr="00A323A3">
        <w:rPr>
          <w:bCs/>
        </w:rPr>
        <w:t xml:space="preserve">countries </w:t>
      </w:r>
      <w:r w:rsidR="001B6D0C" w:rsidRPr="00A323A3">
        <w:rPr>
          <w:bCs/>
        </w:rPr>
        <w:t>and communities</w:t>
      </w:r>
      <w:r w:rsidR="001B6D0C" w:rsidRPr="00BA0456">
        <w:rPr>
          <w:bCs/>
        </w:rPr>
        <w:t>,</w:t>
      </w:r>
      <w:r w:rsidR="001B6D0C" w:rsidRPr="00E259FA">
        <w:rPr>
          <w:bCs/>
        </w:rPr>
        <w:t xml:space="preserve"> while tackling a larger number of thematic areas that illustrate the relevance of living heritage safeguarding for sustainable development</w:t>
      </w:r>
      <w:r w:rsidR="00EA5413" w:rsidRPr="00E259FA">
        <w:rPr>
          <w:bCs/>
        </w:rPr>
        <w:t xml:space="preserve"> (</w:t>
      </w:r>
      <w:bookmarkStart w:id="1" w:name="_Hlk162009935"/>
      <w:r w:rsidR="00EA5413" w:rsidRPr="00E259FA">
        <w:rPr>
          <w:bCs/>
        </w:rPr>
        <w:t>see documents</w:t>
      </w:r>
      <w:bookmarkEnd w:id="1"/>
      <w:r w:rsidR="00EA5413" w:rsidRPr="00E259FA">
        <w:rPr>
          <w:bCs/>
        </w:rPr>
        <w:t xml:space="preserve"> </w:t>
      </w:r>
      <w:hyperlink r:id="rId16" w:history="1">
        <w:r w:rsidR="00EA5413" w:rsidRPr="00CC4CD0">
          <w:rPr>
            <w:rStyle w:val="Hyperlink"/>
          </w:rPr>
          <w:t>LHE/26/11.GA/6</w:t>
        </w:r>
      </w:hyperlink>
      <w:r w:rsidR="00EA5413" w:rsidRPr="00CC4CD0">
        <w:t xml:space="preserve">, </w:t>
      </w:r>
      <w:hyperlink r:id="rId17" w:history="1">
        <w:r w:rsidR="00EA5413" w:rsidRPr="00CC4CD0">
          <w:rPr>
            <w:rStyle w:val="Hyperlink"/>
          </w:rPr>
          <w:t>LHE/2</w:t>
        </w:r>
        <w:r w:rsidR="00E72F23" w:rsidRPr="00CC4CD0">
          <w:rPr>
            <w:rStyle w:val="Hyperlink"/>
          </w:rPr>
          <w:t>6</w:t>
        </w:r>
        <w:r w:rsidR="00EA5413" w:rsidRPr="00CC4CD0">
          <w:rPr>
            <w:rStyle w:val="Hyperlink"/>
          </w:rPr>
          <w:t>/1</w:t>
        </w:r>
        <w:r w:rsidR="00E72F23" w:rsidRPr="00CC4CD0">
          <w:rPr>
            <w:rStyle w:val="Hyperlink"/>
          </w:rPr>
          <w:t>1</w:t>
        </w:r>
        <w:r w:rsidR="00EA5413" w:rsidRPr="00CC4CD0">
          <w:rPr>
            <w:rStyle w:val="Hyperlink"/>
          </w:rPr>
          <w:t>.GA/INF.8</w:t>
        </w:r>
      </w:hyperlink>
      <w:r w:rsidR="00EA5413" w:rsidRPr="00CC4CD0">
        <w:t xml:space="preserve"> and</w:t>
      </w:r>
      <w:r w:rsidR="00EA5413" w:rsidRPr="00E259FA">
        <w:t xml:space="preserve"> </w:t>
      </w:r>
      <w:hyperlink r:id="rId18" w:history="1">
        <w:r w:rsidR="00EA5413" w:rsidRPr="006D3FCF">
          <w:rPr>
            <w:rStyle w:val="Hyperlink"/>
          </w:rPr>
          <w:t>LHE/25/20.COM/14</w:t>
        </w:r>
      </w:hyperlink>
      <w:r w:rsidR="00EA5413" w:rsidRPr="006D3FCF">
        <w:t>)</w:t>
      </w:r>
      <w:r w:rsidR="00EA5413" w:rsidRPr="00E259FA">
        <w:t>.</w:t>
      </w:r>
      <w:r w:rsidR="00487F3A" w:rsidRPr="00E259FA">
        <w:t xml:space="preserve"> Such </w:t>
      </w:r>
      <w:proofErr w:type="gramStart"/>
      <w:r w:rsidR="00487F3A" w:rsidRPr="00E259FA">
        <w:t>a high level</w:t>
      </w:r>
      <w:proofErr w:type="gramEnd"/>
      <w:r w:rsidR="00487F3A" w:rsidRPr="00E259FA">
        <w:t xml:space="preserve"> of expenditure, surpassing the level of income, </w:t>
      </w:r>
      <w:proofErr w:type="gramStart"/>
      <w:r w:rsidR="00487F3A" w:rsidRPr="00E259FA">
        <w:t>is made</w:t>
      </w:r>
      <w:proofErr w:type="gramEnd"/>
      <w:r w:rsidR="00487F3A" w:rsidRPr="00E259FA">
        <w:t xml:space="preserve"> possible through the use of remaining funds carried over from previous biennia.</w:t>
      </w:r>
    </w:p>
    <w:p w14:paraId="2D53EC70" w14:textId="5F8E3562" w:rsidR="00EA5413" w:rsidRPr="00E259FA" w:rsidRDefault="00130665" w:rsidP="006D3FCF">
      <w:pPr>
        <w:pStyle w:val="GAPara"/>
        <w:ind w:left="567" w:firstLine="0"/>
        <w:jc w:val="center"/>
      </w:pPr>
      <w:r>
        <w:rPr>
          <w:noProof/>
        </w:rPr>
        <w:drawing>
          <wp:inline distT="0" distB="0" distL="0" distR="0" wp14:anchorId="0D490580" wp14:editId="759A2717">
            <wp:extent cx="5713200" cy="3477600"/>
            <wp:effectExtent l="0" t="0" r="1905" b="8890"/>
            <wp:docPr id="631780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3200" cy="3477600"/>
                    </a:xfrm>
                    <a:prstGeom prst="rect">
                      <a:avLst/>
                    </a:prstGeom>
                    <a:noFill/>
                  </pic:spPr>
                </pic:pic>
              </a:graphicData>
            </a:graphic>
          </wp:inline>
        </w:drawing>
      </w:r>
    </w:p>
    <w:p w14:paraId="6FBA9BF1" w14:textId="0127ECE5" w:rsidR="00EA5413" w:rsidRPr="006D3FCF" w:rsidRDefault="00EA5413" w:rsidP="0067492F">
      <w:pPr>
        <w:spacing w:after="120"/>
        <w:ind w:right="201" w:firstLine="567"/>
        <w:rPr>
          <w:rFonts w:ascii="Arial" w:hAnsi="Arial" w:cs="Arial"/>
          <w:sz w:val="16"/>
          <w:szCs w:val="16"/>
        </w:rPr>
      </w:pPr>
      <w:r w:rsidRPr="00453B7C">
        <w:rPr>
          <w:rFonts w:ascii="Arial" w:hAnsi="Arial"/>
          <w:b/>
          <w:sz w:val="16"/>
        </w:rPr>
        <w:t xml:space="preserve">Figure 1: </w:t>
      </w:r>
      <w:r w:rsidRPr="00453B7C">
        <w:rPr>
          <w:rFonts w:ascii="Arial" w:hAnsi="Arial"/>
          <w:sz w:val="16"/>
        </w:rPr>
        <w:t>Evolution of</w:t>
      </w:r>
      <w:r w:rsidRPr="00453B7C">
        <w:rPr>
          <w:rFonts w:ascii="Arial" w:hAnsi="Arial"/>
          <w:b/>
          <w:sz w:val="16"/>
        </w:rPr>
        <w:t xml:space="preserve"> </w:t>
      </w:r>
      <w:r w:rsidRPr="00453B7C">
        <w:rPr>
          <w:rFonts w:ascii="Arial" w:hAnsi="Arial"/>
          <w:sz w:val="16"/>
        </w:rPr>
        <w:t>expenditures of the Fund</w:t>
      </w:r>
      <w:r w:rsidR="00883229" w:rsidRPr="00453B7C">
        <w:rPr>
          <w:rFonts w:ascii="Arial" w:hAnsi="Arial"/>
          <w:sz w:val="16"/>
        </w:rPr>
        <w:t xml:space="preserve"> from January 2016 to December 2025.</w:t>
      </w:r>
    </w:p>
    <w:p w14:paraId="79282373" w14:textId="4382C3F7" w:rsidR="00EA5413" w:rsidRPr="00E259FA" w:rsidRDefault="00EA5413" w:rsidP="006D3FCF">
      <w:pPr>
        <w:pStyle w:val="GAPara"/>
        <w:spacing w:before="240"/>
        <w:ind w:left="567" w:firstLine="0"/>
        <w:jc w:val="both"/>
        <w:rPr>
          <w:b/>
          <w:bCs/>
        </w:rPr>
      </w:pPr>
      <w:r w:rsidRPr="00E259FA">
        <w:rPr>
          <w:b/>
          <w:bCs/>
        </w:rPr>
        <w:t>International assistance</w:t>
      </w:r>
    </w:p>
    <w:p w14:paraId="2F1CAB53" w14:textId="09D21375" w:rsidR="00EA5413" w:rsidRPr="00E259FA" w:rsidRDefault="00EA5413" w:rsidP="00CD1078">
      <w:pPr>
        <w:pStyle w:val="COMPara"/>
        <w:numPr>
          <w:ilvl w:val="0"/>
          <w:numId w:val="23"/>
        </w:numPr>
        <w:ind w:left="567" w:hanging="567"/>
        <w:jc w:val="both"/>
      </w:pPr>
      <w:r w:rsidRPr="00E259FA">
        <w:t xml:space="preserve">During the </w:t>
      </w:r>
      <w:r w:rsidR="00545FCF" w:rsidRPr="00E259FA">
        <w:t>reporting period</w:t>
      </w:r>
      <w:r w:rsidRPr="00E259FA">
        <w:t xml:space="preserve">, States Parties have continued to make extensive use of the </w:t>
      </w:r>
      <w:r w:rsidRPr="00E259FA">
        <w:rPr>
          <w:b/>
          <w:bCs/>
        </w:rPr>
        <w:t>International Assistance mechanisms</w:t>
      </w:r>
      <w:r w:rsidRPr="00E259FA">
        <w:t>. Figure 2 (below) shows a rise in the use of funds dedicated to International Assistance mechanisms, corresponding to budget lines 1, 1.1 and 2.</w:t>
      </w:r>
      <w:r w:rsidR="00CD1078" w:rsidRPr="006D3FCF">
        <w:rPr>
          <w:rFonts w:ascii="Times New Roman" w:hAnsi="Times New Roman" w:cs="Times New Roman"/>
          <w:snapToGrid/>
          <w:sz w:val="24"/>
          <w:szCs w:val="24"/>
          <w:lang w:eastAsia="fr-FR"/>
        </w:rPr>
        <w:t xml:space="preserve"> </w:t>
      </w:r>
      <w:r w:rsidR="00CD1078" w:rsidRPr="006D3FCF">
        <w:t xml:space="preserve">The expenditure rate of these three combined budget lines reached 74%, compared to 71% in the 2022–2023 biennium, constituting the highest rate of implementation to date. </w:t>
      </w:r>
      <w:r w:rsidRPr="00E259FA">
        <w:t xml:space="preserve">The good health of the mechanisms can </w:t>
      </w:r>
      <w:proofErr w:type="gramStart"/>
      <w:r w:rsidRPr="00E259FA">
        <w:t>be explained</w:t>
      </w:r>
      <w:proofErr w:type="gramEnd"/>
      <w:r w:rsidRPr="00E259FA">
        <w:t xml:space="preserve"> by the following factors: </w:t>
      </w:r>
    </w:p>
    <w:p w14:paraId="5046E01E" w14:textId="0E48527A" w:rsidR="000C423F" w:rsidRPr="006D3FCF" w:rsidRDefault="00EA5413" w:rsidP="00CC4CD0">
      <w:pPr>
        <w:pStyle w:val="COMPara"/>
        <w:numPr>
          <w:ilvl w:val="0"/>
          <w:numId w:val="26"/>
        </w:numPr>
        <w:ind w:left="1134" w:hanging="567"/>
        <w:jc w:val="both"/>
        <w:rPr>
          <w:rFonts w:asciiTheme="minorBidi" w:hAnsiTheme="minorBidi" w:cstheme="minorBidi"/>
        </w:rPr>
      </w:pPr>
      <w:r w:rsidRPr="00E259FA">
        <w:t>the continued geographical expansion of the mechanisms with a total of eighty-</w:t>
      </w:r>
      <w:r w:rsidR="00843C34" w:rsidRPr="00E259FA">
        <w:t>eight</w:t>
      </w:r>
      <w:r w:rsidRPr="00E259FA">
        <w:t xml:space="preserve"> States Parties that have benefited from International Assistance </w:t>
      </w:r>
      <w:r w:rsidR="00843C34" w:rsidRPr="00E259FA">
        <w:t>to date</w:t>
      </w:r>
      <w:r w:rsidR="000C423F" w:rsidRPr="00E259FA">
        <w:t xml:space="preserve">, </w:t>
      </w:r>
      <w:r w:rsidR="000C423F" w:rsidRPr="00E259FA">
        <w:rPr>
          <w:rFonts w:asciiTheme="minorBidi" w:hAnsiTheme="minorBidi" w:cstheme="minorBidi"/>
        </w:rPr>
        <w:t xml:space="preserve">including </w:t>
      </w:r>
      <w:r w:rsidR="00EC6850" w:rsidRPr="006D3FCF">
        <w:rPr>
          <w:rFonts w:asciiTheme="minorBidi" w:hAnsiTheme="minorBidi" w:cstheme="minorBidi"/>
        </w:rPr>
        <w:t>fifteen</w:t>
      </w:r>
      <w:r w:rsidR="000C423F" w:rsidRPr="00E259FA">
        <w:rPr>
          <w:rFonts w:asciiTheme="minorBidi" w:hAnsiTheme="minorBidi" w:cstheme="minorBidi"/>
        </w:rPr>
        <w:t xml:space="preserve"> States (</w:t>
      </w:r>
      <w:r w:rsidR="00C93AD6" w:rsidRPr="006D3FCF">
        <w:rPr>
          <w:rFonts w:asciiTheme="minorBidi" w:hAnsiTheme="minorBidi" w:cstheme="minorBidi"/>
        </w:rPr>
        <w:t>six</w:t>
      </w:r>
      <w:r w:rsidR="000C423F" w:rsidRPr="00E259FA">
        <w:rPr>
          <w:rFonts w:asciiTheme="minorBidi" w:hAnsiTheme="minorBidi" w:cstheme="minorBidi"/>
        </w:rPr>
        <w:t xml:space="preserve"> from Africa and f</w:t>
      </w:r>
      <w:r w:rsidR="00C93AD6" w:rsidRPr="006D3FCF">
        <w:rPr>
          <w:rFonts w:asciiTheme="minorBidi" w:hAnsiTheme="minorBidi" w:cstheme="minorBidi"/>
        </w:rPr>
        <w:t>ive</w:t>
      </w:r>
      <w:r w:rsidR="000C423F" w:rsidRPr="00E259FA">
        <w:rPr>
          <w:rFonts w:asciiTheme="minorBidi" w:hAnsiTheme="minorBidi" w:cstheme="minorBidi"/>
        </w:rPr>
        <w:t xml:space="preserve"> </w:t>
      </w:r>
      <w:r w:rsidR="00BA0456">
        <w:rPr>
          <w:rFonts w:asciiTheme="minorBidi" w:hAnsiTheme="minorBidi" w:cstheme="minorBidi"/>
        </w:rPr>
        <w:t xml:space="preserve">Small Island Developing States - </w:t>
      </w:r>
      <w:r w:rsidR="000C423F" w:rsidRPr="00E259FA">
        <w:rPr>
          <w:rFonts w:asciiTheme="minorBidi" w:hAnsiTheme="minorBidi" w:cstheme="minorBidi"/>
        </w:rPr>
        <w:t xml:space="preserve">SIDS) that </w:t>
      </w:r>
      <w:proofErr w:type="gramStart"/>
      <w:r w:rsidR="00C93AD6" w:rsidRPr="00E259FA">
        <w:rPr>
          <w:rFonts w:asciiTheme="minorBidi" w:hAnsiTheme="minorBidi" w:cstheme="minorBidi"/>
        </w:rPr>
        <w:t>were granted</w:t>
      </w:r>
      <w:proofErr w:type="gramEnd"/>
      <w:r w:rsidR="00C93AD6" w:rsidRPr="00E259FA">
        <w:rPr>
          <w:rFonts w:asciiTheme="minorBidi" w:hAnsiTheme="minorBidi" w:cstheme="minorBidi"/>
        </w:rPr>
        <w:t xml:space="preserve"> such assistance for the first time during the reporting period</w:t>
      </w:r>
      <w:r w:rsidR="000C423F" w:rsidRPr="00E259FA">
        <w:t>;</w:t>
      </w:r>
      <w:r w:rsidR="00843C34" w:rsidRPr="00E259FA">
        <w:t xml:space="preserve"> </w:t>
      </w:r>
    </w:p>
    <w:p w14:paraId="713EA6D7" w14:textId="27F464C4" w:rsidR="00EA5413" w:rsidRPr="00E259FA" w:rsidRDefault="00EA5413" w:rsidP="00CC4CD0">
      <w:pPr>
        <w:pStyle w:val="COMPara"/>
        <w:numPr>
          <w:ilvl w:val="0"/>
          <w:numId w:val="26"/>
        </w:numPr>
        <w:ind w:left="1134" w:hanging="567"/>
        <w:jc w:val="both"/>
      </w:pPr>
      <w:r w:rsidRPr="00E259FA">
        <w:t xml:space="preserve">the broadening of the scope of Preparatory Assistance in line with the global reflection on the listing mechanisms of the Convention, with eight requests approved </w:t>
      </w:r>
      <w:r w:rsidR="00820537" w:rsidRPr="00E259FA">
        <w:t>in 2024 and 2025</w:t>
      </w:r>
      <w:r w:rsidR="00843C34" w:rsidRPr="00E259FA">
        <w:t> </w:t>
      </w:r>
      <w:r w:rsidRPr="00E259FA">
        <w:t>(compared to a total of six requests approved between 2014 and 2023);</w:t>
      </w:r>
    </w:p>
    <w:p w14:paraId="0B936FD5" w14:textId="77777777" w:rsidR="00EA5413" w:rsidRPr="00E259FA" w:rsidRDefault="00EA5413" w:rsidP="00CC4CD0">
      <w:pPr>
        <w:pStyle w:val="COMPara"/>
        <w:numPr>
          <w:ilvl w:val="0"/>
          <w:numId w:val="26"/>
        </w:numPr>
        <w:ind w:left="1134" w:hanging="567"/>
        <w:jc w:val="both"/>
      </w:pPr>
      <w:r w:rsidRPr="00E259FA">
        <w:t xml:space="preserve">the upstream technical support provided by the Secretariat to requesting States during the development phase of the requests (five beneficiary States since January 2024) </w:t>
      </w:r>
      <w:r w:rsidRPr="00E259FA">
        <w:lastRenderedPageBreak/>
        <w:t>contributing to the approval of International Assistance requests presented to the Bureau during the reporting period.</w:t>
      </w:r>
    </w:p>
    <w:p w14:paraId="036882C6" w14:textId="08FAC872" w:rsidR="00820537" w:rsidRPr="00E259FA" w:rsidRDefault="00EA5413" w:rsidP="004B46F6">
      <w:pPr>
        <w:pStyle w:val="COMPara"/>
        <w:numPr>
          <w:ilvl w:val="0"/>
          <w:numId w:val="0"/>
        </w:numPr>
        <w:ind w:left="567"/>
        <w:jc w:val="both"/>
        <w:rPr>
          <w:b/>
          <w:bCs/>
        </w:rPr>
      </w:pPr>
      <w:r w:rsidRPr="006D3FCF">
        <w:t xml:space="preserve">A detailed report on the implementation of the International Assistance mechanisms can </w:t>
      </w:r>
      <w:proofErr w:type="gramStart"/>
      <w:r w:rsidRPr="006D3FCF">
        <w:t>be found</w:t>
      </w:r>
      <w:proofErr w:type="gramEnd"/>
      <w:r w:rsidRPr="006D3FCF">
        <w:t xml:space="preserve"> in document </w:t>
      </w:r>
      <w:hyperlink r:id="rId20" w:history="1">
        <w:r w:rsidRPr="006D3FCF">
          <w:rPr>
            <w:rStyle w:val="Hyperlink"/>
          </w:rPr>
          <w:t>LHE/25/20.COM/10</w:t>
        </w:r>
      </w:hyperlink>
      <w:r w:rsidRPr="006D3FCF">
        <w:t xml:space="preserve">. For more information on expenditure under budget lines 1, 1.1 and 2 for the period 1 January 2024 </w:t>
      </w:r>
      <w:r w:rsidR="00820537" w:rsidRPr="006D3FCF">
        <w:t xml:space="preserve">to 31 December </w:t>
      </w:r>
      <w:r w:rsidRPr="006D3FCF">
        <w:t xml:space="preserve">2025, </w:t>
      </w:r>
      <w:r w:rsidR="00BA0456">
        <w:t>see</w:t>
      </w:r>
      <w:r w:rsidRPr="006D3FCF">
        <w:t xml:space="preserve"> document </w:t>
      </w:r>
      <w:hyperlink r:id="rId21" w:history="1">
        <w:r w:rsidR="00820537" w:rsidRPr="00CC4CD0">
          <w:rPr>
            <w:rStyle w:val="Hyperlink"/>
          </w:rPr>
          <w:t>LHE/2</w:t>
        </w:r>
        <w:r w:rsidR="00E15573" w:rsidRPr="00CC4CD0">
          <w:rPr>
            <w:rStyle w:val="Hyperlink"/>
          </w:rPr>
          <w:t>6</w:t>
        </w:r>
        <w:r w:rsidR="00820537" w:rsidRPr="00CC4CD0">
          <w:rPr>
            <w:rStyle w:val="Hyperlink"/>
          </w:rPr>
          <w:t>/1</w:t>
        </w:r>
        <w:r w:rsidR="00E15573" w:rsidRPr="00CC4CD0">
          <w:rPr>
            <w:rStyle w:val="Hyperlink"/>
          </w:rPr>
          <w:t>1</w:t>
        </w:r>
        <w:r w:rsidR="00820537" w:rsidRPr="00CC4CD0">
          <w:rPr>
            <w:rStyle w:val="Hyperlink"/>
          </w:rPr>
          <w:t>.GA/INF.8</w:t>
        </w:r>
      </w:hyperlink>
      <w:r w:rsidR="00820537" w:rsidRPr="00CC4CD0">
        <w:t>.</w:t>
      </w:r>
    </w:p>
    <w:p w14:paraId="077A7330" w14:textId="754A429D" w:rsidR="000367E3" w:rsidRPr="00E259FA" w:rsidRDefault="004B46F6" w:rsidP="000367E3">
      <w:pPr>
        <w:pStyle w:val="COMPara"/>
        <w:numPr>
          <w:ilvl w:val="0"/>
          <w:numId w:val="0"/>
        </w:numPr>
        <w:ind w:left="567"/>
        <w:jc w:val="both"/>
        <w:rPr>
          <w:b/>
          <w:bCs/>
        </w:rPr>
      </w:pPr>
      <w:r w:rsidRPr="006D3FCF">
        <w:rPr>
          <w:b/>
          <w:bCs/>
          <w:noProof/>
        </w:rPr>
        <w:drawing>
          <wp:inline distT="0" distB="0" distL="0" distR="0" wp14:anchorId="5EE94C51" wp14:editId="5730063B">
            <wp:extent cx="5724000" cy="2555529"/>
            <wp:effectExtent l="0" t="0" r="0" b="0"/>
            <wp:docPr id="515678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24000" cy="2555529"/>
                    </a:xfrm>
                    <a:prstGeom prst="rect">
                      <a:avLst/>
                    </a:prstGeom>
                    <a:noFill/>
                  </pic:spPr>
                </pic:pic>
              </a:graphicData>
            </a:graphic>
          </wp:inline>
        </w:drawing>
      </w:r>
    </w:p>
    <w:p w14:paraId="3330985E" w14:textId="6455A8E8" w:rsidR="004B46F6" w:rsidRPr="006D3FCF" w:rsidRDefault="000367E3" w:rsidP="006D3FCF">
      <w:pPr>
        <w:spacing w:after="120"/>
        <w:ind w:left="567" w:right="198"/>
        <w:rPr>
          <w:rFonts w:ascii="Arial" w:hAnsi="Arial" w:cs="Arial"/>
          <w:sz w:val="16"/>
          <w:szCs w:val="16"/>
        </w:rPr>
      </w:pPr>
      <w:r w:rsidRPr="006D3FCF">
        <w:t xml:space="preserve"> </w:t>
      </w:r>
      <w:r w:rsidR="004B46F6" w:rsidRPr="006D3FCF">
        <w:rPr>
          <w:rFonts w:ascii="Arial" w:hAnsi="Arial"/>
          <w:b/>
          <w:sz w:val="16"/>
        </w:rPr>
        <w:t xml:space="preserve">Figure 2: </w:t>
      </w:r>
      <w:r w:rsidR="004B46F6" w:rsidRPr="006D3FCF">
        <w:rPr>
          <w:rFonts w:ascii="Arial" w:hAnsi="Arial"/>
          <w:sz w:val="16"/>
        </w:rPr>
        <w:t>Expenditure rate for International and Preparatory Assistance</w:t>
      </w:r>
    </w:p>
    <w:p w14:paraId="1A545916" w14:textId="6151652F" w:rsidR="004B46F6" w:rsidRPr="00E259FA" w:rsidRDefault="004B46F6" w:rsidP="006D3FCF">
      <w:pPr>
        <w:pStyle w:val="COMPara"/>
        <w:numPr>
          <w:ilvl w:val="0"/>
          <w:numId w:val="0"/>
        </w:numPr>
        <w:tabs>
          <w:tab w:val="left" w:pos="567"/>
        </w:tabs>
        <w:spacing w:before="240"/>
        <w:ind w:left="567"/>
        <w:jc w:val="both"/>
        <w:rPr>
          <w:b/>
          <w:bCs/>
        </w:rPr>
      </w:pPr>
      <w:r w:rsidRPr="00E259FA">
        <w:rPr>
          <w:b/>
          <w:bCs/>
        </w:rPr>
        <w:t>Assessed contributions</w:t>
      </w:r>
    </w:p>
    <w:p w14:paraId="4CE10660" w14:textId="1E4FB348" w:rsidR="004B46F6" w:rsidRPr="00CC4CD0" w:rsidRDefault="004B46F6" w:rsidP="004B46F6">
      <w:pPr>
        <w:pStyle w:val="COMPara"/>
        <w:numPr>
          <w:ilvl w:val="0"/>
          <w:numId w:val="23"/>
        </w:numPr>
        <w:tabs>
          <w:tab w:val="left" w:pos="567"/>
        </w:tabs>
        <w:spacing w:before="120"/>
        <w:ind w:left="567" w:hanging="567"/>
        <w:jc w:val="both"/>
      </w:pPr>
      <w:r w:rsidRPr="00E259FA">
        <w:t xml:space="preserve">It should </w:t>
      </w:r>
      <w:proofErr w:type="gramStart"/>
      <w:r w:rsidRPr="00E259FA">
        <w:t>be recalled</w:t>
      </w:r>
      <w:proofErr w:type="gramEnd"/>
      <w:r w:rsidRPr="00E259FA">
        <w:t xml:space="preserve"> that the </w:t>
      </w:r>
      <w:r w:rsidRPr="00E259FA">
        <w:rPr>
          <w:b/>
        </w:rPr>
        <w:t xml:space="preserve">payment of </w:t>
      </w:r>
      <w:r w:rsidR="00680EF1" w:rsidRPr="00CC4CD0">
        <w:rPr>
          <w:b/>
        </w:rPr>
        <w:t xml:space="preserve">assessed </w:t>
      </w:r>
      <w:r w:rsidRPr="00CC4CD0">
        <w:rPr>
          <w:b/>
        </w:rPr>
        <w:t>contributions</w:t>
      </w:r>
      <w:r w:rsidRPr="00CC4CD0">
        <w:t xml:space="preserve"> is an obligation incumbent on all States Parties that have ratified the Convention, in accordance with its Article 26</w:t>
      </w:r>
      <w:r w:rsidR="0067492F" w:rsidRPr="00CC4CD0">
        <w:t xml:space="preserve"> of the Convention</w:t>
      </w:r>
      <w:r w:rsidRPr="00CC4CD0">
        <w:t xml:space="preserve">. As States Parties exercise rights and enjoy benefits conferred on them under the Convention, they </w:t>
      </w:r>
      <w:proofErr w:type="gramStart"/>
      <w:r w:rsidRPr="00CC4CD0">
        <w:t>are also expected</w:t>
      </w:r>
      <w:proofErr w:type="gramEnd"/>
      <w:r w:rsidRPr="00CC4CD0">
        <w:t xml:space="preserve"> to fulfil their corresponding commitments in return. As highlighted in </w:t>
      </w:r>
      <w:proofErr w:type="gramStart"/>
      <w:r w:rsidRPr="00CC4CD0">
        <w:t>several</w:t>
      </w:r>
      <w:proofErr w:type="gramEnd"/>
      <w:r w:rsidRPr="00CC4CD0">
        <w:t xml:space="preserve"> statutory documents (most recently document</w:t>
      </w:r>
      <w:r w:rsidR="0067492F" w:rsidRPr="00CC4CD0">
        <w:t>s</w:t>
      </w:r>
      <w:r w:rsidRPr="00CC4CD0">
        <w:t xml:space="preserve"> </w:t>
      </w:r>
      <w:hyperlink r:id="rId23" w:history="1">
        <w:r w:rsidRPr="00CC4CD0">
          <w:rPr>
            <w:rStyle w:val="Hyperlink"/>
          </w:rPr>
          <w:t>LHE/25/20.COM/14</w:t>
        </w:r>
      </w:hyperlink>
      <w:r w:rsidR="0067492F" w:rsidRPr="00CC4CD0">
        <w:t xml:space="preserve"> and </w:t>
      </w:r>
      <w:hyperlink r:id="rId24" w:history="1">
        <w:r w:rsidR="0067492F" w:rsidRPr="00CC4CD0">
          <w:rPr>
            <w:rStyle w:val="Hyperlink"/>
          </w:rPr>
          <w:t>LHE/24/10.GA/8</w:t>
        </w:r>
      </w:hyperlink>
      <w:r w:rsidR="0067492F" w:rsidRPr="00CC4CD0">
        <w:t>)</w:t>
      </w:r>
      <w:r w:rsidRPr="00CC4CD0">
        <w:t xml:space="preserve">, </w:t>
      </w:r>
      <w:r w:rsidR="00A100F7" w:rsidRPr="00CC4CD0">
        <w:t xml:space="preserve">all States Parties </w:t>
      </w:r>
      <w:proofErr w:type="gramStart"/>
      <w:r w:rsidR="00A100F7" w:rsidRPr="00CC4CD0">
        <w:t>are encouraged</w:t>
      </w:r>
      <w:proofErr w:type="gramEnd"/>
      <w:r w:rsidR="00A100F7" w:rsidRPr="00CC4CD0">
        <w:t xml:space="preserve"> to pay the totality of their assessed contributions as early as possible</w:t>
      </w:r>
      <w:r w:rsidRPr="00CC4CD0">
        <w:t>.</w:t>
      </w:r>
    </w:p>
    <w:p w14:paraId="6AD71C04" w14:textId="729D98DC" w:rsidR="0067492F" w:rsidRPr="00CC4CD0" w:rsidRDefault="0067492F" w:rsidP="0067492F">
      <w:pPr>
        <w:pStyle w:val="COMPara"/>
        <w:numPr>
          <w:ilvl w:val="0"/>
          <w:numId w:val="23"/>
        </w:numPr>
        <w:tabs>
          <w:tab w:val="left" w:pos="567"/>
        </w:tabs>
        <w:spacing w:before="120"/>
        <w:ind w:left="567" w:hanging="567"/>
        <w:jc w:val="both"/>
      </w:pPr>
      <w:r w:rsidRPr="00CC4CD0">
        <w:t xml:space="preserve">With regards to the </w:t>
      </w:r>
      <w:r w:rsidR="00680EF1" w:rsidRPr="00CC4CD0">
        <w:rPr>
          <w:b/>
        </w:rPr>
        <w:t xml:space="preserve">assessed </w:t>
      </w:r>
      <w:r w:rsidRPr="00CC4CD0">
        <w:rPr>
          <w:b/>
        </w:rPr>
        <w:t>compulsory contributions</w:t>
      </w:r>
      <w:r w:rsidRPr="00CC4CD0">
        <w:t xml:space="preserve"> by States Parties to </w:t>
      </w:r>
      <w:proofErr w:type="gramStart"/>
      <w:r w:rsidRPr="00CC4CD0">
        <w:t>be paid</w:t>
      </w:r>
      <w:proofErr w:type="gramEnd"/>
      <w:r w:rsidRPr="00CC4CD0">
        <w:t xml:space="preserve"> in accordance with Article 26.1 of the Convention, </w:t>
      </w:r>
      <w:r w:rsidR="00680EF1" w:rsidRPr="00CC4CD0">
        <w:t xml:space="preserve">the total </w:t>
      </w:r>
      <w:r w:rsidRPr="00CC4CD0">
        <w:t>unpaid contributions represented US$</w:t>
      </w:r>
      <w:r w:rsidR="00C27270" w:rsidRPr="00CC4CD0">
        <w:t>371,959</w:t>
      </w:r>
      <w:r w:rsidRPr="00CC4CD0">
        <w:t xml:space="preserve"> at the end of the reporting period covered by this document, of which US$239,624 correspond to unpaid contributions of pr</w:t>
      </w:r>
      <w:r w:rsidR="00071298" w:rsidRPr="00CC4CD0">
        <w:t>ior</w:t>
      </w:r>
      <w:r w:rsidRPr="00CC4CD0">
        <w:t xml:space="preserve"> years. As at 31 December 2025, </w:t>
      </w:r>
      <w:r w:rsidR="00C27270" w:rsidRPr="00CC4CD0">
        <w:t>89</w:t>
      </w:r>
      <w:r w:rsidRPr="00CC4CD0">
        <w:t xml:space="preserve"> States Parties (</w:t>
      </w:r>
      <w:r w:rsidR="00C27270" w:rsidRPr="00CC4CD0">
        <w:t>around half</w:t>
      </w:r>
      <w:r w:rsidRPr="00CC4CD0">
        <w:t xml:space="preserve"> of </w:t>
      </w:r>
      <w:r w:rsidR="00C27270" w:rsidRPr="00CC4CD0">
        <w:t xml:space="preserve">the </w:t>
      </w:r>
      <w:r w:rsidRPr="00CC4CD0">
        <w:t>States Parties bound by Article 26.1) have not yet paid their contributions for 2024–2025, including 3</w:t>
      </w:r>
      <w:r w:rsidR="00C27270" w:rsidRPr="00CC4CD0">
        <w:t>1</w:t>
      </w:r>
      <w:r w:rsidRPr="00CC4CD0">
        <w:t xml:space="preserve"> States Parties that have also not paid their </w:t>
      </w:r>
      <w:r w:rsidR="00680EF1" w:rsidRPr="00CC4CD0">
        <w:t xml:space="preserve">assessed </w:t>
      </w:r>
      <w:r w:rsidRPr="00CC4CD0">
        <w:t>contribution for pr</w:t>
      </w:r>
      <w:r w:rsidR="00C27270" w:rsidRPr="00CC4CD0">
        <w:t>ior</w:t>
      </w:r>
      <w:r w:rsidRPr="00CC4CD0">
        <w:t xml:space="preserve"> years (see </w:t>
      </w:r>
      <w:hyperlink r:id="rId25" w:history="1">
        <w:r w:rsidRPr="00CC4CD0">
          <w:rPr>
            <w:rStyle w:val="Hyperlink"/>
          </w:rPr>
          <w:t xml:space="preserve">Statement of Assessed Contributions as at </w:t>
        </w:r>
        <w:r w:rsidR="00C27270" w:rsidRPr="00CC4CD0">
          <w:rPr>
            <w:rStyle w:val="Hyperlink"/>
          </w:rPr>
          <w:t xml:space="preserve">31 December </w:t>
        </w:r>
        <w:r w:rsidRPr="00CC4CD0">
          <w:rPr>
            <w:rStyle w:val="Hyperlink"/>
          </w:rPr>
          <w:t>2025</w:t>
        </w:r>
      </w:hyperlink>
      <w:r w:rsidRPr="00CC4CD0">
        <w:t>).</w:t>
      </w:r>
      <w:r w:rsidRPr="00CC4CD0">
        <w:rPr>
          <w:rStyle w:val="FootnoteReference"/>
        </w:rPr>
        <w:footnoteReference w:id="1"/>
      </w:r>
    </w:p>
    <w:p w14:paraId="595AC4D5" w14:textId="0B8EF88D" w:rsidR="0067492F" w:rsidRPr="00E259FA" w:rsidRDefault="0067492F" w:rsidP="006D3FCF">
      <w:pPr>
        <w:pStyle w:val="COMPara"/>
        <w:numPr>
          <w:ilvl w:val="0"/>
          <w:numId w:val="23"/>
        </w:numPr>
        <w:tabs>
          <w:tab w:val="left" w:pos="567"/>
        </w:tabs>
        <w:spacing w:before="120"/>
        <w:ind w:left="567" w:hanging="567"/>
        <w:jc w:val="both"/>
      </w:pPr>
      <w:r w:rsidRPr="00CC4CD0">
        <w:t xml:space="preserve">Payment of </w:t>
      </w:r>
      <w:r w:rsidR="00680EF1" w:rsidRPr="00CC4CD0">
        <w:rPr>
          <w:b/>
          <w:bCs/>
        </w:rPr>
        <w:t xml:space="preserve">assessed </w:t>
      </w:r>
      <w:r w:rsidRPr="00CC4CD0">
        <w:rPr>
          <w:b/>
          <w:bCs/>
        </w:rPr>
        <w:t>voluntary contributions</w:t>
      </w:r>
      <w:r w:rsidRPr="00CC4CD0">
        <w:t xml:space="preserve"> by States Parties in accordance with Article 26.2 of the Convention represents </w:t>
      </w:r>
      <w:r w:rsidR="00071298" w:rsidRPr="00CC4CD0">
        <w:t>89</w:t>
      </w:r>
      <w:r w:rsidRPr="00CC4CD0">
        <w:t>% of the amount assessed for the 2024</w:t>
      </w:r>
      <w:r w:rsidR="00071298" w:rsidRPr="00CC4CD0">
        <w:t>–</w:t>
      </w:r>
      <w:r w:rsidRPr="00CC4CD0">
        <w:t>2025 biennium, which is</w:t>
      </w:r>
      <w:r w:rsidR="00071298" w:rsidRPr="00CC4CD0">
        <w:t xml:space="preserve"> slightly</w:t>
      </w:r>
      <w:r w:rsidRPr="00CC4CD0">
        <w:t xml:space="preserve"> lower than the rate at the same period</w:t>
      </w:r>
      <w:r w:rsidRPr="00E259FA">
        <w:t xml:space="preserve"> of the previous biennium (92%)</w:t>
      </w:r>
      <w:r w:rsidR="00BA0456">
        <w:t>.</w:t>
      </w:r>
    </w:p>
    <w:p w14:paraId="67404F20" w14:textId="77777777" w:rsidR="00FC3F5E" w:rsidRPr="00E259FA" w:rsidRDefault="00FC3F5E" w:rsidP="006D3FCF">
      <w:pPr>
        <w:pStyle w:val="COMPara"/>
        <w:numPr>
          <w:ilvl w:val="0"/>
          <w:numId w:val="0"/>
        </w:numPr>
        <w:spacing w:before="240"/>
        <w:ind w:firstLine="567"/>
        <w:rPr>
          <w:b/>
          <w:bCs/>
        </w:rPr>
      </w:pPr>
      <w:r w:rsidRPr="00E259FA">
        <w:rPr>
          <w:b/>
          <w:bCs/>
        </w:rPr>
        <w:t>Update on the Sub–fund to enhance human resources of the Secretariat</w:t>
      </w:r>
    </w:p>
    <w:p w14:paraId="518AF203" w14:textId="262DEA96" w:rsidR="00FC3F5E" w:rsidRPr="00E259FA" w:rsidRDefault="00FC3F5E" w:rsidP="00FC3F5E">
      <w:pPr>
        <w:pStyle w:val="COMPara"/>
        <w:numPr>
          <w:ilvl w:val="0"/>
          <w:numId w:val="23"/>
        </w:numPr>
        <w:tabs>
          <w:tab w:val="left" w:pos="567"/>
        </w:tabs>
        <w:spacing w:before="120"/>
        <w:ind w:left="567" w:hanging="567"/>
        <w:jc w:val="both"/>
      </w:pPr>
      <w:r w:rsidRPr="00E259FA">
        <w:t xml:space="preserve">The Sub-fund intended to enhance the human resources of the Secretariat, </w:t>
      </w:r>
      <w:proofErr w:type="gramStart"/>
      <w:r w:rsidRPr="00E259FA">
        <w:t>was created</w:t>
      </w:r>
      <w:proofErr w:type="gramEnd"/>
      <w:r w:rsidRPr="00E259FA">
        <w:t xml:space="preserve"> by the General Assembly in June 2010 (Resolution </w:t>
      </w:r>
      <w:hyperlink r:id="rId26" w:history="1">
        <w:proofErr w:type="gramStart"/>
        <w:r w:rsidRPr="00E259FA">
          <w:rPr>
            <w:rFonts w:asciiTheme="minorBidi" w:hAnsiTheme="minorBidi" w:cstheme="minorBidi"/>
            <w:color w:val="0000FF" w:themeColor="hyperlink"/>
            <w:u w:val="single"/>
          </w:rPr>
          <w:t>3</w:t>
        </w:r>
        <w:proofErr w:type="gramEnd"/>
        <w:r w:rsidRPr="00E259FA">
          <w:rPr>
            <w:rFonts w:asciiTheme="minorBidi" w:hAnsiTheme="minorBidi" w:cstheme="minorBidi"/>
            <w:color w:val="0000FF" w:themeColor="hyperlink"/>
            <w:u w:val="single"/>
          </w:rPr>
          <w:t>.GA 9</w:t>
        </w:r>
      </w:hyperlink>
      <w:r w:rsidRPr="00E259FA">
        <w:t xml:space="preserve">) to support the Secretariat and to enable it to meet the needs expressed by States Parties. The annual target of the Sub-fund, initially set at approximately US$1.1 million in 2010, was reassessed by the eighth session of the General Assembly in 2020 at US$950,000 per year (Resolution </w:t>
      </w:r>
      <w:hyperlink r:id="rId27" w:history="1">
        <w:proofErr w:type="gramStart"/>
        <w:r w:rsidRPr="00E259FA">
          <w:rPr>
            <w:rFonts w:asciiTheme="minorBidi" w:hAnsiTheme="minorBidi" w:cstheme="minorBidi"/>
            <w:color w:val="0000FF" w:themeColor="hyperlink"/>
            <w:u w:val="single"/>
          </w:rPr>
          <w:t>8</w:t>
        </w:r>
        <w:proofErr w:type="gramEnd"/>
        <w:r w:rsidRPr="00E259FA">
          <w:rPr>
            <w:rFonts w:asciiTheme="minorBidi" w:hAnsiTheme="minorBidi" w:cstheme="minorBidi"/>
            <w:color w:val="0000FF" w:themeColor="hyperlink"/>
            <w:u w:val="single"/>
          </w:rPr>
          <w:t>.GA 7</w:t>
        </w:r>
      </w:hyperlink>
      <w:r w:rsidRPr="00E259FA">
        <w:t xml:space="preserve">). During the </w:t>
      </w:r>
      <w:r w:rsidR="00545FCF" w:rsidRPr="00E259FA">
        <w:t xml:space="preserve">2024–2025 </w:t>
      </w:r>
      <w:r w:rsidRPr="00E259FA">
        <w:t xml:space="preserve">biennium, </w:t>
      </w:r>
      <w:r w:rsidRPr="00312476">
        <w:t>eight voluntary contributions</w:t>
      </w:r>
      <w:r w:rsidRPr="00E259FA">
        <w:t xml:space="preserve"> </w:t>
      </w:r>
      <w:proofErr w:type="gramStart"/>
      <w:r w:rsidRPr="00E259FA">
        <w:t>were received</w:t>
      </w:r>
      <w:proofErr w:type="gramEnd"/>
      <w:r w:rsidRPr="00E259FA">
        <w:t xml:space="preserve"> from France, Lithuania (twice), </w:t>
      </w:r>
      <w:r w:rsidRPr="00E259FA">
        <w:lastRenderedPageBreak/>
        <w:t xml:space="preserve">Monaco (twice), Slovenia and </w:t>
      </w:r>
      <w:r w:rsidR="00B07ADC" w:rsidRPr="00E259FA">
        <w:t xml:space="preserve">the United Kingdom of Great Britain and Northern Ireland (twice) </w:t>
      </w:r>
      <w:r w:rsidRPr="00E259FA">
        <w:t>for a total amount of US$</w:t>
      </w:r>
      <w:r w:rsidR="00B07ADC" w:rsidRPr="00E259FA">
        <w:t>238,11</w:t>
      </w:r>
      <w:r w:rsidR="005C4E02" w:rsidRPr="00E259FA">
        <w:t>3</w:t>
      </w:r>
      <w:r w:rsidR="00312476">
        <w:t>.</w:t>
      </w:r>
    </w:p>
    <w:p w14:paraId="76D22900" w14:textId="61E7C48D" w:rsidR="001643A8" w:rsidRPr="00E259FA" w:rsidRDefault="001643A8" w:rsidP="006D3FCF">
      <w:pPr>
        <w:pStyle w:val="COMPara"/>
        <w:numPr>
          <w:ilvl w:val="0"/>
          <w:numId w:val="0"/>
        </w:numPr>
        <w:tabs>
          <w:tab w:val="left" w:pos="567"/>
        </w:tabs>
        <w:spacing w:before="240"/>
        <w:ind w:left="714" w:hanging="357"/>
        <w:jc w:val="both"/>
        <w:rPr>
          <w:b/>
          <w:bCs/>
        </w:rPr>
      </w:pPr>
      <w:r w:rsidRPr="00E259FA">
        <w:rPr>
          <w:b/>
          <w:bCs/>
        </w:rPr>
        <w:tab/>
        <w:t>Prospects for future budget cycles</w:t>
      </w:r>
    </w:p>
    <w:p w14:paraId="2BB080D6" w14:textId="26C78F37" w:rsidR="00E9356D" w:rsidRPr="00E259FA" w:rsidRDefault="001643A8" w:rsidP="00E25ACD">
      <w:pPr>
        <w:pStyle w:val="COMPara"/>
        <w:numPr>
          <w:ilvl w:val="0"/>
          <w:numId w:val="23"/>
        </w:numPr>
        <w:ind w:left="567" w:hanging="567"/>
        <w:jc w:val="both"/>
      </w:pPr>
      <w:r w:rsidRPr="00E259FA">
        <w:t xml:space="preserve">Over the last two biennia, the Fund has demonstrated a strong and healthy implementation capacity, with </w:t>
      </w:r>
      <w:proofErr w:type="gramStart"/>
      <w:r w:rsidRPr="00E259FA">
        <w:t>a high level</w:t>
      </w:r>
      <w:proofErr w:type="gramEnd"/>
      <w:r w:rsidRPr="00E259FA">
        <w:t xml:space="preserve"> of expenditure (</w:t>
      </w:r>
      <w:r w:rsidRPr="006D3FCF">
        <w:t>73.2</w:t>
      </w:r>
      <w:r w:rsidRPr="00E259FA">
        <w:t xml:space="preserve">% in the </w:t>
      </w:r>
      <w:r w:rsidR="00545FCF" w:rsidRPr="00E259FA">
        <w:t>2022–2023</w:t>
      </w:r>
      <w:r w:rsidRPr="00E259FA">
        <w:t xml:space="preserve"> biennium and </w:t>
      </w:r>
      <w:r w:rsidRPr="006D3FCF">
        <w:t>76.9</w:t>
      </w:r>
      <w:r w:rsidRPr="00E259FA">
        <w:t xml:space="preserve">% in the </w:t>
      </w:r>
      <w:r w:rsidR="00545FCF" w:rsidRPr="00E259FA">
        <w:t>2024–2025</w:t>
      </w:r>
      <w:r w:rsidRPr="00E259FA">
        <w:t xml:space="preserve"> biennium).</w:t>
      </w:r>
      <w:r w:rsidR="002147AA" w:rsidRPr="00E259FA">
        <w:t xml:space="preserve"> </w:t>
      </w:r>
      <w:r w:rsidR="00E9356D" w:rsidRPr="00E259FA">
        <w:t>I</w:t>
      </w:r>
      <w:r w:rsidR="00E9356D" w:rsidRPr="00E259FA">
        <w:rPr>
          <w:bCs/>
        </w:rPr>
        <w:t xml:space="preserve">t is worth noting that should the level of expenditure </w:t>
      </w:r>
      <w:proofErr w:type="gramStart"/>
      <w:r w:rsidR="00E9356D" w:rsidRPr="00E259FA">
        <w:rPr>
          <w:bCs/>
        </w:rPr>
        <w:t>be maintained</w:t>
      </w:r>
      <w:proofErr w:type="gramEnd"/>
      <w:r w:rsidR="00E9356D" w:rsidRPr="00E259FA">
        <w:rPr>
          <w:bCs/>
        </w:rPr>
        <w:t xml:space="preserve"> at such </w:t>
      </w:r>
      <w:proofErr w:type="gramStart"/>
      <w:r w:rsidR="00E9356D" w:rsidRPr="00E259FA">
        <w:rPr>
          <w:bCs/>
        </w:rPr>
        <w:t>a high level</w:t>
      </w:r>
      <w:proofErr w:type="gramEnd"/>
      <w:r w:rsidR="00E9356D" w:rsidRPr="00E259FA">
        <w:rPr>
          <w:bCs/>
        </w:rPr>
        <w:t xml:space="preserve"> (i.e. above the level of assessed contributions received each biennium), </w:t>
      </w:r>
      <w:r w:rsidR="00E9356D" w:rsidRPr="006D3FCF">
        <w:rPr>
          <w:bCs/>
        </w:rPr>
        <w:t xml:space="preserve">the resources available for future biennia would </w:t>
      </w:r>
      <w:proofErr w:type="gramStart"/>
      <w:r w:rsidR="00E9356D" w:rsidRPr="006D3FCF">
        <w:rPr>
          <w:bCs/>
        </w:rPr>
        <w:t>be expected</w:t>
      </w:r>
      <w:proofErr w:type="gramEnd"/>
      <w:r w:rsidR="00E9356D" w:rsidRPr="006D3FCF">
        <w:rPr>
          <w:bCs/>
        </w:rPr>
        <w:t xml:space="preserve"> to decrease accordingly.</w:t>
      </w:r>
      <w:r w:rsidR="00E9356D" w:rsidRPr="00E259FA">
        <w:rPr>
          <w:bCs/>
        </w:rPr>
        <w:t xml:space="preserve"> The current </w:t>
      </w:r>
      <w:r w:rsidR="00CD1078" w:rsidRPr="00E259FA">
        <w:rPr>
          <w:bCs/>
        </w:rPr>
        <w:t>capacity</w:t>
      </w:r>
      <w:r w:rsidR="00E9356D" w:rsidRPr="00E259FA">
        <w:rPr>
          <w:bCs/>
        </w:rPr>
        <w:t xml:space="preserve"> of the Fund to be able to respond to the </w:t>
      </w:r>
      <w:r w:rsidR="00E9356D" w:rsidRPr="00093EEE">
        <w:rPr>
          <w:bCs/>
        </w:rPr>
        <w:t>safeguarding needs of the States Parties</w:t>
      </w:r>
      <w:r w:rsidR="00CD1078" w:rsidRPr="00093EEE">
        <w:rPr>
          <w:bCs/>
        </w:rPr>
        <w:t xml:space="preserve">, </w:t>
      </w:r>
      <w:r w:rsidR="00E9356D" w:rsidRPr="00093EEE">
        <w:rPr>
          <w:bCs/>
        </w:rPr>
        <w:t xml:space="preserve">as described in Part II below, should </w:t>
      </w:r>
      <w:r w:rsidR="00CD1078" w:rsidRPr="00093EEE">
        <w:rPr>
          <w:bCs/>
        </w:rPr>
        <w:t xml:space="preserve">therefore </w:t>
      </w:r>
      <w:r w:rsidR="00E9356D" w:rsidRPr="00093EEE">
        <w:rPr>
          <w:bCs/>
        </w:rPr>
        <w:t xml:space="preserve">not </w:t>
      </w:r>
      <w:proofErr w:type="gramStart"/>
      <w:r w:rsidR="00E9356D" w:rsidRPr="00093EEE">
        <w:rPr>
          <w:bCs/>
        </w:rPr>
        <w:t>be taken</w:t>
      </w:r>
      <w:proofErr w:type="gramEnd"/>
      <w:r w:rsidR="00E9356D" w:rsidRPr="00093EEE">
        <w:rPr>
          <w:bCs/>
        </w:rPr>
        <w:t xml:space="preserve"> for granted. A close monitoring is necessary beyond the short-term to ensure the sustainability of the 2003 Convention’s implementation.</w:t>
      </w:r>
      <w:r w:rsidR="005C4E02" w:rsidRPr="00093EEE">
        <w:rPr>
          <w:bCs/>
        </w:rPr>
        <w:t xml:space="preserve"> Notably, i</w:t>
      </w:r>
      <w:r w:rsidR="00E9356D" w:rsidRPr="00093EEE">
        <w:t xml:space="preserve">mplications </w:t>
      </w:r>
      <w:r w:rsidR="00EC6FAB" w:rsidRPr="00093EEE">
        <w:t xml:space="preserve">of the Convention’s geographical and substantial development should </w:t>
      </w:r>
      <w:proofErr w:type="gramStart"/>
      <w:r w:rsidR="00EC6FAB" w:rsidRPr="00093EEE">
        <w:t>be taken</w:t>
      </w:r>
      <w:proofErr w:type="gramEnd"/>
      <w:r w:rsidR="00EC6FAB" w:rsidRPr="00093EEE">
        <w:t xml:space="preserve"> into consideration</w:t>
      </w:r>
      <w:r w:rsidR="00BA0456">
        <w:t xml:space="preserve">, </w:t>
      </w:r>
      <w:r w:rsidR="00BA0456" w:rsidRPr="00093EEE">
        <w:t>in terms of human resources</w:t>
      </w:r>
      <w:r w:rsidR="00BA0456">
        <w:t>,</w:t>
      </w:r>
      <w:r w:rsidR="00EC6FAB" w:rsidRPr="00E259FA">
        <w:t xml:space="preserve"> </w:t>
      </w:r>
      <w:r w:rsidR="00E9356D" w:rsidRPr="00E259FA">
        <w:t xml:space="preserve">to ensure that the Secretariat </w:t>
      </w:r>
      <w:proofErr w:type="gramStart"/>
      <w:r w:rsidR="00E9356D" w:rsidRPr="00E259FA">
        <w:t>is equipped</w:t>
      </w:r>
      <w:proofErr w:type="gramEnd"/>
      <w:r w:rsidR="00E9356D" w:rsidRPr="00E259FA">
        <w:t xml:space="preserve"> to provide adequate support to </w:t>
      </w:r>
      <w:r w:rsidR="00AA4CFE" w:rsidRPr="00E259FA">
        <w:t>States Parties</w:t>
      </w:r>
      <w:r w:rsidR="005C4E02" w:rsidRPr="00E259FA">
        <w:t xml:space="preserve"> and other stakeholders</w:t>
      </w:r>
      <w:r w:rsidR="00AA4CFE" w:rsidRPr="00E259FA">
        <w:t xml:space="preserve">. </w:t>
      </w:r>
      <w:r w:rsidR="00E9356D" w:rsidRPr="00E259FA">
        <w:t xml:space="preserve">Otherwise, </w:t>
      </w:r>
      <w:proofErr w:type="gramStart"/>
      <w:r w:rsidR="00E9356D" w:rsidRPr="00E259FA">
        <w:t>some of</w:t>
      </w:r>
      <w:proofErr w:type="gramEnd"/>
      <w:r w:rsidR="00E9356D" w:rsidRPr="00E259FA">
        <w:t xml:space="preserve"> </w:t>
      </w:r>
      <w:r w:rsidR="00C8138C" w:rsidRPr="00E259FA">
        <w:t xml:space="preserve">the ongoing </w:t>
      </w:r>
      <w:r w:rsidR="00C86D86" w:rsidRPr="00E259FA">
        <w:t xml:space="preserve">thematic </w:t>
      </w:r>
      <w:r w:rsidR="00E9356D" w:rsidRPr="00E259FA">
        <w:t>initiatives</w:t>
      </w:r>
      <w:r w:rsidR="00C8138C" w:rsidRPr="00E259FA">
        <w:t xml:space="preserve">, programmes and projects </w:t>
      </w:r>
      <w:r w:rsidR="00E9356D" w:rsidRPr="00E259FA">
        <w:t xml:space="preserve">will need to </w:t>
      </w:r>
      <w:proofErr w:type="gramStart"/>
      <w:r w:rsidR="00E9356D" w:rsidRPr="00E259FA">
        <w:t>be put</w:t>
      </w:r>
      <w:proofErr w:type="gramEnd"/>
      <w:r w:rsidR="00E9356D" w:rsidRPr="00E259FA">
        <w:t xml:space="preserve"> on hold based on priorities to </w:t>
      </w:r>
      <w:proofErr w:type="gramStart"/>
      <w:r w:rsidR="00E9356D" w:rsidRPr="00E259FA">
        <w:t>be identified</w:t>
      </w:r>
      <w:proofErr w:type="gramEnd"/>
      <w:r w:rsidR="00E9356D" w:rsidRPr="00E259FA">
        <w:t xml:space="preserve"> by the governing bodies</w:t>
      </w:r>
      <w:r w:rsidR="00C8138C" w:rsidRPr="00E259FA">
        <w:t xml:space="preserve"> (see documents </w:t>
      </w:r>
      <w:hyperlink r:id="rId28" w:history="1">
        <w:r w:rsidR="00C8138C" w:rsidRPr="00E259FA">
          <w:rPr>
            <w:rStyle w:val="Hyperlink"/>
          </w:rPr>
          <w:t>LHE/25/20.COM/5</w:t>
        </w:r>
      </w:hyperlink>
      <w:r w:rsidR="00C8138C" w:rsidRPr="00E259FA">
        <w:t xml:space="preserve"> and </w:t>
      </w:r>
      <w:hyperlink r:id="rId29" w:history="1">
        <w:r w:rsidR="00C8138C" w:rsidRPr="00CC4CD0">
          <w:rPr>
            <w:rStyle w:val="Hyperlink"/>
          </w:rPr>
          <w:t>LHE/26/11.GA/6</w:t>
        </w:r>
      </w:hyperlink>
      <w:r w:rsidR="00C8138C" w:rsidRPr="00CC4CD0">
        <w:t>).</w:t>
      </w:r>
      <w:r w:rsidR="00C8138C" w:rsidRPr="006D3FCF">
        <w:t xml:space="preserve"> </w:t>
      </w:r>
      <w:r w:rsidR="00E9356D" w:rsidRPr="00E259FA">
        <w:t xml:space="preserve">In this regard, it is important to recall that the target set by the General Assembly since the establishment of the Sub-fund in 2010 has never </w:t>
      </w:r>
      <w:proofErr w:type="gramStart"/>
      <w:r w:rsidR="00E9356D" w:rsidRPr="00E259FA">
        <w:t>been reached</w:t>
      </w:r>
      <w:proofErr w:type="gramEnd"/>
      <w:r w:rsidR="00E9356D" w:rsidRPr="00E259FA">
        <w:t>. In fact, contributions to the Sub-fund declined</w:t>
      </w:r>
      <w:r w:rsidR="00C519FC" w:rsidRPr="00E259FA">
        <w:t xml:space="preserve"> over the last fifteen years </w:t>
      </w:r>
      <w:r w:rsidR="00E9356D" w:rsidRPr="00E259FA">
        <w:t>from US$511,885 in 2010-2011</w:t>
      </w:r>
      <w:r w:rsidR="005C4E02" w:rsidRPr="00E259FA">
        <w:t xml:space="preserve"> (23% of the target, the highest rate ever achieved)</w:t>
      </w:r>
      <w:r w:rsidR="00E9356D" w:rsidRPr="00E259FA">
        <w:t xml:space="preserve"> to US$238,113 in </w:t>
      </w:r>
      <w:r w:rsidR="00545FCF" w:rsidRPr="00E259FA">
        <w:t xml:space="preserve">2024–2025 </w:t>
      </w:r>
      <w:r w:rsidR="009A3393" w:rsidRPr="00E259FA">
        <w:t xml:space="preserve">(representing </w:t>
      </w:r>
      <w:r w:rsidR="005C4E02" w:rsidRPr="00E259FA">
        <w:t>12.5</w:t>
      </w:r>
      <w:r w:rsidR="009A3393" w:rsidRPr="00E259FA">
        <w:t xml:space="preserve">% of the </w:t>
      </w:r>
      <w:r w:rsidR="005C4E02" w:rsidRPr="00E259FA">
        <w:t>bi</w:t>
      </w:r>
      <w:r w:rsidR="009A3393" w:rsidRPr="00E259FA">
        <w:t>ennial target of US$</w:t>
      </w:r>
      <w:r w:rsidR="005C4E02" w:rsidRPr="00E259FA">
        <w:t>1.9</w:t>
      </w:r>
      <w:r w:rsidR="009A3393" w:rsidRPr="00E259FA">
        <w:t> million</w:t>
      </w:r>
      <w:r w:rsidR="00C519FC" w:rsidRPr="00E259FA">
        <w:t xml:space="preserve"> set </w:t>
      </w:r>
      <w:r w:rsidR="005C4E02" w:rsidRPr="00E259FA">
        <w:t>for 2024–2025</w:t>
      </w:r>
      <w:r w:rsidR="009A3393" w:rsidRPr="00E259FA">
        <w:t>).</w:t>
      </w:r>
    </w:p>
    <w:p w14:paraId="50A0DEBE" w14:textId="4A526DEF" w:rsidR="00D974F2" w:rsidRPr="00E259FA" w:rsidRDefault="00D974F2" w:rsidP="006D3FCF">
      <w:pPr>
        <w:pStyle w:val="Heading4"/>
        <w:spacing w:before="240" w:after="120"/>
        <w:ind w:hanging="425"/>
      </w:pPr>
      <w:r w:rsidRPr="00E259FA">
        <w:t>BUDGET LINES AND ALLOCATIONS FOR THE 43</w:t>
      </w:r>
      <w:r w:rsidR="00453B7C">
        <w:t xml:space="preserve"> </w:t>
      </w:r>
      <w:r w:rsidRPr="00E259FA">
        <w:t>C/5 (</w:t>
      </w:r>
      <w:r w:rsidR="00545FCF" w:rsidRPr="00E259FA">
        <w:t>2026–2027</w:t>
      </w:r>
      <w:r w:rsidRPr="00E259FA">
        <w:t>)</w:t>
      </w:r>
    </w:p>
    <w:p w14:paraId="6F416D8C" w14:textId="2C754609" w:rsidR="00D974F2" w:rsidRPr="00E259FA" w:rsidRDefault="00D974F2" w:rsidP="005C4E02">
      <w:pPr>
        <w:pStyle w:val="COMPara"/>
        <w:numPr>
          <w:ilvl w:val="0"/>
          <w:numId w:val="23"/>
        </w:numPr>
        <w:ind w:left="567" w:hanging="567"/>
        <w:jc w:val="both"/>
      </w:pPr>
      <w:bookmarkStart w:id="2" w:name="_Hlk166581136"/>
      <w:r w:rsidRPr="00E259FA">
        <w:t xml:space="preserve">The draft plan proposed below is based on the fund balance available for programme activities as </w:t>
      </w:r>
      <w:r w:rsidRPr="006D3FCF">
        <w:rPr>
          <w:bCs/>
        </w:rPr>
        <w:t>of</w:t>
      </w:r>
      <w:r w:rsidRPr="00E259FA">
        <w:t xml:space="preserve"> 31 December </w:t>
      </w:r>
      <w:r w:rsidR="000774A3" w:rsidRPr="00E259FA">
        <w:t>2025</w:t>
      </w:r>
      <w:r w:rsidRPr="00E259FA">
        <w:t>, excluding the Reserve Fund, i.e.</w:t>
      </w:r>
      <w:r w:rsidRPr="00E259FA" w:rsidDel="00486688">
        <w:t xml:space="preserve"> </w:t>
      </w:r>
      <w:r w:rsidR="004A27EE" w:rsidRPr="00E259FA">
        <w:t xml:space="preserve">approximately </w:t>
      </w:r>
      <w:r w:rsidRPr="00E259FA">
        <w:t>US$</w:t>
      </w:r>
      <w:r w:rsidR="000774A3" w:rsidRPr="00E259FA">
        <w:t>7.</w:t>
      </w:r>
      <w:r w:rsidR="004A27EE" w:rsidRPr="00E259FA">
        <w:t>9 </w:t>
      </w:r>
      <w:r w:rsidRPr="00E259FA">
        <w:t xml:space="preserve">million. This represents a decrease in comparison with the budget approved by the </w:t>
      </w:r>
      <w:r w:rsidR="000774A3" w:rsidRPr="00E259FA">
        <w:t xml:space="preserve">tenth </w:t>
      </w:r>
      <w:r w:rsidRPr="00E259FA">
        <w:t>session of the General Assembly, which amounted to US$8.</w:t>
      </w:r>
      <w:r w:rsidR="00C128DD" w:rsidRPr="00E259FA">
        <w:t xml:space="preserve">2 </w:t>
      </w:r>
      <w:r w:rsidRPr="00E259FA">
        <w:t>million (</w:t>
      </w:r>
      <w:bookmarkStart w:id="3" w:name="_Hlk147502296"/>
      <w:r w:rsidRPr="00E259FA">
        <w:t xml:space="preserve">Resolution </w:t>
      </w:r>
      <w:hyperlink r:id="rId30" w:history="1">
        <w:proofErr w:type="gramStart"/>
        <w:r w:rsidR="000774A3" w:rsidRPr="00E259FA">
          <w:rPr>
            <w:rStyle w:val="Hyperlink"/>
          </w:rPr>
          <w:t>10</w:t>
        </w:r>
        <w:bookmarkEnd w:id="3"/>
        <w:proofErr w:type="gramEnd"/>
        <w:r w:rsidR="000774A3" w:rsidRPr="00E259FA">
          <w:rPr>
            <w:rStyle w:val="Hyperlink"/>
          </w:rPr>
          <w:t>.GA 8</w:t>
        </w:r>
      </w:hyperlink>
      <w:r w:rsidRPr="00E259FA">
        <w:t>).</w:t>
      </w:r>
    </w:p>
    <w:bookmarkEnd w:id="2"/>
    <w:p w14:paraId="30064FAE" w14:textId="05687797" w:rsidR="000774A3" w:rsidRPr="00E259FA" w:rsidRDefault="000774A3" w:rsidP="000774A3">
      <w:pPr>
        <w:pStyle w:val="COMPara"/>
        <w:numPr>
          <w:ilvl w:val="0"/>
          <w:numId w:val="23"/>
        </w:numPr>
        <w:ind w:left="567" w:hanging="567"/>
        <w:jc w:val="both"/>
      </w:pPr>
      <w:r w:rsidRPr="00E259FA">
        <w:t>The proposal for the allocation of funds for the 43 C/5 (</w:t>
      </w:r>
      <w:r w:rsidR="00545FCF" w:rsidRPr="00E259FA">
        <w:t>2026–2027</w:t>
      </w:r>
      <w:r w:rsidRPr="00E259FA">
        <w:t xml:space="preserve">) follows the established structure based on budget lines, in line with previous biennial exercises. These budget lines can </w:t>
      </w:r>
      <w:proofErr w:type="gramStart"/>
      <w:r w:rsidRPr="00E259FA">
        <w:t>be divided</w:t>
      </w:r>
      <w:proofErr w:type="gramEnd"/>
      <w:r w:rsidRPr="00E259FA">
        <w:t xml:space="preserve"> into three categories of expenditure: a) International Assistance; b) ‘other functions of the Committee’ in the sense of Article 7 of the Convention; and c) participation in the meetings of the governing bodies and advisory services to the Committee. While the overall structure remains unchanged, </w:t>
      </w:r>
      <w:proofErr w:type="gramStart"/>
      <w:r w:rsidRPr="00E259FA">
        <w:t>a few</w:t>
      </w:r>
      <w:proofErr w:type="gramEnd"/>
      <w:r w:rsidRPr="00E259FA">
        <w:t xml:space="preserve"> adjustments between budget lines </w:t>
      </w:r>
      <w:proofErr w:type="gramStart"/>
      <w:r w:rsidRPr="00E259FA">
        <w:t>are proposed</w:t>
      </w:r>
      <w:proofErr w:type="gramEnd"/>
      <w:r w:rsidRPr="00E259FA">
        <w:t xml:space="preserve">, as detailed in the paragraphs below, </w:t>
      </w:r>
      <w:proofErr w:type="gramStart"/>
      <w:r w:rsidRPr="00E259FA">
        <w:t>taking into account</w:t>
      </w:r>
      <w:proofErr w:type="gramEnd"/>
      <w:r w:rsidRPr="00E259FA">
        <w:t xml:space="preserve"> that the total budget available is lower than during the </w:t>
      </w:r>
      <w:r w:rsidR="00545FCF" w:rsidRPr="00E259FA">
        <w:t xml:space="preserve">2024–2025 </w:t>
      </w:r>
      <w:r w:rsidRPr="00E259FA">
        <w:t>biennium</w:t>
      </w:r>
      <w:r w:rsidR="00CD1078" w:rsidRPr="00E259FA">
        <w:t>.</w:t>
      </w:r>
    </w:p>
    <w:p w14:paraId="7CEBFA9F" w14:textId="5C21FB66" w:rsidR="000774A3" w:rsidRPr="00E259FA" w:rsidRDefault="000774A3" w:rsidP="000774A3">
      <w:pPr>
        <w:pStyle w:val="COMPara"/>
        <w:numPr>
          <w:ilvl w:val="0"/>
          <w:numId w:val="0"/>
        </w:numPr>
        <w:ind w:left="567"/>
        <w:jc w:val="both"/>
        <w:rPr>
          <w:b/>
          <w:bCs/>
        </w:rPr>
      </w:pPr>
      <w:r w:rsidRPr="00E259FA">
        <w:rPr>
          <w:b/>
          <w:bCs/>
        </w:rPr>
        <w:t>International Assistance</w:t>
      </w:r>
    </w:p>
    <w:p w14:paraId="3B820990" w14:textId="3A674247" w:rsidR="000774A3" w:rsidRPr="00E259FA" w:rsidRDefault="000774A3" w:rsidP="000774A3">
      <w:pPr>
        <w:pStyle w:val="COMPara"/>
        <w:numPr>
          <w:ilvl w:val="0"/>
          <w:numId w:val="23"/>
        </w:numPr>
        <w:ind w:left="567" w:hanging="567"/>
        <w:jc w:val="both"/>
      </w:pPr>
      <w:r w:rsidRPr="00E259FA">
        <w:t>In line with the priorities set by the Guidelines for the use of the resources of the Fund in Chapter II.1 of the Operational Directives, it is proposed that the majority of the resources (65.1%) be allocated to providing International Assistance to States Parties to supplement their national efforts to safeguard intangible cultural heritage (</w:t>
      </w:r>
      <w:r w:rsidRPr="00E259FA">
        <w:rPr>
          <w:b/>
        </w:rPr>
        <w:t>budget lines 1, 1.1 and 2</w:t>
      </w:r>
      <w:r w:rsidRPr="00E259FA">
        <w:t>). The portion of the Fund dedicated to International Assistance mechanisms will remain unchanged in comparison to the previous biennium</w:t>
      </w:r>
      <w:r w:rsidR="00CD1078" w:rsidRPr="00E259FA">
        <w:t xml:space="preserve">. </w:t>
      </w:r>
    </w:p>
    <w:p w14:paraId="5D77CC25" w14:textId="4108C252" w:rsidR="00FC3F5E" w:rsidRPr="00E259FA" w:rsidRDefault="000774A3" w:rsidP="000774A3">
      <w:pPr>
        <w:pStyle w:val="COMPara"/>
        <w:numPr>
          <w:ilvl w:val="0"/>
          <w:numId w:val="23"/>
        </w:numPr>
        <w:ind w:left="567" w:hanging="567"/>
        <w:jc w:val="both"/>
      </w:pPr>
      <w:r w:rsidRPr="006D3FCF">
        <w:t xml:space="preserve">Funds allocated to </w:t>
      </w:r>
      <w:r w:rsidRPr="00CC4CD0">
        <w:rPr>
          <w:b/>
          <w:bCs/>
        </w:rPr>
        <w:t>budget line 1</w:t>
      </w:r>
      <w:r w:rsidRPr="006D3FCF">
        <w:t xml:space="preserve"> (50%) </w:t>
      </w:r>
      <w:proofErr w:type="gramStart"/>
      <w:r w:rsidRPr="006D3FCF">
        <w:t>are foreseen</w:t>
      </w:r>
      <w:proofErr w:type="gramEnd"/>
      <w:r w:rsidRPr="006D3FCF">
        <w:t xml:space="preserve"> for support to States, through the International Assistance mechanisms, in the safeguarding of heritage inscribed on the List of Intangible Cultural Heritage in Need of Urgent Safeguarding, the preparation of inventories and other safeguarding programmes and projects. It </w:t>
      </w:r>
      <w:proofErr w:type="gramStart"/>
      <w:r w:rsidRPr="006D3FCF">
        <w:t>is proposed</w:t>
      </w:r>
      <w:proofErr w:type="gramEnd"/>
      <w:r w:rsidRPr="006D3FCF">
        <w:t xml:space="preserve"> to maintain the allocation of budget line 1 at the same level to enable States Parties to strengthen their safeguarding efforts, with a particular focus on the Africa region and SIDS. These resources will </w:t>
      </w:r>
      <w:proofErr w:type="gramStart"/>
      <w:r w:rsidRPr="006D3FCF">
        <w:t>be used</w:t>
      </w:r>
      <w:proofErr w:type="gramEnd"/>
      <w:r w:rsidRPr="006D3FCF">
        <w:t xml:space="preserve"> to grant funds to as </w:t>
      </w:r>
      <w:proofErr w:type="gramStart"/>
      <w:r w:rsidRPr="006D3FCF">
        <w:t>many</w:t>
      </w:r>
      <w:proofErr w:type="gramEnd"/>
      <w:r w:rsidRPr="006D3FCF">
        <w:t xml:space="preserve"> safeguarding projects as possible, approved by the Committee and the Bureau, on condition that they meet the criteria for International Assistance.</w:t>
      </w:r>
      <w:r w:rsidR="00B72214" w:rsidRPr="006D3FCF">
        <w:t xml:space="preserve"> </w:t>
      </w:r>
      <w:r w:rsidR="00B72214" w:rsidRPr="00E259FA">
        <w:t xml:space="preserve">In addition, this budget line will serve to cover the costs of International Assistance requests approved by the </w:t>
      </w:r>
      <w:r w:rsidR="00B72214" w:rsidRPr="00E259FA">
        <w:lastRenderedPageBreak/>
        <w:t>Committee and its Bureau during the 2024-2025 biennium but which could not be contracted during the same period, for administrative reasons and/or upon the request of the beneficiary State: this is in particular the case for requests approved during the second half of 2025.</w:t>
      </w:r>
    </w:p>
    <w:p w14:paraId="75D0089E" w14:textId="3C0FF024" w:rsidR="00246899" w:rsidRPr="00E259FA" w:rsidRDefault="000774A3" w:rsidP="00246899">
      <w:pPr>
        <w:pStyle w:val="COMPara"/>
        <w:numPr>
          <w:ilvl w:val="0"/>
          <w:numId w:val="23"/>
        </w:numPr>
        <w:ind w:left="567" w:hanging="567"/>
        <w:jc w:val="both"/>
      </w:pPr>
      <w:r w:rsidRPr="00E259FA">
        <w:t xml:space="preserve">Following the findings from the 2021 evaluation by the Internal Oversight Service (IOS) of UNESCO’s action in the framework of the 2003 Convention for the Safeguarding of the Intangible Cultural Heritage (see Recommendations 5 and 6 in document </w:t>
      </w:r>
      <w:hyperlink r:id="rId31" w:history="1">
        <w:r w:rsidRPr="00E259FA">
          <w:rPr>
            <w:rStyle w:val="Hyperlink"/>
          </w:rPr>
          <w:t>LHE/21/16.COM/INF.10 Rev.</w:t>
        </w:r>
      </w:hyperlink>
      <w:r w:rsidRPr="00E259FA">
        <w:t>), the Committee authorized – on an experimental basis since 2021 – the use of funds under budget line 1 in an amount not exceeding 10% of the approved budget of each approved International Assistance project, to finance the provision of expertise, as described in Article 21 of the Convention, for monitoring and evaluating ongoing and recently completed International Assistance projects (</w:t>
      </w:r>
      <w:bookmarkStart w:id="4" w:name="_Hlk210205072"/>
      <w:r w:rsidRPr="00E259FA">
        <w:t xml:space="preserve">Decisions </w:t>
      </w:r>
      <w:hyperlink r:id="rId32" w:history="1">
        <w:r w:rsidRPr="00E259FA">
          <w:rPr>
            <w:rStyle w:val="Hyperlink"/>
          </w:rPr>
          <w:t>16.COM13</w:t>
        </w:r>
      </w:hyperlink>
      <w:r w:rsidR="00D96178" w:rsidRPr="00E259FA">
        <w:t xml:space="preserve">, </w:t>
      </w:r>
      <w:hyperlink r:id="rId33" w:history="1">
        <w:r w:rsidRPr="00E259FA">
          <w:rPr>
            <w:rStyle w:val="Hyperlink"/>
          </w:rPr>
          <w:t>18.COM14</w:t>
        </w:r>
      </w:hyperlink>
      <w:bookmarkEnd w:id="4"/>
      <w:r w:rsidR="00D96178" w:rsidRPr="00E259FA">
        <w:t xml:space="preserve"> and </w:t>
      </w:r>
      <w:hyperlink r:id="rId34" w:history="1">
        <w:r w:rsidR="00D96178" w:rsidRPr="00E259FA">
          <w:rPr>
            <w:rStyle w:val="Hyperlink"/>
          </w:rPr>
          <w:t>20.COM 14</w:t>
        </w:r>
      </w:hyperlink>
      <w:r w:rsidRPr="00E259FA">
        <w:t xml:space="preserve">). Building on the Strategy for the monitoring and evaluation of International Assistance projects (Decision </w:t>
      </w:r>
      <w:hyperlink r:id="rId35" w:history="1">
        <w:r w:rsidRPr="00E259FA">
          <w:rPr>
            <w:rStyle w:val="Hyperlink"/>
          </w:rPr>
          <w:t>17.COM 11</w:t>
        </w:r>
      </w:hyperlink>
      <w:r w:rsidRPr="00E259FA">
        <w:t xml:space="preserve">), the Secretariat intends to organize, in collaboration with beneficiary States, field missions to evaluate completed projects (see document </w:t>
      </w:r>
      <w:hyperlink r:id="rId36" w:history="1">
        <w:r w:rsidRPr="00E259FA">
          <w:rPr>
            <w:rStyle w:val="Hyperlink"/>
          </w:rPr>
          <w:t>LHE/25/20.COM/10</w:t>
        </w:r>
      </w:hyperlink>
      <w:r w:rsidRPr="00E259FA">
        <w:t xml:space="preserve">). </w:t>
      </w:r>
      <w:r w:rsidR="00246899" w:rsidRPr="006D3FCF">
        <w:t>These additional funds under budget line 1, separated from the grants allocated to the beneficiaries, will be used, on an experimental basis, in an amount not exceeding 10% of the budget of each approved International Assistance project selected, to finance the provision of expertise</w:t>
      </w:r>
      <w:r w:rsidR="00246899" w:rsidRPr="00E259FA">
        <w:t>, as described in Article 21 of the Convention, for the purpose of evaluating completed International Assistance projects</w:t>
      </w:r>
      <w:r w:rsidR="00246899" w:rsidRPr="006D3FCF">
        <w:t>.</w:t>
      </w:r>
    </w:p>
    <w:p w14:paraId="4E206DCB" w14:textId="06AB03B4" w:rsidR="00D96178" w:rsidRPr="00E259FA" w:rsidRDefault="00D96178" w:rsidP="00D96178">
      <w:pPr>
        <w:pStyle w:val="COMPara"/>
        <w:numPr>
          <w:ilvl w:val="0"/>
          <w:numId w:val="23"/>
        </w:numPr>
        <w:tabs>
          <w:tab w:val="left" w:pos="567"/>
        </w:tabs>
        <w:ind w:left="567" w:hanging="567"/>
        <w:jc w:val="both"/>
      </w:pPr>
      <w:r w:rsidRPr="00E259FA">
        <w:t xml:space="preserve">At its seventh session in 2018, the General Assembly approved the creation of three extra-budgetary fixed-term posts (one P3, one P2 and one G5) to form a </w:t>
      </w:r>
      <w:proofErr w:type="gramStart"/>
      <w:r w:rsidRPr="00E259FA">
        <w:t>dedicated</w:t>
      </w:r>
      <w:proofErr w:type="gramEnd"/>
      <w:r w:rsidRPr="00E259FA">
        <w:t xml:space="preserve"> team to operationalize the implementation of the International Assistance mechanisms (Resolution</w:t>
      </w:r>
      <w:r w:rsidR="00CC4CD0">
        <w:t> </w:t>
      </w:r>
      <w:hyperlink r:id="rId37" w:history="1">
        <w:proofErr w:type="gramStart"/>
        <w:r w:rsidRPr="00E259FA">
          <w:rPr>
            <w:rStyle w:val="Hyperlink"/>
          </w:rPr>
          <w:t>7</w:t>
        </w:r>
        <w:proofErr w:type="gramEnd"/>
        <w:r w:rsidRPr="00E259FA">
          <w:rPr>
            <w:rStyle w:val="Hyperlink"/>
          </w:rPr>
          <w:t>.GA 8</w:t>
        </w:r>
      </w:hyperlink>
      <w:r w:rsidRPr="00E259FA">
        <w:t xml:space="preserve">). The ‘Safeguarding, Implementation and Monitoring (SIM) Team’ </w:t>
      </w:r>
      <w:proofErr w:type="gramStart"/>
      <w:r w:rsidRPr="00E259FA">
        <w:t>was established</w:t>
      </w:r>
      <w:proofErr w:type="gramEnd"/>
      <w:r w:rsidRPr="00E259FA">
        <w:t xml:space="preserve"> in February 2020. </w:t>
      </w:r>
      <w:proofErr w:type="gramStart"/>
      <w:r w:rsidRPr="00E259FA">
        <w:t>Some</w:t>
      </w:r>
      <w:proofErr w:type="gramEnd"/>
      <w:r w:rsidRPr="00E259FA">
        <w:t xml:space="preserve"> 13.4% of the resources of the Fund </w:t>
      </w:r>
      <w:proofErr w:type="gramStart"/>
      <w:r w:rsidRPr="00E259FA">
        <w:t>are proposed</w:t>
      </w:r>
      <w:proofErr w:type="gramEnd"/>
      <w:r w:rsidRPr="00E259FA">
        <w:t xml:space="preserve"> to be allocated to cover the costs of these three posts (</w:t>
      </w:r>
      <w:r w:rsidRPr="00E259FA">
        <w:rPr>
          <w:b/>
        </w:rPr>
        <w:t>budget line 1.1</w:t>
      </w:r>
      <w:r w:rsidRPr="00E259FA">
        <w:t xml:space="preserve">), against 12.3% in the </w:t>
      </w:r>
      <w:r w:rsidR="00545FCF" w:rsidRPr="00E259FA">
        <w:t>2024–2025</w:t>
      </w:r>
      <w:r w:rsidRPr="00E259FA">
        <w:t xml:space="preserve"> biennium to maintain this budget line at the same nominal amount.</w:t>
      </w:r>
    </w:p>
    <w:p w14:paraId="40397F90" w14:textId="77777777" w:rsidR="00D96178" w:rsidRPr="00E259FA" w:rsidRDefault="00D96178" w:rsidP="00D96178">
      <w:pPr>
        <w:pStyle w:val="COMPara"/>
        <w:numPr>
          <w:ilvl w:val="0"/>
          <w:numId w:val="23"/>
        </w:numPr>
        <w:tabs>
          <w:tab w:val="left" w:pos="567"/>
        </w:tabs>
        <w:ind w:left="567" w:hanging="567"/>
        <w:jc w:val="both"/>
      </w:pPr>
      <w:r w:rsidRPr="00E259FA">
        <w:t xml:space="preserve">It </w:t>
      </w:r>
      <w:proofErr w:type="gramStart"/>
      <w:r w:rsidRPr="00E259FA">
        <w:t>is proposed</w:t>
      </w:r>
      <w:proofErr w:type="gramEnd"/>
      <w:r w:rsidRPr="00E259FA">
        <w:t xml:space="preserve"> that 1.7% of the funds be allocated for granting preparatory assistance (</w:t>
      </w:r>
      <w:r w:rsidRPr="00E259FA">
        <w:rPr>
          <w:b/>
          <w:bCs/>
        </w:rPr>
        <w:t>budget line 2</w:t>
      </w:r>
      <w:r w:rsidRPr="00E259FA">
        <w:t xml:space="preserve">), representing a slight decrease compared to the current biennium (2.8%). Despite this decrease, this budget line will be available to provide relevant preparatory and technical assistance. In addition, the Secretariat will be able to continue providing support to States Parties through preparatory assistance for nomination files, as defined in paragraph 21 of the </w:t>
      </w:r>
      <w:hyperlink r:id="rId38" w:history="1">
        <w:r w:rsidRPr="00E259FA">
          <w:rPr>
            <w:rStyle w:val="Hyperlink"/>
          </w:rPr>
          <w:t>Operational Directives</w:t>
        </w:r>
      </w:hyperlink>
      <w:r w:rsidRPr="00E259FA">
        <w:t>. This budget line will also cover the costs related to the provision of technical assistance</w:t>
      </w:r>
      <w:r w:rsidRPr="00E259FA">
        <w:rPr>
          <w:rStyle w:val="FootnoteReference"/>
        </w:rPr>
        <w:footnoteReference w:id="2"/>
      </w:r>
      <w:r w:rsidRPr="00E259FA">
        <w:t xml:space="preserve"> for States Parties preparing International Assistance requests.</w:t>
      </w:r>
    </w:p>
    <w:p w14:paraId="1FFA3EEC" w14:textId="77777777" w:rsidR="00D96178" w:rsidRPr="00E259FA" w:rsidRDefault="00D96178" w:rsidP="00D96178">
      <w:pPr>
        <w:pStyle w:val="COMPara"/>
        <w:numPr>
          <w:ilvl w:val="0"/>
          <w:numId w:val="0"/>
        </w:numPr>
        <w:tabs>
          <w:tab w:val="left" w:pos="567"/>
        </w:tabs>
        <w:ind w:firstLine="567"/>
        <w:jc w:val="both"/>
        <w:rPr>
          <w:b/>
          <w:bCs/>
        </w:rPr>
      </w:pPr>
      <w:r w:rsidRPr="00E259FA">
        <w:rPr>
          <w:b/>
          <w:bCs/>
        </w:rPr>
        <w:t>Other functions of the Committee</w:t>
      </w:r>
    </w:p>
    <w:p w14:paraId="5E4C9689" w14:textId="25344D0C" w:rsidR="00D96178" w:rsidRPr="00E259FA" w:rsidRDefault="00D96178" w:rsidP="00D96178">
      <w:pPr>
        <w:pStyle w:val="COMPara"/>
        <w:numPr>
          <w:ilvl w:val="0"/>
          <w:numId w:val="23"/>
        </w:numPr>
        <w:tabs>
          <w:tab w:val="left" w:pos="567"/>
        </w:tabs>
        <w:ind w:left="567" w:hanging="567"/>
        <w:jc w:val="both"/>
      </w:pPr>
      <w:r w:rsidRPr="00E259FA">
        <w:rPr>
          <w:b/>
        </w:rPr>
        <w:t>Budget line 3</w:t>
      </w:r>
      <w:r w:rsidRPr="00E259FA">
        <w:t xml:space="preserve"> (‘other functions of the Committee’) will </w:t>
      </w:r>
      <w:proofErr w:type="gramStart"/>
      <w:r w:rsidRPr="00E259FA">
        <w:t>be maintained</w:t>
      </w:r>
      <w:proofErr w:type="gramEnd"/>
      <w:r w:rsidRPr="00E259FA">
        <w:t xml:space="preserve"> at 20% to strengthen the work initiated during </w:t>
      </w:r>
      <w:r w:rsidR="001F5CDF" w:rsidRPr="00E259FA">
        <w:t>previous biennial exercises</w:t>
      </w:r>
      <w:r w:rsidRPr="00E259FA">
        <w:t xml:space="preserve">. Such functions </w:t>
      </w:r>
      <w:proofErr w:type="gramStart"/>
      <w:r w:rsidRPr="00E259FA">
        <w:t>are listed</w:t>
      </w:r>
      <w:proofErr w:type="gramEnd"/>
      <w:r w:rsidRPr="00E259FA">
        <w:t xml:space="preserve"> under Article 7 of the Convention, and the Secretariat makes use of these funds</w:t>
      </w:r>
      <w:r w:rsidR="00C510BC">
        <w:t xml:space="preserve">, complemented by voluntary supplementary contributions to the two funding priorities established by the Committee for 2026–2029, </w:t>
      </w:r>
      <w:r w:rsidRPr="00E259FA">
        <w:t xml:space="preserve">to assist the Committee in performing these functions, as required by Article 10 of the Convention. In other words, these funds will primarily </w:t>
      </w:r>
      <w:proofErr w:type="gramStart"/>
      <w:r w:rsidRPr="00E259FA">
        <w:t>be used</w:t>
      </w:r>
      <w:proofErr w:type="gramEnd"/>
      <w:r w:rsidRPr="00E259FA">
        <w:t xml:space="preserve"> for </w:t>
      </w:r>
      <w:r w:rsidRPr="00E259FA">
        <w:rPr>
          <w:rStyle w:val="hps"/>
        </w:rPr>
        <w:t xml:space="preserve">upstream and cross-cutting actions aiming to </w:t>
      </w:r>
      <w:r w:rsidRPr="00E259FA">
        <w:t>promote the objectives of the Convention and encourage and monitor its implementation (Article 7[a]), as well as provide guidance on measures for the safeguarding of intangible cultural heritage (Article 7[b]). It is important to note that while the allocation in percentage remains unchanged, the nominal amount of budget line 3 decrease</w:t>
      </w:r>
      <w:r w:rsidR="001F5CDF" w:rsidRPr="00E259FA">
        <w:t>d</w:t>
      </w:r>
      <w:r w:rsidRPr="00E259FA">
        <w:t xml:space="preserve"> due to the general reduction in the amount </w:t>
      </w:r>
      <w:r w:rsidR="001F5CDF" w:rsidRPr="00E259FA">
        <w:t xml:space="preserve">available for </w:t>
      </w:r>
      <w:r w:rsidR="00CD1078" w:rsidRPr="00E259FA">
        <w:t>the current biennium (</w:t>
      </w:r>
      <w:r w:rsidR="00545FCF" w:rsidRPr="00E259FA">
        <w:t>2026–2027</w:t>
      </w:r>
      <w:r w:rsidR="00CD1078" w:rsidRPr="00E259FA">
        <w:t>)</w:t>
      </w:r>
      <w:r w:rsidRPr="00E259FA">
        <w:t>.</w:t>
      </w:r>
    </w:p>
    <w:p w14:paraId="6A6A6B41" w14:textId="557F4D0F" w:rsidR="00D96178" w:rsidRPr="00E259FA" w:rsidRDefault="00D96178" w:rsidP="006D3FCF">
      <w:pPr>
        <w:pStyle w:val="COMPara"/>
        <w:numPr>
          <w:ilvl w:val="0"/>
          <w:numId w:val="23"/>
        </w:numPr>
        <w:tabs>
          <w:tab w:val="left" w:pos="567"/>
        </w:tabs>
        <w:ind w:left="567" w:hanging="567"/>
        <w:jc w:val="both"/>
      </w:pPr>
      <w:r w:rsidRPr="00E259FA">
        <w:rPr>
          <w:bCs/>
        </w:rPr>
        <w:t xml:space="preserve">In accordance with Decision </w:t>
      </w:r>
      <w:hyperlink r:id="rId39" w:history="1">
        <w:r w:rsidRPr="00E259FA">
          <w:rPr>
            <w:rStyle w:val="Hyperlink"/>
            <w:bCs/>
          </w:rPr>
          <w:t>14.COM 7</w:t>
        </w:r>
      </w:hyperlink>
      <w:r w:rsidRPr="00E259FA">
        <w:rPr>
          <w:bCs/>
        </w:rPr>
        <w:t xml:space="preserve">, the proposed Plan presented to the Committee </w:t>
      </w:r>
      <w:r w:rsidR="00C128DD" w:rsidRPr="00E259FA">
        <w:rPr>
          <w:bCs/>
        </w:rPr>
        <w:t xml:space="preserve">and the General Assembly </w:t>
      </w:r>
      <w:r w:rsidRPr="00E259FA">
        <w:rPr>
          <w:bCs/>
        </w:rPr>
        <w:t>includes a percentage breakdown under budget line 3</w:t>
      </w:r>
      <w:r w:rsidRPr="00E259FA">
        <w:t xml:space="preserve"> </w:t>
      </w:r>
      <w:r w:rsidRPr="00E259FA">
        <w:rPr>
          <w:bCs/>
        </w:rPr>
        <w:t xml:space="preserve">in </w:t>
      </w:r>
      <w:r w:rsidRPr="00E259FA">
        <w:t>terms</w:t>
      </w:r>
      <w:r w:rsidRPr="00E259FA">
        <w:rPr>
          <w:bCs/>
        </w:rPr>
        <w:t xml:space="preserve"> of Expected Results (ERs) in line with the Outputs approved in the C/5. The Plan proposes to divide budget line 3 into two ERs based on two of the </w:t>
      </w:r>
      <w:r w:rsidRPr="00E259FA">
        <w:t xml:space="preserve">performance indicators defined in the </w:t>
      </w:r>
      <w:r w:rsidR="001F5CDF" w:rsidRPr="00E259FA">
        <w:t xml:space="preserve">approved </w:t>
      </w:r>
      <w:hyperlink r:id="rId40" w:history="1">
        <w:r w:rsidRPr="00E259FA">
          <w:rPr>
            <w:rStyle w:val="Hyperlink"/>
          </w:rPr>
          <w:t>43 C/5</w:t>
        </w:r>
      </w:hyperlink>
      <w:r w:rsidRPr="00E259FA">
        <w:t xml:space="preserve"> (pages 168 to 170): Major Programme IV - Culture, Outcome 4, </w:t>
      </w:r>
      <w:bookmarkStart w:id="5" w:name="_Hlk210144015"/>
      <w:r w:rsidRPr="00E259FA">
        <w:t xml:space="preserve">Output </w:t>
      </w:r>
      <w:r w:rsidRPr="00E259FA">
        <w:lastRenderedPageBreak/>
        <w:t>4.2.CLT</w:t>
      </w:r>
      <w:bookmarkEnd w:id="5"/>
      <w:r w:rsidRPr="00E259FA">
        <w:t xml:space="preserve"> ‘Capacities of Member States and communities strengthened to protect, safeguard, and promote natural and cultural heritage, including tangible, intangible, and underwater heritage’. The budget allocation repartition between the two proposed ERs will be equal, as follows:</w:t>
      </w:r>
    </w:p>
    <w:tbl>
      <w:tblPr>
        <w:tblStyle w:val="TableGrid"/>
        <w:tblW w:w="0" w:type="auto"/>
        <w:jc w:val="center"/>
        <w:tblLook w:val="04A0" w:firstRow="1" w:lastRow="0" w:firstColumn="1" w:lastColumn="0" w:noHBand="0" w:noVBand="1"/>
      </w:tblPr>
      <w:tblGrid>
        <w:gridCol w:w="6075"/>
        <w:gridCol w:w="1150"/>
      </w:tblGrid>
      <w:tr w:rsidR="00D96178" w:rsidRPr="00E259FA" w14:paraId="5A6B3FD6" w14:textId="77777777" w:rsidTr="006D3FCF">
        <w:trPr>
          <w:trHeight w:val="365"/>
          <w:jc w:val="center"/>
        </w:trPr>
        <w:tc>
          <w:tcPr>
            <w:tcW w:w="6075" w:type="dxa"/>
            <w:shd w:val="clear" w:color="auto" w:fill="D9D9D9" w:themeFill="background1" w:themeFillShade="D9"/>
          </w:tcPr>
          <w:p w14:paraId="0FA18DD5" w14:textId="77777777" w:rsidR="00D96178" w:rsidRPr="00E259FA" w:rsidRDefault="00D96178" w:rsidP="00CC4CD0">
            <w:pPr>
              <w:pStyle w:val="COMPara"/>
              <w:keepNext/>
              <w:keepLines/>
              <w:numPr>
                <w:ilvl w:val="0"/>
                <w:numId w:val="0"/>
              </w:numPr>
              <w:tabs>
                <w:tab w:val="left" w:pos="567"/>
              </w:tabs>
              <w:jc w:val="both"/>
              <w:rPr>
                <w:b/>
                <w:bCs/>
              </w:rPr>
            </w:pPr>
            <w:r w:rsidRPr="00E259FA">
              <w:rPr>
                <w:b/>
                <w:bCs/>
              </w:rPr>
              <w:t>Expected Results</w:t>
            </w:r>
          </w:p>
        </w:tc>
        <w:tc>
          <w:tcPr>
            <w:tcW w:w="1150" w:type="dxa"/>
            <w:shd w:val="clear" w:color="auto" w:fill="D9D9D9" w:themeFill="background1" w:themeFillShade="D9"/>
          </w:tcPr>
          <w:p w14:paraId="43CAE976" w14:textId="0FBC0D0C" w:rsidR="00D96178" w:rsidRPr="00E259FA" w:rsidRDefault="00545FCF" w:rsidP="005141F0">
            <w:pPr>
              <w:pStyle w:val="COMPara"/>
              <w:numPr>
                <w:ilvl w:val="0"/>
                <w:numId w:val="0"/>
              </w:numPr>
              <w:tabs>
                <w:tab w:val="left" w:pos="567"/>
              </w:tabs>
              <w:jc w:val="center"/>
              <w:rPr>
                <w:b/>
                <w:bCs/>
              </w:rPr>
            </w:pPr>
            <w:r w:rsidRPr="00E259FA">
              <w:rPr>
                <w:b/>
                <w:bCs/>
              </w:rPr>
              <w:t xml:space="preserve">2026–2027 </w:t>
            </w:r>
          </w:p>
        </w:tc>
      </w:tr>
      <w:tr w:rsidR="00D96178" w:rsidRPr="00E259FA" w14:paraId="1C4D5935" w14:textId="77777777" w:rsidTr="006D3FCF">
        <w:trPr>
          <w:trHeight w:val="881"/>
          <w:jc w:val="center"/>
        </w:trPr>
        <w:tc>
          <w:tcPr>
            <w:tcW w:w="6075" w:type="dxa"/>
            <w:shd w:val="clear" w:color="auto" w:fill="DBE5F1" w:themeFill="accent1" w:themeFillTint="33"/>
          </w:tcPr>
          <w:p w14:paraId="5F7CEB21" w14:textId="77777777" w:rsidR="00D96178" w:rsidRPr="00E259FA" w:rsidRDefault="00D96178" w:rsidP="00CC4CD0">
            <w:pPr>
              <w:pStyle w:val="COMPara"/>
              <w:keepNext/>
              <w:keepLines/>
              <w:numPr>
                <w:ilvl w:val="0"/>
                <w:numId w:val="0"/>
              </w:numPr>
              <w:tabs>
                <w:tab w:val="left" w:pos="567"/>
              </w:tabs>
            </w:pPr>
            <w:r w:rsidRPr="00E259FA">
              <w:rPr>
                <w:sz w:val="20"/>
                <w:szCs w:val="20"/>
              </w:rPr>
              <w:t>ER 1: Implementation of the Convention enhanced through a strengthened capacity-building programme and the integration of intangible cultural heritage into development plans and frameworks</w:t>
            </w:r>
            <w:r w:rsidRPr="00E259FA">
              <w:rPr>
                <w:rStyle w:val="FootnoteReference"/>
                <w:sz w:val="20"/>
                <w:szCs w:val="20"/>
              </w:rPr>
              <w:footnoteReference w:id="3"/>
            </w:r>
          </w:p>
        </w:tc>
        <w:tc>
          <w:tcPr>
            <w:tcW w:w="1150" w:type="dxa"/>
            <w:shd w:val="clear" w:color="auto" w:fill="DBE5F1" w:themeFill="accent1" w:themeFillTint="33"/>
          </w:tcPr>
          <w:p w14:paraId="56552A87" w14:textId="77777777" w:rsidR="00D96178" w:rsidRPr="00E259FA" w:rsidRDefault="00D96178" w:rsidP="005141F0">
            <w:pPr>
              <w:pStyle w:val="COMPara"/>
              <w:numPr>
                <w:ilvl w:val="0"/>
                <w:numId w:val="0"/>
              </w:numPr>
              <w:tabs>
                <w:tab w:val="left" w:pos="567"/>
              </w:tabs>
              <w:jc w:val="center"/>
              <w:rPr>
                <w:b/>
                <w:bCs/>
              </w:rPr>
            </w:pPr>
            <w:r w:rsidRPr="00E259FA">
              <w:rPr>
                <w:b/>
                <w:bCs/>
              </w:rPr>
              <w:t>50%</w:t>
            </w:r>
          </w:p>
        </w:tc>
      </w:tr>
      <w:tr w:rsidR="00D96178" w:rsidRPr="00E259FA" w14:paraId="6A14344C" w14:textId="77777777" w:rsidTr="006D3FCF">
        <w:trPr>
          <w:trHeight w:val="825"/>
          <w:jc w:val="center"/>
        </w:trPr>
        <w:tc>
          <w:tcPr>
            <w:tcW w:w="6075" w:type="dxa"/>
            <w:shd w:val="clear" w:color="auto" w:fill="FDE9D9" w:themeFill="accent6" w:themeFillTint="33"/>
          </w:tcPr>
          <w:p w14:paraId="5E6409C3" w14:textId="77777777" w:rsidR="00D96178" w:rsidRPr="00E259FA" w:rsidRDefault="00D96178" w:rsidP="00CC4CD0">
            <w:pPr>
              <w:pStyle w:val="COMPara"/>
              <w:keepNext/>
              <w:keepLines/>
              <w:numPr>
                <w:ilvl w:val="0"/>
                <w:numId w:val="0"/>
              </w:numPr>
              <w:tabs>
                <w:tab w:val="left" w:pos="567"/>
              </w:tabs>
            </w:pPr>
            <w:r w:rsidRPr="00E259FA">
              <w:rPr>
                <w:sz w:val="20"/>
                <w:szCs w:val="20"/>
              </w:rPr>
              <w:t>ER 2: Sound governance of the Convention facilitated by enhanced monitoring, knowledge management services and awareness-raising associated with international cooperation mechanisms</w:t>
            </w:r>
            <w:r w:rsidRPr="00E259FA">
              <w:rPr>
                <w:rStyle w:val="FootnoteReference"/>
                <w:sz w:val="20"/>
                <w:szCs w:val="20"/>
              </w:rPr>
              <w:footnoteReference w:id="4"/>
            </w:r>
          </w:p>
        </w:tc>
        <w:tc>
          <w:tcPr>
            <w:tcW w:w="1150" w:type="dxa"/>
            <w:shd w:val="clear" w:color="auto" w:fill="FDE9D9" w:themeFill="accent6" w:themeFillTint="33"/>
          </w:tcPr>
          <w:p w14:paraId="3ED770EE" w14:textId="77777777" w:rsidR="00D96178" w:rsidRPr="00E259FA" w:rsidRDefault="00D96178" w:rsidP="005141F0">
            <w:pPr>
              <w:pStyle w:val="COMPara"/>
              <w:numPr>
                <w:ilvl w:val="0"/>
                <w:numId w:val="0"/>
              </w:numPr>
              <w:tabs>
                <w:tab w:val="left" w:pos="567"/>
              </w:tabs>
              <w:jc w:val="center"/>
              <w:rPr>
                <w:b/>
                <w:bCs/>
              </w:rPr>
            </w:pPr>
            <w:r w:rsidRPr="00E259FA">
              <w:rPr>
                <w:b/>
                <w:bCs/>
              </w:rPr>
              <w:t>50%</w:t>
            </w:r>
          </w:p>
        </w:tc>
      </w:tr>
    </w:tbl>
    <w:p w14:paraId="754E0F73" w14:textId="79F496A0" w:rsidR="001F781B" w:rsidRPr="00E259FA" w:rsidRDefault="00D96178" w:rsidP="001F781B">
      <w:pPr>
        <w:pStyle w:val="COMPara"/>
        <w:numPr>
          <w:ilvl w:val="0"/>
          <w:numId w:val="23"/>
        </w:numPr>
        <w:spacing w:before="240"/>
        <w:ind w:left="567" w:hanging="567"/>
        <w:jc w:val="both"/>
      </w:pPr>
      <w:r w:rsidRPr="00E259FA">
        <w:t xml:space="preserve">In accordance with the </w:t>
      </w:r>
      <w:r w:rsidR="00AD647B" w:rsidRPr="006D3FCF">
        <w:t>Appropriation Resolution for 2026–2027</w:t>
      </w:r>
      <w:r w:rsidRPr="00E259FA">
        <w:t xml:space="preserve"> (</w:t>
      </w:r>
      <w:hyperlink r:id="rId41" w:history="1">
        <w:r w:rsidR="00AD647B" w:rsidRPr="00E259FA">
          <w:rPr>
            <w:rStyle w:val="Hyperlink"/>
          </w:rPr>
          <w:t>43 C/Resolution 84</w:t>
        </w:r>
      </w:hyperlink>
      <w:r w:rsidR="00AD647B" w:rsidRPr="00E259FA">
        <w:t xml:space="preserve">, </w:t>
      </w:r>
      <w:r w:rsidRPr="00E259FA">
        <w:t xml:space="preserve">paragraph 12) adopted by the General Conference at its 43rd session in November 2025, authorizing that the ‘Director-General may make transfers between appropriation lines up to an amount </w:t>
      </w:r>
      <w:r w:rsidRPr="00093EEE">
        <w:t>of 5% of the</w:t>
      </w:r>
      <w:r w:rsidRPr="00E259FA">
        <w:t xml:space="preserve"> initial appropriated regular budget line from which the transfers are made’,</w:t>
      </w:r>
      <w:r w:rsidR="001F781B" w:rsidRPr="00E259FA">
        <w:t xml:space="preserve"> the Committee authorized the Secretariat to make transfers between activities included within the specific allocation for budget line 3 up to a cumulative amount equivalent to 5% of the initial total allocation (Decision </w:t>
      </w:r>
      <w:hyperlink r:id="rId42" w:history="1">
        <w:r w:rsidR="001F781B" w:rsidRPr="00E259FA">
          <w:rPr>
            <w:rStyle w:val="Hyperlink"/>
          </w:rPr>
          <w:t>20.COM 14</w:t>
        </w:r>
      </w:hyperlink>
      <w:r w:rsidR="001F781B" w:rsidRPr="00E259FA">
        <w:t>). Based on the indicative amount of the budget indicated in Annex, this would be equivalent to US$78,766. The Secretariat would inform the General Assembly and Committee in writing, at the session following such action, of the details and reasons for these transfers, should they occur.</w:t>
      </w:r>
    </w:p>
    <w:p w14:paraId="10C17656" w14:textId="77777777" w:rsidR="00D96178" w:rsidRPr="00E259FA" w:rsidRDefault="00D96178" w:rsidP="00D96178">
      <w:pPr>
        <w:pStyle w:val="COMPara"/>
        <w:numPr>
          <w:ilvl w:val="0"/>
          <w:numId w:val="0"/>
        </w:numPr>
        <w:ind w:left="567"/>
        <w:jc w:val="both"/>
        <w:rPr>
          <w:b/>
          <w:bCs/>
        </w:rPr>
      </w:pPr>
      <w:r w:rsidRPr="00E259FA">
        <w:rPr>
          <w:b/>
          <w:bCs/>
        </w:rPr>
        <w:t>Expected Result 1: Implementation of the Convention enhanced through a strengthened capacity-building programme and the integration of intangible cultural heritage into development plans and frameworks</w:t>
      </w:r>
    </w:p>
    <w:p w14:paraId="68E5691A" w14:textId="32801F6F" w:rsidR="00D96178" w:rsidRPr="00E259FA" w:rsidRDefault="00D96178" w:rsidP="001F781B">
      <w:pPr>
        <w:pStyle w:val="COMPara"/>
        <w:numPr>
          <w:ilvl w:val="0"/>
          <w:numId w:val="23"/>
        </w:numPr>
        <w:spacing w:before="120"/>
        <w:ind w:left="567" w:hanging="567"/>
        <w:jc w:val="both"/>
      </w:pPr>
      <w:r w:rsidRPr="00E259FA">
        <w:t xml:space="preserve">Building on the collective commitment outlined in the MONDIACULT 2025 </w:t>
      </w:r>
      <w:hyperlink r:id="rId43" w:history="1">
        <w:r w:rsidRPr="00E259FA">
          <w:rPr>
            <w:rStyle w:val="Hyperlink"/>
          </w:rPr>
          <w:t>Outcome Document</w:t>
        </w:r>
      </w:hyperlink>
      <w:r w:rsidRPr="00E259FA">
        <w:t xml:space="preserve"> to strengthen institutional capacities for the safeguarding of heritage, the Secretariat will pursue the reorientation of the global capacity</w:t>
      </w:r>
      <w:r w:rsidRPr="00E259FA">
        <w:rPr>
          <w:rFonts w:ascii="Cambria Math" w:hAnsi="Cambria Math" w:cs="Cambria Math"/>
        </w:rPr>
        <w:t>‑</w:t>
      </w:r>
      <w:r w:rsidRPr="00E259FA">
        <w:t xml:space="preserve">building programme to better respond to the evolving needs of States and communities, notably through the consolidation of the </w:t>
      </w:r>
      <w:hyperlink r:id="rId44" w:history="1">
        <w:r w:rsidRPr="00E259FA">
          <w:rPr>
            <w:rStyle w:val="Hyperlink"/>
            <w:rFonts w:asciiTheme="minorBidi" w:eastAsia="Calibri" w:hAnsiTheme="minorBidi" w:cstheme="minorBidi"/>
          </w:rPr>
          <w:t>UNESCO Learning Platform</w:t>
        </w:r>
      </w:hyperlink>
      <w:r w:rsidRPr="00E259FA">
        <w:t xml:space="preserve">, offering multi-modal learning opportunities for online, blended, and hybrid formats to reach a broader range of stakeholders. Furthermore, efforts will </w:t>
      </w:r>
      <w:proofErr w:type="gramStart"/>
      <w:r w:rsidRPr="00E259FA">
        <w:t>be directed</w:t>
      </w:r>
      <w:proofErr w:type="gramEnd"/>
      <w:r w:rsidRPr="00E259FA">
        <w:t xml:space="preserve"> towards strengthening the </w:t>
      </w:r>
      <w:hyperlink r:id="rId45" w:history="1">
        <w:r w:rsidRPr="00E259FA">
          <w:rPr>
            <w:rStyle w:val="Hyperlink"/>
          </w:rPr>
          <w:t>global network of facilitators</w:t>
        </w:r>
      </w:hyperlink>
      <w:r w:rsidRPr="00E259FA">
        <w:t>, equipping it with thematic expertise, updated guidance and tools to deliver capacity</w:t>
      </w:r>
      <w:r w:rsidRPr="00E259FA">
        <w:rPr>
          <w:rFonts w:ascii="Cambria Math" w:hAnsi="Cambria Math" w:cs="Cambria Math"/>
        </w:rPr>
        <w:t>‑</w:t>
      </w:r>
      <w:r w:rsidRPr="00E259FA">
        <w:t xml:space="preserve">building in hybrid formats and to reach new audiences. In the </w:t>
      </w:r>
      <w:r w:rsidR="00545FCF" w:rsidRPr="00E259FA">
        <w:t xml:space="preserve">2026–2027 </w:t>
      </w:r>
      <w:r w:rsidRPr="00E259FA">
        <w:t>biennium, targeted support will be provided for capacity</w:t>
      </w:r>
      <w:r w:rsidRPr="00E259FA">
        <w:rPr>
          <w:rFonts w:ascii="Cambria Math" w:hAnsi="Cambria Math" w:cs="Cambria Math"/>
        </w:rPr>
        <w:t>‑</w:t>
      </w:r>
      <w:r w:rsidRPr="00E259FA">
        <w:t xml:space="preserve">building in periodic reporting, particularly in the context of the transition to the single global submission system (see document </w:t>
      </w:r>
      <w:hyperlink r:id="rId46" w:history="1">
        <w:r w:rsidRPr="00E259FA">
          <w:rPr>
            <w:rStyle w:val="Hyperlink"/>
          </w:rPr>
          <w:t>LHE/25/20.COM/6.c</w:t>
        </w:r>
      </w:hyperlink>
      <w:r w:rsidRPr="00E259FA">
        <w:t xml:space="preserve">), enabling States Parties to generate and use data more effectively for safeguarding living heritage and supporting policy development. Partnerships with category </w:t>
      </w:r>
      <w:proofErr w:type="gramStart"/>
      <w:r w:rsidRPr="00E259FA">
        <w:t>2</w:t>
      </w:r>
      <w:proofErr w:type="gramEnd"/>
      <w:r w:rsidRPr="00E259FA">
        <w:t xml:space="preserve"> centres, UNESCO/UNITWIN Chairs and other stakeholders will </w:t>
      </w:r>
      <w:proofErr w:type="gramStart"/>
      <w:r w:rsidRPr="00E259FA">
        <w:t>be reinforced</w:t>
      </w:r>
      <w:proofErr w:type="gramEnd"/>
      <w:r w:rsidRPr="00E259FA">
        <w:t xml:space="preserve"> to expand the geographical reach of activities and foster synergies with academic and regional expertise.</w:t>
      </w:r>
    </w:p>
    <w:p w14:paraId="43FDFC90" w14:textId="77777777" w:rsidR="00D96178" w:rsidRPr="00E259FA" w:rsidRDefault="00D96178" w:rsidP="001F781B">
      <w:pPr>
        <w:pStyle w:val="COMPara"/>
        <w:numPr>
          <w:ilvl w:val="0"/>
          <w:numId w:val="23"/>
        </w:numPr>
        <w:spacing w:before="120"/>
        <w:ind w:left="567" w:hanging="567"/>
        <w:jc w:val="both"/>
      </w:pPr>
      <w:r w:rsidRPr="00E259FA">
        <w:t xml:space="preserve">In the spirit of the </w:t>
      </w:r>
      <w:hyperlink r:id="rId47" w:history="1">
        <w:r w:rsidRPr="00E259FA">
          <w:rPr>
            <w:rStyle w:val="Hyperlink"/>
          </w:rPr>
          <w:t>Seoul Vision</w:t>
        </w:r>
      </w:hyperlink>
      <w:r w:rsidRPr="00E259FA">
        <w:t xml:space="preserve"> for the Future of Safeguarding Living Heritage for Sustainable Development and Peace (2023), and more recently the UNESCO </w:t>
      </w:r>
      <w:hyperlink r:id="rId48" w:history="1">
        <w:r w:rsidRPr="00E259FA">
          <w:rPr>
            <w:rStyle w:val="Hyperlink"/>
          </w:rPr>
          <w:t>Framework</w:t>
        </w:r>
      </w:hyperlink>
      <w:r w:rsidRPr="00E259FA">
        <w:t xml:space="preserve"> for Culture and </w:t>
      </w:r>
      <w:r w:rsidRPr="00E259FA">
        <w:lastRenderedPageBreak/>
        <w:t xml:space="preserve">Arts Education (2024), the Secretariat will continue to foster the integration of living heritage in formal and non-formal education, highlighting the importance of context-relevant education. Within the resources available, including those coming from voluntary supplementary contributions (see documents </w:t>
      </w:r>
      <w:hyperlink r:id="rId49" w:history="1">
        <w:r w:rsidRPr="00E259FA">
          <w:rPr>
            <w:rStyle w:val="Hyperlink"/>
          </w:rPr>
          <w:t>LHE/25/20.COM/13</w:t>
        </w:r>
      </w:hyperlink>
      <w:r w:rsidRPr="00E259FA">
        <w:t xml:space="preserve"> and </w:t>
      </w:r>
      <w:hyperlink r:id="rId50" w:history="1">
        <w:r w:rsidRPr="00E259FA">
          <w:rPr>
            <w:rStyle w:val="Hyperlink"/>
          </w:rPr>
          <w:t>LHE/25/20.COM/INF.13.2</w:t>
        </w:r>
      </w:hyperlink>
      <w:r w:rsidRPr="00E259FA">
        <w:t xml:space="preserve">), areas of action may include the organization of training activities and the development of tools and methodologies contextualized to diverse educational settings and levels; advancing less explored areas such as technical and vocational education and training (TVET) and non-formal education; and strengthening communication, networking, and cross-regional exchange. Furthermore, special attention will </w:t>
      </w:r>
      <w:proofErr w:type="gramStart"/>
      <w:r w:rsidRPr="00E259FA">
        <w:t>be given</w:t>
      </w:r>
      <w:proofErr w:type="gramEnd"/>
      <w:r w:rsidRPr="00E259FA">
        <w:t xml:space="preserve"> during the biennium to outreach activities towards specific target groups, while promoting inclusivity with reference to paragraphs 174 and 194 of the Operational Directives.</w:t>
      </w:r>
    </w:p>
    <w:p w14:paraId="01CEEC4B" w14:textId="77777777" w:rsidR="00D96178" w:rsidRPr="00E259FA" w:rsidRDefault="00D96178" w:rsidP="001F781B">
      <w:pPr>
        <w:pStyle w:val="COMPara"/>
        <w:numPr>
          <w:ilvl w:val="0"/>
          <w:numId w:val="0"/>
        </w:numPr>
        <w:spacing w:before="120"/>
        <w:ind w:left="567"/>
        <w:jc w:val="both"/>
        <w:rPr>
          <w:b/>
          <w:bCs/>
        </w:rPr>
      </w:pPr>
      <w:r w:rsidRPr="00E259FA">
        <w:rPr>
          <w:b/>
          <w:bCs/>
        </w:rPr>
        <w:t>Expected Result 2:</w:t>
      </w:r>
      <w:r w:rsidRPr="00E259FA">
        <w:t xml:space="preserve"> </w:t>
      </w:r>
      <w:r w:rsidRPr="00E259FA">
        <w:rPr>
          <w:b/>
          <w:bCs/>
        </w:rPr>
        <w:t>Sound governance of the Convention facilitated by enhanced monitoring, knowledge management services and awareness-raising associated with international cooperation mechanisms</w:t>
      </w:r>
    </w:p>
    <w:p w14:paraId="7A4BB3C3" w14:textId="7842AFCD" w:rsidR="00D96178" w:rsidRPr="00E259FA" w:rsidRDefault="00D96178" w:rsidP="001F781B">
      <w:pPr>
        <w:pStyle w:val="COMPara"/>
        <w:numPr>
          <w:ilvl w:val="0"/>
          <w:numId w:val="23"/>
        </w:numPr>
        <w:spacing w:before="120"/>
        <w:ind w:left="567" w:hanging="567"/>
        <w:jc w:val="both"/>
      </w:pPr>
      <w:r w:rsidRPr="00E259FA">
        <w:t xml:space="preserve">Sustaining good governance, through the operationalization of decisions of the governing bodies, remains a priority to ensure the effective implementation of the Convention. In the </w:t>
      </w:r>
      <w:r w:rsidR="00545FCF" w:rsidRPr="00E259FA">
        <w:t>2026–2027</w:t>
      </w:r>
      <w:r w:rsidRPr="00E259FA">
        <w:t xml:space="preserve"> biennium, the Secretariat </w:t>
      </w:r>
      <w:r w:rsidR="00A133C8" w:rsidRPr="00E259FA">
        <w:t xml:space="preserve">will </w:t>
      </w:r>
      <w:r w:rsidRPr="00E259FA">
        <w:t xml:space="preserve">focus on the implementation of the outcomes of the </w:t>
      </w:r>
      <w:hyperlink r:id="rId51" w:history="1">
        <w:r w:rsidRPr="00E259FA">
          <w:rPr>
            <w:rStyle w:val="Hyperlink"/>
          </w:rPr>
          <w:t>reflection</w:t>
        </w:r>
      </w:hyperlink>
      <w:r w:rsidRPr="00E259FA">
        <w:t xml:space="preserve"> on a broader implementation of Article 18, by supporting the ongoing establishment of an </w:t>
      </w:r>
      <w:hyperlink r:id="rId52" w:history="1">
        <w:r w:rsidRPr="00E259FA">
          <w:rPr>
            <w:rStyle w:val="Hyperlink"/>
          </w:rPr>
          <w:t>online platform</w:t>
        </w:r>
      </w:hyperlink>
      <w:r w:rsidRPr="00E259FA">
        <w:t xml:space="preserve"> for sharing good safeguarding practices that could guide efforts at the international and national levels. Furthermore, following the completion of the first regional cycle of periodic reporting, particular emphasis will be placed on facilitating activities to be carried out as part of the reflection year in 2026; dedicated efforts will also be made to prepare and support States in the submission of periodic reports in 2027, in the context of the move towards a single global submission system (see document </w:t>
      </w:r>
      <w:hyperlink r:id="rId53" w:history="1">
        <w:r w:rsidRPr="00E259FA">
          <w:rPr>
            <w:rStyle w:val="Hyperlink"/>
          </w:rPr>
          <w:t>LHE/25/20.COM/6.c</w:t>
        </w:r>
      </w:hyperlink>
      <w:r w:rsidRPr="00E259FA">
        <w:t xml:space="preserve">). In parallel, the Secretariat will undertake an initial analysis of the emerging trends regarding representativity in the domains of intangible cultural heritage and of sustainable development among elements inscribed on the listing mechanisms, in response to a decision of the Committee in 2024 (Decision </w:t>
      </w:r>
      <w:hyperlink r:id="rId54" w:history="1">
        <w:r w:rsidRPr="00E259FA">
          <w:rPr>
            <w:rStyle w:val="Hyperlink"/>
          </w:rPr>
          <w:t>19.COM 15</w:t>
        </w:r>
      </w:hyperlink>
      <w:r w:rsidRPr="00E259FA">
        <w:t xml:space="preserve">). </w:t>
      </w:r>
    </w:p>
    <w:p w14:paraId="453C3AB9" w14:textId="063A91BD" w:rsidR="00D96178" w:rsidRPr="00E259FA" w:rsidRDefault="00D96178" w:rsidP="001F781B">
      <w:pPr>
        <w:pStyle w:val="COMPara"/>
        <w:numPr>
          <w:ilvl w:val="0"/>
          <w:numId w:val="23"/>
        </w:numPr>
        <w:spacing w:before="120"/>
        <w:ind w:left="567" w:hanging="567"/>
        <w:jc w:val="both"/>
      </w:pPr>
      <w:r w:rsidRPr="00E259FA">
        <w:t xml:space="preserve">Pursuant to actions initiated during previous biennia and in line with the MONDIACULT 2025 </w:t>
      </w:r>
      <w:hyperlink r:id="rId55" w:history="1">
        <w:r w:rsidRPr="00E259FA">
          <w:rPr>
            <w:rStyle w:val="Hyperlink"/>
          </w:rPr>
          <w:t>Outcome Document</w:t>
        </w:r>
      </w:hyperlink>
      <w:r w:rsidRPr="00E259FA">
        <w:t xml:space="preserve">, which reaffirms the transformative power of culture for sustainable development, the Secretariat will advance the three thematic initiatives that connect intangible cultural heritage to global challenges, notably (i) economic dimensions of safeguarding intangible cultural heritage, (ii) safeguarding intangible cultural heritage and climate change, and (iii) safeguarding intangible cultural heritage in urban contexts. Work will also continue on the additional theme of intangible cultural heritage in the digital environment, including the implications of artificial intelligence for safeguarding. In parallel, communication and outreach efforts will </w:t>
      </w:r>
      <w:proofErr w:type="gramStart"/>
      <w:r w:rsidRPr="00E259FA">
        <w:t>be maintained</w:t>
      </w:r>
      <w:proofErr w:type="gramEnd"/>
      <w:r w:rsidRPr="00E259FA">
        <w:t xml:space="preserve"> to raise awareness of the Convention’s impact, highlight good practices, and broaden outreach to diverse stakeholders. In this regard, cooperation with accredited </w:t>
      </w:r>
      <w:r w:rsidR="009F2F8F">
        <w:t>non-governmental organizations (</w:t>
      </w:r>
      <w:r w:rsidRPr="00E259FA">
        <w:t>NGOs</w:t>
      </w:r>
      <w:r w:rsidR="009F2F8F">
        <w:t>)</w:t>
      </w:r>
      <w:r w:rsidRPr="00E259FA">
        <w:t xml:space="preserve"> through the ICH NGO Forum will </w:t>
      </w:r>
      <w:proofErr w:type="gramStart"/>
      <w:r w:rsidRPr="00E259FA">
        <w:t>be continued</w:t>
      </w:r>
      <w:proofErr w:type="gramEnd"/>
      <w:r w:rsidRPr="00E259FA">
        <w:t xml:space="preserve"> as an important partnership, recognizing their essential role in participatory governance. Knowledge management services will </w:t>
      </w:r>
      <w:proofErr w:type="gramStart"/>
      <w:r w:rsidRPr="00E259FA">
        <w:t>be mobilized</w:t>
      </w:r>
      <w:proofErr w:type="gramEnd"/>
      <w:r w:rsidRPr="00E259FA">
        <w:t xml:space="preserve"> in support of all these efforts, streamlining data production and facilitating access to information in user</w:t>
      </w:r>
      <w:r w:rsidRPr="00E259FA">
        <w:rPr>
          <w:rFonts w:ascii="Cambria Math" w:hAnsi="Cambria Math" w:cs="Cambria Math"/>
        </w:rPr>
        <w:t>‑</w:t>
      </w:r>
      <w:r w:rsidRPr="00E259FA">
        <w:t>friendly formats, including through regular updates of ‘</w:t>
      </w:r>
      <w:hyperlink r:id="rId56" w:history="1">
        <w:r w:rsidRPr="00E259FA">
          <w:rPr>
            <w:rStyle w:val="Hyperlink"/>
          </w:rPr>
          <w:t>Dive into intangible cultural heritage!</w:t>
        </w:r>
      </w:hyperlink>
      <w:r w:rsidRPr="00E259FA">
        <w:t>’.</w:t>
      </w:r>
    </w:p>
    <w:p w14:paraId="32A5B7EE" w14:textId="77777777" w:rsidR="00D96178" w:rsidRPr="00E259FA" w:rsidRDefault="00D96178" w:rsidP="00A133C8">
      <w:pPr>
        <w:pStyle w:val="COMPara"/>
        <w:numPr>
          <w:ilvl w:val="0"/>
          <w:numId w:val="0"/>
        </w:numPr>
        <w:ind w:left="567"/>
      </w:pPr>
      <w:r w:rsidRPr="00E259FA">
        <w:rPr>
          <w:b/>
          <w:bCs/>
        </w:rPr>
        <w:t>Participation of experts in the meetings of the governing bodies</w:t>
      </w:r>
      <w:r w:rsidRPr="00E259FA">
        <w:t xml:space="preserve"> </w:t>
      </w:r>
    </w:p>
    <w:p w14:paraId="1A8DEE72" w14:textId="338C48FD" w:rsidR="00D96178" w:rsidRPr="00E259FA" w:rsidRDefault="00D96178" w:rsidP="001F781B">
      <w:pPr>
        <w:pStyle w:val="COMPara"/>
        <w:numPr>
          <w:ilvl w:val="0"/>
          <w:numId w:val="23"/>
        </w:numPr>
        <w:spacing w:before="120"/>
        <w:ind w:left="567" w:hanging="567"/>
        <w:jc w:val="both"/>
      </w:pPr>
      <w:r w:rsidRPr="00E259FA">
        <w:t xml:space="preserve">The participation of experts in intangible cultural heritage representing developing States Parties in statutory meetings </w:t>
      </w:r>
      <w:proofErr w:type="gramStart"/>
      <w:r w:rsidRPr="00E259FA">
        <w:t>is covered</w:t>
      </w:r>
      <w:proofErr w:type="gramEnd"/>
      <w:r w:rsidRPr="00E259FA">
        <w:t xml:space="preserve"> either by </w:t>
      </w:r>
      <w:r w:rsidRPr="00E259FA">
        <w:rPr>
          <w:b/>
          <w:bCs/>
        </w:rPr>
        <w:t>budget line 4</w:t>
      </w:r>
      <w:r w:rsidRPr="00E259FA">
        <w:t xml:space="preserve"> when they are members of the Committee or by </w:t>
      </w:r>
      <w:r w:rsidRPr="00E259FA">
        <w:rPr>
          <w:b/>
          <w:bCs/>
        </w:rPr>
        <w:t>budget line 5</w:t>
      </w:r>
      <w:r w:rsidRPr="00E259FA">
        <w:t xml:space="preserve"> when they are not. The participation of experts representing accredited NGOs from developing countries in the sessions of the Committee </w:t>
      </w:r>
      <w:proofErr w:type="gramStart"/>
      <w:r w:rsidRPr="00E259FA">
        <w:t>is covered</w:t>
      </w:r>
      <w:proofErr w:type="gramEnd"/>
      <w:r w:rsidRPr="00E259FA">
        <w:t xml:space="preserve"> by </w:t>
      </w:r>
      <w:r w:rsidRPr="00E259FA">
        <w:rPr>
          <w:b/>
        </w:rPr>
        <w:t>budget line 6</w:t>
      </w:r>
      <w:r w:rsidRPr="00E259FA">
        <w:t xml:space="preserve">. These lines will </w:t>
      </w:r>
      <w:proofErr w:type="gramStart"/>
      <w:r w:rsidRPr="00E259FA">
        <w:t>be maintained</w:t>
      </w:r>
      <w:proofErr w:type="gramEnd"/>
      <w:r w:rsidRPr="00E259FA">
        <w:t xml:space="preserve"> at </w:t>
      </w:r>
      <w:r w:rsidRPr="00CC4CD0">
        <w:t>2.5%</w:t>
      </w:r>
      <w:r w:rsidRPr="009F2F8F">
        <w:t>,</w:t>
      </w:r>
      <w:r w:rsidRPr="00CC4CD0">
        <w:t xml:space="preserve"> 2.7% </w:t>
      </w:r>
      <w:r w:rsidRPr="009F2F8F">
        <w:t>and</w:t>
      </w:r>
      <w:r w:rsidRPr="00CC4CD0">
        <w:t xml:space="preserve"> 2.7%</w:t>
      </w:r>
      <w:r w:rsidRPr="00E259FA">
        <w:rPr>
          <w:b/>
          <w:bCs/>
        </w:rPr>
        <w:t xml:space="preserve"> </w:t>
      </w:r>
      <w:r w:rsidRPr="00E259FA">
        <w:t xml:space="preserve">respectively to respond to all requests from Committee members, as well as to as </w:t>
      </w:r>
      <w:proofErr w:type="gramStart"/>
      <w:r w:rsidRPr="00E259FA">
        <w:t>many</w:t>
      </w:r>
      <w:proofErr w:type="gramEnd"/>
      <w:r w:rsidRPr="00E259FA">
        <w:t xml:space="preserve"> eligible requests as possible submitted by States Parties not members of the Committee and </w:t>
      </w:r>
      <w:r w:rsidRPr="00C510BC">
        <w:t>accredited NGOs. Should it not be possible to respond positively to all eligible requests from accredited NGOs,</w:t>
      </w:r>
      <w:r w:rsidR="00E259FA" w:rsidRPr="00C510BC">
        <w:t xml:space="preserve"> in particular due to the increasing number of accredited NGOs cycle after cycle,</w:t>
      </w:r>
      <w:r w:rsidRPr="00C510BC">
        <w:t xml:space="preserve"> priority shall be given to elected representatives of the ICH NGO Forum and those NGOs based in developing </w:t>
      </w:r>
      <w:r w:rsidRPr="00C510BC">
        <w:lastRenderedPageBreak/>
        <w:t>countries, while ensuring geographical diversity among supported NGOs</w:t>
      </w:r>
      <w:r w:rsidRPr="00E259FA">
        <w:t xml:space="preserve"> and encouraging a broad number of NGOs to participate in a Committee session over the two-year period, on a rotational basis if necessary. </w:t>
      </w:r>
    </w:p>
    <w:p w14:paraId="52013BBE" w14:textId="77777777" w:rsidR="00D96178" w:rsidRPr="00E259FA" w:rsidRDefault="00D96178" w:rsidP="00CC4CD0">
      <w:pPr>
        <w:pStyle w:val="COMPara"/>
        <w:keepNext/>
        <w:keepLines/>
        <w:numPr>
          <w:ilvl w:val="0"/>
          <w:numId w:val="0"/>
        </w:numPr>
        <w:ind w:left="567"/>
        <w:rPr>
          <w:b/>
          <w:bCs/>
        </w:rPr>
      </w:pPr>
      <w:r w:rsidRPr="00E259FA">
        <w:rPr>
          <w:b/>
          <w:bCs/>
        </w:rPr>
        <w:t>Advisory services to the Committee</w:t>
      </w:r>
    </w:p>
    <w:p w14:paraId="145DC7EF" w14:textId="678C1428" w:rsidR="00D96178" w:rsidRPr="00BA0ADB" w:rsidRDefault="00D96178" w:rsidP="00CC4CD0">
      <w:pPr>
        <w:pStyle w:val="COMPara"/>
        <w:keepNext/>
        <w:keepLines/>
        <w:numPr>
          <w:ilvl w:val="0"/>
          <w:numId w:val="23"/>
        </w:numPr>
        <w:ind w:left="567" w:hanging="567"/>
        <w:jc w:val="both"/>
      </w:pPr>
      <w:r w:rsidRPr="00BA0ADB">
        <w:rPr>
          <w:b/>
        </w:rPr>
        <w:t>Budget line 7</w:t>
      </w:r>
      <w:r w:rsidRPr="00BA0ADB">
        <w:t xml:space="preserve"> </w:t>
      </w:r>
      <w:proofErr w:type="gramStart"/>
      <w:r w:rsidRPr="00BA0ADB">
        <w:t>is proposed</w:t>
      </w:r>
      <w:proofErr w:type="gramEnd"/>
      <w:r w:rsidRPr="00BA0ADB">
        <w:t xml:space="preserve"> to </w:t>
      </w:r>
      <w:proofErr w:type="gramStart"/>
      <w:r w:rsidRPr="00BA0ADB">
        <w:t>be maintained</w:t>
      </w:r>
      <w:proofErr w:type="gramEnd"/>
      <w:r w:rsidRPr="00BA0ADB">
        <w:t xml:space="preserve"> at 7% to cover the costs of advisory services provided at the request of the Committee from January 2026 to December 2027. In particular, this budget line is intended to cover the costs associated with the work of the Evaluation Body</w:t>
      </w:r>
      <w:r w:rsidR="00E259FA" w:rsidRPr="00BA0ADB">
        <w:t xml:space="preserve"> and the support provided to it by the Secretariat</w:t>
      </w:r>
      <w:r w:rsidRPr="00BA0ADB">
        <w:t xml:space="preserve"> for the 2026 and 2027 nomination cycles, taking into account the increasing number of files for the two corresponding cycles following the decision of the Committee to treat several categories of files</w:t>
      </w:r>
      <w:r w:rsidRPr="00BA0ADB">
        <w:rPr>
          <w:rStyle w:val="FootnoteReference"/>
        </w:rPr>
        <w:footnoteReference w:id="5"/>
      </w:r>
      <w:r w:rsidRPr="00BA0ADB">
        <w:t xml:space="preserve"> outside the annual ceiling (Decision </w:t>
      </w:r>
      <w:hyperlink r:id="rId57" w:history="1">
        <w:r w:rsidRPr="00BA0ADB">
          <w:rPr>
            <w:rStyle w:val="Hyperlink"/>
          </w:rPr>
          <w:t>19.COM 15</w:t>
        </w:r>
      </w:hyperlink>
      <w:r w:rsidRPr="00BA0ADB">
        <w:t xml:space="preserve">), as well as any other tasks the Committee may decide to assign to the Evaluation Body during that period. </w:t>
      </w:r>
    </w:p>
    <w:p w14:paraId="27292241" w14:textId="160B0BC7" w:rsidR="001359C2" w:rsidRPr="00E259FA" w:rsidRDefault="001359C2" w:rsidP="001359C2">
      <w:pPr>
        <w:pStyle w:val="COMPara"/>
        <w:numPr>
          <w:ilvl w:val="0"/>
          <w:numId w:val="23"/>
        </w:numPr>
        <w:tabs>
          <w:tab w:val="left" w:pos="567"/>
        </w:tabs>
        <w:ind w:left="567" w:hanging="567"/>
        <w:jc w:val="both"/>
        <w:rPr>
          <w:bCs/>
        </w:rPr>
      </w:pPr>
      <w:r w:rsidRPr="00E259FA">
        <w:rPr>
          <w:bCs/>
        </w:rPr>
        <w:t xml:space="preserve">At its </w:t>
      </w:r>
      <w:r w:rsidR="00C150EF" w:rsidRPr="00E259FA">
        <w:rPr>
          <w:bCs/>
        </w:rPr>
        <w:t>tenth</w:t>
      </w:r>
      <w:r w:rsidRPr="00E259FA">
        <w:rPr>
          <w:bCs/>
        </w:rPr>
        <w:t xml:space="preserve"> session, the General Assembly recommended that the Secretariat be </w:t>
      </w:r>
      <w:r w:rsidRPr="00E259FA">
        <w:t>authorized</w:t>
      </w:r>
      <w:r w:rsidRPr="00E259FA">
        <w:rPr>
          <w:bCs/>
        </w:rPr>
        <w:t xml:space="preserve"> to make transfers between budget lines 4, 5, 6 and 7, for up to 30% of their initial total allocation (Resolution </w:t>
      </w:r>
      <w:hyperlink r:id="rId58" w:history="1">
        <w:proofErr w:type="gramStart"/>
        <w:r w:rsidR="00C150EF" w:rsidRPr="00E259FA">
          <w:rPr>
            <w:rStyle w:val="Hyperlink"/>
            <w:bCs/>
          </w:rPr>
          <w:t>10</w:t>
        </w:r>
        <w:proofErr w:type="gramEnd"/>
        <w:r w:rsidR="00C150EF" w:rsidRPr="00E259FA">
          <w:rPr>
            <w:rStyle w:val="Hyperlink"/>
            <w:bCs/>
          </w:rPr>
          <w:t>.GA 8</w:t>
        </w:r>
      </w:hyperlink>
      <w:r w:rsidRPr="00E259FA">
        <w:rPr>
          <w:bCs/>
        </w:rPr>
        <w:t xml:space="preserve">). During the </w:t>
      </w:r>
      <w:r w:rsidR="00E259FA" w:rsidRPr="006D3FCF">
        <w:rPr>
          <w:bCs/>
        </w:rPr>
        <w:t>reporting period</w:t>
      </w:r>
      <w:r w:rsidRPr="006D3FCF">
        <w:rPr>
          <w:bCs/>
        </w:rPr>
        <w:t xml:space="preserve">, </w:t>
      </w:r>
      <w:r w:rsidR="00E259FA" w:rsidRPr="00E259FA">
        <w:t xml:space="preserve">three budget transfers were simultaneously </w:t>
      </w:r>
      <w:proofErr w:type="gramStart"/>
      <w:r w:rsidR="00E259FA" w:rsidRPr="00E259FA">
        <w:t>carried out</w:t>
      </w:r>
      <w:proofErr w:type="gramEnd"/>
      <w:r w:rsidR="00E259FA" w:rsidRPr="00E259FA">
        <w:t xml:space="preserve"> in July 2025, respectively from budget line 4 to budget line 5 (US$10,000), from budget line 7 to budget line 5 (US$40,000) and from budget line 7 to budget line 6 (US$110,000). These transfers were meant to allow the Fund to respond positively to a greater number of requests to cover the participation costs of experts representing developing States Parties non-members of the Committee (budget line 5) and accredited NGOs from developing countries (budget line 6) at the twentieth session of the Committee </w:t>
      </w:r>
      <w:r w:rsidRPr="006D3FCF">
        <w:rPr>
          <w:bCs/>
        </w:rPr>
        <w:t>(see document</w:t>
      </w:r>
      <w:r w:rsidR="00C150EF" w:rsidRPr="006D3FCF">
        <w:rPr>
          <w:bCs/>
        </w:rPr>
        <w:t xml:space="preserve"> </w:t>
      </w:r>
      <w:hyperlink r:id="rId59" w:history="1">
        <w:r w:rsidR="000E7D71" w:rsidRPr="00CC4CD0">
          <w:rPr>
            <w:rStyle w:val="Hyperlink"/>
          </w:rPr>
          <w:t>LHE/2</w:t>
        </w:r>
        <w:r w:rsidR="00E259FA" w:rsidRPr="00CC4CD0">
          <w:rPr>
            <w:rStyle w:val="Hyperlink"/>
          </w:rPr>
          <w:t>6</w:t>
        </w:r>
        <w:r w:rsidR="000E7D71" w:rsidRPr="00CC4CD0">
          <w:rPr>
            <w:rStyle w:val="Hyperlink"/>
          </w:rPr>
          <w:t>/1</w:t>
        </w:r>
        <w:r w:rsidR="00E259FA" w:rsidRPr="00CC4CD0">
          <w:rPr>
            <w:rStyle w:val="Hyperlink"/>
          </w:rPr>
          <w:t>1</w:t>
        </w:r>
        <w:r w:rsidR="000E7D71" w:rsidRPr="00CC4CD0">
          <w:rPr>
            <w:rStyle w:val="Hyperlink"/>
          </w:rPr>
          <w:t>.GA/INF.8</w:t>
        </w:r>
      </w:hyperlink>
      <w:r w:rsidRPr="00CC4CD0">
        <w:rPr>
          <w:bCs/>
        </w:rPr>
        <w:t>).</w:t>
      </w:r>
      <w:r w:rsidRPr="006D3FCF">
        <w:rPr>
          <w:bCs/>
        </w:rPr>
        <w:t xml:space="preserve"> </w:t>
      </w:r>
      <w:r w:rsidRPr="00E259FA">
        <w:rPr>
          <w:bCs/>
        </w:rPr>
        <w:t>In order to be able to continue to respond to as many requests for financial assistance as possible across the different categories of participants, the Committee recommended that the General Assembly continue authorizing the Secretariat to make transfers between budget lines 4, 5, 6 and 7, up to an equivalent of 30% of their initial total (Decision</w:t>
      </w:r>
      <w:hyperlink r:id="rId60" w:history="1">
        <w:r w:rsidRPr="00E259FA">
          <w:rPr>
            <w:rStyle w:val="Hyperlink"/>
            <w:bCs/>
          </w:rPr>
          <w:t xml:space="preserve"> </w:t>
        </w:r>
        <w:r w:rsidR="000E7D71" w:rsidRPr="00E259FA">
          <w:rPr>
            <w:rStyle w:val="Hyperlink"/>
            <w:bCs/>
          </w:rPr>
          <w:t>20</w:t>
        </w:r>
        <w:r w:rsidRPr="00E259FA">
          <w:rPr>
            <w:rStyle w:val="Hyperlink"/>
            <w:bCs/>
          </w:rPr>
          <w:t>.COM 14</w:t>
        </w:r>
      </w:hyperlink>
      <w:r w:rsidRPr="00E259FA">
        <w:rPr>
          <w:bCs/>
        </w:rPr>
        <w:t>). Should such a transfer be necessary, the Secretariat would inform the General Assembly and the Committee in writing, at the session following such action, of the details of and reasons for these transfers.</w:t>
      </w:r>
    </w:p>
    <w:p w14:paraId="50D3EAFF" w14:textId="3A349EC1" w:rsidR="00D95C4C" w:rsidRPr="00E259FA" w:rsidRDefault="005C792B" w:rsidP="00EC2BA3">
      <w:pPr>
        <w:pStyle w:val="COMPara"/>
        <w:numPr>
          <w:ilvl w:val="0"/>
          <w:numId w:val="23"/>
        </w:numPr>
        <w:ind w:left="567" w:hanging="567"/>
      </w:pPr>
      <w:r w:rsidRPr="00E259FA">
        <w:t>The General Assembly may wish to adopt the following resolution:</w:t>
      </w:r>
    </w:p>
    <w:p w14:paraId="6CEB1E9D" w14:textId="4847E47A" w:rsidR="00D95C4C" w:rsidRPr="00E259FA" w:rsidRDefault="004A34A0" w:rsidP="001D14FE">
      <w:pPr>
        <w:pStyle w:val="COMTitleDecision"/>
        <w:rPr>
          <w:rFonts w:eastAsia="SimSun"/>
        </w:rPr>
      </w:pPr>
      <w:r w:rsidRPr="00E259FA">
        <w:t xml:space="preserve">DRAFT </w:t>
      </w:r>
      <w:r w:rsidR="005C792B" w:rsidRPr="00E259FA">
        <w:t>RESOLUTION</w:t>
      </w:r>
      <w:r w:rsidR="00CB0542" w:rsidRPr="00E259FA">
        <w:t xml:space="preserve"> 1</w:t>
      </w:r>
      <w:r w:rsidR="0026085B" w:rsidRPr="00E259FA">
        <w:t>1</w:t>
      </w:r>
      <w:r w:rsidR="00EC6F8D" w:rsidRPr="00E259FA">
        <w:t>.</w:t>
      </w:r>
      <w:r w:rsidR="005C792B" w:rsidRPr="00E259FA">
        <w:t>GA</w:t>
      </w:r>
      <w:r w:rsidR="00517FD8" w:rsidRPr="00E259FA">
        <w:t xml:space="preserve"> </w:t>
      </w:r>
      <w:r w:rsidR="00ED05DE" w:rsidRPr="00E259FA">
        <w:t>8</w:t>
      </w:r>
    </w:p>
    <w:p w14:paraId="13024F0B" w14:textId="5181E164" w:rsidR="00D95C4C" w:rsidRPr="00E259FA" w:rsidRDefault="005C792B" w:rsidP="00285BB4">
      <w:pPr>
        <w:pStyle w:val="COMPreambulaDecisions"/>
        <w:rPr>
          <w:rFonts w:eastAsia="SimSun"/>
        </w:rPr>
      </w:pPr>
      <w:r w:rsidRPr="00E259FA">
        <w:t>The General Assembly,</w:t>
      </w:r>
    </w:p>
    <w:p w14:paraId="5A9F22F3" w14:textId="50E9C68A" w:rsidR="0057439C" w:rsidRPr="00E259FA" w:rsidRDefault="00D95C4C" w:rsidP="008E51E9">
      <w:pPr>
        <w:pStyle w:val="COMParaDecision"/>
        <w:ind w:left="1134" w:hanging="567"/>
        <w:rPr>
          <w:u w:val="none"/>
        </w:rPr>
      </w:pPr>
      <w:r w:rsidRPr="00E259FA">
        <w:t>Having examined</w:t>
      </w:r>
      <w:r w:rsidRPr="00E259FA">
        <w:rPr>
          <w:u w:val="none"/>
        </w:rPr>
        <w:t xml:space="preserve"> </w:t>
      </w:r>
      <w:r w:rsidR="00480175" w:rsidRPr="00E259FA">
        <w:rPr>
          <w:u w:val="none"/>
        </w:rPr>
        <w:t>d</w:t>
      </w:r>
      <w:r w:rsidRPr="00E259FA">
        <w:rPr>
          <w:u w:val="none"/>
        </w:rPr>
        <w:t>oc</w:t>
      </w:r>
      <w:r w:rsidR="00CB0542" w:rsidRPr="00E259FA">
        <w:rPr>
          <w:u w:val="none"/>
        </w:rPr>
        <w:t>ument</w:t>
      </w:r>
      <w:r w:rsidR="00020479" w:rsidRPr="00E259FA">
        <w:rPr>
          <w:u w:val="none"/>
        </w:rPr>
        <w:t>s</w:t>
      </w:r>
      <w:r w:rsidR="00CB0542" w:rsidRPr="00E259FA">
        <w:rPr>
          <w:u w:val="none"/>
        </w:rPr>
        <w:t xml:space="preserve"> </w:t>
      </w:r>
      <w:r w:rsidR="00C5776D" w:rsidRPr="00E259FA">
        <w:rPr>
          <w:u w:val="none"/>
        </w:rPr>
        <w:t>LHE</w:t>
      </w:r>
      <w:r w:rsidR="00CB0542" w:rsidRPr="00E259FA">
        <w:rPr>
          <w:u w:val="none"/>
        </w:rPr>
        <w:t>/</w:t>
      </w:r>
      <w:r w:rsidR="00D7105A" w:rsidRPr="00E259FA">
        <w:rPr>
          <w:u w:val="none"/>
        </w:rPr>
        <w:t>2</w:t>
      </w:r>
      <w:r w:rsidR="0026085B" w:rsidRPr="00E259FA">
        <w:rPr>
          <w:u w:val="none"/>
        </w:rPr>
        <w:t>6</w:t>
      </w:r>
      <w:r w:rsidR="00337CEB" w:rsidRPr="00E259FA">
        <w:rPr>
          <w:u w:val="none"/>
        </w:rPr>
        <w:t>/1</w:t>
      </w:r>
      <w:r w:rsidR="0026085B" w:rsidRPr="00E259FA">
        <w:rPr>
          <w:u w:val="none"/>
        </w:rPr>
        <w:t>1</w:t>
      </w:r>
      <w:r w:rsidR="00EC6F8D" w:rsidRPr="00E259FA">
        <w:rPr>
          <w:u w:val="none"/>
        </w:rPr>
        <w:t>.</w:t>
      </w:r>
      <w:r w:rsidR="005C792B" w:rsidRPr="00E259FA">
        <w:rPr>
          <w:u w:val="none"/>
        </w:rPr>
        <w:t>GA</w:t>
      </w:r>
      <w:r w:rsidR="004A34A0" w:rsidRPr="00E259FA">
        <w:rPr>
          <w:u w:val="none"/>
        </w:rPr>
        <w:t>/</w:t>
      </w:r>
      <w:r w:rsidR="00ED05DE" w:rsidRPr="00E259FA">
        <w:rPr>
          <w:u w:val="none"/>
        </w:rPr>
        <w:t>8</w:t>
      </w:r>
      <w:r w:rsidR="006E75EB" w:rsidRPr="00E259FA">
        <w:rPr>
          <w:u w:val="none"/>
        </w:rPr>
        <w:t xml:space="preserve"> </w:t>
      </w:r>
      <w:r w:rsidR="00ED05DE" w:rsidRPr="00CC4CD0">
        <w:rPr>
          <w:u w:val="none"/>
        </w:rPr>
        <w:t xml:space="preserve">and </w:t>
      </w:r>
      <w:hyperlink r:id="rId61" w:history="1">
        <w:r w:rsidR="00ED05DE" w:rsidRPr="00CC4CD0">
          <w:rPr>
            <w:rStyle w:val="Hyperlink"/>
          </w:rPr>
          <w:t>LHE/26/11.GA/INF.8</w:t>
        </w:r>
      </w:hyperlink>
      <w:r w:rsidR="00ED05DE" w:rsidRPr="00CC4CD0">
        <w:rPr>
          <w:u w:val="none"/>
        </w:rPr>
        <w:t xml:space="preserve"> and</w:t>
      </w:r>
      <w:r w:rsidR="00ED05DE" w:rsidRPr="00E259FA">
        <w:rPr>
          <w:u w:val="none"/>
        </w:rPr>
        <w:t xml:space="preserve"> their respective annexes, </w:t>
      </w:r>
    </w:p>
    <w:p w14:paraId="3872E8D6" w14:textId="46A7309A" w:rsidR="00ED05DE" w:rsidRPr="00E259FA" w:rsidRDefault="00F41FC2" w:rsidP="00ED05DE">
      <w:pPr>
        <w:pStyle w:val="COMParaDecision"/>
        <w:ind w:left="1134" w:hanging="567"/>
      </w:pPr>
      <w:r w:rsidRPr="00E259FA">
        <w:t>R</w:t>
      </w:r>
      <w:r w:rsidR="00614797" w:rsidRPr="00E259FA">
        <w:t>e</w:t>
      </w:r>
      <w:r w:rsidR="00ED05DE" w:rsidRPr="00E259FA">
        <w:t>calling</w:t>
      </w:r>
      <w:r w:rsidR="00ED05DE" w:rsidRPr="00E259FA">
        <w:rPr>
          <w:u w:val="none"/>
        </w:rPr>
        <w:t xml:space="preserve"> Article 7(c) of the Convention and Chapter II.1 of the Operational Directives,</w:t>
      </w:r>
    </w:p>
    <w:p w14:paraId="2B5B22F3" w14:textId="4D911B40" w:rsidR="00ED05DE" w:rsidRPr="006D3FCF" w:rsidRDefault="00F41FC2" w:rsidP="00ED05DE">
      <w:pPr>
        <w:pStyle w:val="COMParaDecision"/>
        <w:ind w:left="1134" w:hanging="567"/>
        <w:rPr>
          <w:u w:val="none"/>
        </w:rPr>
      </w:pPr>
      <w:r w:rsidRPr="006D3FCF">
        <w:t>Further</w:t>
      </w:r>
      <w:r w:rsidR="008E51E9" w:rsidRPr="00E259FA">
        <w:t xml:space="preserve"> </w:t>
      </w:r>
      <w:r w:rsidR="00ED05DE" w:rsidRPr="00E259FA">
        <w:t>recalling</w:t>
      </w:r>
      <w:r w:rsidR="00ED05DE" w:rsidRPr="00E259FA">
        <w:rPr>
          <w:u w:val="none"/>
        </w:rPr>
        <w:t xml:space="preserve"> the UNESCO General Conference’s Appropriation resolution for </w:t>
      </w:r>
      <w:bookmarkStart w:id="6" w:name="_Hlk150367455"/>
      <w:r w:rsidR="00ED05DE" w:rsidRPr="00E259FA">
        <w:rPr>
          <w:u w:val="none"/>
        </w:rPr>
        <w:t>202</w:t>
      </w:r>
      <w:r w:rsidR="00020479" w:rsidRPr="006D3FCF">
        <w:rPr>
          <w:u w:val="none"/>
        </w:rPr>
        <w:t>6</w:t>
      </w:r>
      <w:r w:rsidR="00ED05DE" w:rsidRPr="00E259FA">
        <w:rPr>
          <w:u w:val="none"/>
        </w:rPr>
        <w:t>–</w:t>
      </w:r>
      <w:bookmarkEnd w:id="6"/>
      <w:r w:rsidR="00ED05DE" w:rsidRPr="00E259FA">
        <w:rPr>
          <w:u w:val="none"/>
        </w:rPr>
        <w:t>202</w:t>
      </w:r>
      <w:r w:rsidR="00020479" w:rsidRPr="006D3FCF">
        <w:rPr>
          <w:u w:val="none"/>
        </w:rPr>
        <w:t>7</w:t>
      </w:r>
      <w:r w:rsidR="00ED05DE" w:rsidRPr="00E259FA">
        <w:rPr>
          <w:u w:val="none"/>
        </w:rPr>
        <w:t xml:space="preserve"> </w:t>
      </w:r>
      <w:r w:rsidR="00ED05DE" w:rsidRPr="00E259FA">
        <w:rPr>
          <w:color w:val="212121"/>
          <w:u w:val="none"/>
          <w:shd w:val="clear" w:color="auto" w:fill="FFFFFF"/>
        </w:rPr>
        <w:t>(</w:t>
      </w:r>
      <w:hyperlink r:id="rId62" w:history="1">
        <w:r w:rsidR="00ED05DE" w:rsidRPr="00E259FA">
          <w:rPr>
            <w:rStyle w:val="Hyperlink"/>
          </w:rPr>
          <w:t>4</w:t>
        </w:r>
        <w:r w:rsidR="00020479" w:rsidRPr="006D3FCF">
          <w:rPr>
            <w:rStyle w:val="Hyperlink"/>
          </w:rPr>
          <w:t>3</w:t>
        </w:r>
        <w:r w:rsidR="00ED05DE" w:rsidRPr="00E259FA">
          <w:rPr>
            <w:rStyle w:val="Hyperlink"/>
          </w:rPr>
          <w:t> C/Resolution 8</w:t>
        </w:r>
        <w:r w:rsidR="00020479" w:rsidRPr="006D3FCF">
          <w:rPr>
            <w:rStyle w:val="Hyperlink"/>
          </w:rPr>
          <w:t>4</w:t>
        </w:r>
      </w:hyperlink>
      <w:r w:rsidR="00ED05DE" w:rsidRPr="00E259FA">
        <w:rPr>
          <w:color w:val="212121"/>
          <w:u w:val="none"/>
          <w:shd w:val="clear" w:color="auto" w:fill="FFFFFF"/>
        </w:rPr>
        <w:t>)</w:t>
      </w:r>
      <w:r w:rsidR="00ED05DE" w:rsidRPr="00E259FA">
        <w:rPr>
          <w:u w:val="none"/>
        </w:rPr>
        <w:t>,</w:t>
      </w:r>
    </w:p>
    <w:p w14:paraId="0FD17300" w14:textId="0D29258D" w:rsidR="00F41FC2" w:rsidRPr="006D3FCF" w:rsidRDefault="00F41FC2" w:rsidP="00F41FC2">
      <w:pPr>
        <w:pStyle w:val="COMParaDecision"/>
        <w:ind w:left="1134" w:hanging="567"/>
      </w:pPr>
      <w:r w:rsidRPr="006D3FCF">
        <w:t>Also recalling</w:t>
      </w:r>
      <w:r w:rsidRPr="006D3FCF">
        <w:rPr>
          <w:u w:val="none"/>
        </w:rPr>
        <w:t xml:space="preserve"> Decisions </w:t>
      </w:r>
      <w:hyperlink r:id="rId63" w:history="1">
        <w:r w:rsidRPr="006D3FCF">
          <w:rPr>
            <w:rStyle w:val="Hyperlink"/>
          </w:rPr>
          <w:t>20.COM 13</w:t>
        </w:r>
      </w:hyperlink>
      <w:r w:rsidRPr="006D3FCF">
        <w:rPr>
          <w:u w:val="none"/>
        </w:rPr>
        <w:t xml:space="preserve"> and </w:t>
      </w:r>
      <w:hyperlink r:id="rId64" w:history="1">
        <w:r w:rsidRPr="006D3FCF">
          <w:rPr>
            <w:rStyle w:val="Hyperlink"/>
          </w:rPr>
          <w:t>20.COM 14</w:t>
        </w:r>
      </w:hyperlink>
      <w:r w:rsidRPr="006D3FCF">
        <w:rPr>
          <w:u w:val="none"/>
        </w:rPr>
        <w:t xml:space="preserve"> of the Committee, </w:t>
      </w:r>
    </w:p>
    <w:p w14:paraId="62588982" w14:textId="77777777" w:rsidR="00ED05DE" w:rsidRPr="00E259FA" w:rsidRDefault="00ED05DE" w:rsidP="006D3FCF">
      <w:pPr>
        <w:pStyle w:val="COMParaDecision"/>
        <w:keepNext/>
        <w:keepLines/>
        <w:numPr>
          <w:ilvl w:val="0"/>
          <w:numId w:val="0"/>
        </w:numPr>
        <w:ind w:left="992" w:firstLine="142"/>
        <w:rPr>
          <w:b/>
          <w:bCs/>
          <w:u w:val="none"/>
        </w:rPr>
      </w:pPr>
      <w:r w:rsidRPr="00E259FA">
        <w:rPr>
          <w:b/>
          <w:bCs/>
          <w:u w:val="none"/>
        </w:rPr>
        <w:t>Status and trends of the Fund</w:t>
      </w:r>
    </w:p>
    <w:p w14:paraId="79A03A22" w14:textId="1F20286E" w:rsidR="00ED05DE" w:rsidRPr="00E259FA" w:rsidRDefault="00ED05DE" w:rsidP="00ED05DE">
      <w:pPr>
        <w:pStyle w:val="COMParaDecision"/>
        <w:ind w:left="1134" w:hanging="567"/>
      </w:pPr>
      <w:r w:rsidRPr="00E259FA">
        <w:t>Takes note</w:t>
      </w:r>
      <w:r w:rsidRPr="00E259FA">
        <w:rPr>
          <w:u w:val="none"/>
        </w:rPr>
        <w:t xml:space="preserve"> of the statement of assessed contributions of the Fund for </w:t>
      </w:r>
      <w:r w:rsidR="00545FCF" w:rsidRPr="00E259FA">
        <w:rPr>
          <w:u w:val="none"/>
        </w:rPr>
        <w:t>2024–2025</w:t>
      </w:r>
      <w:r w:rsidRPr="00E259FA">
        <w:rPr>
          <w:u w:val="none"/>
        </w:rPr>
        <w:t xml:space="preserve">, </w:t>
      </w:r>
      <w:r w:rsidRPr="00E259FA">
        <w:t>recalls</w:t>
      </w:r>
      <w:r w:rsidRPr="00E259FA">
        <w:rPr>
          <w:u w:val="none"/>
        </w:rPr>
        <w:t xml:space="preserve"> that the payment of </w:t>
      </w:r>
      <w:r w:rsidR="00680EF1" w:rsidRPr="00CC4CD0">
        <w:rPr>
          <w:u w:val="none"/>
        </w:rPr>
        <w:t xml:space="preserve">assessed </w:t>
      </w:r>
      <w:r w:rsidRPr="00CC4CD0">
        <w:rPr>
          <w:u w:val="none"/>
        </w:rPr>
        <w:t>compulsory and voluntary</w:t>
      </w:r>
      <w:r w:rsidRPr="00E259FA">
        <w:rPr>
          <w:u w:val="none"/>
        </w:rPr>
        <w:t xml:space="preserve"> contributions is, per Article 26 of the Convention, an obligation incumbent on all States Parties which have ratified the Convention, and </w:t>
      </w:r>
      <w:r w:rsidRPr="00E259FA">
        <w:t>calls upon</w:t>
      </w:r>
      <w:r w:rsidRPr="00E259FA">
        <w:rPr>
          <w:u w:val="none"/>
        </w:rPr>
        <w:t xml:space="preserve"> all States Parties which have not yet paid the totality of their </w:t>
      </w:r>
      <w:r w:rsidRPr="00E259FA">
        <w:rPr>
          <w:u w:val="none"/>
        </w:rPr>
        <w:lastRenderedPageBreak/>
        <w:t xml:space="preserve">assessed contributions, including voluntary assessed contributions, to ensure that their contributions </w:t>
      </w:r>
      <w:proofErr w:type="gramStart"/>
      <w:r w:rsidRPr="00E259FA">
        <w:rPr>
          <w:u w:val="none"/>
        </w:rPr>
        <w:t>are paid</w:t>
      </w:r>
      <w:proofErr w:type="gramEnd"/>
      <w:r w:rsidRPr="00E259FA">
        <w:rPr>
          <w:u w:val="none"/>
        </w:rPr>
        <w:t xml:space="preserve"> </w:t>
      </w:r>
      <w:proofErr w:type="gramStart"/>
      <w:r w:rsidRPr="00E259FA">
        <w:rPr>
          <w:u w:val="none"/>
        </w:rPr>
        <w:t>in due course</w:t>
      </w:r>
      <w:proofErr w:type="gramEnd"/>
      <w:r w:rsidRPr="00E259FA">
        <w:rPr>
          <w:u w:val="none"/>
        </w:rPr>
        <w:t xml:space="preserve">; </w:t>
      </w:r>
    </w:p>
    <w:p w14:paraId="12E31880" w14:textId="72CF08E7" w:rsidR="00ED05DE" w:rsidRPr="00E259FA" w:rsidRDefault="00ED05DE" w:rsidP="00AB70AE">
      <w:pPr>
        <w:pStyle w:val="COMParaDecision"/>
        <w:ind w:left="1134" w:hanging="567"/>
      </w:pPr>
      <w:r w:rsidRPr="00E259FA">
        <w:t>Further takes note</w:t>
      </w:r>
      <w:r w:rsidRPr="00E259FA">
        <w:rPr>
          <w:u w:val="none"/>
        </w:rPr>
        <w:t xml:space="preserve"> of the donors that have provided during the </w:t>
      </w:r>
      <w:r w:rsidR="00545FCF" w:rsidRPr="00E259FA">
        <w:rPr>
          <w:u w:val="none"/>
        </w:rPr>
        <w:t xml:space="preserve">2024–2025 </w:t>
      </w:r>
      <w:r w:rsidRPr="00E259FA">
        <w:rPr>
          <w:u w:val="none"/>
        </w:rPr>
        <w:t xml:space="preserve">biennium (a) voluntary supplementary contributions for </w:t>
      </w:r>
      <w:r w:rsidR="00084949" w:rsidRPr="00E259FA">
        <w:rPr>
          <w:u w:val="none"/>
        </w:rPr>
        <w:t xml:space="preserve">programme </w:t>
      </w:r>
      <w:r w:rsidR="00AB70AE" w:rsidRPr="00E259FA">
        <w:rPr>
          <w:u w:val="none"/>
        </w:rPr>
        <w:t xml:space="preserve">activities, namely Saint Vincent and the Grenadines, (b) voluntary supplementary contributions for </w:t>
      </w:r>
      <w:r w:rsidRPr="00E259FA">
        <w:rPr>
          <w:u w:val="none"/>
        </w:rPr>
        <w:t xml:space="preserve">specific activities approved by the Committee, namely the </w:t>
      </w:r>
      <w:r w:rsidR="00AB70AE" w:rsidRPr="00E259FA">
        <w:rPr>
          <w:u w:val="none"/>
        </w:rPr>
        <w:t xml:space="preserve">Kingdom of the </w:t>
      </w:r>
      <w:r w:rsidRPr="00E259FA">
        <w:rPr>
          <w:u w:val="none"/>
        </w:rPr>
        <w:t>Netherlands and</w:t>
      </w:r>
      <w:r w:rsidR="00AB70AE" w:rsidRPr="00E259FA">
        <w:rPr>
          <w:u w:val="none"/>
        </w:rPr>
        <w:t xml:space="preserve"> Sweden</w:t>
      </w:r>
      <w:r w:rsidRPr="00E259FA">
        <w:rPr>
          <w:u w:val="none"/>
        </w:rPr>
        <w:t>, as well as (</w:t>
      </w:r>
      <w:r w:rsidR="00AB70AE" w:rsidRPr="00E259FA">
        <w:rPr>
          <w:u w:val="none"/>
        </w:rPr>
        <w:t>c</w:t>
      </w:r>
      <w:r w:rsidRPr="00E259FA">
        <w:rPr>
          <w:u w:val="none"/>
        </w:rPr>
        <w:t>)</w:t>
      </w:r>
      <w:r w:rsidR="00084949" w:rsidRPr="00E259FA">
        <w:rPr>
          <w:u w:val="none"/>
        </w:rPr>
        <w:t> </w:t>
      </w:r>
      <w:r w:rsidRPr="00E259FA">
        <w:rPr>
          <w:u w:val="none"/>
        </w:rPr>
        <w:t>voluntary supplementary contributions to the Sub</w:t>
      </w:r>
      <w:r w:rsidR="00AB70AE" w:rsidRPr="00E259FA">
        <w:rPr>
          <w:u w:val="none"/>
        </w:rPr>
        <w:t>-</w:t>
      </w:r>
      <w:r w:rsidRPr="00E259FA">
        <w:rPr>
          <w:u w:val="none"/>
        </w:rPr>
        <w:t>fund for enhancing the human capacities of the Secretariat, namely France, Lithuania, Monaco, Slovenia</w:t>
      </w:r>
      <w:r w:rsidR="00AB70AE" w:rsidRPr="00E259FA">
        <w:rPr>
          <w:u w:val="none"/>
        </w:rPr>
        <w:t xml:space="preserve"> and the United Kingdom of Great Britain and Northern Ireland</w:t>
      </w:r>
      <w:r w:rsidRPr="00E259FA">
        <w:rPr>
          <w:u w:val="none"/>
        </w:rPr>
        <w:t>;</w:t>
      </w:r>
    </w:p>
    <w:p w14:paraId="2D2F9A94" w14:textId="77777777" w:rsidR="00ED05DE" w:rsidRPr="00E259FA" w:rsidRDefault="00ED05DE" w:rsidP="00ED05DE">
      <w:pPr>
        <w:pStyle w:val="COMParaDecision"/>
        <w:ind w:left="1134" w:hanging="567"/>
      </w:pPr>
      <w:r w:rsidRPr="00E259FA">
        <w:t>Thanks</w:t>
      </w:r>
      <w:r w:rsidRPr="00E259FA">
        <w:rPr>
          <w:u w:val="none"/>
        </w:rPr>
        <w:t xml:space="preserve"> all the contributors that have supported the Convention and its Secretariat, since its last session, through different forms of support, financial or in-kind, such as voluntary supplementary contributions to the Intangible Cultural Heritage Fund including the Sub-fund for enhancing the human capacities of the Secretariat, Funds-in-Trust, or loaned personnel, and </w:t>
      </w:r>
      <w:r w:rsidRPr="00E259FA">
        <w:t>encourages</w:t>
      </w:r>
      <w:r w:rsidRPr="00E259FA">
        <w:rPr>
          <w:u w:val="none"/>
        </w:rPr>
        <w:t xml:space="preserve"> potential contributors to consider the possibility of supporting the Convention through the modality of their choice;</w:t>
      </w:r>
    </w:p>
    <w:p w14:paraId="1649DC76" w14:textId="5E5AE07C" w:rsidR="00ED05DE" w:rsidRPr="007E5E8B" w:rsidRDefault="00ED05DE" w:rsidP="00ED05DE">
      <w:pPr>
        <w:pStyle w:val="COMParaDecision"/>
        <w:ind w:left="1134" w:hanging="567"/>
      </w:pPr>
      <w:r w:rsidRPr="007E5E8B">
        <w:t>Reiterates</w:t>
      </w:r>
      <w:r w:rsidRPr="007E5E8B">
        <w:rPr>
          <w:u w:val="none"/>
        </w:rPr>
        <w:t xml:space="preserve"> the need to enhance the human resources of the Secretariat on a lasting basis to allow the Secretariat to respond to the needs of the States Parties and </w:t>
      </w:r>
      <w:r w:rsidRPr="007E5E8B">
        <w:t>invites</w:t>
      </w:r>
      <w:r w:rsidRPr="007E5E8B">
        <w:rPr>
          <w:u w:val="none"/>
        </w:rPr>
        <w:t xml:space="preserve"> States Parties to provide voluntary supplementary contributions to the Sub-fund for enhancing the human capacities of the Secretariat;</w:t>
      </w:r>
    </w:p>
    <w:p w14:paraId="2A9B534A" w14:textId="77777777" w:rsidR="00ED05DE" w:rsidRPr="00E259FA" w:rsidRDefault="00ED05DE" w:rsidP="006D3FCF">
      <w:pPr>
        <w:pStyle w:val="COMParaDecision"/>
        <w:keepNext/>
        <w:keepLines/>
        <w:numPr>
          <w:ilvl w:val="0"/>
          <w:numId w:val="0"/>
        </w:numPr>
        <w:ind w:left="992" w:firstLine="142"/>
        <w:rPr>
          <w:b/>
          <w:bCs/>
          <w:u w:val="none"/>
        </w:rPr>
      </w:pPr>
      <w:r w:rsidRPr="00E259FA">
        <w:rPr>
          <w:b/>
          <w:bCs/>
          <w:u w:val="none"/>
        </w:rPr>
        <w:t>Plan for the use of the resources of the Fund</w:t>
      </w:r>
    </w:p>
    <w:p w14:paraId="23D70F1B" w14:textId="14F0A7F6" w:rsidR="00ED05DE" w:rsidRPr="00E259FA" w:rsidRDefault="00ED05DE" w:rsidP="00ED05DE">
      <w:pPr>
        <w:pStyle w:val="COMParaDecision"/>
        <w:ind w:left="1134" w:hanging="567"/>
        <w:rPr>
          <w:u w:val="none"/>
        </w:rPr>
      </w:pPr>
      <w:r w:rsidRPr="00E259FA">
        <w:t>Approves</w:t>
      </w:r>
      <w:r w:rsidRPr="00E259FA">
        <w:rPr>
          <w:u w:val="none"/>
        </w:rPr>
        <w:t xml:space="preserve"> the Plan for the use of the resources of the Fund for the period 1 January </w:t>
      </w:r>
      <w:r w:rsidR="00614797" w:rsidRPr="00E259FA">
        <w:rPr>
          <w:u w:val="none"/>
        </w:rPr>
        <w:t>2026</w:t>
      </w:r>
      <w:r w:rsidRPr="00E259FA">
        <w:rPr>
          <w:u w:val="none"/>
        </w:rPr>
        <w:t xml:space="preserve"> to 31 December </w:t>
      </w:r>
      <w:r w:rsidR="00614797" w:rsidRPr="00E259FA">
        <w:rPr>
          <w:u w:val="none"/>
        </w:rPr>
        <w:t>2027</w:t>
      </w:r>
      <w:r w:rsidRPr="00E259FA">
        <w:rPr>
          <w:u w:val="none"/>
        </w:rPr>
        <w:t xml:space="preserve"> as well as for the period 1 January </w:t>
      </w:r>
      <w:r w:rsidR="00614797" w:rsidRPr="00E259FA">
        <w:rPr>
          <w:u w:val="none"/>
        </w:rPr>
        <w:t>2028</w:t>
      </w:r>
      <w:r w:rsidRPr="00E259FA">
        <w:rPr>
          <w:u w:val="none"/>
        </w:rPr>
        <w:t xml:space="preserve"> to 30 June </w:t>
      </w:r>
      <w:r w:rsidR="00614797" w:rsidRPr="00E259FA">
        <w:rPr>
          <w:u w:val="none"/>
        </w:rPr>
        <w:t>2028</w:t>
      </w:r>
      <w:r w:rsidRPr="00E259FA">
        <w:rPr>
          <w:u w:val="none"/>
        </w:rPr>
        <w:t xml:space="preserve"> in the Annex to this Resolution;</w:t>
      </w:r>
    </w:p>
    <w:p w14:paraId="0C6B54C1" w14:textId="102562D5" w:rsidR="00ED05DE" w:rsidRPr="007E5E8B" w:rsidRDefault="00ED05DE" w:rsidP="00ED05DE">
      <w:pPr>
        <w:pStyle w:val="COMParaDecision"/>
        <w:ind w:left="1134" w:hanging="567"/>
        <w:rPr>
          <w:u w:val="none"/>
        </w:rPr>
      </w:pPr>
      <w:r w:rsidRPr="007E5E8B">
        <w:t>Understands</w:t>
      </w:r>
      <w:r w:rsidRPr="007E5E8B">
        <w:rPr>
          <w:u w:val="none"/>
        </w:rPr>
        <w:t xml:space="preserve"> that, at the time of its </w:t>
      </w:r>
      <w:r w:rsidR="00614797" w:rsidRPr="007E5E8B">
        <w:rPr>
          <w:u w:val="none"/>
        </w:rPr>
        <w:t xml:space="preserve">twelfth </w:t>
      </w:r>
      <w:r w:rsidRPr="007E5E8B">
        <w:rPr>
          <w:u w:val="none"/>
        </w:rPr>
        <w:t xml:space="preserve">session in </w:t>
      </w:r>
      <w:r w:rsidR="00614797" w:rsidRPr="007E5E8B">
        <w:rPr>
          <w:u w:val="none"/>
        </w:rPr>
        <w:t>2028</w:t>
      </w:r>
      <w:r w:rsidRPr="007E5E8B">
        <w:rPr>
          <w:u w:val="none"/>
        </w:rPr>
        <w:t>, it may readjust the budget plan from 1 January </w:t>
      </w:r>
      <w:r w:rsidR="00614797" w:rsidRPr="007E5E8B">
        <w:rPr>
          <w:u w:val="none"/>
        </w:rPr>
        <w:t>2028</w:t>
      </w:r>
      <w:r w:rsidRPr="007E5E8B">
        <w:rPr>
          <w:u w:val="none"/>
        </w:rPr>
        <w:t xml:space="preserve"> to 30 June </w:t>
      </w:r>
      <w:r w:rsidR="00614797" w:rsidRPr="007E5E8B">
        <w:rPr>
          <w:u w:val="none"/>
        </w:rPr>
        <w:t>2028</w:t>
      </w:r>
      <w:r w:rsidRPr="007E5E8B">
        <w:rPr>
          <w:u w:val="none"/>
        </w:rPr>
        <w:t xml:space="preserve">; if the General Assembly is unable to meet prior to 30 June </w:t>
      </w:r>
      <w:r w:rsidR="00614797" w:rsidRPr="007E5E8B">
        <w:rPr>
          <w:u w:val="none"/>
        </w:rPr>
        <w:t>2028</w:t>
      </w:r>
      <w:r w:rsidRPr="007E5E8B">
        <w:rPr>
          <w:u w:val="none"/>
        </w:rPr>
        <w:t>, the Secretariat is authorized to continue operations until such a time that the General Assembly is able to meet;</w:t>
      </w:r>
    </w:p>
    <w:p w14:paraId="0C9F30B4" w14:textId="54FD8B76" w:rsidR="00ED05DE" w:rsidRPr="00E259FA" w:rsidRDefault="00ED05DE" w:rsidP="00ED05DE">
      <w:pPr>
        <w:pStyle w:val="COMParaDecision"/>
        <w:ind w:left="1134" w:hanging="567"/>
        <w:rPr>
          <w:u w:val="none"/>
        </w:rPr>
      </w:pPr>
      <w:r w:rsidRPr="00E259FA">
        <w:t>Also takes note</w:t>
      </w:r>
      <w:r w:rsidRPr="00E259FA">
        <w:rPr>
          <w:u w:val="none"/>
        </w:rPr>
        <w:t xml:space="preserve"> of the authorization granted by the Committee to the Secretariat to use an amount not exceeding 10 per cent of the approved budget of each International Assistance project, in addition to the amount granted by the Committee or its Bureau for each project, to monitor and assess the impact of projects supported by the Fund;</w:t>
      </w:r>
    </w:p>
    <w:p w14:paraId="1ED95C4D" w14:textId="77777777" w:rsidR="00ED05DE" w:rsidRPr="00E259FA" w:rsidRDefault="00ED05DE" w:rsidP="00ED05DE">
      <w:pPr>
        <w:pStyle w:val="COMParaDecision"/>
        <w:ind w:left="1134" w:hanging="567"/>
      </w:pPr>
      <w:r w:rsidRPr="00E259FA">
        <w:t>Takes note furthermore</w:t>
      </w:r>
      <w:r w:rsidRPr="00E259FA">
        <w:rPr>
          <w:u w:val="none"/>
        </w:rPr>
        <w:t xml:space="preserve"> of the authorization granted by the Committee to the Secretariat, when utilizing the funds allocated under budget line 3 of the Plan, to make transfers between activities included under budget line 3 up to a cumulative amount equivalent to 5 per cent of the initial total allocation proposed to the General Assembly for this purpose;</w:t>
      </w:r>
    </w:p>
    <w:p w14:paraId="13B6B909" w14:textId="77777777" w:rsidR="00ED05DE" w:rsidRPr="00E259FA" w:rsidRDefault="00ED05DE" w:rsidP="00ED05DE">
      <w:pPr>
        <w:pStyle w:val="COMParaDecision"/>
        <w:ind w:left="1134" w:hanging="567"/>
        <w:rPr>
          <w:u w:val="none"/>
        </w:rPr>
      </w:pPr>
      <w:r w:rsidRPr="00E259FA">
        <w:t>Authorizes</w:t>
      </w:r>
      <w:r w:rsidRPr="00E259FA">
        <w:rPr>
          <w:u w:val="none"/>
        </w:rPr>
        <w:t xml:space="preserve"> the Committee to make immediate use of any voluntary supplementary contributions that might </w:t>
      </w:r>
      <w:proofErr w:type="gramStart"/>
      <w:r w:rsidRPr="00E259FA">
        <w:rPr>
          <w:u w:val="none"/>
        </w:rPr>
        <w:t>be received</w:t>
      </w:r>
      <w:proofErr w:type="gramEnd"/>
      <w:r w:rsidRPr="00E259FA">
        <w:rPr>
          <w:u w:val="none"/>
        </w:rPr>
        <w:t xml:space="preserve"> during these periods, as described in Article 27 of the Convention, in accordance with the percentages laid out in the Plan;</w:t>
      </w:r>
    </w:p>
    <w:p w14:paraId="63E5578C" w14:textId="77777777" w:rsidR="00ED05DE" w:rsidRPr="00E259FA" w:rsidRDefault="00ED05DE" w:rsidP="00ED05DE">
      <w:pPr>
        <w:pStyle w:val="COMParaDecision"/>
        <w:ind w:left="1134" w:hanging="567"/>
        <w:rPr>
          <w:u w:val="none"/>
        </w:rPr>
      </w:pPr>
      <w:r w:rsidRPr="00E259FA">
        <w:t>Further authorizes</w:t>
      </w:r>
      <w:r w:rsidRPr="00E259FA">
        <w:rPr>
          <w:u w:val="none"/>
        </w:rPr>
        <w:t xml:space="preserve"> the Committee to make immediate use of any contributions that it might accept, during these periods, for specific purposes relating to specific projects, provided that </w:t>
      </w:r>
      <w:proofErr w:type="gramStart"/>
      <w:r w:rsidRPr="00E259FA">
        <w:rPr>
          <w:u w:val="none"/>
        </w:rPr>
        <w:t>those projects have been approved by the Committee</w:t>
      </w:r>
      <w:proofErr w:type="gramEnd"/>
      <w:r w:rsidRPr="00E259FA">
        <w:rPr>
          <w:u w:val="none"/>
        </w:rPr>
        <w:t xml:space="preserve"> prior to the receipt of the funds, as described in Article 25.5 of the Convention;</w:t>
      </w:r>
    </w:p>
    <w:p w14:paraId="705C886C" w14:textId="77777777" w:rsidR="00ED05DE" w:rsidRPr="00E259FA" w:rsidRDefault="00ED05DE" w:rsidP="00ED05DE">
      <w:pPr>
        <w:pStyle w:val="COMParaDecision"/>
        <w:ind w:left="1134" w:hanging="567"/>
        <w:rPr>
          <w:u w:val="none"/>
        </w:rPr>
      </w:pPr>
      <w:r w:rsidRPr="00E259FA">
        <w:t>Also authorizes</w:t>
      </w:r>
      <w:r w:rsidRPr="00E259FA">
        <w:rPr>
          <w:u w:val="none"/>
        </w:rPr>
        <w:t xml:space="preserve"> the Secretariat to make transfers between budget lines 4, 5, 6 and 7, up to an equivalent of 30 per cent of their initial total allocation, and </w:t>
      </w:r>
      <w:r w:rsidRPr="00E259FA">
        <w:t>requests</w:t>
      </w:r>
      <w:r w:rsidRPr="00E259FA">
        <w:rPr>
          <w:u w:val="none"/>
        </w:rPr>
        <w:t xml:space="preserve"> that the Secretariat inform the Committee and the General Assembly in writing, at the session following such action, of the details of and reasons for these transfers.</w:t>
      </w:r>
    </w:p>
    <w:p w14:paraId="19AC5F4A" w14:textId="23EB7589" w:rsidR="00937D53" w:rsidRPr="00E259FA" w:rsidRDefault="00937D53">
      <w:pPr>
        <w:rPr>
          <w:rFonts w:ascii="Arial" w:eastAsia="SimSun" w:hAnsi="Arial" w:cs="Arial"/>
          <w:sz w:val="22"/>
          <w:szCs w:val="22"/>
          <w:u w:val="single"/>
        </w:rPr>
      </w:pPr>
      <w:r w:rsidRPr="00E259FA">
        <w:rPr>
          <w:rFonts w:ascii="Arial" w:eastAsia="SimSun" w:hAnsi="Arial" w:cs="Arial"/>
          <w:sz w:val="22"/>
          <w:szCs w:val="22"/>
          <w:u w:val="single"/>
        </w:rPr>
        <w:br w:type="page"/>
      </w:r>
    </w:p>
    <w:p w14:paraId="48CCD21F" w14:textId="0178F9A6" w:rsidR="00A82CDA" w:rsidRPr="00E259FA" w:rsidRDefault="00A82CDA" w:rsidP="00A82CDA">
      <w:pPr>
        <w:jc w:val="center"/>
        <w:rPr>
          <w:rFonts w:ascii="Arial" w:eastAsia="SimSun" w:hAnsi="Arial" w:cs="Arial"/>
          <w:b/>
          <w:bCs/>
          <w:sz w:val="22"/>
          <w:szCs w:val="22"/>
          <w:u w:val="single"/>
        </w:rPr>
      </w:pPr>
      <w:r w:rsidRPr="00E259FA">
        <w:rPr>
          <w:rFonts w:ascii="Arial" w:eastAsia="SimSun" w:hAnsi="Arial" w:cs="Arial"/>
          <w:b/>
          <w:bCs/>
          <w:sz w:val="22"/>
          <w:szCs w:val="22"/>
          <w:u w:val="single"/>
        </w:rPr>
        <w:lastRenderedPageBreak/>
        <w:t>ANNEX</w:t>
      </w:r>
    </w:p>
    <w:p w14:paraId="47F75C0C" w14:textId="77777777" w:rsidR="00A82CDA" w:rsidRPr="00E259FA" w:rsidRDefault="00A82CDA" w:rsidP="00A82CDA">
      <w:pPr>
        <w:jc w:val="center"/>
        <w:rPr>
          <w:rFonts w:ascii="Arial" w:eastAsia="SimSun" w:hAnsi="Arial" w:cs="Arial"/>
          <w:b/>
          <w:bCs/>
          <w:sz w:val="22"/>
          <w:szCs w:val="22"/>
          <w:u w:val="single"/>
        </w:rPr>
      </w:pPr>
    </w:p>
    <w:tbl>
      <w:tblPr>
        <w:tblW w:w="10070" w:type="dxa"/>
        <w:tblCellMar>
          <w:left w:w="70" w:type="dxa"/>
          <w:right w:w="70" w:type="dxa"/>
        </w:tblCellMar>
        <w:tblLook w:val="04A0" w:firstRow="1" w:lastRow="0" w:firstColumn="1" w:lastColumn="0" w:noHBand="0" w:noVBand="1"/>
      </w:tblPr>
      <w:tblGrid>
        <w:gridCol w:w="416"/>
        <w:gridCol w:w="4107"/>
        <w:gridCol w:w="1421"/>
        <w:gridCol w:w="1417"/>
        <w:gridCol w:w="1237"/>
        <w:gridCol w:w="1307"/>
        <w:gridCol w:w="16"/>
        <w:gridCol w:w="133"/>
        <w:gridCol w:w="16"/>
      </w:tblGrid>
      <w:tr w:rsidR="00A82CDA" w:rsidRPr="00E259FA" w14:paraId="7F6A2ECE" w14:textId="77777777" w:rsidTr="006D3FCF">
        <w:trPr>
          <w:gridAfter w:val="3"/>
          <w:wAfter w:w="165" w:type="dxa"/>
          <w:trHeight w:val="313"/>
        </w:trPr>
        <w:tc>
          <w:tcPr>
            <w:tcW w:w="7361" w:type="dxa"/>
            <w:gridSpan w:val="4"/>
            <w:tcBorders>
              <w:top w:val="single" w:sz="8" w:space="0" w:color="auto"/>
              <w:left w:val="single" w:sz="8" w:space="0" w:color="auto"/>
              <w:bottom w:val="single" w:sz="8" w:space="0" w:color="auto"/>
              <w:right w:val="nil"/>
            </w:tcBorders>
            <w:shd w:val="clear" w:color="000000" w:fill="D8D8D8"/>
            <w:vAlign w:val="center"/>
            <w:hideMark/>
          </w:tcPr>
          <w:p w14:paraId="2A0181FC" w14:textId="77777777" w:rsidR="00A82CDA" w:rsidRPr="006D3FCF" w:rsidRDefault="00A82CDA">
            <w:pPr>
              <w:jc w:val="center"/>
              <w:rPr>
                <w:rFonts w:ascii="Arial" w:hAnsi="Arial" w:cs="Arial"/>
                <w:b/>
                <w:bCs/>
                <w:color w:val="000000"/>
                <w:sz w:val="18"/>
                <w:szCs w:val="18"/>
              </w:rPr>
            </w:pPr>
            <w:r w:rsidRPr="006D3FCF">
              <w:rPr>
                <w:rFonts w:ascii="Arial" w:hAnsi="Arial" w:cs="Arial"/>
                <w:b/>
                <w:bCs/>
                <w:color w:val="000000"/>
                <w:sz w:val="18"/>
                <w:szCs w:val="18"/>
              </w:rPr>
              <w:t>Draft plan for the use of the resources of the Fund</w:t>
            </w:r>
          </w:p>
        </w:tc>
        <w:tc>
          <w:tcPr>
            <w:tcW w:w="1237" w:type="dxa"/>
            <w:tcBorders>
              <w:top w:val="dashed" w:sz="4" w:space="0" w:color="auto"/>
              <w:left w:val="dashed" w:sz="4" w:space="0" w:color="auto"/>
              <w:bottom w:val="dashed" w:sz="4" w:space="0" w:color="auto"/>
              <w:right w:val="dashed" w:sz="4" w:space="0" w:color="auto"/>
            </w:tcBorders>
            <w:shd w:val="clear" w:color="000000" w:fill="FFFFFF"/>
            <w:vAlign w:val="center"/>
            <w:hideMark/>
          </w:tcPr>
          <w:p w14:paraId="16E47991" w14:textId="77777777" w:rsidR="00A82CDA" w:rsidRPr="006D3FCF" w:rsidRDefault="00A82CDA">
            <w:pPr>
              <w:jc w:val="center"/>
              <w:rPr>
                <w:rFonts w:ascii="Arial" w:hAnsi="Arial" w:cs="Arial"/>
                <w:b/>
                <w:bCs/>
                <w:color w:val="000000"/>
                <w:sz w:val="18"/>
                <w:szCs w:val="18"/>
              </w:rPr>
            </w:pPr>
            <w:r w:rsidRPr="006D3FCF">
              <w:rPr>
                <w:rFonts w:ascii="Arial" w:hAnsi="Arial" w:cs="Arial"/>
                <w:b/>
                <w:bCs/>
                <w:color w:val="000000"/>
                <w:sz w:val="18"/>
                <w:szCs w:val="18"/>
              </w:rPr>
              <w:t> </w:t>
            </w:r>
          </w:p>
        </w:tc>
        <w:tc>
          <w:tcPr>
            <w:tcW w:w="1307" w:type="dxa"/>
            <w:tcBorders>
              <w:top w:val="dashed" w:sz="4" w:space="0" w:color="auto"/>
              <w:left w:val="nil"/>
              <w:bottom w:val="dashed" w:sz="4" w:space="0" w:color="auto"/>
              <w:right w:val="dashed" w:sz="4" w:space="0" w:color="auto"/>
            </w:tcBorders>
            <w:shd w:val="clear" w:color="000000" w:fill="FFFFFF"/>
            <w:vAlign w:val="center"/>
            <w:hideMark/>
          </w:tcPr>
          <w:p w14:paraId="56185B0F" w14:textId="77777777" w:rsidR="00A82CDA" w:rsidRPr="006D3FCF" w:rsidRDefault="00A82CDA">
            <w:pPr>
              <w:jc w:val="center"/>
              <w:rPr>
                <w:rFonts w:ascii="Arial" w:hAnsi="Arial" w:cs="Arial"/>
                <w:b/>
                <w:bCs/>
                <w:color w:val="000000"/>
                <w:sz w:val="18"/>
                <w:szCs w:val="18"/>
              </w:rPr>
            </w:pPr>
            <w:r w:rsidRPr="006D3FCF">
              <w:rPr>
                <w:rFonts w:ascii="Arial" w:hAnsi="Arial" w:cs="Arial"/>
                <w:b/>
                <w:bCs/>
                <w:color w:val="000000"/>
                <w:sz w:val="18"/>
                <w:szCs w:val="18"/>
              </w:rPr>
              <w:t> </w:t>
            </w:r>
          </w:p>
        </w:tc>
      </w:tr>
      <w:tr w:rsidR="00A82CDA" w:rsidRPr="00E259FA" w14:paraId="1F0D3C48" w14:textId="77777777" w:rsidTr="006D3FCF">
        <w:trPr>
          <w:gridAfter w:val="3"/>
          <w:wAfter w:w="165" w:type="dxa"/>
          <w:trHeight w:val="978"/>
        </w:trPr>
        <w:tc>
          <w:tcPr>
            <w:tcW w:w="4523" w:type="dxa"/>
            <w:gridSpan w:val="2"/>
            <w:tcBorders>
              <w:top w:val="single" w:sz="8" w:space="0" w:color="auto"/>
              <w:left w:val="single" w:sz="8" w:space="0" w:color="auto"/>
              <w:bottom w:val="single" w:sz="8" w:space="0" w:color="auto"/>
              <w:right w:val="nil"/>
            </w:tcBorders>
            <w:vAlign w:val="center"/>
            <w:hideMark/>
          </w:tcPr>
          <w:p w14:paraId="2792854E" w14:textId="77777777" w:rsidR="00A82CDA" w:rsidRPr="006D3FCF" w:rsidRDefault="00A82CDA" w:rsidP="00A82CDA">
            <w:pPr>
              <w:jc w:val="both"/>
              <w:rPr>
                <w:rFonts w:asciiTheme="minorBidi" w:hAnsiTheme="minorBidi" w:cstheme="minorBidi"/>
                <w:color w:val="000000"/>
                <w:sz w:val="18"/>
                <w:szCs w:val="18"/>
              </w:rPr>
            </w:pPr>
            <w:r w:rsidRPr="006D3FCF">
              <w:rPr>
                <w:rFonts w:asciiTheme="minorBidi" w:hAnsiTheme="minorBidi" w:cstheme="minorBidi"/>
                <w:color w:val="000000"/>
                <w:sz w:val="18"/>
                <w:szCs w:val="18"/>
              </w:rPr>
              <w:t xml:space="preserve">For the period 1 January 2026 to 31 December 2027, as well as for the period 1 January to 30 June 2028, the resources of the Intangible Cultural Heritage Fund may </w:t>
            </w:r>
            <w:proofErr w:type="gramStart"/>
            <w:r w:rsidRPr="006D3FCF">
              <w:rPr>
                <w:rFonts w:asciiTheme="minorBidi" w:hAnsiTheme="minorBidi" w:cstheme="minorBidi"/>
                <w:color w:val="000000"/>
                <w:sz w:val="18"/>
                <w:szCs w:val="18"/>
              </w:rPr>
              <w:t>be used</w:t>
            </w:r>
            <w:proofErr w:type="gramEnd"/>
            <w:r w:rsidRPr="006D3FCF">
              <w:rPr>
                <w:rFonts w:asciiTheme="minorBidi" w:hAnsiTheme="minorBidi" w:cstheme="minorBidi"/>
                <w:color w:val="000000"/>
                <w:sz w:val="18"/>
                <w:szCs w:val="18"/>
              </w:rPr>
              <w:t xml:space="preserve"> for the following purposes:</w:t>
            </w:r>
          </w:p>
        </w:tc>
        <w:tc>
          <w:tcPr>
            <w:tcW w:w="1421" w:type="dxa"/>
            <w:tcBorders>
              <w:top w:val="single" w:sz="4" w:space="0" w:color="auto"/>
              <w:left w:val="single" w:sz="4" w:space="0" w:color="auto"/>
              <w:bottom w:val="single" w:sz="4" w:space="0" w:color="auto"/>
              <w:right w:val="single" w:sz="4" w:space="0" w:color="auto"/>
            </w:tcBorders>
            <w:vAlign w:val="center"/>
            <w:hideMark/>
          </w:tcPr>
          <w:p w14:paraId="3B10CD8A" w14:textId="1DDC00F8"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 applied during previous biennium</w:t>
            </w:r>
            <w:r w:rsidRPr="00E259FA">
              <w:rPr>
                <w:rFonts w:asciiTheme="minorBidi" w:hAnsiTheme="minorBidi" w:cstheme="minorBidi"/>
                <w:color w:val="000000"/>
                <w:sz w:val="18"/>
                <w:szCs w:val="18"/>
              </w:rPr>
              <w:br/>
            </w:r>
            <w:r w:rsidR="00545FCF" w:rsidRPr="00E259FA">
              <w:rPr>
                <w:rFonts w:asciiTheme="minorBidi" w:hAnsiTheme="minorBidi" w:cstheme="minorBidi"/>
                <w:color w:val="000000"/>
                <w:sz w:val="18"/>
                <w:szCs w:val="18"/>
              </w:rPr>
              <w:t xml:space="preserve">2024–2025 </w:t>
            </w:r>
          </w:p>
        </w:tc>
        <w:tc>
          <w:tcPr>
            <w:tcW w:w="1417" w:type="dxa"/>
            <w:tcBorders>
              <w:top w:val="single" w:sz="4" w:space="0" w:color="auto"/>
              <w:left w:val="nil"/>
              <w:bottom w:val="single" w:sz="4" w:space="0" w:color="auto"/>
              <w:right w:val="dashed" w:sz="4" w:space="0" w:color="auto"/>
            </w:tcBorders>
            <w:vAlign w:val="center"/>
            <w:hideMark/>
          </w:tcPr>
          <w:p w14:paraId="0EA9F68F" w14:textId="1C1DDF12" w:rsidR="00A82CDA" w:rsidRPr="006D3FCF" w:rsidRDefault="00A82CDA">
            <w:pPr>
              <w:jc w:val="center"/>
              <w:rPr>
                <w:rFonts w:asciiTheme="minorBidi" w:hAnsiTheme="minorBidi" w:cstheme="minorBidi"/>
                <w:color w:val="000000"/>
                <w:sz w:val="18"/>
                <w:szCs w:val="18"/>
              </w:rPr>
            </w:pPr>
            <w:r w:rsidRPr="006D3FCF">
              <w:rPr>
                <w:rFonts w:asciiTheme="minorBidi" w:hAnsiTheme="minorBidi" w:cstheme="minorBidi"/>
                <w:color w:val="000000"/>
                <w:sz w:val="18"/>
                <w:szCs w:val="18"/>
              </w:rPr>
              <w:t xml:space="preserve">% of the total amount proposed </w:t>
            </w:r>
            <w:r w:rsidR="00545FCF" w:rsidRPr="006D3FCF">
              <w:rPr>
                <w:rFonts w:asciiTheme="minorBidi" w:hAnsiTheme="minorBidi" w:cstheme="minorBidi"/>
                <w:color w:val="000000"/>
                <w:sz w:val="18"/>
                <w:szCs w:val="18"/>
              </w:rPr>
              <w:t xml:space="preserve">2026–2027 </w:t>
            </w:r>
            <w:r w:rsidR="00222DE3" w:rsidRPr="006D3FCF">
              <w:rPr>
                <w:rFonts w:asciiTheme="minorBidi" w:hAnsiTheme="minorBidi" w:cstheme="minorBidi"/>
                <w:color w:val="000000"/>
                <w:sz w:val="18"/>
                <w:szCs w:val="18"/>
              </w:rPr>
              <w:t>[1]</w:t>
            </w:r>
          </w:p>
        </w:tc>
        <w:tc>
          <w:tcPr>
            <w:tcW w:w="1237" w:type="dxa"/>
            <w:tcBorders>
              <w:top w:val="nil"/>
              <w:left w:val="nil"/>
              <w:bottom w:val="dashed" w:sz="4" w:space="0" w:color="auto"/>
              <w:right w:val="dashed" w:sz="4" w:space="0" w:color="auto"/>
            </w:tcBorders>
            <w:vAlign w:val="center"/>
            <w:hideMark/>
          </w:tcPr>
          <w:p w14:paraId="4B738FFA"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Indicative amounts</w:t>
            </w:r>
          </w:p>
          <w:p w14:paraId="2964941B" w14:textId="41037920" w:rsidR="00A82CDA" w:rsidRPr="00E259FA" w:rsidRDefault="00545FCF">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 xml:space="preserve">2026–2027 </w:t>
            </w:r>
          </w:p>
        </w:tc>
        <w:tc>
          <w:tcPr>
            <w:tcW w:w="1307" w:type="dxa"/>
            <w:tcBorders>
              <w:top w:val="nil"/>
              <w:left w:val="nil"/>
              <w:bottom w:val="dashed" w:sz="4" w:space="0" w:color="auto"/>
              <w:right w:val="dashed" w:sz="4" w:space="0" w:color="auto"/>
            </w:tcBorders>
            <w:vAlign w:val="center"/>
            <w:hideMark/>
          </w:tcPr>
          <w:p w14:paraId="324A3C17" w14:textId="77777777" w:rsidR="00A82CDA" w:rsidRPr="006D3FCF" w:rsidRDefault="00A82CDA">
            <w:pPr>
              <w:jc w:val="center"/>
              <w:rPr>
                <w:rFonts w:asciiTheme="minorBidi" w:hAnsiTheme="minorBidi" w:cstheme="minorBidi"/>
                <w:i/>
                <w:iCs/>
                <w:color w:val="000000"/>
                <w:sz w:val="18"/>
                <w:szCs w:val="18"/>
              </w:rPr>
            </w:pPr>
            <w:r w:rsidRPr="006D3FCF">
              <w:rPr>
                <w:rFonts w:asciiTheme="minorBidi" w:hAnsiTheme="minorBidi" w:cstheme="minorBidi"/>
                <w:i/>
                <w:iCs/>
                <w:color w:val="000000"/>
                <w:sz w:val="18"/>
                <w:szCs w:val="18"/>
              </w:rPr>
              <w:t>Indicative amounts</w:t>
            </w:r>
          </w:p>
          <w:p w14:paraId="1292A694" w14:textId="3D66187A" w:rsidR="00A82CDA" w:rsidRPr="006D3FCF" w:rsidRDefault="00A82CDA">
            <w:pPr>
              <w:jc w:val="center"/>
              <w:rPr>
                <w:rFonts w:asciiTheme="minorBidi" w:hAnsiTheme="minorBidi" w:cstheme="minorBidi"/>
                <w:i/>
                <w:iCs/>
                <w:color w:val="000000"/>
                <w:sz w:val="18"/>
                <w:szCs w:val="18"/>
              </w:rPr>
            </w:pPr>
            <w:r w:rsidRPr="006D3FCF">
              <w:rPr>
                <w:rFonts w:asciiTheme="minorBidi" w:hAnsiTheme="minorBidi" w:cstheme="minorBidi"/>
                <w:i/>
                <w:iCs/>
                <w:color w:val="000000"/>
                <w:sz w:val="18"/>
                <w:szCs w:val="18"/>
              </w:rPr>
              <w:t>Ja</w:t>
            </w:r>
            <w:r w:rsidR="00222DE3" w:rsidRPr="006D3FCF">
              <w:rPr>
                <w:rFonts w:asciiTheme="minorBidi" w:hAnsiTheme="minorBidi" w:cstheme="minorBidi"/>
                <w:i/>
                <w:iCs/>
                <w:color w:val="000000"/>
                <w:sz w:val="18"/>
                <w:szCs w:val="18"/>
              </w:rPr>
              <w:t>n</w:t>
            </w:r>
            <w:r w:rsidR="00EC7FC8">
              <w:rPr>
                <w:rFonts w:asciiTheme="minorBidi" w:hAnsiTheme="minorBidi" w:cstheme="minorBidi"/>
                <w:i/>
                <w:iCs/>
                <w:color w:val="000000"/>
                <w:sz w:val="18"/>
                <w:szCs w:val="18"/>
              </w:rPr>
              <w:t>uary</w:t>
            </w:r>
            <w:r w:rsidR="007E161A">
              <w:rPr>
                <w:rFonts w:asciiTheme="minorBidi" w:hAnsiTheme="minorBidi" w:cstheme="minorBidi"/>
                <w:i/>
                <w:iCs/>
                <w:color w:val="000000"/>
                <w:sz w:val="18"/>
                <w:szCs w:val="18"/>
              </w:rPr>
              <w:t xml:space="preserve"> </w:t>
            </w:r>
            <w:r w:rsidR="001C4C78" w:rsidRPr="00E259FA">
              <w:rPr>
                <w:rFonts w:asciiTheme="minorBidi" w:hAnsiTheme="minorBidi" w:cstheme="minorBidi"/>
                <w:i/>
                <w:iCs/>
                <w:color w:val="000000"/>
                <w:sz w:val="18"/>
                <w:szCs w:val="18"/>
              </w:rPr>
              <w:t>–</w:t>
            </w:r>
            <w:r w:rsidRPr="006D3FCF">
              <w:rPr>
                <w:rFonts w:asciiTheme="minorBidi" w:hAnsiTheme="minorBidi" w:cstheme="minorBidi"/>
                <w:i/>
                <w:iCs/>
                <w:color w:val="000000"/>
                <w:sz w:val="18"/>
                <w:szCs w:val="18"/>
              </w:rPr>
              <w:t>June 2028</w:t>
            </w:r>
          </w:p>
        </w:tc>
      </w:tr>
      <w:tr w:rsidR="00A82CDA" w:rsidRPr="00E259FA" w14:paraId="0940B81E" w14:textId="77777777" w:rsidTr="006D3FCF">
        <w:trPr>
          <w:gridAfter w:val="3"/>
          <w:wAfter w:w="165" w:type="dxa"/>
          <w:trHeight w:val="1446"/>
        </w:trPr>
        <w:tc>
          <w:tcPr>
            <w:tcW w:w="416" w:type="dxa"/>
            <w:tcBorders>
              <w:top w:val="nil"/>
              <w:left w:val="single" w:sz="8" w:space="0" w:color="auto"/>
              <w:bottom w:val="single" w:sz="8" w:space="0" w:color="auto"/>
              <w:right w:val="single" w:sz="8" w:space="0" w:color="auto"/>
            </w:tcBorders>
            <w:noWrap/>
            <w:hideMark/>
          </w:tcPr>
          <w:p w14:paraId="59CE58B1" w14:textId="77777777" w:rsidR="00A82CDA" w:rsidRPr="00E259FA" w:rsidRDefault="00A82CDA" w:rsidP="006D3FCF">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1.</w:t>
            </w:r>
          </w:p>
        </w:tc>
        <w:tc>
          <w:tcPr>
            <w:tcW w:w="4107" w:type="dxa"/>
            <w:tcBorders>
              <w:top w:val="nil"/>
              <w:left w:val="nil"/>
              <w:bottom w:val="single" w:sz="8" w:space="0" w:color="auto"/>
              <w:right w:val="nil"/>
            </w:tcBorders>
            <w:vAlign w:val="center"/>
            <w:hideMark/>
          </w:tcPr>
          <w:p w14:paraId="5C2D6387" w14:textId="77777777" w:rsidR="00A82CDA" w:rsidRPr="006D3FCF" w:rsidRDefault="00A82CDA" w:rsidP="006D3FCF">
            <w:pPr>
              <w:spacing w:before="20" w:after="20"/>
              <w:rPr>
                <w:rFonts w:asciiTheme="minorBidi" w:hAnsiTheme="minorBidi" w:cstheme="minorBidi"/>
                <w:color w:val="000000"/>
                <w:sz w:val="18"/>
                <w:szCs w:val="18"/>
              </w:rPr>
            </w:pPr>
            <w:r w:rsidRPr="006D3FCF">
              <w:rPr>
                <w:rFonts w:asciiTheme="minorBidi" w:hAnsiTheme="minorBidi" w:cstheme="minorBidi"/>
                <w:color w:val="000000"/>
                <w:sz w:val="18"/>
                <w:szCs w:val="18"/>
              </w:rPr>
              <w:t>International Assistance, comprising the safeguarding of the heritage inscribed on the List of Intangible Cultural Heritage in Need of Urgent Safeguarding, the preparation of inventories and support for other safeguarding programmes, projects and activities, including the monitoring and evaluation of requests approved</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54501B17"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50,0%</w:t>
            </w:r>
          </w:p>
        </w:tc>
        <w:tc>
          <w:tcPr>
            <w:tcW w:w="1417" w:type="dxa"/>
            <w:tcBorders>
              <w:top w:val="nil"/>
              <w:left w:val="nil"/>
              <w:bottom w:val="single" w:sz="4" w:space="0" w:color="auto"/>
              <w:right w:val="dashed" w:sz="4" w:space="0" w:color="auto"/>
            </w:tcBorders>
            <w:vAlign w:val="center"/>
            <w:hideMark/>
          </w:tcPr>
          <w:p w14:paraId="202C3486"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50,0%</w:t>
            </w:r>
          </w:p>
        </w:tc>
        <w:tc>
          <w:tcPr>
            <w:tcW w:w="1237" w:type="dxa"/>
            <w:tcBorders>
              <w:top w:val="nil"/>
              <w:left w:val="nil"/>
              <w:bottom w:val="dashed" w:sz="4" w:space="0" w:color="auto"/>
              <w:right w:val="dashed" w:sz="4" w:space="0" w:color="auto"/>
            </w:tcBorders>
            <w:vAlign w:val="center"/>
            <w:hideMark/>
          </w:tcPr>
          <w:p w14:paraId="5AE7B31F" w14:textId="48ACC446"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$3</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938</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295</w:t>
            </w:r>
          </w:p>
        </w:tc>
        <w:tc>
          <w:tcPr>
            <w:tcW w:w="1307" w:type="dxa"/>
            <w:tcBorders>
              <w:top w:val="nil"/>
              <w:left w:val="nil"/>
              <w:bottom w:val="dashed" w:sz="4" w:space="0" w:color="auto"/>
              <w:right w:val="dashed" w:sz="4" w:space="0" w:color="auto"/>
            </w:tcBorders>
            <w:vAlign w:val="center"/>
            <w:hideMark/>
          </w:tcPr>
          <w:p w14:paraId="05CFA02E" w14:textId="26F28760"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$984</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574</w:t>
            </w:r>
          </w:p>
        </w:tc>
      </w:tr>
      <w:tr w:rsidR="00A82CDA" w:rsidRPr="00E259FA" w14:paraId="12066C6C" w14:textId="77777777" w:rsidTr="006D3FCF">
        <w:trPr>
          <w:gridAfter w:val="3"/>
          <w:wAfter w:w="165" w:type="dxa"/>
          <w:trHeight w:val="969"/>
        </w:trPr>
        <w:tc>
          <w:tcPr>
            <w:tcW w:w="416" w:type="dxa"/>
            <w:tcBorders>
              <w:top w:val="nil"/>
              <w:left w:val="single" w:sz="8" w:space="0" w:color="auto"/>
              <w:bottom w:val="single" w:sz="8" w:space="0" w:color="auto"/>
              <w:right w:val="single" w:sz="8" w:space="0" w:color="auto"/>
            </w:tcBorders>
            <w:noWrap/>
            <w:hideMark/>
          </w:tcPr>
          <w:p w14:paraId="12E3FB3E" w14:textId="77777777" w:rsidR="00A82CDA" w:rsidRPr="00E259FA" w:rsidRDefault="00A82CDA" w:rsidP="006D3FCF">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1.1</w:t>
            </w:r>
          </w:p>
        </w:tc>
        <w:tc>
          <w:tcPr>
            <w:tcW w:w="4107" w:type="dxa"/>
            <w:tcBorders>
              <w:top w:val="nil"/>
              <w:left w:val="nil"/>
              <w:bottom w:val="single" w:sz="8" w:space="0" w:color="auto"/>
              <w:right w:val="nil"/>
            </w:tcBorders>
            <w:vAlign w:val="center"/>
            <w:hideMark/>
          </w:tcPr>
          <w:p w14:paraId="4F2A30AC" w14:textId="77777777" w:rsidR="00A82CDA" w:rsidRPr="006D3FCF" w:rsidRDefault="00A82CDA" w:rsidP="006D3FCF">
            <w:pPr>
              <w:spacing w:before="20" w:after="20"/>
              <w:rPr>
                <w:rFonts w:asciiTheme="minorBidi" w:hAnsiTheme="minorBidi" w:cstheme="minorBidi"/>
                <w:color w:val="000000"/>
                <w:sz w:val="18"/>
                <w:szCs w:val="18"/>
              </w:rPr>
            </w:pPr>
            <w:r w:rsidRPr="006D3FCF">
              <w:rPr>
                <w:rFonts w:asciiTheme="minorBidi" w:hAnsiTheme="minorBidi" w:cstheme="minorBidi"/>
                <w:color w:val="000000"/>
                <w:sz w:val="18"/>
                <w:szCs w:val="18"/>
              </w:rPr>
              <w:t>Enhancing human resources to improve the implementation of the International Assistance mechanisms through three extra-budgetary fixed-term posts (one P3, one P2 and one G5)</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209A0456"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12,3%</w:t>
            </w:r>
          </w:p>
        </w:tc>
        <w:tc>
          <w:tcPr>
            <w:tcW w:w="1417" w:type="dxa"/>
            <w:tcBorders>
              <w:top w:val="nil"/>
              <w:left w:val="nil"/>
              <w:bottom w:val="single" w:sz="4" w:space="0" w:color="auto"/>
              <w:right w:val="dashed" w:sz="4" w:space="0" w:color="auto"/>
            </w:tcBorders>
            <w:shd w:val="clear" w:color="000000" w:fill="FFFFFF"/>
            <w:vAlign w:val="center"/>
            <w:hideMark/>
          </w:tcPr>
          <w:p w14:paraId="4FA52684"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13,4%</w:t>
            </w:r>
          </w:p>
        </w:tc>
        <w:tc>
          <w:tcPr>
            <w:tcW w:w="1237" w:type="dxa"/>
            <w:tcBorders>
              <w:top w:val="nil"/>
              <w:left w:val="nil"/>
              <w:bottom w:val="dashed" w:sz="4" w:space="0" w:color="auto"/>
              <w:right w:val="dashed" w:sz="4" w:space="0" w:color="auto"/>
            </w:tcBorders>
            <w:shd w:val="clear" w:color="000000" w:fill="FFFFFF"/>
            <w:vAlign w:val="center"/>
            <w:hideMark/>
          </w:tcPr>
          <w:p w14:paraId="0DC3768A" w14:textId="564354BC"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055</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463</w:t>
            </w:r>
          </w:p>
        </w:tc>
        <w:tc>
          <w:tcPr>
            <w:tcW w:w="1307" w:type="dxa"/>
            <w:tcBorders>
              <w:top w:val="nil"/>
              <w:left w:val="nil"/>
              <w:bottom w:val="dashed" w:sz="4" w:space="0" w:color="auto"/>
              <w:right w:val="dashed" w:sz="4" w:space="0" w:color="auto"/>
            </w:tcBorders>
            <w:vAlign w:val="center"/>
            <w:hideMark/>
          </w:tcPr>
          <w:p w14:paraId="1EA744C8" w14:textId="7016916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$263</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866</w:t>
            </w:r>
          </w:p>
        </w:tc>
      </w:tr>
      <w:tr w:rsidR="00A82CDA" w:rsidRPr="00E259FA" w14:paraId="65311553" w14:textId="77777777" w:rsidTr="006D3FCF">
        <w:trPr>
          <w:gridAfter w:val="3"/>
          <w:wAfter w:w="165" w:type="dxa"/>
          <w:trHeight w:val="730"/>
        </w:trPr>
        <w:tc>
          <w:tcPr>
            <w:tcW w:w="416" w:type="dxa"/>
            <w:tcBorders>
              <w:top w:val="nil"/>
              <w:left w:val="single" w:sz="8" w:space="0" w:color="auto"/>
              <w:bottom w:val="single" w:sz="8" w:space="0" w:color="auto"/>
              <w:right w:val="single" w:sz="8" w:space="0" w:color="auto"/>
            </w:tcBorders>
            <w:noWrap/>
            <w:hideMark/>
          </w:tcPr>
          <w:p w14:paraId="1B7A34D1" w14:textId="77777777" w:rsidR="00A82CDA" w:rsidRPr="00E259FA" w:rsidRDefault="00A82CDA" w:rsidP="006D3FCF">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2.</w:t>
            </w:r>
          </w:p>
        </w:tc>
        <w:tc>
          <w:tcPr>
            <w:tcW w:w="4107" w:type="dxa"/>
            <w:tcBorders>
              <w:top w:val="nil"/>
              <w:left w:val="nil"/>
              <w:bottom w:val="single" w:sz="8" w:space="0" w:color="auto"/>
              <w:right w:val="nil"/>
            </w:tcBorders>
            <w:vAlign w:val="center"/>
            <w:hideMark/>
          </w:tcPr>
          <w:p w14:paraId="3A48F7A3" w14:textId="77777777" w:rsidR="00A82CDA" w:rsidRPr="006D3FCF" w:rsidRDefault="00A82CDA" w:rsidP="006D3FCF">
            <w:pPr>
              <w:spacing w:before="20" w:after="20"/>
              <w:rPr>
                <w:rFonts w:asciiTheme="minorBidi" w:hAnsiTheme="minorBidi" w:cstheme="minorBidi"/>
                <w:color w:val="000000"/>
                <w:sz w:val="18"/>
                <w:szCs w:val="18"/>
              </w:rPr>
            </w:pPr>
            <w:r w:rsidRPr="006D3FCF">
              <w:rPr>
                <w:rFonts w:asciiTheme="minorBidi" w:hAnsiTheme="minorBidi" w:cstheme="minorBidi"/>
                <w:color w:val="000000"/>
                <w:sz w:val="18"/>
                <w:szCs w:val="18"/>
              </w:rPr>
              <w:t>Preparatory assistance for International Assistance requests, nominations and proposals to the Lists and Register of the Convention</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1C510D85"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2,8%</w:t>
            </w:r>
          </w:p>
        </w:tc>
        <w:tc>
          <w:tcPr>
            <w:tcW w:w="1417" w:type="dxa"/>
            <w:tcBorders>
              <w:top w:val="nil"/>
              <w:left w:val="nil"/>
              <w:bottom w:val="single" w:sz="4" w:space="0" w:color="auto"/>
              <w:right w:val="dashed" w:sz="4" w:space="0" w:color="auto"/>
            </w:tcBorders>
            <w:shd w:val="clear" w:color="000000" w:fill="FFFFFF"/>
            <w:vAlign w:val="center"/>
            <w:hideMark/>
          </w:tcPr>
          <w:p w14:paraId="6C8070F8"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1,7%</w:t>
            </w:r>
          </w:p>
        </w:tc>
        <w:tc>
          <w:tcPr>
            <w:tcW w:w="1237" w:type="dxa"/>
            <w:tcBorders>
              <w:top w:val="nil"/>
              <w:left w:val="nil"/>
              <w:bottom w:val="dashed" w:sz="4" w:space="0" w:color="auto"/>
              <w:right w:val="dashed" w:sz="4" w:space="0" w:color="auto"/>
            </w:tcBorders>
            <w:vAlign w:val="center"/>
            <w:hideMark/>
          </w:tcPr>
          <w:p w14:paraId="167AC924" w14:textId="2CD505D8"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$133</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902</w:t>
            </w:r>
          </w:p>
        </w:tc>
        <w:tc>
          <w:tcPr>
            <w:tcW w:w="1307" w:type="dxa"/>
            <w:tcBorders>
              <w:top w:val="nil"/>
              <w:left w:val="nil"/>
              <w:bottom w:val="dashed" w:sz="4" w:space="0" w:color="auto"/>
              <w:right w:val="dashed" w:sz="4" w:space="0" w:color="auto"/>
            </w:tcBorders>
            <w:vAlign w:val="center"/>
            <w:hideMark/>
          </w:tcPr>
          <w:p w14:paraId="7F83250B" w14:textId="034DF8D4"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$33</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476</w:t>
            </w:r>
          </w:p>
        </w:tc>
      </w:tr>
      <w:tr w:rsidR="00A82CDA" w:rsidRPr="00E259FA" w14:paraId="33416ED2" w14:textId="77777777" w:rsidTr="006D3FCF">
        <w:trPr>
          <w:gridAfter w:val="3"/>
          <w:wAfter w:w="165" w:type="dxa"/>
          <w:trHeight w:val="1832"/>
        </w:trPr>
        <w:tc>
          <w:tcPr>
            <w:tcW w:w="416" w:type="dxa"/>
            <w:tcBorders>
              <w:top w:val="nil"/>
              <w:left w:val="single" w:sz="8" w:space="0" w:color="auto"/>
              <w:bottom w:val="single" w:sz="8" w:space="0" w:color="auto"/>
              <w:right w:val="single" w:sz="8" w:space="0" w:color="auto"/>
            </w:tcBorders>
            <w:noWrap/>
            <w:hideMark/>
          </w:tcPr>
          <w:p w14:paraId="270BF496" w14:textId="77777777" w:rsidR="00A82CDA" w:rsidRPr="00E259FA" w:rsidRDefault="00A82CDA" w:rsidP="006D3FCF">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3.</w:t>
            </w:r>
          </w:p>
        </w:tc>
        <w:tc>
          <w:tcPr>
            <w:tcW w:w="4107" w:type="dxa"/>
            <w:tcBorders>
              <w:top w:val="nil"/>
              <w:left w:val="nil"/>
              <w:bottom w:val="single" w:sz="8" w:space="0" w:color="auto"/>
              <w:right w:val="nil"/>
            </w:tcBorders>
            <w:vAlign w:val="center"/>
            <w:hideMark/>
          </w:tcPr>
          <w:p w14:paraId="10B2D365" w14:textId="77777777" w:rsidR="00A82CDA" w:rsidRPr="006D3FCF" w:rsidRDefault="00A82CDA" w:rsidP="006D3FCF">
            <w:pPr>
              <w:spacing w:before="20" w:after="20"/>
              <w:rPr>
                <w:rFonts w:asciiTheme="minorBidi" w:hAnsiTheme="minorBidi" w:cstheme="minorBidi"/>
                <w:color w:val="000000"/>
                <w:sz w:val="18"/>
                <w:szCs w:val="18"/>
              </w:rPr>
            </w:pPr>
            <w:r w:rsidRPr="006D3FCF">
              <w:rPr>
                <w:rFonts w:asciiTheme="minorBidi" w:hAnsiTheme="minorBidi" w:cstheme="minorBidi"/>
                <w:color w:val="000000"/>
                <w:sz w:val="18"/>
                <w:szCs w:val="18"/>
              </w:rPr>
              <w:t xml:space="preserve">Other functions of the Committee, as described in Article 7 of the Convention, aimed at promoting the objectives of the Convention and encouraging and monitoring its implementation, in particular by strengthening capacities to effectively safeguard intangible cultural heritage, raising awareness of the importance of such heritage, providing guidance on good safeguarding practices: </w:t>
            </w:r>
          </w:p>
        </w:tc>
        <w:tc>
          <w:tcPr>
            <w:tcW w:w="1421" w:type="dxa"/>
            <w:tcBorders>
              <w:top w:val="nil"/>
              <w:left w:val="single" w:sz="4" w:space="0" w:color="auto"/>
              <w:bottom w:val="single" w:sz="4" w:space="0" w:color="auto"/>
              <w:right w:val="single" w:sz="4" w:space="0" w:color="auto"/>
            </w:tcBorders>
            <w:shd w:val="clear" w:color="000000" w:fill="FFFFFF"/>
            <w:vAlign w:val="center"/>
            <w:hideMark/>
          </w:tcPr>
          <w:p w14:paraId="3764864F"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20,0%</w:t>
            </w:r>
          </w:p>
        </w:tc>
        <w:tc>
          <w:tcPr>
            <w:tcW w:w="1417" w:type="dxa"/>
            <w:tcBorders>
              <w:top w:val="nil"/>
              <w:left w:val="nil"/>
              <w:bottom w:val="single" w:sz="4" w:space="0" w:color="auto"/>
              <w:right w:val="dashed" w:sz="4" w:space="0" w:color="auto"/>
            </w:tcBorders>
            <w:vAlign w:val="center"/>
            <w:hideMark/>
          </w:tcPr>
          <w:p w14:paraId="26815C84"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20,0%</w:t>
            </w:r>
          </w:p>
        </w:tc>
        <w:tc>
          <w:tcPr>
            <w:tcW w:w="1237" w:type="dxa"/>
            <w:tcBorders>
              <w:top w:val="nil"/>
              <w:left w:val="nil"/>
              <w:bottom w:val="dashed" w:sz="4" w:space="0" w:color="auto"/>
              <w:right w:val="dashed" w:sz="4" w:space="0" w:color="auto"/>
            </w:tcBorders>
            <w:vAlign w:val="center"/>
            <w:hideMark/>
          </w:tcPr>
          <w:p w14:paraId="4BC7094C" w14:textId="43672EF5"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575</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318</w:t>
            </w:r>
          </w:p>
        </w:tc>
        <w:tc>
          <w:tcPr>
            <w:tcW w:w="1307" w:type="dxa"/>
            <w:tcBorders>
              <w:top w:val="nil"/>
              <w:left w:val="nil"/>
              <w:bottom w:val="dashed" w:sz="4" w:space="0" w:color="auto"/>
              <w:right w:val="dashed" w:sz="4" w:space="0" w:color="auto"/>
            </w:tcBorders>
            <w:vAlign w:val="center"/>
            <w:hideMark/>
          </w:tcPr>
          <w:p w14:paraId="2DBC7E2E" w14:textId="68814C89"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$393</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830</w:t>
            </w:r>
          </w:p>
        </w:tc>
      </w:tr>
      <w:tr w:rsidR="00A82CDA" w:rsidRPr="00E259FA" w14:paraId="209683A5" w14:textId="77777777" w:rsidTr="006D3FCF">
        <w:trPr>
          <w:gridAfter w:val="3"/>
          <w:wAfter w:w="165"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70454C65" w14:textId="00E85167" w:rsidR="00A82CDA" w:rsidRPr="00E259FA" w:rsidRDefault="00A82CDA" w:rsidP="006D3FCF">
            <w:pPr>
              <w:spacing w:before="60"/>
              <w:rPr>
                <w:rFonts w:asciiTheme="minorBidi" w:hAnsiTheme="minorBidi" w:cstheme="minorBidi"/>
                <w:i/>
                <w:iCs/>
                <w:color w:val="000000"/>
                <w:sz w:val="18"/>
                <w:szCs w:val="18"/>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2D90C44A" w14:textId="77777777" w:rsidR="00A82CDA" w:rsidRPr="006D3FCF" w:rsidRDefault="00A82CDA" w:rsidP="006D3FCF">
            <w:pPr>
              <w:spacing w:before="20" w:after="20"/>
              <w:rPr>
                <w:rFonts w:asciiTheme="minorBidi" w:hAnsiTheme="minorBidi" w:cstheme="minorBidi"/>
                <w:b/>
                <w:bCs/>
                <w:i/>
                <w:iCs/>
                <w:color w:val="000000"/>
                <w:sz w:val="16"/>
                <w:szCs w:val="16"/>
              </w:rPr>
            </w:pPr>
            <w:r w:rsidRPr="006D3FCF">
              <w:rPr>
                <w:rFonts w:asciiTheme="minorBidi" w:hAnsiTheme="minorBidi" w:cstheme="minorBidi"/>
                <w:b/>
                <w:bCs/>
                <w:i/>
                <w:iCs/>
                <w:color w:val="000000"/>
                <w:sz w:val="16"/>
                <w:szCs w:val="16"/>
              </w:rPr>
              <w:t>ER 1: Implementation of the Convention enhanced through a strengthened capacity-building programme and the integration of intangible cultural heritage into development plans and frameworks</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25C71FA1"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10,4%</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631527AC"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10,0%</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3D9FD690" w14:textId="43621450"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$787</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659</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37F72D6D" w14:textId="24B21429"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$196</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915</w:t>
            </w:r>
          </w:p>
        </w:tc>
      </w:tr>
      <w:tr w:rsidR="00A82CDA" w:rsidRPr="00E259FA" w14:paraId="5AD7F001"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49450AA3"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78B5E3CE" w14:textId="77777777" w:rsidR="00A82CDA" w:rsidRPr="006D3FCF" w:rsidRDefault="00A82CDA" w:rsidP="006D3FCF">
            <w:pPr>
              <w:spacing w:before="20" w:after="20"/>
              <w:rPr>
                <w:rFonts w:asciiTheme="minorBidi" w:hAnsiTheme="minorBidi" w:cstheme="minorBidi"/>
                <w:b/>
                <w:bCs/>
                <w:i/>
                <w:iCs/>
                <w:color w:val="000000"/>
                <w:sz w:val="16"/>
                <w:szCs w:val="16"/>
              </w:rPr>
            </w:pPr>
          </w:p>
        </w:tc>
        <w:tc>
          <w:tcPr>
            <w:tcW w:w="1421" w:type="dxa"/>
            <w:vMerge/>
            <w:tcBorders>
              <w:top w:val="nil"/>
              <w:left w:val="single" w:sz="4" w:space="0" w:color="auto"/>
              <w:bottom w:val="single" w:sz="4" w:space="0" w:color="000000"/>
              <w:right w:val="single" w:sz="4" w:space="0" w:color="auto"/>
            </w:tcBorders>
            <w:vAlign w:val="center"/>
            <w:hideMark/>
          </w:tcPr>
          <w:p w14:paraId="74F158CF" w14:textId="77777777" w:rsidR="00A82CDA" w:rsidRPr="00E259FA" w:rsidRDefault="00A82CD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69E8EA84" w14:textId="77777777" w:rsidR="00A82CDA" w:rsidRPr="00E259FA" w:rsidRDefault="00A82CD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2779CAC2"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0664312C" w14:textId="77777777" w:rsidR="00A82CDA" w:rsidRPr="00E259FA" w:rsidRDefault="00A82CD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4CBF1D68" w14:textId="77777777" w:rsidR="00A82CDA" w:rsidRPr="00E259FA" w:rsidRDefault="00A82CDA">
            <w:pPr>
              <w:jc w:val="center"/>
              <w:rPr>
                <w:rFonts w:ascii="Arial" w:hAnsi="Arial" w:cs="Arial"/>
                <w:i/>
                <w:iCs/>
                <w:color w:val="000000"/>
                <w:sz w:val="18"/>
                <w:szCs w:val="18"/>
              </w:rPr>
            </w:pPr>
          </w:p>
        </w:tc>
      </w:tr>
      <w:tr w:rsidR="00A82CDA" w:rsidRPr="00E259FA" w14:paraId="09E7D9E3"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291F2C4F"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2BF3934A" w14:textId="77777777" w:rsidR="00A82CDA" w:rsidRPr="006D3FCF" w:rsidRDefault="00A82CDA" w:rsidP="006D3FCF">
            <w:pPr>
              <w:spacing w:before="20" w:after="20"/>
              <w:rPr>
                <w:rFonts w:asciiTheme="minorBidi" w:hAnsiTheme="minorBidi" w:cstheme="minorBidi"/>
                <w:b/>
                <w:bCs/>
                <w:i/>
                <w:iCs/>
                <w:color w:val="000000"/>
                <w:sz w:val="16"/>
                <w:szCs w:val="16"/>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3A664763"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w:t>
            </w:r>
            <w:proofErr w:type="gramStart"/>
            <w:r w:rsidRPr="00E259FA">
              <w:rPr>
                <w:rFonts w:asciiTheme="minorBidi" w:hAnsiTheme="minorBidi" w:cstheme="minorBidi"/>
                <w:i/>
                <w:iCs/>
                <w:color w:val="000000"/>
                <w:sz w:val="18"/>
                <w:szCs w:val="18"/>
              </w:rPr>
              <w:t>52%</w:t>
            </w:r>
            <w:proofErr w:type="gramEnd"/>
            <w:r w:rsidRPr="00E259FA">
              <w:rPr>
                <w:rFonts w:asciiTheme="minorBidi" w:hAnsiTheme="minorBidi" w:cstheme="minorBidi"/>
                <w:i/>
                <w:iCs/>
                <w:color w:val="000000"/>
                <w:sz w:val="18"/>
                <w:szCs w:val="18"/>
              </w:rPr>
              <w:t xml:space="preserve"> of line 3)</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00CD8213"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w:t>
            </w:r>
            <w:proofErr w:type="gramStart"/>
            <w:r w:rsidRPr="00E259FA">
              <w:rPr>
                <w:rFonts w:asciiTheme="minorBidi" w:hAnsiTheme="minorBidi" w:cstheme="minorBidi"/>
                <w:i/>
                <w:iCs/>
                <w:color w:val="000000"/>
                <w:sz w:val="18"/>
                <w:szCs w:val="18"/>
              </w:rPr>
              <w:t>50%</w:t>
            </w:r>
            <w:proofErr w:type="gramEnd"/>
            <w:r w:rsidRPr="00E259FA">
              <w:rPr>
                <w:rFonts w:asciiTheme="minorBidi" w:hAnsiTheme="minorBidi" w:cstheme="minorBidi"/>
                <w:i/>
                <w:iCs/>
                <w:color w:val="000000"/>
                <w:sz w:val="18"/>
                <w:szCs w:val="18"/>
              </w:rPr>
              <w:t xml:space="preserve"> of line 3)</w:t>
            </w:r>
          </w:p>
        </w:tc>
        <w:tc>
          <w:tcPr>
            <w:tcW w:w="1237" w:type="dxa"/>
            <w:vMerge/>
            <w:tcBorders>
              <w:top w:val="nil"/>
              <w:left w:val="dashed" w:sz="4" w:space="0" w:color="auto"/>
              <w:bottom w:val="dashed" w:sz="4" w:space="0" w:color="auto"/>
              <w:right w:val="dashed" w:sz="4" w:space="0" w:color="auto"/>
            </w:tcBorders>
            <w:vAlign w:val="center"/>
            <w:hideMark/>
          </w:tcPr>
          <w:p w14:paraId="6703D5F6"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19342E04" w14:textId="77777777" w:rsidR="00A82CDA" w:rsidRPr="00E259FA" w:rsidRDefault="00A82CDA">
            <w:pPr>
              <w:rPr>
                <w:rFonts w:asciiTheme="minorBidi" w:hAnsiTheme="minorBidi" w:cstheme="minorBidi"/>
                <w:i/>
                <w:iCs/>
                <w:color w:val="000000"/>
                <w:sz w:val="18"/>
                <w:szCs w:val="18"/>
              </w:rPr>
            </w:pPr>
          </w:p>
        </w:tc>
        <w:tc>
          <w:tcPr>
            <w:tcW w:w="149" w:type="dxa"/>
            <w:gridSpan w:val="2"/>
            <w:vAlign w:val="center"/>
            <w:hideMark/>
          </w:tcPr>
          <w:p w14:paraId="01D600C3" w14:textId="77777777" w:rsidR="00A82CDA" w:rsidRPr="00E259FA" w:rsidRDefault="00A82CDA">
            <w:pPr>
              <w:rPr>
                <w:sz w:val="20"/>
                <w:szCs w:val="20"/>
              </w:rPr>
            </w:pPr>
          </w:p>
        </w:tc>
      </w:tr>
      <w:tr w:rsidR="00A82CDA" w:rsidRPr="00E259FA" w14:paraId="566B1D2D" w14:textId="77777777" w:rsidTr="006D3FCF">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1E9E90EB"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442A3B5D" w14:textId="77777777" w:rsidR="00A82CDA" w:rsidRPr="006D3FCF" w:rsidRDefault="00A82CDA" w:rsidP="006D3FCF">
            <w:pPr>
              <w:spacing w:before="20" w:after="20"/>
              <w:rPr>
                <w:rFonts w:asciiTheme="minorBidi" w:hAnsiTheme="minorBidi" w:cstheme="minorBidi"/>
                <w:b/>
                <w:bCs/>
                <w:i/>
                <w:iCs/>
                <w:color w:val="000000"/>
                <w:sz w:val="16"/>
                <w:szCs w:val="16"/>
              </w:rPr>
            </w:pPr>
          </w:p>
        </w:tc>
        <w:tc>
          <w:tcPr>
            <w:tcW w:w="1421" w:type="dxa"/>
            <w:vMerge/>
            <w:tcBorders>
              <w:top w:val="nil"/>
              <w:left w:val="single" w:sz="4" w:space="0" w:color="auto"/>
              <w:bottom w:val="single" w:sz="4" w:space="0" w:color="000000"/>
              <w:right w:val="single" w:sz="4" w:space="0" w:color="auto"/>
            </w:tcBorders>
            <w:vAlign w:val="center"/>
            <w:hideMark/>
          </w:tcPr>
          <w:p w14:paraId="23342BA0" w14:textId="77777777" w:rsidR="00A82CDA" w:rsidRPr="00E259FA" w:rsidRDefault="00A82CD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237A6A33" w14:textId="77777777" w:rsidR="00A82CDA" w:rsidRPr="00E259FA" w:rsidRDefault="00A82CD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2A48EE89"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4AF3C699" w14:textId="77777777" w:rsidR="00A82CDA" w:rsidRPr="00E259FA" w:rsidRDefault="00A82CD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0516CAB4" w14:textId="77777777" w:rsidR="00A82CDA" w:rsidRPr="00E259FA" w:rsidRDefault="00A82CDA">
            <w:pPr>
              <w:jc w:val="center"/>
              <w:rPr>
                <w:rFonts w:ascii="Arial" w:hAnsi="Arial" w:cs="Arial"/>
                <w:i/>
                <w:iCs/>
                <w:color w:val="000000"/>
                <w:sz w:val="16"/>
                <w:szCs w:val="16"/>
              </w:rPr>
            </w:pPr>
          </w:p>
        </w:tc>
      </w:tr>
      <w:tr w:rsidR="00A82CDA" w:rsidRPr="00E259FA" w14:paraId="5D0B98BD" w14:textId="77777777" w:rsidTr="006D3FCF">
        <w:trPr>
          <w:gridAfter w:val="1"/>
          <w:wAfter w:w="16" w:type="dxa"/>
          <w:trHeight w:val="298"/>
        </w:trPr>
        <w:tc>
          <w:tcPr>
            <w:tcW w:w="416" w:type="dxa"/>
            <w:vMerge w:val="restart"/>
            <w:tcBorders>
              <w:top w:val="nil"/>
              <w:left w:val="single" w:sz="8" w:space="0" w:color="auto"/>
              <w:bottom w:val="single" w:sz="8" w:space="0" w:color="000000"/>
              <w:right w:val="single" w:sz="8" w:space="0" w:color="auto"/>
            </w:tcBorders>
            <w:shd w:val="clear" w:color="000000" w:fill="E7E6E6"/>
            <w:noWrap/>
            <w:hideMark/>
          </w:tcPr>
          <w:p w14:paraId="664B339E" w14:textId="6B8797FC" w:rsidR="00A82CDA" w:rsidRPr="00E259FA" w:rsidRDefault="00A82CDA" w:rsidP="006D3FCF">
            <w:pPr>
              <w:spacing w:before="60"/>
              <w:rPr>
                <w:rFonts w:asciiTheme="minorBidi" w:hAnsiTheme="minorBidi" w:cstheme="minorBidi"/>
                <w:i/>
                <w:iCs/>
                <w:color w:val="000000"/>
                <w:sz w:val="18"/>
                <w:szCs w:val="18"/>
              </w:rPr>
            </w:pPr>
          </w:p>
        </w:tc>
        <w:tc>
          <w:tcPr>
            <w:tcW w:w="4107" w:type="dxa"/>
            <w:vMerge w:val="restart"/>
            <w:tcBorders>
              <w:top w:val="nil"/>
              <w:left w:val="single" w:sz="8" w:space="0" w:color="auto"/>
              <w:bottom w:val="single" w:sz="8" w:space="0" w:color="000000"/>
              <w:right w:val="nil"/>
            </w:tcBorders>
            <w:shd w:val="clear" w:color="000000" w:fill="E7E6E6"/>
            <w:vAlign w:val="bottom"/>
            <w:hideMark/>
          </w:tcPr>
          <w:p w14:paraId="6E08204B" w14:textId="77777777" w:rsidR="00A82CDA" w:rsidRPr="006D3FCF" w:rsidRDefault="00A82CDA" w:rsidP="006D3FCF">
            <w:pPr>
              <w:spacing w:before="20" w:after="20"/>
              <w:rPr>
                <w:rFonts w:asciiTheme="minorBidi" w:hAnsiTheme="minorBidi" w:cstheme="minorBidi"/>
                <w:b/>
                <w:bCs/>
                <w:i/>
                <w:iCs/>
                <w:color w:val="000000"/>
                <w:sz w:val="16"/>
                <w:szCs w:val="16"/>
              </w:rPr>
            </w:pPr>
            <w:r w:rsidRPr="006D3FCF">
              <w:rPr>
                <w:rFonts w:asciiTheme="minorBidi" w:hAnsiTheme="minorBidi" w:cstheme="minorBidi"/>
                <w:b/>
                <w:bCs/>
                <w:i/>
                <w:iCs/>
                <w:color w:val="000000"/>
                <w:sz w:val="16"/>
                <w:szCs w:val="16"/>
              </w:rPr>
              <w:t>ER 2: Sound governance of the Convention facilitated by enhanced monitoring, knowledge management services and awareness-raising associated with international cooperation mechanisms</w:t>
            </w: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48CBCCAA"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9,6%</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4D77737E"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10,0%</w:t>
            </w:r>
          </w:p>
        </w:tc>
        <w:tc>
          <w:tcPr>
            <w:tcW w:w="1237" w:type="dxa"/>
            <w:vMerge w:val="restart"/>
            <w:tcBorders>
              <w:top w:val="nil"/>
              <w:left w:val="dashed" w:sz="4" w:space="0" w:color="auto"/>
              <w:bottom w:val="dashed" w:sz="4" w:space="0" w:color="auto"/>
              <w:right w:val="dashed" w:sz="4" w:space="0" w:color="auto"/>
            </w:tcBorders>
            <w:shd w:val="clear" w:color="000000" w:fill="E7E6E6"/>
            <w:vAlign w:val="center"/>
            <w:hideMark/>
          </w:tcPr>
          <w:p w14:paraId="7A968B87" w14:textId="5EBC2D3A"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$787</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659</w:t>
            </w:r>
          </w:p>
        </w:tc>
        <w:tc>
          <w:tcPr>
            <w:tcW w:w="1307" w:type="dxa"/>
            <w:vMerge w:val="restart"/>
            <w:tcBorders>
              <w:top w:val="nil"/>
              <w:left w:val="dashed" w:sz="4" w:space="0" w:color="auto"/>
              <w:bottom w:val="dashed" w:sz="4" w:space="0" w:color="auto"/>
              <w:right w:val="dashed" w:sz="4" w:space="0" w:color="auto"/>
            </w:tcBorders>
            <w:shd w:val="clear" w:color="000000" w:fill="E7E6E6"/>
            <w:vAlign w:val="center"/>
            <w:hideMark/>
          </w:tcPr>
          <w:p w14:paraId="7C73A350" w14:textId="741FFD15"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$196</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915</w:t>
            </w:r>
          </w:p>
        </w:tc>
        <w:tc>
          <w:tcPr>
            <w:tcW w:w="149" w:type="dxa"/>
            <w:gridSpan w:val="2"/>
            <w:vAlign w:val="center"/>
            <w:hideMark/>
          </w:tcPr>
          <w:p w14:paraId="7B4D3C34" w14:textId="77777777" w:rsidR="00A82CDA" w:rsidRPr="00E259FA" w:rsidRDefault="00A82CDA">
            <w:pPr>
              <w:rPr>
                <w:sz w:val="20"/>
                <w:szCs w:val="20"/>
              </w:rPr>
            </w:pPr>
          </w:p>
        </w:tc>
      </w:tr>
      <w:tr w:rsidR="00A82CDA" w:rsidRPr="00E259FA" w14:paraId="0C3476FF"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20EF829F"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1F72E02F" w14:textId="77777777" w:rsidR="00A82CDA" w:rsidRPr="00E259FA" w:rsidRDefault="00A82CDA" w:rsidP="006D3FCF">
            <w:pPr>
              <w:spacing w:before="20" w:after="20"/>
              <w:rPr>
                <w:rFonts w:asciiTheme="minorBidi" w:hAnsiTheme="minorBidi" w:cstheme="minorBidi"/>
                <w:b/>
                <w:bCs/>
                <w:i/>
                <w:iCs/>
                <w:color w:val="000000"/>
                <w:sz w:val="18"/>
                <w:szCs w:val="18"/>
              </w:rPr>
            </w:pPr>
          </w:p>
        </w:tc>
        <w:tc>
          <w:tcPr>
            <w:tcW w:w="1421" w:type="dxa"/>
            <w:vMerge/>
            <w:tcBorders>
              <w:top w:val="nil"/>
              <w:left w:val="single" w:sz="4" w:space="0" w:color="auto"/>
              <w:bottom w:val="single" w:sz="4" w:space="0" w:color="000000"/>
              <w:right w:val="single" w:sz="4" w:space="0" w:color="auto"/>
            </w:tcBorders>
            <w:vAlign w:val="center"/>
            <w:hideMark/>
          </w:tcPr>
          <w:p w14:paraId="150F3D6C" w14:textId="77777777" w:rsidR="00A82CDA" w:rsidRPr="00E259FA" w:rsidRDefault="00A82CD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04B4239E" w14:textId="77777777" w:rsidR="00A82CDA" w:rsidRPr="00E259FA" w:rsidRDefault="00A82CD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0DC70D8A"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285F0FE5" w14:textId="77777777" w:rsidR="00A82CDA" w:rsidRPr="00E259FA" w:rsidRDefault="00A82CD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61F196D6" w14:textId="77777777" w:rsidR="00A82CDA" w:rsidRPr="00E259FA" w:rsidRDefault="00A82CDA">
            <w:pPr>
              <w:jc w:val="center"/>
              <w:rPr>
                <w:rFonts w:ascii="Arial" w:hAnsi="Arial" w:cs="Arial"/>
                <w:i/>
                <w:iCs/>
                <w:color w:val="000000"/>
                <w:sz w:val="18"/>
                <w:szCs w:val="18"/>
              </w:rPr>
            </w:pPr>
          </w:p>
        </w:tc>
      </w:tr>
      <w:tr w:rsidR="00A82CDA" w:rsidRPr="00E259FA" w14:paraId="1CD890F2" w14:textId="77777777" w:rsidTr="006D3FCF">
        <w:trPr>
          <w:gridAfter w:val="1"/>
          <w:wAfter w:w="16" w:type="dxa"/>
          <w:trHeight w:val="298"/>
        </w:trPr>
        <w:tc>
          <w:tcPr>
            <w:tcW w:w="416" w:type="dxa"/>
            <w:vMerge/>
            <w:tcBorders>
              <w:top w:val="nil"/>
              <w:left w:val="single" w:sz="8" w:space="0" w:color="auto"/>
              <w:bottom w:val="single" w:sz="8" w:space="0" w:color="000000"/>
              <w:right w:val="single" w:sz="8" w:space="0" w:color="auto"/>
            </w:tcBorders>
            <w:hideMark/>
          </w:tcPr>
          <w:p w14:paraId="53C5D3A7"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67557E4A" w14:textId="77777777" w:rsidR="00A82CDA" w:rsidRPr="00E259FA" w:rsidRDefault="00A82CDA" w:rsidP="006D3FCF">
            <w:pPr>
              <w:spacing w:before="20" w:after="20"/>
              <w:rPr>
                <w:rFonts w:asciiTheme="minorBidi" w:hAnsiTheme="minorBidi" w:cstheme="minorBidi"/>
                <w:b/>
                <w:bCs/>
                <w:i/>
                <w:iCs/>
                <w:color w:val="000000"/>
                <w:sz w:val="18"/>
                <w:szCs w:val="18"/>
              </w:rPr>
            </w:pPr>
          </w:p>
        </w:tc>
        <w:tc>
          <w:tcPr>
            <w:tcW w:w="1421" w:type="dxa"/>
            <w:vMerge w:val="restart"/>
            <w:tcBorders>
              <w:top w:val="nil"/>
              <w:left w:val="single" w:sz="4" w:space="0" w:color="auto"/>
              <w:bottom w:val="single" w:sz="4" w:space="0" w:color="000000"/>
              <w:right w:val="single" w:sz="4" w:space="0" w:color="auto"/>
            </w:tcBorders>
            <w:shd w:val="clear" w:color="000000" w:fill="D0CECE"/>
            <w:vAlign w:val="center"/>
            <w:hideMark/>
          </w:tcPr>
          <w:p w14:paraId="55DAC7CE"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w:t>
            </w:r>
            <w:proofErr w:type="gramStart"/>
            <w:r w:rsidRPr="00E259FA">
              <w:rPr>
                <w:rFonts w:asciiTheme="minorBidi" w:hAnsiTheme="minorBidi" w:cstheme="minorBidi"/>
                <w:i/>
                <w:iCs/>
                <w:color w:val="000000"/>
                <w:sz w:val="18"/>
                <w:szCs w:val="18"/>
              </w:rPr>
              <w:t>48%</w:t>
            </w:r>
            <w:proofErr w:type="gramEnd"/>
            <w:r w:rsidRPr="00E259FA">
              <w:rPr>
                <w:rFonts w:asciiTheme="minorBidi" w:hAnsiTheme="minorBidi" w:cstheme="minorBidi"/>
                <w:i/>
                <w:iCs/>
                <w:color w:val="000000"/>
                <w:sz w:val="18"/>
                <w:szCs w:val="18"/>
              </w:rPr>
              <w:t xml:space="preserve"> of line 3)</w:t>
            </w:r>
          </w:p>
        </w:tc>
        <w:tc>
          <w:tcPr>
            <w:tcW w:w="1417" w:type="dxa"/>
            <w:vMerge w:val="restart"/>
            <w:tcBorders>
              <w:top w:val="nil"/>
              <w:left w:val="single" w:sz="4" w:space="0" w:color="auto"/>
              <w:bottom w:val="single" w:sz="4" w:space="0" w:color="000000"/>
              <w:right w:val="dashed" w:sz="4" w:space="0" w:color="auto"/>
            </w:tcBorders>
            <w:shd w:val="clear" w:color="000000" w:fill="D0CECE"/>
            <w:vAlign w:val="center"/>
            <w:hideMark/>
          </w:tcPr>
          <w:p w14:paraId="45300B65" w14:textId="7777777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w:t>
            </w:r>
            <w:proofErr w:type="gramStart"/>
            <w:r w:rsidRPr="00E259FA">
              <w:rPr>
                <w:rFonts w:asciiTheme="minorBidi" w:hAnsiTheme="minorBidi" w:cstheme="minorBidi"/>
                <w:i/>
                <w:iCs/>
                <w:color w:val="000000"/>
                <w:sz w:val="18"/>
                <w:szCs w:val="18"/>
              </w:rPr>
              <w:t>50%</w:t>
            </w:r>
            <w:proofErr w:type="gramEnd"/>
            <w:r w:rsidRPr="00E259FA">
              <w:rPr>
                <w:rFonts w:asciiTheme="minorBidi" w:hAnsiTheme="minorBidi" w:cstheme="minorBidi"/>
                <w:i/>
                <w:iCs/>
                <w:color w:val="000000"/>
                <w:sz w:val="18"/>
                <w:szCs w:val="18"/>
              </w:rPr>
              <w:t xml:space="preserve"> of line 3)</w:t>
            </w:r>
          </w:p>
        </w:tc>
        <w:tc>
          <w:tcPr>
            <w:tcW w:w="1237" w:type="dxa"/>
            <w:vMerge/>
            <w:tcBorders>
              <w:top w:val="nil"/>
              <w:left w:val="dashed" w:sz="4" w:space="0" w:color="auto"/>
              <w:bottom w:val="dashed" w:sz="4" w:space="0" w:color="auto"/>
              <w:right w:val="dashed" w:sz="4" w:space="0" w:color="auto"/>
            </w:tcBorders>
            <w:vAlign w:val="center"/>
            <w:hideMark/>
          </w:tcPr>
          <w:p w14:paraId="5F31E833"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18A5C372" w14:textId="77777777" w:rsidR="00A82CDA" w:rsidRPr="00E259FA" w:rsidRDefault="00A82CDA">
            <w:pPr>
              <w:rPr>
                <w:rFonts w:asciiTheme="minorBidi" w:hAnsiTheme="minorBidi" w:cstheme="minorBidi"/>
                <w:i/>
                <w:iCs/>
                <w:color w:val="000000"/>
                <w:sz w:val="18"/>
                <w:szCs w:val="18"/>
              </w:rPr>
            </w:pPr>
          </w:p>
        </w:tc>
        <w:tc>
          <w:tcPr>
            <w:tcW w:w="149" w:type="dxa"/>
            <w:gridSpan w:val="2"/>
            <w:vAlign w:val="center"/>
            <w:hideMark/>
          </w:tcPr>
          <w:p w14:paraId="2A47BADE" w14:textId="77777777" w:rsidR="00A82CDA" w:rsidRPr="00E259FA" w:rsidRDefault="00A82CDA">
            <w:pPr>
              <w:rPr>
                <w:sz w:val="20"/>
                <w:szCs w:val="20"/>
              </w:rPr>
            </w:pPr>
          </w:p>
        </w:tc>
      </w:tr>
      <w:tr w:rsidR="00A82CDA" w:rsidRPr="00E259FA" w14:paraId="4330BC0B" w14:textId="77777777" w:rsidTr="006D3FCF">
        <w:trPr>
          <w:gridAfter w:val="1"/>
          <w:wAfter w:w="16" w:type="dxa"/>
          <w:trHeight w:val="46"/>
        </w:trPr>
        <w:tc>
          <w:tcPr>
            <w:tcW w:w="416" w:type="dxa"/>
            <w:vMerge/>
            <w:tcBorders>
              <w:top w:val="nil"/>
              <w:left w:val="single" w:sz="8" w:space="0" w:color="auto"/>
              <w:bottom w:val="single" w:sz="8" w:space="0" w:color="000000"/>
              <w:right w:val="single" w:sz="8" w:space="0" w:color="auto"/>
            </w:tcBorders>
            <w:hideMark/>
          </w:tcPr>
          <w:p w14:paraId="3B3D5387" w14:textId="77777777" w:rsidR="00A82CDA" w:rsidRPr="00E259FA" w:rsidRDefault="00A82CDA" w:rsidP="006D3FCF">
            <w:pPr>
              <w:spacing w:before="60"/>
              <w:rPr>
                <w:rFonts w:asciiTheme="minorBidi" w:hAnsiTheme="minorBidi" w:cstheme="minorBidi"/>
                <w:i/>
                <w:iCs/>
                <w:color w:val="000000"/>
                <w:sz w:val="18"/>
                <w:szCs w:val="18"/>
              </w:rPr>
            </w:pPr>
          </w:p>
        </w:tc>
        <w:tc>
          <w:tcPr>
            <w:tcW w:w="4107" w:type="dxa"/>
            <w:vMerge/>
            <w:tcBorders>
              <w:top w:val="nil"/>
              <w:left w:val="single" w:sz="8" w:space="0" w:color="auto"/>
              <w:bottom w:val="single" w:sz="8" w:space="0" w:color="000000"/>
              <w:right w:val="nil"/>
            </w:tcBorders>
            <w:vAlign w:val="center"/>
            <w:hideMark/>
          </w:tcPr>
          <w:p w14:paraId="3ABA440D" w14:textId="77777777" w:rsidR="00A82CDA" w:rsidRPr="00E259FA" w:rsidRDefault="00A82CDA" w:rsidP="006D3FCF">
            <w:pPr>
              <w:spacing w:before="20" w:after="20"/>
              <w:rPr>
                <w:rFonts w:asciiTheme="minorBidi" w:hAnsiTheme="minorBidi" w:cstheme="minorBidi"/>
                <w:b/>
                <w:bCs/>
                <w:i/>
                <w:iCs/>
                <w:color w:val="000000"/>
                <w:sz w:val="18"/>
                <w:szCs w:val="18"/>
              </w:rPr>
            </w:pPr>
          </w:p>
        </w:tc>
        <w:tc>
          <w:tcPr>
            <w:tcW w:w="1421" w:type="dxa"/>
            <w:vMerge/>
            <w:tcBorders>
              <w:top w:val="nil"/>
              <w:left w:val="single" w:sz="4" w:space="0" w:color="auto"/>
              <w:bottom w:val="single" w:sz="4" w:space="0" w:color="000000"/>
              <w:right w:val="single" w:sz="4" w:space="0" w:color="auto"/>
            </w:tcBorders>
            <w:vAlign w:val="center"/>
            <w:hideMark/>
          </w:tcPr>
          <w:p w14:paraId="16D170AE" w14:textId="77777777" w:rsidR="00A82CDA" w:rsidRPr="00E259FA" w:rsidRDefault="00A82CDA">
            <w:pPr>
              <w:rPr>
                <w:rFonts w:asciiTheme="minorBidi" w:hAnsiTheme="minorBidi" w:cstheme="minorBidi"/>
                <w:i/>
                <w:iCs/>
                <w:color w:val="000000"/>
                <w:sz w:val="18"/>
                <w:szCs w:val="18"/>
              </w:rPr>
            </w:pPr>
          </w:p>
        </w:tc>
        <w:tc>
          <w:tcPr>
            <w:tcW w:w="1417" w:type="dxa"/>
            <w:vMerge/>
            <w:tcBorders>
              <w:top w:val="nil"/>
              <w:left w:val="single" w:sz="4" w:space="0" w:color="auto"/>
              <w:bottom w:val="single" w:sz="4" w:space="0" w:color="000000"/>
              <w:right w:val="dashed" w:sz="4" w:space="0" w:color="auto"/>
            </w:tcBorders>
            <w:vAlign w:val="center"/>
            <w:hideMark/>
          </w:tcPr>
          <w:p w14:paraId="7BDC8166" w14:textId="77777777" w:rsidR="00A82CDA" w:rsidRPr="00E259FA" w:rsidRDefault="00A82CDA">
            <w:pPr>
              <w:rPr>
                <w:rFonts w:asciiTheme="minorBidi" w:hAnsiTheme="minorBidi" w:cstheme="minorBidi"/>
                <w:i/>
                <w:iCs/>
                <w:color w:val="000000"/>
                <w:sz w:val="18"/>
                <w:szCs w:val="18"/>
              </w:rPr>
            </w:pPr>
          </w:p>
        </w:tc>
        <w:tc>
          <w:tcPr>
            <w:tcW w:w="1237" w:type="dxa"/>
            <w:vMerge/>
            <w:tcBorders>
              <w:top w:val="nil"/>
              <w:left w:val="dashed" w:sz="4" w:space="0" w:color="auto"/>
              <w:bottom w:val="dashed" w:sz="4" w:space="0" w:color="auto"/>
              <w:right w:val="dashed" w:sz="4" w:space="0" w:color="auto"/>
            </w:tcBorders>
            <w:vAlign w:val="center"/>
            <w:hideMark/>
          </w:tcPr>
          <w:p w14:paraId="555D1D1D" w14:textId="77777777" w:rsidR="00A82CDA" w:rsidRPr="00E259FA" w:rsidRDefault="00A82CDA">
            <w:pPr>
              <w:rPr>
                <w:rFonts w:asciiTheme="minorBidi" w:hAnsiTheme="minorBidi" w:cstheme="minorBidi"/>
                <w:i/>
                <w:iCs/>
                <w:color w:val="000000"/>
                <w:sz w:val="18"/>
                <w:szCs w:val="18"/>
              </w:rPr>
            </w:pPr>
          </w:p>
        </w:tc>
        <w:tc>
          <w:tcPr>
            <w:tcW w:w="1307" w:type="dxa"/>
            <w:vMerge/>
            <w:tcBorders>
              <w:top w:val="nil"/>
              <w:left w:val="dashed" w:sz="4" w:space="0" w:color="auto"/>
              <w:bottom w:val="dashed" w:sz="4" w:space="0" w:color="auto"/>
              <w:right w:val="dashed" w:sz="4" w:space="0" w:color="auto"/>
            </w:tcBorders>
            <w:vAlign w:val="center"/>
            <w:hideMark/>
          </w:tcPr>
          <w:p w14:paraId="7032D380" w14:textId="77777777" w:rsidR="00A82CDA" w:rsidRPr="00E259FA" w:rsidRDefault="00A82CDA">
            <w:pPr>
              <w:rPr>
                <w:rFonts w:asciiTheme="minorBidi" w:hAnsiTheme="minorBidi" w:cstheme="minorBidi"/>
                <w:i/>
                <w:iCs/>
                <w:color w:val="000000"/>
                <w:sz w:val="18"/>
                <w:szCs w:val="18"/>
              </w:rPr>
            </w:pPr>
          </w:p>
        </w:tc>
        <w:tc>
          <w:tcPr>
            <w:tcW w:w="149" w:type="dxa"/>
            <w:gridSpan w:val="2"/>
            <w:tcBorders>
              <w:top w:val="nil"/>
              <w:left w:val="nil"/>
              <w:bottom w:val="nil"/>
              <w:right w:val="nil"/>
            </w:tcBorders>
            <w:noWrap/>
            <w:vAlign w:val="bottom"/>
            <w:hideMark/>
          </w:tcPr>
          <w:p w14:paraId="68E8B9E7" w14:textId="77777777" w:rsidR="00A82CDA" w:rsidRPr="00E259FA" w:rsidRDefault="00A82CDA">
            <w:pPr>
              <w:jc w:val="center"/>
              <w:rPr>
                <w:rFonts w:ascii="Arial" w:hAnsi="Arial" w:cs="Arial"/>
                <w:i/>
                <w:iCs/>
                <w:color w:val="000000"/>
                <w:sz w:val="16"/>
                <w:szCs w:val="16"/>
              </w:rPr>
            </w:pPr>
          </w:p>
        </w:tc>
      </w:tr>
      <w:tr w:rsidR="00A82CDA" w:rsidRPr="00E259FA" w14:paraId="3C56B17D" w14:textId="77777777" w:rsidTr="006D3FCF">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3FAAC5C4" w14:textId="77777777" w:rsidR="00A82CDA" w:rsidRPr="00E259FA" w:rsidRDefault="00A82CDA" w:rsidP="006D3FCF">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4.</w:t>
            </w:r>
          </w:p>
        </w:tc>
        <w:tc>
          <w:tcPr>
            <w:tcW w:w="4107" w:type="dxa"/>
            <w:tcBorders>
              <w:top w:val="nil"/>
              <w:left w:val="nil"/>
              <w:bottom w:val="single" w:sz="8" w:space="0" w:color="auto"/>
              <w:right w:val="nil"/>
            </w:tcBorders>
            <w:vAlign w:val="center"/>
            <w:hideMark/>
          </w:tcPr>
          <w:p w14:paraId="1571CCE4" w14:textId="77777777" w:rsidR="00A82CDA" w:rsidRPr="006D3FCF" w:rsidRDefault="00A82CDA" w:rsidP="006D3FCF">
            <w:pPr>
              <w:spacing w:before="20" w:after="20"/>
              <w:rPr>
                <w:rFonts w:asciiTheme="minorBidi" w:hAnsiTheme="minorBidi" w:cstheme="minorBidi"/>
                <w:color w:val="000000"/>
                <w:sz w:val="18"/>
                <w:szCs w:val="18"/>
              </w:rPr>
            </w:pPr>
            <w:r w:rsidRPr="006D3FCF">
              <w:rPr>
                <w:rFonts w:asciiTheme="minorBidi" w:hAnsiTheme="minorBidi" w:cstheme="minorBidi"/>
                <w:color w:val="000000"/>
                <w:sz w:val="18"/>
                <w:szCs w:val="18"/>
              </w:rPr>
              <w:t>Participation in the sessions of the Committee, its Bureau and subsidiary bodies of experts in intangible cultural heritage representing developing States that are Members of the Committee</w:t>
            </w:r>
          </w:p>
        </w:tc>
        <w:tc>
          <w:tcPr>
            <w:tcW w:w="1421" w:type="dxa"/>
            <w:tcBorders>
              <w:top w:val="nil"/>
              <w:left w:val="single" w:sz="4" w:space="0" w:color="auto"/>
              <w:bottom w:val="single" w:sz="4" w:space="0" w:color="auto"/>
              <w:right w:val="single" w:sz="4" w:space="0" w:color="auto"/>
            </w:tcBorders>
            <w:vAlign w:val="center"/>
            <w:hideMark/>
          </w:tcPr>
          <w:p w14:paraId="49CE14C1"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2,5%</w:t>
            </w:r>
          </w:p>
        </w:tc>
        <w:tc>
          <w:tcPr>
            <w:tcW w:w="1417" w:type="dxa"/>
            <w:tcBorders>
              <w:top w:val="nil"/>
              <w:left w:val="nil"/>
              <w:bottom w:val="single" w:sz="4" w:space="0" w:color="auto"/>
              <w:right w:val="dashed" w:sz="4" w:space="0" w:color="auto"/>
            </w:tcBorders>
            <w:vAlign w:val="center"/>
            <w:hideMark/>
          </w:tcPr>
          <w:p w14:paraId="01FF065C"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2,5%</w:t>
            </w:r>
          </w:p>
        </w:tc>
        <w:tc>
          <w:tcPr>
            <w:tcW w:w="1237" w:type="dxa"/>
            <w:tcBorders>
              <w:top w:val="nil"/>
              <w:left w:val="nil"/>
              <w:bottom w:val="dashed" w:sz="4" w:space="0" w:color="auto"/>
              <w:right w:val="dashed" w:sz="4" w:space="0" w:color="auto"/>
            </w:tcBorders>
            <w:vAlign w:val="center"/>
            <w:hideMark/>
          </w:tcPr>
          <w:p w14:paraId="2FA3AD85" w14:textId="0A3D07DE"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$196</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915</w:t>
            </w:r>
          </w:p>
        </w:tc>
        <w:tc>
          <w:tcPr>
            <w:tcW w:w="1307" w:type="dxa"/>
            <w:tcBorders>
              <w:top w:val="nil"/>
              <w:left w:val="nil"/>
              <w:bottom w:val="dashed" w:sz="4" w:space="0" w:color="auto"/>
              <w:right w:val="dashed" w:sz="4" w:space="0" w:color="auto"/>
            </w:tcBorders>
            <w:vAlign w:val="center"/>
            <w:hideMark/>
          </w:tcPr>
          <w:p w14:paraId="3544A6B4" w14:textId="62637F3A"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$49</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229</w:t>
            </w:r>
          </w:p>
        </w:tc>
        <w:tc>
          <w:tcPr>
            <w:tcW w:w="149" w:type="dxa"/>
            <w:gridSpan w:val="2"/>
            <w:vAlign w:val="center"/>
            <w:hideMark/>
          </w:tcPr>
          <w:p w14:paraId="25BC1AA3" w14:textId="77777777" w:rsidR="00A82CDA" w:rsidRPr="00E259FA" w:rsidRDefault="00A82CDA">
            <w:pPr>
              <w:rPr>
                <w:sz w:val="20"/>
                <w:szCs w:val="20"/>
              </w:rPr>
            </w:pPr>
          </w:p>
        </w:tc>
      </w:tr>
      <w:tr w:rsidR="00A82CDA" w:rsidRPr="00E259FA" w14:paraId="77F04CA5" w14:textId="77777777" w:rsidTr="006D3FCF">
        <w:trPr>
          <w:gridAfter w:val="1"/>
          <w:wAfter w:w="16" w:type="dxa"/>
          <w:trHeight w:val="969"/>
        </w:trPr>
        <w:tc>
          <w:tcPr>
            <w:tcW w:w="416" w:type="dxa"/>
            <w:tcBorders>
              <w:top w:val="nil"/>
              <w:left w:val="single" w:sz="8" w:space="0" w:color="auto"/>
              <w:bottom w:val="single" w:sz="8" w:space="0" w:color="auto"/>
              <w:right w:val="single" w:sz="8" w:space="0" w:color="auto"/>
            </w:tcBorders>
            <w:noWrap/>
            <w:hideMark/>
          </w:tcPr>
          <w:p w14:paraId="64E3CCD1" w14:textId="77777777" w:rsidR="00A82CDA" w:rsidRPr="00E259FA" w:rsidRDefault="00A82CDA" w:rsidP="006D3FCF">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5.</w:t>
            </w:r>
          </w:p>
        </w:tc>
        <w:tc>
          <w:tcPr>
            <w:tcW w:w="4107" w:type="dxa"/>
            <w:tcBorders>
              <w:top w:val="nil"/>
              <w:left w:val="nil"/>
              <w:bottom w:val="single" w:sz="8" w:space="0" w:color="auto"/>
              <w:right w:val="nil"/>
            </w:tcBorders>
            <w:vAlign w:val="center"/>
            <w:hideMark/>
          </w:tcPr>
          <w:p w14:paraId="123567EA" w14:textId="77777777" w:rsidR="00A82CDA" w:rsidRPr="006D3FCF" w:rsidRDefault="00A82CDA" w:rsidP="006D3FCF">
            <w:pPr>
              <w:spacing w:before="20" w:after="20"/>
              <w:rPr>
                <w:rFonts w:asciiTheme="minorBidi" w:hAnsiTheme="minorBidi" w:cstheme="minorBidi"/>
                <w:color w:val="000000"/>
                <w:sz w:val="18"/>
                <w:szCs w:val="18"/>
              </w:rPr>
            </w:pPr>
            <w:r w:rsidRPr="006D3FCF">
              <w:rPr>
                <w:rFonts w:asciiTheme="minorBidi" w:hAnsiTheme="minorBidi" w:cstheme="minorBidi"/>
                <w:color w:val="000000"/>
                <w:sz w:val="18"/>
                <w:szCs w:val="18"/>
              </w:rPr>
              <w:t>Participation in the sessions of the Committee and its consultative bodies of experts in intangible cultural heritage representing developing States that are Parties to the Convention but not Members of the Committee</w:t>
            </w:r>
          </w:p>
        </w:tc>
        <w:tc>
          <w:tcPr>
            <w:tcW w:w="1421" w:type="dxa"/>
            <w:tcBorders>
              <w:top w:val="nil"/>
              <w:left w:val="single" w:sz="4" w:space="0" w:color="auto"/>
              <w:bottom w:val="single" w:sz="4" w:space="0" w:color="auto"/>
              <w:right w:val="single" w:sz="4" w:space="0" w:color="auto"/>
            </w:tcBorders>
            <w:vAlign w:val="center"/>
            <w:hideMark/>
          </w:tcPr>
          <w:p w14:paraId="25E02465" w14:textId="2FBBC560"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2,7%</w:t>
            </w:r>
          </w:p>
        </w:tc>
        <w:tc>
          <w:tcPr>
            <w:tcW w:w="1417" w:type="dxa"/>
            <w:tcBorders>
              <w:top w:val="nil"/>
              <w:left w:val="nil"/>
              <w:bottom w:val="single" w:sz="4" w:space="0" w:color="auto"/>
              <w:right w:val="dashed" w:sz="4" w:space="0" w:color="auto"/>
            </w:tcBorders>
            <w:vAlign w:val="center"/>
            <w:hideMark/>
          </w:tcPr>
          <w:p w14:paraId="22E10CDC" w14:textId="518FBD4E"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2,7%</w:t>
            </w:r>
          </w:p>
        </w:tc>
        <w:tc>
          <w:tcPr>
            <w:tcW w:w="1237" w:type="dxa"/>
            <w:tcBorders>
              <w:top w:val="nil"/>
              <w:left w:val="nil"/>
              <w:bottom w:val="dashed" w:sz="4" w:space="0" w:color="auto"/>
              <w:right w:val="dashed" w:sz="4" w:space="0" w:color="auto"/>
            </w:tcBorders>
            <w:vAlign w:val="center"/>
            <w:hideMark/>
          </w:tcPr>
          <w:p w14:paraId="2EB7296B" w14:textId="1E14BB06"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$212</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668</w:t>
            </w:r>
          </w:p>
        </w:tc>
        <w:tc>
          <w:tcPr>
            <w:tcW w:w="1307" w:type="dxa"/>
            <w:tcBorders>
              <w:top w:val="nil"/>
              <w:left w:val="nil"/>
              <w:bottom w:val="dashed" w:sz="4" w:space="0" w:color="auto"/>
              <w:right w:val="dashed" w:sz="4" w:space="0" w:color="auto"/>
            </w:tcBorders>
            <w:vAlign w:val="center"/>
            <w:hideMark/>
          </w:tcPr>
          <w:p w14:paraId="43BCAB03" w14:textId="1C579EB0"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$53</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167</w:t>
            </w:r>
          </w:p>
        </w:tc>
        <w:tc>
          <w:tcPr>
            <w:tcW w:w="149" w:type="dxa"/>
            <w:gridSpan w:val="2"/>
            <w:vAlign w:val="center"/>
            <w:hideMark/>
          </w:tcPr>
          <w:p w14:paraId="37F97452" w14:textId="77777777" w:rsidR="00A82CDA" w:rsidRPr="00E259FA" w:rsidRDefault="00A82CDA">
            <w:pPr>
              <w:rPr>
                <w:sz w:val="20"/>
                <w:szCs w:val="20"/>
              </w:rPr>
            </w:pPr>
          </w:p>
        </w:tc>
      </w:tr>
      <w:tr w:rsidR="00A82CDA" w:rsidRPr="00E259FA" w14:paraId="59F58D49" w14:textId="77777777" w:rsidTr="006D3FCF">
        <w:trPr>
          <w:gridAfter w:val="1"/>
          <w:wAfter w:w="16" w:type="dxa"/>
          <w:trHeight w:val="1684"/>
        </w:trPr>
        <w:tc>
          <w:tcPr>
            <w:tcW w:w="416" w:type="dxa"/>
            <w:tcBorders>
              <w:top w:val="nil"/>
              <w:left w:val="single" w:sz="8" w:space="0" w:color="auto"/>
              <w:bottom w:val="single" w:sz="8" w:space="0" w:color="auto"/>
              <w:right w:val="single" w:sz="8" w:space="0" w:color="auto"/>
            </w:tcBorders>
            <w:noWrap/>
            <w:hideMark/>
          </w:tcPr>
          <w:p w14:paraId="58B9547E" w14:textId="77777777" w:rsidR="00A82CDA" w:rsidRPr="00E259FA" w:rsidRDefault="00A82CDA" w:rsidP="006D3FCF">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6.</w:t>
            </w:r>
          </w:p>
        </w:tc>
        <w:tc>
          <w:tcPr>
            <w:tcW w:w="4107" w:type="dxa"/>
            <w:tcBorders>
              <w:top w:val="nil"/>
              <w:left w:val="nil"/>
              <w:bottom w:val="single" w:sz="8" w:space="0" w:color="auto"/>
              <w:right w:val="nil"/>
            </w:tcBorders>
            <w:vAlign w:val="center"/>
            <w:hideMark/>
          </w:tcPr>
          <w:p w14:paraId="58EB5E08" w14:textId="77777777" w:rsidR="00A82CDA" w:rsidRPr="006D3FCF" w:rsidRDefault="00A82CDA" w:rsidP="006D3FCF">
            <w:pPr>
              <w:spacing w:before="20" w:after="20"/>
              <w:rPr>
                <w:rFonts w:asciiTheme="minorBidi" w:hAnsiTheme="minorBidi" w:cstheme="minorBidi"/>
                <w:color w:val="000000"/>
                <w:sz w:val="18"/>
                <w:szCs w:val="18"/>
              </w:rPr>
            </w:pPr>
            <w:r w:rsidRPr="006D3FCF">
              <w:rPr>
                <w:rFonts w:asciiTheme="minorBidi" w:hAnsiTheme="minorBidi" w:cstheme="minorBidi"/>
                <w:color w:val="000000"/>
                <w:sz w:val="18"/>
                <w:szCs w:val="18"/>
              </w:rPr>
              <w:t xml:space="preserve">Participation in the sessions of the Committee, its Bureau and consultative bodies of public or private bodies, private persons, notably members of communities and groups, </w:t>
            </w:r>
            <w:proofErr w:type="gramStart"/>
            <w:r w:rsidRPr="006D3FCF">
              <w:rPr>
                <w:rFonts w:asciiTheme="minorBidi" w:hAnsiTheme="minorBidi" w:cstheme="minorBidi"/>
                <w:color w:val="000000"/>
                <w:sz w:val="18"/>
                <w:szCs w:val="18"/>
              </w:rPr>
              <w:t>that</w:t>
            </w:r>
            <w:proofErr w:type="gramEnd"/>
            <w:r w:rsidRPr="006D3FCF">
              <w:rPr>
                <w:rFonts w:asciiTheme="minorBidi" w:hAnsiTheme="minorBidi" w:cstheme="minorBidi"/>
                <w:color w:val="000000"/>
                <w:sz w:val="18"/>
                <w:szCs w:val="18"/>
              </w:rPr>
              <w:t xml:space="preserve"> have </w:t>
            </w:r>
            <w:proofErr w:type="gramStart"/>
            <w:r w:rsidRPr="006D3FCF">
              <w:rPr>
                <w:rFonts w:asciiTheme="minorBidi" w:hAnsiTheme="minorBidi" w:cstheme="minorBidi"/>
                <w:color w:val="000000"/>
                <w:sz w:val="18"/>
                <w:szCs w:val="18"/>
              </w:rPr>
              <w:t>been invited</w:t>
            </w:r>
            <w:proofErr w:type="gramEnd"/>
            <w:r w:rsidRPr="006D3FCF">
              <w:rPr>
                <w:rFonts w:asciiTheme="minorBidi" w:hAnsiTheme="minorBidi" w:cstheme="minorBidi"/>
                <w:color w:val="000000"/>
                <w:sz w:val="18"/>
                <w:szCs w:val="18"/>
              </w:rPr>
              <w:t xml:space="preserve"> by the Committee to advise it on specific matters, as well as experts in intangible cultural heritage representing accredited NGOs from developing countries</w:t>
            </w:r>
          </w:p>
        </w:tc>
        <w:tc>
          <w:tcPr>
            <w:tcW w:w="1421" w:type="dxa"/>
            <w:tcBorders>
              <w:top w:val="nil"/>
              <w:left w:val="single" w:sz="4" w:space="0" w:color="auto"/>
              <w:bottom w:val="single" w:sz="4" w:space="0" w:color="auto"/>
              <w:right w:val="single" w:sz="4" w:space="0" w:color="auto"/>
            </w:tcBorders>
            <w:vAlign w:val="center"/>
            <w:hideMark/>
          </w:tcPr>
          <w:p w14:paraId="58834733" w14:textId="125E337A"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2,7%</w:t>
            </w:r>
          </w:p>
        </w:tc>
        <w:tc>
          <w:tcPr>
            <w:tcW w:w="1417" w:type="dxa"/>
            <w:tcBorders>
              <w:top w:val="nil"/>
              <w:left w:val="nil"/>
              <w:bottom w:val="single" w:sz="4" w:space="0" w:color="auto"/>
              <w:right w:val="dashed" w:sz="4" w:space="0" w:color="auto"/>
            </w:tcBorders>
            <w:vAlign w:val="center"/>
            <w:hideMark/>
          </w:tcPr>
          <w:p w14:paraId="3F4F57C1" w14:textId="42E99681"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2,7%</w:t>
            </w:r>
          </w:p>
        </w:tc>
        <w:tc>
          <w:tcPr>
            <w:tcW w:w="1237" w:type="dxa"/>
            <w:tcBorders>
              <w:top w:val="nil"/>
              <w:left w:val="nil"/>
              <w:bottom w:val="dashed" w:sz="4" w:space="0" w:color="auto"/>
              <w:right w:val="dashed" w:sz="4" w:space="0" w:color="auto"/>
            </w:tcBorders>
            <w:vAlign w:val="center"/>
            <w:hideMark/>
          </w:tcPr>
          <w:p w14:paraId="61E653FD" w14:textId="686F80AE"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$212</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668</w:t>
            </w:r>
          </w:p>
        </w:tc>
        <w:tc>
          <w:tcPr>
            <w:tcW w:w="1307" w:type="dxa"/>
            <w:tcBorders>
              <w:top w:val="nil"/>
              <w:left w:val="nil"/>
              <w:bottom w:val="dashed" w:sz="4" w:space="0" w:color="auto"/>
              <w:right w:val="dashed" w:sz="4" w:space="0" w:color="auto"/>
            </w:tcBorders>
            <w:vAlign w:val="center"/>
            <w:hideMark/>
          </w:tcPr>
          <w:p w14:paraId="5C30F8AF" w14:textId="18A87CA3"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$53</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167</w:t>
            </w:r>
          </w:p>
        </w:tc>
        <w:tc>
          <w:tcPr>
            <w:tcW w:w="149" w:type="dxa"/>
            <w:gridSpan w:val="2"/>
            <w:vAlign w:val="center"/>
            <w:hideMark/>
          </w:tcPr>
          <w:p w14:paraId="5DC1415E" w14:textId="77777777" w:rsidR="00A82CDA" w:rsidRPr="00E259FA" w:rsidRDefault="00A82CDA">
            <w:pPr>
              <w:rPr>
                <w:sz w:val="20"/>
                <w:szCs w:val="20"/>
              </w:rPr>
            </w:pPr>
          </w:p>
        </w:tc>
      </w:tr>
      <w:tr w:rsidR="00A82CDA" w:rsidRPr="00E259FA" w14:paraId="38D67EBB" w14:textId="77777777" w:rsidTr="006D3FCF">
        <w:trPr>
          <w:gridAfter w:val="1"/>
          <w:wAfter w:w="16" w:type="dxa"/>
          <w:trHeight w:val="492"/>
        </w:trPr>
        <w:tc>
          <w:tcPr>
            <w:tcW w:w="416" w:type="dxa"/>
            <w:tcBorders>
              <w:top w:val="nil"/>
              <w:left w:val="single" w:sz="8" w:space="0" w:color="auto"/>
              <w:bottom w:val="single" w:sz="8" w:space="0" w:color="auto"/>
              <w:right w:val="single" w:sz="8" w:space="0" w:color="auto"/>
            </w:tcBorders>
            <w:noWrap/>
            <w:hideMark/>
          </w:tcPr>
          <w:p w14:paraId="3C3A1711" w14:textId="77777777" w:rsidR="00A82CDA" w:rsidRPr="00E259FA" w:rsidRDefault="00A82CDA" w:rsidP="006D3FCF">
            <w:pPr>
              <w:spacing w:before="60"/>
              <w:rPr>
                <w:rFonts w:asciiTheme="minorBidi" w:hAnsiTheme="minorBidi" w:cstheme="minorBidi"/>
                <w:color w:val="000000"/>
                <w:sz w:val="18"/>
                <w:szCs w:val="18"/>
              </w:rPr>
            </w:pPr>
            <w:r w:rsidRPr="00E259FA">
              <w:rPr>
                <w:rFonts w:asciiTheme="minorBidi" w:hAnsiTheme="minorBidi" w:cstheme="minorBidi"/>
                <w:color w:val="000000"/>
                <w:sz w:val="18"/>
                <w:szCs w:val="18"/>
              </w:rPr>
              <w:t>7.</w:t>
            </w:r>
          </w:p>
        </w:tc>
        <w:tc>
          <w:tcPr>
            <w:tcW w:w="4107" w:type="dxa"/>
            <w:tcBorders>
              <w:top w:val="nil"/>
              <w:left w:val="nil"/>
              <w:bottom w:val="single" w:sz="8" w:space="0" w:color="auto"/>
              <w:right w:val="nil"/>
            </w:tcBorders>
            <w:vAlign w:val="center"/>
            <w:hideMark/>
          </w:tcPr>
          <w:p w14:paraId="1B93B015" w14:textId="77777777" w:rsidR="00A82CDA" w:rsidRPr="006D3FCF" w:rsidRDefault="00A82CDA" w:rsidP="006D3FCF">
            <w:pPr>
              <w:spacing w:before="20" w:after="20"/>
              <w:rPr>
                <w:rFonts w:asciiTheme="minorBidi" w:hAnsiTheme="minorBidi" w:cstheme="minorBidi"/>
                <w:color w:val="000000"/>
                <w:sz w:val="18"/>
                <w:szCs w:val="18"/>
              </w:rPr>
            </w:pPr>
            <w:r w:rsidRPr="006D3FCF">
              <w:rPr>
                <w:rFonts w:asciiTheme="minorBidi" w:hAnsiTheme="minorBidi" w:cstheme="minorBidi"/>
                <w:color w:val="000000"/>
                <w:sz w:val="18"/>
                <w:szCs w:val="18"/>
              </w:rPr>
              <w:t xml:space="preserve">The costs of advisory services to </w:t>
            </w:r>
            <w:proofErr w:type="gramStart"/>
            <w:r w:rsidRPr="006D3FCF">
              <w:rPr>
                <w:rFonts w:asciiTheme="minorBidi" w:hAnsiTheme="minorBidi" w:cstheme="minorBidi"/>
                <w:color w:val="000000"/>
                <w:sz w:val="18"/>
                <w:szCs w:val="18"/>
              </w:rPr>
              <w:t>be provided</w:t>
            </w:r>
            <w:proofErr w:type="gramEnd"/>
            <w:r w:rsidRPr="006D3FCF">
              <w:rPr>
                <w:rFonts w:asciiTheme="minorBidi" w:hAnsiTheme="minorBidi" w:cstheme="minorBidi"/>
                <w:color w:val="000000"/>
                <w:sz w:val="18"/>
                <w:szCs w:val="18"/>
              </w:rPr>
              <w:t xml:space="preserve"> at the request of the Committee</w:t>
            </w:r>
          </w:p>
        </w:tc>
        <w:tc>
          <w:tcPr>
            <w:tcW w:w="1421" w:type="dxa"/>
            <w:tcBorders>
              <w:top w:val="nil"/>
              <w:left w:val="single" w:sz="4" w:space="0" w:color="auto"/>
              <w:bottom w:val="single" w:sz="4" w:space="0" w:color="auto"/>
              <w:right w:val="single" w:sz="4" w:space="0" w:color="auto"/>
            </w:tcBorders>
            <w:vAlign w:val="center"/>
            <w:hideMark/>
          </w:tcPr>
          <w:p w14:paraId="0BD6E55B"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7,0%</w:t>
            </w:r>
          </w:p>
        </w:tc>
        <w:tc>
          <w:tcPr>
            <w:tcW w:w="1417" w:type="dxa"/>
            <w:tcBorders>
              <w:top w:val="nil"/>
              <w:left w:val="nil"/>
              <w:bottom w:val="single" w:sz="4" w:space="0" w:color="auto"/>
              <w:right w:val="dashed" w:sz="4" w:space="0" w:color="auto"/>
            </w:tcBorders>
            <w:vAlign w:val="center"/>
            <w:hideMark/>
          </w:tcPr>
          <w:p w14:paraId="4E2991B9" w14:textId="77777777" w:rsidR="00A82CDA" w:rsidRPr="00E259FA" w:rsidRDefault="00A82CDA">
            <w:pPr>
              <w:jc w:val="center"/>
              <w:rPr>
                <w:rFonts w:asciiTheme="minorBidi" w:hAnsiTheme="minorBidi" w:cstheme="minorBidi"/>
                <w:color w:val="000000"/>
                <w:sz w:val="18"/>
                <w:szCs w:val="18"/>
              </w:rPr>
            </w:pPr>
            <w:r w:rsidRPr="00E259FA">
              <w:rPr>
                <w:rFonts w:asciiTheme="minorBidi" w:hAnsiTheme="minorBidi" w:cstheme="minorBidi"/>
                <w:color w:val="000000"/>
                <w:sz w:val="18"/>
                <w:szCs w:val="18"/>
              </w:rPr>
              <w:t>7,0%</w:t>
            </w:r>
          </w:p>
        </w:tc>
        <w:tc>
          <w:tcPr>
            <w:tcW w:w="1237" w:type="dxa"/>
            <w:tcBorders>
              <w:top w:val="nil"/>
              <w:left w:val="nil"/>
              <w:bottom w:val="dashed" w:sz="4" w:space="0" w:color="auto"/>
              <w:right w:val="dashed" w:sz="4" w:space="0" w:color="auto"/>
            </w:tcBorders>
            <w:vAlign w:val="center"/>
            <w:hideMark/>
          </w:tcPr>
          <w:p w14:paraId="2BC852DB" w14:textId="12C2427F"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$551</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361</w:t>
            </w:r>
          </w:p>
        </w:tc>
        <w:tc>
          <w:tcPr>
            <w:tcW w:w="1307" w:type="dxa"/>
            <w:tcBorders>
              <w:top w:val="nil"/>
              <w:left w:val="nil"/>
              <w:bottom w:val="dashed" w:sz="4" w:space="0" w:color="auto"/>
              <w:right w:val="dashed" w:sz="4" w:space="0" w:color="auto"/>
            </w:tcBorders>
            <w:vAlign w:val="center"/>
            <w:hideMark/>
          </w:tcPr>
          <w:p w14:paraId="3F1F5D92" w14:textId="417DCE57" w:rsidR="00A82CDA" w:rsidRPr="00E259FA" w:rsidRDefault="00A82CDA">
            <w:pPr>
              <w:jc w:val="center"/>
              <w:rPr>
                <w:rFonts w:asciiTheme="minorBidi" w:hAnsiTheme="minorBidi" w:cstheme="minorBidi"/>
                <w:i/>
                <w:iCs/>
                <w:color w:val="000000"/>
                <w:sz w:val="18"/>
                <w:szCs w:val="18"/>
              </w:rPr>
            </w:pPr>
            <w:r w:rsidRPr="00E259FA">
              <w:rPr>
                <w:rFonts w:asciiTheme="minorBidi" w:hAnsiTheme="minorBidi" w:cstheme="minorBidi"/>
                <w:i/>
                <w:iCs/>
                <w:color w:val="000000"/>
                <w:sz w:val="18"/>
                <w:szCs w:val="18"/>
              </w:rPr>
              <w:t>$137</w:t>
            </w:r>
            <w:r w:rsidR="00F07415" w:rsidRPr="00E259FA">
              <w:rPr>
                <w:rFonts w:asciiTheme="minorBidi" w:hAnsiTheme="minorBidi" w:cstheme="minorBidi"/>
                <w:i/>
                <w:iCs/>
                <w:color w:val="000000"/>
                <w:sz w:val="18"/>
                <w:szCs w:val="18"/>
              </w:rPr>
              <w:t>,</w:t>
            </w:r>
            <w:r w:rsidRPr="00E259FA">
              <w:rPr>
                <w:rFonts w:asciiTheme="minorBidi" w:hAnsiTheme="minorBidi" w:cstheme="minorBidi"/>
                <w:i/>
                <w:iCs/>
                <w:color w:val="000000"/>
                <w:sz w:val="18"/>
                <w:szCs w:val="18"/>
              </w:rPr>
              <w:t>840</w:t>
            </w:r>
          </w:p>
        </w:tc>
        <w:tc>
          <w:tcPr>
            <w:tcW w:w="149" w:type="dxa"/>
            <w:gridSpan w:val="2"/>
            <w:vAlign w:val="center"/>
            <w:hideMark/>
          </w:tcPr>
          <w:p w14:paraId="315584DA" w14:textId="77777777" w:rsidR="00A82CDA" w:rsidRPr="00E259FA" w:rsidRDefault="00A82CDA">
            <w:pPr>
              <w:rPr>
                <w:sz w:val="20"/>
                <w:szCs w:val="20"/>
              </w:rPr>
            </w:pPr>
          </w:p>
        </w:tc>
      </w:tr>
      <w:tr w:rsidR="00A82CDA" w:rsidRPr="00E259FA" w14:paraId="09C1B3B9" w14:textId="77777777" w:rsidTr="006D3FCF">
        <w:trPr>
          <w:gridAfter w:val="1"/>
          <w:wAfter w:w="16" w:type="dxa"/>
          <w:trHeight w:val="298"/>
        </w:trPr>
        <w:tc>
          <w:tcPr>
            <w:tcW w:w="416" w:type="dxa"/>
            <w:tcBorders>
              <w:top w:val="nil"/>
              <w:left w:val="single" w:sz="8" w:space="0" w:color="auto"/>
              <w:bottom w:val="single" w:sz="4" w:space="0" w:color="auto"/>
              <w:right w:val="single" w:sz="8" w:space="0" w:color="auto"/>
            </w:tcBorders>
            <w:noWrap/>
            <w:vAlign w:val="center"/>
            <w:hideMark/>
          </w:tcPr>
          <w:p w14:paraId="17C8961E" w14:textId="77777777" w:rsidR="00A82CDA" w:rsidRPr="00E259FA" w:rsidRDefault="00A82CDA">
            <w:pPr>
              <w:ind w:firstLineChars="100" w:firstLine="181"/>
              <w:rPr>
                <w:rFonts w:asciiTheme="minorBidi" w:hAnsiTheme="minorBidi" w:cstheme="minorBidi"/>
                <w:b/>
                <w:bCs/>
                <w:color w:val="000000"/>
                <w:sz w:val="18"/>
                <w:szCs w:val="18"/>
              </w:rPr>
            </w:pPr>
            <w:r w:rsidRPr="00E259FA">
              <w:rPr>
                <w:rFonts w:asciiTheme="minorBidi" w:hAnsiTheme="minorBidi" w:cstheme="minorBidi"/>
                <w:b/>
                <w:bCs/>
                <w:color w:val="000000"/>
                <w:sz w:val="18"/>
                <w:szCs w:val="18"/>
              </w:rPr>
              <w:t> </w:t>
            </w:r>
          </w:p>
        </w:tc>
        <w:tc>
          <w:tcPr>
            <w:tcW w:w="4107" w:type="dxa"/>
            <w:tcBorders>
              <w:top w:val="nil"/>
              <w:left w:val="nil"/>
              <w:bottom w:val="single" w:sz="4" w:space="0" w:color="auto"/>
              <w:right w:val="nil"/>
            </w:tcBorders>
            <w:vAlign w:val="center"/>
            <w:hideMark/>
          </w:tcPr>
          <w:p w14:paraId="0533A9A2" w14:textId="77777777" w:rsidR="00A82CDA" w:rsidRPr="00E259FA" w:rsidRDefault="00A82CDA">
            <w:pPr>
              <w:jc w:val="both"/>
              <w:rPr>
                <w:rFonts w:asciiTheme="minorBidi" w:hAnsiTheme="minorBidi" w:cstheme="minorBidi"/>
                <w:b/>
                <w:bCs/>
                <w:color w:val="000000"/>
                <w:sz w:val="18"/>
                <w:szCs w:val="18"/>
              </w:rPr>
            </w:pPr>
            <w:r w:rsidRPr="00E259FA">
              <w:rPr>
                <w:rFonts w:asciiTheme="minorBidi" w:hAnsiTheme="minorBidi" w:cstheme="minorBidi"/>
                <w:b/>
                <w:bCs/>
                <w:color w:val="000000"/>
                <w:sz w:val="18"/>
                <w:szCs w:val="18"/>
              </w:rPr>
              <w:t>TOTAL</w:t>
            </w:r>
          </w:p>
        </w:tc>
        <w:tc>
          <w:tcPr>
            <w:tcW w:w="1421" w:type="dxa"/>
            <w:tcBorders>
              <w:top w:val="nil"/>
              <w:left w:val="single" w:sz="4" w:space="0" w:color="auto"/>
              <w:bottom w:val="single" w:sz="4" w:space="0" w:color="auto"/>
              <w:right w:val="single" w:sz="4" w:space="0" w:color="auto"/>
            </w:tcBorders>
            <w:vAlign w:val="center"/>
            <w:hideMark/>
          </w:tcPr>
          <w:p w14:paraId="29FF7030" w14:textId="77777777" w:rsidR="00A82CDA" w:rsidRPr="00E259FA" w:rsidRDefault="00A82CDA">
            <w:pPr>
              <w:jc w:val="center"/>
              <w:rPr>
                <w:rFonts w:asciiTheme="minorBidi" w:hAnsiTheme="minorBidi" w:cstheme="minorBidi"/>
                <w:b/>
                <w:bCs/>
                <w:color w:val="000000"/>
                <w:sz w:val="18"/>
                <w:szCs w:val="18"/>
              </w:rPr>
            </w:pPr>
            <w:r w:rsidRPr="00E259FA">
              <w:rPr>
                <w:rFonts w:asciiTheme="minorBidi" w:hAnsiTheme="minorBidi" w:cstheme="minorBidi"/>
                <w:b/>
                <w:bCs/>
                <w:color w:val="000000"/>
                <w:sz w:val="18"/>
                <w:szCs w:val="18"/>
              </w:rPr>
              <w:t>100,00%</w:t>
            </w:r>
          </w:p>
        </w:tc>
        <w:tc>
          <w:tcPr>
            <w:tcW w:w="1417" w:type="dxa"/>
            <w:tcBorders>
              <w:top w:val="nil"/>
              <w:left w:val="nil"/>
              <w:bottom w:val="single" w:sz="4" w:space="0" w:color="auto"/>
              <w:right w:val="dashed" w:sz="4" w:space="0" w:color="auto"/>
            </w:tcBorders>
            <w:vAlign w:val="center"/>
            <w:hideMark/>
          </w:tcPr>
          <w:p w14:paraId="477FAE17" w14:textId="77777777" w:rsidR="00A82CDA" w:rsidRPr="00E259FA" w:rsidRDefault="00A82CDA">
            <w:pPr>
              <w:jc w:val="center"/>
              <w:rPr>
                <w:rFonts w:asciiTheme="minorBidi" w:hAnsiTheme="minorBidi" w:cstheme="minorBidi"/>
                <w:b/>
                <w:bCs/>
                <w:color w:val="000000"/>
                <w:sz w:val="18"/>
                <w:szCs w:val="18"/>
              </w:rPr>
            </w:pPr>
            <w:r w:rsidRPr="00E259FA">
              <w:rPr>
                <w:rFonts w:asciiTheme="minorBidi" w:hAnsiTheme="minorBidi" w:cstheme="minorBidi"/>
                <w:b/>
                <w:bCs/>
                <w:color w:val="000000"/>
                <w:sz w:val="18"/>
                <w:szCs w:val="18"/>
              </w:rPr>
              <w:t>100,00%</w:t>
            </w:r>
          </w:p>
        </w:tc>
        <w:tc>
          <w:tcPr>
            <w:tcW w:w="1237" w:type="dxa"/>
            <w:tcBorders>
              <w:top w:val="nil"/>
              <w:left w:val="nil"/>
              <w:bottom w:val="dashed" w:sz="4" w:space="0" w:color="auto"/>
              <w:right w:val="dashed" w:sz="4" w:space="0" w:color="auto"/>
            </w:tcBorders>
            <w:vAlign w:val="center"/>
            <w:hideMark/>
          </w:tcPr>
          <w:p w14:paraId="08467B3B" w14:textId="48848E10" w:rsidR="00A82CDA" w:rsidRPr="00E259FA" w:rsidRDefault="00A82CDA">
            <w:pPr>
              <w:jc w:val="center"/>
              <w:rPr>
                <w:rFonts w:asciiTheme="minorBidi" w:hAnsiTheme="minorBidi" w:cstheme="minorBidi"/>
                <w:b/>
                <w:bCs/>
                <w:i/>
                <w:iCs/>
                <w:color w:val="000000"/>
                <w:sz w:val="18"/>
                <w:szCs w:val="18"/>
              </w:rPr>
            </w:pPr>
            <w:r w:rsidRPr="00E259FA">
              <w:rPr>
                <w:rFonts w:asciiTheme="minorBidi" w:hAnsiTheme="minorBidi" w:cstheme="minorBidi"/>
                <w:b/>
                <w:bCs/>
                <w:i/>
                <w:iCs/>
                <w:color w:val="000000"/>
                <w:sz w:val="18"/>
                <w:szCs w:val="18"/>
              </w:rPr>
              <w:t>$7</w:t>
            </w:r>
            <w:r w:rsidR="00084949" w:rsidRPr="00E259FA">
              <w:rPr>
                <w:rFonts w:asciiTheme="minorBidi" w:hAnsiTheme="minorBidi" w:cstheme="minorBidi"/>
                <w:b/>
                <w:bCs/>
                <w:i/>
                <w:iCs/>
                <w:color w:val="000000"/>
                <w:sz w:val="18"/>
                <w:szCs w:val="18"/>
              </w:rPr>
              <w:t>,</w:t>
            </w:r>
            <w:r w:rsidRPr="00E259FA">
              <w:rPr>
                <w:rFonts w:asciiTheme="minorBidi" w:hAnsiTheme="minorBidi" w:cstheme="minorBidi"/>
                <w:b/>
                <w:bCs/>
                <w:i/>
                <w:iCs/>
                <w:color w:val="000000"/>
                <w:sz w:val="18"/>
                <w:szCs w:val="18"/>
              </w:rPr>
              <w:t>876</w:t>
            </w:r>
            <w:r w:rsidR="00084949" w:rsidRPr="00E259FA">
              <w:rPr>
                <w:rFonts w:asciiTheme="minorBidi" w:hAnsiTheme="minorBidi" w:cstheme="minorBidi"/>
                <w:b/>
                <w:bCs/>
                <w:i/>
                <w:iCs/>
                <w:color w:val="000000"/>
                <w:sz w:val="18"/>
                <w:szCs w:val="18"/>
              </w:rPr>
              <w:t>,</w:t>
            </w:r>
            <w:r w:rsidRPr="00E259FA">
              <w:rPr>
                <w:rFonts w:asciiTheme="minorBidi" w:hAnsiTheme="minorBidi" w:cstheme="minorBidi"/>
                <w:b/>
                <w:bCs/>
                <w:i/>
                <w:iCs/>
                <w:color w:val="000000"/>
                <w:sz w:val="18"/>
                <w:szCs w:val="18"/>
              </w:rPr>
              <w:t>590</w:t>
            </w:r>
          </w:p>
        </w:tc>
        <w:tc>
          <w:tcPr>
            <w:tcW w:w="1307" w:type="dxa"/>
            <w:tcBorders>
              <w:top w:val="nil"/>
              <w:left w:val="nil"/>
              <w:bottom w:val="dashed" w:sz="4" w:space="0" w:color="auto"/>
              <w:right w:val="dashed" w:sz="4" w:space="0" w:color="auto"/>
            </w:tcBorders>
            <w:vAlign w:val="center"/>
            <w:hideMark/>
          </w:tcPr>
          <w:p w14:paraId="12F235DE" w14:textId="717D5EA4" w:rsidR="00A82CDA" w:rsidRPr="00E259FA" w:rsidRDefault="00A82CDA">
            <w:pPr>
              <w:jc w:val="center"/>
              <w:rPr>
                <w:rFonts w:asciiTheme="minorBidi" w:hAnsiTheme="minorBidi" w:cstheme="minorBidi"/>
                <w:b/>
                <w:bCs/>
                <w:i/>
                <w:iCs/>
                <w:color w:val="000000"/>
                <w:sz w:val="18"/>
                <w:szCs w:val="18"/>
              </w:rPr>
            </w:pPr>
            <w:r w:rsidRPr="00E259FA">
              <w:rPr>
                <w:rFonts w:asciiTheme="minorBidi" w:hAnsiTheme="minorBidi" w:cstheme="minorBidi"/>
                <w:b/>
                <w:bCs/>
                <w:i/>
                <w:iCs/>
                <w:color w:val="000000"/>
                <w:sz w:val="18"/>
                <w:szCs w:val="18"/>
              </w:rPr>
              <w:t>$1</w:t>
            </w:r>
            <w:r w:rsidR="00084949" w:rsidRPr="00E259FA">
              <w:rPr>
                <w:rFonts w:asciiTheme="minorBidi" w:hAnsiTheme="minorBidi" w:cstheme="minorBidi"/>
                <w:b/>
                <w:bCs/>
                <w:i/>
                <w:iCs/>
                <w:color w:val="000000"/>
                <w:sz w:val="18"/>
                <w:szCs w:val="18"/>
              </w:rPr>
              <w:t>,</w:t>
            </w:r>
            <w:r w:rsidRPr="00E259FA">
              <w:rPr>
                <w:rFonts w:asciiTheme="minorBidi" w:hAnsiTheme="minorBidi" w:cstheme="minorBidi"/>
                <w:b/>
                <w:bCs/>
                <w:i/>
                <w:iCs/>
                <w:color w:val="000000"/>
                <w:sz w:val="18"/>
                <w:szCs w:val="18"/>
              </w:rPr>
              <w:t>969</w:t>
            </w:r>
            <w:r w:rsidR="00084949" w:rsidRPr="00E259FA">
              <w:rPr>
                <w:rFonts w:asciiTheme="minorBidi" w:hAnsiTheme="minorBidi" w:cstheme="minorBidi"/>
                <w:b/>
                <w:bCs/>
                <w:i/>
                <w:iCs/>
                <w:color w:val="000000"/>
                <w:sz w:val="18"/>
                <w:szCs w:val="18"/>
              </w:rPr>
              <w:t>,</w:t>
            </w:r>
            <w:r w:rsidRPr="00E259FA">
              <w:rPr>
                <w:rFonts w:asciiTheme="minorBidi" w:hAnsiTheme="minorBidi" w:cstheme="minorBidi"/>
                <w:b/>
                <w:bCs/>
                <w:i/>
                <w:iCs/>
                <w:color w:val="000000"/>
                <w:sz w:val="18"/>
                <w:szCs w:val="18"/>
              </w:rPr>
              <w:t>148</w:t>
            </w:r>
          </w:p>
        </w:tc>
        <w:tc>
          <w:tcPr>
            <w:tcW w:w="149" w:type="dxa"/>
            <w:gridSpan w:val="2"/>
            <w:vAlign w:val="center"/>
            <w:hideMark/>
          </w:tcPr>
          <w:p w14:paraId="7109384C" w14:textId="77777777" w:rsidR="00A82CDA" w:rsidRPr="00E259FA" w:rsidRDefault="00A82CDA">
            <w:pPr>
              <w:rPr>
                <w:sz w:val="20"/>
                <w:szCs w:val="20"/>
              </w:rPr>
            </w:pPr>
          </w:p>
        </w:tc>
      </w:tr>
      <w:tr w:rsidR="00A82CDA" w:rsidRPr="00E259FA" w14:paraId="7834FAA7" w14:textId="77777777" w:rsidTr="00887789">
        <w:trPr>
          <w:trHeight w:val="565"/>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67187A46" w14:textId="163F9BC5" w:rsidR="00A82CDA" w:rsidRPr="006D3FCF" w:rsidRDefault="00A82CDA" w:rsidP="006D3FCF">
            <w:pPr>
              <w:spacing w:before="120" w:after="120"/>
              <w:jc w:val="both"/>
              <w:rPr>
                <w:rFonts w:ascii="Arial" w:hAnsi="Arial" w:cs="Arial"/>
                <w:color w:val="000000"/>
                <w:sz w:val="18"/>
                <w:szCs w:val="18"/>
              </w:rPr>
            </w:pPr>
            <w:r w:rsidRPr="006D3FCF">
              <w:rPr>
                <w:rFonts w:ascii="Arial" w:hAnsi="Arial" w:cs="Arial"/>
                <w:color w:val="000000"/>
                <w:sz w:val="18"/>
                <w:szCs w:val="18"/>
              </w:rPr>
              <w:lastRenderedPageBreak/>
              <w:t xml:space="preserve">[1] Percentages </w:t>
            </w:r>
            <w:proofErr w:type="gramStart"/>
            <w:r w:rsidRPr="006D3FCF">
              <w:rPr>
                <w:rFonts w:ascii="Arial" w:hAnsi="Arial" w:cs="Arial"/>
                <w:color w:val="000000"/>
                <w:sz w:val="18"/>
                <w:szCs w:val="18"/>
              </w:rPr>
              <w:t>are applied</w:t>
            </w:r>
            <w:proofErr w:type="gramEnd"/>
            <w:r w:rsidRPr="006D3FCF">
              <w:rPr>
                <w:rFonts w:ascii="Arial" w:hAnsi="Arial" w:cs="Arial"/>
                <w:color w:val="000000"/>
                <w:sz w:val="18"/>
                <w:szCs w:val="18"/>
              </w:rPr>
              <w:t xml:space="preserve"> to the balance of the Fund as of 31 December 2025. This balance does not include the Reserve Fund (US$1</w:t>
            </w:r>
            <w:r w:rsidR="00086B78">
              <w:rPr>
                <w:rFonts w:ascii="Arial" w:hAnsi="Arial" w:cs="Arial"/>
                <w:color w:val="000000"/>
                <w:sz w:val="18"/>
                <w:szCs w:val="18"/>
              </w:rPr>
              <w:t xml:space="preserve"> million</w:t>
            </w:r>
            <w:r w:rsidRPr="006D3FCF">
              <w:rPr>
                <w:rFonts w:ascii="Arial" w:hAnsi="Arial" w:cs="Arial"/>
                <w:color w:val="000000"/>
                <w:sz w:val="18"/>
                <w:szCs w:val="18"/>
              </w:rPr>
              <w:t>).</w:t>
            </w:r>
          </w:p>
        </w:tc>
        <w:tc>
          <w:tcPr>
            <w:tcW w:w="149" w:type="dxa"/>
            <w:gridSpan w:val="2"/>
            <w:vAlign w:val="center"/>
            <w:hideMark/>
          </w:tcPr>
          <w:p w14:paraId="3117C6DE" w14:textId="77777777" w:rsidR="00A82CDA" w:rsidRPr="006D3FCF" w:rsidRDefault="00A82CDA">
            <w:pPr>
              <w:rPr>
                <w:sz w:val="20"/>
                <w:szCs w:val="20"/>
              </w:rPr>
            </w:pPr>
          </w:p>
        </w:tc>
      </w:tr>
      <w:tr w:rsidR="00A82CDA" w:rsidRPr="00E259FA" w14:paraId="370C91C9" w14:textId="77777777" w:rsidTr="00887789">
        <w:trPr>
          <w:trHeight w:val="404"/>
        </w:trPr>
        <w:tc>
          <w:tcPr>
            <w:tcW w:w="9921"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2380C7DD" w14:textId="77777777" w:rsidR="00A82CDA" w:rsidRPr="006D3FCF" w:rsidRDefault="00A82CDA" w:rsidP="006D3FCF">
            <w:pPr>
              <w:spacing w:before="120" w:after="120"/>
              <w:jc w:val="both"/>
              <w:rPr>
                <w:rFonts w:ascii="Arial" w:hAnsi="Arial" w:cs="Arial"/>
                <w:color w:val="000000"/>
                <w:sz w:val="18"/>
                <w:szCs w:val="18"/>
              </w:rPr>
            </w:pPr>
            <w:r w:rsidRPr="006D3FCF">
              <w:rPr>
                <w:rFonts w:ascii="Arial" w:hAnsi="Arial" w:cs="Arial"/>
                <w:color w:val="000000"/>
                <w:sz w:val="18"/>
                <w:szCs w:val="18"/>
              </w:rPr>
              <w:t xml:space="preserve">Funds that have not been committed at the end of the period of this Plan </w:t>
            </w:r>
            <w:proofErr w:type="gramStart"/>
            <w:r w:rsidRPr="006D3FCF">
              <w:rPr>
                <w:rFonts w:ascii="Arial" w:hAnsi="Arial" w:cs="Arial"/>
                <w:color w:val="000000"/>
                <w:sz w:val="18"/>
                <w:szCs w:val="18"/>
              </w:rPr>
              <w:t>are carried</w:t>
            </w:r>
            <w:proofErr w:type="gramEnd"/>
            <w:r w:rsidRPr="006D3FCF">
              <w:rPr>
                <w:rFonts w:ascii="Arial" w:hAnsi="Arial" w:cs="Arial"/>
                <w:color w:val="000000"/>
                <w:sz w:val="18"/>
                <w:szCs w:val="18"/>
              </w:rPr>
              <w:t xml:space="preserve"> over to the next financial period and shall be allocated in accordance with the Plan approved by the General Assembly at that time.</w:t>
            </w:r>
          </w:p>
        </w:tc>
        <w:tc>
          <w:tcPr>
            <w:tcW w:w="149" w:type="dxa"/>
            <w:gridSpan w:val="2"/>
            <w:vAlign w:val="center"/>
            <w:hideMark/>
          </w:tcPr>
          <w:p w14:paraId="1E80320B" w14:textId="77777777" w:rsidR="00A82CDA" w:rsidRPr="006D3FCF" w:rsidRDefault="00A82CDA">
            <w:pPr>
              <w:rPr>
                <w:sz w:val="20"/>
                <w:szCs w:val="20"/>
              </w:rPr>
            </w:pPr>
          </w:p>
        </w:tc>
      </w:tr>
      <w:tr w:rsidR="00A82CDA" w:rsidRPr="00E259FA" w14:paraId="2ECD2BB1" w14:textId="77777777" w:rsidTr="00A82CDA">
        <w:trPr>
          <w:trHeight w:val="626"/>
        </w:trPr>
        <w:tc>
          <w:tcPr>
            <w:tcW w:w="9921" w:type="dxa"/>
            <w:gridSpan w:val="7"/>
            <w:tcBorders>
              <w:top w:val="single" w:sz="4" w:space="0" w:color="auto"/>
              <w:left w:val="single" w:sz="4" w:space="0" w:color="auto"/>
              <w:bottom w:val="single" w:sz="4" w:space="0" w:color="auto"/>
              <w:right w:val="single" w:sz="4" w:space="0" w:color="auto"/>
            </w:tcBorders>
            <w:vAlign w:val="center"/>
            <w:hideMark/>
          </w:tcPr>
          <w:p w14:paraId="784191ED" w14:textId="4B9307F0" w:rsidR="00A82CDA" w:rsidRPr="006D3FCF" w:rsidRDefault="00A82CDA" w:rsidP="006D3FCF">
            <w:pPr>
              <w:spacing w:before="120" w:after="120"/>
              <w:jc w:val="both"/>
              <w:rPr>
                <w:rFonts w:ascii="Arial" w:hAnsi="Arial" w:cs="Arial"/>
                <w:color w:val="000000"/>
                <w:sz w:val="18"/>
                <w:szCs w:val="18"/>
              </w:rPr>
            </w:pPr>
            <w:r w:rsidRPr="006D3FCF">
              <w:rPr>
                <w:rFonts w:ascii="Arial" w:hAnsi="Arial" w:cs="Arial"/>
                <w:color w:val="000000"/>
                <w:sz w:val="18"/>
                <w:szCs w:val="18"/>
              </w:rPr>
              <w:t xml:space="preserve">For the period </w:t>
            </w:r>
            <w:r w:rsidRPr="006D3FCF">
              <w:rPr>
                <w:rFonts w:asciiTheme="minorBidi" w:hAnsiTheme="minorBidi" w:cstheme="minorBidi"/>
                <w:color w:val="000000"/>
                <w:sz w:val="18"/>
                <w:szCs w:val="18"/>
              </w:rPr>
              <w:t>1 January 2028 to 30 June 2028</w:t>
            </w:r>
            <w:r w:rsidR="00222DE3" w:rsidRPr="006D3FCF">
              <w:rPr>
                <w:rFonts w:asciiTheme="minorBidi" w:hAnsiTheme="minorBidi" w:cstheme="minorBidi"/>
                <w:color w:val="000000"/>
                <w:sz w:val="18"/>
                <w:szCs w:val="18"/>
              </w:rPr>
              <w:t>,</w:t>
            </w:r>
            <w:r w:rsidRPr="006D3FCF">
              <w:rPr>
                <w:rFonts w:asciiTheme="minorBidi" w:hAnsiTheme="minorBidi" w:cstheme="minorBidi"/>
                <w:color w:val="000000"/>
                <w:sz w:val="18"/>
                <w:szCs w:val="18"/>
              </w:rPr>
              <w:t xml:space="preserve"> one-fourth of the amount established for the twenty-four months of the financial period </w:t>
            </w:r>
            <w:r w:rsidR="00545FCF" w:rsidRPr="006D3FCF">
              <w:rPr>
                <w:rFonts w:asciiTheme="minorBidi" w:hAnsiTheme="minorBidi" w:cstheme="minorBidi"/>
                <w:color w:val="000000"/>
                <w:sz w:val="18"/>
                <w:szCs w:val="18"/>
              </w:rPr>
              <w:t xml:space="preserve">2026–2027 </w:t>
            </w:r>
            <w:r w:rsidRPr="006D3FCF">
              <w:rPr>
                <w:rFonts w:asciiTheme="minorBidi" w:hAnsiTheme="minorBidi" w:cstheme="minorBidi"/>
                <w:color w:val="000000"/>
                <w:sz w:val="18"/>
                <w:szCs w:val="18"/>
              </w:rPr>
              <w:t>shall be allocated on a provisional basis, except for the Reserve Fund, whose amount was set</w:t>
            </w:r>
            <w:r w:rsidR="00222DE3" w:rsidRPr="006D3FCF">
              <w:rPr>
                <w:rFonts w:asciiTheme="minorBidi" w:hAnsiTheme="minorBidi" w:cstheme="minorBidi"/>
                <w:color w:val="000000"/>
                <w:sz w:val="18"/>
                <w:szCs w:val="18"/>
              </w:rPr>
              <w:t xml:space="preserve"> </w:t>
            </w:r>
            <w:r w:rsidRPr="006D3FCF">
              <w:rPr>
                <w:rFonts w:asciiTheme="minorBidi" w:hAnsiTheme="minorBidi" w:cstheme="minorBidi"/>
                <w:color w:val="000000"/>
                <w:sz w:val="18"/>
                <w:szCs w:val="18"/>
              </w:rPr>
              <w:t xml:space="preserve">by the Committee at US$1 million (Decision </w:t>
            </w:r>
            <w:hyperlink r:id="rId65" w:history="1">
              <w:r w:rsidRPr="006D3FCF">
                <w:rPr>
                  <w:rStyle w:val="Hyperlink"/>
                  <w:rFonts w:asciiTheme="minorBidi" w:hAnsiTheme="minorBidi" w:cstheme="minorBidi"/>
                  <w:sz w:val="18"/>
                  <w:szCs w:val="18"/>
                </w:rPr>
                <w:t>10.COM 8</w:t>
              </w:r>
            </w:hyperlink>
            <w:r w:rsidRPr="006D3FCF">
              <w:rPr>
                <w:rFonts w:asciiTheme="minorBidi" w:hAnsiTheme="minorBidi" w:cstheme="minorBidi"/>
                <w:sz w:val="18"/>
                <w:szCs w:val="18"/>
              </w:rPr>
              <w:t>)</w:t>
            </w:r>
            <w:r w:rsidR="00222DE3" w:rsidRPr="006D3FCF">
              <w:rPr>
                <w:rFonts w:asciiTheme="minorBidi" w:hAnsiTheme="minorBidi" w:cstheme="minorBidi"/>
                <w:sz w:val="18"/>
                <w:szCs w:val="18"/>
              </w:rPr>
              <w:t>.</w:t>
            </w:r>
          </w:p>
        </w:tc>
        <w:tc>
          <w:tcPr>
            <w:tcW w:w="149" w:type="dxa"/>
            <w:gridSpan w:val="2"/>
            <w:vAlign w:val="center"/>
            <w:hideMark/>
          </w:tcPr>
          <w:p w14:paraId="06881D00" w14:textId="77777777" w:rsidR="00A82CDA" w:rsidRPr="006D3FCF" w:rsidRDefault="00A82CDA">
            <w:pPr>
              <w:rPr>
                <w:sz w:val="20"/>
                <w:szCs w:val="20"/>
              </w:rPr>
            </w:pPr>
          </w:p>
        </w:tc>
      </w:tr>
    </w:tbl>
    <w:p w14:paraId="4C901A04" w14:textId="77777777" w:rsidR="00A82CDA" w:rsidRPr="006D3FCF" w:rsidRDefault="00A82CDA">
      <w:pPr>
        <w:rPr>
          <w:rFonts w:ascii="Arial" w:eastAsia="SimSun" w:hAnsi="Arial" w:cs="Arial"/>
          <w:sz w:val="22"/>
          <w:szCs w:val="22"/>
          <w:u w:val="single"/>
        </w:rPr>
      </w:pPr>
    </w:p>
    <w:p w14:paraId="1B08DF9D" w14:textId="77777777" w:rsidR="00190205" w:rsidRPr="00BB6EEC" w:rsidRDefault="00190205" w:rsidP="00D86BB3">
      <w:pPr>
        <w:rPr>
          <w:rFonts w:ascii="Arial" w:eastAsia="SimSun" w:hAnsi="Arial" w:cs="Arial"/>
          <w:sz w:val="22"/>
          <w:szCs w:val="22"/>
          <w:u w:val="single"/>
        </w:rPr>
      </w:pPr>
    </w:p>
    <w:sectPr w:rsidR="00190205" w:rsidRPr="00BB6EEC" w:rsidSect="00655736">
      <w:headerReference w:type="even" r:id="rId66"/>
      <w:headerReference w:type="default" r:id="rId67"/>
      <w:headerReference w:type="first" r:id="rId6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13DC9" w14:textId="77777777" w:rsidR="006E446A" w:rsidRPr="00E259FA" w:rsidRDefault="006E446A" w:rsidP="00655736">
      <w:r w:rsidRPr="00E259FA">
        <w:separator/>
      </w:r>
    </w:p>
  </w:endnote>
  <w:endnote w:type="continuationSeparator" w:id="0">
    <w:p w14:paraId="37251880" w14:textId="77777777" w:rsidR="006E446A" w:rsidRPr="00E259FA" w:rsidRDefault="006E446A" w:rsidP="00655736">
      <w:r w:rsidRPr="00E259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6A0D5" w14:textId="77777777" w:rsidR="006E446A" w:rsidRPr="00E259FA" w:rsidRDefault="006E446A" w:rsidP="00655736">
      <w:r w:rsidRPr="00E259FA">
        <w:separator/>
      </w:r>
    </w:p>
  </w:footnote>
  <w:footnote w:type="continuationSeparator" w:id="0">
    <w:p w14:paraId="1BDA4C10" w14:textId="77777777" w:rsidR="006E446A" w:rsidRPr="00E259FA" w:rsidRDefault="006E446A" w:rsidP="00655736">
      <w:r w:rsidRPr="00E259FA">
        <w:continuationSeparator/>
      </w:r>
    </w:p>
  </w:footnote>
  <w:footnote w:id="1">
    <w:p w14:paraId="0A3E0835" w14:textId="269A0D3A" w:rsidR="0067492F" w:rsidRPr="006D3FCF" w:rsidRDefault="0067492F" w:rsidP="00CC4CD0">
      <w:pPr>
        <w:pStyle w:val="FootnoteText"/>
        <w:spacing w:after="60"/>
        <w:ind w:left="567" w:hanging="567"/>
        <w:jc w:val="both"/>
        <w:rPr>
          <w:rFonts w:asciiTheme="minorBidi" w:hAnsiTheme="minorBidi" w:cstheme="minorBidi"/>
          <w:sz w:val="18"/>
          <w:szCs w:val="18"/>
        </w:rPr>
      </w:pPr>
      <w:r w:rsidRPr="00E259FA">
        <w:rPr>
          <w:rStyle w:val="FootnoteReference"/>
          <w:rFonts w:asciiTheme="minorBidi" w:hAnsiTheme="minorBidi" w:cstheme="minorBidi"/>
          <w:sz w:val="18"/>
          <w:szCs w:val="18"/>
        </w:rPr>
        <w:footnoteRef/>
      </w:r>
      <w:r w:rsidRPr="00E259FA">
        <w:rPr>
          <w:rFonts w:asciiTheme="minorBidi" w:hAnsiTheme="minorBidi" w:cstheme="minorBidi"/>
          <w:sz w:val="18"/>
          <w:szCs w:val="18"/>
        </w:rPr>
        <w:t xml:space="preserve"> </w:t>
      </w:r>
      <w:r w:rsidR="00CC4CD0">
        <w:rPr>
          <w:rFonts w:asciiTheme="minorBidi" w:hAnsiTheme="minorBidi" w:cstheme="minorBidi"/>
          <w:sz w:val="18"/>
          <w:szCs w:val="18"/>
        </w:rPr>
        <w:tab/>
      </w:r>
      <w:r w:rsidRPr="00E259FA">
        <w:rPr>
          <w:rFonts w:asciiTheme="minorBidi" w:hAnsiTheme="minorBidi" w:cstheme="minorBidi"/>
          <w:sz w:val="18"/>
          <w:szCs w:val="18"/>
        </w:rPr>
        <w:t xml:space="preserve">The latest Statement of compulsory contributions is available on this </w:t>
      </w:r>
      <w:hyperlink r:id="rId1" w:history="1">
        <w:r w:rsidRPr="00E259FA">
          <w:rPr>
            <w:rStyle w:val="Hyperlink"/>
            <w:rFonts w:asciiTheme="minorBidi" w:hAnsiTheme="minorBidi" w:cstheme="minorBidi"/>
            <w:sz w:val="18"/>
            <w:szCs w:val="18"/>
          </w:rPr>
          <w:t>webpage</w:t>
        </w:r>
      </w:hyperlink>
      <w:r w:rsidRPr="00E259FA">
        <w:rPr>
          <w:rFonts w:asciiTheme="minorBidi" w:hAnsiTheme="minorBidi" w:cstheme="minorBidi"/>
          <w:sz w:val="18"/>
          <w:szCs w:val="18"/>
        </w:rPr>
        <w:t>.</w:t>
      </w:r>
    </w:p>
  </w:footnote>
  <w:footnote w:id="2">
    <w:p w14:paraId="78DF9352" w14:textId="77777777" w:rsidR="00D96178" w:rsidRPr="006D3FCF" w:rsidRDefault="00D96178" w:rsidP="00D96178">
      <w:pPr>
        <w:pStyle w:val="FootnoteText"/>
        <w:spacing w:after="60"/>
        <w:jc w:val="both"/>
      </w:pPr>
      <w:r w:rsidRPr="00E259FA">
        <w:rPr>
          <w:rStyle w:val="FootnoteReference"/>
          <w:rFonts w:ascii="Arial" w:hAnsi="Arial" w:cs="Arial"/>
          <w:sz w:val="18"/>
          <w:szCs w:val="18"/>
        </w:rPr>
        <w:footnoteRef/>
      </w:r>
      <w:r w:rsidRPr="006D3FCF">
        <w:t xml:space="preserve"> </w:t>
      </w:r>
      <w:r w:rsidRPr="006D3FCF">
        <w:rPr>
          <w:rFonts w:asciiTheme="minorBidi" w:hAnsiTheme="minorBidi" w:cstheme="minorBidi"/>
          <w:sz w:val="18"/>
          <w:szCs w:val="18"/>
        </w:rPr>
        <w:t xml:space="preserve">‘Technical assistance’ refers to the provision of experts, as described in Article 21 of the Convention, to States Parties wishing to develop requests for International Assistance (Decision </w:t>
      </w:r>
      <w:hyperlink r:id="rId2" w:history="1">
        <w:r w:rsidRPr="006D3FCF">
          <w:rPr>
            <w:rStyle w:val="Hyperlink"/>
            <w:rFonts w:asciiTheme="minorBidi" w:hAnsiTheme="minorBidi" w:cstheme="minorBidi"/>
            <w:sz w:val="18"/>
            <w:szCs w:val="18"/>
          </w:rPr>
          <w:t>8.COM 7.c</w:t>
        </w:r>
      </w:hyperlink>
      <w:r w:rsidRPr="006D3FCF">
        <w:rPr>
          <w:rFonts w:asciiTheme="minorBidi" w:hAnsiTheme="minorBidi" w:cstheme="minorBidi"/>
          <w:sz w:val="18"/>
          <w:szCs w:val="18"/>
        </w:rPr>
        <w:t>).</w:t>
      </w:r>
    </w:p>
  </w:footnote>
  <w:footnote w:id="3">
    <w:p w14:paraId="64BC6D89" w14:textId="4D2A4094" w:rsidR="00D96178" w:rsidRPr="006D3FCF" w:rsidRDefault="00D96178" w:rsidP="00CC4CD0">
      <w:pPr>
        <w:pStyle w:val="FootnoteText"/>
        <w:spacing w:after="60"/>
        <w:ind w:left="567" w:hanging="567"/>
        <w:jc w:val="both"/>
        <w:rPr>
          <w:rFonts w:asciiTheme="minorBidi" w:hAnsiTheme="minorBidi" w:cstheme="minorBidi"/>
          <w:sz w:val="18"/>
          <w:szCs w:val="18"/>
        </w:rPr>
      </w:pPr>
      <w:r w:rsidRPr="00E259FA">
        <w:rPr>
          <w:rStyle w:val="FootnoteReference"/>
          <w:rFonts w:asciiTheme="minorBidi" w:hAnsiTheme="minorBidi" w:cstheme="minorBidi"/>
          <w:sz w:val="18"/>
          <w:szCs w:val="18"/>
        </w:rPr>
        <w:footnoteRef/>
      </w:r>
      <w:r w:rsidRPr="006D3FCF">
        <w:rPr>
          <w:rFonts w:asciiTheme="minorBidi" w:hAnsiTheme="minorBidi" w:cstheme="minorBidi"/>
          <w:sz w:val="18"/>
          <w:szCs w:val="18"/>
        </w:rPr>
        <w:t xml:space="preserve"> </w:t>
      </w:r>
      <w:r w:rsidR="00CC4CD0">
        <w:rPr>
          <w:rFonts w:asciiTheme="minorBidi" w:hAnsiTheme="minorBidi" w:cstheme="minorBidi"/>
          <w:sz w:val="18"/>
          <w:szCs w:val="18"/>
        </w:rPr>
        <w:tab/>
      </w:r>
      <w:r w:rsidRPr="006D3FCF">
        <w:rPr>
          <w:rFonts w:asciiTheme="minorBidi" w:hAnsiTheme="minorBidi" w:cstheme="minorBidi"/>
          <w:sz w:val="18"/>
          <w:szCs w:val="18"/>
        </w:rPr>
        <w:t xml:space="preserve">The proposed Expected Result 1 is aligned with Performance Indicator 4.2.CLT.3 ‘Number of Member States with enhanced capacities to implement new or revised policies, strategies and programmes safeguarding living heritage, including within sustainable development plans and frameworks, in line with the 2003 Convention for the Safeguarding of the Intangible Cultural Heritage’ in the </w:t>
      </w:r>
      <w:r w:rsidR="00A133C8" w:rsidRPr="006D3FCF">
        <w:rPr>
          <w:rFonts w:asciiTheme="minorBidi" w:hAnsiTheme="minorBidi" w:cstheme="minorBidi"/>
          <w:sz w:val="18"/>
          <w:szCs w:val="18"/>
        </w:rPr>
        <w:t>approved</w:t>
      </w:r>
      <w:r w:rsidRPr="006D3FCF">
        <w:rPr>
          <w:rFonts w:asciiTheme="minorBidi" w:hAnsiTheme="minorBidi" w:cstheme="minorBidi"/>
          <w:sz w:val="18"/>
          <w:szCs w:val="18"/>
        </w:rPr>
        <w:t xml:space="preserve"> </w:t>
      </w:r>
      <w:hyperlink r:id="rId3" w:history="1">
        <w:r w:rsidRPr="006D3FCF">
          <w:rPr>
            <w:rStyle w:val="Hyperlink"/>
            <w:rFonts w:asciiTheme="minorBidi" w:hAnsiTheme="minorBidi" w:cstheme="minorBidi"/>
            <w:sz w:val="18"/>
            <w:szCs w:val="18"/>
          </w:rPr>
          <w:t>43 C/5</w:t>
        </w:r>
      </w:hyperlink>
      <w:r w:rsidRPr="006D3FCF">
        <w:rPr>
          <w:rFonts w:asciiTheme="minorBidi" w:hAnsiTheme="minorBidi" w:cstheme="minorBidi"/>
          <w:sz w:val="18"/>
          <w:szCs w:val="18"/>
        </w:rPr>
        <w:t xml:space="preserve"> for Output 4.2.CLT. </w:t>
      </w:r>
    </w:p>
  </w:footnote>
  <w:footnote w:id="4">
    <w:p w14:paraId="2BC30D7E" w14:textId="68FC5829" w:rsidR="00D96178" w:rsidRPr="006D3FCF" w:rsidRDefault="00D96178" w:rsidP="00CC4CD0">
      <w:pPr>
        <w:pStyle w:val="FootnoteText"/>
        <w:spacing w:after="60"/>
        <w:ind w:left="567" w:hanging="567"/>
        <w:jc w:val="both"/>
        <w:rPr>
          <w:rFonts w:asciiTheme="minorBidi" w:hAnsiTheme="minorBidi" w:cstheme="minorBidi"/>
          <w:sz w:val="18"/>
          <w:szCs w:val="18"/>
        </w:rPr>
      </w:pPr>
      <w:r w:rsidRPr="006D3FCF">
        <w:rPr>
          <w:rFonts w:asciiTheme="minorBidi" w:hAnsiTheme="minorBidi" w:cstheme="minorBidi"/>
          <w:sz w:val="18"/>
          <w:szCs w:val="18"/>
          <w:vertAlign w:val="superscript"/>
        </w:rPr>
        <w:footnoteRef/>
      </w:r>
      <w:r w:rsidRPr="006D3FCF">
        <w:rPr>
          <w:rFonts w:asciiTheme="minorBidi" w:hAnsiTheme="minorBidi" w:cstheme="minorBidi"/>
          <w:sz w:val="18"/>
          <w:szCs w:val="18"/>
          <w:vertAlign w:val="superscript"/>
        </w:rPr>
        <w:t xml:space="preserve"> </w:t>
      </w:r>
      <w:r w:rsidR="00CC4CD0">
        <w:rPr>
          <w:rFonts w:asciiTheme="minorBidi" w:hAnsiTheme="minorBidi" w:cstheme="minorBidi"/>
          <w:sz w:val="18"/>
          <w:szCs w:val="18"/>
          <w:vertAlign w:val="superscript"/>
        </w:rPr>
        <w:tab/>
      </w:r>
      <w:r w:rsidRPr="006D3FCF">
        <w:rPr>
          <w:rFonts w:asciiTheme="minorBidi" w:hAnsiTheme="minorBidi" w:cstheme="minorBidi"/>
          <w:sz w:val="18"/>
          <w:szCs w:val="18"/>
        </w:rPr>
        <w:t xml:space="preserve">The proposed Expected Result 2 </w:t>
      </w:r>
      <w:proofErr w:type="gramStart"/>
      <w:r w:rsidRPr="006D3FCF">
        <w:rPr>
          <w:rFonts w:asciiTheme="minorBidi" w:hAnsiTheme="minorBidi" w:cstheme="minorBidi"/>
          <w:sz w:val="18"/>
          <w:szCs w:val="18"/>
        </w:rPr>
        <w:t>is aligned</w:t>
      </w:r>
      <w:proofErr w:type="gramEnd"/>
      <w:r w:rsidRPr="006D3FCF">
        <w:rPr>
          <w:rFonts w:asciiTheme="minorBidi" w:hAnsiTheme="minorBidi" w:cstheme="minorBidi"/>
          <w:sz w:val="18"/>
          <w:szCs w:val="18"/>
        </w:rPr>
        <w:t xml:space="preserve"> with Performance Indicator 4.2.CLT.4 ‘Number of Member States supported to sustainably safeguard living heritage with enhanced international cooperation and assistance mechanisms of the 2003 Convention for the Safeguarding of the Intangible Cultural Heritage’ in the </w:t>
      </w:r>
      <w:r w:rsidR="00A133C8" w:rsidRPr="006D3FCF">
        <w:rPr>
          <w:rFonts w:asciiTheme="minorBidi" w:hAnsiTheme="minorBidi" w:cstheme="minorBidi"/>
          <w:sz w:val="18"/>
          <w:szCs w:val="18"/>
        </w:rPr>
        <w:t>approved</w:t>
      </w:r>
      <w:r w:rsidRPr="006D3FCF">
        <w:rPr>
          <w:rFonts w:asciiTheme="minorBidi" w:hAnsiTheme="minorBidi" w:cstheme="minorBidi"/>
          <w:sz w:val="18"/>
          <w:szCs w:val="18"/>
        </w:rPr>
        <w:t xml:space="preserve"> </w:t>
      </w:r>
      <w:hyperlink r:id="rId4" w:history="1">
        <w:r w:rsidRPr="006D3FCF">
          <w:rPr>
            <w:rStyle w:val="Hyperlink"/>
            <w:rFonts w:asciiTheme="minorBidi" w:hAnsiTheme="minorBidi" w:cstheme="minorBidi"/>
            <w:sz w:val="18"/>
            <w:szCs w:val="18"/>
          </w:rPr>
          <w:t>43 C/5</w:t>
        </w:r>
      </w:hyperlink>
      <w:r w:rsidRPr="006D3FCF">
        <w:rPr>
          <w:rFonts w:asciiTheme="minorBidi" w:hAnsiTheme="minorBidi" w:cstheme="minorBidi"/>
          <w:sz w:val="18"/>
          <w:szCs w:val="18"/>
        </w:rPr>
        <w:t xml:space="preserve"> for Output 4.2.CLT.</w:t>
      </w:r>
    </w:p>
  </w:footnote>
  <w:footnote w:id="5">
    <w:p w14:paraId="74E963C0" w14:textId="33726ACF" w:rsidR="00D96178" w:rsidRPr="0072578A" w:rsidRDefault="00D96178" w:rsidP="00CC4CD0">
      <w:pPr>
        <w:pStyle w:val="FootnoteText"/>
        <w:ind w:left="567" w:hanging="567"/>
        <w:jc w:val="both"/>
        <w:rPr>
          <w:rFonts w:asciiTheme="minorBidi" w:hAnsiTheme="minorBidi" w:cstheme="minorBidi"/>
          <w:sz w:val="18"/>
          <w:szCs w:val="18"/>
        </w:rPr>
      </w:pPr>
      <w:r w:rsidRPr="00E259FA">
        <w:rPr>
          <w:rStyle w:val="FootnoteReference"/>
          <w:rFonts w:asciiTheme="minorBidi" w:hAnsiTheme="minorBidi" w:cstheme="minorBidi"/>
          <w:sz w:val="18"/>
          <w:szCs w:val="18"/>
        </w:rPr>
        <w:footnoteRef/>
      </w:r>
      <w:r w:rsidRPr="00E259FA">
        <w:rPr>
          <w:rFonts w:asciiTheme="minorBidi" w:hAnsiTheme="minorBidi" w:cstheme="minorBidi"/>
          <w:sz w:val="18"/>
          <w:szCs w:val="18"/>
        </w:rPr>
        <w:t xml:space="preserve"> </w:t>
      </w:r>
      <w:r w:rsidR="00CC4CD0">
        <w:rPr>
          <w:rFonts w:asciiTheme="minorBidi" w:hAnsiTheme="minorBidi" w:cstheme="minorBidi"/>
          <w:sz w:val="18"/>
          <w:szCs w:val="18"/>
        </w:rPr>
        <w:tab/>
      </w:r>
      <w:r w:rsidRPr="00E259FA">
        <w:rPr>
          <w:rFonts w:asciiTheme="minorBidi" w:hAnsiTheme="minorBidi" w:cstheme="minorBidi"/>
          <w:sz w:val="18"/>
          <w:szCs w:val="18"/>
        </w:rPr>
        <w:t xml:space="preserve">These include (a) requests for the transfer of elements from one List to another, (b) inclusion in the Register of Good Safeguarding Practices of the successful safeguarding experiences resulting from transfers from the Urgent Safeguarding List to the Representative List, (c) proposals for the Register of Good Safeguarding Practices from States Parties whose transfer requests were examined by the nineteenth session of the Committee (2024 cycle), (d) proposals for the Register of Good Safeguarding Practices from States Parties whose transfer requests </w:t>
      </w:r>
      <w:r w:rsidR="007C6362">
        <w:rPr>
          <w:rFonts w:asciiTheme="minorBidi" w:hAnsiTheme="minorBidi" w:cstheme="minorBidi"/>
          <w:sz w:val="18"/>
          <w:szCs w:val="18"/>
        </w:rPr>
        <w:t>were</w:t>
      </w:r>
      <w:r w:rsidRPr="00E259FA">
        <w:rPr>
          <w:rFonts w:asciiTheme="minorBidi" w:hAnsiTheme="minorBidi" w:cstheme="minorBidi"/>
          <w:sz w:val="18"/>
          <w:szCs w:val="18"/>
        </w:rPr>
        <w:t xml:space="preserve"> examined by the twentieth session of the Committee (2025 cycle), (e) requests for inscription on an extended or reduced basis, and (f) the follow-up of inscribed elements.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75E75935" w:rsidR="00D95C4C" w:rsidRPr="00E259FA" w:rsidRDefault="00C5776D" w:rsidP="00C5776D">
    <w:pPr>
      <w:pStyle w:val="Header"/>
      <w:rPr>
        <w:rFonts w:ascii="Arial" w:hAnsi="Arial" w:cs="Arial"/>
      </w:rPr>
    </w:pPr>
    <w:r w:rsidRPr="00E259FA">
      <w:rPr>
        <w:rFonts w:ascii="Arial" w:hAnsi="Arial" w:cs="Arial"/>
        <w:sz w:val="20"/>
        <w:szCs w:val="20"/>
      </w:rPr>
      <w:t>L</w:t>
    </w:r>
    <w:r w:rsidR="00CB0542" w:rsidRPr="00E259FA">
      <w:rPr>
        <w:rFonts w:ascii="Arial" w:hAnsi="Arial" w:cs="Arial"/>
        <w:sz w:val="20"/>
        <w:szCs w:val="20"/>
      </w:rPr>
      <w:t>H</w:t>
    </w:r>
    <w:r w:rsidRPr="00E259FA">
      <w:rPr>
        <w:rFonts w:ascii="Arial" w:hAnsi="Arial" w:cs="Arial"/>
        <w:sz w:val="20"/>
        <w:szCs w:val="20"/>
      </w:rPr>
      <w:t>E</w:t>
    </w:r>
    <w:r w:rsidR="00CB0542" w:rsidRPr="00E259FA">
      <w:rPr>
        <w:rFonts w:ascii="Arial" w:hAnsi="Arial" w:cs="Arial"/>
        <w:sz w:val="20"/>
        <w:szCs w:val="20"/>
      </w:rPr>
      <w:t>/</w:t>
    </w:r>
    <w:r w:rsidR="00D7105A" w:rsidRPr="00E259FA">
      <w:rPr>
        <w:rFonts w:ascii="Arial" w:hAnsi="Arial" w:cs="Arial"/>
        <w:sz w:val="20"/>
        <w:szCs w:val="20"/>
      </w:rPr>
      <w:t>2</w:t>
    </w:r>
    <w:r w:rsidR="0026085B" w:rsidRPr="00E259FA">
      <w:rPr>
        <w:rFonts w:ascii="Arial" w:hAnsi="Arial" w:cs="Arial"/>
        <w:sz w:val="20"/>
        <w:szCs w:val="20"/>
      </w:rPr>
      <w:t>6</w:t>
    </w:r>
    <w:r w:rsidR="00CB0542" w:rsidRPr="00E259FA">
      <w:rPr>
        <w:rFonts w:ascii="Arial" w:hAnsi="Arial" w:cs="Arial"/>
        <w:sz w:val="20"/>
        <w:szCs w:val="20"/>
      </w:rPr>
      <w:t>/1</w:t>
    </w:r>
    <w:r w:rsidR="0026085B" w:rsidRPr="00E259FA">
      <w:rPr>
        <w:rFonts w:ascii="Arial" w:hAnsi="Arial" w:cs="Arial"/>
        <w:sz w:val="20"/>
        <w:szCs w:val="20"/>
      </w:rPr>
      <w:t>1</w:t>
    </w:r>
    <w:r w:rsidR="00EC6F8D" w:rsidRPr="00E259FA">
      <w:rPr>
        <w:rFonts w:ascii="Arial" w:hAnsi="Arial" w:cs="Arial"/>
        <w:sz w:val="20"/>
        <w:szCs w:val="20"/>
      </w:rPr>
      <w:t>.</w:t>
    </w:r>
    <w:r w:rsidR="005C792B" w:rsidRPr="00E259FA">
      <w:rPr>
        <w:rFonts w:ascii="Arial" w:hAnsi="Arial" w:cs="Arial"/>
        <w:sz w:val="20"/>
        <w:szCs w:val="20"/>
      </w:rPr>
      <w:t>GA</w:t>
    </w:r>
    <w:r w:rsidR="00D95C4C" w:rsidRPr="00E259FA">
      <w:rPr>
        <w:rFonts w:ascii="Arial" w:hAnsi="Arial" w:cs="Arial"/>
        <w:sz w:val="20"/>
        <w:szCs w:val="20"/>
      </w:rPr>
      <w:t>/</w:t>
    </w:r>
    <w:r w:rsidR="00882FA2" w:rsidRPr="00E259FA">
      <w:rPr>
        <w:rFonts w:ascii="Arial" w:hAnsi="Arial" w:cs="Arial"/>
        <w:sz w:val="20"/>
        <w:szCs w:val="20"/>
      </w:rPr>
      <w:t>8</w:t>
    </w:r>
    <w:r w:rsidR="00D95C4C" w:rsidRPr="00E259FA">
      <w:rPr>
        <w:rFonts w:ascii="Arial" w:hAnsi="Arial" w:cs="Arial"/>
        <w:sz w:val="20"/>
        <w:szCs w:val="20"/>
      </w:rPr>
      <w:t xml:space="preserve"> – page </w:t>
    </w:r>
    <w:r w:rsidR="00D95C4C" w:rsidRPr="00E259FA">
      <w:rPr>
        <w:rStyle w:val="PageNumber"/>
        <w:rFonts w:ascii="Arial" w:hAnsi="Arial" w:cs="Arial"/>
        <w:sz w:val="20"/>
        <w:szCs w:val="20"/>
      </w:rPr>
      <w:fldChar w:fldCharType="begin"/>
    </w:r>
    <w:r w:rsidR="00D95C4C" w:rsidRPr="00E259FA">
      <w:rPr>
        <w:rStyle w:val="PageNumber"/>
        <w:rFonts w:ascii="Arial" w:hAnsi="Arial" w:cs="Arial"/>
        <w:sz w:val="20"/>
        <w:szCs w:val="20"/>
      </w:rPr>
      <w:instrText xml:space="preserve"> PAGE </w:instrText>
    </w:r>
    <w:r w:rsidR="00D95C4C" w:rsidRPr="00E259FA">
      <w:rPr>
        <w:rStyle w:val="PageNumber"/>
        <w:rFonts w:ascii="Arial" w:hAnsi="Arial" w:cs="Arial"/>
        <w:sz w:val="20"/>
        <w:szCs w:val="20"/>
      </w:rPr>
      <w:fldChar w:fldCharType="separate"/>
    </w:r>
    <w:proofErr w:type="gramStart"/>
    <w:r w:rsidR="006E75EB" w:rsidRPr="006D3FCF">
      <w:rPr>
        <w:rStyle w:val="PageNumber"/>
        <w:rFonts w:ascii="Arial" w:hAnsi="Arial" w:cs="Arial"/>
        <w:sz w:val="20"/>
        <w:szCs w:val="20"/>
      </w:rPr>
      <w:t>2</w:t>
    </w:r>
    <w:proofErr w:type="gramEnd"/>
    <w:r w:rsidR="00D95C4C" w:rsidRPr="00E259FA">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1AC420ED" w:rsidR="00D95C4C" w:rsidRPr="00E259FA" w:rsidRDefault="00C5776D" w:rsidP="00C5776D">
    <w:pPr>
      <w:pStyle w:val="Header"/>
      <w:jc w:val="right"/>
      <w:rPr>
        <w:rFonts w:ascii="Arial" w:hAnsi="Arial" w:cs="Arial"/>
      </w:rPr>
    </w:pPr>
    <w:r w:rsidRPr="00E259FA">
      <w:rPr>
        <w:rFonts w:ascii="Arial" w:hAnsi="Arial" w:cs="Arial"/>
        <w:sz w:val="20"/>
        <w:szCs w:val="20"/>
      </w:rPr>
      <w:t>L</w:t>
    </w:r>
    <w:r w:rsidR="0053318C" w:rsidRPr="00E259FA">
      <w:rPr>
        <w:rFonts w:ascii="Arial" w:hAnsi="Arial" w:cs="Arial"/>
        <w:sz w:val="20"/>
        <w:szCs w:val="20"/>
      </w:rPr>
      <w:t>H</w:t>
    </w:r>
    <w:r w:rsidRPr="00E259FA">
      <w:rPr>
        <w:rFonts w:ascii="Arial" w:hAnsi="Arial" w:cs="Arial"/>
        <w:sz w:val="20"/>
        <w:szCs w:val="20"/>
      </w:rPr>
      <w:t>E</w:t>
    </w:r>
    <w:r w:rsidR="00E2125F" w:rsidRPr="00E259FA">
      <w:rPr>
        <w:rFonts w:ascii="Arial" w:hAnsi="Arial" w:cs="Arial"/>
        <w:sz w:val="20"/>
        <w:szCs w:val="20"/>
      </w:rPr>
      <w:t>/2</w:t>
    </w:r>
    <w:r w:rsidR="0026085B" w:rsidRPr="00E259FA">
      <w:rPr>
        <w:rFonts w:ascii="Arial" w:hAnsi="Arial" w:cs="Arial"/>
        <w:sz w:val="20"/>
        <w:szCs w:val="20"/>
      </w:rPr>
      <w:t>6</w:t>
    </w:r>
    <w:r w:rsidR="0053318C" w:rsidRPr="00E259FA">
      <w:rPr>
        <w:rFonts w:ascii="Arial" w:hAnsi="Arial" w:cs="Arial"/>
        <w:sz w:val="20"/>
        <w:szCs w:val="20"/>
      </w:rPr>
      <w:t>/1</w:t>
    </w:r>
    <w:r w:rsidR="0026085B" w:rsidRPr="00E259FA">
      <w:rPr>
        <w:rFonts w:ascii="Arial" w:hAnsi="Arial" w:cs="Arial"/>
        <w:sz w:val="20"/>
        <w:szCs w:val="20"/>
      </w:rPr>
      <w:t>1</w:t>
    </w:r>
    <w:r w:rsidR="00EC6F8D" w:rsidRPr="00E259FA">
      <w:rPr>
        <w:rFonts w:ascii="Arial" w:hAnsi="Arial" w:cs="Arial"/>
        <w:sz w:val="20"/>
        <w:szCs w:val="20"/>
      </w:rPr>
      <w:t>.</w:t>
    </w:r>
    <w:r w:rsidR="005C792B" w:rsidRPr="00E259FA">
      <w:rPr>
        <w:rFonts w:ascii="Arial" w:hAnsi="Arial" w:cs="Arial"/>
        <w:sz w:val="20"/>
        <w:szCs w:val="20"/>
      </w:rPr>
      <w:t>GA</w:t>
    </w:r>
    <w:r w:rsidR="004A34A0" w:rsidRPr="00E259FA">
      <w:rPr>
        <w:rFonts w:ascii="Arial" w:hAnsi="Arial" w:cs="Arial"/>
        <w:sz w:val="20"/>
        <w:szCs w:val="20"/>
      </w:rPr>
      <w:t>/</w:t>
    </w:r>
    <w:r w:rsidR="00882FA2" w:rsidRPr="00E259FA">
      <w:rPr>
        <w:rFonts w:ascii="Arial" w:hAnsi="Arial" w:cs="Arial"/>
        <w:sz w:val="20"/>
        <w:szCs w:val="20"/>
      </w:rPr>
      <w:t>8</w:t>
    </w:r>
    <w:r w:rsidR="004A34A0" w:rsidRPr="00E259FA">
      <w:rPr>
        <w:rFonts w:ascii="Arial" w:hAnsi="Arial" w:cs="Arial"/>
        <w:sz w:val="20"/>
        <w:szCs w:val="20"/>
      </w:rPr>
      <w:t xml:space="preserve"> – page </w:t>
    </w:r>
    <w:r w:rsidR="004A34A0" w:rsidRPr="00E259FA">
      <w:rPr>
        <w:rStyle w:val="PageNumber"/>
        <w:rFonts w:ascii="Arial" w:hAnsi="Arial" w:cs="Arial"/>
        <w:sz w:val="20"/>
        <w:szCs w:val="20"/>
      </w:rPr>
      <w:fldChar w:fldCharType="begin"/>
    </w:r>
    <w:r w:rsidR="004A34A0" w:rsidRPr="00E259FA">
      <w:rPr>
        <w:rStyle w:val="PageNumber"/>
        <w:rFonts w:ascii="Arial" w:hAnsi="Arial" w:cs="Arial"/>
        <w:sz w:val="20"/>
        <w:szCs w:val="20"/>
      </w:rPr>
      <w:instrText xml:space="preserve"> PAGE </w:instrText>
    </w:r>
    <w:r w:rsidR="004A34A0" w:rsidRPr="00E259FA">
      <w:rPr>
        <w:rStyle w:val="PageNumber"/>
        <w:rFonts w:ascii="Arial" w:hAnsi="Arial" w:cs="Arial"/>
        <w:sz w:val="20"/>
        <w:szCs w:val="20"/>
      </w:rPr>
      <w:fldChar w:fldCharType="separate"/>
    </w:r>
    <w:proofErr w:type="gramStart"/>
    <w:r w:rsidR="00190205" w:rsidRPr="006D3FCF">
      <w:rPr>
        <w:rStyle w:val="PageNumber"/>
        <w:rFonts w:ascii="Arial" w:hAnsi="Arial" w:cs="Arial"/>
        <w:sz w:val="20"/>
        <w:szCs w:val="20"/>
      </w:rPr>
      <w:t>3</w:t>
    </w:r>
    <w:proofErr w:type="gramEnd"/>
    <w:r w:rsidR="004A34A0" w:rsidRPr="00E259FA">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259FA" w:rsidRDefault="00962034">
    <w:pPr>
      <w:pStyle w:val="Header"/>
      <w:rPr>
        <w:sz w:val="22"/>
        <w:szCs w:val="22"/>
      </w:rPr>
    </w:pPr>
    <w:r w:rsidRPr="006D3FCF">
      <w:rPr>
        <w:noProof/>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DF77E6D" w:rsidR="00D95C4C" w:rsidRPr="009F15A6" w:rsidRDefault="005C792B" w:rsidP="00C5776D">
    <w:pPr>
      <w:pStyle w:val="Header"/>
      <w:spacing w:after="520"/>
      <w:jc w:val="right"/>
      <w:rPr>
        <w:rFonts w:ascii="Arial" w:hAnsi="Arial" w:cs="Arial"/>
        <w:b/>
        <w:sz w:val="44"/>
        <w:szCs w:val="44"/>
        <w:lang w:val="pt-PT"/>
      </w:rPr>
    </w:pPr>
    <w:r w:rsidRPr="009F15A6">
      <w:rPr>
        <w:rFonts w:ascii="Arial" w:hAnsi="Arial" w:cs="Arial"/>
        <w:b/>
        <w:sz w:val="44"/>
        <w:szCs w:val="44"/>
        <w:lang w:val="pt-PT"/>
      </w:rPr>
      <w:t>1</w:t>
    </w:r>
    <w:r w:rsidR="0026085B" w:rsidRPr="009F15A6">
      <w:rPr>
        <w:rFonts w:ascii="Arial" w:hAnsi="Arial" w:cs="Arial"/>
        <w:b/>
        <w:sz w:val="44"/>
        <w:szCs w:val="44"/>
        <w:lang w:val="pt-PT"/>
      </w:rPr>
      <w:t>1</w:t>
    </w:r>
    <w:r w:rsidR="00EC6F8D" w:rsidRPr="009F15A6">
      <w:rPr>
        <w:rFonts w:ascii="Arial" w:hAnsi="Arial" w:cs="Arial"/>
        <w:b/>
        <w:sz w:val="44"/>
        <w:szCs w:val="44"/>
        <w:lang w:val="pt-PT"/>
      </w:rPr>
      <w:t xml:space="preserve"> </w:t>
    </w:r>
    <w:r w:rsidRPr="009F15A6">
      <w:rPr>
        <w:rFonts w:ascii="Arial" w:hAnsi="Arial" w:cs="Arial"/>
        <w:b/>
        <w:sz w:val="44"/>
        <w:szCs w:val="44"/>
        <w:lang w:val="pt-PT"/>
      </w:rPr>
      <w:t>GA</w:t>
    </w:r>
  </w:p>
  <w:p w14:paraId="306484B8" w14:textId="1FB0E357" w:rsidR="00D95C4C" w:rsidRPr="009F15A6" w:rsidRDefault="00C5776D" w:rsidP="00C5776D">
    <w:pPr>
      <w:jc w:val="right"/>
      <w:rPr>
        <w:rFonts w:ascii="Arial" w:hAnsi="Arial" w:cs="Arial"/>
        <w:b/>
        <w:sz w:val="22"/>
        <w:szCs w:val="22"/>
        <w:lang w:val="pt-PT"/>
      </w:rPr>
    </w:pPr>
    <w:r w:rsidRPr="009F15A6">
      <w:rPr>
        <w:rFonts w:ascii="Arial" w:hAnsi="Arial" w:cs="Arial"/>
        <w:b/>
        <w:sz w:val="22"/>
        <w:szCs w:val="22"/>
        <w:lang w:val="pt-PT"/>
      </w:rPr>
      <w:t>LHE</w:t>
    </w:r>
    <w:r w:rsidR="00337CEB" w:rsidRPr="009F15A6">
      <w:rPr>
        <w:rFonts w:ascii="Arial" w:hAnsi="Arial" w:cs="Arial"/>
        <w:b/>
        <w:sz w:val="22"/>
        <w:szCs w:val="22"/>
        <w:lang w:val="pt-PT"/>
      </w:rPr>
      <w:t>/</w:t>
    </w:r>
    <w:r w:rsidR="00D7105A" w:rsidRPr="009F15A6">
      <w:rPr>
        <w:rFonts w:ascii="Arial" w:hAnsi="Arial" w:cs="Arial"/>
        <w:b/>
        <w:sz w:val="22"/>
        <w:szCs w:val="22"/>
        <w:lang w:val="pt-PT"/>
      </w:rPr>
      <w:t>2</w:t>
    </w:r>
    <w:r w:rsidR="0026085B" w:rsidRPr="009F15A6">
      <w:rPr>
        <w:rFonts w:ascii="Arial" w:hAnsi="Arial" w:cs="Arial"/>
        <w:b/>
        <w:sz w:val="22"/>
        <w:szCs w:val="22"/>
        <w:lang w:val="pt-PT"/>
      </w:rPr>
      <w:t>6</w:t>
    </w:r>
    <w:r w:rsidR="00D95C4C" w:rsidRPr="009F15A6">
      <w:rPr>
        <w:rFonts w:ascii="Arial" w:hAnsi="Arial" w:cs="Arial"/>
        <w:b/>
        <w:sz w:val="22"/>
        <w:szCs w:val="22"/>
        <w:lang w:val="pt-PT"/>
      </w:rPr>
      <w:t>/</w:t>
    </w:r>
    <w:r w:rsidR="00CB0542" w:rsidRPr="009F15A6">
      <w:rPr>
        <w:rFonts w:ascii="Arial" w:hAnsi="Arial" w:cs="Arial"/>
        <w:b/>
        <w:sz w:val="22"/>
        <w:szCs w:val="22"/>
        <w:lang w:val="pt-PT"/>
      </w:rPr>
      <w:t>1</w:t>
    </w:r>
    <w:r w:rsidR="0026085B" w:rsidRPr="009F15A6">
      <w:rPr>
        <w:rFonts w:ascii="Arial" w:hAnsi="Arial" w:cs="Arial"/>
        <w:b/>
        <w:sz w:val="22"/>
        <w:szCs w:val="22"/>
        <w:lang w:val="pt-PT"/>
      </w:rPr>
      <w:t>1</w:t>
    </w:r>
    <w:r w:rsidR="00D95C4C" w:rsidRPr="009F15A6">
      <w:rPr>
        <w:rFonts w:ascii="Arial" w:hAnsi="Arial" w:cs="Arial"/>
        <w:b/>
        <w:sz w:val="22"/>
        <w:szCs w:val="22"/>
        <w:lang w:val="pt-PT"/>
      </w:rPr>
      <w:t>.</w:t>
    </w:r>
    <w:r w:rsidR="005C792B" w:rsidRPr="009F15A6">
      <w:rPr>
        <w:rFonts w:ascii="Arial" w:hAnsi="Arial" w:cs="Arial"/>
        <w:b/>
        <w:sz w:val="22"/>
        <w:szCs w:val="22"/>
        <w:lang w:val="pt-PT"/>
      </w:rPr>
      <w:t>GA</w:t>
    </w:r>
    <w:r w:rsidR="00882FA2" w:rsidRPr="009F15A6">
      <w:rPr>
        <w:rFonts w:ascii="Arial" w:hAnsi="Arial" w:cs="Arial"/>
        <w:b/>
        <w:sz w:val="22"/>
        <w:szCs w:val="22"/>
        <w:lang w:val="pt-PT"/>
      </w:rPr>
      <w:t>/8</w:t>
    </w:r>
  </w:p>
  <w:p w14:paraId="1B4446C3" w14:textId="3D85C766" w:rsidR="00D95C4C" w:rsidRPr="009F15A6" w:rsidRDefault="00D95C4C" w:rsidP="00655736">
    <w:pPr>
      <w:jc w:val="right"/>
      <w:rPr>
        <w:rFonts w:ascii="Arial" w:eastAsiaTheme="minorEastAsia" w:hAnsi="Arial" w:cs="Arial"/>
        <w:b/>
        <w:sz w:val="22"/>
        <w:szCs w:val="22"/>
        <w:lang w:val="pt-PT" w:eastAsia="ko-KR"/>
      </w:rPr>
    </w:pPr>
    <w:r w:rsidRPr="009F15A6">
      <w:rPr>
        <w:rFonts w:ascii="Arial" w:hAnsi="Arial" w:cs="Arial"/>
        <w:b/>
        <w:sz w:val="22"/>
        <w:szCs w:val="22"/>
        <w:lang w:val="pt-PT"/>
      </w:rPr>
      <w:t xml:space="preserve">Paris, </w:t>
    </w:r>
    <w:r w:rsidR="009B57F5" w:rsidRPr="009F15A6">
      <w:rPr>
        <w:rFonts w:ascii="Arial" w:hAnsi="Arial" w:cs="Arial"/>
        <w:b/>
        <w:sz w:val="22"/>
        <w:szCs w:val="22"/>
        <w:lang w:val="pt-PT"/>
      </w:rPr>
      <w:t xml:space="preserve">18 </w:t>
    </w:r>
    <w:r w:rsidR="00882FA2" w:rsidRPr="009F15A6">
      <w:rPr>
        <w:rFonts w:ascii="Arial" w:hAnsi="Arial" w:cs="Arial"/>
        <w:b/>
        <w:sz w:val="22"/>
        <w:szCs w:val="22"/>
        <w:lang w:val="pt-PT"/>
      </w:rPr>
      <w:t>May</w:t>
    </w:r>
    <w:r w:rsidRPr="009F15A6">
      <w:rPr>
        <w:rFonts w:ascii="Arial" w:hAnsi="Arial" w:cs="Arial"/>
        <w:b/>
        <w:sz w:val="22"/>
        <w:szCs w:val="22"/>
        <w:lang w:val="pt-PT"/>
      </w:rPr>
      <w:t xml:space="preserve"> </w:t>
    </w:r>
    <w:r w:rsidR="00337CEB" w:rsidRPr="009F15A6">
      <w:rPr>
        <w:rFonts w:ascii="Arial" w:hAnsi="Arial" w:cs="Arial"/>
        <w:b/>
        <w:sz w:val="22"/>
        <w:szCs w:val="22"/>
        <w:lang w:val="pt-PT"/>
      </w:rPr>
      <w:t>20</w:t>
    </w:r>
    <w:r w:rsidR="00D7105A" w:rsidRPr="009F15A6">
      <w:rPr>
        <w:rFonts w:ascii="Arial" w:hAnsi="Arial" w:cs="Arial"/>
        <w:b/>
        <w:sz w:val="22"/>
        <w:szCs w:val="22"/>
        <w:lang w:val="pt-PT"/>
      </w:rPr>
      <w:t>2</w:t>
    </w:r>
    <w:r w:rsidR="0026085B" w:rsidRPr="009F15A6">
      <w:rPr>
        <w:rFonts w:ascii="Arial" w:hAnsi="Arial" w:cs="Arial"/>
        <w:b/>
        <w:sz w:val="22"/>
        <w:szCs w:val="22"/>
        <w:lang w:val="pt-PT"/>
      </w:rPr>
      <w:t>6</w:t>
    </w:r>
  </w:p>
  <w:p w14:paraId="255B57FF" w14:textId="0A9FDF8F" w:rsidR="00D95C4C" w:rsidRPr="006D3FCF" w:rsidRDefault="00D95C4C" w:rsidP="00962034">
    <w:pPr>
      <w:spacing w:after="120"/>
      <w:jc w:val="right"/>
      <w:rPr>
        <w:rFonts w:ascii="Arial" w:hAnsi="Arial" w:cs="Arial"/>
        <w:b/>
        <w:sz w:val="22"/>
        <w:szCs w:val="22"/>
      </w:rPr>
    </w:pPr>
    <w:r w:rsidRPr="006D3FCF">
      <w:rPr>
        <w:rFonts w:ascii="Arial" w:hAnsi="Arial" w:cs="Arial"/>
        <w:b/>
        <w:sz w:val="22"/>
        <w:szCs w:val="22"/>
      </w:rPr>
      <w:t xml:space="preserve">Original: </w:t>
    </w:r>
    <w:r w:rsidR="00882FA2" w:rsidRPr="006D3FCF">
      <w:rPr>
        <w:rFonts w:ascii="Arial" w:hAnsi="Arial" w:cs="Arial"/>
        <w:b/>
        <w:sz w:val="22"/>
        <w:szCs w:val="22"/>
      </w:rPr>
      <w:t>English</w:t>
    </w:r>
  </w:p>
  <w:p w14:paraId="3C4B8B1B" w14:textId="77777777" w:rsidR="00D95C4C" w:rsidRPr="006D3FCF"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07A4"/>
    <w:multiLevelType w:val="hybridMultilevel"/>
    <w:tmpl w:val="9E908AA4"/>
    <w:lvl w:ilvl="0" w:tplc="4A66941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2550F78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D1A144F"/>
    <w:multiLevelType w:val="hybridMultilevel"/>
    <w:tmpl w:val="1FEE3D3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7">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330725E"/>
    <w:multiLevelType w:val="hybridMultilevel"/>
    <w:tmpl w:val="8988BE28"/>
    <w:lvl w:ilvl="0" w:tplc="040C0017">
      <w:start w:val="1"/>
      <w:numFmt w:val="lowerLetter"/>
      <w:lvlText w:val="%1)"/>
      <w:lvlJc w:val="left"/>
      <w:pPr>
        <w:ind w:left="927" w:hanging="360"/>
      </w:pPr>
      <w:rPr>
        <w:rFonts w:hint="default"/>
        <w:b w:val="0"/>
        <w:bCs w:val="0"/>
      </w:rPr>
    </w:lvl>
    <w:lvl w:ilvl="1" w:tplc="FFFFFFFF">
      <w:start w:val="1"/>
      <w:numFmt w:val="lowerLetter"/>
      <w:lvlText w:val="%2."/>
      <w:lvlJc w:val="left"/>
      <w:pPr>
        <w:ind w:left="1647" w:hanging="360"/>
      </w:pPr>
    </w:lvl>
    <w:lvl w:ilvl="2" w:tplc="FFFFFFFF">
      <w:start w:val="1"/>
      <w:numFmt w:val="lowerLetter"/>
      <w:lvlText w:val="%3)"/>
      <w:lvlJc w:val="left"/>
      <w:pPr>
        <w:ind w:left="2547" w:hanging="36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3"/>
  </w:num>
  <w:num w:numId="2" w16cid:durableId="699629408">
    <w:abstractNumId w:val="7"/>
  </w:num>
  <w:num w:numId="3" w16cid:durableId="164177712">
    <w:abstractNumId w:val="3"/>
  </w:num>
  <w:num w:numId="4" w16cid:durableId="1416590798">
    <w:abstractNumId w:val="16"/>
  </w:num>
  <w:num w:numId="5" w16cid:durableId="1762608160">
    <w:abstractNumId w:val="15"/>
  </w:num>
  <w:num w:numId="6" w16cid:durableId="2146270374">
    <w:abstractNumId w:val="1"/>
  </w:num>
  <w:num w:numId="7" w16cid:durableId="1113592211">
    <w:abstractNumId w:val="4"/>
  </w:num>
  <w:num w:numId="8" w16cid:durableId="1920598164">
    <w:abstractNumId w:val="11"/>
  </w:num>
  <w:num w:numId="9" w16cid:durableId="1533764642">
    <w:abstractNumId w:val="6"/>
  </w:num>
  <w:num w:numId="10" w16cid:durableId="1246129">
    <w:abstractNumId w:val="8"/>
  </w:num>
  <w:num w:numId="11" w16cid:durableId="111829808">
    <w:abstractNumId w:val="10"/>
  </w:num>
  <w:num w:numId="12" w16cid:durableId="1088770206">
    <w:abstractNumId w:val="9"/>
  </w:num>
  <w:num w:numId="13" w16cid:durableId="1263951029">
    <w:abstractNumId w:val="17"/>
  </w:num>
  <w:num w:numId="14" w16cid:durableId="395903570">
    <w:abstractNumId w:val="5"/>
  </w:num>
  <w:num w:numId="15" w16cid:durableId="1857570918">
    <w:abstractNumId w:val="6"/>
  </w:num>
  <w:num w:numId="16" w16cid:durableId="248199808">
    <w:abstractNumId w:val="6"/>
  </w:num>
  <w:num w:numId="17" w16cid:durableId="350380342">
    <w:abstractNumId w:val="6"/>
  </w:num>
  <w:num w:numId="18" w16cid:durableId="944581980">
    <w:abstractNumId w:val="6"/>
  </w:num>
  <w:num w:numId="19" w16cid:durableId="772675100">
    <w:abstractNumId w:val="6"/>
  </w:num>
  <w:num w:numId="20" w16cid:durableId="1253010311">
    <w:abstractNumId w:val="6"/>
  </w:num>
  <w:num w:numId="21" w16cid:durableId="540821319">
    <w:abstractNumId w:val="2"/>
  </w:num>
  <w:num w:numId="22" w16cid:durableId="2046514942">
    <w:abstractNumId w:val="6"/>
  </w:num>
  <w:num w:numId="23" w16cid:durableId="414475267">
    <w:abstractNumId w:val="0"/>
  </w:num>
  <w:num w:numId="24" w16cid:durableId="1676300968">
    <w:abstractNumId w:val="8"/>
  </w:num>
  <w:num w:numId="25" w16cid:durableId="1244796624">
    <w:abstractNumId w:val="12"/>
  </w:num>
  <w:num w:numId="26" w16cid:durableId="1384599108">
    <w:abstractNumId w:val="14"/>
  </w:num>
  <w:num w:numId="27" w16cid:durableId="886531810">
    <w:abstractNumId w:val="6"/>
  </w:num>
  <w:num w:numId="28" w16cid:durableId="914318323">
    <w:abstractNumId w:val="6"/>
  </w:num>
  <w:num w:numId="29" w16cid:durableId="877351134">
    <w:abstractNumId w:val="9"/>
  </w:num>
  <w:num w:numId="30" w16cid:durableId="245892862">
    <w:abstractNumId w:val="6"/>
  </w:num>
  <w:num w:numId="31" w16cid:durableId="1930693395">
    <w:abstractNumId w:val="6"/>
  </w:num>
  <w:num w:numId="32" w16cid:durableId="9207180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20479"/>
    <w:rsid w:val="000367E3"/>
    <w:rsid w:val="00041A66"/>
    <w:rsid w:val="00042D88"/>
    <w:rsid w:val="0005176E"/>
    <w:rsid w:val="00070677"/>
    <w:rsid w:val="00071298"/>
    <w:rsid w:val="000765F7"/>
    <w:rsid w:val="0007725F"/>
    <w:rsid w:val="000774A3"/>
    <w:rsid w:val="00077AB7"/>
    <w:rsid w:val="00080992"/>
    <w:rsid w:val="000819FD"/>
    <w:rsid w:val="00081CD8"/>
    <w:rsid w:val="00084949"/>
    <w:rsid w:val="00086B78"/>
    <w:rsid w:val="00093EEE"/>
    <w:rsid w:val="00093FDA"/>
    <w:rsid w:val="000A7F0E"/>
    <w:rsid w:val="000B1C8F"/>
    <w:rsid w:val="000C0D61"/>
    <w:rsid w:val="000C423F"/>
    <w:rsid w:val="000C69A8"/>
    <w:rsid w:val="000D414F"/>
    <w:rsid w:val="000E7D71"/>
    <w:rsid w:val="000F3A3F"/>
    <w:rsid w:val="00102557"/>
    <w:rsid w:val="00110005"/>
    <w:rsid w:val="00130665"/>
    <w:rsid w:val="001359C2"/>
    <w:rsid w:val="00147A38"/>
    <w:rsid w:val="00153CED"/>
    <w:rsid w:val="001540F7"/>
    <w:rsid w:val="001607BF"/>
    <w:rsid w:val="001643A8"/>
    <w:rsid w:val="00164D56"/>
    <w:rsid w:val="00167B10"/>
    <w:rsid w:val="0017402F"/>
    <w:rsid w:val="001867B7"/>
    <w:rsid w:val="00190205"/>
    <w:rsid w:val="00196C1B"/>
    <w:rsid w:val="001B0F73"/>
    <w:rsid w:val="001B6D0C"/>
    <w:rsid w:val="001C2DB7"/>
    <w:rsid w:val="001C4C78"/>
    <w:rsid w:val="001D14FE"/>
    <w:rsid w:val="001D5C04"/>
    <w:rsid w:val="001F26CF"/>
    <w:rsid w:val="001F5CDF"/>
    <w:rsid w:val="001F781B"/>
    <w:rsid w:val="002147AA"/>
    <w:rsid w:val="00222A2D"/>
    <w:rsid w:val="00222DE3"/>
    <w:rsid w:val="00223029"/>
    <w:rsid w:val="00234745"/>
    <w:rsid w:val="002351A6"/>
    <w:rsid w:val="002407AF"/>
    <w:rsid w:val="00245501"/>
    <w:rsid w:val="00246899"/>
    <w:rsid w:val="0025205C"/>
    <w:rsid w:val="00254B26"/>
    <w:rsid w:val="0026085B"/>
    <w:rsid w:val="00261F3C"/>
    <w:rsid w:val="0026221A"/>
    <w:rsid w:val="0027466B"/>
    <w:rsid w:val="002814F6"/>
    <w:rsid w:val="002838A5"/>
    <w:rsid w:val="00285BB4"/>
    <w:rsid w:val="002A732F"/>
    <w:rsid w:val="002A7A0F"/>
    <w:rsid w:val="002C0015"/>
    <w:rsid w:val="002C09E3"/>
    <w:rsid w:val="002C4746"/>
    <w:rsid w:val="002C6A2C"/>
    <w:rsid w:val="002D1244"/>
    <w:rsid w:val="002D2BFD"/>
    <w:rsid w:val="002D5B36"/>
    <w:rsid w:val="002E3305"/>
    <w:rsid w:val="002E3493"/>
    <w:rsid w:val="00312476"/>
    <w:rsid w:val="00337CEB"/>
    <w:rsid w:val="00344B58"/>
    <w:rsid w:val="0034539A"/>
    <w:rsid w:val="00345CB4"/>
    <w:rsid w:val="00375D42"/>
    <w:rsid w:val="0039613F"/>
    <w:rsid w:val="003C3D11"/>
    <w:rsid w:val="003D069C"/>
    <w:rsid w:val="003D7646"/>
    <w:rsid w:val="003F113A"/>
    <w:rsid w:val="003F3E63"/>
    <w:rsid w:val="00407480"/>
    <w:rsid w:val="00414643"/>
    <w:rsid w:val="00416DC4"/>
    <w:rsid w:val="004313C4"/>
    <w:rsid w:val="004421E5"/>
    <w:rsid w:val="004479C8"/>
    <w:rsid w:val="00452284"/>
    <w:rsid w:val="00453B7C"/>
    <w:rsid w:val="00457C8E"/>
    <w:rsid w:val="00480175"/>
    <w:rsid w:val="004856CA"/>
    <w:rsid w:val="00487E67"/>
    <w:rsid w:val="00487F3A"/>
    <w:rsid w:val="004906B7"/>
    <w:rsid w:val="0049705E"/>
    <w:rsid w:val="004A012B"/>
    <w:rsid w:val="004A27EE"/>
    <w:rsid w:val="004A2875"/>
    <w:rsid w:val="004A34A0"/>
    <w:rsid w:val="004A5AA1"/>
    <w:rsid w:val="004B46F6"/>
    <w:rsid w:val="004C7C82"/>
    <w:rsid w:val="004D0710"/>
    <w:rsid w:val="005008A8"/>
    <w:rsid w:val="00517FD8"/>
    <w:rsid w:val="00526B7B"/>
    <w:rsid w:val="005274D2"/>
    <w:rsid w:val="005308CE"/>
    <w:rsid w:val="0053318C"/>
    <w:rsid w:val="005419E9"/>
    <w:rsid w:val="00544C93"/>
    <w:rsid w:val="0054535F"/>
    <w:rsid w:val="00545FCF"/>
    <w:rsid w:val="00554AA2"/>
    <w:rsid w:val="00555102"/>
    <w:rsid w:val="00566E59"/>
    <w:rsid w:val="005728C3"/>
    <w:rsid w:val="0057439C"/>
    <w:rsid w:val="005960FA"/>
    <w:rsid w:val="005B0127"/>
    <w:rsid w:val="005B7A35"/>
    <w:rsid w:val="005C4B73"/>
    <w:rsid w:val="005C4E02"/>
    <w:rsid w:val="005C792B"/>
    <w:rsid w:val="005D067D"/>
    <w:rsid w:val="005E0840"/>
    <w:rsid w:val="005E1D2B"/>
    <w:rsid w:val="005E7074"/>
    <w:rsid w:val="005F2BAF"/>
    <w:rsid w:val="00600D93"/>
    <w:rsid w:val="00614797"/>
    <w:rsid w:val="00626BEA"/>
    <w:rsid w:val="0063300C"/>
    <w:rsid w:val="0064276B"/>
    <w:rsid w:val="006518A4"/>
    <w:rsid w:val="00651A5B"/>
    <w:rsid w:val="00654F26"/>
    <w:rsid w:val="00655736"/>
    <w:rsid w:val="0065799E"/>
    <w:rsid w:val="00663B8D"/>
    <w:rsid w:val="0067492F"/>
    <w:rsid w:val="00680EF1"/>
    <w:rsid w:val="00682696"/>
    <w:rsid w:val="00691FCE"/>
    <w:rsid w:val="00696C8D"/>
    <w:rsid w:val="006A2AC2"/>
    <w:rsid w:val="006A3617"/>
    <w:rsid w:val="006B4452"/>
    <w:rsid w:val="006D3FCF"/>
    <w:rsid w:val="006E446A"/>
    <w:rsid w:val="006E46E4"/>
    <w:rsid w:val="006E75EB"/>
    <w:rsid w:val="00713B6D"/>
    <w:rsid w:val="00717DA5"/>
    <w:rsid w:val="007333D0"/>
    <w:rsid w:val="00744484"/>
    <w:rsid w:val="00747566"/>
    <w:rsid w:val="00752C5A"/>
    <w:rsid w:val="007536DA"/>
    <w:rsid w:val="00773188"/>
    <w:rsid w:val="00783782"/>
    <w:rsid w:val="00784B8C"/>
    <w:rsid w:val="007879E1"/>
    <w:rsid w:val="007C3C56"/>
    <w:rsid w:val="007C6362"/>
    <w:rsid w:val="007E161A"/>
    <w:rsid w:val="007E57AA"/>
    <w:rsid w:val="007E5E8B"/>
    <w:rsid w:val="00814386"/>
    <w:rsid w:val="00820537"/>
    <w:rsid w:val="00823A11"/>
    <w:rsid w:val="00826C84"/>
    <w:rsid w:val="008303C6"/>
    <w:rsid w:val="00832E7E"/>
    <w:rsid w:val="00843C34"/>
    <w:rsid w:val="0085405E"/>
    <w:rsid w:val="0085414A"/>
    <w:rsid w:val="00857EB9"/>
    <w:rsid w:val="0086269D"/>
    <w:rsid w:val="0086543A"/>
    <w:rsid w:val="008724E5"/>
    <w:rsid w:val="008765C9"/>
    <w:rsid w:val="00876785"/>
    <w:rsid w:val="00882FA2"/>
    <w:rsid w:val="00883229"/>
    <w:rsid w:val="00884A9D"/>
    <w:rsid w:val="0088512B"/>
    <w:rsid w:val="00887789"/>
    <w:rsid w:val="008A2B2D"/>
    <w:rsid w:val="008A4E1E"/>
    <w:rsid w:val="008A6458"/>
    <w:rsid w:val="008C296C"/>
    <w:rsid w:val="008D4305"/>
    <w:rsid w:val="008E1A85"/>
    <w:rsid w:val="008E344F"/>
    <w:rsid w:val="008E51E9"/>
    <w:rsid w:val="008E64A0"/>
    <w:rsid w:val="008F31C7"/>
    <w:rsid w:val="00905AFF"/>
    <w:rsid w:val="009163A7"/>
    <w:rsid w:val="009207E3"/>
    <w:rsid w:val="00937D53"/>
    <w:rsid w:val="00946D0B"/>
    <w:rsid w:val="00955877"/>
    <w:rsid w:val="00962034"/>
    <w:rsid w:val="0097481B"/>
    <w:rsid w:val="00976D68"/>
    <w:rsid w:val="009A18CD"/>
    <w:rsid w:val="009A3393"/>
    <w:rsid w:val="009B57F5"/>
    <w:rsid w:val="009D5428"/>
    <w:rsid w:val="009F15A6"/>
    <w:rsid w:val="009F2F8F"/>
    <w:rsid w:val="00A100F7"/>
    <w:rsid w:val="00A10DC0"/>
    <w:rsid w:val="00A1221D"/>
    <w:rsid w:val="00A12558"/>
    <w:rsid w:val="00A133C8"/>
    <w:rsid w:val="00A13903"/>
    <w:rsid w:val="00A14D75"/>
    <w:rsid w:val="00A323A3"/>
    <w:rsid w:val="00A34ED5"/>
    <w:rsid w:val="00A45DBF"/>
    <w:rsid w:val="00A63E8E"/>
    <w:rsid w:val="00A725CF"/>
    <w:rsid w:val="00A755A2"/>
    <w:rsid w:val="00A8294A"/>
    <w:rsid w:val="00A82CDA"/>
    <w:rsid w:val="00A91430"/>
    <w:rsid w:val="00AA0EB5"/>
    <w:rsid w:val="00AA1F31"/>
    <w:rsid w:val="00AA4CFE"/>
    <w:rsid w:val="00AA590D"/>
    <w:rsid w:val="00AA6660"/>
    <w:rsid w:val="00AB2C36"/>
    <w:rsid w:val="00AB5E42"/>
    <w:rsid w:val="00AB6DDE"/>
    <w:rsid w:val="00AB70AE"/>
    <w:rsid w:val="00AB70B6"/>
    <w:rsid w:val="00AC18C1"/>
    <w:rsid w:val="00AD1A86"/>
    <w:rsid w:val="00AD3593"/>
    <w:rsid w:val="00AD5C46"/>
    <w:rsid w:val="00AD647B"/>
    <w:rsid w:val="00AE103E"/>
    <w:rsid w:val="00AF0A07"/>
    <w:rsid w:val="00AF4AEC"/>
    <w:rsid w:val="00AF625E"/>
    <w:rsid w:val="00B07ADC"/>
    <w:rsid w:val="00B139BE"/>
    <w:rsid w:val="00B2172B"/>
    <w:rsid w:val="00B34428"/>
    <w:rsid w:val="00B41AB5"/>
    <w:rsid w:val="00B72214"/>
    <w:rsid w:val="00B8560A"/>
    <w:rsid w:val="00B917D2"/>
    <w:rsid w:val="00B97EB3"/>
    <w:rsid w:val="00BA0456"/>
    <w:rsid w:val="00BA0ADB"/>
    <w:rsid w:val="00BA241A"/>
    <w:rsid w:val="00BB04AF"/>
    <w:rsid w:val="00BB6EEC"/>
    <w:rsid w:val="00BB6FBC"/>
    <w:rsid w:val="00BD52C9"/>
    <w:rsid w:val="00BE6354"/>
    <w:rsid w:val="00BE6E70"/>
    <w:rsid w:val="00C128DD"/>
    <w:rsid w:val="00C138D1"/>
    <w:rsid w:val="00C150EF"/>
    <w:rsid w:val="00C23A97"/>
    <w:rsid w:val="00C27270"/>
    <w:rsid w:val="00C510BC"/>
    <w:rsid w:val="00C519FC"/>
    <w:rsid w:val="00C52EBE"/>
    <w:rsid w:val="00C556DD"/>
    <w:rsid w:val="00C5776D"/>
    <w:rsid w:val="00C64855"/>
    <w:rsid w:val="00C70EA7"/>
    <w:rsid w:val="00C70F2D"/>
    <w:rsid w:val="00C7433F"/>
    <w:rsid w:val="00C7516E"/>
    <w:rsid w:val="00C75770"/>
    <w:rsid w:val="00C8138C"/>
    <w:rsid w:val="00C86D86"/>
    <w:rsid w:val="00C93AD6"/>
    <w:rsid w:val="00CA56BB"/>
    <w:rsid w:val="00CB0542"/>
    <w:rsid w:val="00CB5DB5"/>
    <w:rsid w:val="00CC26F0"/>
    <w:rsid w:val="00CC2F26"/>
    <w:rsid w:val="00CC4CD0"/>
    <w:rsid w:val="00CD1078"/>
    <w:rsid w:val="00D00B2B"/>
    <w:rsid w:val="00D0320F"/>
    <w:rsid w:val="00D10294"/>
    <w:rsid w:val="00D174CA"/>
    <w:rsid w:val="00D24877"/>
    <w:rsid w:val="00D27A4A"/>
    <w:rsid w:val="00D6174F"/>
    <w:rsid w:val="00D63318"/>
    <w:rsid w:val="00D7105A"/>
    <w:rsid w:val="00D8250F"/>
    <w:rsid w:val="00D86BB3"/>
    <w:rsid w:val="00D95C4C"/>
    <w:rsid w:val="00D96178"/>
    <w:rsid w:val="00D974F2"/>
    <w:rsid w:val="00DA2A6E"/>
    <w:rsid w:val="00DA36ED"/>
    <w:rsid w:val="00DB439D"/>
    <w:rsid w:val="00DB56C4"/>
    <w:rsid w:val="00DC49CB"/>
    <w:rsid w:val="00DD59F7"/>
    <w:rsid w:val="00DE34F1"/>
    <w:rsid w:val="00DE6160"/>
    <w:rsid w:val="00DF48A7"/>
    <w:rsid w:val="00DF4942"/>
    <w:rsid w:val="00E15573"/>
    <w:rsid w:val="00E2125F"/>
    <w:rsid w:val="00E244E1"/>
    <w:rsid w:val="00E24968"/>
    <w:rsid w:val="00E259FA"/>
    <w:rsid w:val="00E325EC"/>
    <w:rsid w:val="00E4150C"/>
    <w:rsid w:val="00E627B1"/>
    <w:rsid w:val="00E70169"/>
    <w:rsid w:val="00E72F23"/>
    <w:rsid w:val="00E9356D"/>
    <w:rsid w:val="00E9376C"/>
    <w:rsid w:val="00E95AE2"/>
    <w:rsid w:val="00E95F69"/>
    <w:rsid w:val="00EA335E"/>
    <w:rsid w:val="00EA528C"/>
    <w:rsid w:val="00EA5413"/>
    <w:rsid w:val="00EA580C"/>
    <w:rsid w:val="00EC2BA3"/>
    <w:rsid w:val="00EC6850"/>
    <w:rsid w:val="00EC6F8D"/>
    <w:rsid w:val="00EC6FAB"/>
    <w:rsid w:val="00EC7FC8"/>
    <w:rsid w:val="00ED05DE"/>
    <w:rsid w:val="00ED39B2"/>
    <w:rsid w:val="00EE49F4"/>
    <w:rsid w:val="00EF34E2"/>
    <w:rsid w:val="00EF3EB7"/>
    <w:rsid w:val="00F07415"/>
    <w:rsid w:val="00F30DC6"/>
    <w:rsid w:val="00F31F96"/>
    <w:rsid w:val="00F32C23"/>
    <w:rsid w:val="00F36967"/>
    <w:rsid w:val="00F41FC2"/>
    <w:rsid w:val="00F46DEA"/>
    <w:rsid w:val="00F53DE9"/>
    <w:rsid w:val="00F576CB"/>
    <w:rsid w:val="00F7035D"/>
    <w:rsid w:val="00F70CC5"/>
    <w:rsid w:val="00F71A02"/>
    <w:rsid w:val="00F86F88"/>
    <w:rsid w:val="00FA0D63"/>
    <w:rsid w:val="00FC3F5E"/>
    <w:rsid w:val="00FD01AD"/>
    <w:rsid w:val="00FD1226"/>
    <w:rsid w:val="00FD4BC8"/>
    <w:rsid w:val="00FF4763"/>
    <w:rsid w:val="00FF4830"/>
    <w:rsid w:val="00FF661E"/>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en-GB"/>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rPr>
  </w:style>
  <w:style w:type="paragraph" w:customStyle="1" w:styleId="GAPara">
    <w:name w:val="GA Para"/>
    <w:qFormat/>
    <w:rsid w:val="00882FA2"/>
    <w:pPr>
      <w:spacing w:after="120"/>
      <w:ind w:left="720" w:hanging="360"/>
    </w:pPr>
    <w:rPr>
      <w:rFonts w:ascii="Arial" w:eastAsia="Times New Roman" w:hAnsi="Arial" w:cs="Arial"/>
      <w:snapToGrid w:val="0"/>
      <w:sz w:val="22"/>
      <w:szCs w:val="22"/>
      <w:lang w:val="en-GB" w:eastAsia="en-US"/>
    </w:rPr>
  </w:style>
  <w:style w:type="character" w:styleId="Hyperlink">
    <w:name w:val="Hyperlink"/>
    <w:unhideWhenUsed/>
    <w:rsid w:val="00882FA2"/>
    <w:rPr>
      <w:color w:val="0000FF"/>
      <w:u w:val="single"/>
    </w:rPr>
  </w:style>
  <w:style w:type="character" w:styleId="FollowedHyperlink">
    <w:name w:val="FollowedHyperlink"/>
    <w:basedOn w:val="DefaultParagraphFont"/>
    <w:uiPriority w:val="99"/>
    <w:semiHidden/>
    <w:unhideWhenUsed/>
    <w:rsid w:val="00882FA2"/>
    <w:rPr>
      <w:color w:val="800080" w:themeColor="followedHyperlink"/>
      <w:u w:val="single"/>
    </w:rPr>
  </w:style>
  <w:style w:type="character" w:styleId="UnresolvedMention">
    <w:name w:val="Unresolved Mention"/>
    <w:basedOn w:val="DefaultParagraphFont"/>
    <w:uiPriority w:val="99"/>
    <w:semiHidden/>
    <w:unhideWhenUsed/>
    <w:rsid w:val="00976D68"/>
    <w:rPr>
      <w:color w:val="605E5C"/>
      <w:shd w:val="clear" w:color="auto" w:fill="E1DFDD"/>
    </w:rPr>
  </w:style>
  <w:style w:type="character" w:styleId="CommentReference">
    <w:name w:val="annotation reference"/>
    <w:basedOn w:val="DefaultParagraphFont"/>
    <w:uiPriority w:val="99"/>
    <w:semiHidden/>
    <w:unhideWhenUsed/>
    <w:rsid w:val="00843C34"/>
    <w:rPr>
      <w:sz w:val="16"/>
      <w:szCs w:val="16"/>
    </w:rPr>
  </w:style>
  <w:style w:type="paragraph" w:styleId="CommentText">
    <w:name w:val="annotation text"/>
    <w:basedOn w:val="Normal"/>
    <w:link w:val="CommentTextChar"/>
    <w:uiPriority w:val="99"/>
    <w:unhideWhenUsed/>
    <w:rsid w:val="00843C34"/>
    <w:rPr>
      <w:sz w:val="20"/>
      <w:szCs w:val="20"/>
    </w:rPr>
  </w:style>
  <w:style w:type="character" w:customStyle="1" w:styleId="CommentTextChar">
    <w:name w:val="Comment Text Char"/>
    <w:basedOn w:val="DefaultParagraphFont"/>
    <w:link w:val="CommentText"/>
    <w:uiPriority w:val="99"/>
    <w:rsid w:val="00843C3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43C34"/>
    <w:rPr>
      <w:b/>
      <w:bCs/>
    </w:rPr>
  </w:style>
  <w:style w:type="character" w:customStyle="1" w:styleId="CommentSubjectChar">
    <w:name w:val="Comment Subject Char"/>
    <w:basedOn w:val="CommentTextChar"/>
    <w:link w:val="CommentSubject"/>
    <w:uiPriority w:val="99"/>
    <w:semiHidden/>
    <w:rsid w:val="00843C34"/>
    <w:rPr>
      <w:rFonts w:ascii="Times New Roman" w:eastAsia="Times New Roman" w:hAnsi="Times New Roman"/>
      <w:b/>
      <w:bCs/>
    </w:rPr>
  </w:style>
  <w:style w:type="character" w:customStyle="1" w:styleId="hps">
    <w:name w:val="hps"/>
    <w:rsid w:val="00D96178"/>
  </w:style>
  <w:style w:type="paragraph" w:customStyle="1" w:styleId="COMParabodytext">
    <w:name w:val="COM Para body text"/>
    <w:basedOn w:val="Normal"/>
    <w:qFormat/>
    <w:rsid w:val="00E9356D"/>
    <w:pPr>
      <w:tabs>
        <w:tab w:val="left" w:pos="567"/>
      </w:tabs>
      <w:snapToGrid w:val="0"/>
      <w:spacing w:after="120"/>
      <w:jc w:val="both"/>
    </w:pPr>
    <w:rPr>
      <w:rFonts w:ascii="Arial" w:hAnsi="Arial" w:cs="Arial"/>
      <w:snapToGrid w:val="0"/>
      <w:sz w:val="22"/>
      <w:szCs w:val="22"/>
      <w:lang w:val="en-US" w:eastAsia="en-US"/>
    </w:rPr>
  </w:style>
  <w:style w:type="paragraph" w:styleId="Revision">
    <w:name w:val="Revision"/>
    <w:hidden/>
    <w:uiPriority w:val="99"/>
    <w:semiHidden/>
    <w:rsid w:val="00AB5E4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doc/src/LHE-26-11.GA-INF.8_EN.docx" TargetMode="External"/><Relationship Id="rId18" Type="http://schemas.openxmlformats.org/officeDocument/2006/relationships/hyperlink" Target="https://ich.unesco.org/doc/src/LHE-25-20.COM-14_EN.docx?t=1764362577" TargetMode="External"/><Relationship Id="rId26" Type="http://schemas.openxmlformats.org/officeDocument/2006/relationships/hyperlink" Target="https://ich.unesco.org/en/resolutions/3.GA/9" TargetMode="External"/><Relationship Id="rId39" Type="http://schemas.openxmlformats.org/officeDocument/2006/relationships/hyperlink" Target="https://ich.unesco.org/en/Decisions/14.COM/7" TargetMode="External"/><Relationship Id="rId21" Type="http://schemas.openxmlformats.org/officeDocument/2006/relationships/hyperlink" Target="https://ich.unesco.org/doc/src/LHE-26-11.GA-INF.8_EN.docx" TargetMode="External"/><Relationship Id="rId34" Type="http://schemas.openxmlformats.org/officeDocument/2006/relationships/hyperlink" Target="https://ich.unesco.org/en/decisions/20.COM/14" TargetMode="External"/><Relationship Id="rId42" Type="http://schemas.openxmlformats.org/officeDocument/2006/relationships/hyperlink" Target="https://ich.unesco.org/en/decisions/20.COM/14" TargetMode="External"/><Relationship Id="rId47" Type="http://schemas.openxmlformats.org/officeDocument/2006/relationships/hyperlink" Target="https://ich.unesco.org/doc/src/61291-EN.pdf" TargetMode="External"/><Relationship Id="rId50" Type="http://schemas.openxmlformats.org/officeDocument/2006/relationships/hyperlink" Target="https://ich.unesco.org/doc/src/LHE-25-20.COM-INF.13.2_EN.docx" TargetMode="External"/><Relationship Id="rId55" Type="http://schemas.openxmlformats.org/officeDocument/2006/relationships/hyperlink" Target="https://www.unesco.org/sites/default/files/medias/fichiers/2025/09/EN_MONDIACULT_Outcome_Document%20Final%2027.09.25.pdf?hub=171169" TargetMode="External"/><Relationship Id="rId63" Type="http://schemas.openxmlformats.org/officeDocument/2006/relationships/hyperlink" Target="https://ich.unesco.org/en/decisions/20.COM/13" TargetMode="External"/><Relationship Id="rId68"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ch.unesco.org/doc/src/LHE-26-11.GA-6_EN.docx" TargetMode="External"/><Relationship Id="rId29" Type="http://schemas.openxmlformats.org/officeDocument/2006/relationships/hyperlink" Target="https://ich.unesco.org/doc/src/LHE-26-11.GA-6_E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0.GA/8" TargetMode="External"/><Relationship Id="rId24" Type="http://schemas.openxmlformats.org/officeDocument/2006/relationships/hyperlink" Target="https://ich.unesco.org/doc/src/LHE-24-10.GA-8_EN.docx" TargetMode="External"/><Relationship Id="rId32" Type="http://schemas.openxmlformats.org/officeDocument/2006/relationships/hyperlink" Target="http://ich.unesco.org/en/Decisions/16.COM/13" TargetMode="External"/><Relationship Id="rId37" Type="http://schemas.openxmlformats.org/officeDocument/2006/relationships/hyperlink" Target="https://ich.unesco.org/en/Decisions/7.GA/8" TargetMode="External"/><Relationship Id="rId40" Type="http://schemas.openxmlformats.org/officeDocument/2006/relationships/hyperlink" Target="https://unesdoc.unesco.org/ark:/48223/pf0000392982" TargetMode="External"/><Relationship Id="rId45" Type="http://schemas.openxmlformats.org/officeDocument/2006/relationships/hyperlink" Target="https://ich.unesco.org/en/facilitator" TargetMode="External"/><Relationship Id="rId53" Type="http://schemas.openxmlformats.org/officeDocument/2006/relationships/hyperlink" Target="https://ich.unesco.org/doc/src/LHE-25-20.COM-6.c_EN.docx" TargetMode="External"/><Relationship Id="rId58" Type="http://schemas.openxmlformats.org/officeDocument/2006/relationships/hyperlink" Target="https://ich.unesco.org/en/decisions/10.GA/8"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h.unesco.org/doc/src/LHE-25-20.COM-14_EN.docx?t=1764362577" TargetMode="External"/><Relationship Id="rId23" Type="http://schemas.openxmlformats.org/officeDocument/2006/relationships/hyperlink" Target="https://ich.unesco.org/doc/src/LHE-25-20.COM-14_EN.docx?t=1764362577" TargetMode="External"/><Relationship Id="rId28" Type="http://schemas.openxmlformats.org/officeDocument/2006/relationships/hyperlink" Target="https://ich.unesco.org/doc/src/LHE-25-20.COM-5_EN.docx?t=1762809973" TargetMode="External"/><Relationship Id="rId36" Type="http://schemas.openxmlformats.org/officeDocument/2006/relationships/hyperlink" Target="https://ich.unesco.org/doc/src/LHE-25-20.COM-10-EN.docx" TargetMode="External"/><Relationship Id="rId49" Type="http://schemas.openxmlformats.org/officeDocument/2006/relationships/hyperlink" Target="https://ich.unesco.org/doc/src/LHE-25-20.COM-13_EN.docx" TargetMode="External"/><Relationship Id="rId57" Type="http://schemas.openxmlformats.org/officeDocument/2006/relationships/hyperlink" Target="https://ich.unesco.org/en/decisions/19.COM/15" TargetMode="External"/><Relationship Id="rId61" Type="http://schemas.openxmlformats.org/officeDocument/2006/relationships/hyperlink" Target="https://ich.unesco.org/doc/src/LHE-26-11.GA-INF.8_EN.docx" TargetMode="External"/><Relationship Id="rId10" Type="http://schemas.openxmlformats.org/officeDocument/2006/relationships/hyperlink" Target="https://ich.unesco.org/doc/src/LHE-26-11.GA-INF.8_EN.docx" TargetMode="External"/><Relationship Id="rId19" Type="http://schemas.openxmlformats.org/officeDocument/2006/relationships/image" Target="media/image1.png"/><Relationship Id="rId31" Type="http://schemas.openxmlformats.org/officeDocument/2006/relationships/hyperlink" Target="https://ich.unesco.org/doc/src/LHE-21-16.COM-INF.10_Rev.-EN.pdf" TargetMode="External"/><Relationship Id="rId44" Type="http://schemas.openxmlformats.org/officeDocument/2006/relationships/hyperlink" Target="https://ich.unesco.org/en/learning-platform-01397" TargetMode="External"/><Relationship Id="rId52" Type="http://schemas.openxmlformats.org/officeDocument/2006/relationships/hyperlink" Target="https://ich.unesco.org/en/towards-a-platform-for-sharing-good-safeguarding-experiences-01404" TargetMode="External"/><Relationship Id="rId60" Type="http://schemas.openxmlformats.org/officeDocument/2006/relationships/hyperlink" Target="https://ich.unesco.org/en/decisions/20.COM/14" TargetMode="External"/><Relationship Id="rId65" Type="http://schemas.openxmlformats.org/officeDocument/2006/relationships/hyperlink" Target="https://ich.unesco.org/en/decisions/10.COM/8" TargetMode="External"/><Relationship Id="rId4" Type="http://schemas.openxmlformats.org/officeDocument/2006/relationships/settings" Target="settings.xml"/><Relationship Id="rId9" Type="http://schemas.openxmlformats.org/officeDocument/2006/relationships/hyperlink" Target="https://ich.unesco.org/en/directives" TargetMode="External"/><Relationship Id="rId14" Type="http://schemas.openxmlformats.org/officeDocument/2006/relationships/hyperlink" Target="https://ich.unesco.org/doc/src/LHE-26-11.GA-INF.8_EN.docx" TargetMode="External"/><Relationship Id="rId22" Type="http://schemas.openxmlformats.org/officeDocument/2006/relationships/image" Target="media/image2.png"/><Relationship Id="rId27" Type="http://schemas.openxmlformats.org/officeDocument/2006/relationships/hyperlink" Target="https://ich.unesco.org/en/decisions/8.GA/7" TargetMode="External"/><Relationship Id="rId30" Type="http://schemas.openxmlformats.org/officeDocument/2006/relationships/hyperlink" Target="https://ich.unesco.org/en/decisions/10.GA/8" TargetMode="External"/><Relationship Id="rId35" Type="http://schemas.openxmlformats.org/officeDocument/2006/relationships/hyperlink" Target="https://ich.unesco.org/en/Decisions/17.COM/11" TargetMode="External"/><Relationship Id="rId43" Type="http://schemas.openxmlformats.org/officeDocument/2006/relationships/hyperlink" Target="https://www.unesco.org/sites/default/files/medias/fichiers/2025/09/EN_MONDIACULT_Outcome_Document%20Final%2027.09.25.pdf?hub=171169" TargetMode="External"/><Relationship Id="rId48" Type="http://schemas.openxmlformats.org/officeDocument/2006/relationships/hyperlink" Target="https://www.unesco.org/sites/default/files/medias/fichiers/2024/04/WCCAE_UNESCO%20Framework_EN_CLT-EDWCCAE20241.pdf" TargetMode="External"/><Relationship Id="rId56" Type="http://schemas.openxmlformats.org/officeDocument/2006/relationships/hyperlink" Target="https://ich.unesco.org/en/dive" TargetMode="External"/><Relationship Id="rId64" Type="http://schemas.openxmlformats.org/officeDocument/2006/relationships/hyperlink" Target="https://ich.unesco.org/en/decisions/20.COM/14" TargetMode="External"/><Relationship Id="rId69" Type="http://schemas.openxmlformats.org/officeDocument/2006/relationships/fontTable" Target="fontTable.xml"/><Relationship Id="rId8" Type="http://schemas.openxmlformats.org/officeDocument/2006/relationships/hyperlink" Target="https://ich.unesco.org/en/decisions/20.COM/14" TargetMode="External"/><Relationship Id="rId51" Type="http://schemas.openxmlformats.org/officeDocument/2006/relationships/hyperlink" Target="https://ich.unesco.org/en/reflection-on-a-broader-implementation-of-article-18-01302" TargetMode="External"/><Relationship Id="rId3" Type="http://schemas.openxmlformats.org/officeDocument/2006/relationships/styles" Target="styles.xml"/><Relationship Id="rId12" Type="http://schemas.openxmlformats.org/officeDocument/2006/relationships/hyperlink" Target="https://ich.unesco.org/en/decisions/20.COM/13" TargetMode="External"/><Relationship Id="rId17" Type="http://schemas.openxmlformats.org/officeDocument/2006/relationships/hyperlink" Target="https://ich.unesco.org/doc/src/LHE-26-11.GA-INF.8_EN.docx" TargetMode="External"/><Relationship Id="rId25" Type="http://schemas.openxmlformats.org/officeDocument/2006/relationships/hyperlink" Target="https://ich.unesco.org/doc/download.php?versionID=86634" TargetMode="External"/><Relationship Id="rId33" Type="http://schemas.openxmlformats.org/officeDocument/2006/relationships/hyperlink" Target="https://ich.unesco.org/en/decisions/18.COM/14" TargetMode="External"/><Relationship Id="rId38" Type="http://schemas.openxmlformats.org/officeDocument/2006/relationships/hyperlink" Target="https://ich.unesco.org/doc/src/ICH-Operational_Directives-10.GA_EN.pdf" TargetMode="External"/><Relationship Id="rId46" Type="http://schemas.openxmlformats.org/officeDocument/2006/relationships/hyperlink" Target="https://ich.unesco.org/doc/src/LHE-25-20.COM-6.c_EN.docx" TargetMode="External"/><Relationship Id="rId59" Type="http://schemas.openxmlformats.org/officeDocument/2006/relationships/hyperlink" Target="https://ich.unesco.org/doc/src/LHE-26-11.GA-INF.8_EN.docx" TargetMode="External"/><Relationship Id="rId67" Type="http://schemas.openxmlformats.org/officeDocument/2006/relationships/header" Target="header2.xml"/><Relationship Id="rId20" Type="http://schemas.openxmlformats.org/officeDocument/2006/relationships/hyperlink" Target="https://ich.unesco.org/doc/src/LHE-25-20.COM-10-EN.docx" TargetMode="External"/><Relationship Id="rId41" Type="http://schemas.openxmlformats.org/officeDocument/2006/relationships/hyperlink" Target="https://unesdoc.unesco.org/ark:/48223/pf0000396877" TargetMode="External"/><Relationship Id="rId54" Type="http://schemas.openxmlformats.org/officeDocument/2006/relationships/hyperlink" Target="https://ich.unesco.org/en/decisions/19.COM/15" TargetMode="External"/><Relationship Id="rId62" Type="http://schemas.openxmlformats.org/officeDocument/2006/relationships/hyperlink" Target="https://unesdoc.unesco.org/ark:/48223/pf0000396877" TargetMode="External"/><Relationship Id="rId7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92982" TargetMode="External"/><Relationship Id="rId2" Type="http://schemas.openxmlformats.org/officeDocument/2006/relationships/hyperlink" Target="https://ich.unesco.org/en/Decisions/8.COM/7.c" TargetMode="External"/><Relationship Id="rId1" Type="http://schemas.openxmlformats.org/officeDocument/2006/relationships/hyperlink" Target="https://unesco.sharepoint.com/sites/ms/en-US/Shared%20Documents/Forms/AssessedContributions.aspx?id=%2Fsites%2Fms%2Fen%2DUS%2FShared%20Documents%2FMember%20States%20Assessed%20Contributions%2FICH%2DStatus%2Dof%2DContributions%2Epdf&amp;parent=%2Fsites%2F" TargetMode="External"/><Relationship Id="rId4" Type="http://schemas.openxmlformats.org/officeDocument/2006/relationships/hyperlink" Target="https://unesdoc.unesco.org/ark:/48223/pf000039298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6317</Words>
  <Characters>34746</Characters>
  <Application>Microsoft Office Word</Application>
  <DocSecurity>0</DocSecurity>
  <Lines>289</Lines>
  <Paragraphs>81</Paragraphs>
  <ScaleCrop>false</ScaleCrop>
  <Company/>
  <LinksUpToDate>false</LinksUpToDate>
  <CharactersWithSpaces>40982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2026-05-18T21:52:00Z</dcterms:created>
  <dcterms:modified xsi:type="dcterms:W3CDTF">2026-05-18T22:06:00Z</dcterms:modified>
</cp:coreProperties>
</file>