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2F3148" w:rsidRDefault="00EC6F8D" w:rsidP="005E6311">
      <w:pPr>
        <w:bidi/>
        <w:spacing w:before="1440" w:line="288" w:lineRule="auto"/>
        <w:jc w:val="center"/>
        <w:rPr>
          <w:rFonts w:ascii="Arial" w:hAnsi="Arial"/>
          <w:b/>
          <w:sz w:val="22"/>
          <w:szCs w:val="22"/>
          <w:rtl/>
        </w:rPr>
      </w:pPr>
      <w:r w:rsidRPr="002F3148">
        <w:rPr>
          <w:rFonts w:ascii="Arial" w:hAnsi="Arial" w:hint="cs"/>
          <w:b/>
          <w:bCs/>
          <w:sz w:val="22"/>
          <w:szCs w:val="22"/>
          <w:rtl/>
        </w:rPr>
        <w:t>اتفاقية صون التراث الثقافي غير المادي</w:t>
      </w:r>
    </w:p>
    <w:p w14:paraId="3F72B1D3" w14:textId="37133200" w:rsidR="00EC6F8D" w:rsidRPr="002F3148" w:rsidRDefault="005C792B" w:rsidP="005E6311">
      <w:pPr>
        <w:bidi/>
        <w:spacing w:before="1200" w:line="288" w:lineRule="auto"/>
        <w:jc w:val="center"/>
        <w:rPr>
          <w:rFonts w:ascii="Arial" w:hAnsi="Arial"/>
          <w:b/>
          <w:sz w:val="22"/>
          <w:szCs w:val="22"/>
          <w:rtl/>
        </w:rPr>
      </w:pPr>
      <w:r w:rsidRPr="002F3148">
        <w:rPr>
          <w:rFonts w:ascii="Arial" w:hAnsi="Arial" w:hint="cs"/>
          <w:b/>
          <w:bCs/>
          <w:sz w:val="22"/>
          <w:szCs w:val="22"/>
          <w:rtl/>
        </w:rPr>
        <w:t>الجمعية العامة للدول الأطراف في الاتفاقية</w:t>
      </w:r>
    </w:p>
    <w:p w14:paraId="2E1CD4B4" w14:textId="762C97E8" w:rsidR="00EC6F8D" w:rsidRPr="002F3148" w:rsidRDefault="0026085B" w:rsidP="005E6311">
      <w:pPr>
        <w:bidi/>
        <w:spacing w:before="840" w:line="288" w:lineRule="auto"/>
        <w:jc w:val="center"/>
        <w:rPr>
          <w:rFonts w:ascii="Arial" w:hAnsi="Arial"/>
          <w:b/>
          <w:sz w:val="22"/>
          <w:szCs w:val="22"/>
          <w:rtl/>
        </w:rPr>
      </w:pPr>
      <w:r w:rsidRPr="002F3148">
        <w:rPr>
          <w:rFonts w:ascii="Arial" w:hAnsi="Arial" w:hint="cs"/>
          <w:b/>
          <w:bCs/>
          <w:sz w:val="22"/>
          <w:szCs w:val="22"/>
          <w:rtl/>
        </w:rPr>
        <w:t>الدورة الحادية عشرة</w:t>
      </w:r>
    </w:p>
    <w:p w14:paraId="1FD89575" w14:textId="05D2C62D" w:rsidR="00B2172B" w:rsidRPr="002F3148" w:rsidRDefault="005C792B" w:rsidP="005E6311">
      <w:pPr>
        <w:bidi/>
        <w:spacing w:line="288" w:lineRule="auto"/>
        <w:jc w:val="center"/>
        <w:rPr>
          <w:rFonts w:ascii="Arial" w:hAnsi="Arial"/>
          <w:b/>
          <w:sz w:val="22"/>
          <w:szCs w:val="22"/>
          <w:rtl/>
        </w:rPr>
      </w:pPr>
      <w:r w:rsidRPr="002F3148">
        <w:rPr>
          <w:rFonts w:ascii="Arial" w:hAnsi="Arial" w:hint="cs"/>
          <w:b/>
          <w:bCs/>
          <w:sz w:val="22"/>
          <w:szCs w:val="22"/>
          <w:rtl/>
        </w:rPr>
        <w:t>مقر اليونسكو، القاعة 1</w:t>
      </w:r>
    </w:p>
    <w:p w14:paraId="52EA6D50" w14:textId="46BCF87A" w:rsidR="00B2172B" w:rsidRPr="002F3148" w:rsidRDefault="00544C93" w:rsidP="005E6311">
      <w:pPr>
        <w:bidi/>
        <w:spacing w:line="288" w:lineRule="auto"/>
        <w:jc w:val="center"/>
        <w:rPr>
          <w:rFonts w:ascii="Arial" w:hAnsi="Arial"/>
          <w:b/>
          <w:sz w:val="22"/>
          <w:szCs w:val="22"/>
          <w:rtl/>
        </w:rPr>
      </w:pPr>
      <w:r w:rsidRPr="002F3148">
        <w:rPr>
          <w:rFonts w:ascii="Arial" w:hAnsi="Arial" w:hint="cs"/>
          <w:b/>
          <w:bCs/>
          <w:sz w:val="22"/>
          <w:szCs w:val="22"/>
          <w:rtl/>
        </w:rPr>
        <w:t>17 إلى 18 حزيران/يونيو 2026</w:t>
      </w:r>
    </w:p>
    <w:p w14:paraId="0365203A" w14:textId="0599C623" w:rsidR="00EC6F8D" w:rsidRPr="002F3148" w:rsidRDefault="00EC6F8D" w:rsidP="005E6311">
      <w:pPr>
        <w:pStyle w:val="Sansinterligne2"/>
        <w:bidi/>
        <w:spacing w:before="1200" w:line="288" w:lineRule="auto"/>
        <w:jc w:val="center"/>
        <w:rPr>
          <w:rFonts w:ascii="Arial" w:hAnsi="Arial"/>
          <w:b/>
          <w:sz w:val="22"/>
          <w:szCs w:val="22"/>
          <w:rtl/>
        </w:rPr>
      </w:pPr>
      <w:r w:rsidRPr="002F3148">
        <w:rPr>
          <w:rFonts w:ascii="Arial" w:hAnsi="Arial" w:hint="cs"/>
          <w:b/>
          <w:bCs/>
          <w:sz w:val="22"/>
          <w:szCs w:val="22"/>
          <w:u w:val="single"/>
          <w:rtl/>
        </w:rPr>
        <w:t>البند رقم 8 من جدول الأعمال المؤقت</w:t>
      </w:r>
      <w:r w:rsidRPr="002F3148">
        <w:rPr>
          <w:rFonts w:ascii="Arial" w:hAnsi="Arial" w:hint="cs"/>
          <w:b/>
          <w:bCs/>
          <w:sz w:val="22"/>
          <w:szCs w:val="22"/>
          <w:rtl/>
        </w:rPr>
        <w:t>:</w:t>
      </w:r>
    </w:p>
    <w:p w14:paraId="59920478" w14:textId="627A206F" w:rsidR="004A2875" w:rsidRPr="002F3148" w:rsidRDefault="00882FA2" w:rsidP="005E6311">
      <w:pPr>
        <w:pStyle w:val="Sansinterligne2"/>
        <w:bidi/>
        <w:spacing w:after="960" w:line="288" w:lineRule="auto"/>
        <w:jc w:val="center"/>
        <w:rPr>
          <w:rFonts w:ascii="Arial" w:hAnsi="Arial"/>
          <w:bCs/>
          <w:sz w:val="22"/>
          <w:szCs w:val="22"/>
          <w:rtl/>
        </w:rPr>
      </w:pPr>
      <w:r w:rsidRPr="002F3148">
        <w:rPr>
          <w:rFonts w:ascii="Arial" w:hAnsi="Arial" w:hint="cs"/>
          <w:b/>
          <w:bCs/>
          <w:sz w:val="22"/>
          <w:szCs w:val="22"/>
          <w:rtl/>
        </w:rPr>
        <w:t>استخدام موارد صندوق التراث الثقافي غير المادي</w:t>
      </w:r>
    </w:p>
    <w:tbl>
      <w:tblPr>
        <w:bidiVisual/>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2F3148" w14:paraId="75AC6221" w14:textId="77777777" w:rsidTr="00EC6F8D">
        <w:trPr>
          <w:jc w:val="center"/>
        </w:trPr>
        <w:tc>
          <w:tcPr>
            <w:tcW w:w="5670" w:type="dxa"/>
            <w:vAlign w:val="center"/>
          </w:tcPr>
          <w:p w14:paraId="51C260A9" w14:textId="3EC5B6B1" w:rsidR="00EC6F8D" w:rsidRPr="002F3148" w:rsidRDefault="00EC6F8D" w:rsidP="005E6311">
            <w:pPr>
              <w:pStyle w:val="Sansinterligne1"/>
              <w:bidi/>
              <w:spacing w:before="200" w:after="200" w:line="288" w:lineRule="auto"/>
              <w:jc w:val="center"/>
              <w:rPr>
                <w:rFonts w:ascii="Arial" w:hAnsi="Arial"/>
                <w:b/>
                <w:sz w:val="22"/>
                <w:szCs w:val="22"/>
                <w:rtl/>
              </w:rPr>
            </w:pPr>
            <w:r w:rsidRPr="002F3148">
              <w:rPr>
                <w:rFonts w:ascii="Arial" w:hAnsi="Arial" w:hint="cs"/>
                <w:b/>
                <w:bCs/>
                <w:sz w:val="22"/>
                <w:szCs w:val="22"/>
                <w:rtl/>
              </w:rPr>
              <w:t>الملخص</w:t>
            </w:r>
          </w:p>
          <w:p w14:paraId="612E5DE6" w14:textId="31A63EF5" w:rsidR="00BB6EEC" w:rsidRPr="002F3148" w:rsidRDefault="00882FA2" w:rsidP="005E6311">
            <w:pPr>
              <w:pStyle w:val="Sansinterligne1"/>
              <w:bidi/>
              <w:spacing w:line="288" w:lineRule="auto"/>
              <w:jc w:val="both"/>
              <w:rPr>
                <w:rFonts w:ascii="Arial" w:hAnsi="Arial"/>
                <w:bCs/>
                <w:sz w:val="22"/>
                <w:szCs w:val="22"/>
                <w:rtl/>
              </w:rPr>
            </w:pPr>
            <w:r w:rsidRPr="002F3148">
              <w:rPr>
                <w:rFonts w:ascii="Arial" w:hAnsi="Arial" w:hint="cs"/>
                <w:sz w:val="22"/>
                <w:szCs w:val="22"/>
                <w:rtl/>
              </w:rPr>
              <w:t>تقضي المادة 7 (جـ) من الاتفاقية بأن تتولّى اللجنة إعداد مشروع خطة لاستخدام موارد الصندوق وعرضه على الجمعية العامة لإقراره. وتعرض هذه الوثيقة مشروع الخطة الذي أوصت به اللجنة لفترة العامين 2026</w:t>
            </w:r>
            <w:r w:rsidRPr="002F3148">
              <w:rPr>
                <w:rFonts w:hint="cs"/>
                <w:sz w:val="22"/>
                <w:szCs w:val="22"/>
                <w:rtl/>
              </w:rPr>
              <w:t>-</w:t>
            </w:r>
            <w:r w:rsidRPr="002F3148">
              <w:rPr>
                <w:rFonts w:ascii="Arial" w:hAnsi="Arial" w:hint="cs"/>
                <w:sz w:val="22"/>
                <w:szCs w:val="22"/>
                <w:rtl/>
              </w:rPr>
              <w:t>2027 والفصل الأول من عام 2028</w:t>
            </w:r>
            <w:r w:rsidRPr="002F3148">
              <w:rPr>
                <w:rFonts w:hint="cs"/>
                <w:sz w:val="22"/>
                <w:szCs w:val="22"/>
                <w:rtl/>
              </w:rPr>
              <w:t>.</w:t>
            </w:r>
          </w:p>
          <w:p w14:paraId="290310E8" w14:textId="51CA09BB" w:rsidR="00EC6F8D" w:rsidRPr="002F3148" w:rsidRDefault="00EC6F8D" w:rsidP="005E6311">
            <w:pPr>
              <w:pStyle w:val="Sansinterligne2"/>
              <w:bidi/>
              <w:spacing w:before="200" w:after="200" w:line="288" w:lineRule="auto"/>
              <w:jc w:val="both"/>
              <w:rPr>
                <w:rFonts w:ascii="Arial" w:hAnsi="Arial"/>
                <w:b/>
                <w:sz w:val="22"/>
                <w:szCs w:val="22"/>
                <w:rtl/>
              </w:rPr>
            </w:pPr>
            <w:r w:rsidRPr="002F3148">
              <w:rPr>
                <w:rFonts w:ascii="Arial" w:hAnsi="Arial" w:hint="cs"/>
                <w:b/>
                <w:bCs/>
                <w:sz w:val="22"/>
                <w:szCs w:val="22"/>
                <w:rtl/>
              </w:rPr>
              <w:t>المقرر المطلوب</w:t>
            </w:r>
            <w:r w:rsidRPr="002F3148">
              <w:rPr>
                <w:rFonts w:ascii="Arial" w:hAnsi="Arial" w:hint="cs"/>
                <w:sz w:val="22"/>
                <w:szCs w:val="22"/>
                <w:rtl/>
              </w:rPr>
              <w:t>: الفقرة 32</w:t>
            </w:r>
          </w:p>
        </w:tc>
      </w:tr>
    </w:tbl>
    <w:p w14:paraId="570DB8DC" w14:textId="77777777" w:rsidR="00E14351" w:rsidRPr="002F3148" w:rsidRDefault="00E14351" w:rsidP="005E6311">
      <w:pPr>
        <w:pStyle w:val="COMPara"/>
        <w:numPr>
          <w:ilvl w:val="0"/>
          <w:numId w:val="0"/>
        </w:numPr>
        <w:bidi/>
        <w:spacing w:before="240" w:line="288" w:lineRule="auto"/>
        <w:jc w:val="both"/>
        <w:rPr>
          <w:b/>
          <w:bCs/>
          <w:rtl/>
        </w:rPr>
      </w:pPr>
      <w:bookmarkStart w:id="0" w:name="_Hlk124351255"/>
    </w:p>
    <w:p w14:paraId="0AC2EBE5" w14:textId="77777777" w:rsidR="00E14351" w:rsidRPr="002F3148" w:rsidRDefault="00E14351" w:rsidP="005E6311">
      <w:pPr>
        <w:bidi/>
        <w:spacing w:line="288" w:lineRule="auto"/>
        <w:rPr>
          <w:rFonts w:ascii="Arial" w:hAnsi="Arial"/>
          <w:b/>
          <w:bCs/>
          <w:snapToGrid w:val="0"/>
          <w:sz w:val="22"/>
          <w:szCs w:val="22"/>
          <w:rtl/>
        </w:rPr>
      </w:pPr>
      <w:r w:rsidRPr="002F3148">
        <w:rPr>
          <w:rFonts w:hint="cs"/>
          <w:sz w:val="22"/>
          <w:szCs w:val="22"/>
          <w:rtl/>
        </w:rPr>
        <w:br w:type="page"/>
      </w:r>
    </w:p>
    <w:p w14:paraId="6C62585F" w14:textId="0DC312E9" w:rsidR="00F70CC5" w:rsidRPr="002F3148" w:rsidRDefault="002F3148" w:rsidP="005E6311">
      <w:pPr>
        <w:pStyle w:val="COMPara"/>
        <w:numPr>
          <w:ilvl w:val="0"/>
          <w:numId w:val="0"/>
        </w:numPr>
        <w:bidi/>
        <w:spacing w:before="240" w:line="288" w:lineRule="auto"/>
        <w:jc w:val="both"/>
        <w:rPr>
          <w:b/>
          <w:bCs/>
          <w:rtl/>
        </w:rPr>
      </w:pPr>
      <w:r>
        <w:rPr>
          <w:rFonts w:hint="cs"/>
          <w:b/>
          <w:bCs/>
          <w:rtl/>
        </w:rPr>
        <w:lastRenderedPageBreak/>
        <w:t>الخلفي</w:t>
      </w:r>
      <w:r w:rsidR="00FD4BC8" w:rsidRPr="002F3148">
        <w:rPr>
          <w:rFonts w:hint="cs"/>
          <w:b/>
          <w:bCs/>
          <w:rtl/>
        </w:rPr>
        <w:t>ة</w:t>
      </w:r>
    </w:p>
    <w:bookmarkEnd w:id="0"/>
    <w:p w14:paraId="45CF59FE" w14:textId="644A7C91" w:rsidR="00882FA2" w:rsidRPr="002F3148" w:rsidRDefault="00882FA2" w:rsidP="00435C74">
      <w:pPr>
        <w:pStyle w:val="GAPara"/>
        <w:numPr>
          <w:ilvl w:val="0"/>
          <w:numId w:val="23"/>
        </w:numPr>
        <w:bidi/>
        <w:spacing w:line="288" w:lineRule="auto"/>
        <w:ind w:left="567" w:hanging="567"/>
        <w:jc w:val="both"/>
        <w:rPr>
          <w:rtl/>
        </w:rPr>
      </w:pPr>
      <w:r w:rsidRPr="002F3148">
        <w:rPr>
          <w:rFonts w:hint="cs"/>
          <w:rtl/>
        </w:rPr>
        <w:t xml:space="preserve">تقضي المادة 7 (جـ) من الاتفاقية بأن تتولّى اللجنة "إعداد مشروع لاستخدام موارد [الحساب الخاص] لصندوق [التراث الثقافي غير المادي (المشار إليه فيما يلي بالصندوق)]، وعرضه على الجمعية العامة لإقراره وفقاً للمادة 25" من الاتفاقية. وقد أعِدَّ مشروع الخطة (المشار إليه فيما يلي بالخطة) الذي قدّمته اللجنة وفقاً لقرار </w:t>
      </w:r>
      <w:hyperlink r:id="rId8" w:history="1">
        <w:r w:rsidR="005E6311" w:rsidRPr="002F3148">
          <w:rPr>
            <w:rStyle w:val="Hyperlink"/>
          </w:rPr>
          <w:t>20.COM 14</w:t>
        </w:r>
      </w:hyperlink>
      <w:r w:rsidRPr="002F3148">
        <w:rPr>
          <w:rFonts w:hint="cs"/>
          <w:rtl/>
        </w:rPr>
        <w:t xml:space="preserve"> والذي يرد في ملحق هذه الوثيقة، بما يتماشى مع التوجيهات في الفقرة الأولى من الفصل الثاني من </w:t>
      </w:r>
      <w:hyperlink r:id="rId9" w:history="1">
        <w:r w:rsidRPr="002F3148">
          <w:rPr>
            <w:rStyle w:val="Hyperlink"/>
            <w:rFonts w:hint="cs"/>
            <w:rtl/>
          </w:rPr>
          <w:t>التوجيهات التنفيذية</w:t>
        </w:r>
      </w:hyperlink>
      <w:r w:rsidRPr="002F3148">
        <w:rPr>
          <w:rFonts w:hint="cs"/>
          <w:rtl/>
        </w:rPr>
        <w:t xml:space="preserve"> واستناداً إلى تجربة تنفيذ الخطة الخاصة بفترات العامين المنقضية. ويرد التقرير السردي والمالي للفترة من 1 كانون الثاني/يناير 2024 إلى 31 كانون الأول/ديسمبر 2025، على النحو المطلوب بموجب المادة 10 من النظام المالي للصندوق، متاح في </w:t>
      </w:r>
      <w:r w:rsidRPr="006A2AD6">
        <w:rPr>
          <w:rFonts w:hint="cs"/>
          <w:rtl/>
        </w:rPr>
        <w:t xml:space="preserve">الوثيقة </w:t>
      </w:r>
      <w:r w:rsidRPr="006A2AD6">
        <w:rPr>
          <w:cs/>
        </w:rPr>
        <w:t>‎</w:t>
      </w:r>
      <w:r w:rsidR="00435C74" w:rsidRPr="006A2AD6">
        <w:t>.</w:t>
      </w:r>
      <w:hyperlink r:id="rId10" w:history="1">
        <w:r w:rsidR="00435C74" w:rsidRPr="006A2AD6">
          <w:rPr>
            <w:rStyle w:val="Hyperlink"/>
          </w:rPr>
          <w:t>LHE/26/11.GA/INF.8</w:t>
        </w:r>
      </w:hyperlink>
    </w:p>
    <w:p w14:paraId="3EBC354C" w14:textId="539799E8" w:rsidR="00882FA2" w:rsidRPr="002F3148" w:rsidRDefault="00882FA2" w:rsidP="005E6311">
      <w:pPr>
        <w:pStyle w:val="GAPara"/>
        <w:numPr>
          <w:ilvl w:val="0"/>
          <w:numId w:val="23"/>
        </w:numPr>
        <w:bidi/>
        <w:spacing w:line="288" w:lineRule="auto"/>
        <w:ind w:left="567" w:hanging="567"/>
        <w:jc w:val="both"/>
        <w:rPr>
          <w:rtl/>
        </w:rPr>
      </w:pPr>
      <w:r w:rsidRPr="002F3148">
        <w:rPr>
          <w:rFonts w:hint="cs"/>
          <w:rtl/>
        </w:rPr>
        <w:t xml:space="preserve">ووفقاً للمادة 2 من النظام المالي للصندوق على أن "تقديرات الميزانية سنتان تقويميتان متتاليتان تنطلقان بسنة زوجية"، غير أنّ الجمعية العامة للدول الأطراف في الاتفاقية تجتمع في دورات عادية خلال السنوات الزوجية، أي بعد بداية الفترة المالية بستة أشهر تقريباً. لذا يُطلب إلى الدورة الحالية للجمعية أن توافق على خطة للفترة الممتدّة من 1 كانون الثاني/يناير 2026 إلى 31 كانون الأول/ديسمبر 2027، كما تشمل على أساس مؤقت الأشهر الستة الأولى من الفترة المالية التالية، أي الفترة الممتدة من 1 كانون الثاني/يناير 2028 إلى 30 حزيران/يونيو 2028. وستحل هذه الخطة محل الميزانية المؤقتة للفصل الأول من عام 2026 التي اعتمدتها الدورة العاشرة للجمعية العامة (القرار </w:t>
      </w:r>
      <w:hyperlink r:id="rId11" w:history="1">
        <w:r w:rsidRPr="002F3148">
          <w:rPr>
            <w:rStyle w:val="Hyperlink"/>
            <w:cs/>
          </w:rPr>
          <w:t>‎</w:t>
        </w:r>
        <w:hyperlink r:id="rId12" w:history="1">
          <w:r w:rsidR="005E6311" w:rsidRPr="002F3148">
            <w:rPr>
              <w:rStyle w:val="Hyperlink"/>
            </w:rPr>
            <w:t>10.GA 8</w:t>
          </w:r>
        </w:hyperlink>
      </w:hyperlink>
      <w:r w:rsidRPr="002F3148">
        <w:rPr>
          <w:rFonts w:hint="cs"/>
          <w:rtl/>
        </w:rPr>
        <w:t>) بمجرد أن تعتمدها الدورة الحالية للجمعية العامة.</w:t>
      </w:r>
    </w:p>
    <w:p w14:paraId="55557E26" w14:textId="77777777" w:rsidR="00882FA2" w:rsidRPr="002F3148" w:rsidRDefault="00882FA2" w:rsidP="005E6311">
      <w:pPr>
        <w:pStyle w:val="COMPara"/>
        <w:numPr>
          <w:ilvl w:val="0"/>
          <w:numId w:val="23"/>
        </w:numPr>
        <w:tabs>
          <w:tab w:val="left" w:pos="567"/>
        </w:tabs>
        <w:bidi/>
        <w:spacing w:line="288" w:lineRule="auto"/>
        <w:ind w:left="567" w:hanging="567"/>
        <w:jc w:val="both"/>
        <w:rPr>
          <w:bCs/>
          <w:rtl/>
        </w:rPr>
      </w:pPr>
      <w:r w:rsidRPr="002F3148">
        <w:rPr>
          <w:rFonts w:hint="cs"/>
          <w:rtl/>
        </w:rPr>
        <w:t>يُقترح أن تخصص الجمعية العامة الأموال في كل بند بحسب النسب المئوية للموارد الإجمالية المتوافرة، لا بحسب الأرقام المطلقة. وسيسمح ذلك، عند الضرورة، بتخصيص المساهمات المقرّرة المستلمة خلال فترة السنتين لكل بند من بنود الميزانية باتباع النسب المئوية المعتمدة. والغرض من ذلك هو تمكين اللجنة من استخدام أية مساهمات طوعية إضافية كبيرة غير مقيّدة بأغراض محدّدة (وفقاً لما تنص عليه المادة 27) قد يتم إيداعها في الصندوق خلال فترة العامين. كما يُقترح في الآن ذاته أن تأذن الجمعية العامة، مثلما فعلت في دوراتها السابقة، بأن تستخدم أية مساهمات من هذا النوع فور تلقيها، وذلك وفقاً للنسب المئوية المبينة في الخطة.</w:t>
      </w:r>
    </w:p>
    <w:p w14:paraId="4BD553F7" w14:textId="0EB91616" w:rsidR="00882FA2" w:rsidRPr="002F3148" w:rsidRDefault="00882FA2" w:rsidP="00AE4EB2">
      <w:pPr>
        <w:pStyle w:val="COMPara"/>
        <w:numPr>
          <w:ilvl w:val="0"/>
          <w:numId w:val="23"/>
        </w:numPr>
        <w:tabs>
          <w:tab w:val="left" w:pos="567"/>
        </w:tabs>
        <w:bidi/>
        <w:spacing w:line="288" w:lineRule="auto"/>
        <w:ind w:left="567" w:hanging="567"/>
        <w:jc w:val="both"/>
        <w:rPr>
          <w:rtl/>
        </w:rPr>
      </w:pPr>
      <w:r w:rsidRPr="002F3148">
        <w:rPr>
          <w:rFonts w:hint="cs"/>
          <w:rtl/>
        </w:rPr>
        <w:t>ويُطلب كذلك أن تأذن الجمعية العامة بأن تستخدم أية مساهمات متعلّقة بمشاريع محدّدة فور تلقيها، شريطة أن تكون هذه المشاريع ضمن نطاق أولويتي التمويل اللتين وافقت عليهما اللجنة للفترة 2026-2029 (</w:t>
      </w:r>
      <w:r w:rsidR="00B21B0A" w:rsidRPr="00104DEE">
        <w:rPr>
          <w:rFonts w:hint="cs"/>
          <w:rtl/>
        </w:rPr>
        <w:t>القرار</w:t>
      </w:r>
      <w:r w:rsidRPr="002F3148">
        <w:rPr>
          <w:rFonts w:hint="cs"/>
          <w:rtl/>
        </w:rPr>
        <w:t xml:space="preserve"> </w:t>
      </w:r>
      <w:hyperlink r:id="rId13" w:history="1">
        <w:r w:rsidR="005E6311" w:rsidRPr="002F3148">
          <w:rPr>
            <w:rStyle w:val="Hyperlink"/>
          </w:rPr>
          <w:t>20.COM 13</w:t>
        </w:r>
      </w:hyperlink>
      <w:r w:rsidR="005E6311" w:rsidRPr="002F3148">
        <w:rPr>
          <w:rFonts w:hint="cs"/>
          <w:rtl/>
        </w:rPr>
        <w:t>)</w:t>
      </w:r>
      <w:r w:rsidRPr="002F3148">
        <w:t>:</w:t>
      </w:r>
      <w:r w:rsidRPr="002F3148">
        <w:rPr>
          <w:rFonts w:hint="cs"/>
          <w:rtl/>
        </w:rPr>
        <w:t xml:space="preserve"> "تعزيز نُهج بناء القدرات لصون التراث الثقافي غير المادي مع التركيز على رفاه الإنسان وتمكين </w:t>
      </w:r>
      <w:r w:rsidR="00B21B0A">
        <w:rPr>
          <w:rFonts w:ascii="YakoutLinotypeLight-Regular" w:eastAsia="SimSun" w:hAnsi="Calibri" w:cs="YakoutLinotypeLight-Regular" w:hint="cs"/>
          <w:rtl/>
        </w:rPr>
        <w:t>الجماعات</w:t>
      </w:r>
      <w:r w:rsidRPr="002F3148">
        <w:rPr>
          <w:rFonts w:hint="cs"/>
          <w:rtl/>
        </w:rPr>
        <w:t xml:space="preserve"> المحلية" (الأولوية التمويلية "أ")، و"تحسين نُهج صون التراث الثقافي غير المادي" (الأولوية التمويلية "ب"). ويمكن الاطلاع على قائمة المساهمات الواردة خلال الفترة 2024-2025، بالإضافة إلى المساهمات الطوعية الإضافية الأخرى وقائمة المانحين، في الوثيقة </w:t>
      </w:r>
      <w:r w:rsidRPr="006A2AD6">
        <w:rPr>
          <w:rFonts w:hint="cs"/>
          <w:rtl/>
        </w:rPr>
        <w:t xml:space="preserve">الإعلامية </w:t>
      </w:r>
      <w:hyperlink r:id="rId14" w:history="1">
        <w:r w:rsidRPr="006A2AD6">
          <w:rPr>
            <w:rStyle w:val="Hyperlink"/>
          </w:rPr>
          <w:t>LHE/26/11.GA/INF.8</w:t>
        </w:r>
      </w:hyperlink>
      <w:r w:rsidR="00AE4EB2" w:rsidRPr="002F3148">
        <w:rPr>
          <w:rFonts w:hint="cs"/>
          <w:rtl/>
        </w:rPr>
        <w:t>.</w:t>
      </w:r>
    </w:p>
    <w:p w14:paraId="5203149A" w14:textId="348EA378" w:rsidR="00882FA2" w:rsidRPr="002F3148" w:rsidRDefault="00882FA2" w:rsidP="005E6311">
      <w:pPr>
        <w:pStyle w:val="GAPara"/>
        <w:numPr>
          <w:ilvl w:val="0"/>
          <w:numId w:val="23"/>
        </w:numPr>
        <w:bidi/>
        <w:spacing w:line="288" w:lineRule="auto"/>
        <w:ind w:left="567" w:hanging="567"/>
        <w:jc w:val="both"/>
        <w:rPr>
          <w:rtl/>
        </w:rPr>
      </w:pPr>
      <w:r w:rsidRPr="002F3148">
        <w:rPr>
          <w:rFonts w:hint="cs"/>
          <w:rtl/>
        </w:rPr>
        <w:t>تقدم هذه الوثيقة أولاً نظرة عامة على حالة الصندوق والاتجاهات الحالية، بما في ذلك معلومات مستكملة حول الصندوق الفرعي لتعزيز الموارد البشرية للأمانة (الجزء الأول). ويتم بعد ذلك عرض الخطة المقترحة لاستخدام موارد الصندوق للفترة 2026-2027 مع شرح الأساس المنطقي لكل بند من بنود الميزانية (الجزء الثاني).</w:t>
      </w:r>
    </w:p>
    <w:p w14:paraId="123B6521" w14:textId="7E9E0477" w:rsidR="00F70CC5" w:rsidRPr="002F3148" w:rsidRDefault="00976D68" w:rsidP="005E6311">
      <w:pPr>
        <w:pStyle w:val="Heading4"/>
        <w:bidi/>
        <w:spacing w:before="240" w:after="120" w:line="288" w:lineRule="auto"/>
        <w:ind w:left="567" w:hanging="425"/>
        <w:rPr>
          <w:szCs w:val="22"/>
          <w:rtl/>
        </w:rPr>
      </w:pPr>
      <w:r w:rsidRPr="002F3148">
        <w:rPr>
          <w:rFonts w:hint="cs"/>
          <w:szCs w:val="22"/>
          <w:rtl/>
        </w:rPr>
        <w:t>الحالة العامة والاتجاهات</w:t>
      </w:r>
    </w:p>
    <w:p w14:paraId="133D27E5" w14:textId="11B5F3AE" w:rsidR="00976D68" w:rsidRPr="002F3148" w:rsidRDefault="00976D68" w:rsidP="005E6311">
      <w:pPr>
        <w:pStyle w:val="GAPara"/>
        <w:numPr>
          <w:ilvl w:val="0"/>
          <w:numId w:val="23"/>
        </w:numPr>
        <w:bidi/>
        <w:spacing w:line="288" w:lineRule="auto"/>
        <w:ind w:left="567" w:hanging="567"/>
        <w:jc w:val="both"/>
        <w:rPr>
          <w:rtl/>
        </w:rPr>
      </w:pPr>
      <w:r w:rsidRPr="002F3148">
        <w:rPr>
          <w:rFonts w:hint="cs"/>
          <w:rtl/>
        </w:rPr>
        <w:t xml:space="preserve">واستناداً إلى التقرير المالي الوارد في </w:t>
      </w:r>
      <w:r w:rsidRPr="006A2AD6">
        <w:rPr>
          <w:rFonts w:hint="cs"/>
          <w:rtl/>
        </w:rPr>
        <w:t xml:space="preserve">الوثيقة </w:t>
      </w:r>
      <w:hyperlink r:id="rId15" w:history="1">
        <w:r w:rsidRPr="006A2AD6">
          <w:rPr>
            <w:rStyle w:val="Hyperlink"/>
          </w:rPr>
          <w:t>LHE/26/11.GA/INF.8</w:t>
        </w:r>
      </w:hyperlink>
      <w:r w:rsidRPr="002F3148">
        <w:rPr>
          <w:rFonts w:hint="cs"/>
          <w:rtl/>
        </w:rPr>
        <w:t xml:space="preserve"> عن الفترة من 1 كانون الثاني/يناير 2024 إلى 31 كانون الأول/ديسمبر 2025، وعقِب تحليل الاتجاهات المبيّنة في الوثيقة </w:t>
      </w:r>
      <w:hyperlink r:id="rId16" w:history="1">
        <w:r w:rsidRPr="002F3148">
          <w:rPr>
            <w:rStyle w:val="Hyperlink"/>
          </w:rPr>
          <w:t>LHE/25/20.COM/14</w:t>
        </w:r>
      </w:hyperlink>
      <w:r w:rsidRPr="002F3148">
        <w:rPr>
          <w:rFonts w:hint="cs"/>
          <w:rtl/>
        </w:rPr>
        <w:t xml:space="preserve">، يصف هذا القسم تطور نفقات الصندوق </w:t>
      </w:r>
      <w:r w:rsidR="00B21B0A" w:rsidRPr="00104DEE">
        <w:rPr>
          <w:rFonts w:hint="cs"/>
          <w:rtl/>
        </w:rPr>
        <w:t>والمساهمات</w:t>
      </w:r>
      <w:r w:rsidRPr="002F3148">
        <w:rPr>
          <w:rFonts w:hint="cs"/>
          <w:rtl/>
        </w:rPr>
        <w:t xml:space="preserve"> المقررة حتى 31 كانون الأول/ديسمبر 2025.</w:t>
      </w:r>
    </w:p>
    <w:p w14:paraId="01BC7F3E" w14:textId="15836340" w:rsidR="00876785" w:rsidRPr="002F3148" w:rsidRDefault="00876785" w:rsidP="005E6311">
      <w:pPr>
        <w:pStyle w:val="GAPara"/>
        <w:bidi/>
        <w:spacing w:before="240" w:line="288" w:lineRule="auto"/>
        <w:ind w:left="567" w:firstLine="0"/>
        <w:jc w:val="both"/>
        <w:rPr>
          <w:b/>
          <w:bCs/>
          <w:rtl/>
        </w:rPr>
      </w:pPr>
      <w:r w:rsidRPr="002F3148">
        <w:rPr>
          <w:rFonts w:hint="cs"/>
          <w:b/>
          <w:bCs/>
          <w:rtl/>
        </w:rPr>
        <w:t>المصروفات</w:t>
      </w:r>
    </w:p>
    <w:p w14:paraId="57E0F750" w14:textId="15E1D0AF" w:rsidR="003C3D11" w:rsidRPr="002F3148" w:rsidRDefault="003C3D11" w:rsidP="005E6311">
      <w:pPr>
        <w:pStyle w:val="GAPara"/>
        <w:numPr>
          <w:ilvl w:val="0"/>
          <w:numId w:val="23"/>
        </w:numPr>
        <w:bidi/>
        <w:spacing w:line="288" w:lineRule="auto"/>
        <w:ind w:left="567" w:hanging="567"/>
        <w:jc w:val="both"/>
        <w:rPr>
          <w:rtl/>
        </w:rPr>
      </w:pPr>
      <w:r w:rsidRPr="002F3148">
        <w:rPr>
          <w:rFonts w:hint="cs"/>
          <w:rtl/>
        </w:rPr>
        <w:t xml:space="preserve">ارتفع معدل </w:t>
      </w:r>
      <w:r w:rsidRPr="002F3148">
        <w:rPr>
          <w:rFonts w:hint="cs"/>
          <w:b/>
          <w:bCs/>
          <w:rtl/>
        </w:rPr>
        <w:t>إنفاق</w:t>
      </w:r>
      <w:r w:rsidRPr="002F3148">
        <w:rPr>
          <w:rFonts w:hint="cs"/>
          <w:rtl/>
        </w:rPr>
        <w:t xml:space="preserve"> الخطة الأخيرة التي اعتمدتها الجمعية العامة إلى 76.9% كما في 31 كانون الأول/ديسمبر 2025 (مقارنةً بنسبة 73.2% في فترة السنتين السابقة، ومتوسط معدل قدره 61% على مدى السنوات العشر الماضية، بين عامي 2016 و2025)، وهو ما يمثل أعلى معدل إنفاق للصندوق. ويمثل ذلك فترة السنتين الثانية على التوالي التي يصل فيها معدل الإنفاق إلى هذا المستوى المرتفع.</w:t>
      </w:r>
    </w:p>
    <w:p w14:paraId="03DF7B62" w14:textId="1EA58EA8" w:rsidR="001B6D0C" w:rsidRPr="002F3148" w:rsidRDefault="00DF48A7" w:rsidP="00A83197">
      <w:pPr>
        <w:pStyle w:val="GAPara"/>
        <w:numPr>
          <w:ilvl w:val="0"/>
          <w:numId w:val="23"/>
        </w:numPr>
        <w:bidi/>
        <w:spacing w:line="288" w:lineRule="auto"/>
        <w:ind w:left="567" w:hanging="567"/>
        <w:jc w:val="both"/>
        <w:rPr>
          <w:rtl/>
        </w:rPr>
      </w:pPr>
      <w:r w:rsidRPr="002F3148">
        <w:rPr>
          <w:rFonts w:hint="cs"/>
          <w:rtl/>
        </w:rPr>
        <w:t>وبلغت النفقات 6,29 مليون دولار أمريكي في فترة السنتين 2024-2025، وهو مستوى مماثل لما كان عليه في فترة السنتين 2022-2023 التي بلغت فيها النفقات 6,39 مليون دولار أمريكي (انظر الشكل 1). وقد تجاوزت النفقات إلى حد كبير المبلغ الإجمالي ل</w:t>
      </w:r>
      <w:r w:rsidR="001E1C9E" w:rsidRPr="00104DEE">
        <w:rPr>
          <w:rFonts w:hint="cs"/>
          <w:rtl/>
        </w:rPr>
        <w:t>لمساهمات</w:t>
      </w:r>
      <w:r w:rsidRPr="002F3148">
        <w:rPr>
          <w:rFonts w:hint="cs"/>
          <w:rtl/>
        </w:rPr>
        <w:t xml:space="preserve"> المقررة للفترة 2024-2025 (4.73 مليون دولار أمريكي)، والتي تمثل المصدر الأكبر لدخل الصندوق. ويتوافق هذا </w:t>
      </w:r>
      <w:r w:rsidR="001E1C9E" w:rsidRPr="001E1C9E">
        <w:rPr>
          <w:rtl/>
        </w:rPr>
        <w:t>الإنفاق المتزايد مع التطور</w:t>
      </w:r>
      <w:r w:rsidR="001E1C9E" w:rsidRPr="001E1C9E" w:rsidDel="001E1C9E">
        <w:rPr>
          <w:rtl/>
        </w:rPr>
        <w:t xml:space="preserve"> </w:t>
      </w:r>
      <w:r w:rsidRPr="002F3148">
        <w:rPr>
          <w:rFonts w:hint="cs"/>
          <w:rtl/>
        </w:rPr>
        <w:t>المستمر للاتفاقية، التي اتسع نطاقها ليشمل عدداً متزايداً من الدول و</w:t>
      </w:r>
      <w:r w:rsidR="001E1C9E">
        <w:rPr>
          <w:rFonts w:ascii="YakoutLinotypeLight-Regular" w:eastAsia="SimSun" w:hAnsi="Calibri" w:cs="YakoutLinotypeLight-Regular" w:hint="cs"/>
          <w:rtl/>
        </w:rPr>
        <w:t>الجماعات</w:t>
      </w:r>
      <w:r w:rsidRPr="002F3148">
        <w:rPr>
          <w:rFonts w:hint="cs"/>
          <w:rtl/>
        </w:rPr>
        <w:t xml:space="preserve"> ، مع معالجة عدد أكبر من المجالات المواضيعي</w:t>
      </w:r>
      <w:r w:rsidRPr="006A2AD6">
        <w:rPr>
          <w:rFonts w:hint="cs"/>
          <w:rtl/>
        </w:rPr>
        <w:t>ة التي توضح جدوى صون التراث الحي لتحقيق التنمية المستدامة (</w:t>
      </w:r>
      <w:bookmarkStart w:id="1" w:name="_Hlk162009935"/>
      <w:r w:rsidRPr="006A2AD6">
        <w:rPr>
          <w:rFonts w:hint="cs"/>
          <w:rtl/>
        </w:rPr>
        <w:t>انظر الوثائق</w:t>
      </w:r>
      <w:bookmarkEnd w:id="1"/>
      <w:r w:rsidRPr="006A2AD6">
        <w:rPr>
          <w:rFonts w:hint="cs"/>
          <w:rtl/>
        </w:rPr>
        <w:t xml:space="preserve"> </w:t>
      </w:r>
      <w:hyperlink r:id="rId17" w:history="1">
        <w:r w:rsidRPr="006A2AD6">
          <w:rPr>
            <w:rStyle w:val="Hyperlink"/>
          </w:rPr>
          <w:t>LHE/26/11.GA/6</w:t>
        </w:r>
      </w:hyperlink>
      <w:r w:rsidRPr="006A2AD6">
        <w:rPr>
          <w:rFonts w:hint="cs"/>
          <w:rtl/>
        </w:rPr>
        <w:t>‏، و</w:t>
      </w:r>
      <w:hyperlink r:id="rId18" w:history="1">
        <w:r w:rsidRPr="006A2AD6">
          <w:rPr>
            <w:rStyle w:val="Hyperlink"/>
          </w:rPr>
          <w:t>LHE/26/11.GA/INF.8</w:t>
        </w:r>
      </w:hyperlink>
      <w:r w:rsidRPr="006A2AD6">
        <w:rPr>
          <w:rFonts w:hint="cs"/>
          <w:rtl/>
        </w:rPr>
        <w:t>، و</w:t>
      </w:r>
      <w:hyperlink r:id="rId19" w:history="1">
        <w:r w:rsidRPr="002F3148">
          <w:rPr>
            <w:rStyle w:val="Hyperlink"/>
          </w:rPr>
          <w:t>LHE/25/20.COM/14</w:t>
        </w:r>
      </w:hyperlink>
      <w:r w:rsidR="00A83197" w:rsidRPr="002F3148">
        <w:rPr>
          <w:rFonts w:hint="cs"/>
          <w:rtl/>
        </w:rPr>
        <w:t>)</w:t>
      </w:r>
      <w:r w:rsidRPr="002F3148">
        <w:t>.</w:t>
      </w:r>
      <w:r w:rsidRPr="002F3148">
        <w:rPr>
          <w:rFonts w:hint="cs"/>
          <w:rtl/>
        </w:rPr>
        <w:t xml:space="preserve"> وقد تسنّى تحقيق هذا المستوى المرتفع من النفقات، الذي يتجاوز مستوى الدخل، من خلال استخدام الأرصدة المتبقية المرحّلة من فترات السنتين السابقة.</w:t>
      </w:r>
    </w:p>
    <w:p w14:paraId="3C290F4F" w14:textId="6C55134C" w:rsidR="001F34D0" w:rsidRPr="002F3148" w:rsidRDefault="004A0AEB" w:rsidP="001F34D0">
      <w:pPr>
        <w:pStyle w:val="GAPara"/>
        <w:bidi/>
        <w:spacing w:after="0" w:line="288" w:lineRule="auto"/>
        <w:ind w:left="0" w:firstLine="0"/>
        <w:jc w:val="center"/>
        <w:rPr>
          <w:rtl/>
        </w:rPr>
      </w:pPr>
      <w:r>
        <w:rPr>
          <w:noProof/>
        </w:rPr>
        <w:lastRenderedPageBreak/>
        <w:drawing>
          <wp:inline distT="0" distB="0" distL="0" distR="0" wp14:anchorId="711AF3E7" wp14:editId="3F1ACB56">
            <wp:extent cx="5951880" cy="3905250"/>
            <wp:effectExtent l="0" t="0" r="10795" b="0"/>
            <wp:docPr id="1924343008" name="Graphique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FBA9BF1" w14:textId="0127ECE5" w:rsidR="00EA5413" w:rsidRPr="002F3148" w:rsidRDefault="00EA5413" w:rsidP="005E6311">
      <w:pPr>
        <w:bidi/>
        <w:spacing w:after="120" w:line="288" w:lineRule="auto"/>
        <w:ind w:right="201" w:firstLine="567"/>
        <w:rPr>
          <w:rFonts w:ascii="Arial" w:hAnsi="Arial"/>
          <w:sz w:val="22"/>
          <w:szCs w:val="22"/>
          <w:rtl/>
        </w:rPr>
      </w:pPr>
      <w:r w:rsidRPr="002F3148">
        <w:rPr>
          <w:rFonts w:ascii="Arial" w:hAnsi="Arial" w:hint="cs"/>
          <w:b/>
          <w:bCs/>
          <w:sz w:val="22"/>
          <w:szCs w:val="22"/>
          <w:rtl/>
        </w:rPr>
        <w:t xml:space="preserve">الشكل 1: </w:t>
      </w:r>
      <w:r w:rsidRPr="002F3148">
        <w:rPr>
          <w:rFonts w:ascii="Arial" w:hAnsi="Arial" w:hint="cs"/>
          <w:sz w:val="22"/>
          <w:szCs w:val="22"/>
          <w:rtl/>
        </w:rPr>
        <w:t>تطور نفقات الصندوق من</w:t>
      </w:r>
      <w:r w:rsidRPr="002F3148">
        <w:rPr>
          <w:rFonts w:ascii="Arial" w:hAnsi="Arial" w:hint="cs"/>
          <w:b/>
          <w:bCs/>
          <w:sz w:val="22"/>
          <w:szCs w:val="22"/>
          <w:rtl/>
        </w:rPr>
        <w:t xml:space="preserve"> </w:t>
      </w:r>
      <w:r w:rsidRPr="002F3148">
        <w:rPr>
          <w:rFonts w:ascii="Arial" w:hAnsi="Arial" w:hint="cs"/>
          <w:sz w:val="22"/>
          <w:szCs w:val="22"/>
          <w:rtl/>
        </w:rPr>
        <w:t>كانون الثاني/يناير 2016 إلى كانون الأول/ديسمبر 2025.</w:t>
      </w:r>
    </w:p>
    <w:p w14:paraId="79282373" w14:textId="4382C3F7" w:rsidR="00EA5413" w:rsidRPr="002F3148" w:rsidRDefault="00EA5413" w:rsidP="005E6311">
      <w:pPr>
        <w:pStyle w:val="GAPara"/>
        <w:bidi/>
        <w:spacing w:before="240" w:line="288" w:lineRule="auto"/>
        <w:ind w:left="567" w:firstLine="0"/>
        <w:jc w:val="both"/>
        <w:rPr>
          <w:b/>
          <w:bCs/>
          <w:rtl/>
        </w:rPr>
      </w:pPr>
      <w:r w:rsidRPr="002F3148">
        <w:rPr>
          <w:rFonts w:hint="cs"/>
          <w:b/>
          <w:bCs/>
          <w:rtl/>
        </w:rPr>
        <w:t>المساعدة الدولية</w:t>
      </w:r>
    </w:p>
    <w:p w14:paraId="2F1CAB53" w14:textId="09D21375" w:rsidR="00EA5413" w:rsidRPr="002F3148" w:rsidRDefault="00EA5413" w:rsidP="005E6311">
      <w:pPr>
        <w:pStyle w:val="COMPara"/>
        <w:numPr>
          <w:ilvl w:val="0"/>
          <w:numId w:val="23"/>
        </w:numPr>
        <w:bidi/>
        <w:spacing w:line="288" w:lineRule="auto"/>
        <w:ind w:left="567" w:hanging="567"/>
        <w:jc w:val="both"/>
        <w:rPr>
          <w:rtl/>
        </w:rPr>
      </w:pPr>
      <w:r w:rsidRPr="002F3148">
        <w:rPr>
          <w:rFonts w:hint="cs"/>
          <w:spacing w:val="2"/>
          <w:rtl/>
        </w:rPr>
        <w:t xml:space="preserve">واصلت الدول الأطراف، خلال الفترة المشمولة بالتقرير، استخدام </w:t>
      </w:r>
      <w:r w:rsidRPr="002F3148">
        <w:rPr>
          <w:rFonts w:hint="cs"/>
          <w:b/>
          <w:bCs/>
          <w:spacing w:val="2"/>
          <w:rtl/>
        </w:rPr>
        <w:t>آليات المساعدة الدولية</w:t>
      </w:r>
      <w:r w:rsidRPr="002F3148">
        <w:rPr>
          <w:rFonts w:hint="cs"/>
          <w:spacing w:val="2"/>
          <w:rtl/>
        </w:rPr>
        <w:t xml:space="preserve"> على نطاق واسع. ويبيّن الشكل</w:t>
      </w:r>
      <w:r w:rsidRPr="002F3148">
        <w:rPr>
          <w:rFonts w:hint="cs"/>
          <w:rtl/>
        </w:rPr>
        <w:t xml:space="preserve"> 2 (أدناه) ارتفاعاً في استخدام الأموال المخصصة لآليات المساعدة الدولية، المقابلة لبنود الميزانية 1 و1.1 و2.</w:t>
      </w:r>
      <w:r w:rsidRPr="002F3148">
        <w:rPr>
          <w:rFonts w:ascii="Times New Roman" w:hAnsi="Times New Roman" w:hint="cs"/>
          <w:snapToGrid/>
          <w:rtl/>
        </w:rPr>
        <w:t xml:space="preserve"> </w:t>
      </w:r>
      <w:r w:rsidRPr="002F3148">
        <w:rPr>
          <w:rFonts w:hint="cs"/>
          <w:rtl/>
        </w:rPr>
        <w:t>وقد بلغ معدل الإنفاق في هذه البنود الثلاثة مجتمعة 74%، مقارنةً بنسبة 71% في فترة السنتين 2022-2023، وهو ما يمثل أعلى معدل تنفيذ سُجّل حتى الآن. ويمكن إرجاع هذه الحالة الإيجابية التي تشهدها الآليات إلى العوامل التالية:</w:t>
      </w:r>
    </w:p>
    <w:p w14:paraId="5046E01E" w14:textId="39A3F83F" w:rsidR="000C423F" w:rsidRPr="002F3148" w:rsidRDefault="00EA5413" w:rsidP="005E6311">
      <w:pPr>
        <w:pStyle w:val="COMPara"/>
        <w:numPr>
          <w:ilvl w:val="0"/>
          <w:numId w:val="26"/>
        </w:numPr>
        <w:bidi/>
        <w:spacing w:line="288" w:lineRule="auto"/>
        <w:jc w:val="both"/>
        <w:rPr>
          <w:rFonts w:asciiTheme="minorBidi" w:hAnsiTheme="minorBidi" w:cstheme="minorBidi"/>
          <w:rtl/>
        </w:rPr>
      </w:pPr>
      <w:r w:rsidRPr="002F3148">
        <w:rPr>
          <w:rFonts w:hint="cs"/>
          <w:rtl/>
        </w:rPr>
        <w:t xml:space="preserve">التوسع الجغرافي المستمر للآليات: حيث بلغ إجمالي الدول الأطراف المستفيدة من المساعدة الدولية حتى الآن ثمانية وثمانين دولة، </w:t>
      </w:r>
      <w:r w:rsidRPr="002F3148">
        <w:rPr>
          <w:rFonts w:asciiTheme="minorBidi" w:hAnsiTheme="minorBidi" w:cstheme="minorBidi" w:hint="cs"/>
          <w:rtl/>
        </w:rPr>
        <w:t>بما في ذلك خمس عشرة دولة (ست دول من أفريقيا وخمس من الدول الجزرية الصغيرة النامية) حصلت على هذه المساعدة لأول مرة خلال الفترة المشمولة بالتقرير</w:t>
      </w:r>
      <w:r w:rsidRPr="002F3148">
        <w:rPr>
          <w:rFonts w:hint="cs"/>
          <w:rtl/>
        </w:rPr>
        <w:t>؛</w:t>
      </w:r>
    </w:p>
    <w:p w14:paraId="713EA6D7" w14:textId="16D24CEA" w:rsidR="00EA5413" w:rsidRPr="002F3148" w:rsidRDefault="00EA5413" w:rsidP="00DC34EC">
      <w:pPr>
        <w:pStyle w:val="COMPara"/>
        <w:numPr>
          <w:ilvl w:val="0"/>
          <w:numId w:val="26"/>
        </w:numPr>
        <w:bidi/>
        <w:spacing w:line="288" w:lineRule="auto"/>
        <w:jc w:val="both"/>
        <w:rPr>
          <w:spacing w:val="2"/>
          <w:rtl/>
        </w:rPr>
      </w:pPr>
      <w:r w:rsidRPr="002F3148">
        <w:rPr>
          <w:rFonts w:hint="cs"/>
          <w:spacing w:val="2"/>
          <w:rtl/>
        </w:rPr>
        <w:t xml:space="preserve">توسيع نطاق المساعدة التحضيرية بما يتماشى مع عملية </w:t>
      </w:r>
      <w:r w:rsidR="00DC34EC" w:rsidRPr="00DC34EC">
        <w:rPr>
          <w:spacing w:val="2"/>
          <w:rtl/>
        </w:rPr>
        <w:t>التفكير</w:t>
      </w:r>
      <w:r w:rsidRPr="002F3148">
        <w:rPr>
          <w:rFonts w:hint="cs"/>
          <w:spacing w:val="2"/>
          <w:rtl/>
        </w:rPr>
        <w:t xml:space="preserve"> العالمي بشأن آليات الإدراج في الاتفاقية، حيث تمت الموافقة على ثمانية طلبات في عامي 2024 و2025 (مقارنةً بإجمالي ستة طلبات تمت الموافقة عليها بين عامي 2014 و2023)؛</w:t>
      </w:r>
    </w:p>
    <w:p w14:paraId="0B936FD5" w14:textId="77777777" w:rsidR="00EA5413" w:rsidRPr="002F3148" w:rsidRDefault="00EA5413" w:rsidP="005E6311">
      <w:pPr>
        <w:pStyle w:val="COMPara"/>
        <w:numPr>
          <w:ilvl w:val="0"/>
          <w:numId w:val="26"/>
        </w:numPr>
        <w:bidi/>
        <w:spacing w:line="288" w:lineRule="auto"/>
        <w:jc w:val="both"/>
        <w:rPr>
          <w:spacing w:val="2"/>
          <w:rtl/>
        </w:rPr>
      </w:pPr>
      <w:r w:rsidRPr="002F3148">
        <w:rPr>
          <w:rFonts w:hint="cs"/>
          <w:spacing w:val="2"/>
          <w:rtl/>
        </w:rPr>
        <w:t>الدعم التقني الاستباقي الذي تقدمه الأمانة للدول الطالبة خلال مرحلة إعداد الطلبات (خمس دول مستفيدة منذ كانون الثاني/يناير 2024)، مما ساهم في الموافقة على طلبات المساعدة الدولية المقدمة إلى المكتب خلال الفترة المشمولة بالتقرير.</w:t>
      </w:r>
    </w:p>
    <w:p w14:paraId="036882C6" w14:textId="0FF99988" w:rsidR="00820537" w:rsidRPr="002F3148" w:rsidRDefault="00EA5413" w:rsidP="00EF44A3">
      <w:pPr>
        <w:pStyle w:val="COMPara"/>
        <w:numPr>
          <w:ilvl w:val="0"/>
          <w:numId w:val="0"/>
        </w:numPr>
        <w:bidi/>
        <w:spacing w:line="288" w:lineRule="auto"/>
        <w:ind w:left="567"/>
        <w:jc w:val="both"/>
        <w:rPr>
          <w:b/>
          <w:bCs/>
          <w:rtl/>
        </w:rPr>
      </w:pPr>
      <w:r w:rsidRPr="002F3148">
        <w:rPr>
          <w:rFonts w:hint="cs"/>
          <w:rtl/>
        </w:rPr>
        <w:t xml:space="preserve">ويمكن الاطلاع على تقرير مفصل بشأن تنفيذ آليات المساعدة الدولية في الوثيقة </w:t>
      </w:r>
      <w:hyperlink r:id="rId21" w:history="1">
        <w:r w:rsidRPr="002F3148">
          <w:rPr>
            <w:rStyle w:val="Hyperlink"/>
          </w:rPr>
          <w:t>LHE/25/20.COM/10</w:t>
        </w:r>
      </w:hyperlink>
      <w:r w:rsidR="00EF44A3" w:rsidRPr="002F3148">
        <w:rPr>
          <w:rFonts w:hint="cs"/>
          <w:rtl/>
        </w:rPr>
        <w:t>.</w:t>
      </w:r>
      <w:r w:rsidRPr="002F3148">
        <w:rPr>
          <w:rFonts w:hint="cs"/>
          <w:rtl/>
        </w:rPr>
        <w:t xml:space="preserve"> ولمزيد من المعلومات حول النفقات بموجب بنود الميزانية 1 و1.1 و2 للفترة من 1 كانون الثاني/يناير 2024 إلى 31 كانون الأول/ديسمبر 2025، يُرجى الرجوع إلى </w:t>
      </w:r>
      <w:r w:rsidRPr="006A2AD6">
        <w:rPr>
          <w:rFonts w:hint="cs"/>
          <w:rtl/>
        </w:rPr>
        <w:t xml:space="preserve">الوثيقة </w:t>
      </w:r>
      <w:hyperlink r:id="rId22" w:history="1">
        <w:r w:rsidRPr="006A2AD6">
          <w:rPr>
            <w:rStyle w:val="Hyperlink"/>
          </w:rPr>
          <w:t>LHE/26/11.GA/INF.8</w:t>
        </w:r>
      </w:hyperlink>
      <w:r w:rsidR="00F9167F" w:rsidRPr="002F3148">
        <w:rPr>
          <w:rFonts w:hint="cs"/>
          <w:rtl/>
        </w:rPr>
        <w:t>.</w:t>
      </w:r>
    </w:p>
    <w:p w14:paraId="713C4482" w14:textId="1CDD5BB1" w:rsidR="00014AA2" w:rsidRPr="002F3148" w:rsidRDefault="00807F52" w:rsidP="00F03896">
      <w:pPr>
        <w:pStyle w:val="COMPara"/>
        <w:numPr>
          <w:ilvl w:val="0"/>
          <w:numId w:val="0"/>
        </w:numPr>
        <w:bidi/>
        <w:spacing w:line="288" w:lineRule="auto"/>
        <w:jc w:val="both"/>
        <w:rPr>
          <w:b/>
          <w:bCs/>
          <w:rtl/>
        </w:rPr>
      </w:pPr>
      <w:r>
        <w:rPr>
          <w:b/>
          <w:bCs/>
          <w:noProof/>
        </w:rPr>
        <w:lastRenderedPageBreak/>
        <w:drawing>
          <wp:inline distT="0" distB="0" distL="0" distR="0" wp14:anchorId="44B34CF0" wp14:editId="54F6AEF9">
            <wp:extent cx="5802588" cy="2487515"/>
            <wp:effectExtent l="0" t="0" r="8255" b="8255"/>
            <wp:docPr id="6156257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62966" cy="2513399"/>
                    </a:xfrm>
                    <a:prstGeom prst="rect">
                      <a:avLst/>
                    </a:prstGeom>
                    <a:noFill/>
                  </pic:spPr>
                </pic:pic>
              </a:graphicData>
            </a:graphic>
          </wp:inline>
        </w:drawing>
      </w:r>
    </w:p>
    <w:p w14:paraId="3330985E" w14:textId="09A60DA7" w:rsidR="004B46F6" w:rsidRPr="002F3148" w:rsidRDefault="000367E3" w:rsidP="005E6311">
      <w:pPr>
        <w:bidi/>
        <w:spacing w:after="120" w:line="288" w:lineRule="auto"/>
        <w:ind w:left="567" w:right="198"/>
        <w:rPr>
          <w:rFonts w:ascii="Arial" w:hAnsi="Arial"/>
          <w:sz w:val="22"/>
          <w:szCs w:val="22"/>
          <w:rtl/>
        </w:rPr>
      </w:pPr>
      <w:r w:rsidRPr="002F3148">
        <w:rPr>
          <w:rFonts w:ascii="Arial" w:hAnsi="Arial" w:hint="cs"/>
          <w:b/>
          <w:bCs/>
          <w:sz w:val="22"/>
          <w:szCs w:val="22"/>
          <w:rtl/>
        </w:rPr>
        <w:t xml:space="preserve">الشكل 2: </w:t>
      </w:r>
      <w:r w:rsidRPr="002F3148">
        <w:rPr>
          <w:rFonts w:ascii="Arial" w:hAnsi="Arial" w:hint="cs"/>
          <w:sz w:val="22"/>
          <w:szCs w:val="22"/>
          <w:rtl/>
        </w:rPr>
        <w:t>معدل الإنفاق على المساعدة الدولية والتحضيرية</w:t>
      </w:r>
    </w:p>
    <w:p w14:paraId="1A545916" w14:textId="6151652F" w:rsidR="004B46F6" w:rsidRPr="002F3148" w:rsidRDefault="004B46F6" w:rsidP="005E6311">
      <w:pPr>
        <w:pStyle w:val="COMPara"/>
        <w:numPr>
          <w:ilvl w:val="0"/>
          <w:numId w:val="0"/>
        </w:numPr>
        <w:tabs>
          <w:tab w:val="left" w:pos="567"/>
        </w:tabs>
        <w:bidi/>
        <w:spacing w:before="240" w:line="288" w:lineRule="auto"/>
        <w:ind w:left="567"/>
        <w:jc w:val="both"/>
        <w:rPr>
          <w:b/>
          <w:bCs/>
          <w:rtl/>
        </w:rPr>
      </w:pPr>
      <w:r w:rsidRPr="002F3148">
        <w:rPr>
          <w:rFonts w:hint="cs"/>
          <w:b/>
          <w:bCs/>
          <w:rtl/>
        </w:rPr>
        <w:t>الاشتراكات المقررة</w:t>
      </w:r>
    </w:p>
    <w:p w14:paraId="4CE10660" w14:textId="5D00F11E" w:rsidR="004B46F6" w:rsidRPr="002F3148" w:rsidRDefault="004B46F6" w:rsidP="005E6311">
      <w:pPr>
        <w:pStyle w:val="COMPara"/>
        <w:numPr>
          <w:ilvl w:val="0"/>
          <w:numId w:val="23"/>
        </w:numPr>
        <w:tabs>
          <w:tab w:val="left" w:pos="567"/>
        </w:tabs>
        <w:bidi/>
        <w:spacing w:before="120" w:line="288" w:lineRule="auto"/>
        <w:ind w:left="567" w:hanging="567"/>
        <w:jc w:val="both"/>
        <w:rPr>
          <w:rtl/>
        </w:rPr>
      </w:pPr>
      <w:r w:rsidRPr="002F3148">
        <w:rPr>
          <w:rFonts w:hint="cs"/>
          <w:rtl/>
        </w:rPr>
        <w:t xml:space="preserve">يُذكَّر بأن </w:t>
      </w:r>
      <w:r w:rsidRPr="002F3148">
        <w:rPr>
          <w:rFonts w:hint="cs"/>
          <w:b/>
          <w:bCs/>
          <w:rtl/>
        </w:rPr>
        <w:t xml:space="preserve">دفع </w:t>
      </w:r>
      <w:r w:rsidR="00765AAD">
        <w:rPr>
          <w:rFonts w:hint="cs"/>
          <w:b/>
          <w:bCs/>
          <w:rtl/>
        </w:rPr>
        <w:t>المساهمات</w:t>
      </w:r>
      <w:r w:rsidR="00765AAD">
        <w:rPr>
          <w:rFonts w:hint="cs"/>
          <w:rtl/>
        </w:rPr>
        <w:t xml:space="preserve"> </w:t>
      </w:r>
      <w:r w:rsidRPr="002F3148">
        <w:rPr>
          <w:rFonts w:hint="cs"/>
          <w:rtl/>
        </w:rPr>
        <w:t xml:space="preserve">هو التزام يقع على عاتق جميع الدول الأطراف التي صدقت على الاتفاقية، وفقاً للمادة 26 منها. وبما أن الدول الأطراف تباشر حقوقاً وتتمتع بمزايا ممنوحة لها بموجب الاتفاقية، فمن المتوقع منها أيضاً أن تفي بالتزاماتها المقابلة في المقابل. وكما تم التأكيد عليه في العديد من الوثائق النظامية (وأحدثها الوثيقتان </w:t>
      </w:r>
      <w:hyperlink r:id="rId24" w:history="1">
        <w:r w:rsidRPr="002F3148">
          <w:rPr>
            <w:rStyle w:val="Hyperlink"/>
          </w:rPr>
          <w:t>LHE/25/20.COM/14</w:t>
        </w:r>
      </w:hyperlink>
      <w:r w:rsidRPr="002F3148">
        <w:rPr>
          <w:rFonts w:hint="cs"/>
          <w:rtl/>
        </w:rPr>
        <w:t xml:space="preserve"> و</w:t>
      </w:r>
      <w:hyperlink r:id="rId25" w:history="1">
        <w:r w:rsidRPr="002F3148">
          <w:rPr>
            <w:rStyle w:val="Hyperlink"/>
          </w:rPr>
          <w:t>LHE/24/10.GA/8</w:t>
        </w:r>
      </w:hyperlink>
      <w:r w:rsidRPr="002F3148">
        <w:rPr>
          <w:rFonts w:hint="cs"/>
          <w:rtl/>
        </w:rPr>
        <w:t>)، تُشجع جميع الدول الأطراف على دفع كامل اشتراكاتها المقررة في أقرب وقت ممكن.</w:t>
      </w:r>
    </w:p>
    <w:p w14:paraId="6AD71C04" w14:textId="41DEFE3A" w:rsidR="0067492F" w:rsidRPr="002F3148" w:rsidRDefault="0067492F" w:rsidP="00765AAD">
      <w:pPr>
        <w:pStyle w:val="COMPara"/>
        <w:numPr>
          <w:ilvl w:val="0"/>
          <w:numId w:val="23"/>
        </w:numPr>
        <w:tabs>
          <w:tab w:val="left" w:pos="567"/>
        </w:tabs>
        <w:bidi/>
        <w:spacing w:before="120" w:line="288" w:lineRule="auto"/>
        <w:ind w:left="567" w:hanging="567"/>
        <w:jc w:val="both"/>
        <w:rPr>
          <w:rtl/>
        </w:rPr>
      </w:pPr>
      <w:r w:rsidRPr="002F3148">
        <w:rPr>
          <w:rFonts w:hint="cs"/>
          <w:rtl/>
        </w:rPr>
        <w:t xml:space="preserve">وفيما يتعلق </w:t>
      </w:r>
      <w:r w:rsidRPr="002F3148">
        <w:rPr>
          <w:rFonts w:hint="cs"/>
          <w:b/>
          <w:bCs/>
          <w:rtl/>
        </w:rPr>
        <w:t>ب</w:t>
      </w:r>
      <w:r w:rsidR="00765AAD">
        <w:rPr>
          <w:rFonts w:hint="cs"/>
          <w:b/>
          <w:bCs/>
          <w:rtl/>
        </w:rPr>
        <w:t>المساهمات</w:t>
      </w:r>
      <w:r w:rsidRPr="002F3148">
        <w:rPr>
          <w:rFonts w:hint="cs"/>
          <w:b/>
          <w:bCs/>
          <w:rtl/>
        </w:rPr>
        <w:t xml:space="preserve"> المقررة الإلزامية</w:t>
      </w:r>
      <w:r w:rsidRPr="002F3148">
        <w:rPr>
          <w:rFonts w:hint="cs"/>
          <w:rtl/>
        </w:rPr>
        <w:t xml:space="preserve"> التي يتعين على الدول الأطراف سدادها وفقاً للمادة </w:t>
      </w:r>
      <w:r w:rsidR="00765AAD" w:rsidRPr="00E259FA">
        <w:t>26.1</w:t>
      </w:r>
      <w:r w:rsidRPr="002F3148">
        <w:rPr>
          <w:rFonts w:hint="cs"/>
          <w:rtl/>
        </w:rPr>
        <w:t xml:space="preserve"> من الاتفاقية، بلغت قيمة </w:t>
      </w:r>
      <w:r w:rsidR="00765AAD" w:rsidRPr="00765AAD">
        <w:rPr>
          <w:rtl/>
        </w:rPr>
        <w:t xml:space="preserve">إجمالي </w:t>
      </w:r>
      <w:r w:rsidR="00765AAD" w:rsidRPr="006A2AD6">
        <w:rPr>
          <w:rFonts w:hint="eastAsia"/>
          <w:rtl/>
        </w:rPr>
        <w:t>المساهمات</w:t>
      </w:r>
      <w:r w:rsidR="00765AAD" w:rsidRPr="002F3148" w:rsidDel="00765AAD">
        <w:rPr>
          <w:rFonts w:hint="cs"/>
          <w:rtl/>
        </w:rPr>
        <w:t xml:space="preserve"> </w:t>
      </w:r>
      <w:r w:rsidRPr="002F3148">
        <w:rPr>
          <w:rFonts w:hint="cs"/>
          <w:rtl/>
        </w:rPr>
        <w:t xml:space="preserve">غير المسددة 371,959 دولاراً أمريكياً في نهاية الفترة المشمولة بهذه الوثيقة، منها 239,624 دولاراً أمريكياً تمثل </w:t>
      </w:r>
      <w:r w:rsidR="00765AAD" w:rsidRPr="00584319">
        <w:rPr>
          <w:rFonts w:hint="cs"/>
          <w:rtl/>
        </w:rPr>
        <w:t>مساهمات</w:t>
      </w:r>
      <w:r w:rsidRPr="002F3148">
        <w:rPr>
          <w:rFonts w:hint="cs"/>
          <w:rtl/>
        </w:rPr>
        <w:t xml:space="preserve"> غير مسددة عن سنوات سابقة. وحتى 31 كانون الأول/ديسمبر 2025، لم تسدد 89 دولة طرفاً (حوالي نصف الدول الأطراف الملزمة بالمادة </w:t>
      </w:r>
      <w:r w:rsidR="00765AAD" w:rsidRPr="00E259FA">
        <w:t>26.1</w:t>
      </w:r>
      <w:r w:rsidRPr="002F3148">
        <w:rPr>
          <w:rFonts w:hint="cs"/>
          <w:rtl/>
        </w:rPr>
        <w:t xml:space="preserve">) </w:t>
      </w:r>
      <w:r w:rsidR="00765AAD" w:rsidRPr="00584319">
        <w:rPr>
          <w:rFonts w:hint="cs"/>
          <w:rtl/>
        </w:rPr>
        <w:t>مساهما</w:t>
      </w:r>
      <w:r w:rsidRPr="002F3148">
        <w:rPr>
          <w:rFonts w:hint="cs"/>
          <w:rtl/>
        </w:rPr>
        <w:t xml:space="preserve">تها عن الفترة 2024-2025، بما في ذلك 31 دولة طرفاً لم تسدد أيضاً </w:t>
      </w:r>
      <w:r w:rsidR="00765AAD" w:rsidRPr="00584319">
        <w:rPr>
          <w:rFonts w:hint="cs"/>
          <w:rtl/>
        </w:rPr>
        <w:t>مساهما</w:t>
      </w:r>
      <w:r w:rsidR="00765AAD" w:rsidRPr="002F3148">
        <w:rPr>
          <w:rFonts w:hint="cs"/>
          <w:rtl/>
        </w:rPr>
        <w:t>تها</w:t>
      </w:r>
      <w:r w:rsidRPr="002F3148">
        <w:rPr>
          <w:rFonts w:hint="cs"/>
          <w:rtl/>
        </w:rPr>
        <w:t xml:space="preserve"> عن سنوات سابقة (انظر </w:t>
      </w:r>
      <w:hyperlink r:id="rId26" w:history="1">
        <w:r w:rsidRPr="002F3148">
          <w:rPr>
            <w:rStyle w:val="Hyperlink"/>
            <w:rFonts w:hint="cs"/>
            <w:rtl/>
          </w:rPr>
          <w:t>بيان الاشتراكات المقررة حتى 31 كانون الأول/ديسمبر 2025</w:t>
        </w:r>
      </w:hyperlink>
      <w:r w:rsidRPr="002F3148">
        <w:rPr>
          <w:rFonts w:hint="cs"/>
          <w:rtl/>
        </w:rPr>
        <w:t>).</w:t>
      </w:r>
      <w:r w:rsidRPr="002F3148">
        <w:rPr>
          <w:rStyle w:val="FootnoteReference"/>
        </w:rPr>
        <w:footnoteReference w:id="1"/>
      </w:r>
    </w:p>
    <w:p w14:paraId="595AC4D5" w14:textId="7F2E96EB" w:rsidR="0067492F" w:rsidRPr="002F3148" w:rsidRDefault="0067492F" w:rsidP="005E6311">
      <w:pPr>
        <w:pStyle w:val="COMPara"/>
        <w:numPr>
          <w:ilvl w:val="0"/>
          <w:numId w:val="23"/>
        </w:numPr>
        <w:tabs>
          <w:tab w:val="left" w:pos="567"/>
        </w:tabs>
        <w:bidi/>
        <w:spacing w:before="120" w:line="288" w:lineRule="auto"/>
        <w:ind w:left="567" w:hanging="567"/>
        <w:jc w:val="both"/>
        <w:rPr>
          <w:spacing w:val="2"/>
          <w:rtl/>
        </w:rPr>
      </w:pPr>
      <w:r w:rsidRPr="002F3148">
        <w:rPr>
          <w:rFonts w:hint="cs"/>
          <w:spacing w:val="2"/>
          <w:rtl/>
        </w:rPr>
        <w:t xml:space="preserve">ويمثل </w:t>
      </w:r>
      <w:r w:rsidRPr="002F3148">
        <w:rPr>
          <w:rFonts w:hint="cs"/>
          <w:b/>
          <w:bCs/>
          <w:spacing w:val="2"/>
          <w:rtl/>
        </w:rPr>
        <w:t xml:space="preserve">سداد </w:t>
      </w:r>
      <w:r w:rsidR="00765AAD">
        <w:rPr>
          <w:rFonts w:hint="cs"/>
          <w:b/>
          <w:bCs/>
          <w:rtl/>
        </w:rPr>
        <w:t>المساهمات</w:t>
      </w:r>
      <w:r w:rsidRPr="002F3148">
        <w:rPr>
          <w:rFonts w:hint="cs"/>
          <w:b/>
          <w:bCs/>
          <w:spacing w:val="2"/>
          <w:rtl/>
        </w:rPr>
        <w:t xml:space="preserve"> المقررة الطوعية</w:t>
      </w:r>
      <w:r w:rsidRPr="002F3148">
        <w:rPr>
          <w:rFonts w:hint="cs"/>
          <w:spacing w:val="2"/>
          <w:rtl/>
        </w:rPr>
        <w:t xml:space="preserve"> من قبل الدول الأطراف، وفقاً للمادة </w:t>
      </w:r>
      <w:r w:rsidR="00765AAD">
        <w:rPr>
          <w:spacing w:val="2"/>
        </w:rPr>
        <w:t xml:space="preserve"> </w:t>
      </w:r>
      <w:r w:rsidR="00765AAD" w:rsidRPr="00E259FA">
        <w:t>26.2</w:t>
      </w:r>
      <w:r w:rsidRPr="002F3148">
        <w:rPr>
          <w:rFonts w:hint="cs"/>
          <w:spacing w:val="2"/>
          <w:rtl/>
        </w:rPr>
        <w:t>من الاتفاقية، نسبة 89% من المبلغ المقرر لفترة السنتين 2024-2025، وهي نسبة أقل قليلاً من النسبة المسجلة في الفترة نفسها من فترة السنتين السابقة (92%).</w:t>
      </w:r>
    </w:p>
    <w:p w14:paraId="67404F20" w14:textId="77777777" w:rsidR="00FC3F5E" w:rsidRPr="002F3148" w:rsidRDefault="00FC3F5E" w:rsidP="005E6311">
      <w:pPr>
        <w:pStyle w:val="COMPara"/>
        <w:numPr>
          <w:ilvl w:val="0"/>
          <w:numId w:val="0"/>
        </w:numPr>
        <w:bidi/>
        <w:spacing w:before="240" w:line="288" w:lineRule="auto"/>
        <w:ind w:firstLine="567"/>
        <w:rPr>
          <w:b/>
          <w:bCs/>
          <w:rtl/>
        </w:rPr>
      </w:pPr>
      <w:r w:rsidRPr="002F3148">
        <w:rPr>
          <w:rFonts w:hint="cs"/>
          <w:b/>
          <w:bCs/>
          <w:rtl/>
        </w:rPr>
        <w:t>آخر المستجدات بشأن الصندوق الفرعي لتعزيز الموارد البشرية للأمانة</w:t>
      </w:r>
    </w:p>
    <w:p w14:paraId="518AF203" w14:textId="4CF7A799" w:rsidR="00FC3F5E" w:rsidRPr="002F3148" w:rsidRDefault="00FC3F5E" w:rsidP="00F9167F">
      <w:pPr>
        <w:pStyle w:val="COMPara"/>
        <w:numPr>
          <w:ilvl w:val="0"/>
          <w:numId w:val="23"/>
        </w:numPr>
        <w:tabs>
          <w:tab w:val="left" w:pos="567"/>
        </w:tabs>
        <w:bidi/>
        <w:spacing w:before="120" w:line="288" w:lineRule="auto"/>
        <w:ind w:left="567" w:hanging="567"/>
        <w:jc w:val="both"/>
        <w:rPr>
          <w:rtl/>
        </w:rPr>
      </w:pPr>
      <w:r w:rsidRPr="002F3148">
        <w:rPr>
          <w:rFonts w:hint="cs"/>
          <w:rtl/>
        </w:rPr>
        <w:t xml:space="preserve">أنشأت الجمعية العامة في حزيران/يونيو 2010 (القرار </w:t>
      </w:r>
      <w:hyperlink r:id="rId27" w:history="1">
        <w:r w:rsidR="00F9167F" w:rsidRPr="002F3148">
          <w:rPr>
            <w:rFonts w:asciiTheme="minorBidi" w:hAnsiTheme="minorBidi" w:cstheme="minorBidi"/>
            <w:color w:val="0000FF" w:themeColor="hyperlink"/>
            <w:u w:val="single"/>
          </w:rPr>
          <w:t>3.GA 9</w:t>
        </w:r>
      </w:hyperlink>
      <w:r w:rsidRPr="002F3148">
        <w:rPr>
          <w:rFonts w:hint="cs"/>
          <w:rtl/>
        </w:rPr>
        <w:t xml:space="preserve">) الصندوق الفرعي المخصص لتعزيز الموارد البشرية للأمانة، وذلك لدعم الأمانة وتمكينها من تلبية الاحتياجات التي أعربت عنها الدول الأطراف. وقد أُعيد تقييم الهدف السنوي للصندوق الفرعي، الذي حُدد في البداية بنحو 1.1 مليون دولار أمريكي في عام 2010، خلال الدورة الثامنة للجمعية العامة في عام 2020 ليصبح 950,000 دولار أمريكي سنوياً (القرار </w:t>
      </w:r>
      <w:hyperlink r:id="rId28" w:history="1">
        <w:r w:rsidR="00F9167F" w:rsidRPr="002F3148">
          <w:rPr>
            <w:rFonts w:asciiTheme="minorBidi" w:hAnsiTheme="minorBidi" w:cstheme="minorBidi"/>
            <w:color w:val="0000FF" w:themeColor="hyperlink"/>
            <w:u w:val="single"/>
          </w:rPr>
          <w:t>8.GA 7</w:t>
        </w:r>
      </w:hyperlink>
      <w:r w:rsidR="00F9167F" w:rsidRPr="002F3148">
        <w:rPr>
          <w:rFonts w:hint="cs"/>
          <w:rtl/>
        </w:rPr>
        <w:t>)</w:t>
      </w:r>
      <w:r w:rsidRPr="002F3148">
        <w:t>.</w:t>
      </w:r>
      <w:r w:rsidRPr="002F3148">
        <w:rPr>
          <w:rFonts w:hint="cs"/>
          <w:rtl/>
        </w:rPr>
        <w:t xml:space="preserve"> وخلال فترة السنتين 2024-2025، وردت ثماني مساهمات طوعية من فرنسا وليتوانيا (مرتين) وموناكو (مرتين) وسلوفينيا والمملكة المتحدة لبريطانيا العظمى وأيرلندا الشمالية (مرتين)، بمبلغ إجمالي قدره 238,113 دولاراً أمريكياً.</w:t>
      </w:r>
    </w:p>
    <w:p w14:paraId="76D22900" w14:textId="61E7C48D" w:rsidR="001643A8" w:rsidRPr="002F3148" w:rsidRDefault="001643A8" w:rsidP="005E6311">
      <w:pPr>
        <w:pStyle w:val="COMPara"/>
        <w:numPr>
          <w:ilvl w:val="0"/>
          <w:numId w:val="0"/>
        </w:numPr>
        <w:tabs>
          <w:tab w:val="left" w:pos="567"/>
        </w:tabs>
        <w:bidi/>
        <w:spacing w:before="240" w:line="288" w:lineRule="auto"/>
        <w:ind w:left="714" w:hanging="357"/>
        <w:jc w:val="both"/>
        <w:rPr>
          <w:b/>
          <w:bCs/>
          <w:rtl/>
        </w:rPr>
      </w:pPr>
      <w:r w:rsidRPr="002F3148">
        <w:rPr>
          <w:rFonts w:hint="cs"/>
          <w:b/>
          <w:bCs/>
          <w:rtl/>
        </w:rPr>
        <w:tab/>
        <w:t>آفاق دورات الميزانية المستقبلية</w:t>
      </w:r>
    </w:p>
    <w:p w14:paraId="2BB080D6" w14:textId="79645D01" w:rsidR="00E9356D" w:rsidRPr="002F3148" w:rsidRDefault="001643A8" w:rsidP="000904D2">
      <w:pPr>
        <w:pStyle w:val="COMPara"/>
        <w:numPr>
          <w:ilvl w:val="0"/>
          <w:numId w:val="23"/>
        </w:numPr>
        <w:bidi/>
        <w:spacing w:line="288" w:lineRule="auto"/>
        <w:ind w:left="567" w:hanging="567"/>
        <w:jc w:val="both"/>
        <w:rPr>
          <w:spacing w:val="-2"/>
          <w:rtl/>
        </w:rPr>
      </w:pPr>
      <w:r w:rsidRPr="002F3148">
        <w:rPr>
          <w:rFonts w:hint="cs"/>
          <w:spacing w:val="-2"/>
          <w:rtl/>
        </w:rPr>
        <w:t xml:space="preserve">أظهر الصندوق، على مدى فترتي السنتين الأخيرتين، قدرة تنفيذية قوية وسليمة، مع تسجيل مستوى مرتفع من الإنفاق (73.2% في فترة السنتين 2022-2023، و76.9% في فترة السنتين 2024-2025). وجديرٌ بالملاحظة أنه في حال الاستمرار في هذا المستوى المرتفع من الإنفاق (أي بما يتجاوز مستوى </w:t>
      </w:r>
      <w:r w:rsidR="008509C7" w:rsidRPr="006A2AD6">
        <w:rPr>
          <w:rFonts w:hint="eastAsia"/>
          <w:spacing w:val="-2"/>
          <w:rtl/>
        </w:rPr>
        <w:t>المساهمات</w:t>
      </w:r>
      <w:r w:rsidRPr="002F3148">
        <w:rPr>
          <w:rFonts w:hint="cs"/>
          <w:spacing w:val="-2"/>
          <w:rtl/>
        </w:rPr>
        <w:t xml:space="preserve"> المقررة المحصلة في كل فترة سنتين)، فمن المتوقع أن تنخفض الموارد المتاحة لفترات السنتين المقبلة تبعاً لذلك. وعليه، لا ينبغي اعتبار قدرة الصندوق الحالية على تلبية احتياجات الصون للدول الأطراف، كما هو موضح في الجزء الثاني أدناه، أمرًا مسلّمًا به. ومن الضروري إجراء رصد وثيق يتجاوز المدى القصير لضمان استدامة تنفيذ اتفاقية عام 2003. وبوجه خاص، ينبغي مراعاة الآثار المترتبة على التوسع الجغرافي والموضوعي للاتفاقية من حيث الموارد البشرية، لضمان تزويد الأمانة </w:t>
      </w:r>
      <w:r w:rsidRPr="002F3148">
        <w:rPr>
          <w:rFonts w:hint="cs"/>
          <w:spacing w:val="-2"/>
          <w:rtl/>
        </w:rPr>
        <w:lastRenderedPageBreak/>
        <w:t xml:space="preserve">بالإمكانات اللازمة لتقديم الدعم الملائم للدول الأطراف والجهات المعنية الأخرى. وخلاف ذلك، سيتعين تعليق بعض المبادرات والبرامج والمشاريع المواضيعية الجارية بناءً على الأولويات التي تحددها الهيئات الرئاسية (انظر الوثيقتين </w:t>
      </w:r>
      <w:hyperlink r:id="rId29" w:history="1">
        <w:r w:rsidRPr="002F3148">
          <w:rPr>
            <w:rStyle w:val="Hyperlink"/>
            <w:spacing w:val="-2"/>
          </w:rPr>
          <w:t>LHE/25/20.COM/5</w:t>
        </w:r>
      </w:hyperlink>
      <w:r w:rsidRPr="002F3148">
        <w:rPr>
          <w:rFonts w:hint="cs"/>
          <w:spacing w:val="-2"/>
          <w:rtl/>
        </w:rPr>
        <w:t xml:space="preserve"> </w:t>
      </w:r>
      <w:r w:rsidRPr="006A2AD6">
        <w:rPr>
          <w:rFonts w:hint="cs"/>
          <w:spacing w:val="-2"/>
          <w:rtl/>
        </w:rPr>
        <w:t>و</w:t>
      </w:r>
      <w:hyperlink r:id="rId30" w:history="1">
        <w:r w:rsidRPr="006A2AD6">
          <w:rPr>
            <w:rStyle w:val="Hyperlink"/>
            <w:spacing w:val="-2"/>
          </w:rPr>
          <w:t>LHE/26/11.GA/6</w:t>
        </w:r>
      </w:hyperlink>
      <w:r w:rsidR="000904D2" w:rsidRPr="002F3148">
        <w:rPr>
          <w:rFonts w:hint="cs"/>
          <w:spacing w:val="-2"/>
          <w:rtl/>
        </w:rPr>
        <w:t>).</w:t>
      </w:r>
      <w:r w:rsidRPr="002F3148">
        <w:rPr>
          <w:rFonts w:hint="cs"/>
          <w:spacing w:val="-2"/>
          <w:rtl/>
        </w:rPr>
        <w:t xml:space="preserve"> وفي هذا الصدد، فمن المهم التذكير بأن الهدف الذي حددته الجمعية العامة منذ إنشاء الصندوق الفرعي في عام 2010 لم يتحقق قط. ففي الواقع، انخفضت المساهمات المقدمة للصندوق الفرعي على مدى السنوات الخمس عشرة الماضية من 511,885 دولارًا أمريكيًا في الفترة 2010-2011 (23% من الهدف، وهو أعلى معدل سُجّل على الإطلاق) إلى 238,113 دولارًا أمريكيًا في الفترة 2024-2025 (ما يمثل 12.5% فقط من هدف فترة السنتين البالغ 1.9 مليون دولار أمريكي والمحدد للفترة 2024-2025).</w:t>
      </w:r>
    </w:p>
    <w:p w14:paraId="50A0DEBE" w14:textId="24683671" w:rsidR="00D974F2" w:rsidRPr="002F3148" w:rsidRDefault="00D974F2" w:rsidP="005E6311">
      <w:pPr>
        <w:pStyle w:val="Heading4"/>
        <w:bidi/>
        <w:spacing w:before="240" w:after="120" w:line="288" w:lineRule="auto"/>
        <w:ind w:hanging="425"/>
        <w:rPr>
          <w:szCs w:val="22"/>
          <w:rtl/>
        </w:rPr>
      </w:pPr>
      <w:r w:rsidRPr="002F3148">
        <w:rPr>
          <w:rFonts w:hint="cs"/>
          <w:szCs w:val="22"/>
          <w:rtl/>
        </w:rPr>
        <w:t>بنود الميزانية والمخصصات للوثيقة 43م/5 (2026-2027)</w:t>
      </w:r>
    </w:p>
    <w:p w14:paraId="6F416D8C" w14:textId="5B3BAB31" w:rsidR="00D974F2" w:rsidRPr="002F3148" w:rsidRDefault="00D974F2" w:rsidP="00E50F11">
      <w:pPr>
        <w:pStyle w:val="COMPara"/>
        <w:numPr>
          <w:ilvl w:val="0"/>
          <w:numId w:val="23"/>
        </w:numPr>
        <w:bidi/>
        <w:spacing w:line="288" w:lineRule="auto"/>
        <w:ind w:left="567" w:hanging="567"/>
        <w:jc w:val="both"/>
        <w:rPr>
          <w:rtl/>
        </w:rPr>
      </w:pPr>
      <w:bookmarkStart w:id="2" w:name="_Hlk166581136"/>
      <w:r w:rsidRPr="002F3148">
        <w:rPr>
          <w:rFonts w:hint="cs"/>
          <w:rtl/>
        </w:rPr>
        <w:t>تستند مسودة الخطة المقترحة أدناه إلى رصيد الصندوق المتاح لأنشطة البرنامج كما في 31 كانون الأول/ديسمبر 2025، باستثناء صندوق الاحتياطي، أي ما يقرب من 7.9 مليون دولار أمريكي. ويمثل هذا المبلغ انخفاضاً مقارنةً بالميزانية التي اعتمدتها الجمعية العامة في دورتها العاشرة، والتي بلغت 8.2 مليون دولار أمريكي (</w:t>
      </w:r>
      <w:bookmarkStart w:id="3" w:name="_Hlk147502296"/>
      <w:r w:rsidRPr="002F3148">
        <w:rPr>
          <w:rFonts w:hint="cs"/>
          <w:rtl/>
        </w:rPr>
        <w:t xml:space="preserve">القرار </w:t>
      </w:r>
      <w:bookmarkEnd w:id="3"/>
      <w:r w:rsidR="00E50F11" w:rsidRPr="002F3148">
        <w:fldChar w:fldCharType="begin"/>
      </w:r>
      <w:r w:rsidR="00187F30">
        <w:instrText>HYPERLINK "https://ich.unesco.org/doc/src/LHE-24-10.GA-Resolutions_AR.docx?v=1721290675"</w:instrText>
      </w:r>
      <w:r w:rsidR="00E50F11" w:rsidRPr="002F3148">
        <w:fldChar w:fldCharType="separate"/>
      </w:r>
      <w:r w:rsidR="00E50F11" w:rsidRPr="002F3148">
        <w:rPr>
          <w:rStyle w:val="Hyperlink"/>
        </w:rPr>
        <w:t>10.GA 8</w:t>
      </w:r>
      <w:r w:rsidR="00E50F11" w:rsidRPr="002F3148">
        <w:rPr>
          <w:rStyle w:val="Hyperlink"/>
        </w:rPr>
        <w:fldChar w:fldCharType="end"/>
      </w:r>
      <w:r w:rsidR="00E50F11" w:rsidRPr="002F3148">
        <w:rPr>
          <w:rFonts w:hint="cs"/>
          <w:rtl/>
        </w:rPr>
        <w:t>)</w:t>
      </w:r>
      <w:r w:rsidRPr="002F3148">
        <w:t>.</w:t>
      </w:r>
    </w:p>
    <w:bookmarkEnd w:id="2"/>
    <w:p w14:paraId="30064FAE" w14:textId="05687797" w:rsidR="000774A3" w:rsidRPr="002F3148" w:rsidRDefault="000774A3" w:rsidP="005E6311">
      <w:pPr>
        <w:pStyle w:val="COMPara"/>
        <w:numPr>
          <w:ilvl w:val="0"/>
          <w:numId w:val="23"/>
        </w:numPr>
        <w:bidi/>
        <w:spacing w:line="288" w:lineRule="auto"/>
        <w:ind w:left="567" w:hanging="567"/>
        <w:jc w:val="both"/>
        <w:rPr>
          <w:spacing w:val="2"/>
          <w:rtl/>
        </w:rPr>
      </w:pPr>
      <w:r w:rsidRPr="002F3148">
        <w:rPr>
          <w:rFonts w:hint="cs"/>
          <w:spacing w:val="2"/>
          <w:rtl/>
        </w:rPr>
        <w:t>ويتبع اقتراح تخصيص الأموال للوثيقة 43م/5 (2026-2027) الهيكل القائم على بنود الميزانية المعمول به، تماشياً مع فترات السنتين السابقة. ويمكن تقسيم بنود الميزانية هذه إلى ثلاث فئات من النفقات: (أ) المساعدة الدولية؛ و(ب) "المهام الأخرى للجنة" بالمعنى المقصود في المادة 7 من الاتفاقية؛ و(ج) المشاركة في اجتماعات الهيئات الرئاسية والخدمات الاستشارية المقدمة للجنة. وفي حين يظل الهيكل العام دون تغيير، يُقترح إجراء بعض التعديلات بين بنود الميزانية، على النحو المبيّن بالتفصيل في الفقرات أدناه، مع مراعاة أن إجمالي الميزانية المتاحة أقل مما كان عليه خلال فترة السنتين 2024-2025.</w:t>
      </w:r>
    </w:p>
    <w:p w14:paraId="7CEBFA9F" w14:textId="5C21FB66" w:rsidR="000774A3" w:rsidRPr="002F3148" w:rsidRDefault="000774A3" w:rsidP="005E6311">
      <w:pPr>
        <w:pStyle w:val="COMPara"/>
        <w:numPr>
          <w:ilvl w:val="0"/>
          <w:numId w:val="0"/>
        </w:numPr>
        <w:bidi/>
        <w:spacing w:line="288" w:lineRule="auto"/>
        <w:ind w:left="567"/>
        <w:jc w:val="both"/>
        <w:rPr>
          <w:b/>
          <w:bCs/>
          <w:rtl/>
        </w:rPr>
      </w:pPr>
      <w:r w:rsidRPr="002F3148">
        <w:rPr>
          <w:rFonts w:hint="cs"/>
          <w:b/>
          <w:bCs/>
          <w:rtl/>
        </w:rPr>
        <w:t>المساعدة الدولية</w:t>
      </w:r>
    </w:p>
    <w:p w14:paraId="3B820990" w14:textId="3A674247" w:rsidR="000774A3" w:rsidRPr="002F3148" w:rsidRDefault="000774A3" w:rsidP="005E6311">
      <w:pPr>
        <w:pStyle w:val="COMPara"/>
        <w:numPr>
          <w:ilvl w:val="0"/>
          <w:numId w:val="23"/>
        </w:numPr>
        <w:bidi/>
        <w:spacing w:line="288" w:lineRule="auto"/>
        <w:ind w:left="567" w:hanging="567"/>
        <w:jc w:val="both"/>
        <w:rPr>
          <w:rtl/>
        </w:rPr>
      </w:pPr>
      <w:r w:rsidRPr="002F3148">
        <w:rPr>
          <w:rFonts w:hint="cs"/>
          <w:rtl/>
        </w:rPr>
        <w:t>تمشياً مع الأولويات التي حددتها المبادئ التوجيهية لتوظيف موارد الصندوق في الفقرة الأولى من الفصل الثاني من التوجيهات التنفيذية، يُقترح تخصيص أغلبية كبيرة من الموارد (65.1%) لتقديم المساعدة الدولية إلى الدول الأطراف لتكملة جهودها الوطنية الرامية إلى صون التراث الثقافي غير المادي (</w:t>
      </w:r>
      <w:r w:rsidRPr="002F3148">
        <w:rPr>
          <w:rFonts w:hint="cs"/>
          <w:b/>
          <w:bCs/>
          <w:rtl/>
        </w:rPr>
        <w:t>بنود الميزانية 1 و1.1 و2</w:t>
      </w:r>
      <w:r w:rsidRPr="002F3148">
        <w:rPr>
          <w:rFonts w:hint="cs"/>
          <w:rtl/>
        </w:rPr>
        <w:t>). وستظل الحصة المخصصة لآليات المساعدة الدولية من موارد الصندوق دون تغيير مقارنةً بفترة السنتين السابقة.</w:t>
      </w:r>
    </w:p>
    <w:p w14:paraId="5D77CC25" w14:textId="3820CF7D" w:rsidR="00FC3F5E" w:rsidRPr="002F3148" w:rsidRDefault="000774A3" w:rsidP="005E6311">
      <w:pPr>
        <w:pStyle w:val="COMPara"/>
        <w:numPr>
          <w:ilvl w:val="0"/>
          <w:numId w:val="23"/>
        </w:numPr>
        <w:bidi/>
        <w:spacing w:line="288" w:lineRule="auto"/>
        <w:ind w:left="567" w:hanging="567"/>
        <w:jc w:val="both"/>
        <w:rPr>
          <w:rtl/>
        </w:rPr>
      </w:pPr>
      <w:r w:rsidRPr="002F3148">
        <w:rPr>
          <w:rFonts w:hint="cs"/>
          <w:rtl/>
        </w:rPr>
        <w:t xml:space="preserve">ومن المتوقع استخدام الأموال المخصصة </w:t>
      </w:r>
      <w:r w:rsidRPr="006A2AD6">
        <w:rPr>
          <w:rFonts w:hint="eastAsia"/>
          <w:b/>
          <w:bCs/>
          <w:rtl/>
        </w:rPr>
        <w:t>لبند</w:t>
      </w:r>
      <w:r w:rsidRPr="006A2AD6">
        <w:rPr>
          <w:b/>
          <w:bCs/>
          <w:rtl/>
        </w:rPr>
        <w:t xml:space="preserve"> الميزانية 1</w:t>
      </w:r>
      <w:r w:rsidRPr="002F3148">
        <w:rPr>
          <w:rFonts w:hint="cs"/>
          <w:rtl/>
        </w:rPr>
        <w:t xml:space="preserve"> (50%) لدعم الدول، من خلال آليات المساعدة الدولية، في صون التراث المدرج في قائمة التراث الثقافي غير المادي الذي يحتاج إلى صون عاجل، وإعداد </w:t>
      </w:r>
      <w:r w:rsidR="00BD1F4D" w:rsidRPr="002F3148">
        <w:rPr>
          <w:rFonts w:hint="cs"/>
          <w:rtl/>
        </w:rPr>
        <w:t xml:space="preserve">قوائم الجرد، </w:t>
      </w:r>
      <w:r w:rsidRPr="002F3148">
        <w:rPr>
          <w:rFonts w:hint="cs"/>
          <w:rtl/>
        </w:rPr>
        <w:t>وغير ذلك من برامج ومشاريع الصون. ومن المقترح الإبقاء على تخصيص البند الأول من الميزانية عند نفس المستوى لتمكين الدول الأطراف من تعزيز جهودها في مجال ال</w:t>
      </w:r>
      <w:r w:rsidR="00BD1F4D" w:rsidRPr="002F3148">
        <w:rPr>
          <w:rFonts w:hint="cs"/>
          <w:rtl/>
        </w:rPr>
        <w:t>صون</w:t>
      </w:r>
      <w:r w:rsidRPr="002F3148">
        <w:rPr>
          <w:rFonts w:hint="cs"/>
          <w:rtl/>
        </w:rPr>
        <w:t>، مع التركيز بشكل خاص على منطقة أفريقيا والدول الجزرية الصغيرة النامية. وستُستخدم هذه الموارد لتقديم التمويل لأكبر عدد ممكن من مشاريع الصون التي تعتمدها اللجنة والمكتب، شريطة استيفائها لمعايير المساعدة الدولية. وبالإضافة إلى ذلك، سيُستخدم بند الميزانية هذا لتغطية تكاليف طلبات المساعدة الدولية التي اعتمدتها اللجنة ومكتبها خلال فترة السنتين 2024-2025، والتي تعذّر إبرام عقود بشأنها خلال الفترة نفسها لأسباب إدارية و/أو بناءً على طلب الدولة المستفيدة؛ وهذا هو الحال بوجه خاص بالنسبة للطلبات المعتمدة خلال النصف الثاني من عام 2025.</w:t>
      </w:r>
    </w:p>
    <w:p w14:paraId="75D0089E" w14:textId="5390C856" w:rsidR="00246899" w:rsidRPr="002F3148" w:rsidRDefault="000774A3" w:rsidP="00970396">
      <w:pPr>
        <w:pStyle w:val="COMPara"/>
        <w:numPr>
          <w:ilvl w:val="0"/>
          <w:numId w:val="23"/>
        </w:numPr>
        <w:bidi/>
        <w:spacing w:line="288" w:lineRule="auto"/>
        <w:ind w:left="567" w:hanging="567"/>
        <w:jc w:val="both"/>
        <w:rPr>
          <w:rtl/>
        </w:rPr>
      </w:pPr>
      <w:r w:rsidRPr="002F3148">
        <w:rPr>
          <w:rFonts w:hint="cs"/>
          <w:rtl/>
        </w:rPr>
        <w:t xml:space="preserve">وعقِب النتائج التي خلص إليها التقييم الذي أجرته دائرة الرقابة الداخلية في عام 2021 لعمل اليونسكو في إطار اتفاقية عام 2003 لصون التراث الثقافي غير المادي (انظر التوصيتين 5 و6 في الوثيقة </w:t>
      </w:r>
      <w:hyperlink r:id="rId31" w:history="1">
        <w:r w:rsidRPr="002F3148">
          <w:rPr>
            <w:rStyle w:val="Hyperlink"/>
          </w:rPr>
          <w:t>LHE/21/16.COM/INF.10 Rev.</w:t>
        </w:r>
        <w:r w:rsidRPr="002F3148">
          <w:rPr>
            <w:rStyle w:val="Hyperlink"/>
            <w:cs/>
          </w:rPr>
          <w:t>‎</w:t>
        </w:r>
      </w:hyperlink>
      <w:r w:rsidRPr="002F3148">
        <w:rPr>
          <w:rFonts w:hint="cs"/>
          <w:rtl/>
        </w:rPr>
        <w:t>)، أذنت اللجنة - على أساس تجريبي منذ عام 2021 - باستخدام أموال بموجب بند الميزانية 1 بمبلغ لا يتجاوز 10% من الميزانية المعتمدة لكل مشروع من مشاريع المساعدة الدولية المعتمدة، وذلك لتمويل الاستعانة بالخبرات، على النحو المبيّن في المادة 21 من الاتفاقية، بغرض رصد وتقييم مشاريع المساعدة الدولية الجارية وتلك التي استُكملت مؤخراً (</w:t>
      </w:r>
      <w:bookmarkStart w:id="4" w:name="_Hlk210205072"/>
      <w:r w:rsidR="009864A1" w:rsidRPr="002F3148">
        <w:rPr>
          <w:rFonts w:hint="cs"/>
          <w:rtl/>
        </w:rPr>
        <w:t>القرر</w:t>
      </w:r>
      <w:r w:rsidRPr="002F3148">
        <w:rPr>
          <w:rFonts w:hint="cs"/>
          <w:rtl/>
        </w:rPr>
        <w:t xml:space="preserve">ات </w:t>
      </w:r>
      <w:hyperlink r:id="rId32" w:history="1">
        <w:r w:rsidRPr="002F3148">
          <w:rPr>
            <w:rStyle w:val="Hyperlink"/>
            <w:cs/>
          </w:rPr>
          <w:t>‎</w:t>
        </w:r>
        <w:hyperlink r:id="rId33" w:history="1">
          <w:r w:rsidR="00BD2DC9" w:rsidRPr="002F3148">
            <w:rPr>
              <w:rStyle w:val="Hyperlink"/>
            </w:rPr>
            <w:t>16.COM.13</w:t>
          </w:r>
        </w:hyperlink>
      </w:hyperlink>
      <w:r w:rsidRPr="002F3148">
        <w:rPr>
          <w:rFonts w:hint="cs"/>
          <w:rtl/>
        </w:rPr>
        <w:t>، و</w:t>
      </w:r>
      <w:bookmarkEnd w:id="4"/>
      <w:r w:rsidR="00BD2DC9" w:rsidRPr="002F3148">
        <w:fldChar w:fldCharType="begin"/>
      </w:r>
      <w:r w:rsidR="00BD2DC9" w:rsidRPr="002F3148">
        <w:instrText xml:space="preserve"> HYPERLINK "https://ich.unesco.org/en/decisions/18.COM/14" </w:instrText>
      </w:r>
      <w:r w:rsidR="00BD2DC9" w:rsidRPr="002F3148">
        <w:fldChar w:fldCharType="separate"/>
      </w:r>
      <w:r w:rsidR="00BD2DC9" w:rsidRPr="002F3148">
        <w:rPr>
          <w:rStyle w:val="Hyperlink"/>
        </w:rPr>
        <w:t>18.COM.14</w:t>
      </w:r>
      <w:r w:rsidR="00BD2DC9" w:rsidRPr="002F3148">
        <w:rPr>
          <w:rStyle w:val="Hyperlink"/>
        </w:rPr>
        <w:fldChar w:fldCharType="end"/>
      </w:r>
      <w:r w:rsidRPr="002F3148">
        <w:rPr>
          <w:rFonts w:hint="cs"/>
          <w:rtl/>
        </w:rPr>
        <w:t>، و</w:t>
      </w:r>
      <w:hyperlink r:id="rId34" w:history="1">
        <w:r w:rsidR="00BD2DC9" w:rsidRPr="002F3148">
          <w:rPr>
            <w:rStyle w:val="Hyperlink"/>
          </w:rPr>
          <w:t>20.COM 14</w:t>
        </w:r>
      </w:hyperlink>
      <w:r w:rsidR="00BD2DC9" w:rsidRPr="002F3148">
        <w:rPr>
          <w:rFonts w:hint="cs"/>
          <w:rtl/>
        </w:rPr>
        <w:t>)</w:t>
      </w:r>
      <w:r w:rsidRPr="002F3148">
        <w:t>.</w:t>
      </w:r>
      <w:r w:rsidRPr="002F3148">
        <w:rPr>
          <w:rFonts w:hint="cs"/>
          <w:rtl/>
        </w:rPr>
        <w:t xml:space="preserve"> وبناءً على استراتيجية رصد وتقييم مشاريع المساعدة الدولية (</w:t>
      </w:r>
      <w:r w:rsidR="009864A1" w:rsidRPr="002F3148">
        <w:rPr>
          <w:rFonts w:hint="cs"/>
          <w:rtl/>
        </w:rPr>
        <w:t>القرار</w:t>
      </w:r>
      <w:r w:rsidRPr="002F3148">
        <w:rPr>
          <w:rFonts w:hint="cs"/>
          <w:rtl/>
        </w:rPr>
        <w:t xml:space="preserve"> </w:t>
      </w:r>
      <w:hyperlink r:id="rId35" w:history="1">
        <w:r w:rsidRPr="002F3148">
          <w:rPr>
            <w:rStyle w:val="Hyperlink"/>
            <w:cs/>
          </w:rPr>
          <w:t>‎</w:t>
        </w:r>
        <w:hyperlink r:id="rId36" w:history="1">
          <w:r w:rsidR="00970396" w:rsidRPr="002F3148">
            <w:rPr>
              <w:rStyle w:val="Hyperlink"/>
            </w:rPr>
            <w:t>17.COM 11</w:t>
          </w:r>
        </w:hyperlink>
      </w:hyperlink>
      <w:r w:rsidRPr="002F3148">
        <w:rPr>
          <w:rFonts w:hint="cs"/>
          <w:rtl/>
        </w:rPr>
        <w:t xml:space="preserve">)، تعتزم الأمانة تنظيم بعثات ميدانية، بالتعاون مع الدول المستفيدة، لتقييم المشاريع المنجزة (انظر الوثيقة </w:t>
      </w:r>
      <w:hyperlink r:id="rId37" w:history="1">
        <w:r w:rsidRPr="002F3148">
          <w:rPr>
            <w:rStyle w:val="Hyperlink"/>
          </w:rPr>
          <w:t>LHE/25/20.COM/10</w:t>
        </w:r>
      </w:hyperlink>
      <w:r w:rsidR="00970396" w:rsidRPr="002F3148">
        <w:rPr>
          <w:rFonts w:hint="cs"/>
          <w:rtl/>
        </w:rPr>
        <w:t>)</w:t>
      </w:r>
      <w:r w:rsidRPr="002F3148">
        <w:t>.</w:t>
      </w:r>
      <w:r w:rsidRPr="002F3148">
        <w:rPr>
          <w:rFonts w:hint="cs"/>
          <w:rtl/>
        </w:rPr>
        <w:t xml:space="preserve"> وستُستخدم هذه الأموال الإضافية بموجب بند الميزانية 1، المنفصلة عن المنح المخصصة للمستفيدين، على أساس تجريبي وبمبلغ لا يتجاوز 10% من ميزانية كل مشروع مختار من مشاريع المساعدة الدولية المعتمدة، لتمويل تقديم الخبرات، وفقاً لما تنص عليه المادة 21 من الاتفاقية، لغرض تقييم مشاريع المساعدة الدولية المكتملة.</w:t>
      </w:r>
    </w:p>
    <w:p w14:paraId="4E206DCB" w14:textId="74625D83" w:rsidR="00D96178" w:rsidRPr="002F3148" w:rsidRDefault="00D96178" w:rsidP="00A11516">
      <w:pPr>
        <w:pStyle w:val="COMPara"/>
        <w:numPr>
          <w:ilvl w:val="0"/>
          <w:numId w:val="23"/>
        </w:numPr>
        <w:tabs>
          <w:tab w:val="left" w:pos="567"/>
        </w:tabs>
        <w:bidi/>
        <w:spacing w:line="288" w:lineRule="auto"/>
        <w:ind w:left="567" w:hanging="567"/>
        <w:jc w:val="both"/>
        <w:rPr>
          <w:spacing w:val="-2"/>
          <w:rtl/>
        </w:rPr>
      </w:pPr>
      <w:r w:rsidRPr="002F3148">
        <w:rPr>
          <w:rFonts w:hint="cs"/>
          <w:spacing w:val="-2"/>
          <w:rtl/>
        </w:rPr>
        <w:t xml:space="preserve">اعتمدت الجمعية العامة، في دورتها السابعة عام 2018، إنشاء ثلاث وظائف محددة المدة ممولة من خارج الميزانية (وظيفة واحدة من فئة </w:t>
      </w:r>
      <w:r w:rsidRPr="002F3148">
        <w:rPr>
          <w:spacing w:val="-2"/>
        </w:rPr>
        <w:t>P3</w:t>
      </w:r>
      <w:r w:rsidRPr="002F3148">
        <w:rPr>
          <w:rFonts w:hint="cs"/>
          <w:spacing w:val="-2"/>
          <w:rtl/>
        </w:rPr>
        <w:t xml:space="preserve">، ووظيفة واحدة من فئة </w:t>
      </w:r>
      <w:r w:rsidRPr="002F3148">
        <w:rPr>
          <w:spacing w:val="-2"/>
        </w:rPr>
        <w:t>P2</w:t>
      </w:r>
      <w:r w:rsidRPr="002F3148">
        <w:rPr>
          <w:rFonts w:hint="cs"/>
          <w:spacing w:val="-2"/>
          <w:rtl/>
        </w:rPr>
        <w:t xml:space="preserve">، ووظيفة واحدة من فئة </w:t>
      </w:r>
      <w:r w:rsidRPr="002F3148">
        <w:rPr>
          <w:spacing w:val="-2"/>
        </w:rPr>
        <w:t>G5</w:t>
      </w:r>
      <w:r w:rsidRPr="002F3148">
        <w:rPr>
          <w:rFonts w:hint="cs"/>
          <w:spacing w:val="-2"/>
          <w:rtl/>
        </w:rPr>
        <w:t xml:space="preserve">) لتشكيل فريق مخصص لتفعيل تنفيذ آليات المساعدة الدولية (القرار </w:t>
      </w:r>
      <w:hyperlink r:id="rId38" w:history="1">
        <w:r w:rsidRPr="002F3148">
          <w:rPr>
            <w:rStyle w:val="Hyperlink"/>
            <w:spacing w:val="-2"/>
            <w:cs/>
          </w:rPr>
          <w:t>‎</w:t>
        </w:r>
        <w:hyperlink r:id="rId39" w:history="1">
          <w:r w:rsidR="00A11516" w:rsidRPr="002F3148">
            <w:rPr>
              <w:rStyle w:val="Hyperlink"/>
              <w:spacing w:val="-2"/>
            </w:rPr>
            <w:t>7.GA 8</w:t>
          </w:r>
        </w:hyperlink>
      </w:hyperlink>
      <w:r w:rsidR="00A11516" w:rsidRPr="002F3148">
        <w:rPr>
          <w:rFonts w:hint="cs"/>
          <w:spacing w:val="-2"/>
          <w:rtl/>
        </w:rPr>
        <w:t>)</w:t>
      </w:r>
      <w:r w:rsidRPr="002F3148">
        <w:rPr>
          <w:spacing w:val="-2"/>
        </w:rPr>
        <w:t>.</w:t>
      </w:r>
      <w:r w:rsidRPr="002F3148">
        <w:rPr>
          <w:rFonts w:hint="cs"/>
          <w:spacing w:val="-2"/>
          <w:rtl/>
        </w:rPr>
        <w:t xml:space="preserve"> وقد أُنشئ "فريق صون التراث وتنفيذ الاتفاقية ورصدها (</w:t>
      </w:r>
      <w:r w:rsidRPr="002F3148">
        <w:rPr>
          <w:spacing w:val="-2"/>
        </w:rPr>
        <w:t>SIM</w:t>
      </w:r>
      <w:r w:rsidRPr="002F3148">
        <w:rPr>
          <w:rFonts w:hint="cs"/>
          <w:spacing w:val="-2"/>
          <w:rtl/>
        </w:rPr>
        <w:t xml:space="preserve">)" في شباط/فبراير 2020. ويُقترح تخصيص حوالي </w:t>
      </w:r>
      <w:r w:rsidRPr="002F3148">
        <w:rPr>
          <w:rFonts w:hint="cs"/>
          <w:spacing w:val="-2"/>
          <w:rtl/>
        </w:rPr>
        <w:lastRenderedPageBreak/>
        <w:t>13.4% من موارد الصندوق لتغطية تكاليف هذه الوظائف الثلاث (</w:t>
      </w:r>
      <w:r w:rsidRPr="002F3148">
        <w:rPr>
          <w:rFonts w:hint="cs"/>
          <w:b/>
          <w:bCs/>
          <w:spacing w:val="-2"/>
          <w:rtl/>
        </w:rPr>
        <w:t>بند الميزانية 1.1</w:t>
      </w:r>
      <w:r w:rsidRPr="002F3148">
        <w:rPr>
          <w:rFonts w:hint="cs"/>
          <w:spacing w:val="-2"/>
          <w:rtl/>
        </w:rPr>
        <w:t>)، مقابل 12.3% في فترة السنتين 2024-2025، وذلك للحفاظ على هذا البند الميزاني عند القيمة الاسمية نفسها.</w:t>
      </w:r>
    </w:p>
    <w:p w14:paraId="40397F90" w14:textId="7CAA555C" w:rsidR="00D96178" w:rsidRPr="002F3148" w:rsidRDefault="00D96178" w:rsidP="005E6311">
      <w:pPr>
        <w:pStyle w:val="COMPara"/>
        <w:numPr>
          <w:ilvl w:val="0"/>
          <w:numId w:val="23"/>
        </w:numPr>
        <w:tabs>
          <w:tab w:val="left" w:pos="567"/>
        </w:tabs>
        <w:bidi/>
        <w:spacing w:line="288" w:lineRule="auto"/>
        <w:ind w:left="567" w:hanging="567"/>
        <w:jc w:val="both"/>
        <w:rPr>
          <w:rtl/>
        </w:rPr>
      </w:pPr>
      <w:r w:rsidRPr="002F3148">
        <w:rPr>
          <w:rFonts w:hint="cs"/>
          <w:rtl/>
        </w:rPr>
        <w:t>كما يُقترح تخصيص 1.7% من الأموال لتقديم المساعدة التحضيرية (</w:t>
      </w:r>
      <w:r w:rsidRPr="002F3148">
        <w:rPr>
          <w:rFonts w:hint="cs"/>
          <w:b/>
          <w:bCs/>
          <w:rtl/>
        </w:rPr>
        <w:t>بند الميزانية 2</w:t>
      </w:r>
      <w:r w:rsidRPr="002F3148">
        <w:rPr>
          <w:rFonts w:hint="cs"/>
          <w:rtl/>
        </w:rPr>
        <w:t xml:space="preserve">)، وهو ما يمثل انخفاضاً طفيفاً مقارنةً بفترة السنتين الحالية (2.8%). ورغم هذا الانخفاض، سيظل بند الميزانية هذا متاحاً لتقديم المساعدات التحضيرية والتقنية ذات الصلة. وبالإضافة إلى ذلك، ستتمكن الأمانة من مواصلة تقديم الدعم للدول الأطراف من خلال المساعدة التحضيرية لإعداد ملفات الترشيح، على النحو المحدد في الفقرة 21 من </w:t>
      </w:r>
      <w:hyperlink r:id="rId40" w:history="1">
        <w:r w:rsidRPr="002F3148">
          <w:rPr>
            <w:rStyle w:val="Hyperlink"/>
            <w:rFonts w:hint="cs"/>
            <w:rtl/>
          </w:rPr>
          <w:t>التوجيهات التنفيذية</w:t>
        </w:r>
      </w:hyperlink>
      <w:r w:rsidRPr="002F3148">
        <w:rPr>
          <w:rFonts w:hint="cs"/>
          <w:rtl/>
        </w:rPr>
        <w:t>. وسيغطي بند الميزانية هذا أيضاً التكاليف المتعلقة بتقديم المساعدة</w:t>
      </w:r>
      <w:r w:rsidRPr="002F3148">
        <w:rPr>
          <w:rStyle w:val="FootnoteReference"/>
        </w:rPr>
        <w:footnoteReference w:id="2"/>
      </w:r>
      <w:r w:rsidRPr="002F3148">
        <w:rPr>
          <w:rFonts w:hint="cs"/>
          <w:rtl/>
        </w:rPr>
        <w:t xml:space="preserve"> التقنية للدول الأطراف التي تعد طلبات المساعدة الدولية.</w:t>
      </w:r>
    </w:p>
    <w:p w14:paraId="1FFA3EEC" w14:textId="77777777" w:rsidR="00D96178" w:rsidRPr="002F3148" w:rsidRDefault="00D96178" w:rsidP="005E6311">
      <w:pPr>
        <w:pStyle w:val="COMPara"/>
        <w:numPr>
          <w:ilvl w:val="0"/>
          <w:numId w:val="0"/>
        </w:numPr>
        <w:tabs>
          <w:tab w:val="left" w:pos="567"/>
        </w:tabs>
        <w:bidi/>
        <w:spacing w:line="288" w:lineRule="auto"/>
        <w:ind w:firstLine="567"/>
        <w:jc w:val="both"/>
        <w:rPr>
          <w:b/>
          <w:bCs/>
          <w:rtl/>
        </w:rPr>
      </w:pPr>
      <w:r w:rsidRPr="002F3148">
        <w:rPr>
          <w:rFonts w:hint="cs"/>
          <w:b/>
          <w:bCs/>
          <w:rtl/>
        </w:rPr>
        <w:t>المهام الأخرى للجنة</w:t>
      </w:r>
    </w:p>
    <w:p w14:paraId="5E4C9689" w14:textId="25344D0C" w:rsidR="00D96178" w:rsidRPr="002F3148" w:rsidRDefault="00D96178" w:rsidP="005E6311">
      <w:pPr>
        <w:pStyle w:val="COMPara"/>
        <w:numPr>
          <w:ilvl w:val="0"/>
          <w:numId w:val="23"/>
        </w:numPr>
        <w:tabs>
          <w:tab w:val="left" w:pos="567"/>
        </w:tabs>
        <w:bidi/>
        <w:spacing w:line="288" w:lineRule="auto"/>
        <w:ind w:left="567" w:hanging="567"/>
        <w:jc w:val="both"/>
        <w:rPr>
          <w:rtl/>
        </w:rPr>
      </w:pPr>
      <w:r w:rsidRPr="002F3148">
        <w:rPr>
          <w:rFonts w:hint="cs"/>
          <w:rtl/>
        </w:rPr>
        <w:t xml:space="preserve">سيتم الإبقاء على </w:t>
      </w:r>
      <w:r w:rsidRPr="002F3148">
        <w:rPr>
          <w:rFonts w:hint="cs"/>
          <w:b/>
          <w:bCs/>
          <w:rtl/>
        </w:rPr>
        <w:t>بند الميزانية 3</w:t>
      </w:r>
      <w:r w:rsidRPr="002F3148">
        <w:rPr>
          <w:rFonts w:hint="cs"/>
          <w:rtl/>
        </w:rPr>
        <w:t xml:space="preserve"> ("المهام الأخرى للجنة") عند نسبة 20% لتعزيز العمل الذي بدأ خلال فترات السنتين السابقة. وترد هذه المهام في المادة 7 من الاتفاقية، وتستخدم الأمانة هذه الأموال، مستكملةً إياها بالمساهمات التكميلية الطوعية المخصصة لأولويتي التمويل اللتين حددتهما اللجنة للفترة 2026-2029، لمساعدة اللجنة في أداء هذه المهام، وفقاً لما تنص عليه المادة 10 من الاتفاقية. وبعبارة أخرى، ستُستخدم هذه الأموال في المقام الأول في </w:t>
      </w:r>
      <w:r w:rsidRPr="002F3148">
        <w:rPr>
          <w:rStyle w:val="hps"/>
          <w:rFonts w:hint="cs"/>
          <w:rtl/>
        </w:rPr>
        <w:t xml:space="preserve">الأنشطة الاستباقية والجامعة </w:t>
      </w:r>
      <w:r w:rsidRPr="002F3148">
        <w:rPr>
          <w:rFonts w:hint="cs"/>
          <w:rtl/>
        </w:rPr>
        <w:t>التي تهدف إلى تعزيز أهداف الاتفاقية وتشجيع تنفيذها ومتابعته (المادة 7[أ])، فضلاً عن تقديم التوجيه بشأن تدابير صون التراث الثقافي غير المادي (المادة 7[ب]). ومن المهم ملاحظة أنه على الرغم من ثبات النسبة المئوية للمخصصات، فقد انخفض المبلغ الاسمي لبند الميزانية 3 بسبب التخفيض العام في المبلغ المتاح لفترة السنتين الحالية (2026-2027).</w:t>
      </w:r>
    </w:p>
    <w:p w14:paraId="6A6A6B41" w14:textId="36364F45" w:rsidR="00D96178" w:rsidRPr="002F3148" w:rsidRDefault="00D96178" w:rsidP="00301722">
      <w:pPr>
        <w:pStyle w:val="COMPara"/>
        <w:numPr>
          <w:ilvl w:val="0"/>
          <w:numId w:val="23"/>
        </w:numPr>
        <w:tabs>
          <w:tab w:val="left" w:pos="567"/>
        </w:tabs>
        <w:bidi/>
        <w:spacing w:after="360" w:line="288" w:lineRule="auto"/>
        <w:ind w:left="567" w:hanging="567"/>
        <w:jc w:val="both"/>
        <w:rPr>
          <w:spacing w:val="2"/>
          <w:rtl/>
        </w:rPr>
      </w:pPr>
      <w:r w:rsidRPr="002F3148">
        <w:rPr>
          <w:rFonts w:hint="cs"/>
          <w:spacing w:val="2"/>
          <w:rtl/>
        </w:rPr>
        <w:t xml:space="preserve">ووفقاً </w:t>
      </w:r>
      <w:r w:rsidR="00301722" w:rsidRPr="006A2AD6">
        <w:rPr>
          <w:rFonts w:hint="eastAsia"/>
          <w:spacing w:val="2"/>
          <w:rtl/>
        </w:rPr>
        <w:t>للقرار</w:t>
      </w:r>
      <w:r w:rsidRPr="002F3148">
        <w:rPr>
          <w:rFonts w:hint="cs"/>
          <w:spacing w:val="2"/>
          <w:rtl/>
        </w:rPr>
        <w:t xml:space="preserve"> </w:t>
      </w:r>
      <w:hyperlink r:id="rId41" w:history="1">
        <w:r w:rsidR="006F2324" w:rsidRPr="002F3148">
          <w:rPr>
            <w:rStyle w:val="Hyperlink"/>
            <w:bCs/>
            <w:spacing w:val="2"/>
          </w:rPr>
          <w:t>14.COM 7</w:t>
        </w:r>
      </w:hyperlink>
      <w:r w:rsidRPr="002F3148">
        <w:rPr>
          <w:rFonts w:hint="cs"/>
          <w:spacing w:val="2"/>
          <w:rtl/>
        </w:rPr>
        <w:t xml:space="preserve">، تتضمن الخطة المقترحة المقدمة إلى اللجنة والجمعية العامة توزيعاً للنسب المئوية في إطار بند الميزانية 3 حسب النتائج المنشودة بما يتوافق مع النواتج المعتمدة في الوثيقة م/5. وتقترح الخطة تقسيم بند الميزانية 3 إلى نتيجتين منشودتين استناداً إلى اثنين من مؤشرات الأداء المحددة في الوثيقة </w:t>
      </w:r>
      <w:hyperlink r:id="rId42" w:history="1">
        <w:r w:rsidRPr="002F3148">
          <w:rPr>
            <w:rStyle w:val="Hyperlink"/>
            <w:rFonts w:hint="cs"/>
            <w:spacing w:val="2"/>
            <w:rtl/>
          </w:rPr>
          <w:t>43 م/5</w:t>
        </w:r>
      </w:hyperlink>
      <w:r w:rsidRPr="002F3148">
        <w:rPr>
          <w:rFonts w:hint="cs"/>
          <w:spacing w:val="2"/>
          <w:rtl/>
        </w:rPr>
        <w:t xml:space="preserve"> المعتمدة (الصفحات </w:t>
      </w:r>
      <w:r w:rsidR="00301722" w:rsidRPr="00301722">
        <w:rPr>
          <w:spacing w:val="2"/>
        </w:rPr>
        <w:t>201</w:t>
      </w:r>
      <w:r w:rsidRPr="002F3148">
        <w:rPr>
          <w:rFonts w:hint="cs"/>
          <w:spacing w:val="2"/>
          <w:rtl/>
        </w:rPr>
        <w:t xml:space="preserve"> إلى </w:t>
      </w:r>
      <w:r w:rsidR="00301722" w:rsidRPr="00301722">
        <w:rPr>
          <w:spacing w:val="2"/>
        </w:rPr>
        <w:t>203</w:t>
      </w:r>
      <w:r w:rsidRPr="002F3148">
        <w:rPr>
          <w:rFonts w:hint="cs"/>
          <w:spacing w:val="2"/>
          <w:rtl/>
        </w:rPr>
        <w:t xml:space="preserve">): البرنامج الرئيسي الرابع - الثقافة، الناتج 4، </w:t>
      </w:r>
      <w:bookmarkStart w:id="5" w:name="_Hlk210144015"/>
      <w:r w:rsidRPr="002F3148">
        <w:rPr>
          <w:rFonts w:hint="cs"/>
          <w:spacing w:val="2"/>
          <w:rtl/>
        </w:rPr>
        <w:t xml:space="preserve">المُخرَج </w:t>
      </w:r>
      <w:bookmarkEnd w:id="5"/>
      <w:r w:rsidR="006F2324" w:rsidRPr="002F3148">
        <w:rPr>
          <w:spacing w:val="2"/>
        </w:rPr>
        <w:t>4.2.CLT</w:t>
      </w:r>
      <w:r w:rsidRPr="002F3148">
        <w:rPr>
          <w:rFonts w:hint="cs"/>
          <w:spacing w:val="2"/>
          <w:rtl/>
        </w:rPr>
        <w:t>: "تعزيز قدرات الدول الأعضاء والمجتمعات المحلية على حماية التراث الطبيعي والثقافي وصونه وتعزيزه، بما في ذلك التراث المادي وغير المادي والتراث المغمور بالمياه". وسيكون توزيع المخصصات المالية بين النتيجتين المنشودتين المقترحتين متساوياً، على النحو التالي:</w:t>
      </w:r>
    </w:p>
    <w:tbl>
      <w:tblPr>
        <w:tblStyle w:val="TableGrid"/>
        <w:bidiVisual/>
        <w:tblW w:w="0" w:type="auto"/>
        <w:jc w:val="center"/>
        <w:tblLook w:val="04A0" w:firstRow="1" w:lastRow="0" w:firstColumn="1" w:lastColumn="0" w:noHBand="0" w:noVBand="1"/>
      </w:tblPr>
      <w:tblGrid>
        <w:gridCol w:w="6075"/>
        <w:gridCol w:w="1790"/>
      </w:tblGrid>
      <w:tr w:rsidR="00D96178" w:rsidRPr="002F3148" w14:paraId="5A6B3FD6" w14:textId="77777777" w:rsidTr="006F2324">
        <w:trPr>
          <w:trHeight w:val="365"/>
          <w:jc w:val="center"/>
        </w:trPr>
        <w:tc>
          <w:tcPr>
            <w:tcW w:w="6075" w:type="dxa"/>
            <w:shd w:val="clear" w:color="auto" w:fill="D9D9D9" w:themeFill="background1" w:themeFillShade="D9"/>
          </w:tcPr>
          <w:p w14:paraId="0FA18DD5" w14:textId="77777777" w:rsidR="00D96178" w:rsidRPr="002F3148" w:rsidRDefault="00D96178" w:rsidP="005E6311">
            <w:pPr>
              <w:pStyle w:val="COMPara"/>
              <w:numPr>
                <w:ilvl w:val="0"/>
                <w:numId w:val="0"/>
              </w:numPr>
              <w:tabs>
                <w:tab w:val="left" w:pos="567"/>
              </w:tabs>
              <w:bidi/>
              <w:spacing w:line="288" w:lineRule="auto"/>
              <w:jc w:val="both"/>
              <w:rPr>
                <w:b/>
                <w:bCs/>
                <w:rtl/>
              </w:rPr>
            </w:pPr>
            <w:r w:rsidRPr="002F3148">
              <w:rPr>
                <w:rFonts w:hint="cs"/>
                <w:b/>
                <w:bCs/>
                <w:rtl/>
              </w:rPr>
              <w:t>النتائج المنشودة</w:t>
            </w:r>
          </w:p>
        </w:tc>
        <w:tc>
          <w:tcPr>
            <w:tcW w:w="1790" w:type="dxa"/>
            <w:shd w:val="clear" w:color="auto" w:fill="D9D9D9" w:themeFill="background1" w:themeFillShade="D9"/>
          </w:tcPr>
          <w:p w14:paraId="43CAE976" w14:textId="0FBC0D0C" w:rsidR="00D96178" w:rsidRPr="002F3148" w:rsidRDefault="00545FCF" w:rsidP="005E6311">
            <w:pPr>
              <w:pStyle w:val="COMPara"/>
              <w:numPr>
                <w:ilvl w:val="0"/>
                <w:numId w:val="0"/>
              </w:numPr>
              <w:tabs>
                <w:tab w:val="left" w:pos="567"/>
              </w:tabs>
              <w:bidi/>
              <w:spacing w:line="288" w:lineRule="auto"/>
              <w:jc w:val="center"/>
              <w:rPr>
                <w:b/>
                <w:bCs/>
                <w:rtl/>
              </w:rPr>
            </w:pPr>
            <w:r w:rsidRPr="002F3148">
              <w:rPr>
                <w:rFonts w:hint="cs"/>
                <w:b/>
                <w:bCs/>
                <w:rtl/>
              </w:rPr>
              <w:t>2026–2027</w:t>
            </w:r>
          </w:p>
        </w:tc>
      </w:tr>
      <w:tr w:rsidR="00D96178" w:rsidRPr="002F3148" w14:paraId="1C4D5935" w14:textId="77777777" w:rsidTr="006F2324">
        <w:trPr>
          <w:trHeight w:val="881"/>
          <w:jc w:val="center"/>
        </w:trPr>
        <w:tc>
          <w:tcPr>
            <w:tcW w:w="6075" w:type="dxa"/>
            <w:shd w:val="clear" w:color="auto" w:fill="DBE5F1" w:themeFill="accent1" w:themeFillTint="33"/>
          </w:tcPr>
          <w:p w14:paraId="5F7CEB21" w14:textId="752B9A1C" w:rsidR="00D96178" w:rsidRPr="002F3148" w:rsidRDefault="00D96178" w:rsidP="005E6311">
            <w:pPr>
              <w:pStyle w:val="COMPara"/>
              <w:numPr>
                <w:ilvl w:val="0"/>
                <w:numId w:val="0"/>
              </w:numPr>
              <w:tabs>
                <w:tab w:val="left" w:pos="567"/>
              </w:tabs>
              <w:bidi/>
              <w:spacing w:line="288" w:lineRule="auto"/>
              <w:rPr>
                <w:rtl/>
              </w:rPr>
            </w:pPr>
            <w:r w:rsidRPr="002F3148">
              <w:rPr>
                <w:rFonts w:hint="cs"/>
                <w:rtl/>
              </w:rPr>
              <w:t>النتيجة المنشودة الأولى: تعزيز تنفيذ الاتفاقية من خلال برنامج معزز لبناء القدرات وإدماج التراث الثقافي غير المادي في خطط وأطر التنمية</w:t>
            </w:r>
            <w:r w:rsidRPr="002F3148">
              <w:rPr>
                <w:rStyle w:val="FootnoteReference"/>
              </w:rPr>
              <w:footnoteReference w:id="3"/>
            </w:r>
          </w:p>
        </w:tc>
        <w:tc>
          <w:tcPr>
            <w:tcW w:w="1790" w:type="dxa"/>
            <w:shd w:val="clear" w:color="auto" w:fill="DBE5F1" w:themeFill="accent1" w:themeFillTint="33"/>
          </w:tcPr>
          <w:p w14:paraId="56552A87" w14:textId="77777777" w:rsidR="00D96178" w:rsidRPr="002F3148" w:rsidRDefault="00D96178" w:rsidP="005E6311">
            <w:pPr>
              <w:pStyle w:val="COMPara"/>
              <w:numPr>
                <w:ilvl w:val="0"/>
                <w:numId w:val="0"/>
              </w:numPr>
              <w:tabs>
                <w:tab w:val="left" w:pos="567"/>
              </w:tabs>
              <w:bidi/>
              <w:spacing w:line="288" w:lineRule="auto"/>
              <w:jc w:val="center"/>
              <w:rPr>
                <w:b/>
                <w:bCs/>
                <w:rtl/>
              </w:rPr>
            </w:pPr>
            <w:r w:rsidRPr="002F3148">
              <w:rPr>
                <w:rFonts w:hint="cs"/>
                <w:b/>
                <w:bCs/>
                <w:rtl/>
              </w:rPr>
              <w:t>50%</w:t>
            </w:r>
          </w:p>
        </w:tc>
      </w:tr>
      <w:tr w:rsidR="00D96178" w:rsidRPr="002F3148" w14:paraId="6A14344C" w14:textId="77777777" w:rsidTr="006F2324">
        <w:trPr>
          <w:trHeight w:val="825"/>
          <w:jc w:val="center"/>
        </w:trPr>
        <w:tc>
          <w:tcPr>
            <w:tcW w:w="6075" w:type="dxa"/>
            <w:shd w:val="clear" w:color="auto" w:fill="FDE9D9" w:themeFill="accent6" w:themeFillTint="33"/>
          </w:tcPr>
          <w:p w14:paraId="5E6409C3" w14:textId="77777777" w:rsidR="00D96178" w:rsidRPr="002F3148" w:rsidRDefault="00D96178" w:rsidP="005E6311">
            <w:pPr>
              <w:pStyle w:val="COMPara"/>
              <w:numPr>
                <w:ilvl w:val="0"/>
                <w:numId w:val="0"/>
              </w:numPr>
              <w:tabs>
                <w:tab w:val="left" w:pos="567"/>
              </w:tabs>
              <w:bidi/>
              <w:spacing w:line="288" w:lineRule="auto"/>
              <w:rPr>
                <w:rtl/>
              </w:rPr>
            </w:pPr>
            <w:r w:rsidRPr="002F3148">
              <w:rPr>
                <w:rFonts w:hint="cs"/>
                <w:rtl/>
              </w:rPr>
              <w:t>النتيجة المنشودة الثانية: تسهيل الإدارة السليمة للاتفاقية من خلال تعزيز خدمات الرصد وإدارة المعرفة وزيادة الوعي المرتبط بآليات التعاون الدولي</w:t>
            </w:r>
            <w:r w:rsidRPr="002F3148">
              <w:rPr>
                <w:rStyle w:val="FootnoteReference"/>
              </w:rPr>
              <w:footnoteReference w:id="4"/>
            </w:r>
          </w:p>
        </w:tc>
        <w:tc>
          <w:tcPr>
            <w:tcW w:w="1790" w:type="dxa"/>
            <w:shd w:val="clear" w:color="auto" w:fill="FDE9D9" w:themeFill="accent6" w:themeFillTint="33"/>
          </w:tcPr>
          <w:p w14:paraId="3ED770EE" w14:textId="77777777" w:rsidR="00D96178" w:rsidRPr="002F3148" w:rsidRDefault="00D96178" w:rsidP="005E6311">
            <w:pPr>
              <w:pStyle w:val="COMPara"/>
              <w:numPr>
                <w:ilvl w:val="0"/>
                <w:numId w:val="0"/>
              </w:numPr>
              <w:tabs>
                <w:tab w:val="left" w:pos="567"/>
              </w:tabs>
              <w:bidi/>
              <w:spacing w:line="288" w:lineRule="auto"/>
              <w:jc w:val="center"/>
              <w:rPr>
                <w:b/>
                <w:bCs/>
                <w:rtl/>
              </w:rPr>
            </w:pPr>
            <w:r w:rsidRPr="002F3148">
              <w:rPr>
                <w:rFonts w:hint="cs"/>
                <w:b/>
                <w:bCs/>
                <w:rtl/>
              </w:rPr>
              <w:t>50%</w:t>
            </w:r>
          </w:p>
        </w:tc>
      </w:tr>
    </w:tbl>
    <w:p w14:paraId="754E0F73" w14:textId="5C8BD42B" w:rsidR="001F781B" w:rsidRPr="002F3148" w:rsidRDefault="00D96178" w:rsidP="006F2324">
      <w:pPr>
        <w:pStyle w:val="COMPara"/>
        <w:numPr>
          <w:ilvl w:val="0"/>
          <w:numId w:val="23"/>
        </w:numPr>
        <w:bidi/>
        <w:spacing w:before="240" w:line="288" w:lineRule="auto"/>
        <w:ind w:left="567" w:hanging="567"/>
        <w:jc w:val="both"/>
        <w:rPr>
          <w:rtl/>
        </w:rPr>
      </w:pPr>
      <w:r w:rsidRPr="002F3148">
        <w:rPr>
          <w:rFonts w:hint="cs"/>
          <w:rtl/>
        </w:rPr>
        <w:t>ووفقاً لقرار الاعتمادات للفترة 2026-2027 (</w:t>
      </w:r>
      <w:hyperlink r:id="rId43" w:history="1">
        <w:r w:rsidRPr="002F3148">
          <w:rPr>
            <w:rStyle w:val="Hyperlink"/>
            <w:rFonts w:hint="cs"/>
            <w:rtl/>
          </w:rPr>
          <w:t>القرار 43 م/84</w:t>
        </w:r>
      </w:hyperlink>
      <w:r w:rsidRPr="002F3148">
        <w:rPr>
          <w:rFonts w:hint="cs"/>
          <w:rtl/>
        </w:rPr>
        <w:t>، الفقرة 12) الذي اعتمده المؤتمر العام في دورته الثالثة والأربعين في تشرين الثاني/نوفمبر 2025، والذي يأذن بأن "يجوز للمدير العام إجراء تحويلات بين بنود الاعتمادات بما يصل إلى 5% من مبلغ بند الميزانية العادية الأصلي المخصص الذي تُجرى منه التحويلات"، فقد أذنت اللجنة للأمانة بإجراء تحويلات بين الأنشطة المدرجة ضمن المخصص المحدّد لبند الميزانية 3 بما يصل إلى مبلغ تراكمي يعادل 5% من إجمالي المخصص الأصلي (</w:t>
      </w:r>
      <w:r w:rsidR="0071396D" w:rsidRPr="006A2AD6">
        <w:rPr>
          <w:rFonts w:hint="eastAsia"/>
          <w:rtl/>
        </w:rPr>
        <w:t>القرار</w:t>
      </w:r>
      <w:r w:rsidRPr="002F3148">
        <w:rPr>
          <w:rFonts w:hint="cs"/>
          <w:rtl/>
        </w:rPr>
        <w:t xml:space="preserve"> </w:t>
      </w:r>
      <w:hyperlink r:id="rId44" w:history="1">
        <w:r w:rsidR="006F2324" w:rsidRPr="002F3148">
          <w:rPr>
            <w:rStyle w:val="Hyperlink"/>
          </w:rPr>
          <w:t>20.COM 14</w:t>
        </w:r>
      </w:hyperlink>
      <w:r w:rsidR="006F2324" w:rsidRPr="002F3148">
        <w:rPr>
          <w:rFonts w:hint="cs"/>
          <w:rtl/>
        </w:rPr>
        <w:t>)</w:t>
      </w:r>
      <w:r w:rsidRPr="002F3148">
        <w:t>.</w:t>
      </w:r>
      <w:r w:rsidRPr="002F3148">
        <w:rPr>
          <w:rFonts w:hint="cs"/>
          <w:rtl/>
        </w:rPr>
        <w:t xml:space="preserve"> واستناداً إلى المبلغ الإرشادي للميزانية المبيّن في المرفق، فإن هذا المبلغ يعادل 78,766 دولاراً أمريكياً. وستقوم الأمانة بإبلاغ الجمعية العامة واللجنة خطياً، في الدورة التي تلي اتخاذ هذا الإجراء، بتفاصيل هذه التحويلات وأسبابها، في حال حدوثها.</w:t>
      </w:r>
    </w:p>
    <w:p w14:paraId="10C17656" w14:textId="77777777" w:rsidR="00D96178" w:rsidRPr="002F3148" w:rsidRDefault="00D96178" w:rsidP="005E6311">
      <w:pPr>
        <w:pStyle w:val="COMPara"/>
        <w:numPr>
          <w:ilvl w:val="0"/>
          <w:numId w:val="0"/>
        </w:numPr>
        <w:bidi/>
        <w:spacing w:line="288" w:lineRule="auto"/>
        <w:ind w:left="567"/>
        <w:jc w:val="both"/>
        <w:rPr>
          <w:b/>
          <w:bCs/>
          <w:rtl/>
        </w:rPr>
      </w:pPr>
      <w:r w:rsidRPr="002F3148">
        <w:rPr>
          <w:rFonts w:hint="cs"/>
          <w:b/>
          <w:bCs/>
          <w:rtl/>
        </w:rPr>
        <w:lastRenderedPageBreak/>
        <w:t>النتيجة المنشودة 1: تعزيز تنفيذ الاتفاقية من خلال برنامج معزز لبناء القدرات وإدماج التراث الثقافي غير المادي في خطط وأطر التنمية.</w:t>
      </w:r>
    </w:p>
    <w:p w14:paraId="68E5691A" w14:textId="7294249F" w:rsidR="00D96178" w:rsidRPr="002F3148" w:rsidRDefault="00D96178" w:rsidP="00EF6E27">
      <w:pPr>
        <w:pStyle w:val="COMPara"/>
        <w:numPr>
          <w:ilvl w:val="0"/>
          <w:numId w:val="23"/>
        </w:numPr>
        <w:bidi/>
        <w:spacing w:before="120" w:line="288" w:lineRule="auto"/>
        <w:ind w:left="567" w:hanging="567"/>
        <w:jc w:val="both"/>
        <w:rPr>
          <w:spacing w:val="-2"/>
          <w:rtl/>
        </w:rPr>
      </w:pPr>
      <w:r w:rsidRPr="002F3148">
        <w:rPr>
          <w:rFonts w:hint="cs"/>
          <w:spacing w:val="-2"/>
          <w:rtl/>
        </w:rPr>
        <w:t xml:space="preserve">بناءً على الالتزام الجماعي المبيّن في </w:t>
      </w:r>
      <w:hyperlink r:id="rId45" w:history="1">
        <w:r w:rsidRPr="002F3148">
          <w:rPr>
            <w:rStyle w:val="Hyperlink"/>
            <w:rFonts w:hint="cs"/>
            <w:spacing w:val="-2"/>
            <w:rtl/>
          </w:rPr>
          <w:t>الوثيقة الختامية</w:t>
        </w:r>
      </w:hyperlink>
      <w:r w:rsidRPr="002F3148">
        <w:rPr>
          <w:rFonts w:hint="cs"/>
          <w:spacing w:val="-2"/>
          <w:rtl/>
        </w:rPr>
        <w:t xml:space="preserve"> لمؤتمر "موندياكولت 2025" بشأن تعزيز القدرات المؤسسية لصون التراث، ستواصل الأمانة إعادة توجيه برنامج بناء القدرات العالمي للاستجابة بشكل أفضل للاحتياجات المتطورة للدول و</w:t>
      </w:r>
      <w:r w:rsidR="00E9540E">
        <w:rPr>
          <w:rFonts w:ascii="YakoutLinotypeLight-Regular" w:eastAsia="SimSun" w:hAnsi="Calibri" w:cs="YakoutLinotypeLight-Regular" w:hint="cs"/>
          <w:rtl/>
        </w:rPr>
        <w:t>الجماعات</w:t>
      </w:r>
      <w:r w:rsidRPr="002F3148">
        <w:rPr>
          <w:rFonts w:hint="cs"/>
          <w:spacing w:val="-2"/>
          <w:rtl/>
        </w:rPr>
        <w:t xml:space="preserve">، ولا سيما من خلال تعزيز </w:t>
      </w:r>
      <w:hyperlink r:id="rId46" w:history="1">
        <w:r w:rsidRPr="002F3148">
          <w:rPr>
            <w:rStyle w:val="Hyperlink"/>
            <w:rFonts w:hint="cs"/>
            <w:spacing w:val="-2"/>
            <w:rtl/>
          </w:rPr>
          <w:t>منصة اليونسكو للتعلم</w:t>
        </w:r>
      </w:hyperlink>
      <w:r w:rsidRPr="002F3148">
        <w:rPr>
          <w:rFonts w:hint="cs"/>
          <w:spacing w:val="-2"/>
          <w:rtl/>
        </w:rPr>
        <w:t>، التي توفر فرص تعلم متعددة الأنماط (عبر</w:t>
      </w:r>
      <w:r w:rsidR="00EF6E27" w:rsidRPr="002F3148">
        <w:rPr>
          <w:rFonts w:hint="eastAsia"/>
          <w:spacing w:val="-2"/>
          <w:rtl/>
        </w:rPr>
        <w:t> </w:t>
      </w:r>
      <w:r w:rsidRPr="002F3148">
        <w:rPr>
          <w:rFonts w:hint="cs"/>
          <w:spacing w:val="-2"/>
          <w:rtl/>
        </w:rPr>
        <w:t xml:space="preserve">الإنترنت، والتعلم المختلط، والأنماط الهجينة) للوصول إلى نطاق أوسع من الجهات المعنية. وعلاوة على ذلك، ستُوجه الجهود نحو تعزيز </w:t>
      </w:r>
      <w:hyperlink r:id="rId47" w:history="1">
        <w:r w:rsidRPr="002F3148">
          <w:rPr>
            <w:rStyle w:val="Hyperlink"/>
            <w:rFonts w:hint="cs"/>
            <w:spacing w:val="-2"/>
            <w:rtl/>
          </w:rPr>
          <w:t>الشبكة العالمية للميسرين</w:t>
        </w:r>
      </w:hyperlink>
      <w:r w:rsidRPr="002F3148">
        <w:rPr>
          <w:rFonts w:hint="cs"/>
          <w:spacing w:val="-2"/>
          <w:rtl/>
        </w:rPr>
        <w:t xml:space="preserve">، وتزويدها بالخبرات الموضوعية والتوجيهات والأدوات المحدّثة لتقديم أنشطة بناء القدرات في أنماط هجينة والوصول إلى فئات جديدة. وفي فترة السنتين 2026-2027، سيُقدَّم دعم موجه لبناء القدرات في مجال إعداد التقارير الدورية، لا سيما في سياق الانتقال إلى نظام التقديم العالمي الموحّد (انظر الوثيقة </w:t>
      </w:r>
      <w:hyperlink r:id="rId48" w:history="1">
        <w:r w:rsidRPr="002F3148">
          <w:rPr>
            <w:rStyle w:val="Hyperlink"/>
            <w:spacing w:val="-2"/>
          </w:rPr>
          <w:t>LHE/25/20.COM/6.c</w:t>
        </w:r>
      </w:hyperlink>
      <w:r w:rsidRPr="002F3148">
        <w:rPr>
          <w:rFonts w:hint="cs"/>
          <w:spacing w:val="-2"/>
          <w:rtl/>
        </w:rPr>
        <w:t>)، مما يمكّن الدول الأطراف من توليد البيانات واستخدامها بفعالية أكبر لـصون التراث الحي ودعم رسم السياسات. وسيتم تعزيز الشراكات مع مراكز الفئة 2 وكراسي اليونسكو الجامعية (شبكة يونيتوين) والجهات المعنية الأخرى لتوسيع النطاق الجغرافي للأنشطة وتعزيز أوجه التآزر مع الخبرات الأكاديمية والإقليمية.</w:t>
      </w:r>
    </w:p>
    <w:p w14:paraId="43FDFC90" w14:textId="204FDA7A" w:rsidR="00D96178" w:rsidRPr="002F3148" w:rsidRDefault="00D96178" w:rsidP="005E6311">
      <w:pPr>
        <w:pStyle w:val="COMPara"/>
        <w:numPr>
          <w:ilvl w:val="0"/>
          <w:numId w:val="23"/>
        </w:numPr>
        <w:bidi/>
        <w:spacing w:before="120" w:line="288" w:lineRule="auto"/>
        <w:ind w:left="567" w:hanging="567"/>
        <w:jc w:val="both"/>
        <w:rPr>
          <w:rtl/>
        </w:rPr>
      </w:pPr>
      <w:r w:rsidRPr="002F3148">
        <w:rPr>
          <w:rFonts w:hint="cs"/>
          <w:rtl/>
        </w:rPr>
        <w:t>وانطلاقاً من روح "</w:t>
      </w:r>
      <w:hyperlink r:id="rId49" w:anchor=":~:text=Outlined%20during%20the%20celebration%20of,living%20heritage%20to%20ensure%20sustainable" w:history="1">
        <w:r w:rsidR="00D3730D" w:rsidRPr="00D3730D">
          <w:rPr>
            <w:rtl/>
          </w:rPr>
          <w:t xml:space="preserve"> </w:t>
        </w:r>
        <w:r w:rsidR="00D3730D" w:rsidRPr="00D3730D">
          <w:rPr>
            <w:rStyle w:val="Hyperlink"/>
            <w:rtl/>
          </w:rPr>
          <w:t>رؤية</w:t>
        </w:r>
        <w:r w:rsidRPr="002F3148">
          <w:rPr>
            <w:rStyle w:val="Hyperlink"/>
            <w:rFonts w:hint="cs"/>
            <w:rtl/>
          </w:rPr>
          <w:t xml:space="preserve"> سيول</w:t>
        </w:r>
      </w:hyperlink>
      <w:r w:rsidRPr="002F3148">
        <w:rPr>
          <w:rFonts w:hint="cs"/>
          <w:rtl/>
        </w:rPr>
        <w:t xml:space="preserve"> لمستقبل صون التراث الحي من أجل التنمية المستدامة والسلام" (2023)، ومؤخراً "</w:t>
      </w:r>
      <w:hyperlink r:id="rId50" w:history="1">
        <w:r w:rsidRPr="002F3148">
          <w:rPr>
            <w:rStyle w:val="Hyperlink"/>
            <w:rFonts w:hint="cs"/>
            <w:rtl/>
          </w:rPr>
          <w:t>إطار</w:t>
        </w:r>
      </w:hyperlink>
      <w:r w:rsidRPr="002F3148">
        <w:rPr>
          <w:rFonts w:hint="cs"/>
          <w:rtl/>
        </w:rPr>
        <w:t xml:space="preserve"> اليونسكو لتعليم الثقافة والفنون" (2024)، ستواصل الأمانة تعزيز إدماج التراث الحي في التعليم النظامي وغير النظامي، مع التأكيد على أهمية التعليم الملائم للسياق. وفي حدود الموارد المتاحة، بما في ذلك الموارد الواردة من المساهمات التكميلية الطوعية (انظر الوثيقتين </w:t>
      </w:r>
      <w:hyperlink r:id="rId51" w:history="1">
        <w:r w:rsidRPr="002F3148">
          <w:rPr>
            <w:rStyle w:val="Hyperlink"/>
          </w:rPr>
          <w:t>LHE/25/20.COM/13</w:t>
        </w:r>
      </w:hyperlink>
      <w:r w:rsidRPr="002F3148">
        <w:rPr>
          <w:rFonts w:hint="cs"/>
          <w:rtl/>
        </w:rPr>
        <w:t xml:space="preserve"> و</w:t>
      </w:r>
      <w:hyperlink r:id="rId52" w:history="1">
        <w:r w:rsidRPr="002F3148">
          <w:rPr>
            <w:rStyle w:val="Hyperlink"/>
          </w:rPr>
          <w:t>LHE/25/20.COM/INF.13.2</w:t>
        </w:r>
        <w:r w:rsidRPr="002F3148">
          <w:rPr>
            <w:rStyle w:val="Hyperlink"/>
            <w:cs/>
          </w:rPr>
          <w:t>‎</w:t>
        </w:r>
      </w:hyperlink>
      <w:r w:rsidRPr="002F3148">
        <w:rPr>
          <w:rFonts w:hint="cs"/>
          <w:rtl/>
        </w:rPr>
        <w:t>‏)، قد تشمل مجالات العمل تنظيم أنشطة تدريبية وتطوير أدوات ومنهجيات موائمة لمختلف البيئات والمستويات التعليمية؛ والنهوض بالمجالات الأقل استكشافاً مثل التعليم والتدريب في المجال التقني والمهني والتعليم غير النظامي؛ وتعزيز التواصل والتشبيك والتبادل بين الأقاليم. علاوة على ذلك، سيُولى اهتمام خاص خلال فترة السنتين لأنشطة التواصل الموجهة نحو فئات مستهدفة محددة، مع تعزيز الشمولية بالرجوع إلى الفقرتين 174 و194 من التوجيهات التنفيذية.</w:t>
      </w:r>
    </w:p>
    <w:p w14:paraId="01CEEC4B" w14:textId="77777777" w:rsidR="00D96178" w:rsidRPr="002F3148" w:rsidRDefault="00D96178" w:rsidP="005E6311">
      <w:pPr>
        <w:pStyle w:val="COMPara"/>
        <w:numPr>
          <w:ilvl w:val="0"/>
          <w:numId w:val="0"/>
        </w:numPr>
        <w:bidi/>
        <w:spacing w:before="120" w:line="288" w:lineRule="auto"/>
        <w:ind w:left="567"/>
        <w:jc w:val="both"/>
        <w:rPr>
          <w:b/>
          <w:bCs/>
          <w:rtl/>
        </w:rPr>
      </w:pPr>
      <w:r w:rsidRPr="002F3148">
        <w:rPr>
          <w:rFonts w:hint="cs"/>
          <w:b/>
          <w:bCs/>
          <w:rtl/>
        </w:rPr>
        <w:t>النتيجة المنشودة 2:</w:t>
      </w:r>
      <w:r w:rsidRPr="002F3148">
        <w:rPr>
          <w:rFonts w:hint="cs"/>
          <w:rtl/>
        </w:rPr>
        <w:t xml:space="preserve"> </w:t>
      </w:r>
      <w:r w:rsidRPr="002F3148">
        <w:rPr>
          <w:rFonts w:hint="cs"/>
          <w:b/>
          <w:bCs/>
          <w:rtl/>
        </w:rPr>
        <w:t>تيسير الحوكمة السليمة للاتفاقية من خلال تعزيز الرصد وخدمات إدارة المعرفة وأنشطة التوعية المرتبطة بآليات التعاون الدولي.</w:t>
      </w:r>
    </w:p>
    <w:p w14:paraId="7A4BB3C3" w14:textId="6CBF1003" w:rsidR="00D96178" w:rsidRPr="002F3148" w:rsidRDefault="00D96178" w:rsidP="00CF3F9A">
      <w:pPr>
        <w:pStyle w:val="COMPara"/>
        <w:numPr>
          <w:ilvl w:val="0"/>
          <w:numId w:val="23"/>
        </w:numPr>
        <w:bidi/>
        <w:spacing w:before="120" w:line="288" w:lineRule="auto"/>
        <w:ind w:left="567" w:hanging="567"/>
        <w:jc w:val="both"/>
        <w:rPr>
          <w:rtl/>
        </w:rPr>
      </w:pPr>
      <w:r w:rsidRPr="002F3148">
        <w:rPr>
          <w:rFonts w:hint="cs"/>
          <w:rtl/>
        </w:rPr>
        <w:t xml:space="preserve">يظل الحفاظ على الحوكمة الرشيدة، من خلال تفعيل قرارات الهيئات الرئاسية، أولوية لضمان التنفيذ الفعال للاتفاقية. وفي فترة السنتين 2026-2027، ستركز الأمانة على تنفيذ نتائج عملية </w:t>
      </w:r>
      <w:hyperlink r:id="rId53" w:history="1">
        <w:r w:rsidR="003D3FD9">
          <w:rPr>
            <w:rStyle w:val="Hyperlink"/>
            <w:rFonts w:hint="cs"/>
            <w:rtl/>
          </w:rPr>
          <w:t>التفكير</w:t>
        </w:r>
      </w:hyperlink>
      <w:r w:rsidRPr="002F3148">
        <w:rPr>
          <w:rFonts w:hint="cs"/>
          <w:rtl/>
        </w:rPr>
        <w:t xml:space="preserve"> بشأن نطاق أوسع لتنفيذ المادة 18، وذلك من خلال دعم العمل الجاري لإنشاء </w:t>
      </w:r>
      <w:hyperlink r:id="rId54" w:history="1">
        <w:r w:rsidRPr="002F3148">
          <w:rPr>
            <w:rStyle w:val="Hyperlink"/>
            <w:rFonts w:hint="cs"/>
            <w:rtl/>
          </w:rPr>
          <w:t>منصة إلكترونية</w:t>
        </w:r>
      </w:hyperlink>
      <w:r w:rsidRPr="002F3148">
        <w:rPr>
          <w:rFonts w:hint="cs"/>
          <w:rtl/>
        </w:rPr>
        <w:t xml:space="preserve"> لتبادل ممارسات الصون الجيدة التي من شأنها توجيه الجهود على الصعيدين الدولي والوطني. وعلاوة على ذلك، وعقِب الانتهاء من الدورة الإقليمية الأولى لتقديم التقارير الدورية، سيتم التركيز بوجه خاص على تيسير الأنشطة المقرر تنفيذها في إطار "سنة التأمل" في عام 2026؛ كما ستُبذل جهود مخصصة لإعداد ودعم الدول في تقديم التقارير الدورية في عام 2027، في سياق التحول نحو نظام عالمي موحد لتقديم الطلبات والتقارير (انظر الوثيقة </w:t>
      </w:r>
      <w:hyperlink r:id="rId55" w:history="1">
        <w:r w:rsidRPr="002F3148">
          <w:rPr>
            <w:rStyle w:val="Hyperlink"/>
          </w:rPr>
          <w:t>LHE/25/20.COM/6.c</w:t>
        </w:r>
      </w:hyperlink>
      <w:r w:rsidR="00CF3F9A" w:rsidRPr="002F3148">
        <w:rPr>
          <w:rFonts w:hint="cs"/>
          <w:rtl/>
        </w:rPr>
        <w:t>)</w:t>
      </w:r>
      <w:r w:rsidRPr="002F3148">
        <w:t>.</w:t>
      </w:r>
      <w:r w:rsidRPr="002F3148">
        <w:rPr>
          <w:rFonts w:hint="cs"/>
          <w:rtl/>
        </w:rPr>
        <w:t xml:space="preserve"> وبالتوازي مع ذلك، ستجري الأمانة تحليلاً أولياً للاتجاهات الناشئة فيما يتعلق بالتمثيل في مجالات التراث الثقافي غير المادي والتنمية المستدامة بين العناصر المدرجة في آليات القوائم، استجابةً </w:t>
      </w:r>
      <w:r w:rsidR="00B1316F" w:rsidRPr="00584319">
        <w:rPr>
          <w:rFonts w:hint="cs"/>
          <w:spacing w:val="2"/>
          <w:rtl/>
        </w:rPr>
        <w:t>لقرار</w:t>
      </w:r>
      <w:r w:rsidRPr="002F3148">
        <w:rPr>
          <w:rFonts w:hint="cs"/>
          <w:rtl/>
        </w:rPr>
        <w:t xml:space="preserve"> اللجنة الصادر في عام 2024 (ا</w:t>
      </w:r>
      <w:r w:rsidR="00B1316F" w:rsidRPr="00584319">
        <w:rPr>
          <w:rFonts w:hint="cs"/>
          <w:spacing w:val="2"/>
          <w:rtl/>
        </w:rPr>
        <w:t>لقرار</w:t>
      </w:r>
      <w:r w:rsidRPr="002F3148">
        <w:rPr>
          <w:rFonts w:hint="cs"/>
          <w:rtl/>
        </w:rPr>
        <w:t xml:space="preserve"> </w:t>
      </w:r>
      <w:r w:rsidRPr="002F3148">
        <w:rPr>
          <w:cs/>
        </w:rPr>
        <w:t>‎</w:t>
      </w:r>
      <w:hyperlink r:id="rId56" w:history="1">
        <w:r w:rsidR="00CF3F9A" w:rsidRPr="002F3148">
          <w:rPr>
            <w:rStyle w:val="Hyperlink"/>
          </w:rPr>
          <w:t>19.COM 15</w:t>
        </w:r>
      </w:hyperlink>
      <w:r w:rsidR="00CF3F9A" w:rsidRPr="002F3148">
        <w:rPr>
          <w:rFonts w:hint="cs"/>
          <w:rtl/>
        </w:rPr>
        <w:t>)</w:t>
      </w:r>
      <w:r w:rsidRPr="002F3148">
        <w:t>.</w:t>
      </w:r>
    </w:p>
    <w:p w14:paraId="453C3AB9" w14:textId="78D62C70" w:rsidR="00D96178" w:rsidRPr="002F3148" w:rsidRDefault="00D96178" w:rsidP="005E6311">
      <w:pPr>
        <w:pStyle w:val="COMPara"/>
        <w:numPr>
          <w:ilvl w:val="0"/>
          <w:numId w:val="23"/>
        </w:numPr>
        <w:bidi/>
        <w:spacing w:before="120" w:line="288" w:lineRule="auto"/>
        <w:ind w:left="567" w:hanging="567"/>
        <w:jc w:val="both"/>
        <w:rPr>
          <w:rtl/>
        </w:rPr>
      </w:pPr>
      <w:r w:rsidRPr="002F3148">
        <w:rPr>
          <w:rFonts w:hint="cs"/>
          <w:rtl/>
        </w:rPr>
        <w:t xml:space="preserve">وعملاً بالإجراءات التي استُهلت خلال فترات السنتين السابقة، وتماشياً مع </w:t>
      </w:r>
      <w:hyperlink r:id="rId57" w:history="1">
        <w:r w:rsidRPr="002F3148">
          <w:rPr>
            <w:rStyle w:val="Hyperlink"/>
            <w:rFonts w:hint="cs"/>
            <w:rtl/>
          </w:rPr>
          <w:t>الوثيقة الختامية</w:t>
        </w:r>
      </w:hyperlink>
      <w:r w:rsidRPr="002F3148">
        <w:rPr>
          <w:rFonts w:hint="cs"/>
          <w:rtl/>
        </w:rPr>
        <w:t xml:space="preserve"> لمؤتمر "موندياكولت 2025"، التي تؤكد مجدداً الطاقة التحويلية للثقافة من أجل التنمية المستدامة، ستعمل الأمانة على المضي قدماً في المبادرات الموضوعية الثلاث التي تربط التراث الثقافي غير المادي بالتحديات العالمية، ولا سيما: (1) الأبعاد الاقتصادية لـصون التراث الثقافي غير المادي، (2) صون التراث الثقافي غير المادي وتغير المناخ، و(3) صون التراث الثقافي غير المادي في السياقات الحضرية. كما سيستمر العمل في الموضوع الإضافي المتعلق بالتراث الثقافي غير المادي في البيئة الرقمية، بما في ذلك تداعيات الذكاء الاصطناعي على جهود الصون. وبالتوازي مع ذلك، ستتواصل جهود الاتصال والتواصل الخارجي لزيادة الوعي بأثر الاتفاقية، وإبراز الممارسات الجيدة، وتوسيع نطاق الوصول إلى مختلف الجهات المعنية. وفي هذا الصدد، سيستمر التعاون مع المنظمات غير الحكومية المعتمدة من خلال "منتدى المنظمات غير الحكومية المعنية بالتراث الثقافي غير المادي" باعتباره شراكة مهمة، وتقديراً لدورها الجوهري في الحوكمة القائمة على المشاركة. كما ستُعبأ خدمات إدارة المعرفة لدعم هذه الجهود كافة، من خلال تبسيط عملية إنتاج البيانات وتيسير الوصول إلى المعلومات في قوالب سهلة الاستخدام، بما في ذلك التحديثات المنتظمة لمنصة "</w:t>
      </w:r>
      <w:hyperlink r:id="rId58" w:history="1">
        <w:r w:rsidRPr="002F3148">
          <w:rPr>
            <w:rStyle w:val="Hyperlink"/>
            <w:rFonts w:hint="cs"/>
            <w:rtl/>
          </w:rPr>
          <w:t>انغمس في التراث الثقافي غير المادي!</w:t>
        </w:r>
      </w:hyperlink>
      <w:r w:rsidRPr="002F3148">
        <w:rPr>
          <w:rFonts w:hint="cs"/>
          <w:rtl/>
        </w:rPr>
        <w:t>".</w:t>
      </w:r>
    </w:p>
    <w:p w14:paraId="32A5B7EE" w14:textId="77777777" w:rsidR="00D96178" w:rsidRPr="002F3148" w:rsidRDefault="00D96178" w:rsidP="005E6311">
      <w:pPr>
        <w:pStyle w:val="COMPara"/>
        <w:numPr>
          <w:ilvl w:val="0"/>
          <w:numId w:val="0"/>
        </w:numPr>
        <w:bidi/>
        <w:spacing w:line="288" w:lineRule="auto"/>
        <w:ind w:left="567"/>
        <w:rPr>
          <w:rtl/>
        </w:rPr>
      </w:pPr>
      <w:r w:rsidRPr="002F3148">
        <w:rPr>
          <w:rFonts w:hint="cs"/>
          <w:b/>
          <w:bCs/>
          <w:rtl/>
        </w:rPr>
        <w:t>مشاركة الخبراء في اجتماعات الهيئات الرئاسية</w:t>
      </w:r>
    </w:p>
    <w:p w14:paraId="1A8DEE72" w14:textId="7A85C762" w:rsidR="00D96178" w:rsidRPr="002F3148" w:rsidRDefault="00D96178" w:rsidP="005E6311">
      <w:pPr>
        <w:pStyle w:val="COMPara"/>
        <w:numPr>
          <w:ilvl w:val="0"/>
          <w:numId w:val="23"/>
        </w:numPr>
        <w:bidi/>
        <w:spacing w:before="120" w:line="288" w:lineRule="auto"/>
        <w:ind w:left="567" w:hanging="567"/>
        <w:jc w:val="both"/>
        <w:rPr>
          <w:rtl/>
        </w:rPr>
      </w:pPr>
      <w:r w:rsidRPr="002F3148">
        <w:rPr>
          <w:rFonts w:hint="cs"/>
          <w:rtl/>
        </w:rPr>
        <w:t xml:space="preserve">يتم تغطية مشاركة الخبراء في التراث الثقافي غير المادي الذين يمثلون الدول النامية الأطراف في الاجتماعات القانونية إما من خلال </w:t>
      </w:r>
      <w:r w:rsidRPr="002F3148">
        <w:rPr>
          <w:rFonts w:hint="cs"/>
          <w:b/>
          <w:bCs/>
          <w:rtl/>
        </w:rPr>
        <w:t>بند الميزانية 4</w:t>
      </w:r>
      <w:r w:rsidRPr="002F3148">
        <w:rPr>
          <w:rFonts w:hint="cs"/>
          <w:rtl/>
        </w:rPr>
        <w:t xml:space="preserve"> عندما يكونون أعضاءً في اللجنة أو من خلال </w:t>
      </w:r>
      <w:r w:rsidRPr="002F3148">
        <w:rPr>
          <w:rFonts w:hint="cs"/>
          <w:b/>
          <w:bCs/>
          <w:rtl/>
        </w:rPr>
        <w:t>بند الميزانية 5</w:t>
      </w:r>
      <w:r w:rsidRPr="002F3148">
        <w:rPr>
          <w:rFonts w:hint="cs"/>
          <w:rtl/>
        </w:rPr>
        <w:t xml:space="preserve"> عندما لا يتمتعون بصفة العضوية. ويتكفل </w:t>
      </w:r>
      <w:r w:rsidRPr="002F3148">
        <w:rPr>
          <w:rFonts w:hint="cs"/>
          <w:b/>
          <w:bCs/>
          <w:rtl/>
        </w:rPr>
        <w:t>بند الميزانية 6</w:t>
      </w:r>
      <w:r w:rsidRPr="002F3148">
        <w:rPr>
          <w:rFonts w:hint="cs"/>
          <w:rtl/>
        </w:rPr>
        <w:t xml:space="preserve"> بتغطية مشاركة خبراء يمثلون منظمات غير حكومية معتمدة من البلدان النامية في دورات اللجنة. وستُبقى هذه البنود عند نسب </w:t>
      </w:r>
      <w:r w:rsidRPr="002F3148">
        <w:rPr>
          <w:rFonts w:hint="cs"/>
          <w:b/>
          <w:bCs/>
          <w:rtl/>
        </w:rPr>
        <w:t>2.5%</w:t>
      </w:r>
      <w:r w:rsidRPr="002F3148">
        <w:rPr>
          <w:rFonts w:hint="cs"/>
          <w:rtl/>
        </w:rPr>
        <w:t xml:space="preserve"> و</w:t>
      </w:r>
      <w:r w:rsidRPr="002F3148">
        <w:rPr>
          <w:rFonts w:hint="cs"/>
          <w:b/>
          <w:bCs/>
          <w:rtl/>
        </w:rPr>
        <w:t>2.7%</w:t>
      </w:r>
      <w:r w:rsidRPr="002F3148">
        <w:rPr>
          <w:rFonts w:hint="cs"/>
          <w:rtl/>
        </w:rPr>
        <w:t xml:space="preserve"> و</w:t>
      </w:r>
      <w:r w:rsidRPr="002F3148">
        <w:rPr>
          <w:rFonts w:hint="cs"/>
          <w:b/>
          <w:bCs/>
          <w:rtl/>
        </w:rPr>
        <w:t>2.7%</w:t>
      </w:r>
      <w:r w:rsidRPr="002F3148">
        <w:rPr>
          <w:rFonts w:hint="cs"/>
          <w:rtl/>
        </w:rPr>
        <w:t xml:space="preserve"> على التوالي، لتلبية جميع الطلبات المقدمة من أعضاء اللجنة، وكذلك أكبر عدد ممكن من الطلبات المؤهلة المقدمة </w:t>
      </w:r>
      <w:r w:rsidRPr="002F3148">
        <w:rPr>
          <w:rFonts w:hint="cs"/>
          <w:rtl/>
        </w:rPr>
        <w:lastRenderedPageBreak/>
        <w:t>من الدول الأطراف غير الأعضاء في اللجنة ومن المنظمات غير الحكومية المعتمدة. وفي حال تعذر الاستجابة بالإيجاب لجميع الطلبات المؤهلة المقدمة من المنظمات غير الحكومية المعتمدة، ولا سيما بسبب تزايد عدد هذه المنظمات دورةً تلو الأخرى، تُمنح الأولوية للممثلين المنتخبين لـمنتدى المنظمات غير الحكومية المعنية بالتراث الثقافي غير المادي وللمنظمات التي يقع مقرها في البلدان النامية، مع ضمان التنوع الجغرافي بين المنظمات المدعومة، وتشجيع أكبر عدد ممكن من المنظمات غير الحكومية على المشاركة في دورات اللجنة على مدى فترة السنتين، على أساس التناوب إذا لزم الأمر.</w:t>
      </w:r>
    </w:p>
    <w:p w14:paraId="52013BBE" w14:textId="77777777" w:rsidR="00D96178" w:rsidRPr="002F3148" w:rsidRDefault="00D96178" w:rsidP="005E6311">
      <w:pPr>
        <w:pStyle w:val="COMPara"/>
        <w:numPr>
          <w:ilvl w:val="0"/>
          <w:numId w:val="0"/>
        </w:numPr>
        <w:bidi/>
        <w:spacing w:line="288" w:lineRule="auto"/>
        <w:ind w:left="567"/>
        <w:rPr>
          <w:b/>
          <w:bCs/>
          <w:rtl/>
        </w:rPr>
      </w:pPr>
      <w:r w:rsidRPr="002F3148">
        <w:rPr>
          <w:rFonts w:hint="cs"/>
          <w:rtl/>
        </w:rPr>
        <w:t xml:space="preserve"> </w:t>
      </w:r>
      <w:r w:rsidRPr="002F3148">
        <w:rPr>
          <w:rFonts w:hint="cs"/>
          <w:b/>
          <w:bCs/>
          <w:rtl/>
        </w:rPr>
        <w:t>الخدمات الاستشارية المقدمة للجنة</w:t>
      </w:r>
    </w:p>
    <w:p w14:paraId="145DC7EF" w14:textId="4B73AD83" w:rsidR="00D96178" w:rsidRPr="002F3148" w:rsidRDefault="00D96178" w:rsidP="00CF3F9A">
      <w:pPr>
        <w:pStyle w:val="COMPara"/>
        <w:numPr>
          <w:ilvl w:val="0"/>
          <w:numId w:val="23"/>
        </w:numPr>
        <w:bidi/>
        <w:spacing w:line="288" w:lineRule="auto"/>
        <w:ind w:left="567" w:hanging="567"/>
        <w:jc w:val="both"/>
        <w:rPr>
          <w:rtl/>
        </w:rPr>
      </w:pPr>
      <w:r w:rsidRPr="002F3148">
        <w:rPr>
          <w:rFonts w:hint="cs"/>
          <w:rtl/>
        </w:rPr>
        <w:t xml:space="preserve">يُقترح الإبقاء على </w:t>
      </w:r>
      <w:r w:rsidRPr="002F3148">
        <w:rPr>
          <w:rFonts w:hint="cs"/>
          <w:b/>
          <w:bCs/>
          <w:rtl/>
        </w:rPr>
        <w:t>بند الميزانية 7</w:t>
      </w:r>
      <w:r w:rsidRPr="002F3148">
        <w:rPr>
          <w:rFonts w:hint="cs"/>
          <w:rtl/>
        </w:rPr>
        <w:t xml:space="preserve"> عند نسبة 7% لتغطية تكاليف الخدمات الاستشارية المقدمة بناءً على طلب اللجنة من كانون الثاني/يناير 2026 إلى كانون الأول/ديسمبر 2027. ويهدف هذا البند، بوجه خاص، إلى تغطية التكاليف المرتبطة بعمل هيئة التقييم والدعم الذي تقدمه لها الأمانة لدورتي الترشيح لعامي 2026 و2027، مع مراعاة العدد المتزايد من الملفات الخاصة بالدورتين المذكورتين في أعقاب قرار اللجنة بمعالجة عدة فئات من الملفات</w:t>
      </w:r>
      <w:r w:rsidRPr="002F3148">
        <w:rPr>
          <w:rStyle w:val="FootnoteReference"/>
        </w:rPr>
        <w:footnoteReference w:id="5"/>
      </w:r>
      <w:r w:rsidRPr="002F3148">
        <w:rPr>
          <w:rFonts w:hint="cs"/>
          <w:rtl/>
        </w:rPr>
        <w:t xml:space="preserve"> خارج سقف الحصص السنوي (</w:t>
      </w:r>
      <w:r w:rsidR="00CE2DCC" w:rsidRPr="002F3148">
        <w:rPr>
          <w:rFonts w:hint="cs"/>
          <w:rtl/>
        </w:rPr>
        <w:t>القرار</w:t>
      </w:r>
      <w:r w:rsidRPr="002F3148">
        <w:rPr>
          <w:rFonts w:hint="cs"/>
          <w:rtl/>
        </w:rPr>
        <w:t xml:space="preserve"> </w:t>
      </w:r>
      <w:hyperlink r:id="rId59" w:history="1">
        <w:r w:rsidR="00CF3F9A" w:rsidRPr="002F3148">
          <w:rPr>
            <w:rStyle w:val="Hyperlink"/>
          </w:rPr>
          <w:t>19.COM 15</w:t>
        </w:r>
      </w:hyperlink>
      <w:r w:rsidRPr="002F3148">
        <w:rPr>
          <w:rFonts w:hint="cs"/>
          <w:rtl/>
        </w:rPr>
        <w:t>)، فضلاً عن أي مهام أخرى قد تقرر اللجنة إسنادها إلى هيئة التقييم خلال تلك الفترة.</w:t>
      </w:r>
    </w:p>
    <w:p w14:paraId="27292241" w14:textId="4A88E6CC" w:rsidR="001359C2" w:rsidRPr="002F3148" w:rsidRDefault="001359C2" w:rsidP="00DB0F2C">
      <w:pPr>
        <w:pStyle w:val="COMPara"/>
        <w:numPr>
          <w:ilvl w:val="0"/>
          <w:numId w:val="23"/>
        </w:numPr>
        <w:tabs>
          <w:tab w:val="left" w:pos="567"/>
        </w:tabs>
        <w:bidi/>
        <w:spacing w:line="288" w:lineRule="auto"/>
        <w:ind w:left="567" w:hanging="567"/>
        <w:jc w:val="both"/>
        <w:rPr>
          <w:bCs/>
          <w:rtl/>
        </w:rPr>
      </w:pPr>
      <w:r w:rsidRPr="002F3148">
        <w:rPr>
          <w:rFonts w:hint="cs"/>
          <w:rtl/>
        </w:rPr>
        <w:t xml:space="preserve">أوصت الجمعية العامة في دورتها العاشرة بالإذن للأمانة بإجراء مناقلات بين أبواب الميزانية 4 و5 و6 و7، بنسبة تصل إلى 30% من إجمالي مخصصاتها الأولية (القرار </w:t>
      </w:r>
      <w:hyperlink r:id="rId60" w:history="1">
        <w:r w:rsidR="00DB0F2C" w:rsidRPr="002F3148">
          <w:rPr>
            <w:rStyle w:val="Hyperlink"/>
            <w:bCs/>
          </w:rPr>
          <w:t>10.GA 8</w:t>
        </w:r>
      </w:hyperlink>
      <w:r w:rsidRPr="002F3148">
        <w:rPr>
          <w:rFonts w:hint="cs"/>
          <w:rtl/>
        </w:rPr>
        <w:t xml:space="preserve"> وخلال الفترة المشمولة بالتقرير، أُجريت ثلاثة تحويلات ميزانية متزامنة في تموز/يوليو 2025؛ وذلك من بند الميزانية 4 إلى بند الميزانية 5 (10,000 دولار أمريكي)، ومن بند الميزانية 7 إلى بند الميزانية 5 (40,000 دولار أمريكي)، ومن بند الميزانية 7 إلى بند الميزانية 6 (110,000 دولار أمريكي). وكان الهدف من هذه التحويلات تمكين الصندوق من الاستجابة بالإيجاب لعدد أكبر من الطلبات الرامية لتغطية تكاليف مشاركة الخبراء الذين يمثلون الدول الأطراف النامية غير الأعضاء في اللجنة (بند الميزانية 5)، والمنظمات غير الحكومية المعتمدة من البلدان النامية (بند الميزانية 6)، في الدورة العشرين للجنة (</w:t>
      </w:r>
      <w:r w:rsidRPr="006A2AD6">
        <w:rPr>
          <w:rFonts w:hint="cs"/>
          <w:rtl/>
        </w:rPr>
        <w:t xml:space="preserve">انظر الوثيقة </w:t>
      </w:r>
      <w:hyperlink r:id="rId61" w:history="1">
        <w:r w:rsidRPr="006A2AD6">
          <w:rPr>
            <w:rStyle w:val="Hyperlink"/>
          </w:rPr>
          <w:t>LHE/26/11.GA/INF.8</w:t>
        </w:r>
      </w:hyperlink>
      <w:r w:rsidR="00DB0F2C" w:rsidRPr="002F3148">
        <w:rPr>
          <w:rFonts w:hint="cs"/>
          <w:rtl/>
        </w:rPr>
        <w:t>).</w:t>
      </w:r>
      <w:r w:rsidRPr="002F3148">
        <w:rPr>
          <w:rFonts w:hint="cs"/>
          <w:rtl/>
        </w:rPr>
        <w:t xml:space="preserve"> ولكي يتسنى الاستمرار في تلبية أكبر عدد ممكن من طلبات المساعدة المالية لمختلف فئات المشاركين، أوصت اللجنة بأن تواصل الجمعية العامة الإذن للأمانة بإجراء تحويلات بين بنود الميزانية 4 و5 و6 و7، بما يصل إلى ما يعادل 30% من إجمالي مخصصاتها الأولية (</w:t>
      </w:r>
      <w:r w:rsidR="00CE2DCC" w:rsidRPr="002F3148">
        <w:rPr>
          <w:rFonts w:hint="cs"/>
          <w:rtl/>
        </w:rPr>
        <w:t>القرار</w:t>
      </w:r>
      <w:r w:rsidRPr="002F3148">
        <w:rPr>
          <w:rFonts w:hint="cs"/>
          <w:rtl/>
        </w:rPr>
        <w:t xml:space="preserve"> </w:t>
      </w:r>
      <w:hyperlink r:id="rId62" w:history="1">
        <w:r w:rsidR="00DB0F2C" w:rsidRPr="002F3148">
          <w:rPr>
            <w:rStyle w:val="Hyperlink"/>
            <w:bCs/>
          </w:rPr>
          <w:t>20.COM 14</w:t>
        </w:r>
      </w:hyperlink>
      <w:r w:rsidR="00DB0F2C" w:rsidRPr="002F3148">
        <w:rPr>
          <w:rFonts w:hint="cs"/>
          <w:rtl/>
        </w:rPr>
        <w:t>)</w:t>
      </w:r>
      <w:r w:rsidRPr="002F3148">
        <w:t>.</w:t>
      </w:r>
      <w:r w:rsidRPr="002F3148">
        <w:rPr>
          <w:rFonts w:hint="cs"/>
          <w:rtl/>
        </w:rPr>
        <w:t xml:space="preserve"> وإذا اقتضت الضرورة إجراء مناقلة من هذا القبيل، فإن الأمانة تبلغ الجمعية العامة واللجنة كتابةً – في الدورة التي تعقب هذا الإجراء – بتفاصيل هذه العمليات للتحويل وأسبابها.</w:t>
      </w:r>
    </w:p>
    <w:p w14:paraId="50D3EAFF" w14:textId="2272DEAF" w:rsidR="00D95C4C" w:rsidRPr="002F3148" w:rsidRDefault="005C792B" w:rsidP="005E6311">
      <w:pPr>
        <w:pStyle w:val="COMPara"/>
        <w:numPr>
          <w:ilvl w:val="0"/>
          <w:numId w:val="23"/>
        </w:numPr>
        <w:bidi/>
        <w:spacing w:line="288" w:lineRule="auto"/>
        <w:ind w:left="567" w:hanging="567"/>
        <w:rPr>
          <w:rtl/>
        </w:rPr>
      </w:pPr>
      <w:r w:rsidRPr="002F3148">
        <w:rPr>
          <w:rFonts w:hint="cs"/>
          <w:rtl/>
        </w:rPr>
        <w:t xml:space="preserve">قد ترغب </w:t>
      </w:r>
      <w:r w:rsidR="00CE2DCC" w:rsidRPr="002F3148">
        <w:rPr>
          <w:rFonts w:hint="cs"/>
          <w:rtl/>
        </w:rPr>
        <w:t>الجمعية العامة</w:t>
      </w:r>
      <w:r w:rsidRPr="002F3148">
        <w:rPr>
          <w:rFonts w:hint="cs"/>
          <w:rtl/>
        </w:rPr>
        <w:t xml:space="preserve"> في اعتماد القرار التالي:</w:t>
      </w:r>
    </w:p>
    <w:p w14:paraId="6CEB1E9D" w14:textId="6D855BFE" w:rsidR="00D95C4C" w:rsidRPr="002F3148" w:rsidRDefault="004A34A0" w:rsidP="00DB0F2C">
      <w:pPr>
        <w:pStyle w:val="COMTitleDecision"/>
        <w:bidi/>
        <w:spacing w:line="288" w:lineRule="auto"/>
        <w:rPr>
          <w:rFonts w:eastAsia="SimSun"/>
          <w:bCs/>
          <w:rtl/>
        </w:rPr>
      </w:pPr>
      <w:r w:rsidRPr="002F3148">
        <w:rPr>
          <w:rFonts w:hint="cs"/>
          <w:bCs/>
          <w:rtl/>
        </w:rPr>
        <w:t xml:space="preserve">مشروع القرار </w:t>
      </w:r>
      <w:r w:rsidR="00DB0F2C" w:rsidRPr="002F3148">
        <w:rPr>
          <w:bCs/>
        </w:rPr>
        <w:t>11.GA 8</w:t>
      </w:r>
    </w:p>
    <w:p w14:paraId="13024F0B" w14:textId="5181E164" w:rsidR="00D95C4C" w:rsidRPr="002F3148" w:rsidRDefault="005C792B" w:rsidP="005E6311">
      <w:pPr>
        <w:pStyle w:val="COMPreambulaDecisions"/>
        <w:bidi/>
        <w:spacing w:line="288" w:lineRule="auto"/>
        <w:rPr>
          <w:rFonts w:eastAsia="SimSun"/>
          <w:rtl/>
        </w:rPr>
      </w:pPr>
      <w:r w:rsidRPr="002F3148">
        <w:rPr>
          <w:rFonts w:hint="cs"/>
          <w:rtl/>
        </w:rPr>
        <w:t>إن الجمعية العامة،</w:t>
      </w:r>
    </w:p>
    <w:p w14:paraId="5A9F22F3" w14:textId="3BC9CB77" w:rsidR="0057439C" w:rsidRPr="002F3148" w:rsidRDefault="00D95C4C" w:rsidP="005E6311">
      <w:pPr>
        <w:pStyle w:val="COMParaDecision"/>
        <w:bidi/>
        <w:spacing w:line="288" w:lineRule="auto"/>
        <w:ind w:left="1134" w:hanging="567"/>
        <w:rPr>
          <w:u w:val="none"/>
          <w:rtl/>
        </w:rPr>
      </w:pPr>
      <w:r w:rsidRPr="002F3148">
        <w:rPr>
          <w:rFonts w:hint="cs"/>
          <w:rtl/>
        </w:rPr>
        <w:t>وقد درست</w:t>
      </w:r>
      <w:r w:rsidRPr="002F3148">
        <w:rPr>
          <w:rFonts w:hint="cs"/>
          <w:u w:val="none"/>
          <w:rtl/>
        </w:rPr>
        <w:t xml:space="preserve"> الوثيقتين </w:t>
      </w:r>
      <w:r w:rsidRPr="006A2AD6">
        <w:rPr>
          <w:u w:val="none"/>
        </w:rPr>
        <w:t>LHE/26/11.GA/8</w:t>
      </w:r>
      <w:r w:rsidRPr="006A2AD6">
        <w:rPr>
          <w:rFonts w:hint="cs"/>
          <w:u w:val="none"/>
          <w:rtl/>
        </w:rPr>
        <w:t xml:space="preserve"> و</w:t>
      </w:r>
      <w:hyperlink r:id="rId63" w:history="1">
        <w:r w:rsidRPr="006A2AD6">
          <w:rPr>
            <w:rStyle w:val="Hyperlink"/>
          </w:rPr>
          <w:t>LHE/26/11.GA/INF.8</w:t>
        </w:r>
      </w:hyperlink>
      <w:r w:rsidRPr="002F3148">
        <w:rPr>
          <w:rFonts w:hint="cs"/>
          <w:u w:val="none"/>
          <w:rtl/>
        </w:rPr>
        <w:t xml:space="preserve"> ومرفقاتهما،</w:t>
      </w:r>
    </w:p>
    <w:p w14:paraId="3872E8D6" w14:textId="3D180707" w:rsidR="00ED05DE" w:rsidRPr="002F3148" w:rsidRDefault="0005693D" w:rsidP="005E6311">
      <w:pPr>
        <w:pStyle w:val="COMParaDecision"/>
        <w:bidi/>
        <w:spacing w:line="288" w:lineRule="auto"/>
        <w:ind w:left="1134" w:hanging="567"/>
        <w:rPr>
          <w:rtl/>
        </w:rPr>
      </w:pPr>
      <w:r w:rsidRPr="0000662E">
        <w:rPr>
          <w:rFonts w:asciiTheme="majorBidi" w:hAnsiTheme="majorBidi" w:cstheme="majorBidi"/>
          <w:rtl/>
        </w:rPr>
        <w:t>وإذ تذكّر</w:t>
      </w:r>
      <w:r w:rsidRPr="0000662E">
        <w:rPr>
          <w:rFonts w:asciiTheme="majorBidi" w:hAnsiTheme="majorBidi" w:cstheme="majorBidi"/>
          <w:u w:val="none"/>
          <w:rtl/>
        </w:rPr>
        <w:t xml:space="preserve"> </w:t>
      </w:r>
      <w:r>
        <w:rPr>
          <w:rFonts w:hint="cs"/>
          <w:u w:val="none"/>
          <w:rtl/>
        </w:rPr>
        <w:t xml:space="preserve">بالمادة </w:t>
      </w:r>
      <w:r w:rsidR="00F41FC2" w:rsidRPr="002F3148">
        <w:rPr>
          <w:rFonts w:hint="cs"/>
          <w:u w:val="none"/>
          <w:rtl/>
        </w:rPr>
        <w:t>7(جـ) من الاتفاقية والفقرة الأولى من الفصل الثاني من التوجيهات التنفيذية،</w:t>
      </w:r>
    </w:p>
    <w:p w14:paraId="2B5B22F3" w14:textId="6EFB1B43" w:rsidR="00ED05DE" w:rsidRPr="002F3148" w:rsidRDefault="0005693D" w:rsidP="005E6311">
      <w:pPr>
        <w:pStyle w:val="COMParaDecision"/>
        <w:bidi/>
        <w:spacing w:line="288" w:lineRule="auto"/>
        <w:ind w:left="1134" w:hanging="567"/>
        <w:rPr>
          <w:spacing w:val="-2"/>
          <w:u w:val="none"/>
          <w:rtl/>
        </w:rPr>
      </w:pPr>
      <w:r>
        <w:rPr>
          <w:rFonts w:hint="cs"/>
          <w:rtl/>
        </w:rPr>
        <w:t>وإذ تذكّر أيضاً</w:t>
      </w:r>
      <w:r w:rsidRPr="00AD4795">
        <w:rPr>
          <w:u w:val="none"/>
        </w:rPr>
        <w:t xml:space="preserve"> </w:t>
      </w:r>
      <w:r>
        <w:rPr>
          <w:rFonts w:hint="cs"/>
          <w:u w:val="none"/>
          <w:rtl/>
        </w:rPr>
        <w:t>ب</w:t>
      </w:r>
      <w:r w:rsidRPr="00AD4795">
        <w:rPr>
          <w:u w:val="none"/>
          <w:rtl/>
        </w:rPr>
        <w:t>القرار</w:t>
      </w:r>
      <w:r>
        <w:rPr>
          <w:rFonts w:hint="cs"/>
          <w:u w:val="none"/>
          <w:rtl/>
        </w:rPr>
        <w:t xml:space="preserve"> </w:t>
      </w:r>
      <w:r w:rsidR="00F41FC2" w:rsidRPr="002F3148">
        <w:rPr>
          <w:rFonts w:hint="cs"/>
          <w:spacing w:val="-2"/>
          <w:u w:val="none"/>
          <w:rtl/>
        </w:rPr>
        <w:t>الاعتمادات الصادر عن المؤتمر العام لليونسكو للفترة</w:t>
      </w:r>
      <w:bookmarkStart w:id="6" w:name="_Hlk150367455"/>
      <w:r w:rsidR="00F41FC2" w:rsidRPr="002F3148">
        <w:rPr>
          <w:rFonts w:hint="cs"/>
          <w:spacing w:val="-2"/>
          <w:u w:val="none"/>
          <w:rtl/>
        </w:rPr>
        <w:t xml:space="preserve"> 2026</w:t>
      </w:r>
      <w:bookmarkEnd w:id="6"/>
      <w:r w:rsidR="00F41FC2" w:rsidRPr="002F3148">
        <w:rPr>
          <w:rFonts w:hint="cs"/>
          <w:spacing w:val="-2"/>
          <w:u w:val="none"/>
          <w:rtl/>
        </w:rPr>
        <w:t>-2027 (</w:t>
      </w:r>
      <w:hyperlink r:id="rId64" w:history="1">
        <w:r w:rsidR="00F41FC2" w:rsidRPr="002F3148">
          <w:rPr>
            <w:rStyle w:val="Hyperlink"/>
            <w:rFonts w:hint="cs"/>
            <w:spacing w:val="-2"/>
            <w:rtl/>
          </w:rPr>
          <w:t>القرار 43 م/84</w:t>
        </w:r>
      </w:hyperlink>
      <w:r w:rsidR="00F41FC2" w:rsidRPr="002F3148">
        <w:rPr>
          <w:rFonts w:hint="cs"/>
          <w:color w:val="212121"/>
          <w:spacing w:val="-2"/>
          <w:u w:val="none"/>
          <w:shd w:val="clear" w:color="auto" w:fill="FFFFFF"/>
          <w:rtl/>
        </w:rPr>
        <w:t>)</w:t>
      </w:r>
      <w:r w:rsidR="00F41FC2" w:rsidRPr="002F3148">
        <w:rPr>
          <w:rFonts w:hint="cs"/>
          <w:spacing w:val="-2"/>
          <w:rtl/>
        </w:rPr>
        <w:t>؛</w:t>
      </w:r>
    </w:p>
    <w:p w14:paraId="0FD17300" w14:textId="7E541185" w:rsidR="00F41FC2" w:rsidRPr="002F3148" w:rsidRDefault="00F41FC2" w:rsidP="00DB0F2C">
      <w:pPr>
        <w:pStyle w:val="COMParaDecision"/>
        <w:bidi/>
        <w:spacing w:line="288" w:lineRule="auto"/>
        <w:ind w:left="1134" w:hanging="567"/>
        <w:rPr>
          <w:rtl/>
        </w:rPr>
      </w:pPr>
      <w:r w:rsidRPr="002F3148">
        <w:rPr>
          <w:rFonts w:hint="cs"/>
          <w:rtl/>
        </w:rPr>
        <w:t>و</w:t>
      </w:r>
      <w:r w:rsidR="0005693D">
        <w:rPr>
          <w:rFonts w:hint="cs"/>
          <w:rtl/>
        </w:rPr>
        <w:t>كما</w:t>
      </w:r>
      <w:r w:rsidR="0005693D" w:rsidRPr="002F3148" w:rsidDel="0005693D">
        <w:rPr>
          <w:rFonts w:hint="cs"/>
          <w:rtl/>
        </w:rPr>
        <w:t xml:space="preserve"> </w:t>
      </w:r>
      <w:r w:rsidR="0005693D">
        <w:rPr>
          <w:rFonts w:hint="cs"/>
          <w:rtl/>
        </w:rPr>
        <w:t>تذكّر</w:t>
      </w:r>
      <w:r w:rsidRPr="002F3148">
        <w:rPr>
          <w:rFonts w:hint="cs"/>
          <w:u w:val="none"/>
          <w:rtl/>
        </w:rPr>
        <w:t xml:space="preserve"> </w:t>
      </w:r>
      <w:r w:rsidR="0005693D">
        <w:rPr>
          <w:rFonts w:hint="cs"/>
          <w:u w:val="none"/>
          <w:rtl/>
        </w:rPr>
        <w:t>ب</w:t>
      </w:r>
      <w:r w:rsidR="0005693D" w:rsidRPr="00AD4795">
        <w:rPr>
          <w:rFonts w:hint="cs"/>
          <w:u w:val="none"/>
          <w:rtl/>
        </w:rPr>
        <w:t>القر</w:t>
      </w:r>
      <w:r w:rsidR="0005693D" w:rsidRPr="00AD4795">
        <w:rPr>
          <w:u w:val="none"/>
          <w:rtl/>
        </w:rPr>
        <w:t>ارين</w:t>
      </w:r>
      <w:r w:rsidRPr="002F3148">
        <w:rPr>
          <w:rFonts w:hint="cs"/>
          <w:u w:val="none"/>
          <w:rtl/>
        </w:rPr>
        <w:t xml:space="preserve"> </w:t>
      </w:r>
      <w:hyperlink r:id="rId65" w:history="1">
        <w:r w:rsidR="00DB0F2C" w:rsidRPr="002F3148">
          <w:rPr>
            <w:rStyle w:val="Hyperlink"/>
          </w:rPr>
          <w:t>20.COM 13</w:t>
        </w:r>
      </w:hyperlink>
      <w:r w:rsidRPr="002F3148">
        <w:rPr>
          <w:rFonts w:hint="cs"/>
          <w:rtl/>
        </w:rPr>
        <w:t xml:space="preserve"> </w:t>
      </w:r>
      <w:r w:rsidRPr="006A2AD6">
        <w:rPr>
          <w:u w:val="none"/>
          <w:rtl/>
        </w:rPr>
        <w:t>و</w:t>
      </w:r>
      <w:hyperlink r:id="rId66" w:history="1">
        <w:r w:rsidR="00DB0F2C" w:rsidRPr="002F3148">
          <w:rPr>
            <w:rStyle w:val="Hyperlink"/>
          </w:rPr>
          <w:t>20.COM 14</w:t>
        </w:r>
      </w:hyperlink>
      <w:r w:rsidRPr="002F3148">
        <w:rPr>
          <w:rFonts w:hint="cs"/>
          <w:u w:val="none"/>
          <w:rtl/>
        </w:rPr>
        <w:t xml:space="preserve"> الصادرين عن اللجنة؛</w:t>
      </w:r>
    </w:p>
    <w:p w14:paraId="62588982" w14:textId="33649017" w:rsidR="00ED05DE" w:rsidRPr="002F3148" w:rsidRDefault="00ED05DE" w:rsidP="005E6311">
      <w:pPr>
        <w:pStyle w:val="COMParaDecision"/>
        <w:keepNext/>
        <w:keepLines/>
        <w:numPr>
          <w:ilvl w:val="0"/>
          <w:numId w:val="0"/>
        </w:numPr>
        <w:bidi/>
        <w:spacing w:line="288" w:lineRule="auto"/>
        <w:ind w:left="992" w:firstLine="142"/>
        <w:rPr>
          <w:b/>
          <w:bCs/>
          <w:u w:val="none"/>
          <w:rtl/>
        </w:rPr>
      </w:pPr>
      <w:r w:rsidRPr="002F3148">
        <w:rPr>
          <w:rFonts w:hint="cs"/>
          <w:b/>
          <w:bCs/>
          <w:u w:val="none"/>
          <w:rtl/>
        </w:rPr>
        <w:t>حالة الصندوق واتجاهاته</w:t>
      </w:r>
    </w:p>
    <w:p w14:paraId="79A03A22" w14:textId="7E92374F" w:rsidR="00ED05DE" w:rsidRPr="002F3148" w:rsidRDefault="00ED05DE" w:rsidP="005E6311">
      <w:pPr>
        <w:pStyle w:val="COMParaDecision"/>
        <w:bidi/>
        <w:spacing w:line="288" w:lineRule="auto"/>
        <w:ind w:left="1134" w:hanging="567"/>
        <w:rPr>
          <w:rtl/>
        </w:rPr>
      </w:pPr>
      <w:r w:rsidRPr="002F3148">
        <w:rPr>
          <w:rFonts w:hint="cs"/>
          <w:rtl/>
        </w:rPr>
        <w:t>وتحيط علماً</w:t>
      </w:r>
      <w:r w:rsidRPr="002F3148">
        <w:rPr>
          <w:rFonts w:hint="cs"/>
          <w:u w:val="none"/>
          <w:rtl/>
        </w:rPr>
        <w:t xml:space="preserve"> ببيان المساهمات المقررة للصندوق للفترة 2024-2025، </w:t>
      </w:r>
      <w:r w:rsidRPr="002F3148">
        <w:rPr>
          <w:rFonts w:hint="cs"/>
          <w:rtl/>
        </w:rPr>
        <w:t>وتذكّر</w:t>
      </w:r>
      <w:r w:rsidRPr="002F3148">
        <w:rPr>
          <w:rFonts w:hint="cs"/>
          <w:u w:val="none"/>
          <w:rtl/>
        </w:rPr>
        <w:t>أن دفع المساهمات الطوعية الإلزامية والمقررة إنما هو التزام يقع على عاتق جميع الدول الأطراف التي صدقت على الاتفاقية، وفقاً للمادة 26 من الاتفاقية؛ فإنها تدعو جميع الدول الأطراف التي لم تسدد بعد مجموع مساهماتها المقررة، بما في ذلك المساهمات المقررة الطوعية، لضمان سداد مساهماتها في الوقت المناسب؛</w:t>
      </w:r>
    </w:p>
    <w:p w14:paraId="12E31880" w14:textId="65B0316A" w:rsidR="00ED05DE" w:rsidRPr="002F3148" w:rsidRDefault="00ED05DE" w:rsidP="005E6311">
      <w:pPr>
        <w:pStyle w:val="COMParaDecision"/>
        <w:bidi/>
        <w:spacing w:line="288" w:lineRule="auto"/>
        <w:ind w:left="1134" w:hanging="567"/>
        <w:rPr>
          <w:rtl/>
        </w:rPr>
      </w:pPr>
      <w:r w:rsidRPr="002F3148">
        <w:rPr>
          <w:rFonts w:hint="cs"/>
          <w:rtl/>
        </w:rPr>
        <w:t>وتحيط علماً كذلك</w:t>
      </w:r>
      <w:r w:rsidRPr="002F3148">
        <w:rPr>
          <w:rFonts w:hint="cs"/>
          <w:u w:val="none"/>
          <w:rtl/>
        </w:rPr>
        <w:t xml:space="preserve"> بالجهات المانحة التي قدمت خلال فترة السنتين 2024-2025: (أ) مساهمات تكميلية طوعية لأنشطة البرنامج، وهي سانت فينسنت وجزر غرينادين؛ (ب) ومساهمات تكميلية طوعية لأنشطة محددة اعتمدتها اللجنة، وهي مملكة </w:t>
      </w:r>
      <w:r w:rsidRPr="002F3148">
        <w:rPr>
          <w:rFonts w:hint="cs"/>
          <w:u w:val="none"/>
          <w:rtl/>
        </w:rPr>
        <w:lastRenderedPageBreak/>
        <w:t>هولندا والسويد؛ (ج) ومساهمات تكميلية طوعية للصندوق الفرعي لتعزيز القدرات البشرية للأمانة، وهي فرنسا وليتوانيا وموناكو وسلوفينيا والمملكة المتحدة لبريطانيا العظمى وأيرلندا الشمالية؛</w:t>
      </w:r>
    </w:p>
    <w:p w14:paraId="2D2F9A94" w14:textId="77777777" w:rsidR="00ED05DE" w:rsidRPr="002F3148" w:rsidRDefault="00ED05DE" w:rsidP="005E6311">
      <w:pPr>
        <w:pStyle w:val="COMParaDecision"/>
        <w:bidi/>
        <w:spacing w:line="288" w:lineRule="auto"/>
        <w:ind w:left="1134" w:hanging="567"/>
        <w:rPr>
          <w:rtl/>
        </w:rPr>
      </w:pPr>
      <w:r w:rsidRPr="002F3148">
        <w:rPr>
          <w:rFonts w:hint="cs"/>
          <w:rtl/>
        </w:rPr>
        <w:t>وتشكر</w:t>
      </w:r>
      <w:r w:rsidRPr="002F3148">
        <w:rPr>
          <w:rFonts w:hint="cs"/>
          <w:u w:val="none"/>
          <w:rtl/>
        </w:rPr>
        <w:t xml:space="preserve"> جميع المساهمين الذين دعموا الاتفاقية وأمانتها، منذ دورتها الأخيرة، من خلال أشكال مختلفة من الدعم المالي أو العيني كالتبرعات التكميلية لصندوق التراث الثقافي غير المادي، بما في ذلك الصندوق الفرعي لتعزيز القدرات البشرية للأمانة، أو الصناديق الاستئمانية، أو الموظفين المعارين، و</w:t>
      </w:r>
      <w:r w:rsidRPr="002F3148">
        <w:rPr>
          <w:rFonts w:hint="cs"/>
          <w:rtl/>
        </w:rPr>
        <w:t>تشجع</w:t>
      </w:r>
      <w:r w:rsidRPr="002F3148">
        <w:rPr>
          <w:rFonts w:hint="cs"/>
          <w:u w:val="none"/>
          <w:rtl/>
        </w:rPr>
        <w:t xml:space="preserve"> المساهمين المحتملين على النظر في إمكانية دعم الاتفاقية من خلال طريقة اختيارهم؛</w:t>
      </w:r>
    </w:p>
    <w:p w14:paraId="1649DC76" w14:textId="5E5AE07C" w:rsidR="00ED05DE" w:rsidRPr="002F3148" w:rsidRDefault="00ED05DE" w:rsidP="005E6311">
      <w:pPr>
        <w:pStyle w:val="COMParaDecision"/>
        <w:bidi/>
        <w:spacing w:line="288" w:lineRule="auto"/>
        <w:ind w:left="1134" w:hanging="567"/>
        <w:rPr>
          <w:rtl/>
        </w:rPr>
      </w:pPr>
      <w:r w:rsidRPr="002F3148">
        <w:rPr>
          <w:rFonts w:hint="cs"/>
          <w:rtl/>
        </w:rPr>
        <w:t>وتكرر</w:t>
      </w:r>
      <w:r w:rsidRPr="002F3148">
        <w:rPr>
          <w:rFonts w:hint="cs"/>
          <w:u w:val="none"/>
          <w:rtl/>
        </w:rPr>
        <w:t xml:space="preserve"> على الحاجة إلى تعزيز الموارد البشرية للأمانة على أساس دائم لتمكينها من الاستجابة لاحتياجات الدول الأطراف، و</w:t>
      </w:r>
      <w:r w:rsidRPr="002F3148">
        <w:rPr>
          <w:rFonts w:hint="cs"/>
          <w:rtl/>
        </w:rPr>
        <w:t>تدعو</w:t>
      </w:r>
      <w:r w:rsidRPr="002F3148">
        <w:rPr>
          <w:rFonts w:hint="cs"/>
          <w:u w:val="none"/>
          <w:rtl/>
        </w:rPr>
        <w:t xml:space="preserve"> الدول الأطراف إلى تقديم تبرعات تكميلية للصندوق الفرعي لتعزيز القدرات البشرية للأمانة؛</w:t>
      </w:r>
    </w:p>
    <w:p w14:paraId="2A9B534A" w14:textId="77777777" w:rsidR="00ED05DE" w:rsidRPr="002F3148" w:rsidRDefault="00ED05DE" w:rsidP="005E6311">
      <w:pPr>
        <w:pStyle w:val="COMParaDecision"/>
        <w:keepNext/>
        <w:keepLines/>
        <w:numPr>
          <w:ilvl w:val="0"/>
          <w:numId w:val="0"/>
        </w:numPr>
        <w:bidi/>
        <w:spacing w:line="288" w:lineRule="auto"/>
        <w:ind w:left="992" w:firstLine="142"/>
        <w:rPr>
          <w:b/>
          <w:bCs/>
          <w:u w:val="none"/>
          <w:rtl/>
        </w:rPr>
      </w:pPr>
      <w:r w:rsidRPr="002F3148">
        <w:rPr>
          <w:rFonts w:hint="cs"/>
          <w:b/>
          <w:bCs/>
          <w:u w:val="none"/>
          <w:rtl/>
        </w:rPr>
        <w:t>مشروع الميزانية لاستخدام موارد الصندوق</w:t>
      </w:r>
    </w:p>
    <w:p w14:paraId="23D70F1B" w14:textId="514C741A" w:rsidR="00ED05DE" w:rsidRPr="002F3148" w:rsidRDefault="00F40F16" w:rsidP="005E6311">
      <w:pPr>
        <w:pStyle w:val="COMParaDecision"/>
        <w:bidi/>
        <w:spacing w:line="288" w:lineRule="auto"/>
        <w:ind w:left="1134" w:hanging="567"/>
        <w:rPr>
          <w:u w:val="none"/>
          <w:rtl/>
        </w:rPr>
      </w:pPr>
      <w:r w:rsidRPr="002F3148">
        <w:rPr>
          <w:rFonts w:hint="cs"/>
          <w:rtl/>
        </w:rPr>
        <w:t>و</w:t>
      </w:r>
      <w:r w:rsidR="00ED05DE" w:rsidRPr="002F3148">
        <w:rPr>
          <w:rFonts w:hint="cs"/>
          <w:rtl/>
        </w:rPr>
        <w:t>تعتمد</w:t>
      </w:r>
      <w:r w:rsidR="00ED05DE" w:rsidRPr="002F3148">
        <w:rPr>
          <w:rFonts w:hint="cs"/>
          <w:u w:val="none"/>
          <w:rtl/>
        </w:rPr>
        <w:t xml:space="preserve"> خطة استخدام موارد الصندوق للفترة من 1 كانون الثاني/يناير 2026 إلى 31 كانون الأول/ديسمبر 2027، وكذلك للفترة من 1 كانون الثاني/يناير 2028 إلى 30 حزيران/يونيو 2028، الواردة في ملحق هذا القرار؛</w:t>
      </w:r>
    </w:p>
    <w:p w14:paraId="0C6B54C1" w14:textId="102562D5" w:rsidR="00ED05DE" w:rsidRPr="002F3148" w:rsidRDefault="00ED05DE" w:rsidP="005E6311">
      <w:pPr>
        <w:pStyle w:val="COMParaDecision"/>
        <w:bidi/>
        <w:spacing w:line="288" w:lineRule="auto"/>
        <w:ind w:left="1134" w:hanging="567"/>
        <w:rPr>
          <w:u w:val="none"/>
          <w:rtl/>
        </w:rPr>
      </w:pPr>
      <w:r w:rsidRPr="002F3148">
        <w:rPr>
          <w:rFonts w:hint="cs"/>
          <w:rtl/>
        </w:rPr>
        <w:t>وتدرك</w:t>
      </w:r>
      <w:r w:rsidRPr="002F3148">
        <w:rPr>
          <w:rFonts w:hint="cs"/>
          <w:u w:val="none"/>
          <w:rtl/>
        </w:rPr>
        <w:t xml:space="preserve"> أنه يجوز لها، إبان دورتها الثانية عشرة في عام 2028، إعادة تعديل خطة الميزانية للفترة من 1 كانون الثاني/يناير 2028 إلى 30 حزيران/يونيو 2028؛ وإذا تعذر على الجمعية العامة الانعقاد قبل 30 حزيران/يونيو 2028، يُؤذن للأمانة بمواصلة عملياتها إلى حين انعقاد الجمعية العامة؛</w:t>
      </w:r>
    </w:p>
    <w:p w14:paraId="0C9F30B4" w14:textId="4578B76A" w:rsidR="00ED05DE" w:rsidRPr="002F3148" w:rsidRDefault="00ED05DE" w:rsidP="005E6311">
      <w:pPr>
        <w:pStyle w:val="COMParaDecision"/>
        <w:bidi/>
        <w:spacing w:line="288" w:lineRule="auto"/>
        <w:ind w:left="1134" w:hanging="567"/>
        <w:rPr>
          <w:u w:val="none"/>
          <w:rtl/>
        </w:rPr>
      </w:pPr>
      <w:r w:rsidRPr="002F3148">
        <w:rPr>
          <w:rFonts w:hint="cs"/>
          <w:rtl/>
        </w:rPr>
        <w:t>و</w:t>
      </w:r>
      <w:r w:rsidR="00F40F16">
        <w:rPr>
          <w:rFonts w:hint="cs"/>
          <w:rtl/>
        </w:rPr>
        <w:t>كما</w:t>
      </w:r>
      <w:r w:rsidR="00F40F16">
        <w:t xml:space="preserve"> </w:t>
      </w:r>
      <w:r w:rsidRPr="002F3148">
        <w:rPr>
          <w:rFonts w:hint="cs"/>
          <w:rtl/>
        </w:rPr>
        <w:t>تحيط علماً</w:t>
      </w:r>
      <w:r w:rsidR="00F40F16" w:rsidRPr="006A2AD6">
        <w:rPr>
          <w:u w:val="none"/>
        </w:rPr>
        <w:t xml:space="preserve"> </w:t>
      </w:r>
      <w:r w:rsidRPr="002F3148">
        <w:rPr>
          <w:rFonts w:hint="cs"/>
          <w:u w:val="none"/>
          <w:rtl/>
        </w:rPr>
        <w:t>بالإذن الذي منحته اللجنة للأمانة باستخدام مبلغ لا يتجاوز 10% من الميزانية المعتمدة لكل مشروع من مشاريع المساعدة الدولية، بالإضافة إلى المبلغ الذي تمنحه اللجنة أو مكتبها لكل مشروع، وذلك لغرض رصد وتقييم أثر المشاريع التي يدعمها الصندوق؛</w:t>
      </w:r>
    </w:p>
    <w:p w14:paraId="1ED95C4D" w14:textId="43212B5C" w:rsidR="00ED05DE" w:rsidRPr="002F3148" w:rsidRDefault="00ED05DE" w:rsidP="005E6311">
      <w:pPr>
        <w:pStyle w:val="COMParaDecision"/>
        <w:bidi/>
        <w:spacing w:line="288" w:lineRule="auto"/>
        <w:ind w:left="1134" w:hanging="567"/>
        <w:rPr>
          <w:rtl/>
        </w:rPr>
      </w:pPr>
      <w:r w:rsidRPr="002F3148">
        <w:rPr>
          <w:rFonts w:hint="cs"/>
          <w:rtl/>
        </w:rPr>
        <w:t>وتحيط علماً</w:t>
      </w:r>
      <w:r w:rsidR="00F40F16" w:rsidRPr="00F40F16">
        <w:rPr>
          <w:rFonts w:hint="cs"/>
          <w:rtl/>
        </w:rPr>
        <w:t xml:space="preserve"> </w:t>
      </w:r>
      <w:r w:rsidR="00F40F16" w:rsidRPr="002F3148">
        <w:rPr>
          <w:rFonts w:hint="cs"/>
          <w:rtl/>
        </w:rPr>
        <w:t>أيضاً</w:t>
      </w:r>
      <w:r w:rsidRPr="002F3148">
        <w:rPr>
          <w:rFonts w:hint="cs"/>
          <w:u w:val="none"/>
          <w:rtl/>
        </w:rPr>
        <w:t xml:space="preserve"> بالإذن الذي منحته اللجنة للأمانة العامة، عند استخدام الأموال المخصصة في إطار البند 3 من الميزانية للخطة، بإجراء تحويلات بين الأنشطة المدرجة في إطار البند 3 من الميزانية بمبلغ تراكمي يعادل نسبة 5% من مجموع المخصصات الأولية المقترحة للجمعية العامة لهذا الغرض؛</w:t>
      </w:r>
    </w:p>
    <w:p w14:paraId="13B6B909" w14:textId="77777777" w:rsidR="00ED05DE" w:rsidRPr="002F3148" w:rsidRDefault="00ED05DE" w:rsidP="005E6311">
      <w:pPr>
        <w:pStyle w:val="COMParaDecision"/>
        <w:bidi/>
        <w:spacing w:line="288" w:lineRule="auto"/>
        <w:ind w:left="1134" w:hanging="567"/>
        <w:rPr>
          <w:u w:val="none"/>
          <w:rtl/>
        </w:rPr>
      </w:pPr>
      <w:r w:rsidRPr="002F3148">
        <w:rPr>
          <w:rFonts w:hint="cs"/>
          <w:rtl/>
        </w:rPr>
        <w:t>وتأذن</w:t>
      </w:r>
      <w:r w:rsidRPr="002F3148">
        <w:rPr>
          <w:rFonts w:hint="cs"/>
          <w:u w:val="none"/>
          <w:rtl/>
        </w:rPr>
        <w:t xml:space="preserve"> للجنة بالاستخدام الفوري لأي مساهمات طوعية تكميلية يمكن تلقيها خلال هذه الفترات، على النحو المبيّن في المادة 27 من الاتفاقية، وفقاً للنسب المئوية المنصوص عليها في الخطة؛</w:t>
      </w:r>
    </w:p>
    <w:p w14:paraId="63E5578C" w14:textId="2D2A8840" w:rsidR="00ED05DE" w:rsidRPr="002F3148" w:rsidRDefault="00ED05DE" w:rsidP="005E6311">
      <w:pPr>
        <w:pStyle w:val="COMParaDecision"/>
        <w:bidi/>
        <w:spacing w:line="288" w:lineRule="auto"/>
        <w:ind w:left="1134" w:hanging="567"/>
        <w:rPr>
          <w:u w:val="none"/>
          <w:rtl/>
        </w:rPr>
      </w:pPr>
      <w:r w:rsidRPr="002F3148">
        <w:rPr>
          <w:rFonts w:hint="cs"/>
          <w:rtl/>
        </w:rPr>
        <w:t>و</w:t>
      </w:r>
      <w:r w:rsidR="00F40F16" w:rsidRPr="002F3148">
        <w:rPr>
          <w:rFonts w:hint="cs"/>
          <w:rtl/>
        </w:rPr>
        <w:t xml:space="preserve">كما </w:t>
      </w:r>
      <w:r w:rsidRPr="002F3148">
        <w:rPr>
          <w:rFonts w:hint="cs"/>
          <w:rtl/>
        </w:rPr>
        <w:t xml:space="preserve">تأذن </w:t>
      </w:r>
      <w:r w:rsidRPr="002F3148">
        <w:rPr>
          <w:rFonts w:hint="cs"/>
          <w:u w:val="none"/>
          <w:rtl/>
        </w:rPr>
        <w:t>للجنة بالاستخدام الفوري لأي مساهمات قد تقبلها، خلال هذه الفترات، لأغراض محددة تتعلق بمشاريع محددة، شريطة أن تكون تلك المشاريع قد حظيت بموافقة اللجنة قبل استلام الأموال، على النحو المبيّن في المادة 25.5 من الاتفاقية؛</w:t>
      </w:r>
    </w:p>
    <w:p w14:paraId="705C886C" w14:textId="53B9B7E5" w:rsidR="00ED05DE" w:rsidRPr="002F3148" w:rsidRDefault="00F40F16" w:rsidP="005E6311">
      <w:pPr>
        <w:pStyle w:val="COMParaDecision"/>
        <w:bidi/>
        <w:spacing w:line="288" w:lineRule="auto"/>
        <w:ind w:left="1134" w:hanging="567"/>
        <w:rPr>
          <w:u w:val="none"/>
          <w:rtl/>
        </w:rPr>
      </w:pPr>
      <w:r w:rsidRPr="002F3148">
        <w:rPr>
          <w:rFonts w:hint="cs"/>
          <w:rtl/>
        </w:rPr>
        <w:t>و</w:t>
      </w:r>
      <w:r w:rsidR="00ED05DE" w:rsidRPr="002F3148">
        <w:rPr>
          <w:rFonts w:hint="cs"/>
          <w:rtl/>
        </w:rPr>
        <w:t>تأذن</w:t>
      </w:r>
      <w:r>
        <w:t xml:space="preserve"> </w:t>
      </w:r>
      <w:r w:rsidRPr="002F3148">
        <w:rPr>
          <w:rFonts w:hint="cs"/>
          <w:rtl/>
        </w:rPr>
        <w:t>أيضاً</w:t>
      </w:r>
      <w:r w:rsidR="00ED05DE" w:rsidRPr="002F3148">
        <w:rPr>
          <w:rFonts w:hint="cs"/>
          <w:u w:val="none"/>
          <w:rtl/>
        </w:rPr>
        <w:t xml:space="preserve"> للأمانة بإجراء تحويلات بين أبواب الميزانية 4 و5 و6 و7 في حدود 30 في المائة من مجموع المخصصات الأولية، </w:t>
      </w:r>
      <w:r w:rsidR="00ED05DE" w:rsidRPr="002F3148">
        <w:rPr>
          <w:rFonts w:hint="cs"/>
          <w:rtl/>
        </w:rPr>
        <w:t>وتطلب</w:t>
      </w:r>
      <w:r w:rsidR="00ED05DE" w:rsidRPr="002F3148">
        <w:rPr>
          <w:rFonts w:hint="cs"/>
          <w:u w:val="none"/>
          <w:rtl/>
        </w:rPr>
        <w:t xml:space="preserve"> من الأمانة أن تبلغ اللجنة والجمعية العامة خطياً، في الدورة التي تلي هذا الإجراء، بتفاصيل هذه التحويلات وأسبابها.</w:t>
      </w:r>
    </w:p>
    <w:p w14:paraId="19AC5F4A" w14:textId="23EB7589" w:rsidR="00937D53" w:rsidRPr="002F3148" w:rsidRDefault="00937D53" w:rsidP="005E6311">
      <w:pPr>
        <w:bidi/>
        <w:spacing w:line="288" w:lineRule="auto"/>
        <w:rPr>
          <w:rFonts w:ascii="Arial" w:eastAsia="SimSun" w:hAnsi="Arial"/>
          <w:sz w:val="22"/>
          <w:szCs w:val="22"/>
          <w:u w:val="single"/>
          <w:rtl/>
        </w:rPr>
      </w:pPr>
      <w:r w:rsidRPr="002F3148">
        <w:rPr>
          <w:rFonts w:hint="cs"/>
          <w:sz w:val="22"/>
          <w:szCs w:val="22"/>
          <w:rtl/>
        </w:rPr>
        <w:br w:type="page"/>
      </w:r>
    </w:p>
    <w:p w14:paraId="48CCD21F" w14:textId="0178F9A6" w:rsidR="00A82CDA" w:rsidRPr="002F3148" w:rsidRDefault="00A82CDA" w:rsidP="005E6311">
      <w:pPr>
        <w:bidi/>
        <w:spacing w:line="288" w:lineRule="auto"/>
        <w:jc w:val="center"/>
        <w:rPr>
          <w:rFonts w:ascii="Arial" w:eastAsia="SimSun" w:hAnsi="Arial"/>
          <w:b/>
          <w:bCs/>
          <w:sz w:val="22"/>
          <w:szCs w:val="22"/>
          <w:u w:val="single"/>
          <w:rtl/>
        </w:rPr>
      </w:pPr>
      <w:r w:rsidRPr="002F3148">
        <w:rPr>
          <w:rFonts w:ascii="Arial" w:hAnsi="Arial" w:hint="cs"/>
          <w:b/>
          <w:bCs/>
          <w:sz w:val="22"/>
          <w:szCs w:val="22"/>
          <w:u w:val="single"/>
          <w:rtl/>
        </w:rPr>
        <w:lastRenderedPageBreak/>
        <w:t>ملحق</w:t>
      </w:r>
    </w:p>
    <w:p w14:paraId="47F75C0C" w14:textId="77777777" w:rsidR="00A82CDA" w:rsidRPr="002F3148" w:rsidRDefault="00A82CDA" w:rsidP="005E6311">
      <w:pPr>
        <w:spacing w:line="288" w:lineRule="auto"/>
        <w:jc w:val="center"/>
        <w:rPr>
          <w:rFonts w:ascii="Arial" w:eastAsia="SimSun" w:hAnsi="Arial"/>
          <w:b/>
          <w:bCs/>
          <w:sz w:val="22"/>
          <w:szCs w:val="22"/>
          <w:u w:val="single"/>
        </w:rPr>
      </w:pPr>
    </w:p>
    <w:tbl>
      <w:tblPr>
        <w:bidiVisual/>
        <w:tblW w:w="10070" w:type="dxa"/>
        <w:tblCellMar>
          <w:left w:w="70" w:type="dxa"/>
          <w:right w:w="70" w:type="dxa"/>
        </w:tblCellMar>
        <w:tblLook w:val="04A0" w:firstRow="1" w:lastRow="0" w:firstColumn="1" w:lastColumn="0" w:noHBand="0" w:noVBand="1"/>
      </w:tblPr>
      <w:tblGrid>
        <w:gridCol w:w="446"/>
        <w:gridCol w:w="4085"/>
        <w:gridCol w:w="1418"/>
        <w:gridCol w:w="1414"/>
        <w:gridCol w:w="1236"/>
        <w:gridCol w:w="1306"/>
        <w:gridCol w:w="16"/>
        <w:gridCol w:w="133"/>
        <w:gridCol w:w="16"/>
      </w:tblGrid>
      <w:tr w:rsidR="00A82CDA" w:rsidRPr="002F3148" w14:paraId="7F6A2ECE" w14:textId="77777777" w:rsidTr="006D3FCF">
        <w:trPr>
          <w:gridAfter w:val="3"/>
          <w:wAfter w:w="165" w:type="dxa"/>
          <w:trHeight w:val="313"/>
        </w:trPr>
        <w:tc>
          <w:tcPr>
            <w:tcW w:w="7361" w:type="dxa"/>
            <w:gridSpan w:val="4"/>
            <w:tcBorders>
              <w:top w:val="single" w:sz="8" w:space="0" w:color="auto"/>
              <w:left w:val="single" w:sz="8" w:space="0" w:color="auto"/>
              <w:bottom w:val="single" w:sz="8" w:space="0" w:color="auto"/>
              <w:right w:val="nil"/>
            </w:tcBorders>
            <w:shd w:val="clear" w:color="000000" w:fill="D8D8D8"/>
            <w:vAlign w:val="center"/>
            <w:hideMark/>
          </w:tcPr>
          <w:p w14:paraId="2A0181FC" w14:textId="77777777" w:rsidR="00A82CDA" w:rsidRPr="002F3148" w:rsidRDefault="00A82CDA" w:rsidP="009155E9">
            <w:pPr>
              <w:bidi/>
              <w:spacing w:line="288" w:lineRule="auto"/>
              <w:jc w:val="center"/>
              <w:rPr>
                <w:rFonts w:ascii="Arial" w:hAnsi="Arial"/>
                <w:b/>
                <w:bCs/>
                <w:color w:val="000000"/>
                <w:sz w:val="22"/>
                <w:szCs w:val="22"/>
                <w:rtl/>
              </w:rPr>
            </w:pPr>
            <w:r w:rsidRPr="002F3148">
              <w:rPr>
                <w:rFonts w:ascii="Arial" w:hAnsi="Arial" w:hint="cs"/>
                <w:b/>
                <w:bCs/>
                <w:color w:val="000000"/>
                <w:sz w:val="22"/>
                <w:szCs w:val="22"/>
                <w:rtl/>
              </w:rPr>
              <w:t>مشروع الميزانية لاستخدام موارد الصندوق</w:t>
            </w:r>
          </w:p>
        </w:tc>
        <w:tc>
          <w:tcPr>
            <w:tcW w:w="1237" w:type="dxa"/>
            <w:tcBorders>
              <w:top w:val="dashed" w:sz="4" w:space="0" w:color="auto"/>
              <w:left w:val="dashed" w:sz="4" w:space="0" w:color="auto"/>
              <w:bottom w:val="dashed" w:sz="4" w:space="0" w:color="auto"/>
              <w:right w:val="dashed" w:sz="4" w:space="0" w:color="auto"/>
            </w:tcBorders>
            <w:shd w:val="clear" w:color="000000" w:fill="FFFFFF"/>
            <w:vAlign w:val="center"/>
            <w:hideMark/>
          </w:tcPr>
          <w:p w14:paraId="16E47991" w14:textId="77777777" w:rsidR="00A82CDA" w:rsidRPr="002F3148" w:rsidRDefault="00A82CDA" w:rsidP="009155E9">
            <w:pPr>
              <w:bidi/>
              <w:spacing w:line="288" w:lineRule="auto"/>
              <w:jc w:val="center"/>
              <w:rPr>
                <w:rFonts w:ascii="Arial" w:hAnsi="Arial"/>
                <w:b/>
                <w:bCs/>
                <w:color w:val="000000"/>
                <w:sz w:val="22"/>
                <w:szCs w:val="22"/>
                <w:rtl/>
              </w:rPr>
            </w:pPr>
            <w:r w:rsidRPr="002F3148">
              <w:rPr>
                <w:rFonts w:ascii="Arial" w:hAnsi="Arial" w:hint="cs"/>
                <w:b/>
                <w:bCs/>
                <w:color w:val="000000"/>
                <w:sz w:val="22"/>
                <w:szCs w:val="22"/>
                <w:rtl/>
              </w:rPr>
              <w:t> </w:t>
            </w:r>
          </w:p>
        </w:tc>
        <w:tc>
          <w:tcPr>
            <w:tcW w:w="1307" w:type="dxa"/>
            <w:tcBorders>
              <w:top w:val="dashed" w:sz="4" w:space="0" w:color="auto"/>
              <w:left w:val="nil"/>
              <w:bottom w:val="dashed" w:sz="4" w:space="0" w:color="auto"/>
              <w:right w:val="dashed" w:sz="4" w:space="0" w:color="auto"/>
            </w:tcBorders>
            <w:shd w:val="clear" w:color="000000" w:fill="FFFFFF"/>
            <w:vAlign w:val="center"/>
            <w:hideMark/>
          </w:tcPr>
          <w:p w14:paraId="56185B0F" w14:textId="77777777" w:rsidR="00A82CDA" w:rsidRPr="002F3148" w:rsidRDefault="00A82CDA" w:rsidP="009155E9">
            <w:pPr>
              <w:bidi/>
              <w:spacing w:line="288" w:lineRule="auto"/>
              <w:jc w:val="center"/>
              <w:rPr>
                <w:rFonts w:ascii="Arial" w:hAnsi="Arial"/>
                <w:b/>
                <w:bCs/>
                <w:color w:val="000000"/>
                <w:sz w:val="22"/>
                <w:szCs w:val="22"/>
                <w:rtl/>
              </w:rPr>
            </w:pPr>
            <w:r w:rsidRPr="002F3148">
              <w:rPr>
                <w:rFonts w:ascii="Arial" w:hAnsi="Arial" w:hint="cs"/>
                <w:b/>
                <w:bCs/>
                <w:color w:val="000000"/>
                <w:sz w:val="22"/>
                <w:szCs w:val="22"/>
                <w:rtl/>
              </w:rPr>
              <w:t> </w:t>
            </w:r>
          </w:p>
        </w:tc>
      </w:tr>
      <w:tr w:rsidR="00A82CDA" w:rsidRPr="002F3148" w14:paraId="1F0D3C48" w14:textId="77777777" w:rsidTr="006D3FCF">
        <w:trPr>
          <w:gridAfter w:val="3"/>
          <w:wAfter w:w="165" w:type="dxa"/>
          <w:trHeight w:val="978"/>
        </w:trPr>
        <w:tc>
          <w:tcPr>
            <w:tcW w:w="4523" w:type="dxa"/>
            <w:gridSpan w:val="2"/>
            <w:tcBorders>
              <w:top w:val="single" w:sz="8" w:space="0" w:color="auto"/>
              <w:left w:val="single" w:sz="8" w:space="0" w:color="auto"/>
              <w:bottom w:val="single" w:sz="8" w:space="0" w:color="auto"/>
              <w:right w:val="nil"/>
            </w:tcBorders>
            <w:vAlign w:val="center"/>
            <w:hideMark/>
          </w:tcPr>
          <w:p w14:paraId="2792854E" w14:textId="015D384F" w:rsidR="00A82CDA" w:rsidRPr="002F3148" w:rsidRDefault="00A82CDA" w:rsidP="009155E9">
            <w:pPr>
              <w:bidi/>
              <w:spacing w:line="288" w:lineRule="auto"/>
              <w:jc w:val="both"/>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للفترة الممتدة من 1 كانون الثاني/يناير 2026 إلى 31 كانون الأول/</w:t>
            </w:r>
            <w:r w:rsidR="003148DD" w:rsidRPr="002F3148">
              <w:rPr>
                <w:rFonts w:asciiTheme="minorBidi" w:hAnsiTheme="minorBidi" w:cstheme="minorBidi" w:hint="cs"/>
                <w:color w:val="000000"/>
                <w:sz w:val="22"/>
                <w:szCs w:val="22"/>
                <w:rtl/>
              </w:rPr>
              <w:t xml:space="preserve"> </w:t>
            </w:r>
            <w:r w:rsidRPr="002F3148">
              <w:rPr>
                <w:rFonts w:asciiTheme="minorBidi" w:hAnsiTheme="minorBidi" w:cstheme="minorBidi" w:hint="cs"/>
                <w:color w:val="000000"/>
                <w:sz w:val="22"/>
                <w:szCs w:val="22"/>
                <w:rtl/>
              </w:rPr>
              <w:t>ديسمبر 2027، وكذلك للفترة الممتدة من 1 كانون الثاني/يناير إلى 30 حزيران/يونيو 2028، يجوز استخدام موارد صندوق التراث الثقافي غير المادي للأغراض التالية:</w:t>
            </w:r>
          </w:p>
        </w:tc>
        <w:tc>
          <w:tcPr>
            <w:tcW w:w="1421" w:type="dxa"/>
            <w:tcBorders>
              <w:top w:val="single" w:sz="4" w:space="0" w:color="auto"/>
              <w:left w:val="single" w:sz="4" w:space="0" w:color="auto"/>
              <w:bottom w:val="single" w:sz="4" w:space="0" w:color="auto"/>
              <w:right w:val="single" w:sz="4" w:space="0" w:color="auto"/>
            </w:tcBorders>
            <w:vAlign w:val="center"/>
            <w:hideMark/>
          </w:tcPr>
          <w:p w14:paraId="3B10CD8A" w14:textId="1DDC00F8"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النسبة المئوية المستخدمة خلال فترة السنتين السابقة (2024–2025)</w:t>
            </w:r>
          </w:p>
        </w:tc>
        <w:tc>
          <w:tcPr>
            <w:tcW w:w="1417" w:type="dxa"/>
            <w:tcBorders>
              <w:top w:val="single" w:sz="4" w:space="0" w:color="auto"/>
              <w:left w:val="nil"/>
              <w:bottom w:val="single" w:sz="4" w:space="0" w:color="auto"/>
              <w:right w:val="dashed" w:sz="4" w:space="0" w:color="auto"/>
            </w:tcBorders>
            <w:vAlign w:val="center"/>
            <w:hideMark/>
          </w:tcPr>
          <w:p w14:paraId="0EA9F68F" w14:textId="56DB1DAD"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 xml:space="preserve">النسبة المئوية من إجمالي المبلغ المقترح </w:t>
            </w:r>
            <w:r w:rsidR="00DB0F2C" w:rsidRPr="002F3148">
              <w:rPr>
                <w:rFonts w:asciiTheme="minorBidi" w:hAnsiTheme="minorBidi" w:cstheme="minorBidi"/>
                <w:color w:val="000000"/>
                <w:sz w:val="22"/>
                <w:szCs w:val="22"/>
                <w:rtl/>
              </w:rPr>
              <w:br/>
            </w:r>
            <w:r w:rsidRPr="002F3148">
              <w:rPr>
                <w:rFonts w:asciiTheme="minorBidi" w:hAnsiTheme="minorBidi" w:cstheme="minorBidi" w:hint="cs"/>
                <w:color w:val="000000"/>
                <w:sz w:val="22"/>
                <w:szCs w:val="22"/>
                <w:rtl/>
              </w:rPr>
              <w:t>2026-2027 [1]</w:t>
            </w:r>
          </w:p>
        </w:tc>
        <w:tc>
          <w:tcPr>
            <w:tcW w:w="1237" w:type="dxa"/>
            <w:tcBorders>
              <w:top w:val="nil"/>
              <w:left w:val="nil"/>
              <w:bottom w:val="dashed" w:sz="4" w:space="0" w:color="auto"/>
              <w:right w:val="dashed" w:sz="4" w:space="0" w:color="auto"/>
            </w:tcBorders>
            <w:vAlign w:val="center"/>
            <w:hideMark/>
          </w:tcPr>
          <w:p w14:paraId="4B738FFA" w14:textId="77777777"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المبالغ الإرشادية</w:t>
            </w:r>
          </w:p>
          <w:p w14:paraId="2964941B" w14:textId="41037920" w:rsidR="00A82CDA" w:rsidRPr="002F3148" w:rsidRDefault="00545FCF"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2026–2027</w:t>
            </w:r>
          </w:p>
        </w:tc>
        <w:tc>
          <w:tcPr>
            <w:tcW w:w="1307" w:type="dxa"/>
            <w:tcBorders>
              <w:top w:val="nil"/>
              <w:left w:val="nil"/>
              <w:bottom w:val="dashed" w:sz="4" w:space="0" w:color="auto"/>
              <w:right w:val="dashed" w:sz="4" w:space="0" w:color="auto"/>
            </w:tcBorders>
            <w:vAlign w:val="center"/>
            <w:hideMark/>
          </w:tcPr>
          <w:p w14:paraId="324A3C17" w14:textId="77777777"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 xml:space="preserve"> المبالغ الإرشادية</w:t>
            </w:r>
          </w:p>
          <w:p w14:paraId="1292A694" w14:textId="3D4A9452"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كانون الثاني/يناير - حزيران/يونيو 2028</w:t>
            </w:r>
          </w:p>
        </w:tc>
      </w:tr>
      <w:tr w:rsidR="00A82CDA" w:rsidRPr="002F3148" w14:paraId="0940B81E" w14:textId="77777777" w:rsidTr="006D3FCF">
        <w:trPr>
          <w:gridAfter w:val="3"/>
          <w:wAfter w:w="165" w:type="dxa"/>
          <w:trHeight w:val="1446"/>
        </w:trPr>
        <w:tc>
          <w:tcPr>
            <w:tcW w:w="416" w:type="dxa"/>
            <w:tcBorders>
              <w:top w:val="nil"/>
              <w:left w:val="single" w:sz="8" w:space="0" w:color="auto"/>
              <w:bottom w:val="single" w:sz="8" w:space="0" w:color="auto"/>
              <w:right w:val="single" w:sz="8" w:space="0" w:color="auto"/>
            </w:tcBorders>
            <w:noWrap/>
            <w:hideMark/>
          </w:tcPr>
          <w:p w14:paraId="59CE58B1" w14:textId="77777777" w:rsidR="00A82CDA" w:rsidRPr="002F3148" w:rsidRDefault="00A82CDA" w:rsidP="009155E9">
            <w:pPr>
              <w:bidi/>
              <w:spacing w:line="288" w:lineRule="auto"/>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1.</w:t>
            </w:r>
          </w:p>
        </w:tc>
        <w:tc>
          <w:tcPr>
            <w:tcW w:w="4107" w:type="dxa"/>
            <w:tcBorders>
              <w:top w:val="nil"/>
              <w:left w:val="nil"/>
              <w:bottom w:val="single" w:sz="8" w:space="0" w:color="auto"/>
              <w:right w:val="nil"/>
            </w:tcBorders>
            <w:vAlign w:val="center"/>
            <w:hideMark/>
          </w:tcPr>
          <w:p w14:paraId="5C2D6387" w14:textId="77777777" w:rsidR="00A82CDA" w:rsidRPr="002F3148" w:rsidRDefault="00A82CDA" w:rsidP="009155E9">
            <w:pPr>
              <w:bidi/>
              <w:spacing w:line="288" w:lineRule="auto"/>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المساعدة الدولية التي تشمل صون العناصر التراثية المدرجة في قائمة التراث الثقافي غير المادي الذي يحتاج إلى صون عاجل، وإعداد قوائم الحصر، ودعم البرامج والمشروعات والأنشطة الأخرى الخاصة بمجال الصون، بما في ذلك مراقبة وتقييم الطلبات المعتمدة</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54501B17" w14:textId="77777777"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50.0%</w:t>
            </w:r>
          </w:p>
        </w:tc>
        <w:tc>
          <w:tcPr>
            <w:tcW w:w="1417" w:type="dxa"/>
            <w:tcBorders>
              <w:top w:val="nil"/>
              <w:left w:val="nil"/>
              <w:bottom w:val="single" w:sz="4" w:space="0" w:color="auto"/>
              <w:right w:val="dashed" w:sz="4" w:space="0" w:color="auto"/>
            </w:tcBorders>
            <w:vAlign w:val="center"/>
            <w:hideMark/>
          </w:tcPr>
          <w:p w14:paraId="202C3486" w14:textId="77777777"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50.0%</w:t>
            </w:r>
          </w:p>
        </w:tc>
        <w:tc>
          <w:tcPr>
            <w:tcW w:w="1237" w:type="dxa"/>
            <w:tcBorders>
              <w:top w:val="nil"/>
              <w:left w:val="nil"/>
              <w:bottom w:val="dashed" w:sz="4" w:space="0" w:color="auto"/>
              <w:right w:val="dashed" w:sz="4" w:space="0" w:color="auto"/>
            </w:tcBorders>
            <w:vAlign w:val="center"/>
            <w:hideMark/>
          </w:tcPr>
          <w:p w14:paraId="5AE7B31F" w14:textId="48ACC446"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3,938,295 دولار</w:t>
            </w:r>
          </w:p>
        </w:tc>
        <w:tc>
          <w:tcPr>
            <w:tcW w:w="1307" w:type="dxa"/>
            <w:tcBorders>
              <w:top w:val="nil"/>
              <w:left w:val="nil"/>
              <w:bottom w:val="dashed" w:sz="4" w:space="0" w:color="auto"/>
              <w:right w:val="dashed" w:sz="4" w:space="0" w:color="auto"/>
            </w:tcBorders>
            <w:vAlign w:val="center"/>
            <w:hideMark/>
          </w:tcPr>
          <w:p w14:paraId="05CFA02E" w14:textId="26F28760"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984,574 دولار</w:t>
            </w:r>
          </w:p>
        </w:tc>
      </w:tr>
      <w:tr w:rsidR="00A82CDA" w:rsidRPr="002F3148" w14:paraId="12066C6C" w14:textId="77777777" w:rsidTr="006D3FCF">
        <w:trPr>
          <w:gridAfter w:val="3"/>
          <w:wAfter w:w="165" w:type="dxa"/>
          <w:trHeight w:val="969"/>
        </w:trPr>
        <w:tc>
          <w:tcPr>
            <w:tcW w:w="416" w:type="dxa"/>
            <w:tcBorders>
              <w:top w:val="nil"/>
              <w:left w:val="single" w:sz="8" w:space="0" w:color="auto"/>
              <w:bottom w:val="single" w:sz="8" w:space="0" w:color="auto"/>
              <w:right w:val="single" w:sz="8" w:space="0" w:color="auto"/>
            </w:tcBorders>
            <w:noWrap/>
            <w:hideMark/>
          </w:tcPr>
          <w:p w14:paraId="12E3FB3E" w14:textId="77777777" w:rsidR="00A82CDA" w:rsidRPr="002F3148" w:rsidRDefault="00A82CDA" w:rsidP="009155E9">
            <w:pPr>
              <w:bidi/>
              <w:spacing w:line="288" w:lineRule="auto"/>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1.1</w:t>
            </w:r>
          </w:p>
        </w:tc>
        <w:tc>
          <w:tcPr>
            <w:tcW w:w="4107" w:type="dxa"/>
            <w:tcBorders>
              <w:top w:val="nil"/>
              <w:left w:val="nil"/>
              <w:bottom w:val="single" w:sz="8" w:space="0" w:color="auto"/>
              <w:right w:val="nil"/>
            </w:tcBorders>
            <w:vAlign w:val="center"/>
            <w:hideMark/>
          </w:tcPr>
          <w:p w14:paraId="4F2A30AC" w14:textId="630175BB" w:rsidR="00A82CDA" w:rsidRPr="002F3148" w:rsidRDefault="00A82CDA" w:rsidP="009155E9">
            <w:pPr>
              <w:bidi/>
              <w:spacing w:line="288" w:lineRule="auto"/>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 xml:space="preserve">تعزيز الموارد البشرية لتحسين تنفيذ آليات المساعدة الدولية من خلال ثلاث وظائف محددة المدة ممولة من خارج الميزانية: وظيفة واحدة من الفئة المهنية </w:t>
            </w:r>
            <w:r w:rsidR="003148DD" w:rsidRPr="002F3148">
              <w:rPr>
                <w:rFonts w:asciiTheme="minorBidi" w:hAnsiTheme="minorBidi" w:cstheme="minorBidi"/>
                <w:color w:val="000000"/>
                <w:sz w:val="22"/>
                <w:szCs w:val="22"/>
              </w:rPr>
              <w:t>(</w:t>
            </w:r>
            <w:r w:rsidRPr="002F3148">
              <w:rPr>
                <w:rFonts w:asciiTheme="minorBidi" w:hAnsiTheme="minorBidi" w:cstheme="minorBidi"/>
                <w:color w:val="000000"/>
                <w:sz w:val="22"/>
                <w:szCs w:val="22"/>
              </w:rPr>
              <w:t>P3)</w:t>
            </w:r>
            <w:r w:rsidRPr="002F3148">
              <w:rPr>
                <w:rFonts w:asciiTheme="minorBidi" w:hAnsiTheme="minorBidi" w:cstheme="minorBidi" w:hint="cs"/>
                <w:color w:val="000000"/>
                <w:sz w:val="22"/>
                <w:szCs w:val="22"/>
                <w:rtl/>
              </w:rPr>
              <w:t xml:space="preserve">، ووظيفة واحدة من الفئة المهنية </w:t>
            </w:r>
            <w:r w:rsidR="003148DD" w:rsidRPr="002F3148">
              <w:rPr>
                <w:rFonts w:asciiTheme="minorBidi" w:hAnsiTheme="minorBidi" w:cstheme="minorBidi"/>
                <w:color w:val="000000"/>
                <w:sz w:val="22"/>
                <w:szCs w:val="22"/>
              </w:rPr>
              <w:t>(</w:t>
            </w:r>
            <w:r w:rsidRPr="002F3148">
              <w:rPr>
                <w:rFonts w:asciiTheme="minorBidi" w:hAnsiTheme="minorBidi" w:cstheme="minorBidi"/>
                <w:color w:val="000000"/>
                <w:sz w:val="22"/>
                <w:szCs w:val="22"/>
              </w:rPr>
              <w:t>P2)</w:t>
            </w:r>
            <w:r w:rsidRPr="002F3148">
              <w:rPr>
                <w:rFonts w:asciiTheme="minorBidi" w:hAnsiTheme="minorBidi" w:cstheme="minorBidi" w:hint="cs"/>
                <w:color w:val="000000"/>
                <w:sz w:val="22"/>
                <w:szCs w:val="22"/>
                <w:rtl/>
              </w:rPr>
              <w:t>، ووظيفة واحدة من فئة الخدمات العامة (</w:t>
            </w:r>
            <w:r w:rsidRPr="002F3148">
              <w:rPr>
                <w:rFonts w:asciiTheme="minorBidi" w:hAnsiTheme="minorBidi" w:cstheme="minorBidi"/>
                <w:color w:val="000000"/>
                <w:sz w:val="22"/>
                <w:szCs w:val="22"/>
              </w:rPr>
              <w:t>G5</w:t>
            </w:r>
            <w:r w:rsidRPr="002F3148">
              <w:rPr>
                <w:rFonts w:asciiTheme="minorBidi" w:hAnsiTheme="minorBidi" w:cstheme="minorBidi" w:hint="cs"/>
                <w:color w:val="000000"/>
                <w:sz w:val="22"/>
                <w:szCs w:val="22"/>
                <w:rtl/>
              </w:rPr>
              <w:t>).</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209A0456" w14:textId="77777777"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12.3%</w:t>
            </w:r>
          </w:p>
        </w:tc>
        <w:tc>
          <w:tcPr>
            <w:tcW w:w="1417" w:type="dxa"/>
            <w:tcBorders>
              <w:top w:val="nil"/>
              <w:left w:val="nil"/>
              <w:bottom w:val="single" w:sz="4" w:space="0" w:color="auto"/>
              <w:right w:val="dashed" w:sz="4" w:space="0" w:color="auto"/>
            </w:tcBorders>
            <w:shd w:val="clear" w:color="000000" w:fill="FFFFFF"/>
            <w:vAlign w:val="center"/>
            <w:hideMark/>
          </w:tcPr>
          <w:p w14:paraId="4FA52684" w14:textId="77777777"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13.4%</w:t>
            </w:r>
          </w:p>
        </w:tc>
        <w:tc>
          <w:tcPr>
            <w:tcW w:w="1237" w:type="dxa"/>
            <w:tcBorders>
              <w:top w:val="nil"/>
              <w:left w:val="nil"/>
              <w:bottom w:val="dashed" w:sz="4" w:space="0" w:color="auto"/>
              <w:right w:val="dashed" w:sz="4" w:space="0" w:color="auto"/>
            </w:tcBorders>
            <w:shd w:val="clear" w:color="000000" w:fill="FFFFFF"/>
            <w:vAlign w:val="center"/>
            <w:hideMark/>
          </w:tcPr>
          <w:p w14:paraId="0DC3768A" w14:textId="564354BC"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1,055,463 دولار</w:t>
            </w:r>
          </w:p>
        </w:tc>
        <w:tc>
          <w:tcPr>
            <w:tcW w:w="1307" w:type="dxa"/>
            <w:tcBorders>
              <w:top w:val="nil"/>
              <w:left w:val="nil"/>
              <w:bottom w:val="dashed" w:sz="4" w:space="0" w:color="auto"/>
              <w:right w:val="dashed" w:sz="4" w:space="0" w:color="auto"/>
            </w:tcBorders>
            <w:vAlign w:val="center"/>
            <w:hideMark/>
          </w:tcPr>
          <w:p w14:paraId="1EA744C8" w14:textId="70169167"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263,866 دولار</w:t>
            </w:r>
          </w:p>
        </w:tc>
      </w:tr>
      <w:tr w:rsidR="00A82CDA" w:rsidRPr="002F3148" w14:paraId="65311553" w14:textId="77777777" w:rsidTr="006D3FCF">
        <w:trPr>
          <w:gridAfter w:val="3"/>
          <w:wAfter w:w="165" w:type="dxa"/>
          <w:trHeight w:val="730"/>
        </w:trPr>
        <w:tc>
          <w:tcPr>
            <w:tcW w:w="416" w:type="dxa"/>
            <w:tcBorders>
              <w:top w:val="nil"/>
              <w:left w:val="single" w:sz="8" w:space="0" w:color="auto"/>
              <w:bottom w:val="single" w:sz="8" w:space="0" w:color="auto"/>
              <w:right w:val="single" w:sz="8" w:space="0" w:color="auto"/>
            </w:tcBorders>
            <w:noWrap/>
            <w:hideMark/>
          </w:tcPr>
          <w:p w14:paraId="1B7A34D1" w14:textId="77777777" w:rsidR="00A82CDA" w:rsidRPr="002F3148" w:rsidRDefault="00A82CDA" w:rsidP="009155E9">
            <w:pPr>
              <w:bidi/>
              <w:spacing w:line="288" w:lineRule="auto"/>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2.</w:t>
            </w:r>
          </w:p>
        </w:tc>
        <w:tc>
          <w:tcPr>
            <w:tcW w:w="4107" w:type="dxa"/>
            <w:tcBorders>
              <w:top w:val="nil"/>
              <w:left w:val="nil"/>
              <w:bottom w:val="single" w:sz="8" w:space="0" w:color="auto"/>
              <w:right w:val="nil"/>
            </w:tcBorders>
            <w:vAlign w:val="center"/>
            <w:hideMark/>
          </w:tcPr>
          <w:p w14:paraId="3A48F7A3" w14:textId="77777777" w:rsidR="00A82CDA" w:rsidRPr="002F3148" w:rsidRDefault="00A82CDA" w:rsidP="009155E9">
            <w:pPr>
              <w:bidi/>
              <w:spacing w:line="288" w:lineRule="auto"/>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المساعدة التحضيرية لطلبات المساعدة الدولية والترشيحات والمقترحات المتعلقة بقوائم وسجل الاتفاقية</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1C510D85" w14:textId="77777777"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2.8%</w:t>
            </w:r>
          </w:p>
        </w:tc>
        <w:tc>
          <w:tcPr>
            <w:tcW w:w="1417" w:type="dxa"/>
            <w:tcBorders>
              <w:top w:val="nil"/>
              <w:left w:val="nil"/>
              <w:bottom w:val="single" w:sz="4" w:space="0" w:color="auto"/>
              <w:right w:val="dashed" w:sz="4" w:space="0" w:color="auto"/>
            </w:tcBorders>
            <w:shd w:val="clear" w:color="000000" w:fill="FFFFFF"/>
            <w:vAlign w:val="center"/>
            <w:hideMark/>
          </w:tcPr>
          <w:p w14:paraId="6C8070F8" w14:textId="77777777"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1.7%</w:t>
            </w:r>
          </w:p>
        </w:tc>
        <w:tc>
          <w:tcPr>
            <w:tcW w:w="1237" w:type="dxa"/>
            <w:tcBorders>
              <w:top w:val="nil"/>
              <w:left w:val="nil"/>
              <w:bottom w:val="dashed" w:sz="4" w:space="0" w:color="auto"/>
              <w:right w:val="dashed" w:sz="4" w:space="0" w:color="auto"/>
            </w:tcBorders>
            <w:vAlign w:val="center"/>
            <w:hideMark/>
          </w:tcPr>
          <w:p w14:paraId="167AC924" w14:textId="2CD505D8"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133,902 دولار</w:t>
            </w:r>
          </w:p>
        </w:tc>
        <w:tc>
          <w:tcPr>
            <w:tcW w:w="1307" w:type="dxa"/>
            <w:tcBorders>
              <w:top w:val="nil"/>
              <w:left w:val="nil"/>
              <w:bottom w:val="dashed" w:sz="4" w:space="0" w:color="auto"/>
              <w:right w:val="dashed" w:sz="4" w:space="0" w:color="auto"/>
            </w:tcBorders>
            <w:vAlign w:val="center"/>
            <w:hideMark/>
          </w:tcPr>
          <w:p w14:paraId="7F83250B" w14:textId="034DF8D4"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33,476 دولار</w:t>
            </w:r>
          </w:p>
        </w:tc>
      </w:tr>
      <w:tr w:rsidR="00A82CDA" w:rsidRPr="002F3148" w14:paraId="33416ED2" w14:textId="77777777" w:rsidTr="00DB0F2C">
        <w:trPr>
          <w:gridAfter w:val="3"/>
          <w:wAfter w:w="165" w:type="dxa"/>
          <w:trHeight w:val="1427"/>
        </w:trPr>
        <w:tc>
          <w:tcPr>
            <w:tcW w:w="416" w:type="dxa"/>
            <w:tcBorders>
              <w:top w:val="nil"/>
              <w:left w:val="single" w:sz="8" w:space="0" w:color="auto"/>
              <w:bottom w:val="single" w:sz="8" w:space="0" w:color="auto"/>
              <w:right w:val="single" w:sz="8" w:space="0" w:color="auto"/>
            </w:tcBorders>
            <w:noWrap/>
            <w:hideMark/>
          </w:tcPr>
          <w:p w14:paraId="270BF496" w14:textId="77777777" w:rsidR="00A82CDA" w:rsidRPr="002F3148" w:rsidRDefault="00A82CDA" w:rsidP="009155E9">
            <w:pPr>
              <w:bidi/>
              <w:spacing w:line="288" w:lineRule="auto"/>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3.</w:t>
            </w:r>
          </w:p>
        </w:tc>
        <w:tc>
          <w:tcPr>
            <w:tcW w:w="4107" w:type="dxa"/>
            <w:tcBorders>
              <w:top w:val="nil"/>
              <w:left w:val="nil"/>
              <w:bottom w:val="single" w:sz="8" w:space="0" w:color="auto"/>
              <w:right w:val="nil"/>
            </w:tcBorders>
            <w:vAlign w:val="center"/>
            <w:hideMark/>
          </w:tcPr>
          <w:p w14:paraId="10B2D365" w14:textId="77777777" w:rsidR="00A82CDA" w:rsidRPr="002F3148" w:rsidRDefault="00A82CDA" w:rsidP="009155E9">
            <w:pPr>
              <w:bidi/>
              <w:spacing w:line="288" w:lineRule="auto"/>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وتهدف مهام اللجنة الأخرى، على النحو المبين في المادة 7 من الاتفاقية، إلى تعزيز أهداف الاتفاقية وتشجيع ورصد تنفيذها، ولا سيما عن طريق تعزيز القدرات على صون التراث الثقافي غير المادي بفعالية، والتوعية بأهمية هذا التراث، وتقديم التوجيه بشأن ممارسات الصون الجيدة:</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3764864F" w14:textId="77777777"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 xml:space="preserve"> 20.0%</w:t>
            </w:r>
          </w:p>
        </w:tc>
        <w:tc>
          <w:tcPr>
            <w:tcW w:w="1417" w:type="dxa"/>
            <w:tcBorders>
              <w:top w:val="nil"/>
              <w:left w:val="nil"/>
              <w:bottom w:val="single" w:sz="4" w:space="0" w:color="auto"/>
              <w:right w:val="dashed" w:sz="4" w:space="0" w:color="auto"/>
            </w:tcBorders>
            <w:vAlign w:val="center"/>
            <w:hideMark/>
          </w:tcPr>
          <w:p w14:paraId="26815C84" w14:textId="77777777"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20.0%</w:t>
            </w:r>
          </w:p>
        </w:tc>
        <w:tc>
          <w:tcPr>
            <w:tcW w:w="1237" w:type="dxa"/>
            <w:tcBorders>
              <w:top w:val="nil"/>
              <w:left w:val="nil"/>
              <w:bottom w:val="dashed" w:sz="4" w:space="0" w:color="auto"/>
              <w:right w:val="dashed" w:sz="4" w:space="0" w:color="auto"/>
            </w:tcBorders>
            <w:vAlign w:val="center"/>
            <w:hideMark/>
          </w:tcPr>
          <w:p w14:paraId="4BC7094C" w14:textId="43672EF5"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1,575,318 دولار</w:t>
            </w:r>
          </w:p>
        </w:tc>
        <w:tc>
          <w:tcPr>
            <w:tcW w:w="1307" w:type="dxa"/>
            <w:tcBorders>
              <w:top w:val="nil"/>
              <w:left w:val="nil"/>
              <w:bottom w:val="dashed" w:sz="4" w:space="0" w:color="auto"/>
              <w:right w:val="dashed" w:sz="4" w:space="0" w:color="auto"/>
            </w:tcBorders>
            <w:vAlign w:val="center"/>
            <w:hideMark/>
          </w:tcPr>
          <w:p w14:paraId="2DBC7E2E" w14:textId="68814C89"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393,830 دولار</w:t>
            </w:r>
          </w:p>
        </w:tc>
      </w:tr>
      <w:tr w:rsidR="00A82CDA" w:rsidRPr="002F3148" w14:paraId="209683A5" w14:textId="77777777" w:rsidTr="006D3FCF">
        <w:trPr>
          <w:gridAfter w:val="3"/>
          <w:wAfter w:w="165" w:type="dxa"/>
          <w:trHeight w:val="345"/>
        </w:trPr>
        <w:tc>
          <w:tcPr>
            <w:tcW w:w="416" w:type="dxa"/>
            <w:vMerge w:val="restart"/>
            <w:tcBorders>
              <w:top w:val="nil"/>
              <w:left w:val="single" w:sz="8" w:space="0" w:color="auto"/>
              <w:bottom w:val="single" w:sz="8" w:space="0" w:color="000000"/>
              <w:right w:val="single" w:sz="8" w:space="0" w:color="auto"/>
            </w:tcBorders>
            <w:shd w:val="clear" w:color="000000" w:fill="E7E6E6"/>
            <w:noWrap/>
            <w:hideMark/>
          </w:tcPr>
          <w:p w14:paraId="70454C65" w14:textId="00E85167" w:rsidR="00A82CDA" w:rsidRPr="002F3148" w:rsidRDefault="00A82CDA" w:rsidP="009155E9">
            <w:pPr>
              <w:spacing w:line="288" w:lineRule="auto"/>
              <w:rPr>
                <w:rFonts w:asciiTheme="minorBidi" w:hAnsiTheme="minorBidi" w:cstheme="minorBidi"/>
                <w:i/>
                <w:iCs/>
                <w:color w:val="000000"/>
                <w:sz w:val="22"/>
                <w:szCs w:val="22"/>
              </w:rPr>
            </w:pPr>
          </w:p>
        </w:tc>
        <w:tc>
          <w:tcPr>
            <w:tcW w:w="4107" w:type="dxa"/>
            <w:vMerge w:val="restart"/>
            <w:tcBorders>
              <w:top w:val="nil"/>
              <w:left w:val="single" w:sz="8" w:space="0" w:color="auto"/>
              <w:bottom w:val="single" w:sz="8" w:space="0" w:color="000000"/>
              <w:right w:val="nil"/>
            </w:tcBorders>
            <w:shd w:val="clear" w:color="000000" w:fill="E7E6E6"/>
            <w:vAlign w:val="bottom"/>
            <w:hideMark/>
          </w:tcPr>
          <w:p w14:paraId="2D90C44A" w14:textId="77777777" w:rsidR="00A82CDA" w:rsidRPr="002F3148" w:rsidRDefault="00A82CDA" w:rsidP="009155E9">
            <w:pPr>
              <w:bidi/>
              <w:spacing w:line="288" w:lineRule="auto"/>
              <w:rPr>
                <w:rFonts w:asciiTheme="minorBidi" w:hAnsiTheme="minorBidi" w:cstheme="minorBidi"/>
                <w:b/>
                <w:bCs/>
                <w:i/>
                <w:iCs/>
                <w:color w:val="000000"/>
                <w:sz w:val="22"/>
                <w:szCs w:val="22"/>
                <w:rtl/>
              </w:rPr>
            </w:pPr>
            <w:r w:rsidRPr="002F3148">
              <w:rPr>
                <w:rFonts w:asciiTheme="minorBidi" w:hAnsiTheme="minorBidi" w:cstheme="minorBidi" w:hint="cs"/>
                <w:b/>
                <w:bCs/>
                <w:i/>
                <w:iCs/>
                <w:color w:val="000000"/>
                <w:sz w:val="22"/>
                <w:szCs w:val="22"/>
                <w:rtl/>
              </w:rPr>
              <w:t>النتيجة المنشودة 1: تعزيز تنفيذ الاتفاقية من خلال برنامج معزز لبناء القدرات وإدماج التراث الثقافي غير المادي في خطط وأطر التنمية.</w:t>
            </w: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25C71FA1" w14:textId="77777777"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10.4%</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631527AC" w14:textId="77777777"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10.0%</w:t>
            </w:r>
          </w:p>
        </w:tc>
        <w:tc>
          <w:tcPr>
            <w:tcW w:w="1237" w:type="dxa"/>
            <w:vMerge w:val="restart"/>
            <w:tcBorders>
              <w:top w:val="nil"/>
              <w:left w:val="dashed" w:sz="4" w:space="0" w:color="auto"/>
              <w:bottom w:val="dashed" w:sz="4" w:space="0" w:color="auto"/>
              <w:right w:val="dashed" w:sz="4" w:space="0" w:color="auto"/>
            </w:tcBorders>
            <w:shd w:val="clear" w:color="000000" w:fill="E7E6E6"/>
            <w:vAlign w:val="center"/>
            <w:hideMark/>
          </w:tcPr>
          <w:p w14:paraId="3D9FD690" w14:textId="43621450"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787,659 دولار</w:t>
            </w:r>
          </w:p>
        </w:tc>
        <w:tc>
          <w:tcPr>
            <w:tcW w:w="1307" w:type="dxa"/>
            <w:vMerge w:val="restart"/>
            <w:tcBorders>
              <w:top w:val="nil"/>
              <w:left w:val="dashed" w:sz="4" w:space="0" w:color="auto"/>
              <w:bottom w:val="dashed" w:sz="4" w:space="0" w:color="auto"/>
              <w:right w:val="dashed" w:sz="4" w:space="0" w:color="auto"/>
            </w:tcBorders>
            <w:shd w:val="clear" w:color="000000" w:fill="E7E6E6"/>
            <w:vAlign w:val="center"/>
            <w:hideMark/>
          </w:tcPr>
          <w:p w14:paraId="37F72D6D" w14:textId="24B21429"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196,915 دولار</w:t>
            </w:r>
          </w:p>
        </w:tc>
      </w:tr>
      <w:tr w:rsidR="00A82CDA" w:rsidRPr="002F3148" w14:paraId="5AD7F001" w14:textId="77777777" w:rsidTr="009155E9">
        <w:trPr>
          <w:gridAfter w:val="1"/>
          <w:wAfter w:w="16" w:type="dxa"/>
          <w:trHeight w:val="149"/>
        </w:trPr>
        <w:tc>
          <w:tcPr>
            <w:tcW w:w="416" w:type="dxa"/>
            <w:vMerge/>
            <w:tcBorders>
              <w:top w:val="nil"/>
              <w:left w:val="single" w:sz="8" w:space="0" w:color="auto"/>
              <w:bottom w:val="single" w:sz="8" w:space="0" w:color="000000"/>
              <w:right w:val="single" w:sz="8" w:space="0" w:color="auto"/>
            </w:tcBorders>
            <w:hideMark/>
          </w:tcPr>
          <w:p w14:paraId="49450AA3"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4107" w:type="dxa"/>
            <w:vMerge/>
            <w:tcBorders>
              <w:top w:val="nil"/>
              <w:left w:val="single" w:sz="8" w:space="0" w:color="auto"/>
              <w:bottom w:val="single" w:sz="8" w:space="0" w:color="000000"/>
              <w:right w:val="nil"/>
            </w:tcBorders>
            <w:vAlign w:val="center"/>
            <w:hideMark/>
          </w:tcPr>
          <w:p w14:paraId="78B5E3CE" w14:textId="77777777" w:rsidR="00A82CDA" w:rsidRPr="002F3148" w:rsidRDefault="00A82CDA" w:rsidP="009155E9">
            <w:pPr>
              <w:spacing w:line="288" w:lineRule="auto"/>
              <w:rPr>
                <w:rFonts w:asciiTheme="minorBidi" w:hAnsiTheme="minorBidi" w:cstheme="minorBidi"/>
                <w:b/>
                <w:bCs/>
                <w:i/>
                <w:iCs/>
                <w:color w:val="000000"/>
                <w:sz w:val="22"/>
                <w:szCs w:val="22"/>
              </w:rPr>
            </w:pPr>
          </w:p>
        </w:tc>
        <w:tc>
          <w:tcPr>
            <w:tcW w:w="1421" w:type="dxa"/>
            <w:vMerge/>
            <w:tcBorders>
              <w:top w:val="nil"/>
              <w:left w:val="single" w:sz="4" w:space="0" w:color="auto"/>
              <w:bottom w:val="single" w:sz="4" w:space="0" w:color="000000"/>
              <w:right w:val="single" w:sz="4" w:space="0" w:color="auto"/>
            </w:tcBorders>
            <w:vAlign w:val="center"/>
            <w:hideMark/>
          </w:tcPr>
          <w:p w14:paraId="74F158CF"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417" w:type="dxa"/>
            <w:vMerge/>
            <w:tcBorders>
              <w:top w:val="nil"/>
              <w:left w:val="single" w:sz="4" w:space="0" w:color="auto"/>
              <w:bottom w:val="single" w:sz="4" w:space="0" w:color="000000"/>
              <w:right w:val="dashed" w:sz="4" w:space="0" w:color="auto"/>
            </w:tcBorders>
            <w:vAlign w:val="center"/>
            <w:hideMark/>
          </w:tcPr>
          <w:p w14:paraId="69E8EA84"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237" w:type="dxa"/>
            <w:vMerge/>
            <w:tcBorders>
              <w:top w:val="nil"/>
              <w:left w:val="dashed" w:sz="4" w:space="0" w:color="auto"/>
              <w:bottom w:val="dashed" w:sz="4" w:space="0" w:color="auto"/>
              <w:right w:val="dashed" w:sz="4" w:space="0" w:color="auto"/>
            </w:tcBorders>
            <w:vAlign w:val="center"/>
            <w:hideMark/>
          </w:tcPr>
          <w:p w14:paraId="2779CAC2"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307" w:type="dxa"/>
            <w:vMerge/>
            <w:tcBorders>
              <w:top w:val="nil"/>
              <w:left w:val="dashed" w:sz="4" w:space="0" w:color="auto"/>
              <w:bottom w:val="dashed" w:sz="4" w:space="0" w:color="auto"/>
              <w:right w:val="dashed" w:sz="4" w:space="0" w:color="auto"/>
            </w:tcBorders>
            <w:vAlign w:val="center"/>
            <w:hideMark/>
          </w:tcPr>
          <w:p w14:paraId="0664312C"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49" w:type="dxa"/>
            <w:gridSpan w:val="2"/>
            <w:tcBorders>
              <w:top w:val="nil"/>
              <w:left w:val="nil"/>
              <w:bottom w:val="nil"/>
              <w:right w:val="nil"/>
            </w:tcBorders>
            <w:noWrap/>
            <w:vAlign w:val="bottom"/>
            <w:hideMark/>
          </w:tcPr>
          <w:p w14:paraId="4CBF1D68" w14:textId="77777777" w:rsidR="00A82CDA" w:rsidRPr="002F3148" w:rsidRDefault="00A82CDA" w:rsidP="009155E9">
            <w:pPr>
              <w:spacing w:line="288" w:lineRule="auto"/>
              <w:jc w:val="center"/>
              <w:rPr>
                <w:rFonts w:ascii="Arial" w:hAnsi="Arial"/>
                <w:i/>
                <w:iCs/>
                <w:color w:val="000000"/>
                <w:sz w:val="22"/>
                <w:szCs w:val="22"/>
              </w:rPr>
            </w:pPr>
          </w:p>
        </w:tc>
      </w:tr>
      <w:tr w:rsidR="00A82CDA" w:rsidRPr="002F3148" w14:paraId="09E7D9E3" w14:textId="77777777" w:rsidTr="006D3FCF">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291F2C4F"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4107" w:type="dxa"/>
            <w:vMerge/>
            <w:tcBorders>
              <w:top w:val="nil"/>
              <w:left w:val="single" w:sz="8" w:space="0" w:color="auto"/>
              <w:bottom w:val="single" w:sz="8" w:space="0" w:color="000000"/>
              <w:right w:val="nil"/>
            </w:tcBorders>
            <w:vAlign w:val="center"/>
            <w:hideMark/>
          </w:tcPr>
          <w:p w14:paraId="2BF3934A" w14:textId="77777777" w:rsidR="00A82CDA" w:rsidRPr="002F3148" w:rsidRDefault="00A82CDA" w:rsidP="009155E9">
            <w:pPr>
              <w:spacing w:line="288" w:lineRule="auto"/>
              <w:rPr>
                <w:rFonts w:asciiTheme="minorBidi" w:hAnsiTheme="minorBidi" w:cstheme="minorBidi"/>
                <w:b/>
                <w:bCs/>
                <w:i/>
                <w:iCs/>
                <w:color w:val="000000"/>
                <w:sz w:val="22"/>
                <w:szCs w:val="22"/>
              </w:rPr>
            </w:pP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3A664763" w14:textId="77777777"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(52% من البند 3)</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00CD8213" w14:textId="77777777"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(50% من البند 3)</w:t>
            </w:r>
          </w:p>
        </w:tc>
        <w:tc>
          <w:tcPr>
            <w:tcW w:w="1237" w:type="dxa"/>
            <w:vMerge/>
            <w:tcBorders>
              <w:top w:val="nil"/>
              <w:left w:val="dashed" w:sz="4" w:space="0" w:color="auto"/>
              <w:bottom w:val="dashed" w:sz="4" w:space="0" w:color="auto"/>
              <w:right w:val="dashed" w:sz="4" w:space="0" w:color="auto"/>
            </w:tcBorders>
            <w:vAlign w:val="center"/>
            <w:hideMark/>
          </w:tcPr>
          <w:p w14:paraId="6703D5F6"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307" w:type="dxa"/>
            <w:vMerge/>
            <w:tcBorders>
              <w:top w:val="nil"/>
              <w:left w:val="dashed" w:sz="4" w:space="0" w:color="auto"/>
              <w:bottom w:val="dashed" w:sz="4" w:space="0" w:color="auto"/>
              <w:right w:val="dashed" w:sz="4" w:space="0" w:color="auto"/>
            </w:tcBorders>
            <w:vAlign w:val="center"/>
            <w:hideMark/>
          </w:tcPr>
          <w:p w14:paraId="19342E04"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49" w:type="dxa"/>
            <w:gridSpan w:val="2"/>
            <w:vAlign w:val="center"/>
            <w:hideMark/>
          </w:tcPr>
          <w:p w14:paraId="01D600C3" w14:textId="77777777" w:rsidR="00A82CDA" w:rsidRPr="002F3148" w:rsidRDefault="00A82CDA" w:rsidP="009155E9">
            <w:pPr>
              <w:spacing w:line="288" w:lineRule="auto"/>
              <w:rPr>
                <w:sz w:val="22"/>
                <w:szCs w:val="22"/>
              </w:rPr>
            </w:pPr>
          </w:p>
        </w:tc>
      </w:tr>
      <w:tr w:rsidR="00A82CDA" w:rsidRPr="002F3148" w14:paraId="566B1D2D" w14:textId="77777777" w:rsidTr="006D3FCF">
        <w:trPr>
          <w:gridAfter w:val="1"/>
          <w:wAfter w:w="16" w:type="dxa"/>
          <w:trHeight w:val="46"/>
        </w:trPr>
        <w:tc>
          <w:tcPr>
            <w:tcW w:w="416" w:type="dxa"/>
            <w:vMerge/>
            <w:tcBorders>
              <w:top w:val="nil"/>
              <w:left w:val="single" w:sz="8" w:space="0" w:color="auto"/>
              <w:bottom w:val="single" w:sz="8" w:space="0" w:color="000000"/>
              <w:right w:val="single" w:sz="8" w:space="0" w:color="auto"/>
            </w:tcBorders>
            <w:hideMark/>
          </w:tcPr>
          <w:p w14:paraId="1E9E90EB"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4107" w:type="dxa"/>
            <w:vMerge/>
            <w:tcBorders>
              <w:top w:val="nil"/>
              <w:left w:val="single" w:sz="8" w:space="0" w:color="auto"/>
              <w:bottom w:val="single" w:sz="8" w:space="0" w:color="000000"/>
              <w:right w:val="nil"/>
            </w:tcBorders>
            <w:vAlign w:val="center"/>
            <w:hideMark/>
          </w:tcPr>
          <w:p w14:paraId="442A3B5D" w14:textId="77777777" w:rsidR="00A82CDA" w:rsidRPr="002F3148" w:rsidRDefault="00A82CDA" w:rsidP="009155E9">
            <w:pPr>
              <w:spacing w:line="288" w:lineRule="auto"/>
              <w:rPr>
                <w:rFonts w:asciiTheme="minorBidi" w:hAnsiTheme="minorBidi" w:cstheme="minorBidi"/>
                <w:b/>
                <w:bCs/>
                <w:i/>
                <w:iCs/>
                <w:color w:val="000000"/>
                <w:sz w:val="22"/>
                <w:szCs w:val="22"/>
              </w:rPr>
            </w:pPr>
          </w:p>
        </w:tc>
        <w:tc>
          <w:tcPr>
            <w:tcW w:w="1421" w:type="dxa"/>
            <w:vMerge/>
            <w:tcBorders>
              <w:top w:val="nil"/>
              <w:left w:val="single" w:sz="4" w:space="0" w:color="auto"/>
              <w:bottom w:val="single" w:sz="4" w:space="0" w:color="000000"/>
              <w:right w:val="single" w:sz="4" w:space="0" w:color="auto"/>
            </w:tcBorders>
            <w:vAlign w:val="center"/>
            <w:hideMark/>
          </w:tcPr>
          <w:p w14:paraId="23342BA0"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417" w:type="dxa"/>
            <w:vMerge/>
            <w:tcBorders>
              <w:top w:val="nil"/>
              <w:left w:val="single" w:sz="4" w:space="0" w:color="auto"/>
              <w:bottom w:val="single" w:sz="4" w:space="0" w:color="000000"/>
              <w:right w:val="dashed" w:sz="4" w:space="0" w:color="auto"/>
            </w:tcBorders>
            <w:vAlign w:val="center"/>
            <w:hideMark/>
          </w:tcPr>
          <w:p w14:paraId="237A6A33"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237" w:type="dxa"/>
            <w:vMerge/>
            <w:tcBorders>
              <w:top w:val="nil"/>
              <w:left w:val="dashed" w:sz="4" w:space="0" w:color="auto"/>
              <w:bottom w:val="dashed" w:sz="4" w:space="0" w:color="auto"/>
              <w:right w:val="dashed" w:sz="4" w:space="0" w:color="auto"/>
            </w:tcBorders>
            <w:vAlign w:val="center"/>
            <w:hideMark/>
          </w:tcPr>
          <w:p w14:paraId="2A48EE89"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307" w:type="dxa"/>
            <w:vMerge/>
            <w:tcBorders>
              <w:top w:val="nil"/>
              <w:left w:val="dashed" w:sz="4" w:space="0" w:color="auto"/>
              <w:bottom w:val="dashed" w:sz="4" w:space="0" w:color="auto"/>
              <w:right w:val="dashed" w:sz="4" w:space="0" w:color="auto"/>
            </w:tcBorders>
            <w:vAlign w:val="center"/>
            <w:hideMark/>
          </w:tcPr>
          <w:p w14:paraId="4AF3C699"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49" w:type="dxa"/>
            <w:gridSpan w:val="2"/>
            <w:tcBorders>
              <w:top w:val="nil"/>
              <w:left w:val="nil"/>
              <w:bottom w:val="nil"/>
              <w:right w:val="nil"/>
            </w:tcBorders>
            <w:noWrap/>
            <w:vAlign w:val="bottom"/>
            <w:hideMark/>
          </w:tcPr>
          <w:p w14:paraId="0516CAB4" w14:textId="77777777" w:rsidR="00A82CDA" w:rsidRPr="002F3148" w:rsidRDefault="00A82CDA" w:rsidP="009155E9">
            <w:pPr>
              <w:spacing w:line="288" w:lineRule="auto"/>
              <w:jc w:val="center"/>
              <w:rPr>
                <w:rFonts w:ascii="Arial" w:hAnsi="Arial"/>
                <w:i/>
                <w:iCs/>
                <w:color w:val="000000"/>
                <w:sz w:val="22"/>
                <w:szCs w:val="22"/>
              </w:rPr>
            </w:pPr>
          </w:p>
        </w:tc>
      </w:tr>
      <w:tr w:rsidR="00A82CDA" w:rsidRPr="002F3148" w14:paraId="5D0B98BD" w14:textId="77777777" w:rsidTr="00DB0F2C">
        <w:trPr>
          <w:gridAfter w:val="1"/>
          <w:wAfter w:w="16" w:type="dxa"/>
          <w:trHeight w:val="298"/>
        </w:trPr>
        <w:tc>
          <w:tcPr>
            <w:tcW w:w="416" w:type="dxa"/>
            <w:vMerge w:val="restart"/>
            <w:tcBorders>
              <w:top w:val="nil"/>
              <w:left w:val="single" w:sz="8" w:space="0" w:color="auto"/>
              <w:bottom w:val="single" w:sz="8" w:space="0" w:color="000000"/>
              <w:right w:val="single" w:sz="8" w:space="0" w:color="auto"/>
            </w:tcBorders>
            <w:shd w:val="clear" w:color="000000" w:fill="E7E6E6"/>
            <w:noWrap/>
            <w:hideMark/>
          </w:tcPr>
          <w:p w14:paraId="664B339E" w14:textId="6B8797FC" w:rsidR="00A82CDA" w:rsidRPr="002F3148" w:rsidRDefault="00A82CDA" w:rsidP="009155E9">
            <w:pPr>
              <w:spacing w:line="288" w:lineRule="auto"/>
              <w:rPr>
                <w:rFonts w:asciiTheme="minorBidi" w:hAnsiTheme="minorBidi" w:cstheme="minorBidi"/>
                <w:i/>
                <w:iCs/>
                <w:color w:val="000000"/>
                <w:sz w:val="22"/>
                <w:szCs w:val="22"/>
              </w:rPr>
            </w:pPr>
          </w:p>
        </w:tc>
        <w:tc>
          <w:tcPr>
            <w:tcW w:w="4107" w:type="dxa"/>
            <w:vMerge w:val="restart"/>
            <w:tcBorders>
              <w:top w:val="nil"/>
              <w:left w:val="single" w:sz="8" w:space="0" w:color="auto"/>
              <w:bottom w:val="single" w:sz="8" w:space="0" w:color="000000"/>
              <w:right w:val="nil"/>
            </w:tcBorders>
            <w:shd w:val="clear" w:color="000000" w:fill="E7E6E6"/>
            <w:vAlign w:val="center"/>
            <w:hideMark/>
          </w:tcPr>
          <w:p w14:paraId="6E08204B" w14:textId="77777777" w:rsidR="00A82CDA" w:rsidRPr="002F3148" w:rsidRDefault="00A82CDA" w:rsidP="009155E9">
            <w:pPr>
              <w:bidi/>
              <w:spacing w:line="264" w:lineRule="auto"/>
              <w:rPr>
                <w:rFonts w:asciiTheme="minorBidi" w:hAnsiTheme="minorBidi" w:cstheme="minorBidi"/>
                <w:b/>
                <w:bCs/>
                <w:i/>
                <w:iCs/>
                <w:color w:val="000000"/>
                <w:sz w:val="22"/>
                <w:szCs w:val="22"/>
                <w:rtl/>
                <w:lang w:bidi="ur-PK"/>
              </w:rPr>
            </w:pPr>
            <w:r w:rsidRPr="002F3148">
              <w:rPr>
                <w:rFonts w:asciiTheme="minorBidi" w:hAnsiTheme="minorBidi" w:cstheme="minorBidi" w:hint="cs"/>
                <w:b/>
                <w:bCs/>
                <w:i/>
                <w:iCs/>
                <w:color w:val="000000"/>
                <w:sz w:val="22"/>
                <w:szCs w:val="22"/>
                <w:rtl/>
              </w:rPr>
              <w:t>النتيجة المنشودة 2: تيسير الحوكمة السليمة للاتفاقية من خلال تعزيز الرصد وخدمات إدارة المعرفة وأنشطة التوعية المرتبطة بآليات التعاون الدولي.</w:t>
            </w: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48CBCCAA" w14:textId="77777777" w:rsidR="00A82CDA" w:rsidRPr="002F3148" w:rsidRDefault="00A82CDA" w:rsidP="009155E9">
            <w:pPr>
              <w:bidi/>
              <w:spacing w:line="264"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9.6%</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4D77737E" w14:textId="77777777" w:rsidR="00A82CDA" w:rsidRPr="002F3148" w:rsidRDefault="00A82CDA" w:rsidP="009155E9">
            <w:pPr>
              <w:bidi/>
              <w:spacing w:line="264"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10.0%</w:t>
            </w:r>
          </w:p>
        </w:tc>
        <w:tc>
          <w:tcPr>
            <w:tcW w:w="1237" w:type="dxa"/>
            <w:vMerge w:val="restart"/>
            <w:tcBorders>
              <w:top w:val="nil"/>
              <w:left w:val="dashed" w:sz="4" w:space="0" w:color="auto"/>
              <w:bottom w:val="dashed" w:sz="4" w:space="0" w:color="auto"/>
              <w:right w:val="dashed" w:sz="4" w:space="0" w:color="auto"/>
            </w:tcBorders>
            <w:shd w:val="clear" w:color="000000" w:fill="E7E6E6"/>
            <w:vAlign w:val="center"/>
            <w:hideMark/>
          </w:tcPr>
          <w:p w14:paraId="7A968B87" w14:textId="5EBC2D3A" w:rsidR="00A82CDA" w:rsidRPr="002F3148" w:rsidRDefault="00A82CDA" w:rsidP="009155E9">
            <w:pPr>
              <w:bidi/>
              <w:spacing w:line="264"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787,659 دولار</w:t>
            </w:r>
          </w:p>
        </w:tc>
        <w:tc>
          <w:tcPr>
            <w:tcW w:w="1307" w:type="dxa"/>
            <w:vMerge w:val="restart"/>
            <w:tcBorders>
              <w:top w:val="nil"/>
              <w:left w:val="dashed" w:sz="4" w:space="0" w:color="auto"/>
              <w:bottom w:val="dashed" w:sz="4" w:space="0" w:color="auto"/>
              <w:right w:val="dashed" w:sz="4" w:space="0" w:color="auto"/>
            </w:tcBorders>
            <w:shd w:val="clear" w:color="000000" w:fill="E7E6E6"/>
            <w:vAlign w:val="center"/>
            <w:hideMark/>
          </w:tcPr>
          <w:p w14:paraId="7C73A350" w14:textId="741FFD15" w:rsidR="00A82CDA" w:rsidRPr="002F3148" w:rsidRDefault="00A82CDA" w:rsidP="009155E9">
            <w:pPr>
              <w:bidi/>
              <w:spacing w:line="264"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196,915 دولار</w:t>
            </w:r>
          </w:p>
        </w:tc>
        <w:tc>
          <w:tcPr>
            <w:tcW w:w="149" w:type="dxa"/>
            <w:gridSpan w:val="2"/>
            <w:vAlign w:val="center"/>
            <w:hideMark/>
          </w:tcPr>
          <w:p w14:paraId="7B4D3C34" w14:textId="77777777" w:rsidR="00A82CDA" w:rsidRPr="002F3148" w:rsidRDefault="00A82CDA" w:rsidP="009155E9">
            <w:pPr>
              <w:spacing w:line="288" w:lineRule="auto"/>
              <w:rPr>
                <w:sz w:val="22"/>
                <w:szCs w:val="22"/>
              </w:rPr>
            </w:pPr>
          </w:p>
        </w:tc>
      </w:tr>
      <w:tr w:rsidR="00A82CDA" w:rsidRPr="002F3148" w14:paraId="0C3476FF" w14:textId="77777777" w:rsidTr="009155E9">
        <w:trPr>
          <w:gridAfter w:val="1"/>
          <w:wAfter w:w="16" w:type="dxa"/>
          <w:trHeight w:val="139"/>
        </w:trPr>
        <w:tc>
          <w:tcPr>
            <w:tcW w:w="416" w:type="dxa"/>
            <w:vMerge/>
            <w:tcBorders>
              <w:top w:val="nil"/>
              <w:left w:val="single" w:sz="8" w:space="0" w:color="auto"/>
              <w:bottom w:val="single" w:sz="8" w:space="0" w:color="000000"/>
              <w:right w:val="single" w:sz="8" w:space="0" w:color="auto"/>
            </w:tcBorders>
            <w:hideMark/>
          </w:tcPr>
          <w:p w14:paraId="20EF829F"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4107" w:type="dxa"/>
            <w:vMerge/>
            <w:tcBorders>
              <w:top w:val="nil"/>
              <w:left w:val="single" w:sz="8" w:space="0" w:color="auto"/>
              <w:bottom w:val="single" w:sz="8" w:space="0" w:color="000000"/>
              <w:right w:val="nil"/>
            </w:tcBorders>
            <w:vAlign w:val="center"/>
            <w:hideMark/>
          </w:tcPr>
          <w:p w14:paraId="1F72E02F" w14:textId="77777777" w:rsidR="00A82CDA" w:rsidRPr="002F3148" w:rsidRDefault="00A82CDA" w:rsidP="009155E9">
            <w:pPr>
              <w:spacing w:line="288" w:lineRule="auto"/>
              <w:rPr>
                <w:rFonts w:asciiTheme="minorBidi" w:hAnsiTheme="minorBidi" w:cstheme="minorBidi"/>
                <w:b/>
                <w:bCs/>
                <w:i/>
                <w:iCs/>
                <w:color w:val="000000"/>
                <w:sz w:val="22"/>
                <w:szCs w:val="22"/>
              </w:rPr>
            </w:pPr>
          </w:p>
        </w:tc>
        <w:tc>
          <w:tcPr>
            <w:tcW w:w="1421" w:type="dxa"/>
            <w:vMerge/>
            <w:tcBorders>
              <w:top w:val="nil"/>
              <w:left w:val="single" w:sz="4" w:space="0" w:color="auto"/>
              <w:bottom w:val="single" w:sz="4" w:space="0" w:color="000000"/>
              <w:right w:val="single" w:sz="4" w:space="0" w:color="auto"/>
            </w:tcBorders>
            <w:vAlign w:val="center"/>
            <w:hideMark/>
          </w:tcPr>
          <w:p w14:paraId="150F3D6C"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417" w:type="dxa"/>
            <w:vMerge/>
            <w:tcBorders>
              <w:top w:val="nil"/>
              <w:left w:val="single" w:sz="4" w:space="0" w:color="auto"/>
              <w:bottom w:val="single" w:sz="4" w:space="0" w:color="000000"/>
              <w:right w:val="dashed" w:sz="4" w:space="0" w:color="auto"/>
            </w:tcBorders>
            <w:vAlign w:val="center"/>
            <w:hideMark/>
          </w:tcPr>
          <w:p w14:paraId="04B4239E"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237" w:type="dxa"/>
            <w:vMerge/>
            <w:tcBorders>
              <w:top w:val="nil"/>
              <w:left w:val="dashed" w:sz="4" w:space="0" w:color="auto"/>
              <w:bottom w:val="dashed" w:sz="4" w:space="0" w:color="auto"/>
              <w:right w:val="dashed" w:sz="4" w:space="0" w:color="auto"/>
            </w:tcBorders>
            <w:vAlign w:val="center"/>
            <w:hideMark/>
          </w:tcPr>
          <w:p w14:paraId="0DC70D8A"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307" w:type="dxa"/>
            <w:vMerge/>
            <w:tcBorders>
              <w:top w:val="nil"/>
              <w:left w:val="dashed" w:sz="4" w:space="0" w:color="auto"/>
              <w:bottom w:val="dashed" w:sz="4" w:space="0" w:color="auto"/>
              <w:right w:val="dashed" w:sz="4" w:space="0" w:color="auto"/>
            </w:tcBorders>
            <w:vAlign w:val="center"/>
            <w:hideMark/>
          </w:tcPr>
          <w:p w14:paraId="285F0FE5"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49" w:type="dxa"/>
            <w:gridSpan w:val="2"/>
            <w:tcBorders>
              <w:top w:val="nil"/>
              <w:left w:val="nil"/>
              <w:bottom w:val="nil"/>
              <w:right w:val="nil"/>
            </w:tcBorders>
            <w:noWrap/>
            <w:vAlign w:val="bottom"/>
            <w:hideMark/>
          </w:tcPr>
          <w:p w14:paraId="61F196D6" w14:textId="77777777" w:rsidR="00A82CDA" w:rsidRPr="002F3148" w:rsidRDefault="00A82CDA" w:rsidP="009155E9">
            <w:pPr>
              <w:spacing w:line="288" w:lineRule="auto"/>
              <w:jc w:val="center"/>
              <w:rPr>
                <w:rFonts w:ascii="Arial" w:hAnsi="Arial"/>
                <w:i/>
                <w:iCs/>
                <w:color w:val="000000"/>
                <w:sz w:val="22"/>
                <w:szCs w:val="22"/>
              </w:rPr>
            </w:pPr>
          </w:p>
        </w:tc>
      </w:tr>
      <w:tr w:rsidR="00A82CDA" w:rsidRPr="002F3148" w14:paraId="1CD890F2" w14:textId="77777777" w:rsidTr="006D3FCF">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53C5D3A7"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4107" w:type="dxa"/>
            <w:vMerge/>
            <w:tcBorders>
              <w:top w:val="nil"/>
              <w:left w:val="single" w:sz="8" w:space="0" w:color="auto"/>
              <w:bottom w:val="single" w:sz="8" w:space="0" w:color="000000"/>
              <w:right w:val="nil"/>
            </w:tcBorders>
            <w:vAlign w:val="center"/>
            <w:hideMark/>
          </w:tcPr>
          <w:p w14:paraId="67557E4A" w14:textId="77777777" w:rsidR="00A82CDA" w:rsidRPr="002F3148" w:rsidRDefault="00A82CDA" w:rsidP="009155E9">
            <w:pPr>
              <w:spacing w:line="288" w:lineRule="auto"/>
              <w:rPr>
                <w:rFonts w:asciiTheme="minorBidi" w:hAnsiTheme="minorBidi" w:cstheme="minorBidi"/>
                <w:b/>
                <w:bCs/>
                <w:i/>
                <w:iCs/>
                <w:color w:val="000000"/>
                <w:sz w:val="22"/>
                <w:szCs w:val="22"/>
              </w:rPr>
            </w:pP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55DAC7CE" w14:textId="77777777"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(48% من البند 3)</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45300B65" w14:textId="77777777"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(50% من البند 3)</w:t>
            </w:r>
          </w:p>
        </w:tc>
        <w:tc>
          <w:tcPr>
            <w:tcW w:w="1237" w:type="dxa"/>
            <w:vMerge/>
            <w:tcBorders>
              <w:top w:val="nil"/>
              <w:left w:val="dashed" w:sz="4" w:space="0" w:color="auto"/>
              <w:bottom w:val="dashed" w:sz="4" w:space="0" w:color="auto"/>
              <w:right w:val="dashed" w:sz="4" w:space="0" w:color="auto"/>
            </w:tcBorders>
            <w:vAlign w:val="center"/>
            <w:hideMark/>
          </w:tcPr>
          <w:p w14:paraId="5F31E833"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307" w:type="dxa"/>
            <w:vMerge/>
            <w:tcBorders>
              <w:top w:val="nil"/>
              <w:left w:val="dashed" w:sz="4" w:space="0" w:color="auto"/>
              <w:bottom w:val="dashed" w:sz="4" w:space="0" w:color="auto"/>
              <w:right w:val="dashed" w:sz="4" w:space="0" w:color="auto"/>
            </w:tcBorders>
            <w:vAlign w:val="center"/>
            <w:hideMark/>
          </w:tcPr>
          <w:p w14:paraId="18A5C372"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49" w:type="dxa"/>
            <w:gridSpan w:val="2"/>
            <w:vAlign w:val="center"/>
            <w:hideMark/>
          </w:tcPr>
          <w:p w14:paraId="2A47BADE" w14:textId="77777777" w:rsidR="00A82CDA" w:rsidRPr="002F3148" w:rsidRDefault="00A82CDA" w:rsidP="009155E9">
            <w:pPr>
              <w:spacing w:line="288" w:lineRule="auto"/>
              <w:rPr>
                <w:sz w:val="22"/>
                <w:szCs w:val="22"/>
              </w:rPr>
            </w:pPr>
          </w:p>
        </w:tc>
      </w:tr>
      <w:tr w:rsidR="00A82CDA" w:rsidRPr="002F3148" w14:paraId="4330BC0B" w14:textId="77777777" w:rsidTr="009155E9">
        <w:trPr>
          <w:gridAfter w:val="1"/>
          <w:wAfter w:w="16" w:type="dxa"/>
          <w:trHeight w:val="49"/>
        </w:trPr>
        <w:tc>
          <w:tcPr>
            <w:tcW w:w="416" w:type="dxa"/>
            <w:vMerge/>
            <w:tcBorders>
              <w:top w:val="nil"/>
              <w:left w:val="single" w:sz="8" w:space="0" w:color="auto"/>
              <w:bottom w:val="single" w:sz="8" w:space="0" w:color="000000"/>
              <w:right w:val="single" w:sz="8" w:space="0" w:color="auto"/>
            </w:tcBorders>
            <w:hideMark/>
          </w:tcPr>
          <w:p w14:paraId="3B3D5387"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4107" w:type="dxa"/>
            <w:vMerge/>
            <w:tcBorders>
              <w:top w:val="nil"/>
              <w:left w:val="single" w:sz="8" w:space="0" w:color="auto"/>
              <w:bottom w:val="single" w:sz="8" w:space="0" w:color="000000"/>
              <w:right w:val="nil"/>
            </w:tcBorders>
            <w:vAlign w:val="center"/>
            <w:hideMark/>
          </w:tcPr>
          <w:p w14:paraId="3ABA440D" w14:textId="77777777" w:rsidR="00A82CDA" w:rsidRPr="002F3148" w:rsidRDefault="00A82CDA" w:rsidP="009155E9">
            <w:pPr>
              <w:spacing w:line="288" w:lineRule="auto"/>
              <w:rPr>
                <w:rFonts w:asciiTheme="minorBidi" w:hAnsiTheme="minorBidi" w:cstheme="minorBidi"/>
                <w:b/>
                <w:bCs/>
                <w:i/>
                <w:iCs/>
                <w:color w:val="000000"/>
                <w:sz w:val="22"/>
                <w:szCs w:val="22"/>
              </w:rPr>
            </w:pPr>
          </w:p>
        </w:tc>
        <w:tc>
          <w:tcPr>
            <w:tcW w:w="1421" w:type="dxa"/>
            <w:vMerge/>
            <w:tcBorders>
              <w:top w:val="nil"/>
              <w:left w:val="single" w:sz="4" w:space="0" w:color="auto"/>
              <w:bottom w:val="single" w:sz="4" w:space="0" w:color="000000"/>
              <w:right w:val="single" w:sz="4" w:space="0" w:color="auto"/>
            </w:tcBorders>
            <w:vAlign w:val="center"/>
            <w:hideMark/>
          </w:tcPr>
          <w:p w14:paraId="16D170AE"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417" w:type="dxa"/>
            <w:vMerge/>
            <w:tcBorders>
              <w:top w:val="nil"/>
              <w:left w:val="single" w:sz="4" w:space="0" w:color="auto"/>
              <w:bottom w:val="single" w:sz="4" w:space="0" w:color="000000"/>
              <w:right w:val="dashed" w:sz="4" w:space="0" w:color="auto"/>
            </w:tcBorders>
            <w:vAlign w:val="center"/>
            <w:hideMark/>
          </w:tcPr>
          <w:p w14:paraId="7BDC8166"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237" w:type="dxa"/>
            <w:vMerge/>
            <w:tcBorders>
              <w:top w:val="nil"/>
              <w:left w:val="dashed" w:sz="4" w:space="0" w:color="auto"/>
              <w:bottom w:val="dashed" w:sz="4" w:space="0" w:color="auto"/>
              <w:right w:val="dashed" w:sz="4" w:space="0" w:color="auto"/>
            </w:tcBorders>
            <w:vAlign w:val="center"/>
            <w:hideMark/>
          </w:tcPr>
          <w:p w14:paraId="555D1D1D"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307" w:type="dxa"/>
            <w:vMerge/>
            <w:tcBorders>
              <w:top w:val="nil"/>
              <w:left w:val="dashed" w:sz="4" w:space="0" w:color="auto"/>
              <w:bottom w:val="dashed" w:sz="4" w:space="0" w:color="auto"/>
              <w:right w:val="dashed" w:sz="4" w:space="0" w:color="auto"/>
            </w:tcBorders>
            <w:vAlign w:val="center"/>
            <w:hideMark/>
          </w:tcPr>
          <w:p w14:paraId="7032D380" w14:textId="77777777" w:rsidR="00A82CDA" w:rsidRPr="002F3148" w:rsidRDefault="00A82CDA" w:rsidP="009155E9">
            <w:pPr>
              <w:spacing w:line="288" w:lineRule="auto"/>
              <w:rPr>
                <w:rFonts w:asciiTheme="minorBidi" w:hAnsiTheme="minorBidi" w:cstheme="minorBidi"/>
                <w:i/>
                <w:iCs/>
                <w:color w:val="000000"/>
                <w:sz w:val="22"/>
                <w:szCs w:val="22"/>
              </w:rPr>
            </w:pPr>
          </w:p>
        </w:tc>
        <w:tc>
          <w:tcPr>
            <w:tcW w:w="149" w:type="dxa"/>
            <w:gridSpan w:val="2"/>
            <w:tcBorders>
              <w:top w:val="nil"/>
              <w:left w:val="nil"/>
              <w:bottom w:val="nil"/>
              <w:right w:val="nil"/>
            </w:tcBorders>
            <w:noWrap/>
            <w:vAlign w:val="bottom"/>
            <w:hideMark/>
          </w:tcPr>
          <w:p w14:paraId="68E8B9E7" w14:textId="77777777" w:rsidR="00A82CDA" w:rsidRPr="002F3148" w:rsidRDefault="00A82CDA" w:rsidP="009155E9">
            <w:pPr>
              <w:spacing w:line="288" w:lineRule="auto"/>
              <w:jc w:val="center"/>
              <w:rPr>
                <w:rFonts w:ascii="Arial" w:hAnsi="Arial"/>
                <w:i/>
                <w:iCs/>
                <w:color w:val="000000"/>
                <w:sz w:val="22"/>
                <w:szCs w:val="22"/>
              </w:rPr>
            </w:pPr>
          </w:p>
        </w:tc>
      </w:tr>
      <w:tr w:rsidR="00A82CDA" w:rsidRPr="002F3148" w14:paraId="3C56B17D" w14:textId="77777777" w:rsidTr="006D3FCF">
        <w:trPr>
          <w:gridAfter w:val="1"/>
          <w:wAfter w:w="16" w:type="dxa"/>
          <w:trHeight w:val="969"/>
        </w:trPr>
        <w:tc>
          <w:tcPr>
            <w:tcW w:w="416" w:type="dxa"/>
            <w:tcBorders>
              <w:top w:val="nil"/>
              <w:left w:val="single" w:sz="8" w:space="0" w:color="auto"/>
              <w:bottom w:val="single" w:sz="8" w:space="0" w:color="auto"/>
              <w:right w:val="single" w:sz="8" w:space="0" w:color="auto"/>
            </w:tcBorders>
            <w:noWrap/>
            <w:hideMark/>
          </w:tcPr>
          <w:p w14:paraId="3FAAC5C4" w14:textId="77777777" w:rsidR="00A82CDA" w:rsidRPr="002F3148" w:rsidRDefault="00A82CDA" w:rsidP="009155E9">
            <w:pPr>
              <w:bidi/>
              <w:spacing w:line="288" w:lineRule="auto"/>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4.</w:t>
            </w:r>
          </w:p>
        </w:tc>
        <w:tc>
          <w:tcPr>
            <w:tcW w:w="4107" w:type="dxa"/>
            <w:tcBorders>
              <w:top w:val="nil"/>
              <w:left w:val="nil"/>
              <w:bottom w:val="single" w:sz="8" w:space="0" w:color="auto"/>
              <w:right w:val="nil"/>
            </w:tcBorders>
            <w:vAlign w:val="center"/>
            <w:hideMark/>
          </w:tcPr>
          <w:p w14:paraId="1571CCE4" w14:textId="77777777" w:rsidR="00A82CDA" w:rsidRPr="002F3148" w:rsidRDefault="00A82CDA" w:rsidP="009155E9">
            <w:pPr>
              <w:bidi/>
              <w:spacing w:line="288" w:lineRule="auto"/>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تمكين الخبراء في التراث الثقافي غير المادي الذين يمثلون البلدان النامية التي هي دول أعضاء في اللجنة من المشاركة في دورات اللجنة وفي اجتماعات مكتبها وهيئاتها الفرعية؛</w:t>
            </w:r>
          </w:p>
        </w:tc>
        <w:tc>
          <w:tcPr>
            <w:tcW w:w="1421" w:type="dxa"/>
            <w:tcBorders>
              <w:top w:val="nil"/>
              <w:left w:val="single" w:sz="4" w:space="0" w:color="auto"/>
              <w:bottom w:val="single" w:sz="4" w:space="0" w:color="auto"/>
              <w:right w:val="single" w:sz="4" w:space="0" w:color="auto"/>
            </w:tcBorders>
            <w:vAlign w:val="center"/>
            <w:hideMark/>
          </w:tcPr>
          <w:p w14:paraId="49CE14C1" w14:textId="77777777"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2.5%</w:t>
            </w:r>
          </w:p>
        </w:tc>
        <w:tc>
          <w:tcPr>
            <w:tcW w:w="1417" w:type="dxa"/>
            <w:tcBorders>
              <w:top w:val="nil"/>
              <w:left w:val="nil"/>
              <w:bottom w:val="single" w:sz="4" w:space="0" w:color="auto"/>
              <w:right w:val="dashed" w:sz="4" w:space="0" w:color="auto"/>
            </w:tcBorders>
            <w:vAlign w:val="center"/>
            <w:hideMark/>
          </w:tcPr>
          <w:p w14:paraId="01FF065C" w14:textId="77777777"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2.5%</w:t>
            </w:r>
          </w:p>
        </w:tc>
        <w:tc>
          <w:tcPr>
            <w:tcW w:w="1237" w:type="dxa"/>
            <w:tcBorders>
              <w:top w:val="nil"/>
              <w:left w:val="nil"/>
              <w:bottom w:val="dashed" w:sz="4" w:space="0" w:color="auto"/>
              <w:right w:val="dashed" w:sz="4" w:space="0" w:color="auto"/>
            </w:tcBorders>
            <w:vAlign w:val="center"/>
            <w:hideMark/>
          </w:tcPr>
          <w:p w14:paraId="2FA3AD85" w14:textId="0A3D07DE"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196.915 دولار</w:t>
            </w:r>
          </w:p>
        </w:tc>
        <w:tc>
          <w:tcPr>
            <w:tcW w:w="1307" w:type="dxa"/>
            <w:tcBorders>
              <w:top w:val="nil"/>
              <w:left w:val="nil"/>
              <w:bottom w:val="dashed" w:sz="4" w:space="0" w:color="auto"/>
              <w:right w:val="dashed" w:sz="4" w:space="0" w:color="auto"/>
            </w:tcBorders>
            <w:vAlign w:val="center"/>
            <w:hideMark/>
          </w:tcPr>
          <w:p w14:paraId="3544A6B4" w14:textId="62637F3A"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49.229 دولار</w:t>
            </w:r>
          </w:p>
        </w:tc>
        <w:tc>
          <w:tcPr>
            <w:tcW w:w="149" w:type="dxa"/>
            <w:gridSpan w:val="2"/>
            <w:vAlign w:val="center"/>
            <w:hideMark/>
          </w:tcPr>
          <w:p w14:paraId="25BC1AA3" w14:textId="77777777" w:rsidR="00A82CDA" w:rsidRPr="002F3148" w:rsidRDefault="00A82CDA" w:rsidP="009155E9">
            <w:pPr>
              <w:spacing w:line="288" w:lineRule="auto"/>
              <w:rPr>
                <w:sz w:val="22"/>
                <w:szCs w:val="22"/>
              </w:rPr>
            </w:pPr>
          </w:p>
        </w:tc>
      </w:tr>
      <w:tr w:rsidR="00A82CDA" w:rsidRPr="002F3148" w14:paraId="77F04CA5" w14:textId="77777777" w:rsidTr="009155E9">
        <w:trPr>
          <w:gridAfter w:val="1"/>
          <w:wAfter w:w="16" w:type="dxa"/>
          <w:trHeight w:val="862"/>
        </w:trPr>
        <w:tc>
          <w:tcPr>
            <w:tcW w:w="416" w:type="dxa"/>
            <w:tcBorders>
              <w:top w:val="nil"/>
              <w:left w:val="single" w:sz="8" w:space="0" w:color="auto"/>
              <w:bottom w:val="single" w:sz="8" w:space="0" w:color="auto"/>
              <w:right w:val="single" w:sz="8" w:space="0" w:color="auto"/>
            </w:tcBorders>
            <w:noWrap/>
            <w:hideMark/>
          </w:tcPr>
          <w:p w14:paraId="64E3CCD1" w14:textId="77777777" w:rsidR="00A82CDA" w:rsidRPr="002F3148" w:rsidRDefault="00A82CDA" w:rsidP="009155E9">
            <w:pPr>
              <w:bidi/>
              <w:spacing w:line="288" w:lineRule="auto"/>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5.</w:t>
            </w:r>
          </w:p>
        </w:tc>
        <w:tc>
          <w:tcPr>
            <w:tcW w:w="4107" w:type="dxa"/>
            <w:tcBorders>
              <w:top w:val="nil"/>
              <w:left w:val="nil"/>
              <w:bottom w:val="single" w:sz="8" w:space="0" w:color="auto"/>
              <w:right w:val="nil"/>
            </w:tcBorders>
            <w:vAlign w:val="center"/>
            <w:hideMark/>
          </w:tcPr>
          <w:p w14:paraId="123567EA" w14:textId="77777777" w:rsidR="00A82CDA" w:rsidRPr="002F3148" w:rsidRDefault="00A82CDA" w:rsidP="009155E9">
            <w:pPr>
              <w:bidi/>
              <w:spacing w:line="288" w:lineRule="auto"/>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تمكين الخبراء في التراث الثقافي غير المادي الذين يمثلون البلدان النامية التي هي دول أطراف في الاتفاقية، ولكنها ليست دولاً أعضاء في اللجنة من المشاركة في دورات اللجنة</w:t>
            </w:r>
          </w:p>
        </w:tc>
        <w:tc>
          <w:tcPr>
            <w:tcW w:w="1421" w:type="dxa"/>
            <w:tcBorders>
              <w:top w:val="nil"/>
              <w:left w:val="single" w:sz="4" w:space="0" w:color="auto"/>
              <w:bottom w:val="single" w:sz="4" w:space="0" w:color="auto"/>
              <w:right w:val="single" w:sz="4" w:space="0" w:color="auto"/>
            </w:tcBorders>
            <w:vAlign w:val="center"/>
            <w:hideMark/>
          </w:tcPr>
          <w:p w14:paraId="25E02465" w14:textId="16D0B252"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2.7%</w:t>
            </w:r>
          </w:p>
        </w:tc>
        <w:tc>
          <w:tcPr>
            <w:tcW w:w="1417" w:type="dxa"/>
            <w:tcBorders>
              <w:top w:val="nil"/>
              <w:left w:val="nil"/>
              <w:bottom w:val="single" w:sz="4" w:space="0" w:color="auto"/>
              <w:right w:val="dashed" w:sz="4" w:space="0" w:color="auto"/>
            </w:tcBorders>
            <w:vAlign w:val="center"/>
            <w:hideMark/>
          </w:tcPr>
          <w:p w14:paraId="22E10CDC" w14:textId="5F55BD5E"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2.7%</w:t>
            </w:r>
          </w:p>
        </w:tc>
        <w:tc>
          <w:tcPr>
            <w:tcW w:w="1237" w:type="dxa"/>
            <w:tcBorders>
              <w:top w:val="nil"/>
              <w:left w:val="nil"/>
              <w:bottom w:val="dashed" w:sz="4" w:space="0" w:color="auto"/>
              <w:right w:val="dashed" w:sz="4" w:space="0" w:color="auto"/>
            </w:tcBorders>
            <w:vAlign w:val="center"/>
            <w:hideMark/>
          </w:tcPr>
          <w:p w14:paraId="2EB7296B" w14:textId="1E14BB06"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212.668 دولار</w:t>
            </w:r>
          </w:p>
        </w:tc>
        <w:tc>
          <w:tcPr>
            <w:tcW w:w="1307" w:type="dxa"/>
            <w:tcBorders>
              <w:top w:val="nil"/>
              <w:left w:val="nil"/>
              <w:bottom w:val="dashed" w:sz="4" w:space="0" w:color="auto"/>
              <w:right w:val="dashed" w:sz="4" w:space="0" w:color="auto"/>
            </w:tcBorders>
            <w:vAlign w:val="center"/>
            <w:hideMark/>
          </w:tcPr>
          <w:p w14:paraId="43BCAB03" w14:textId="1C579EB0"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53.167 دولار</w:t>
            </w:r>
          </w:p>
        </w:tc>
        <w:tc>
          <w:tcPr>
            <w:tcW w:w="149" w:type="dxa"/>
            <w:gridSpan w:val="2"/>
            <w:vAlign w:val="center"/>
            <w:hideMark/>
          </w:tcPr>
          <w:p w14:paraId="37F97452" w14:textId="77777777" w:rsidR="00A82CDA" w:rsidRPr="002F3148" w:rsidRDefault="00A82CDA" w:rsidP="009155E9">
            <w:pPr>
              <w:spacing w:line="288" w:lineRule="auto"/>
              <w:rPr>
                <w:sz w:val="22"/>
                <w:szCs w:val="22"/>
              </w:rPr>
            </w:pPr>
          </w:p>
        </w:tc>
      </w:tr>
      <w:tr w:rsidR="00A82CDA" w:rsidRPr="002F3148" w14:paraId="59F58D49" w14:textId="77777777" w:rsidTr="009155E9">
        <w:trPr>
          <w:gridAfter w:val="1"/>
          <w:wAfter w:w="16" w:type="dxa"/>
          <w:trHeight w:val="1541"/>
        </w:trPr>
        <w:tc>
          <w:tcPr>
            <w:tcW w:w="416" w:type="dxa"/>
            <w:tcBorders>
              <w:top w:val="nil"/>
              <w:left w:val="single" w:sz="8" w:space="0" w:color="auto"/>
              <w:bottom w:val="single" w:sz="8" w:space="0" w:color="auto"/>
              <w:right w:val="single" w:sz="8" w:space="0" w:color="auto"/>
            </w:tcBorders>
            <w:noWrap/>
            <w:hideMark/>
          </w:tcPr>
          <w:p w14:paraId="58B9547E" w14:textId="77777777" w:rsidR="00A82CDA" w:rsidRPr="002F3148" w:rsidRDefault="00A82CDA" w:rsidP="009155E9">
            <w:pPr>
              <w:bidi/>
              <w:spacing w:line="288" w:lineRule="auto"/>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lastRenderedPageBreak/>
              <w:t>6.</w:t>
            </w:r>
          </w:p>
        </w:tc>
        <w:tc>
          <w:tcPr>
            <w:tcW w:w="4107" w:type="dxa"/>
            <w:tcBorders>
              <w:top w:val="nil"/>
              <w:left w:val="nil"/>
              <w:bottom w:val="single" w:sz="8" w:space="0" w:color="auto"/>
              <w:right w:val="nil"/>
            </w:tcBorders>
            <w:vAlign w:val="center"/>
            <w:hideMark/>
          </w:tcPr>
          <w:p w14:paraId="58EB5E08" w14:textId="77777777" w:rsidR="00A82CDA" w:rsidRPr="002F3148" w:rsidRDefault="00A82CDA" w:rsidP="009155E9">
            <w:pPr>
              <w:bidi/>
              <w:spacing w:line="288" w:lineRule="auto"/>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تمكين الهيئات العامة أو الخاصة والأفراد، وبخاصة الأشخاص التابعين للجماعات والمجموعات، الذين دعتهم اللجنة إلى استشارتها بشأن مسائل محددة، وكذلك الخبراء في التراث الثقافي غير المادي الذين يمثلون المنظمات غير الحكومية المعتمدة في البلدان النامية، من المشاركة في دورات اللجنة وفي اجتماعات مكتبها وهيئاتها الفرعية والاستشارية؛</w:t>
            </w:r>
          </w:p>
        </w:tc>
        <w:tc>
          <w:tcPr>
            <w:tcW w:w="1421" w:type="dxa"/>
            <w:tcBorders>
              <w:top w:val="nil"/>
              <w:left w:val="single" w:sz="4" w:space="0" w:color="auto"/>
              <w:bottom w:val="single" w:sz="4" w:space="0" w:color="auto"/>
              <w:right w:val="single" w:sz="4" w:space="0" w:color="auto"/>
            </w:tcBorders>
            <w:vAlign w:val="center"/>
            <w:hideMark/>
          </w:tcPr>
          <w:p w14:paraId="58834733" w14:textId="774EA739"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2.7%</w:t>
            </w:r>
          </w:p>
        </w:tc>
        <w:tc>
          <w:tcPr>
            <w:tcW w:w="1417" w:type="dxa"/>
            <w:tcBorders>
              <w:top w:val="nil"/>
              <w:left w:val="nil"/>
              <w:bottom w:val="single" w:sz="4" w:space="0" w:color="auto"/>
              <w:right w:val="dashed" w:sz="4" w:space="0" w:color="auto"/>
            </w:tcBorders>
            <w:vAlign w:val="center"/>
            <w:hideMark/>
          </w:tcPr>
          <w:p w14:paraId="3F4F57C1" w14:textId="1F721B03"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2.7%</w:t>
            </w:r>
          </w:p>
        </w:tc>
        <w:tc>
          <w:tcPr>
            <w:tcW w:w="1237" w:type="dxa"/>
            <w:tcBorders>
              <w:top w:val="nil"/>
              <w:left w:val="nil"/>
              <w:bottom w:val="dashed" w:sz="4" w:space="0" w:color="auto"/>
              <w:right w:val="dashed" w:sz="4" w:space="0" w:color="auto"/>
            </w:tcBorders>
            <w:vAlign w:val="center"/>
            <w:hideMark/>
          </w:tcPr>
          <w:p w14:paraId="61E653FD" w14:textId="686F80AE"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212.668 دولار</w:t>
            </w:r>
          </w:p>
        </w:tc>
        <w:tc>
          <w:tcPr>
            <w:tcW w:w="1307" w:type="dxa"/>
            <w:tcBorders>
              <w:top w:val="nil"/>
              <w:left w:val="nil"/>
              <w:bottom w:val="dashed" w:sz="4" w:space="0" w:color="auto"/>
              <w:right w:val="dashed" w:sz="4" w:space="0" w:color="auto"/>
            </w:tcBorders>
            <w:vAlign w:val="center"/>
            <w:hideMark/>
          </w:tcPr>
          <w:p w14:paraId="5C30F8AF" w14:textId="18A87CA3"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53.167 دولار</w:t>
            </w:r>
          </w:p>
        </w:tc>
        <w:tc>
          <w:tcPr>
            <w:tcW w:w="149" w:type="dxa"/>
            <w:gridSpan w:val="2"/>
            <w:vAlign w:val="center"/>
            <w:hideMark/>
          </w:tcPr>
          <w:p w14:paraId="5DC1415E" w14:textId="77777777" w:rsidR="00A82CDA" w:rsidRPr="002F3148" w:rsidRDefault="00A82CDA" w:rsidP="009155E9">
            <w:pPr>
              <w:spacing w:line="288" w:lineRule="auto"/>
              <w:rPr>
                <w:sz w:val="22"/>
                <w:szCs w:val="22"/>
              </w:rPr>
            </w:pPr>
          </w:p>
        </w:tc>
      </w:tr>
      <w:tr w:rsidR="00A82CDA" w:rsidRPr="002F3148" w14:paraId="38D67EBB" w14:textId="77777777" w:rsidTr="006D3FCF">
        <w:trPr>
          <w:gridAfter w:val="1"/>
          <w:wAfter w:w="16" w:type="dxa"/>
          <w:trHeight w:val="492"/>
        </w:trPr>
        <w:tc>
          <w:tcPr>
            <w:tcW w:w="416" w:type="dxa"/>
            <w:tcBorders>
              <w:top w:val="nil"/>
              <w:left w:val="single" w:sz="8" w:space="0" w:color="auto"/>
              <w:bottom w:val="single" w:sz="8" w:space="0" w:color="auto"/>
              <w:right w:val="single" w:sz="8" w:space="0" w:color="auto"/>
            </w:tcBorders>
            <w:noWrap/>
            <w:hideMark/>
          </w:tcPr>
          <w:p w14:paraId="3C3A1711" w14:textId="77777777" w:rsidR="00A82CDA" w:rsidRPr="002F3148" w:rsidRDefault="00A82CDA" w:rsidP="009155E9">
            <w:pPr>
              <w:bidi/>
              <w:spacing w:line="288" w:lineRule="auto"/>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7.</w:t>
            </w:r>
          </w:p>
        </w:tc>
        <w:tc>
          <w:tcPr>
            <w:tcW w:w="4107" w:type="dxa"/>
            <w:tcBorders>
              <w:top w:val="nil"/>
              <w:left w:val="nil"/>
              <w:bottom w:val="single" w:sz="8" w:space="0" w:color="auto"/>
              <w:right w:val="nil"/>
            </w:tcBorders>
            <w:vAlign w:val="center"/>
            <w:hideMark/>
          </w:tcPr>
          <w:p w14:paraId="1B93B015" w14:textId="77777777" w:rsidR="00A82CDA" w:rsidRPr="002F3148" w:rsidRDefault="00A82CDA" w:rsidP="009155E9">
            <w:pPr>
              <w:bidi/>
              <w:spacing w:line="288" w:lineRule="auto"/>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تكاليف الخدمات الاستشارية التي تقدم بناء على طلب اللجنة</w:t>
            </w:r>
          </w:p>
        </w:tc>
        <w:tc>
          <w:tcPr>
            <w:tcW w:w="1421" w:type="dxa"/>
            <w:tcBorders>
              <w:top w:val="nil"/>
              <w:left w:val="single" w:sz="4" w:space="0" w:color="auto"/>
              <w:bottom w:val="single" w:sz="4" w:space="0" w:color="auto"/>
              <w:right w:val="single" w:sz="4" w:space="0" w:color="auto"/>
            </w:tcBorders>
            <w:vAlign w:val="center"/>
            <w:hideMark/>
          </w:tcPr>
          <w:p w14:paraId="0BD6E55B" w14:textId="77777777"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7.0%</w:t>
            </w:r>
          </w:p>
        </w:tc>
        <w:tc>
          <w:tcPr>
            <w:tcW w:w="1417" w:type="dxa"/>
            <w:tcBorders>
              <w:top w:val="nil"/>
              <w:left w:val="nil"/>
              <w:bottom w:val="single" w:sz="4" w:space="0" w:color="auto"/>
              <w:right w:val="dashed" w:sz="4" w:space="0" w:color="auto"/>
            </w:tcBorders>
            <w:vAlign w:val="center"/>
            <w:hideMark/>
          </w:tcPr>
          <w:p w14:paraId="4E2991B9" w14:textId="77777777" w:rsidR="00A82CDA" w:rsidRPr="002F3148" w:rsidRDefault="00A82CDA" w:rsidP="009155E9">
            <w:pPr>
              <w:bidi/>
              <w:spacing w:line="288" w:lineRule="auto"/>
              <w:jc w:val="center"/>
              <w:rPr>
                <w:rFonts w:asciiTheme="minorBidi" w:hAnsiTheme="minorBidi" w:cstheme="minorBidi"/>
                <w:color w:val="000000"/>
                <w:sz w:val="22"/>
                <w:szCs w:val="22"/>
                <w:rtl/>
              </w:rPr>
            </w:pPr>
            <w:r w:rsidRPr="002F3148">
              <w:rPr>
                <w:rFonts w:asciiTheme="minorBidi" w:hAnsiTheme="minorBidi" w:cstheme="minorBidi" w:hint="cs"/>
                <w:color w:val="000000"/>
                <w:sz w:val="22"/>
                <w:szCs w:val="22"/>
                <w:rtl/>
              </w:rPr>
              <w:t>7.0%</w:t>
            </w:r>
          </w:p>
        </w:tc>
        <w:tc>
          <w:tcPr>
            <w:tcW w:w="1237" w:type="dxa"/>
            <w:tcBorders>
              <w:top w:val="nil"/>
              <w:left w:val="nil"/>
              <w:bottom w:val="dashed" w:sz="4" w:space="0" w:color="auto"/>
              <w:right w:val="dashed" w:sz="4" w:space="0" w:color="auto"/>
            </w:tcBorders>
            <w:vAlign w:val="center"/>
            <w:hideMark/>
          </w:tcPr>
          <w:p w14:paraId="2BC852DB" w14:textId="12C2427F"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551.361 دولار</w:t>
            </w:r>
          </w:p>
        </w:tc>
        <w:tc>
          <w:tcPr>
            <w:tcW w:w="1307" w:type="dxa"/>
            <w:tcBorders>
              <w:top w:val="nil"/>
              <w:left w:val="nil"/>
              <w:bottom w:val="dashed" w:sz="4" w:space="0" w:color="auto"/>
              <w:right w:val="dashed" w:sz="4" w:space="0" w:color="auto"/>
            </w:tcBorders>
            <w:vAlign w:val="center"/>
            <w:hideMark/>
          </w:tcPr>
          <w:p w14:paraId="3F1F5D92" w14:textId="417DCE57" w:rsidR="00A82CDA" w:rsidRPr="002F3148" w:rsidRDefault="00A82CDA" w:rsidP="009155E9">
            <w:pPr>
              <w:bidi/>
              <w:spacing w:line="288" w:lineRule="auto"/>
              <w:jc w:val="center"/>
              <w:rPr>
                <w:rFonts w:asciiTheme="minorBidi" w:hAnsiTheme="minorBidi" w:cstheme="minorBidi"/>
                <w:i/>
                <w:iCs/>
                <w:color w:val="000000"/>
                <w:sz w:val="22"/>
                <w:szCs w:val="22"/>
                <w:rtl/>
              </w:rPr>
            </w:pPr>
            <w:r w:rsidRPr="002F3148">
              <w:rPr>
                <w:rFonts w:asciiTheme="minorBidi" w:hAnsiTheme="minorBidi" w:cstheme="minorBidi" w:hint="cs"/>
                <w:i/>
                <w:iCs/>
                <w:color w:val="000000"/>
                <w:sz w:val="22"/>
                <w:szCs w:val="22"/>
                <w:rtl/>
              </w:rPr>
              <w:t>137.840 دولار</w:t>
            </w:r>
          </w:p>
        </w:tc>
        <w:tc>
          <w:tcPr>
            <w:tcW w:w="149" w:type="dxa"/>
            <w:gridSpan w:val="2"/>
            <w:vAlign w:val="center"/>
            <w:hideMark/>
          </w:tcPr>
          <w:p w14:paraId="315584DA" w14:textId="77777777" w:rsidR="00A82CDA" w:rsidRPr="002F3148" w:rsidRDefault="00A82CDA" w:rsidP="009155E9">
            <w:pPr>
              <w:spacing w:line="288" w:lineRule="auto"/>
              <w:rPr>
                <w:sz w:val="22"/>
                <w:szCs w:val="22"/>
              </w:rPr>
            </w:pPr>
          </w:p>
        </w:tc>
      </w:tr>
      <w:tr w:rsidR="00A82CDA" w:rsidRPr="002F3148" w14:paraId="09C1B3B9" w14:textId="77777777" w:rsidTr="006D3FCF">
        <w:trPr>
          <w:gridAfter w:val="1"/>
          <w:wAfter w:w="16" w:type="dxa"/>
          <w:trHeight w:val="298"/>
        </w:trPr>
        <w:tc>
          <w:tcPr>
            <w:tcW w:w="416" w:type="dxa"/>
            <w:tcBorders>
              <w:top w:val="nil"/>
              <w:left w:val="single" w:sz="8" w:space="0" w:color="auto"/>
              <w:bottom w:val="single" w:sz="4" w:space="0" w:color="auto"/>
              <w:right w:val="single" w:sz="8" w:space="0" w:color="auto"/>
            </w:tcBorders>
            <w:noWrap/>
            <w:vAlign w:val="center"/>
            <w:hideMark/>
          </w:tcPr>
          <w:p w14:paraId="17C8961E" w14:textId="77777777" w:rsidR="00A82CDA" w:rsidRPr="002F3148" w:rsidRDefault="00A82CDA" w:rsidP="009155E9">
            <w:pPr>
              <w:bidi/>
              <w:spacing w:line="288" w:lineRule="auto"/>
              <w:rPr>
                <w:rFonts w:asciiTheme="minorBidi" w:hAnsiTheme="minorBidi" w:cstheme="minorBidi"/>
                <w:b/>
                <w:bCs/>
                <w:color w:val="000000"/>
                <w:sz w:val="22"/>
                <w:szCs w:val="22"/>
                <w:rtl/>
              </w:rPr>
            </w:pPr>
            <w:r w:rsidRPr="002F3148">
              <w:rPr>
                <w:rFonts w:asciiTheme="minorBidi" w:hAnsiTheme="minorBidi" w:cstheme="minorBidi" w:hint="cs"/>
                <w:b/>
                <w:bCs/>
                <w:color w:val="000000"/>
                <w:sz w:val="22"/>
                <w:szCs w:val="22"/>
                <w:rtl/>
              </w:rPr>
              <w:t> </w:t>
            </w:r>
          </w:p>
        </w:tc>
        <w:tc>
          <w:tcPr>
            <w:tcW w:w="4107" w:type="dxa"/>
            <w:tcBorders>
              <w:top w:val="nil"/>
              <w:left w:val="nil"/>
              <w:bottom w:val="single" w:sz="4" w:space="0" w:color="auto"/>
              <w:right w:val="nil"/>
            </w:tcBorders>
            <w:vAlign w:val="center"/>
            <w:hideMark/>
          </w:tcPr>
          <w:p w14:paraId="0533A9A2" w14:textId="77777777" w:rsidR="00A82CDA" w:rsidRPr="002F3148" w:rsidRDefault="00A82CDA" w:rsidP="009155E9">
            <w:pPr>
              <w:bidi/>
              <w:spacing w:line="288" w:lineRule="auto"/>
              <w:jc w:val="both"/>
              <w:rPr>
                <w:rFonts w:asciiTheme="minorBidi" w:hAnsiTheme="minorBidi" w:cstheme="minorBidi"/>
                <w:b/>
                <w:bCs/>
                <w:color w:val="000000"/>
                <w:sz w:val="22"/>
                <w:szCs w:val="22"/>
                <w:rtl/>
              </w:rPr>
            </w:pPr>
            <w:r w:rsidRPr="002F3148">
              <w:rPr>
                <w:rFonts w:asciiTheme="minorBidi" w:hAnsiTheme="minorBidi" w:cstheme="minorBidi" w:hint="cs"/>
                <w:b/>
                <w:bCs/>
                <w:color w:val="000000"/>
                <w:sz w:val="22"/>
                <w:szCs w:val="22"/>
                <w:rtl/>
              </w:rPr>
              <w:t>المجموع</w:t>
            </w:r>
          </w:p>
        </w:tc>
        <w:tc>
          <w:tcPr>
            <w:tcW w:w="1421" w:type="dxa"/>
            <w:tcBorders>
              <w:top w:val="nil"/>
              <w:left w:val="single" w:sz="4" w:space="0" w:color="auto"/>
              <w:bottom w:val="single" w:sz="4" w:space="0" w:color="auto"/>
              <w:right w:val="single" w:sz="4" w:space="0" w:color="auto"/>
            </w:tcBorders>
            <w:vAlign w:val="center"/>
            <w:hideMark/>
          </w:tcPr>
          <w:p w14:paraId="29FF7030" w14:textId="77777777" w:rsidR="00A82CDA" w:rsidRPr="002F3148" w:rsidRDefault="00A82CDA" w:rsidP="009155E9">
            <w:pPr>
              <w:bidi/>
              <w:spacing w:line="288" w:lineRule="auto"/>
              <w:jc w:val="center"/>
              <w:rPr>
                <w:rFonts w:asciiTheme="minorBidi" w:hAnsiTheme="minorBidi" w:cstheme="minorBidi"/>
                <w:b/>
                <w:bCs/>
                <w:color w:val="000000"/>
                <w:sz w:val="22"/>
                <w:szCs w:val="22"/>
                <w:rtl/>
              </w:rPr>
            </w:pPr>
            <w:r w:rsidRPr="002F3148">
              <w:rPr>
                <w:rFonts w:asciiTheme="minorBidi" w:hAnsiTheme="minorBidi" w:cstheme="minorBidi" w:hint="cs"/>
                <w:b/>
                <w:bCs/>
                <w:color w:val="000000"/>
                <w:sz w:val="22"/>
                <w:szCs w:val="22"/>
                <w:rtl/>
              </w:rPr>
              <w:t>100.00%</w:t>
            </w:r>
          </w:p>
        </w:tc>
        <w:tc>
          <w:tcPr>
            <w:tcW w:w="1417" w:type="dxa"/>
            <w:tcBorders>
              <w:top w:val="nil"/>
              <w:left w:val="nil"/>
              <w:bottom w:val="single" w:sz="4" w:space="0" w:color="auto"/>
              <w:right w:val="dashed" w:sz="4" w:space="0" w:color="auto"/>
            </w:tcBorders>
            <w:vAlign w:val="center"/>
            <w:hideMark/>
          </w:tcPr>
          <w:p w14:paraId="477FAE17" w14:textId="77777777" w:rsidR="00A82CDA" w:rsidRPr="002F3148" w:rsidRDefault="00A82CDA" w:rsidP="009155E9">
            <w:pPr>
              <w:bidi/>
              <w:spacing w:line="288" w:lineRule="auto"/>
              <w:jc w:val="center"/>
              <w:rPr>
                <w:rFonts w:asciiTheme="minorBidi" w:hAnsiTheme="minorBidi" w:cstheme="minorBidi"/>
                <w:b/>
                <w:bCs/>
                <w:color w:val="000000"/>
                <w:sz w:val="22"/>
                <w:szCs w:val="22"/>
                <w:rtl/>
              </w:rPr>
            </w:pPr>
            <w:r w:rsidRPr="002F3148">
              <w:rPr>
                <w:rFonts w:asciiTheme="minorBidi" w:hAnsiTheme="minorBidi" w:cstheme="minorBidi" w:hint="cs"/>
                <w:b/>
                <w:bCs/>
                <w:color w:val="000000"/>
                <w:sz w:val="22"/>
                <w:szCs w:val="22"/>
                <w:rtl/>
              </w:rPr>
              <w:t>100.00%</w:t>
            </w:r>
          </w:p>
        </w:tc>
        <w:tc>
          <w:tcPr>
            <w:tcW w:w="1237" w:type="dxa"/>
            <w:tcBorders>
              <w:top w:val="nil"/>
              <w:left w:val="nil"/>
              <w:bottom w:val="dashed" w:sz="4" w:space="0" w:color="auto"/>
              <w:right w:val="dashed" w:sz="4" w:space="0" w:color="auto"/>
            </w:tcBorders>
            <w:vAlign w:val="center"/>
            <w:hideMark/>
          </w:tcPr>
          <w:p w14:paraId="08467B3B" w14:textId="48848E10" w:rsidR="00A82CDA" w:rsidRPr="002F3148" w:rsidRDefault="00A82CDA" w:rsidP="009155E9">
            <w:pPr>
              <w:bidi/>
              <w:spacing w:line="288" w:lineRule="auto"/>
              <w:jc w:val="center"/>
              <w:rPr>
                <w:rFonts w:asciiTheme="minorBidi" w:hAnsiTheme="minorBidi" w:cstheme="minorBidi"/>
                <w:b/>
                <w:bCs/>
                <w:i/>
                <w:iCs/>
                <w:color w:val="000000"/>
                <w:sz w:val="22"/>
                <w:szCs w:val="22"/>
                <w:rtl/>
              </w:rPr>
            </w:pPr>
            <w:r w:rsidRPr="002F3148">
              <w:rPr>
                <w:rFonts w:asciiTheme="minorBidi" w:hAnsiTheme="minorBidi" w:cstheme="minorBidi" w:hint="cs"/>
                <w:b/>
                <w:bCs/>
                <w:i/>
                <w:iCs/>
                <w:color w:val="000000"/>
                <w:sz w:val="22"/>
                <w:szCs w:val="22"/>
                <w:rtl/>
              </w:rPr>
              <w:t>7,876.590 دولار</w:t>
            </w:r>
          </w:p>
        </w:tc>
        <w:tc>
          <w:tcPr>
            <w:tcW w:w="1307" w:type="dxa"/>
            <w:tcBorders>
              <w:top w:val="nil"/>
              <w:left w:val="nil"/>
              <w:bottom w:val="dashed" w:sz="4" w:space="0" w:color="auto"/>
              <w:right w:val="dashed" w:sz="4" w:space="0" w:color="auto"/>
            </w:tcBorders>
            <w:vAlign w:val="center"/>
            <w:hideMark/>
          </w:tcPr>
          <w:p w14:paraId="12F235DE" w14:textId="717D5EA4" w:rsidR="00A82CDA" w:rsidRPr="002F3148" w:rsidRDefault="00A82CDA" w:rsidP="009155E9">
            <w:pPr>
              <w:bidi/>
              <w:spacing w:line="288" w:lineRule="auto"/>
              <w:jc w:val="center"/>
              <w:rPr>
                <w:rFonts w:asciiTheme="minorBidi" w:hAnsiTheme="minorBidi" w:cstheme="minorBidi"/>
                <w:b/>
                <w:bCs/>
                <w:i/>
                <w:iCs/>
                <w:color w:val="000000"/>
                <w:sz w:val="22"/>
                <w:szCs w:val="22"/>
                <w:rtl/>
              </w:rPr>
            </w:pPr>
            <w:r w:rsidRPr="002F3148">
              <w:rPr>
                <w:rFonts w:asciiTheme="minorBidi" w:hAnsiTheme="minorBidi" w:cstheme="minorBidi" w:hint="cs"/>
                <w:b/>
                <w:bCs/>
                <w:i/>
                <w:iCs/>
                <w:color w:val="000000"/>
                <w:sz w:val="22"/>
                <w:szCs w:val="22"/>
                <w:rtl/>
              </w:rPr>
              <w:t>1,969.148 دولار</w:t>
            </w:r>
          </w:p>
        </w:tc>
        <w:tc>
          <w:tcPr>
            <w:tcW w:w="149" w:type="dxa"/>
            <w:gridSpan w:val="2"/>
            <w:vAlign w:val="center"/>
            <w:hideMark/>
          </w:tcPr>
          <w:p w14:paraId="7109384C" w14:textId="77777777" w:rsidR="00A82CDA" w:rsidRPr="002F3148" w:rsidRDefault="00A82CDA" w:rsidP="009155E9">
            <w:pPr>
              <w:spacing w:line="288" w:lineRule="auto"/>
              <w:rPr>
                <w:sz w:val="22"/>
                <w:szCs w:val="22"/>
              </w:rPr>
            </w:pPr>
          </w:p>
        </w:tc>
      </w:tr>
      <w:tr w:rsidR="00A82CDA" w:rsidRPr="002F3148" w14:paraId="7834FAA7" w14:textId="77777777" w:rsidTr="00887789">
        <w:trPr>
          <w:trHeight w:val="565"/>
        </w:trPr>
        <w:tc>
          <w:tcPr>
            <w:tcW w:w="9921" w:type="dxa"/>
            <w:gridSpan w:val="7"/>
            <w:tcBorders>
              <w:top w:val="single" w:sz="4" w:space="0" w:color="auto"/>
              <w:left w:val="single" w:sz="4" w:space="0" w:color="auto"/>
              <w:bottom w:val="single" w:sz="4" w:space="0" w:color="auto"/>
              <w:right w:val="single" w:sz="4" w:space="0" w:color="auto"/>
            </w:tcBorders>
            <w:vAlign w:val="center"/>
            <w:hideMark/>
          </w:tcPr>
          <w:p w14:paraId="67187A46" w14:textId="77830BBE" w:rsidR="00A82CDA" w:rsidRPr="002F3148" w:rsidRDefault="00A82CDA" w:rsidP="00050384">
            <w:pPr>
              <w:bidi/>
              <w:spacing w:line="288" w:lineRule="auto"/>
              <w:jc w:val="both"/>
              <w:rPr>
                <w:rFonts w:ascii="Arial" w:hAnsi="Arial"/>
                <w:color w:val="000000"/>
                <w:sz w:val="22"/>
                <w:szCs w:val="22"/>
                <w:rtl/>
              </w:rPr>
            </w:pPr>
            <w:r w:rsidRPr="002F3148">
              <w:rPr>
                <w:rFonts w:ascii="Arial" w:hAnsi="Arial" w:hint="cs"/>
                <w:color w:val="000000"/>
                <w:sz w:val="22"/>
                <w:szCs w:val="22"/>
                <w:rtl/>
              </w:rPr>
              <w:t xml:space="preserve">[1] تُطبق النسب المئوية على رصيد الصندوق كما في 31 كانون الأول/ديسمبر 2025. ولا يشمل هذا الرصيد الصندوق الاحتياطي (بقيمة </w:t>
            </w:r>
            <w:r w:rsidR="00050384">
              <w:rPr>
                <w:rFonts w:ascii="Arial" w:hAnsi="Arial"/>
                <w:color w:val="000000"/>
                <w:sz w:val="22"/>
                <w:szCs w:val="22"/>
              </w:rPr>
              <w:t xml:space="preserve"> </w:t>
            </w:r>
            <w:r w:rsidR="00050384" w:rsidRPr="00050384">
              <w:rPr>
                <w:rFonts w:ascii="Arial" w:hAnsi="Arial"/>
                <w:color w:val="000000"/>
                <w:sz w:val="22"/>
                <w:szCs w:val="22"/>
                <w:rtl/>
              </w:rPr>
              <w:t>مليون</w:t>
            </w:r>
            <w:r w:rsidRPr="002F3148">
              <w:rPr>
                <w:rFonts w:ascii="Arial" w:hAnsi="Arial" w:hint="cs"/>
                <w:color w:val="000000"/>
                <w:sz w:val="22"/>
                <w:szCs w:val="22"/>
                <w:rtl/>
              </w:rPr>
              <w:t xml:space="preserve"> دولار أمريكي).</w:t>
            </w:r>
          </w:p>
        </w:tc>
        <w:tc>
          <w:tcPr>
            <w:tcW w:w="149" w:type="dxa"/>
            <w:gridSpan w:val="2"/>
            <w:vAlign w:val="center"/>
            <w:hideMark/>
          </w:tcPr>
          <w:p w14:paraId="3117C6DE" w14:textId="77777777" w:rsidR="00A82CDA" w:rsidRPr="002F3148" w:rsidRDefault="00A82CDA" w:rsidP="009155E9">
            <w:pPr>
              <w:spacing w:line="288" w:lineRule="auto"/>
              <w:rPr>
                <w:sz w:val="22"/>
                <w:szCs w:val="22"/>
              </w:rPr>
            </w:pPr>
          </w:p>
        </w:tc>
      </w:tr>
      <w:tr w:rsidR="00A82CDA" w:rsidRPr="002F3148" w14:paraId="370C91C9" w14:textId="77777777" w:rsidTr="00887789">
        <w:trPr>
          <w:trHeight w:val="404"/>
        </w:trPr>
        <w:tc>
          <w:tcPr>
            <w:tcW w:w="992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2380C7DD" w14:textId="77777777" w:rsidR="00A82CDA" w:rsidRPr="002F3148" w:rsidRDefault="00A82CDA" w:rsidP="009155E9">
            <w:pPr>
              <w:bidi/>
              <w:spacing w:line="288" w:lineRule="auto"/>
              <w:jc w:val="both"/>
              <w:rPr>
                <w:rFonts w:ascii="Arial" w:hAnsi="Arial"/>
                <w:color w:val="000000"/>
                <w:sz w:val="22"/>
                <w:szCs w:val="22"/>
                <w:rtl/>
              </w:rPr>
            </w:pPr>
            <w:r w:rsidRPr="002F3148">
              <w:rPr>
                <w:rFonts w:ascii="Arial" w:hAnsi="Arial" w:hint="cs"/>
                <w:color w:val="000000"/>
                <w:sz w:val="22"/>
                <w:szCs w:val="22"/>
                <w:rtl/>
              </w:rPr>
              <w:t>تُرحل الأموال غير المرتبط بها في نهاية الفترة التي تشملها هذه الخطة إلى الفترة المالية التالية، وتُخصص وفقاً للخطة التي توافق عليها الجمعية العامة في ذلك الوقت.</w:t>
            </w:r>
          </w:p>
        </w:tc>
        <w:tc>
          <w:tcPr>
            <w:tcW w:w="149" w:type="dxa"/>
            <w:gridSpan w:val="2"/>
            <w:vAlign w:val="center"/>
            <w:hideMark/>
          </w:tcPr>
          <w:p w14:paraId="1E80320B" w14:textId="77777777" w:rsidR="00A82CDA" w:rsidRPr="002F3148" w:rsidRDefault="00A82CDA" w:rsidP="009155E9">
            <w:pPr>
              <w:spacing w:line="288" w:lineRule="auto"/>
              <w:rPr>
                <w:sz w:val="22"/>
                <w:szCs w:val="22"/>
              </w:rPr>
            </w:pPr>
          </w:p>
        </w:tc>
      </w:tr>
      <w:tr w:rsidR="00A82CDA" w:rsidRPr="002F3148" w14:paraId="2ECD2BB1" w14:textId="77777777" w:rsidTr="00A82CDA">
        <w:trPr>
          <w:trHeight w:val="626"/>
        </w:trPr>
        <w:tc>
          <w:tcPr>
            <w:tcW w:w="9921" w:type="dxa"/>
            <w:gridSpan w:val="7"/>
            <w:tcBorders>
              <w:top w:val="single" w:sz="4" w:space="0" w:color="auto"/>
              <w:left w:val="single" w:sz="4" w:space="0" w:color="auto"/>
              <w:bottom w:val="single" w:sz="4" w:space="0" w:color="auto"/>
              <w:right w:val="single" w:sz="4" w:space="0" w:color="auto"/>
            </w:tcBorders>
            <w:vAlign w:val="center"/>
            <w:hideMark/>
          </w:tcPr>
          <w:p w14:paraId="784191ED" w14:textId="79666710" w:rsidR="00A82CDA" w:rsidRPr="002F3148" w:rsidRDefault="00A82CDA" w:rsidP="009155E9">
            <w:pPr>
              <w:bidi/>
              <w:spacing w:line="288" w:lineRule="auto"/>
              <w:jc w:val="both"/>
              <w:rPr>
                <w:rFonts w:ascii="Arial" w:hAnsi="Arial"/>
                <w:color w:val="000000"/>
                <w:sz w:val="22"/>
                <w:szCs w:val="22"/>
                <w:rtl/>
              </w:rPr>
            </w:pPr>
            <w:r w:rsidRPr="002F3148">
              <w:rPr>
                <w:rFonts w:ascii="Arial" w:hAnsi="Arial" w:hint="cs"/>
                <w:color w:val="000000"/>
                <w:sz w:val="22"/>
                <w:szCs w:val="22"/>
                <w:rtl/>
              </w:rPr>
              <w:t xml:space="preserve">وبالنسبة للفترة الممتدة من </w:t>
            </w:r>
            <w:r w:rsidRPr="002F3148">
              <w:rPr>
                <w:rFonts w:asciiTheme="minorBidi" w:hAnsiTheme="minorBidi" w:cstheme="minorBidi" w:hint="cs"/>
                <w:color w:val="000000"/>
                <w:sz w:val="22"/>
                <w:szCs w:val="22"/>
                <w:rtl/>
              </w:rPr>
              <w:t>1 كانون الثاني/يناير 2028 إلى 30 حزيران/يونيو 2028، يُخصص رُبع المبلغ المحدد لفترة الأربعة والعشرين شهراً من الفترة المالية 2026-2027 على أساس مؤقت، باستثناء صندوق الاحتياطي الذي حددت اللجنة مبلغه بمليون دولار أمريكي (</w:t>
            </w:r>
            <w:r w:rsidR="00131F1D" w:rsidRPr="006A2AD6">
              <w:rPr>
                <w:rFonts w:asciiTheme="minorBidi" w:hAnsiTheme="minorBidi" w:cstheme="minorBidi"/>
                <w:color w:val="000000"/>
                <w:sz w:val="22"/>
                <w:szCs w:val="22"/>
                <w:rtl/>
              </w:rPr>
              <w:t>القرار</w:t>
            </w:r>
            <w:r w:rsidRPr="002F3148">
              <w:rPr>
                <w:rFonts w:asciiTheme="minorBidi" w:hAnsiTheme="minorBidi" w:cstheme="minorBidi" w:hint="cs"/>
                <w:color w:val="000000"/>
                <w:sz w:val="22"/>
                <w:szCs w:val="22"/>
                <w:rtl/>
              </w:rPr>
              <w:t xml:space="preserve"> </w:t>
            </w:r>
            <w:hyperlink r:id="rId67" w:history="1">
              <w:r w:rsidRPr="002F3148">
                <w:rPr>
                  <w:rStyle w:val="Hyperlink"/>
                  <w:rFonts w:asciiTheme="minorBidi" w:hAnsiTheme="minorBidi"/>
                  <w:sz w:val="22"/>
                  <w:szCs w:val="22"/>
                  <w:cs/>
                </w:rPr>
                <w:t>‎</w:t>
              </w:r>
              <w:hyperlink r:id="rId68" w:history="1">
                <w:r w:rsidR="00DB0F2C" w:rsidRPr="002F3148">
                  <w:rPr>
                    <w:rStyle w:val="Hyperlink"/>
                    <w:rFonts w:asciiTheme="minorBidi" w:hAnsiTheme="minorBidi" w:cstheme="minorBidi"/>
                    <w:sz w:val="22"/>
                    <w:szCs w:val="22"/>
                  </w:rPr>
                  <w:t>10.COM 8</w:t>
                </w:r>
              </w:hyperlink>
            </w:hyperlink>
            <w:r w:rsidR="00DB0F2C" w:rsidRPr="002F3148">
              <w:rPr>
                <w:rFonts w:asciiTheme="minorBidi" w:hAnsiTheme="minorBidi" w:cstheme="minorBidi" w:hint="cs"/>
                <w:sz w:val="22"/>
                <w:szCs w:val="22"/>
                <w:rtl/>
              </w:rPr>
              <w:t>)</w:t>
            </w:r>
            <w:r w:rsidRPr="002F3148">
              <w:rPr>
                <w:rFonts w:asciiTheme="minorBidi" w:hAnsiTheme="minorBidi" w:cstheme="minorBidi"/>
                <w:sz w:val="22"/>
                <w:szCs w:val="22"/>
              </w:rPr>
              <w:t>.</w:t>
            </w:r>
          </w:p>
        </w:tc>
        <w:tc>
          <w:tcPr>
            <w:tcW w:w="149" w:type="dxa"/>
            <w:gridSpan w:val="2"/>
            <w:vAlign w:val="center"/>
            <w:hideMark/>
          </w:tcPr>
          <w:p w14:paraId="06881D00" w14:textId="77777777" w:rsidR="00A82CDA" w:rsidRPr="002F3148" w:rsidRDefault="00A82CDA" w:rsidP="009155E9">
            <w:pPr>
              <w:spacing w:line="288" w:lineRule="auto"/>
              <w:rPr>
                <w:sz w:val="22"/>
                <w:szCs w:val="22"/>
              </w:rPr>
            </w:pPr>
          </w:p>
        </w:tc>
      </w:tr>
    </w:tbl>
    <w:p w14:paraId="4C901A04" w14:textId="77777777" w:rsidR="00A82CDA" w:rsidRPr="002F3148" w:rsidRDefault="00A82CDA" w:rsidP="005E6311">
      <w:pPr>
        <w:spacing w:line="288" w:lineRule="auto"/>
        <w:rPr>
          <w:rFonts w:ascii="Arial" w:eastAsia="SimSun" w:hAnsi="Arial"/>
          <w:sz w:val="22"/>
          <w:szCs w:val="22"/>
          <w:u w:val="single"/>
        </w:rPr>
      </w:pPr>
    </w:p>
    <w:p w14:paraId="1B08DF9D" w14:textId="77777777" w:rsidR="00190205" w:rsidRPr="002F3148" w:rsidRDefault="00190205" w:rsidP="005E6311">
      <w:pPr>
        <w:spacing w:line="288" w:lineRule="auto"/>
        <w:rPr>
          <w:rFonts w:ascii="Arial" w:eastAsia="SimSun" w:hAnsi="Arial"/>
          <w:sz w:val="22"/>
          <w:szCs w:val="22"/>
          <w:u w:val="single"/>
        </w:rPr>
      </w:pPr>
    </w:p>
    <w:sectPr w:rsidR="00190205" w:rsidRPr="002F3148" w:rsidSect="00655736">
      <w:headerReference w:type="even" r:id="rId69"/>
      <w:headerReference w:type="default" r:id="rId70"/>
      <w:headerReference w:type="first" r:id="rId7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C3F1A" w14:textId="77777777" w:rsidR="003E520B" w:rsidRPr="00E259FA" w:rsidRDefault="003E520B" w:rsidP="00655736">
      <w:r w:rsidRPr="00E259FA">
        <w:separator/>
      </w:r>
    </w:p>
  </w:endnote>
  <w:endnote w:type="continuationSeparator" w:id="0">
    <w:p w14:paraId="3CD34C59" w14:textId="77777777" w:rsidR="003E520B" w:rsidRPr="00E259FA" w:rsidRDefault="003E520B" w:rsidP="00655736">
      <w:r w:rsidRPr="00E259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akoutLinotypeLight-Regular">
    <w:altName w:val="Arial"/>
    <w:panose1 w:val="00000000000000000000"/>
    <w:charset w:val="B2"/>
    <w:family w:val="auto"/>
    <w:notTrueType/>
    <w:pitch w:val="default"/>
    <w:sig w:usb0="00002001" w:usb1="00000000" w:usb2="00000000" w:usb3="00000000" w:csb0="00000040" w:csb1="00000000"/>
  </w:font>
  <w:font w:name="Batang">
    <w:panose1 w:val="02030600000101010101"/>
    <w:charset w:val="81"/>
    <w:family w:val="roman"/>
    <w:pitch w:val="variable"/>
    <w:sig w:usb0="B00002AF" w:usb1="69D77CFB" w:usb2="00000030" w:usb3="00000000" w:csb0="0008009F" w:csb1="00000000"/>
  </w:font>
  <w:font w:name="Dotum">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CC79" w14:textId="77777777" w:rsidR="003E520B" w:rsidRPr="00E259FA" w:rsidRDefault="003E520B" w:rsidP="009A2754">
      <w:pPr>
        <w:bidi/>
      </w:pPr>
      <w:r w:rsidRPr="00E259FA">
        <w:separator/>
      </w:r>
    </w:p>
  </w:footnote>
  <w:footnote w:type="continuationSeparator" w:id="0">
    <w:p w14:paraId="00B4B56B" w14:textId="77777777" w:rsidR="003E520B" w:rsidRPr="00E259FA" w:rsidRDefault="003E520B" w:rsidP="00655736">
      <w:r w:rsidRPr="00E259FA">
        <w:continuationSeparator/>
      </w:r>
    </w:p>
  </w:footnote>
  <w:footnote w:id="1">
    <w:p w14:paraId="0A3E0835" w14:textId="1FF4F306" w:rsidR="0067492F" w:rsidRPr="006D3FCF" w:rsidRDefault="006A2AD6" w:rsidP="006A2AD6">
      <w:pPr>
        <w:pStyle w:val="FootnoteText"/>
        <w:bidi/>
        <w:spacing w:after="60"/>
        <w:ind w:left="566" w:hanging="567"/>
        <w:jc w:val="both"/>
        <w:rPr>
          <w:rFonts w:asciiTheme="minorBidi" w:hAnsiTheme="minorBidi" w:cstheme="minorBidi"/>
          <w:sz w:val="18"/>
          <w:szCs w:val="18"/>
          <w:rtl/>
        </w:rPr>
      </w:pPr>
      <w:r>
        <w:rPr>
          <w:rFonts w:asciiTheme="minorBidi" w:hAnsiTheme="minorBidi" w:cstheme="minorBidi"/>
          <w:sz w:val="18"/>
          <w:szCs w:val="18"/>
        </w:rPr>
        <w:t xml:space="preserve"> </w:t>
      </w:r>
      <w:r w:rsidR="0067492F">
        <w:rPr>
          <w:rStyle w:val="FootnoteReference"/>
          <w:rFonts w:asciiTheme="minorBidi" w:hAnsiTheme="minorBidi" w:cstheme="minorBidi"/>
          <w:sz w:val="18"/>
          <w:szCs w:val="18"/>
        </w:rPr>
        <w:footnoteRef/>
      </w:r>
      <w:r>
        <w:rPr>
          <w:rFonts w:asciiTheme="minorBidi" w:hAnsiTheme="minorBidi" w:cstheme="minorBidi"/>
          <w:sz w:val="18"/>
          <w:szCs w:val="18"/>
        </w:rPr>
        <w:tab/>
      </w:r>
      <w:r w:rsidR="0067492F">
        <w:rPr>
          <w:rFonts w:asciiTheme="minorBidi" w:hAnsiTheme="minorBidi" w:cstheme="minorBidi" w:hint="cs"/>
          <w:sz w:val="18"/>
          <w:szCs w:val="18"/>
          <w:rtl/>
        </w:rPr>
        <w:t xml:space="preserve">ويتوفر أحدث بيان </w:t>
      </w:r>
      <w:r w:rsidR="00765AAD" w:rsidRPr="00584319">
        <w:rPr>
          <w:rFonts w:hint="cs"/>
          <w:rtl/>
        </w:rPr>
        <w:t>للمساهمات</w:t>
      </w:r>
      <w:r w:rsidR="00765AAD" w:rsidDel="00765AAD">
        <w:rPr>
          <w:rFonts w:asciiTheme="minorBidi" w:hAnsiTheme="minorBidi" w:cstheme="minorBidi" w:hint="cs"/>
          <w:sz w:val="18"/>
          <w:szCs w:val="18"/>
          <w:rtl/>
        </w:rPr>
        <w:t xml:space="preserve"> </w:t>
      </w:r>
      <w:r w:rsidR="0067492F">
        <w:rPr>
          <w:rFonts w:asciiTheme="minorBidi" w:hAnsiTheme="minorBidi" w:cstheme="minorBidi" w:hint="cs"/>
          <w:sz w:val="18"/>
          <w:szCs w:val="18"/>
          <w:rtl/>
        </w:rPr>
        <w:t>الإلزامية على هذه</w:t>
      </w:r>
      <w:hyperlink r:id="rId1" w:history="1">
        <w:r w:rsidR="0067492F">
          <w:rPr>
            <w:rFonts w:hint="cs"/>
            <w:rtl/>
          </w:rPr>
          <w:t xml:space="preserve"> </w:t>
        </w:r>
        <w:r w:rsidR="0067492F">
          <w:rPr>
            <w:rStyle w:val="Hyperlink"/>
            <w:rFonts w:asciiTheme="minorBidi" w:hAnsiTheme="minorBidi" w:cstheme="minorBidi" w:hint="cs"/>
            <w:sz w:val="18"/>
            <w:rtl/>
          </w:rPr>
          <w:t>الصفحة الشبكية</w:t>
        </w:r>
      </w:hyperlink>
      <w:r w:rsidR="0067492F">
        <w:rPr>
          <w:rFonts w:asciiTheme="minorBidi" w:hAnsiTheme="minorBidi" w:cstheme="minorBidi" w:hint="cs"/>
          <w:sz w:val="18"/>
          <w:szCs w:val="18"/>
          <w:rtl/>
        </w:rPr>
        <w:t>.</w:t>
      </w:r>
    </w:p>
  </w:footnote>
  <w:footnote w:id="2">
    <w:p w14:paraId="78DF9352" w14:textId="1A50FA0F" w:rsidR="00D96178" w:rsidRPr="006D3FCF" w:rsidRDefault="00D96178" w:rsidP="006A2AD6">
      <w:pPr>
        <w:pStyle w:val="FootnoteText"/>
        <w:bidi/>
        <w:spacing w:after="60"/>
        <w:ind w:left="566" w:hanging="567"/>
        <w:jc w:val="both"/>
        <w:rPr>
          <w:rtl/>
        </w:rPr>
      </w:pPr>
      <w:r>
        <w:rPr>
          <w:rStyle w:val="FootnoteReference"/>
          <w:rFonts w:ascii="Arial" w:hAnsi="Arial"/>
          <w:sz w:val="18"/>
          <w:szCs w:val="18"/>
        </w:rPr>
        <w:footnoteRef/>
      </w:r>
      <w:r>
        <w:rPr>
          <w:rFonts w:hint="cs"/>
          <w:rtl/>
        </w:rPr>
        <w:t xml:space="preserve"> </w:t>
      </w:r>
      <w:r w:rsidR="006A2AD6">
        <w:tab/>
      </w:r>
      <w:r>
        <w:rPr>
          <w:rFonts w:asciiTheme="minorBidi" w:hAnsiTheme="minorBidi" w:cstheme="minorBidi" w:hint="cs"/>
          <w:sz w:val="18"/>
          <w:szCs w:val="18"/>
          <w:rtl/>
        </w:rPr>
        <w:t>ويشير مصطلح "المساعدة التقنية" إلى الاستعانة بالخبراء، على النحو المبين في المادة 21 من الاتفاقية، لصالح الدول الأطراف التي ترغب في إعداد طلبات للحصول على المساعدة الدولية (</w:t>
      </w:r>
      <w:r w:rsidR="00301722" w:rsidRPr="006A2AD6">
        <w:rPr>
          <w:rFonts w:asciiTheme="minorBidi" w:hAnsiTheme="minorBidi" w:cstheme="minorBidi" w:hint="eastAsia"/>
          <w:sz w:val="18"/>
          <w:szCs w:val="18"/>
          <w:rtl/>
        </w:rPr>
        <w:t>القرار</w:t>
      </w:r>
      <w:r w:rsidR="00301722" w:rsidDel="00301722">
        <w:rPr>
          <w:rFonts w:asciiTheme="minorBidi" w:hAnsiTheme="minorBidi" w:cstheme="minorBidi" w:hint="cs"/>
          <w:sz w:val="18"/>
          <w:szCs w:val="18"/>
          <w:rtl/>
        </w:rPr>
        <w:t xml:space="preserve"> </w:t>
      </w:r>
      <w:hyperlink r:id="rId2" w:history="1">
        <w:hyperlink r:id="rId3" w:history="1">
          <w:r w:rsidR="003148DD" w:rsidRPr="006D3FCF">
            <w:rPr>
              <w:rStyle w:val="Hyperlink"/>
              <w:rFonts w:asciiTheme="minorBidi" w:hAnsiTheme="minorBidi" w:cstheme="minorBidi"/>
              <w:sz w:val="18"/>
              <w:szCs w:val="18"/>
            </w:rPr>
            <w:t>8.COM 7.c</w:t>
          </w:r>
        </w:hyperlink>
        <w:r>
          <w:rPr>
            <w:rStyle w:val="Hyperlink"/>
            <w:rFonts w:asciiTheme="minorBidi" w:hAnsiTheme="minorBidi" w:cstheme="minorBidi"/>
            <w:sz w:val="18"/>
            <w:rtl/>
            <w:cs/>
          </w:rPr>
          <w:t>)</w:t>
        </w:r>
      </w:hyperlink>
      <w:r>
        <w:rPr>
          <w:rFonts w:asciiTheme="minorBidi" w:hAnsiTheme="minorBidi" w:cstheme="minorBidi"/>
          <w:sz w:val="18"/>
          <w:szCs w:val="18"/>
        </w:rPr>
        <w:t>.</w:t>
      </w:r>
    </w:p>
  </w:footnote>
  <w:footnote w:id="3">
    <w:p w14:paraId="64BC6D89" w14:textId="2F95CD51" w:rsidR="00D96178" w:rsidRPr="006D3FCF" w:rsidRDefault="00D96178" w:rsidP="006A2AD6">
      <w:pPr>
        <w:pStyle w:val="FootnoteText"/>
        <w:bidi/>
        <w:spacing w:after="60"/>
        <w:ind w:left="566" w:hanging="567"/>
        <w:jc w:val="both"/>
        <w:rPr>
          <w:rFonts w:asciiTheme="minorBidi" w:hAnsiTheme="minorBidi" w:cstheme="minorBidi"/>
          <w:sz w:val="18"/>
          <w:szCs w:val="18"/>
          <w:rtl/>
        </w:rPr>
      </w:pPr>
      <w:r>
        <w:rPr>
          <w:rStyle w:val="FootnoteReference"/>
          <w:rFonts w:asciiTheme="minorBidi" w:hAnsiTheme="minorBidi" w:cstheme="minorBidi"/>
          <w:sz w:val="18"/>
          <w:szCs w:val="18"/>
        </w:rPr>
        <w:footnoteRef/>
      </w:r>
      <w:r>
        <w:rPr>
          <w:rFonts w:hint="cs"/>
          <w:rtl/>
        </w:rPr>
        <w:t xml:space="preserve"> </w:t>
      </w:r>
      <w:r w:rsidR="006A2AD6">
        <w:tab/>
      </w:r>
      <w:r>
        <w:rPr>
          <w:rFonts w:asciiTheme="minorBidi" w:hAnsiTheme="minorBidi" w:cstheme="minorBidi" w:hint="cs"/>
          <w:sz w:val="18"/>
          <w:szCs w:val="18"/>
          <w:rtl/>
        </w:rPr>
        <w:t xml:space="preserve">تتوافق النتيجة المنشودة 1 المقترحة مع مؤشر الأداء </w:t>
      </w:r>
      <w:r w:rsidR="00EF6E27" w:rsidRPr="006D3FCF">
        <w:rPr>
          <w:rFonts w:asciiTheme="minorBidi" w:hAnsiTheme="minorBidi" w:cstheme="minorBidi"/>
          <w:sz w:val="18"/>
          <w:szCs w:val="18"/>
        </w:rPr>
        <w:t>4.2.CLT.3</w:t>
      </w:r>
      <w:r>
        <w:rPr>
          <w:rFonts w:asciiTheme="minorBidi" w:hAnsiTheme="minorBidi" w:cstheme="minorBidi" w:hint="cs"/>
          <w:sz w:val="18"/>
          <w:szCs w:val="18"/>
          <w:rtl/>
        </w:rPr>
        <w:t xml:space="preserve">: "عدد الدول الأعضاء التي عززت قدراتها على تنفيذ سياسات واستراتيجيات وبرامج جديدة أو منقحة لصون التراث الحي، بما في ذلك ضمن خطط وأطر التنمية المستدامة، بما يتماشى مع اتفاقية عام 2003 لصون التراث الثقافي غير المادي" في الوثيقة </w:t>
      </w:r>
      <w:hyperlink r:id="rId4" w:history="1">
        <w:r>
          <w:rPr>
            <w:rStyle w:val="Hyperlink"/>
            <w:rFonts w:asciiTheme="minorBidi" w:hAnsiTheme="minorBidi" w:cstheme="minorBidi" w:hint="cs"/>
            <w:sz w:val="18"/>
            <w:rtl/>
          </w:rPr>
          <w:t>43 م/5</w:t>
        </w:r>
      </w:hyperlink>
      <w:r>
        <w:rPr>
          <w:rFonts w:asciiTheme="minorBidi" w:hAnsiTheme="minorBidi" w:cstheme="minorBidi" w:hint="cs"/>
          <w:sz w:val="18"/>
          <w:szCs w:val="18"/>
          <w:rtl/>
        </w:rPr>
        <w:t xml:space="preserve"> المعتمدة للمُخرَج </w:t>
      </w:r>
      <w:r>
        <w:rPr>
          <w:rFonts w:asciiTheme="minorBidi" w:hAnsiTheme="minorBidi"/>
          <w:sz w:val="18"/>
          <w:szCs w:val="18"/>
          <w:cs/>
        </w:rPr>
        <w:t>‎</w:t>
      </w:r>
      <w:r w:rsidR="00EF6E27" w:rsidRPr="006D3FCF">
        <w:rPr>
          <w:rFonts w:asciiTheme="minorBidi" w:hAnsiTheme="minorBidi" w:cstheme="minorBidi"/>
          <w:sz w:val="18"/>
          <w:szCs w:val="18"/>
        </w:rPr>
        <w:t>4.2.CLT</w:t>
      </w:r>
      <w:r w:rsidR="00333937">
        <w:rPr>
          <w:rFonts w:hint="cs"/>
          <w:rtl/>
        </w:rPr>
        <w:t>.</w:t>
      </w:r>
    </w:p>
  </w:footnote>
  <w:footnote w:id="4">
    <w:p w14:paraId="2BC30D7E" w14:textId="20F27B4A" w:rsidR="00D96178" w:rsidRPr="006D3FCF" w:rsidRDefault="00D96178" w:rsidP="006A2AD6">
      <w:pPr>
        <w:pStyle w:val="FootnoteText"/>
        <w:bidi/>
        <w:spacing w:after="60"/>
        <w:ind w:left="566" w:hanging="567"/>
        <w:jc w:val="both"/>
        <w:rPr>
          <w:rFonts w:asciiTheme="minorBidi" w:hAnsiTheme="minorBidi" w:cstheme="minorBidi"/>
          <w:sz w:val="18"/>
          <w:szCs w:val="18"/>
          <w:rtl/>
        </w:rPr>
      </w:pPr>
      <w:r>
        <w:rPr>
          <w:rFonts w:asciiTheme="minorBidi" w:hAnsiTheme="minorBidi" w:cstheme="minorBidi"/>
          <w:sz w:val="18"/>
          <w:szCs w:val="18"/>
          <w:vertAlign w:val="superscript"/>
        </w:rPr>
        <w:footnoteRef/>
      </w:r>
      <w:r>
        <w:rPr>
          <w:rFonts w:asciiTheme="minorBidi" w:hAnsiTheme="minorBidi" w:cstheme="minorBidi"/>
          <w:sz w:val="18"/>
          <w:szCs w:val="18"/>
          <w:vertAlign w:val="superscript"/>
        </w:rPr>
        <w:t xml:space="preserve"> </w:t>
      </w:r>
      <w:r w:rsidR="006A2AD6">
        <w:rPr>
          <w:rFonts w:asciiTheme="minorBidi" w:hAnsiTheme="minorBidi" w:cstheme="minorBidi"/>
          <w:sz w:val="18"/>
          <w:szCs w:val="18"/>
          <w:vertAlign w:val="superscript"/>
        </w:rPr>
        <w:tab/>
      </w:r>
      <w:r>
        <w:rPr>
          <w:rFonts w:asciiTheme="minorBidi" w:hAnsiTheme="minorBidi" w:cstheme="minorBidi" w:hint="cs"/>
          <w:sz w:val="18"/>
          <w:szCs w:val="18"/>
          <w:vertAlign w:val="superscript"/>
          <w:rtl/>
        </w:rPr>
        <w:t xml:space="preserve"> </w:t>
      </w:r>
      <w:r>
        <w:rPr>
          <w:rFonts w:asciiTheme="minorBidi" w:hAnsiTheme="minorBidi" w:cstheme="minorBidi" w:hint="cs"/>
          <w:sz w:val="18"/>
          <w:szCs w:val="18"/>
          <w:rtl/>
        </w:rPr>
        <w:t xml:space="preserve">تتوافق النتيجة المنشودة 2 المقترحة مع مؤشر الأداء </w:t>
      </w:r>
      <w:r>
        <w:rPr>
          <w:rFonts w:asciiTheme="minorBidi" w:hAnsiTheme="minorBidi"/>
          <w:sz w:val="18"/>
          <w:szCs w:val="18"/>
          <w:cs/>
        </w:rPr>
        <w:t>‎</w:t>
      </w:r>
      <w:r w:rsidR="00EF6E27" w:rsidRPr="006D3FCF">
        <w:rPr>
          <w:rFonts w:asciiTheme="minorBidi" w:hAnsiTheme="minorBidi" w:cstheme="minorBidi"/>
          <w:sz w:val="18"/>
          <w:szCs w:val="18"/>
        </w:rPr>
        <w:t>4.2.CLT.4</w:t>
      </w:r>
      <w:r>
        <w:rPr>
          <w:rFonts w:asciiTheme="minorBidi" w:hAnsiTheme="minorBidi" w:cstheme="minorBidi" w:hint="cs"/>
          <w:sz w:val="18"/>
          <w:szCs w:val="18"/>
          <w:rtl/>
        </w:rPr>
        <w:t xml:space="preserve">: "عدد الدول الأعضاء المدعومة من أجل صون التراث الحي بشكل مستدام من خلال تعزيز آليات التعاون والمساعدة الدولية لاتفاقية عام 2003 لصون التراث الثقافي غير المادي" في الوثيقة </w:t>
      </w:r>
      <w:hyperlink r:id="rId5" w:history="1">
        <w:r>
          <w:rPr>
            <w:rStyle w:val="Hyperlink"/>
            <w:rFonts w:asciiTheme="minorBidi" w:hAnsiTheme="minorBidi" w:cstheme="minorBidi" w:hint="cs"/>
            <w:sz w:val="18"/>
            <w:rtl/>
          </w:rPr>
          <w:t>43 م/5</w:t>
        </w:r>
      </w:hyperlink>
      <w:r>
        <w:rPr>
          <w:rFonts w:asciiTheme="minorBidi" w:hAnsiTheme="minorBidi" w:cstheme="minorBidi" w:hint="cs"/>
          <w:sz w:val="18"/>
          <w:szCs w:val="18"/>
          <w:rtl/>
        </w:rPr>
        <w:t xml:space="preserve"> المعتمدة للناتج </w:t>
      </w:r>
      <w:r>
        <w:rPr>
          <w:rFonts w:asciiTheme="minorBidi" w:hAnsiTheme="minorBidi"/>
          <w:sz w:val="18"/>
          <w:szCs w:val="18"/>
          <w:cs/>
        </w:rPr>
        <w:t>‎</w:t>
      </w:r>
      <w:r w:rsidR="00EF6E27" w:rsidRPr="006D3FCF">
        <w:rPr>
          <w:rFonts w:asciiTheme="minorBidi" w:hAnsiTheme="minorBidi" w:cstheme="minorBidi"/>
          <w:sz w:val="18"/>
          <w:szCs w:val="18"/>
        </w:rPr>
        <w:t>4.2.CLT</w:t>
      </w:r>
      <w:r w:rsidR="00EF6E27">
        <w:rPr>
          <w:rFonts w:hint="cs"/>
          <w:rtl/>
        </w:rPr>
        <w:t>.</w:t>
      </w:r>
    </w:p>
  </w:footnote>
  <w:footnote w:id="5">
    <w:p w14:paraId="74E963C0" w14:textId="725729F2" w:rsidR="00D96178" w:rsidRPr="0072578A" w:rsidRDefault="006A2AD6" w:rsidP="006A2AD6">
      <w:pPr>
        <w:pStyle w:val="FootnoteText"/>
        <w:bidi/>
        <w:ind w:left="566" w:hanging="567"/>
        <w:jc w:val="both"/>
        <w:rPr>
          <w:rFonts w:asciiTheme="minorBidi" w:hAnsiTheme="minorBidi" w:cstheme="minorBidi"/>
          <w:sz w:val="18"/>
          <w:szCs w:val="18"/>
          <w:rtl/>
        </w:rPr>
      </w:pPr>
      <w:r>
        <w:rPr>
          <w:rFonts w:asciiTheme="minorBidi" w:hAnsiTheme="minorBidi" w:cstheme="minorBidi"/>
          <w:sz w:val="18"/>
          <w:szCs w:val="18"/>
        </w:rPr>
        <w:t xml:space="preserve"> </w:t>
      </w:r>
      <w:r w:rsidR="00D96178">
        <w:rPr>
          <w:rStyle w:val="FootnoteReference"/>
          <w:rFonts w:asciiTheme="minorBidi" w:hAnsiTheme="minorBidi" w:cstheme="minorBidi"/>
          <w:sz w:val="18"/>
          <w:szCs w:val="18"/>
        </w:rPr>
        <w:footnoteRef/>
      </w:r>
      <w:r>
        <w:rPr>
          <w:rFonts w:asciiTheme="minorBidi" w:hAnsiTheme="minorBidi" w:cstheme="minorBidi"/>
          <w:sz w:val="18"/>
          <w:szCs w:val="18"/>
        </w:rPr>
        <w:tab/>
      </w:r>
      <w:r w:rsidR="00D96178">
        <w:rPr>
          <w:rFonts w:asciiTheme="minorBidi" w:hAnsiTheme="minorBidi" w:cstheme="minorBidi" w:hint="cs"/>
          <w:sz w:val="18"/>
          <w:szCs w:val="18"/>
          <w:rtl/>
        </w:rPr>
        <w:t>وتتضمن هذه المهام ما يلي: (أ) طلبات نقل العناصر من قائمة إلى أخرى؛ و(ب) الإدراج في سجل ممارسات الصون الجيدة لتجارب الصون الناجحة الناتجة عن عمليات النقل من قائمة الصون العاجل إلى القائمة التمثيلية؛ (ج) مقترحات لسجل ممارسات الصون الجيدة المقدمة من الدول الأطراف التي فحصت اللجنة في دورتها التاسعة عشرة (دورة عام 2024) طلبات النقل الخاصة بها؛ (د) مقترحات لسجل ممارسات الصون الجيدة المقدمة من الدول الأطراف التي ستفحص اللجنة في دورتها العشرين (دورة عام 2025) طلبات النقل الخاصة بها؛ (هـ) طلبات الإدراج على أساس موسع أو مصغر؛ (و) متابعة العناصر المدرجة.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6DAB8819" w:rsidR="00D95C4C" w:rsidRPr="00E259FA" w:rsidRDefault="00C5776D" w:rsidP="00C5776D">
    <w:pPr>
      <w:pStyle w:val="Header"/>
      <w:bidi/>
      <w:rPr>
        <w:rFonts w:ascii="Arial" w:hAnsi="Arial"/>
        <w:rtl/>
      </w:rPr>
    </w:pPr>
    <w:r>
      <w:rPr>
        <w:rFonts w:ascii="Arial" w:hAnsi="Arial"/>
        <w:sz w:val="20"/>
        <w:szCs w:val="20"/>
      </w:rPr>
      <w:t>LHE/26/11.GA/8</w:t>
    </w:r>
    <w:r>
      <w:rPr>
        <w:rFonts w:ascii="Arial" w:hAnsi="Arial" w:hint="cs"/>
        <w:sz w:val="20"/>
        <w:szCs w:val="20"/>
        <w:rtl/>
      </w:rPr>
      <w:t xml:space="preserve"> – صفحة </w:t>
    </w:r>
    <w:r w:rsidR="00D95C4C" w:rsidRPr="00E259FA">
      <w:rPr>
        <w:rStyle w:val="PageNumber"/>
        <w:rFonts w:ascii="Arial" w:hAnsi="Arial" w:hint="cs"/>
        <w:sz w:val="20"/>
        <w:rtl/>
      </w:rPr>
      <w:fldChar w:fldCharType="begin"/>
    </w:r>
    <w:r>
      <w:rPr>
        <w:rtl/>
      </w:rPr>
      <w:instrText xml:space="preserve"> </w:instrText>
    </w:r>
    <w:r w:rsidR="00D95C4C" w:rsidRPr="00E259FA">
      <w:rPr>
        <w:rStyle w:val="PageNumber"/>
        <w:rFonts w:ascii="Arial" w:hAnsi="Arial" w:hint="cs"/>
        <w:sz w:val="20"/>
      </w:rPr>
      <w:instrText xml:space="preserve">PAGE </w:instrText>
    </w:r>
    <w:r w:rsidR="00D95C4C" w:rsidRPr="00E259FA">
      <w:rPr>
        <w:rStyle w:val="PageNumber"/>
        <w:rFonts w:ascii="Arial" w:hAnsi="Arial" w:hint="cs"/>
        <w:sz w:val="20"/>
        <w:rtl/>
      </w:rPr>
      <w:fldChar w:fldCharType="separate"/>
    </w:r>
    <w:r w:rsidR="009155E9">
      <w:rPr>
        <w:noProof/>
        <w:rtl/>
      </w:rPr>
      <w:t>12</w:t>
    </w:r>
    <w:r w:rsidR="00D95C4C" w:rsidRPr="00E259FA">
      <w:rPr>
        <w:rStyle w:val="PageNumber"/>
        <w:rFonts w:ascii="Arial" w:hAnsi="Arial" w:hint="cs"/>
        <w:sz w:val="20"/>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1B9B8A6B" w:rsidR="00D95C4C" w:rsidRPr="00E259FA" w:rsidRDefault="00C5776D" w:rsidP="00C5776D">
    <w:pPr>
      <w:pStyle w:val="Header"/>
      <w:bidi/>
      <w:jc w:val="right"/>
      <w:rPr>
        <w:rFonts w:ascii="Arial" w:hAnsi="Arial"/>
        <w:rtl/>
      </w:rPr>
    </w:pPr>
    <w:r>
      <w:rPr>
        <w:rFonts w:ascii="Arial" w:hAnsi="Arial"/>
        <w:sz w:val="20"/>
        <w:szCs w:val="20"/>
      </w:rPr>
      <w:t>LHE/26/11.GA/8</w:t>
    </w:r>
    <w:r>
      <w:rPr>
        <w:rFonts w:ascii="Arial" w:hAnsi="Arial" w:hint="cs"/>
        <w:sz w:val="20"/>
        <w:szCs w:val="20"/>
        <w:rtl/>
      </w:rPr>
      <w:t xml:space="preserve"> </w:t>
    </w:r>
    <w:r>
      <w:rPr>
        <w:rFonts w:ascii="Arial" w:hAnsi="Arial" w:hint="cs"/>
        <w:sz w:val="20"/>
        <w:szCs w:val="20"/>
        <w:rtl/>
      </w:rPr>
      <w:t xml:space="preserve">– صفحة </w:t>
    </w:r>
    <w:r w:rsidR="004A34A0" w:rsidRPr="00E259FA">
      <w:rPr>
        <w:rStyle w:val="PageNumber"/>
        <w:rFonts w:ascii="Arial" w:hAnsi="Arial" w:hint="cs"/>
        <w:sz w:val="20"/>
        <w:rtl/>
      </w:rPr>
      <w:fldChar w:fldCharType="begin"/>
    </w:r>
    <w:r>
      <w:rPr>
        <w:rtl/>
      </w:rPr>
      <w:instrText xml:space="preserve"> </w:instrText>
    </w:r>
    <w:r w:rsidR="004A34A0" w:rsidRPr="00E259FA">
      <w:rPr>
        <w:rStyle w:val="PageNumber"/>
        <w:rFonts w:ascii="Arial" w:hAnsi="Arial" w:hint="cs"/>
        <w:sz w:val="20"/>
      </w:rPr>
      <w:instrText xml:space="preserve">PAGE </w:instrText>
    </w:r>
    <w:r w:rsidR="004A34A0" w:rsidRPr="00E259FA">
      <w:rPr>
        <w:rStyle w:val="PageNumber"/>
        <w:rFonts w:ascii="Arial" w:hAnsi="Arial" w:hint="cs"/>
        <w:sz w:val="20"/>
        <w:rtl/>
      </w:rPr>
      <w:fldChar w:fldCharType="separate"/>
    </w:r>
    <w:r w:rsidR="009155E9">
      <w:rPr>
        <w:noProof/>
        <w:rtl/>
      </w:rPr>
      <w:t>11</w:t>
    </w:r>
    <w:r w:rsidR="004A34A0" w:rsidRPr="00E259FA">
      <w:rPr>
        <w:rStyle w:val="PageNumber"/>
        <w:rFonts w:ascii="Arial" w:hAnsi="Arial" w:hint="cs"/>
        <w:sz w:val="2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00744306" w:rsidR="00D95C4C" w:rsidRPr="00E259FA" w:rsidRDefault="00AE4F58">
    <w:pPr>
      <w:pStyle w:val="Header"/>
      <w:bidi/>
      <w:rPr>
        <w:sz w:val="22"/>
        <w:szCs w:val="22"/>
        <w:rtl/>
      </w:rPr>
    </w:pPr>
    <w:r>
      <w:rPr>
        <w:noProof/>
        <w:lang w:val="en-IN" w:eastAsia="en-IN"/>
      </w:rPr>
      <w:drawing>
        <wp:anchor distT="0" distB="0" distL="114300" distR="114300" simplePos="0" relativeHeight="251659264" behindDoc="0" locked="0" layoutInCell="1" allowOverlap="1" wp14:anchorId="073BF8FA" wp14:editId="648E8BB6">
          <wp:simplePos x="0" y="0"/>
          <wp:positionH relativeFrom="margin">
            <wp:posOffset>4424680</wp:posOffset>
          </wp:positionH>
          <wp:positionV relativeFrom="paragraph">
            <wp:posOffset>33655</wp:posOffset>
          </wp:positionV>
          <wp:extent cx="1842770" cy="1439545"/>
          <wp:effectExtent l="0" t="0" r="5080" b="8255"/>
          <wp:wrapSquare wrapText="bothSides"/>
          <wp:docPr id="2052832974" name="Image 205283297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00725" name="Image 1463000725"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7B917" w14:textId="1EF0BB1D" w:rsidR="00D95C4C" w:rsidRPr="009F15A6" w:rsidRDefault="00AE4F58" w:rsidP="00C5776D">
    <w:pPr>
      <w:pStyle w:val="Header"/>
      <w:bidi/>
      <w:spacing w:after="520"/>
      <w:jc w:val="right"/>
      <w:rPr>
        <w:rFonts w:ascii="Arial" w:hAnsi="Arial"/>
        <w:b/>
        <w:sz w:val="44"/>
        <w:szCs w:val="44"/>
        <w:rtl/>
      </w:rPr>
    </w:pPr>
    <w:r w:rsidRPr="009F15A6">
      <w:rPr>
        <w:rFonts w:ascii="Arial" w:hAnsi="Arial"/>
        <w:b/>
        <w:sz w:val="44"/>
        <w:szCs w:val="44"/>
        <w:lang w:val="pt-PT"/>
      </w:rPr>
      <w:t>11 GA</w:t>
    </w:r>
  </w:p>
  <w:p w14:paraId="306484B8" w14:textId="1FB0E357" w:rsidR="00D95C4C" w:rsidRPr="009F15A6" w:rsidRDefault="00C5776D" w:rsidP="00C5776D">
    <w:pPr>
      <w:bidi/>
      <w:jc w:val="right"/>
      <w:rPr>
        <w:rFonts w:ascii="Arial" w:hAnsi="Arial"/>
        <w:b/>
        <w:sz w:val="22"/>
        <w:szCs w:val="22"/>
        <w:rtl/>
      </w:rPr>
    </w:pPr>
    <w:r>
      <w:rPr>
        <w:rFonts w:ascii="Arial" w:hAnsi="Arial"/>
        <w:b/>
        <w:bCs/>
        <w:sz w:val="22"/>
        <w:szCs w:val="22"/>
      </w:rPr>
      <w:t>LHE/26/11.GA/8</w:t>
    </w:r>
  </w:p>
  <w:p w14:paraId="1B4446C3" w14:textId="3D85C766" w:rsidR="00D95C4C" w:rsidRPr="009F15A6" w:rsidRDefault="00D95C4C" w:rsidP="00655736">
    <w:pPr>
      <w:bidi/>
      <w:jc w:val="right"/>
      <w:rPr>
        <w:rFonts w:ascii="Arial" w:eastAsiaTheme="minorEastAsia" w:hAnsi="Arial"/>
        <w:b/>
        <w:sz w:val="22"/>
        <w:szCs w:val="22"/>
        <w:rtl/>
      </w:rPr>
    </w:pPr>
    <w:r>
      <w:rPr>
        <w:rFonts w:ascii="Arial" w:hAnsi="Arial" w:hint="cs"/>
        <w:b/>
        <w:bCs/>
        <w:sz w:val="22"/>
        <w:szCs w:val="22"/>
        <w:rtl/>
      </w:rPr>
      <w:t>باريس، 18 أيار/مايو 2026</w:t>
    </w:r>
  </w:p>
  <w:p w14:paraId="255B57FF" w14:textId="0A9FDF8F" w:rsidR="00D95C4C" w:rsidRPr="006D3FCF" w:rsidRDefault="00D95C4C" w:rsidP="00962034">
    <w:pPr>
      <w:bidi/>
      <w:spacing w:after="120"/>
      <w:jc w:val="right"/>
      <w:rPr>
        <w:rFonts w:ascii="Arial" w:hAnsi="Arial"/>
        <w:b/>
        <w:sz w:val="22"/>
        <w:szCs w:val="22"/>
        <w:rtl/>
      </w:rPr>
    </w:pPr>
    <w:r>
      <w:rPr>
        <w:rFonts w:ascii="Arial" w:hAnsi="Arial" w:hint="cs"/>
        <w:b/>
        <w:bCs/>
        <w:sz w:val="22"/>
        <w:szCs w:val="22"/>
        <w:rtl/>
      </w:rPr>
      <w:t>الأصل: إنجليزي</w:t>
    </w:r>
  </w:p>
  <w:p w14:paraId="3C4B8B1B" w14:textId="77777777" w:rsidR="00D95C4C" w:rsidRPr="006D3FCF"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7A4"/>
    <w:multiLevelType w:val="hybridMultilevel"/>
    <w:tmpl w:val="9E908AA4"/>
    <w:lvl w:ilvl="0" w:tplc="4A66941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2550F78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4D1A144F"/>
    <w:multiLevelType w:val="hybridMultilevel"/>
    <w:tmpl w:val="1FEE3D3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7">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330725E"/>
    <w:multiLevelType w:val="hybridMultilevel"/>
    <w:tmpl w:val="CD9C6EBE"/>
    <w:lvl w:ilvl="0" w:tplc="EAB81FC6">
      <w:start w:val="1"/>
      <w:numFmt w:val="arabicAbjad"/>
      <w:lvlText w:val="%1)"/>
      <w:lvlJc w:val="left"/>
      <w:pPr>
        <w:ind w:left="927" w:hanging="360"/>
      </w:pPr>
      <w:rPr>
        <w:rFonts w:hint="default"/>
        <w:b w:val="0"/>
        <w:bCs w:val="0"/>
      </w:rPr>
    </w:lvl>
    <w:lvl w:ilvl="1" w:tplc="FFFFFFFF">
      <w:start w:val="1"/>
      <w:numFmt w:val="lowerLetter"/>
      <w:lvlText w:val="%2."/>
      <w:lvlJc w:val="left"/>
      <w:pPr>
        <w:ind w:left="1647" w:hanging="360"/>
      </w:pPr>
    </w:lvl>
    <w:lvl w:ilvl="2" w:tplc="FFFFFFFF">
      <w:start w:val="1"/>
      <w:numFmt w:val="lowerLetter"/>
      <w:lvlText w:val="%3)"/>
      <w:lvlJc w:val="left"/>
      <w:pPr>
        <w:ind w:left="2547" w:hanging="36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377503743">
    <w:abstractNumId w:val="13"/>
  </w:num>
  <w:num w:numId="2" w16cid:durableId="1043359691">
    <w:abstractNumId w:val="7"/>
  </w:num>
  <w:num w:numId="3" w16cid:durableId="2089955707">
    <w:abstractNumId w:val="3"/>
  </w:num>
  <w:num w:numId="4" w16cid:durableId="882596432">
    <w:abstractNumId w:val="16"/>
  </w:num>
  <w:num w:numId="5" w16cid:durableId="1750272244">
    <w:abstractNumId w:val="15"/>
  </w:num>
  <w:num w:numId="6" w16cid:durableId="1040401532">
    <w:abstractNumId w:val="1"/>
  </w:num>
  <w:num w:numId="7" w16cid:durableId="557204111">
    <w:abstractNumId w:val="4"/>
  </w:num>
  <w:num w:numId="8" w16cid:durableId="1132291980">
    <w:abstractNumId w:val="11"/>
  </w:num>
  <w:num w:numId="9" w16cid:durableId="1951551222">
    <w:abstractNumId w:val="6"/>
  </w:num>
  <w:num w:numId="10" w16cid:durableId="1607889174">
    <w:abstractNumId w:val="8"/>
  </w:num>
  <w:num w:numId="11" w16cid:durableId="329413072">
    <w:abstractNumId w:val="10"/>
  </w:num>
  <w:num w:numId="12" w16cid:durableId="1516070686">
    <w:abstractNumId w:val="9"/>
  </w:num>
  <w:num w:numId="13" w16cid:durableId="1778864152">
    <w:abstractNumId w:val="17"/>
  </w:num>
  <w:num w:numId="14" w16cid:durableId="1612857294">
    <w:abstractNumId w:val="5"/>
  </w:num>
  <w:num w:numId="15" w16cid:durableId="551162297">
    <w:abstractNumId w:val="6"/>
  </w:num>
  <w:num w:numId="16" w16cid:durableId="1151751443">
    <w:abstractNumId w:val="6"/>
  </w:num>
  <w:num w:numId="17" w16cid:durableId="945428616">
    <w:abstractNumId w:val="6"/>
  </w:num>
  <w:num w:numId="18" w16cid:durableId="474294724">
    <w:abstractNumId w:val="6"/>
  </w:num>
  <w:num w:numId="19" w16cid:durableId="1400328201">
    <w:abstractNumId w:val="6"/>
  </w:num>
  <w:num w:numId="20" w16cid:durableId="927423938">
    <w:abstractNumId w:val="6"/>
  </w:num>
  <w:num w:numId="21" w16cid:durableId="679703514">
    <w:abstractNumId w:val="2"/>
  </w:num>
  <w:num w:numId="22" w16cid:durableId="704714488">
    <w:abstractNumId w:val="6"/>
  </w:num>
  <w:num w:numId="23" w16cid:durableId="673336649">
    <w:abstractNumId w:val="0"/>
  </w:num>
  <w:num w:numId="24" w16cid:durableId="1640652495">
    <w:abstractNumId w:val="8"/>
  </w:num>
  <w:num w:numId="25" w16cid:durableId="736124751">
    <w:abstractNumId w:val="12"/>
  </w:num>
  <w:num w:numId="26" w16cid:durableId="74018889">
    <w:abstractNumId w:val="14"/>
  </w:num>
  <w:num w:numId="27" w16cid:durableId="1762142282">
    <w:abstractNumId w:val="6"/>
  </w:num>
  <w:num w:numId="28" w16cid:durableId="1739478418">
    <w:abstractNumId w:val="6"/>
  </w:num>
  <w:num w:numId="29" w16cid:durableId="1359161855">
    <w:abstractNumId w:val="9"/>
  </w:num>
  <w:num w:numId="30" w16cid:durableId="1255088210">
    <w:abstractNumId w:val="6"/>
  </w:num>
  <w:num w:numId="31" w16cid:durableId="1601841484">
    <w:abstractNumId w:val="6"/>
  </w:num>
  <w:num w:numId="32" w16cid:durableId="1082873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14AA2"/>
    <w:rsid w:val="00020479"/>
    <w:rsid w:val="000367E3"/>
    <w:rsid w:val="00041A66"/>
    <w:rsid w:val="00042D88"/>
    <w:rsid w:val="00050384"/>
    <w:rsid w:val="0005176E"/>
    <w:rsid w:val="0005693D"/>
    <w:rsid w:val="000624BF"/>
    <w:rsid w:val="00070677"/>
    <w:rsid w:val="00071298"/>
    <w:rsid w:val="000765F7"/>
    <w:rsid w:val="0007725F"/>
    <w:rsid w:val="000774A3"/>
    <w:rsid w:val="00077AB7"/>
    <w:rsid w:val="00080992"/>
    <w:rsid w:val="000819FD"/>
    <w:rsid w:val="00081CD8"/>
    <w:rsid w:val="00084949"/>
    <w:rsid w:val="000904D2"/>
    <w:rsid w:val="00093EEE"/>
    <w:rsid w:val="00093FDA"/>
    <w:rsid w:val="000A33C6"/>
    <w:rsid w:val="000A7F0E"/>
    <w:rsid w:val="000B1C8F"/>
    <w:rsid w:val="000C0D61"/>
    <w:rsid w:val="000C423F"/>
    <w:rsid w:val="000C69A8"/>
    <w:rsid w:val="000D414F"/>
    <w:rsid w:val="000E7D71"/>
    <w:rsid w:val="000F3A3F"/>
    <w:rsid w:val="00102557"/>
    <w:rsid w:val="00110005"/>
    <w:rsid w:val="00131F1D"/>
    <w:rsid w:val="001359C2"/>
    <w:rsid w:val="00147A38"/>
    <w:rsid w:val="001540F7"/>
    <w:rsid w:val="001607BF"/>
    <w:rsid w:val="001643A8"/>
    <w:rsid w:val="00164D56"/>
    <w:rsid w:val="00167B10"/>
    <w:rsid w:val="0017402F"/>
    <w:rsid w:val="00187F30"/>
    <w:rsid w:val="00190205"/>
    <w:rsid w:val="00196C1B"/>
    <w:rsid w:val="001B0F73"/>
    <w:rsid w:val="001B6D0C"/>
    <w:rsid w:val="001C2DB7"/>
    <w:rsid w:val="001C4C78"/>
    <w:rsid w:val="001C5EC0"/>
    <w:rsid w:val="001D14FE"/>
    <w:rsid w:val="001D5C04"/>
    <w:rsid w:val="001E1C9E"/>
    <w:rsid w:val="001F26CF"/>
    <w:rsid w:val="001F34D0"/>
    <w:rsid w:val="001F5CDF"/>
    <w:rsid w:val="001F781B"/>
    <w:rsid w:val="00204588"/>
    <w:rsid w:val="002147AA"/>
    <w:rsid w:val="00222A2D"/>
    <w:rsid w:val="00222DE3"/>
    <w:rsid w:val="00223029"/>
    <w:rsid w:val="00234745"/>
    <w:rsid w:val="002351A6"/>
    <w:rsid w:val="00236B3F"/>
    <w:rsid w:val="002407AF"/>
    <w:rsid w:val="00245501"/>
    <w:rsid w:val="00246899"/>
    <w:rsid w:val="0025205C"/>
    <w:rsid w:val="00254B26"/>
    <w:rsid w:val="0026085B"/>
    <w:rsid w:val="00261F3C"/>
    <w:rsid w:val="0026221A"/>
    <w:rsid w:val="0027466B"/>
    <w:rsid w:val="002814F6"/>
    <w:rsid w:val="002838A5"/>
    <w:rsid w:val="00285BB4"/>
    <w:rsid w:val="002A7A0F"/>
    <w:rsid w:val="002C0015"/>
    <w:rsid w:val="002C09E3"/>
    <w:rsid w:val="002C4746"/>
    <w:rsid w:val="002C6A2C"/>
    <w:rsid w:val="002D1244"/>
    <w:rsid w:val="002D2BFD"/>
    <w:rsid w:val="002D5B36"/>
    <w:rsid w:val="002E3305"/>
    <w:rsid w:val="002E3493"/>
    <w:rsid w:val="002F3148"/>
    <w:rsid w:val="00301722"/>
    <w:rsid w:val="00312476"/>
    <w:rsid w:val="003148DD"/>
    <w:rsid w:val="00333937"/>
    <w:rsid w:val="00337CEB"/>
    <w:rsid w:val="00344B58"/>
    <w:rsid w:val="0034539A"/>
    <w:rsid w:val="00345CB4"/>
    <w:rsid w:val="00375D42"/>
    <w:rsid w:val="0039135E"/>
    <w:rsid w:val="0039613F"/>
    <w:rsid w:val="003B58E9"/>
    <w:rsid w:val="003C3D11"/>
    <w:rsid w:val="003D069C"/>
    <w:rsid w:val="003D3FD9"/>
    <w:rsid w:val="003D7646"/>
    <w:rsid w:val="003E520B"/>
    <w:rsid w:val="003F113A"/>
    <w:rsid w:val="003F2493"/>
    <w:rsid w:val="003F3E63"/>
    <w:rsid w:val="00407480"/>
    <w:rsid w:val="004112BE"/>
    <w:rsid w:val="00414643"/>
    <w:rsid w:val="004245CD"/>
    <w:rsid w:val="004313C4"/>
    <w:rsid w:val="00435C74"/>
    <w:rsid w:val="004421E5"/>
    <w:rsid w:val="004479C8"/>
    <w:rsid w:val="00452284"/>
    <w:rsid w:val="00457C8E"/>
    <w:rsid w:val="00480175"/>
    <w:rsid w:val="004856CA"/>
    <w:rsid w:val="00487E67"/>
    <w:rsid w:val="00487F3A"/>
    <w:rsid w:val="004906B7"/>
    <w:rsid w:val="0049705E"/>
    <w:rsid w:val="004A0AEB"/>
    <w:rsid w:val="004A27EE"/>
    <w:rsid w:val="004A2875"/>
    <w:rsid w:val="004A34A0"/>
    <w:rsid w:val="004A5AA1"/>
    <w:rsid w:val="004B46F6"/>
    <w:rsid w:val="004C7C82"/>
    <w:rsid w:val="004D0710"/>
    <w:rsid w:val="004F0D45"/>
    <w:rsid w:val="005008A8"/>
    <w:rsid w:val="00517FD8"/>
    <w:rsid w:val="00526B7B"/>
    <w:rsid w:val="005274D2"/>
    <w:rsid w:val="005308CE"/>
    <w:rsid w:val="0053318C"/>
    <w:rsid w:val="005419E9"/>
    <w:rsid w:val="00544C93"/>
    <w:rsid w:val="0054535F"/>
    <w:rsid w:val="00545FCF"/>
    <w:rsid w:val="00554AA2"/>
    <w:rsid w:val="00555102"/>
    <w:rsid w:val="00566E59"/>
    <w:rsid w:val="0057439C"/>
    <w:rsid w:val="0057483C"/>
    <w:rsid w:val="005960FA"/>
    <w:rsid w:val="005B0127"/>
    <w:rsid w:val="005B7A35"/>
    <w:rsid w:val="005C4B73"/>
    <w:rsid w:val="005C4E02"/>
    <w:rsid w:val="005C792B"/>
    <w:rsid w:val="005D067D"/>
    <w:rsid w:val="005E0840"/>
    <w:rsid w:val="005E1D2B"/>
    <w:rsid w:val="005E6311"/>
    <w:rsid w:val="005E7074"/>
    <w:rsid w:val="005F2BAF"/>
    <w:rsid w:val="00600D93"/>
    <w:rsid w:val="00614797"/>
    <w:rsid w:val="00626BEA"/>
    <w:rsid w:val="0063300C"/>
    <w:rsid w:val="00651A5B"/>
    <w:rsid w:val="00654F26"/>
    <w:rsid w:val="00655736"/>
    <w:rsid w:val="0065799E"/>
    <w:rsid w:val="00663B8D"/>
    <w:rsid w:val="0067492F"/>
    <w:rsid w:val="00696C8D"/>
    <w:rsid w:val="006A2AC2"/>
    <w:rsid w:val="006A2AD6"/>
    <w:rsid w:val="006A3617"/>
    <w:rsid w:val="006B4452"/>
    <w:rsid w:val="006D3FCF"/>
    <w:rsid w:val="006E46E4"/>
    <w:rsid w:val="006E75EB"/>
    <w:rsid w:val="006F2324"/>
    <w:rsid w:val="0071396D"/>
    <w:rsid w:val="00713B6D"/>
    <w:rsid w:val="00717DA5"/>
    <w:rsid w:val="007333D0"/>
    <w:rsid w:val="00744484"/>
    <w:rsid w:val="00747566"/>
    <w:rsid w:val="00752C5A"/>
    <w:rsid w:val="007536DA"/>
    <w:rsid w:val="00765AAD"/>
    <w:rsid w:val="00773188"/>
    <w:rsid w:val="00783782"/>
    <w:rsid w:val="00784B8C"/>
    <w:rsid w:val="007879E1"/>
    <w:rsid w:val="007E57AA"/>
    <w:rsid w:val="007E5E8B"/>
    <w:rsid w:val="008029E6"/>
    <w:rsid w:val="00807933"/>
    <w:rsid w:val="00807F52"/>
    <w:rsid w:val="00814386"/>
    <w:rsid w:val="00820537"/>
    <w:rsid w:val="00823A11"/>
    <w:rsid w:val="00825FFD"/>
    <w:rsid w:val="00826C84"/>
    <w:rsid w:val="00832E7E"/>
    <w:rsid w:val="00843C34"/>
    <w:rsid w:val="008509C7"/>
    <w:rsid w:val="0085405E"/>
    <w:rsid w:val="0085414A"/>
    <w:rsid w:val="00857EB9"/>
    <w:rsid w:val="0086269D"/>
    <w:rsid w:val="0086543A"/>
    <w:rsid w:val="008724E5"/>
    <w:rsid w:val="008765C9"/>
    <w:rsid w:val="00876785"/>
    <w:rsid w:val="00882FA2"/>
    <w:rsid w:val="00883229"/>
    <w:rsid w:val="00884A9D"/>
    <w:rsid w:val="0088512B"/>
    <w:rsid w:val="00887789"/>
    <w:rsid w:val="00892069"/>
    <w:rsid w:val="008A2B2D"/>
    <w:rsid w:val="008A4E1E"/>
    <w:rsid w:val="008A6458"/>
    <w:rsid w:val="008C296C"/>
    <w:rsid w:val="008D4305"/>
    <w:rsid w:val="008E1A85"/>
    <w:rsid w:val="008E344F"/>
    <w:rsid w:val="008E51E9"/>
    <w:rsid w:val="008E64A0"/>
    <w:rsid w:val="008F17DB"/>
    <w:rsid w:val="009022D7"/>
    <w:rsid w:val="00905AFF"/>
    <w:rsid w:val="009155E9"/>
    <w:rsid w:val="009163A7"/>
    <w:rsid w:val="009207E3"/>
    <w:rsid w:val="00922ABE"/>
    <w:rsid w:val="00937D53"/>
    <w:rsid w:val="00946D0B"/>
    <w:rsid w:val="00955877"/>
    <w:rsid w:val="00962034"/>
    <w:rsid w:val="00970396"/>
    <w:rsid w:val="0097481B"/>
    <w:rsid w:val="00976D68"/>
    <w:rsid w:val="009864A1"/>
    <w:rsid w:val="009A18CD"/>
    <w:rsid w:val="009A2754"/>
    <w:rsid w:val="009A3393"/>
    <w:rsid w:val="009B57F5"/>
    <w:rsid w:val="009D5428"/>
    <w:rsid w:val="009E3E95"/>
    <w:rsid w:val="009F15A6"/>
    <w:rsid w:val="00A100F7"/>
    <w:rsid w:val="00A10DC0"/>
    <w:rsid w:val="00A11516"/>
    <w:rsid w:val="00A1221D"/>
    <w:rsid w:val="00A12558"/>
    <w:rsid w:val="00A133C8"/>
    <w:rsid w:val="00A13903"/>
    <w:rsid w:val="00A34ED5"/>
    <w:rsid w:val="00A45DBF"/>
    <w:rsid w:val="00A63BA1"/>
    <w:rsid w:val="00A63E8E"/>
    <w:rsid w:val="00A725CF"/>
    <w:rsid w:val="00A755A2"/>
    <w:rsid w:val="00A8294A"/>
    <w:rsid w:val="00A82CDA"/>
    <w:rsid w:val="00A83197"/>
    <w:rsid w:val="00A91430"/>
    <w:rsid w:val="00A92E86"/>
    <w:rsid w:val="00AA0EB5"/>
    <w:rsid w:val="00AA1F31"/>
    <w:rsid w:val="00AA4CFE"/>
    <w:rsid w:val="00AA590D"/>
    <w:rsid w:val="00AA6660"/>
    <w:rsid w:val="00AB2C36"/>
    <w:rsid w:val="00AB5E42"/>
    <w:rsid w:val="00AB6DDE"/>
    <w:rsid w:val="00AB70AE"/>
    <w:rsid w:val="00AB70B6"/>
    <w:rsid w:val="00AC18C1"/>
    <w:rsid w:val="00AD1A86"/>
    <w:rsid w:val="00AD3593"/>
    <w:rsid w:val="00AD5C46"/>
    <w:rsid w:val="00AD647B"/>
    <w:rsid w:val="00AE103E"/>
    <w:rsid w:val="00AE4EB2"/>
    <w:rsid w:val="00AE4F58"/>
    <w:rsid w:val="00AF0A07"/>
    <w:rsid w:val="00AF3D0F"/>
    <w:rsid w:val="00AF4AEC"/>
    <w:rsid w:val="00AF625E"/>
    <w:rsid w:val="00B07ADC"/>
    <w:rsid w:val="00B1316F"/>
    <w:rsid w:val="00B139BE"/>
    <w:rsid w:val="00B141A4"/>
    <w:rsid w:val="00B2172B"/>
    <w:rsid w:val="00B21B0A"/>
    <w:rsid w:val="00B34428"/>
    <w:rsid w:val="00B413B8"/>
    <w:rsid w:val="00B41AB5"/>
    <w:rsid w:val="00B72214"/>
    <w:rsid w:val="00B8560A"/>
    <w:rsid w:val="00B917D2"/>
    <w:rsid w:val="00B97EB3"/>
    <w:rsid w:val="00BA0ADB"/>
    <w:rsid w:val="00BA241A"/>
    <w:rsid w:val="00BB04AF"/>
    <w:rsid w:val="00BB6EEC"/>
    <w:rsid w:val="00BB6FBC"/>
    <w:rsid w:val="00BD1F4D"/>
    <w:rsid w:val="00BD2DC9"/>
    <w:rsid w:val="00BD52C9"/>
    <w:rsid w:val="00BE6354"/>
    <w:rsid w:val="00BE6E70"/>
    <w:rsid w:val="00C128DD"/>
    <w:rsid w:val="00C138D1"/>
    <w:rsid w:val="00C150EF"/>
    <w:rsid w:val="00C23A97"/>
    <w:rsid w:val="00C27270"/>
    <w:rsid w:val="00C510BC"/>
    <w:rsid w:val="00C519FC"/>
    <w:rsid w:val="00C52EBE"/>
    <w:rsid w:val="00C556DD"/>
    <w:rsid w:val="00C5776D"/>
    <w:rsid w:val="00C64855"/>
    <w:rsid w:val="00C70EA7"/>
    <w:rsid w:val="00C70F2D"/>
    <w:rsid w:val="00C729E4"/>
    <w:rsid w:val="00C73F37"/>
    <w:rsid w:val="00C7433F"/>
    <w:rsid w:val="00C7516E"/>
    <w:rsid w:val="00C75770"/>
    <w:rsid w:val="00C8138C"/>
    <w:rsid w:val="00C86D86"/>
    <w:rsid w:val="00C90455"/>
    <w:rsid w:val="00C93AD6"/>
    <w:rsid w:val="00CA56BB"/>
    <w:rsid w:val="00CB0542"/>
    <w:rsid w:val="00CB5DB5"/>
    <w:rsid w:val="00CC2F26"/>
    <w:rsid w:val="00CD1078"/>
    <w:rsid w:val="00CE2DCC"/>
    <w:rsid w:val="00CF3F9A"/>
    <w:rsid w:val="00D00B2B"/>
    <w:rsid w:val="00D0320F"/>
    <w:rsid w:val="00D10294"/>
    <w:rsid w:val="00D174CA"/>
    <w:rsid w:val="00D24877"/>
    <w:rsid w:val="00D25DC0"/>
    <w:rsid w:val="00D2628E"/>
    <w:rsid w:val="00D3730D"/>
    <w:rsid w:val="00D63318"/>
    <w:rsid w:val="00D7105A"/>
    <w:rsid w:val="00D8250F"/>
    <w:rsid w:val="00D86BB3"/>
    <w:rsid w:val="00D95C4C"/>
    <w:rsid w:val="00D96178"/>
    <w:rsid w:val="00D974F2"/>
    <w:rsid w:val="00DA2A6E"/>
    <w:rsid w:val="00DA36ED"/>
    <w:rsid w:val="00DB0F2C"/>
    <w:rsid w:val="00DB439D"/>
    <w:rsid w:val="00DC34EC"/>
    <w:rsid w:val="00DC49CB"/>
    <w:rsid w:val="00DD59F7"/>
    <w:rsid w:val="00DE34F1"/>
    <w:rsid w:val="00DE6160"/>
    <w:rsid w:val="00DF48A7"/>
    <w:rsid w:val="00DF4942"/>
    <w:rsid w:val="00E14351"/>
    <w:rsid w:val="00E15573"/>
    <w:rsid w:val="00E2125F"/>
    <w:rsid w:val="00E244E1"/>
    <w:rsid w:val="00E24968"/>
    <w:rsid w:val="00E259FA"/>
    <w:rsid w:val="00E325EC"/>
    <w:rsid w:val="00E4150C"/>
    <w:rsid w:val="00E50F11"/>
    <w:rsid w:val="00E627B1"/>
    <w:rsid w:val="00E6383D"/>
    <w:rsid w:val="00E70169"/>
    <w:rsid w:val="00E72F23"/>
    <w:rsid w:val="00E87A31"/>
    <w:rsid w:val="00E9356D"/>
    <w:rsid w:val="00E9376C"/>
    <w:rsid w:val="00E9540E"/>
    <w:rsid w:val="00E95AE2"/>
    <w:rsid w:val="00EA335E"/>
    <w:rsid w:val="00EA528C"/>
    <w:rsid w:val="00EA5413"/>
    <w:rsid w:val="00EA580C"/>
    <w:rsid w:val="00EC2BA3"/>
    <w:rsid w:val="00EC6850"/>
    <w:rsid w:val="00EC6F8D"/>
    <w:rsid w:val="00EC6FAB"/>
    <w:rsid w:val="00ED05DE"/>
    <w:rsid w:val="00ED39B2"/>
    <w:rsid w:val="00ED5301"/>
    <w:rsid w:val="00EE49F4"/>
    <w:rsid w:val="00EF34E2"/>
    <w:rsid w:val="00EF3EB7"/>
    <w:rsid w:val="00EF44A3"/>
    <w:rsid w:val="00EF6E27"/>
    <w:rsid w:val="00F03896"/>
    <w:rsid w:val="00F07415"/>
    <w:rsid w:val="00F30DC6"/>
    <w:rsid w:val="00F31F96"/>
    <w:rsid w:val="00F32C23"/>
    <w:rsid w:val="00F36967"/>
    <w:rsid w:val="00F40F16"/>
    <w:rsid w:val="00F41FC2"/>
    <w:rsid w:val="00F45181"/>
    <w:rsid w:val="00F53DE9"/>
    <w:rsid w:val="00F576CB"/>
    <w:rsid w:val="00F7035D"/>
    <w:rsid w:val="00F70CC5"/>
    <w:rsid w:val="00F71A02"/>
    <w:rsid w:val="00F864D2"/>
    <w:rsid w:val="00F86F88"/>
    <w:rsid w:val="00F9167F"/>
    <w:rsid w:val="00FA0D63"/>
    <w:rsid w:val="00FA3F25"/>
    <w:rsid w:val="00FC3F5E"/>
    <w:rsid w:val="00FD01AD"/>
    <w:rsid w:val="00FD1226"/>
    <w:rsid w:val="00FD4BC8"/>
    <w:rsid w:val="00FF4763"/>
    <w:rsid w:val="00FF4830"/>
    <w:rsid w:val="00FF661E"/>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lang w:val="en-GB"/>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sz w:val="16"/>
      <w:szCs w:val="16"/>
    </w:rPr>
  </w:style>
  <w:style w:type="character" w:customStyle="1" w:styleId="BalloonTextChar">
    <w:name w:val="Balloon Text Char"/>
    <w:link w:val="BalloonText"/>
    <w:uiPriority w:val="99"/>
    <w:semiHidden/>
    <w:rsid w:val="008724E5"/>
    <w:rPr>
      <w:rFonts w:ascii="Tahoma" w:hAnsi="Tahoma" w:cs="Arial"/>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cs="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Arial"/>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sz w:val="22"/>
      <w:szCs w:val="22"/>
      <w:u w:val="single"/>
    </w:rPr>
  </w:style>
  <w:style w:type="table" w:customStyle="1" w:styleId="TableGrid1">
    <w:name w:val="Table Grid1"/>
    <w:basedOn w:val="TableNormal"/>
    <w:next w:val="TableGrid"/>
    <w:uiPriority w:val="59"/>
    <w:rsid w:val="00E95A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unhideWhenUsed/>
    <w:rsid w:val="004313C4"/>
    <w:rPr>
      <w:sz w:val="20"/>
      <w:szCs w:val="20"/>
    </w:rPr>
  </w:style>
  <w:style w:type="character" w:customStyle="1" w:styleId="FootnoteTextChar">
    <w:name w:val="Footnote Text Char"/>
    <w:basedOn w:val="DefaultParagraphFont"/>
    <w:link w:val="FootnoteText"/>
    <w:uiPriority w:val="99"/>
    <w:rsid w:val="004313C4"/>
    <w:rPr>
      <w:rFonts w:ascii="Times New Roman" w:eastAsia="Times New Roman" w:hAnsi="Times New Roman" w:cs="Arial"/>
    </w:rPr>
  </w:style>
  <w:style w:type="character" w:styleId="FootnoteReference">
    <w:name w:val="footnote reference"/>
    <w:basedOn w:val="DefaultParagraphFont"/>
    <w:uiPriority w:val="99"/>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sz w:val="22"/>
      <w:szCs w:val="22"/>
      <w:u w:val="single"/>
    </w:rPr>
  </w:style>
  <w:style w:type="paragraph" w:customStyle="1" w:styleId="GAPara">
    <w:name w:val="GA Para"/>
    <w:qFormat/>
    <w:rsid w:val="00882FA2"/>
    <w:pPr>
      <w:spacing w:after="120"/>
      <w:ind w:left="720" w:hanging="360"/>
    </w:pPr>
    <w:rPr>
      <w:rFonts w:ascii="Arial" w:eastAsia="Times New Roman" w:hAnsi="Arial"/>
      <w:snapToGrid w:val="0"/>
      <w:sz w:val="22"/>
      <w:szCs w:val="22"/>
      <w:lang w:val="en-GB" w:eastAsia="en-US"/>
    </w:rPr>
  </w:style>
  <w:style w:type="character" w:styleId="Hyperlink">
    <w:name w:val="Hyperlink"/>
    <w:unhideWhenUsed/>
    <w:rsid w:val="00882FA2"/>
    <w:rPr>
      <w:color w:val="0000FF"/>
      <w:u w:val="single"/>
    </w:rPr>
  </w:style>
  <w:style w:type="character" w:styleId="FollowedHyperlink">
    <w:name w:val="FollowedHyperlink"/>
    <w:basedOn w:val="DefaultParagraphFont"/>
    <w:uiPriority w:val="99"/>
    <w:semiHidden/>
    <w:unhideWhenUsed/>
    <w:rsid w:val="00882FA2"/>
    <w:rPr>
      <w:color w:val="800080" w:themeColor="followedHyperlink"/>
      <w:u w:val="single"/>
    </w:rPr>
  </w:style>
  <w:style w:type="character" w:customStyle="1" w:styleId="Mentionnonrsolue1">
    <w:name w:val="Mention non résolue1"/>
    <w:basedOn w:val="DefaultParagraphFont"/>
    <w:uiPriority w:val="99"/>
    <w:semiHidden/>
    <w:unhideWhenUsed/>
    <w:rsid w:val="00976D68"/>
    <w:rPr>
      <w:color w:val="605E5C"/>
      <w:shd w:val="clear" w:color="auto" w:fill="E1DFDD"/>
    </w:rPr>
  </w:style>
  <w:style w:type="character" w:styleId="CommentReference">
    <w:name w:val="annotation reference"/>
    <w:basedOn w:val="DefaultParagraphFont"/>
    <w:uiPriority w:val="99"/>
    <w:semiHidden/>
    <w:unhideWhenUsed/>
    <w:rsid w:val="00843C34"/>
    <w:rPr>
      <w:sz w:val="16"/>
      <w:szCs w:val="16"/>
    </w:rPr>
  </w:style>
  <w:style w:type="paragraph" w:styleId="CommentText">
    <w:name w:val="annotation text"/>
    <w:basedOn w:val="Normal"/>
    <w:link w:val="CommentTextChar"/>
    <w:uiPriority w:val="99"/>
    <w:unhideWhenUsed/>
    <w:rsid w:val="00843C34"/>
    <w:rPr>
      <w:sz w:val="20"/>
      <w:szCs w:val="20"/>
    </w:rPr>
  </w:style>
  <w:style w:type="character" w:customStyle="1" w:styleId="CommentTextChar">
    <w:name w:val="Comment Text Char"/>
    <w:basedOn w:val="DefaultParagraphFont"/>
    <w:link w:val="CommentText"/>
    <w:uiPriority w:val="99"/>
    <w:rsid w:val="00843C34"/>
    <w:rPr>
      <w:rFonts w:ascii="Times New Roman" w:eastAsia="Times New Roman" w:hAnsi="Times New Roman" w:cs="Arial"/>
    </w:rPr>
  </w:style>
  <w:style w:type="paragraph" w:styleId="CommentSubject">
    <w:name w:val="annotation subject"/>
    <w:basedOn w:val="CommentText"/>
    <w:next w:val="CommentText"/>
    <w:link w:val="CommentSubjectChar"/>
    <w:uiPriority w:val="99"/>
    <w:semiHidden/>
    <w:unhideWhenUsed/>
    <w:rsid w:val="00843C34"/>
    <w:rPr>
      <w:b/>
      <w:bCs/>
    </w:rPr>
  </w:style>
  <w:style w:type="character" w:customStyle="1" w:styleId="CommentSubjectChar">
    <w:name w:val="Comment Subject Char"/>
    <w:basedOn w:val="CommentTextChar"/>
    <w:link w:val="CommentSubject"/>
    <w:uiPriority w:val="99"/>
    <w:semiHidden/>
    <w:rsid w:val="00843C34"/>
    <w:rPr>
      <w:rFonts w:ascii="Times New Roman" w:eastAsia="Times New Roman" w:hAnsi="Times New Roman" w:cs="Arial"/>
      <w:b/>
      <w:bCs/>
    </w:rPr>
  </w:style>
  <w:style w:type="character" w:customStyle="1" w:styleId="hps">
    <w:name w:val="hps"/>
    <w:rsid w:val="00D96178"/>
  </w:style>
  <w:style w:type="paragraph" w:customStyle="1" w:styleId="COMParabodytext">
    <w:name w:val="COM Para body text"/>
    <w:basedOn w:val="Normal"/>
    <w:qFormat/>
    <w:rsid w:val="00E9356D"/>
    <w:pPr>
      <w:tabs>
        <w:tab w:val="left" w:pos="567"/>
      </w:tabs>
      <w:snapToGrid w:val="0"/>
      <w:spacing w:after="120"/>
      <w:jc w:val="both"/>
    </w:pPr>
    <w:rPr>
      <w:rFonts w:ascii="Arial" w:hAnsi="Arial"/>
      <w:snapToGrid w:val="0"/>
      <w:sz w:val="22"/>
      <w:szCs w:val="22"/>
      <w:lang w:val="en-US" w:eastAsia="en-US"/>
    </w:rPr>
  </w:style>
  <w:style w:type="paragraph" w:styleId="Revision">
    <w:name w:val="Revision"/>
    <w:hidden/>
    <w:uiPriority w:val="99"/>
    <w:semiHidden/>
    <w:rsid w:val="00AB5E42"/>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6A2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doc/download.php?versionID=86634" TargetMode="External"/><Relationship Id="rId21" Type="http://schemas.openxmlformats.org/officeDocument/2006/relationships/hyperlink" Target="https://ich.unesco.org/doc/src/LHE-25-20.COM-10-EN.docx" TargetMode="External"/><Relationship Id="rId42" Type="http://schemas.openxmlformats.org/officeDocument/2006/relationships/hyperlink" Target="https://unesdoc.unesco.org/ark:/48223/pf0000392982_ara" TargetMode="External"/><Relationship Id="rId47" Type="http://schemas.openxmlformats.org/officeDocument/2006/relationships/hyperlink" Target="https://ich.unesco.org/en/facilitator" TargetMode="External"/><Relationship Id="rId63" Type="http://schemas.openxmlformats.org/officeDocument/2006/relationships/hyperlink" Target="https://ich.unesco.org/doc/src/LHE-26-11.GA-INF.8_EN.docx" TargetMode="External"/><Relationship Id="rId68" Type="http://schemas.openxmlformats.org/officeDocument/2006/relationships/hyperlink" Target="https://ich.unesco.org/en/decisions/10.COM/8" TargetMode="External"/><Relationship Id="rId2" Type="http://schemas.openxmlformats.org/officeDocument/2006/relationships/numbering" Target="numbering.xml"/><Relationship Id="rId16" Type="http://schemas.openxmlformats.org/officeDocument/2006/relationships/hyperlink" Target="https://ich.unesco.org/doc/src/LHE-25-20.COM-14_EN.docx?t=1764362577" TargetMode="External"/><Relationship Id="rId29" Type="http://schemas.openxmlformats.org/officeDocument/2006/relationships/hyperlink" Target="https://ich.unesco.org/doc/src/LHE-25-20.COM-5_EN.docx?t=1762809973" TargetMode="External"/><Relationship Id="rId11" Type="http://schemas.openxmlformats.org/officeDocument/2006/relationships/hyperlink" Target="https://ich.unesco.org/en/decisions/10.GA/8" TargetMode="External"/><Relationship Id="rId24" Type="http://schemas.openxmlformats.org/officeDocument/2006/relationships/hyperlink" Target="https://ich.unesco.org/doc/src/LHE-25-20.COM-14_EN.docx?t=1764362577" TargetMode="External"/><Relationship Id="rId32" Type="http://schemas.openxmlformats.org/officeDocument/2006/relationships/hyperlink" Target="http://ich.unesco.org/en/Decisions/16.COM/13" TargetMode="External"/><Relationship Id="rId37" Type="http://schemas.openxmlformats.org/officeDocument/2006/relationships/hyperlink" Target="https://ich.unesco.org/doc/src/LHE-25-20.COM-10-EN.docx" TargetMode="External"/><Relationship Id="rId40" Type="http://schemas.openxmlformats.org/officeDocument/2006/relationships/hyperlink" Target="https://ich.unesco.org/doc/src/ICH-Operational_Directives-10.GA_AR.pdf" TargetMode="External"/><Relationship Id="rId45" Type="http://schemas.openxmlformats.org/officeDocument/2006/relationships/hyperlink" Target="https://www.unesco.org/sites/default/files/medias/fichiers/2025/10/AR_MONDIACULT_Outcome_Document%20Final%20SENT%20BY%20PAX%2009.09.25_TC_.pdf?hub=171169" TargetMode="External"/><Relationship Id="rId53" Type="http://schemas.openxmlformats.org/officeDocument/2006/relationships/hyperlink" Target="https://ich.unesco.org/en/reflection-on-a-broader-implementation-of-article-18-01302" TargetMode="External"/><Relationship Id="rId58" Type="http://schemas.openxmlformats.org/officeDocument/2006/relationships/hyperlink" Target="https://ich.unesco.org/en/dive" TargetMode="External"/><Relationship Id="rId66" Type="http://schemas.openxmlformats.org/officeDocument/2006/relationships/hyperlink" Target="https://ich.unesco.org/en/decisions/20.COM/14" TargetMode="External"/><Relationship Id="rId5" Type="http://schemas.openxmlformats.org/officeDocument/2006/relationships/webSettings" Target="webSettings.xml"/><Relationship Id="rId61" Type="http://schemas.openxmlformats.org/officeDocument/2006/relationships/hyperlink" Target="https://ich.unesco.org/doc/src/LHE-26-11.GA-INF.8_EN.docx" TargetMode="External"/><Relationship Id="rId19" Type="http://schemas.openxmlformats.org/officeDocument/2006/relationships/hyperlink" Target="https://ich.unesco.org/doc/src/LHE-25-20.COM-14_EN.docx?t=1764362577" TargetMode="External"/><Relationship Id="rId14" Type="http://schemas.openxmlformats.org/officeDocument/2006/relationships/hyperlink" Target="https://ich.unesco.org/doc/src/LHE-26-11.GA-INF.8_EN.docx" TargetMode="External"/><Relationship Id="rId22" Type="http://schemas.openxmlformats.org/officeDocument/2006/relationships/hyperlink" Target="https://ich.unesco.org/doc/src/LHE-26-11.GA-INF.8_EN.docx" TargetMode="External"/><Relationship Id="rId27" Type="http://schemas.openxmlformats.org/officeDocument/2006/relationships/hyperlink" Target="https://ich.unesco.org/doc/src/07003-AR.doc?v=1282654943" TargetMode="External"/><Relationship Id="rId30" Type="http://schemas.openxmlformats.org/officeDocument/2006/relationships/hyperlink" Target="https://ich.unesco.org/doc/src/LHE-26-11.GA-6_AR.docx" TargetMode="External"/><Relationship Id="rId35" Type="http://schemas.openxmlformats.org/officeDocument/2006/relationships/hyperlink" Target="https://ich.unesco.org/en/Decisions/17.COM/11" TargetMode="External"/><Relationship Id="rId43" Type="http://schemas.openxmlformats.org/officeDocument/2006/relationships/hyperlink" Target="https://unesdoc.unesco.org/ark:/48223/pf0000396877_ara" TargetMode="External"/><Relationship Id="rId48" Type="http://schemas.openxmlformats.org/officeDocument/2006/relationships/hyperlink" Target="https://ich.unesco.org/doc/src/LHE-25-20.COM-6.c_EN.docx" TargetMode="External"/><Relationship Id="rId56" Type="http://schemas.openxmlformats.org/officeDocument/2006/relationships/hyperlink" Target="https://ich.unesco.org/en/decisions/19.COM/15" TargetMode="External"/><Relationship Id="rId64" Type="http://schemas.openxmlformats.org/officeDocument/2006/relationships/hyperlink" Target="https://unesdoc.unesco.org/ark:/48223/pf0000396877_ara" TargetMode="External"/><Relationship Id="rId69" Type="http://schemas.openxmlformats.org/officeDocument/2006/relationships/header" Target="header1.xml"/><Relationship Id="rId8" Type="http://schemas.openxmlformats.org/officeDocument/2006/relationships/hyperlink" Target="https://ich.unesco.org/en/decisions/20.COM/14" TargetMode="External"/><Relationship Id="rId51" Type="http://schemas.openxmlformats.org/officeDocument/2006/relationships/hyperlink" Target="https://ich.unesco.org/doc/src/LHE-25-20.COM-13_EN.docx"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ich.unesco.org/doc/src/LHE-24-10.GA-Resolutions_AR.docx?v=1721290675" TargetMode="External"/><Relationship Id="rId17" Type="http://schemas.openxmlformats.org/officeDocument/2006/relationships/hyperlink" Target="https://ich.unesco.org/doc/src/LHE-26-11.GA-6_AR.docx" TargetMode="External"/><Relationship Id="rId25" Type="http://schemas.openxmlformats.org/officeDocument/2006/relationships/hyperlink" Target="https://ich.unesco.org/doc/src/LHE-24-10.GA-8_AR.docx?v=1716576372" TargetMode="External"/><Relationship Id="rId33" Type="http://schemas.openxmlformats.org/officeDocument/2006/relationships/hyperlink" Target="http://ich.unesco.org/en/Decisions/16.COM/13" TargetMode="External"/><Relationship Id="rId38" Type="http://schemas.openxmlformats.org/officeDocument/2006/relationships/hyperlink" Target="https://ich.unesco.org/en/Decisions/7.GA/8" TargetMode="External"/><Relationship Id="rId46" Type="http://schemas.openxmlformats.org/officeDocument/2006/relationships/hyperlink" Target="https://ich.unesco.org/en/facilitator" TargetMode="External"/><Relationship Id="rId59" Type="http://schemas.openxmlformats.org/officeDocument/2006/relationships/hyperlink" Target="https://ich.unesco.org/en/decisions/19.COM/15" TargetMode="External"/><Relationship Id="rId67" Type="http://schemas.openxmlformats.org/officeDocument/2006/relationships/hyperlink" Target="https://ich.unesco.org/en/decisions/10.COM/8" TargetMode="External"/><Relationship Id="rId20" Type="http://schemas.openxmlformats.org/officeDocument/2006/relationships/chart" Target="charts/chart1.xml"/><Relationship Id="rId41" Type="http://schemas.openxmlformats.org/officeDocument/2006/relationships/hyperlink" Target="https://ich.unesco.org/en/Decisions/14.COM/7" TargetMode="External"/><Relationship Id="rId54" Type="http://schemas.openxmlformats.org/officeDocument/2006/relationships/hyperlink" Target="https://ich.unesco.org/en/towards-a-platform-for-sharing-good-safeguarding-experiences-01404" TargetMode="External"/><Relationship Id="rId62" Type="http://schemas.openxmlformats.org/officeDocument/2006/relationships/hyperlink" Target="https://ich.unesco.org/en/decisions/20.COM/14"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LHE-26-11.GA-INF.8_EN.docx" TargetMode="External"/><Relationship Id="rId23" Type="http://schemas.openxmlformats.org/officeDocument/2006/relationships/image" Target="media/image1.png"/><Relationship Id="rId28" Type="http://schemas.openxmlformats.org/officeDocument/2006/relationships/hyperlink" Target="https://ich.unesco.org/doc/src/LHE-20-8.GA-Resolutions-AR.docx?v=1777896132" TargetMode="External"/><Relationship Id="rId36" Type="http://schemas.openxmlformats.org/officeDocument/2006/relationships/hyperlink" Target="https://ich.unesco.org/en/Decisions/17.COM/11" TargetMode="External"/><Relationship Id="rId49" Type="http://schemas.openxmlformats.org/officeDocument/2006/relationships/hyperlink" Target="https://ich.unesco.org/en/seoul-vision-01330" TargetMode="External"/><Relationship Id="rId57" Type="http://schemas.openxmlformats.org/officeDocument/2006/relationships/hyperlink" Target="https://www.unesco.org/sites/default/files/medias/fichiers/2025/10/AR_MONDIACULT_Outcome_Document%20Final%20SENT%20BY%20PAX%2009.09.25_TC_.pdf?hub=171169" TargetMode="External"/><Relationship Id="rId10" Type="http://schemas.openxmlformats.org/officeDocument/2006/relationships/hyperlink" Target="https://ich.unesco.org/doc/src/LHE-26-11.GA-INF.8_EN.docx" TargetMode="External"/><Relationship Id="rId31" Type="http://schemas.openxmlformats.org/officeDocument/2006/relationships/hyperlink" Target="https://ich.unesco.org/doc/src/LHE-21-16.COM-INF.10_Rev.-EN.pdf" TargetMode="External"/><Relationship Id="rId44" Type="http://schemas.openxmlformats.org/officeDocument/2006/relationships/hyperlink" Target="https://ich.unesco.org/en/decisions/20.COM/14" TargetMode="External"/><Relationship Id="rId52" Type="http://schemas.openxmlformats.org/officeDocument/2006/relationships/hyperlink" Target="https://ich.unesco.org/doc/src/LHE-25-20.COM-INF.13.2_EN.docx" TargetMode="External"/><Relationship Id="rId60" Type="http://schemas.openxmlformats.org/officeDocument/2006/relationships/hyperlink" Target="https://ich.unesco.org/doc/src/LHE-24-10.GA-Resolutions_AR.docx?v=1721290675" TargetMode="External"/><Relationship Id="rId65" Type="http://schemas.openxmlformats.org/officeDocument/2006/relationships/hyperlink" Target="https://ich.unesco.org/en/decisions/20.COM/13"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doc/src/ICH-Operational_Directives-10.GA_AR.pdf" TargetMode="External"/><Relationship Id="rId13" Type="http://schemas.openxmlformats.org/officeDocument/2006/relationships/hyperlink" Target="https://ich.unesco.org/en/decisions/20.COM/13" TargetMode="External"/><Relationship Id="rId18" Type="http://schemas.openxmlformats.org/officeDocument/2006/relationships/hyperlink" Target="https://ich.unesco.org/doc/src/LHE-26-11.GA-INF.8_EN.docx" TargetMode="External"/><Relationship Id="rId39" Type="http://schemas.openxmlformats.org/officeDocument/2006/relationships/hyperlink" Target="https://ich.unesco.org/doc/src/ITH-18-7.GA-Resolutions-AR.docx?v=1532091840" TargetMode="External"/><Relationship Id="rId34" Type="http://schemas.openxmlformats.org/officeDocument/2006/relationships/hyperlink" Target="https://ich.unesco.org/en/decisions/20.COM/14" TargetMode="External"/><Relationship Id="rId50" Type="http://schemas.openxmlformats.org/officeDocument/2006/relationships/hyperlink" Target="https://www.unesco.org/sites/default/files/medias/fichiers/2024/04/WCCAE_UNESCO%20Framework_EN_CLT-EDWCCAE20241.pdf" TargetMode="External"/><Relationship Id="rId55" Type="http://schemas.openxmlformats.org/officeDocument/2006/relationships/hyperlink" Target="https://ich.unesco.org/doc/src/LHE-25-20.COM-6.c_EN.docx" TargetMode="External"/><Relationship Id="rId7" Type="http://schemas.openxmlformats.org/officeDocument/2006/relationships/endnotes" Target="endnotes.xml"/><Relationship Id="rId71"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Decisions/8.COM/7.c" TargetMode="External"/><Relationship Id="rId2" Type="http://schemas.openxmlformats.org/officeDocument/2006/relationships/hyperlink" Target="https://ich.unesco.org/en/Decisions/8.COM/7.c" TargetMode="External"/><Relationship Id="rId1" Type="http://schemas.openxmlformats.org/officeDocument/2006/relationships/hyperlink" Target="https://unesco.sharepoint.com/sites/ms/en-US/Shared%20Documents/Forms/AssessedContributions.aspx?id=%2Fsites%2Fms%2Fen%2DUS%2FShared%20Documents%2FMember%20States%20Assessed%20Contributions%2FICH%2DStatus%2Dof%2DContributions%2Epdf&amp;parent=%2Fsites%2F" TargetMode="External"/><Relationship Id="rId5" Type="http://schemas.openxmlformats.org/officeDocument/2006/relationships/hyperlink" Target="https://unesdoc.unesco.org/ark:/48223/pf0000392982_ara" TargetMode="External"/><Relationship Id="rId4" Type="http://schemas.openxmlformats.org/officeDocument/2006/relationships/hyperlink" Target="https://unesdoc.unesco.org/ark:/48223/pf0000392982_ar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hqfs\OurDrive\CLT\ProgrammeExecution\2003Convention\2003-StatutoryMeetings\2024\2024-06%2010.GA_Paris\Documents\08_10GA_Use%20of%20the%20resources%20of%20the%20ICH%20Fund\Background%20documents\8_GA%20Trends%20on%20the%20use%20of%20the%20ICH%20Fund%20A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796339511880176E-2"/>
          <c:y val="6.0913681920911629E-2"/>
          <c:w val="0.89390480199696487"/>
          <c:h val="0.79428696412948385"/>
        </c:manualLayout>
      </c:layout>
      <c:lineChart>
        <c:grouping val="standard"/>
        <c:varyColors val="0"/>
        <c:ser>
          <c:idx val="0"/>
          <c:order val="0"/>
          <c:tx>
            <c:strRef>
              <c:f>Expenditures!$C$4</c:f>
              <c:strCache>
                <c:ptCount val="1"/>
                <c:pt idx="0">
                  <c:v>الميزانية المعتمدة لفترة السنتين</c:v>
                </c:pt>
              </c:strCache>
            </c:strRef>
          </c:tx>
          <c:spPr>
            <a:ln w="34925" cap="rnd">
              <a:solidFill>
                <a:schemeClr val="accent1"/>
              </a:solidFill>
              <a:prstDash val="sysDash"/>
              <a:round/>
            </a:ln>
            <a:effectLst>
              <a:outerShdw blurRad="57150" dist="19050" dir="5400000" algn="ctr" rotWithShape="0">
                <a:srgbClr val="000000">
                  <a:alpha val="63000"/>
                </a:srgbClr>
              </a:outerShdw>
            </a:effectLst>
          </c:spPr>
          <c:marker>
            <c:symbol val="none"/>
          </c:marker>
          <c:dLbls>
            <c:delete val="1"/>
          </c:dLbls>
          <c:cat>
            <c:strRef>
              <c:f>Expenditures!$B$5:$B$10</c:f>
              <c:strCache>
                <c:ptCount val="6"/>
                <c:pt idx="0">
                  <c:v>36 جيم/5 فترة السنتين
(2013-2012)</c:v>
                </c:pt>
                <c:pt idx="1">
                  <c:v>37 جيم/5 فترة السنتين
(2015-2014)</c:v>
                </c:pt>
                <c:pt idx="2">
                  <c:v>38 جيم/5 فترة السنتين
(2017-2016)</c:v>
                </c:pt>
                <c:pt idx="3">
                  <c:v>39 جيم/5 فترة السنتين
(2019-2018)</c:v>
                </c:pt>
                <c:pt idx="4">
                  <c:v>40 جيم/5 فترة السنتين
(2021-2020)</c:v>
                </c:pt>
                <c:pt idx="5">
                  <c:v>41 جيم/5 فترة السنتين
(2022-2023)</c:v>
                </c:pt>
              </c:strCache>
            </c:strRef>
          </c:cat>
          <c:val>
            <c:numRef>
              <c:f>Expenditures!$C$5:$C$10</c:f>
              <c:numCache>
                <c:formatCode>#,##0</c:formatCode>
                <c:ptCount val="6"/>
                <c:pt idx="0">
                  <c:v>5846780</c:v>
                </c:pt>
                <c:pt idx="1">
                  <c:v>6755438</c:v>
                </c:pt>
                <c:pt idx="2">
                  <c:v>7977920</c:v>
                </c:pt>
                <c:pt idx="3">
                  <c:v>8590922</c:v>
                </c:pt>
                <c:pt idx="4">
                  <c:v>7840379</c:v>
                </c:pt>
                <c:pt idx="5">
                  <c:v>8732653</c:v>
                </c:pt>
              </c:numCache>
            </c:numRef>
          </c:val>
          <c:smooth val="0"/>
          <c:extLst xmlns:c15="http://schemas.microsoft.com/office/drawing/2012/chart">
            <c:ext xmlns:c16="http://schemas.microsoft.com/office/drawing/2014/chart" uri="{C3380CC4-5D6E-409C-BE32-E72D297353CC}">
              <c16:uniqueId val="{00000000-47C4-48E1-9542-EAABB1155467}"/>
            </c:ext>
          </c:extLst>
        </c:ser>
        <c:ser>
          <c:idx val="1"/>
          <c:order val="1"/>
          <c:tx>
            <c:strRef>
              <c:f>Expenditures!$D$4</c:f>
              <c:strCache>
                <c:ptCount val="1"/>
                <c:pt idx="0">
                  <c:v>النفقات</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elete val="1"/>
          </c:dLbls>
          <c:cat>
            <c:strRef>
              <c:f>Expenditures!$B$5:$B$10</c:f>
              <c:strCache>
                <c:ptCount val="6"/>
                <c:pt idx="0">
                  <c:v>36 جيم/5 فترة السنتين
(2013-2012)</c:v>
                </c:pt>
                <c:pt idx="1">
                  <c:v>37 جيم/5 فترة السنتين
(2015-2014)</c:v>
                </c:pt>
                <c:pt idx="2">
                  <c:v>38 جيم/5 فترة السنتين
(2017-2016)</c:v>
                </c:pt>
                <c:pt idx="3">
                  <c:v>39 جيم/5 فترة السنتين
(2019-2018)</c:v>
                </c:pt>
                <c:pt idx="4">
                  <c:v>40 جيم/5 فترة السنتين
(2021-2020)</c:v>
                </c:pt>
                <c:pt idx="5">
                  <c:v>41 جيم/5 فترة السنتين
(2022-2023)</c:v>
                </c:pt>
              </c:strCache>
            </c:strRef>
          </c:cat>
          <c:val>
            <c:numRef>
              <c:f>Expenditures!$D$5:$D$10</c:f>
              <c:numCache>
                <c:formatCode>_-* #\ ##0\ _€_-;\-* #\ ##0\ _€_-;_-* "-"??\ _€_-;_-@_-</c:formatCode>
                <c:ptCount val="6"/>
                <c:pt idx="0">
                  <c:v>2919571.91</c:v>
                </c:pt>
                <c:pt idx="1">
                  <c:v>2441884.11</c:v>
                </c:pt>
                <c:pt idx="2">
                  <c:v>3609487.97</c:v>
                </c:pt>
                <c:pt idx="3">
                  <c:v>5400185.3399999999</c:v>
                </c:pt>
                <c:pt idx="4">
                  <c:v>3614061</c:v>
                </c:pt>
                <c:pt idx="5">
                  <c:v>6394728</c:v>
                </c:pt>
              </c:numCache>
            </c:numRef>
          </c:val>
          <c:smooth val="0"/>
          <c:extLst>
            <c:ext xmlns:c16="http://schemas.microsoft.com/office/drawing/2014/chart" uri="{C3380CC4-5D6E-409C-BE32-E72D297353CC}">
              <c16:uniqueId val="{00000001-47C4-48E1-9542-EAABB1155467}"/>
            </c:ext>
          </c:extLst>
        </c:ser>
        <c:ser>
          <c:idx val="4"/>
          <c:order val="4"/>
          <c:tx>
            <c:strRef>
              <c:f>Expenditures!$G$4</c:f>
              <c:strCache>
                <c:ptCount val="1"/>
                <c:pt idx="0">
                  <c:v>المساهمات المقررة الإلزامية في الفترة2022-2023  </c:v>
                </c:pt>
              </c:strCache>
            </c:strRef>
          </c:tx>
          <c:spPr>
            <a:ln w="34925" cap="rnd">
              <a:solidFill>
                <a:schemeClr val="tx1"/>
              </a:solidFill>
              <a:prstDash val="sysDot"/>
              <a:round/>
            </a:ln>
            <a:effectLst>
              <a:outerShdw blurRad="57150" dist="19050" dir="5400000" algn="ctr" rotWithShape="0">
                <a:srgbClr val="000000">
                  <a:alpha val="63000"/>
                </a:srgbClr>
              </a:outerShdw>
            </a:effectLst>
          </c:spPr>
          <c:marker>
            <c:symbol val="none"/>
          </c:marker>
          <c:dLbls>
            <c:delete val="1"/>
          </c:dLbls>
          <c:cat>
            <c:strRef>
              <c:f>Expenditures!$B$5:$B$10</c:f>
              <c:strCache>
                <c:ptCount val="6"/>
                <c:pt idx="0">
                  <c:v>36 جيم/5 فترة السنتين
(2013-2012)</c:v>
                </c:pt>
                <c:pt idx="1">
                  <c:v>37 جيم/5 فترة السنتين
(2015-2014)</c:v>
                </c:pt>
                <c:pt idx="2">
                  <c:v>38 جيم/5 فترة السنتين
(2017-2016)</c:v>
                </c:pt>
                <c:pt idx="3">
                  <c:v>39 جيم/5 فترة السنتين
(2019-2018)</c:v>
                </c:pt>
                <c:pt idx="4">
                  <c:v>40 جيم/5 فترة السنتين
(2021-2020)</c:v>
                </c:pt>
                <c:pt idx="5">
                  <c:v>41 جيم/5 فترة السنتين
(2022-2023)</c:v>
                </c:pt>
              </c:strCache>
            </c:strRef>
          </c:cat>
          <c:val>
            <c:numRef>
              <c:f>Expenditures!$G$5:$G$10</c:f>
              <c:numCache>
                <c:formatCode>_-* #\ ##0\ _€_-;\-* #\ ##0\ _€_-;_-* "-"??\ _€_-;_-@_-</c:formatCode>
                <c:ptCount val="6"/>
                <c:pt idx="0">
                  <c:v>3956410</c:v>
                </c:pt>
                <c:pt idx="1">
                  <c:v>3956410</c:v>
                </c:pt>
                <c:pt idx="2">
                  <c:v>3956410</c:v>
                </c:pt>
                <c:pt idx="3">
                  <c:v>3956410</c:v>
                </c:pt>
                <c:pt idx="4">
                  <c:v>3956410</c:v>
                </c:pt>
                <c:pt idx="5">
                  <c:v>3956410</c:v>
                </c:pt>
              </c:numCache>
            </c:numRef>
          </c:val>
          <c:smooth val="0"/>
          <c:extLst>
            <c:ext xmlns:c16="http://schemas.microsoft.com/office/drawing/2014/chart" uri="{C3380CC4-5D6E-409C-BE32-E72D297353CC}">
              <c16:uniqueId val="{00000002-47C4-48E1-9542-EAABB1155467}"/>
            </c:ext>
          </c:extLst>
        </c:ser>
        <c:dLbls>
          <c:dLblPos val="ctr"/>
          <c:showLegendKey val="0"/>
          <c:showVal val="1"/>
          <c:showCatName val="0"/>
          <c:showSerName val="0"/>
          <c:showPercent val="0"/>
          <c:showBubbleSize val="0"/>
        </c:dLbls>
        <c:smooth val="0"/>
        <c:axId val="502461904"/>
        <c:axId val="502462232"/>
        <c:extLst>
          <c:ext xmlns:c15="http://schemas.microsoft.com/office/drawing/2012/chart" uri="{02D57815-91ED-43cb-92C2-25804820EDAC}">
            <c15:filteredLineSeries>
              <c15:ser>
                <c:idx val="3"/>
                <c:order val="2"/>
                <c:tx>
                  <c:strRef>
                    <c:extLst>
                      <c:ext uri="{02D57815-91ED-43cb-92C2-25804820EDAC}">
                        <c15:formulaRef>
                          <c15:sqref>Expenditures!$E$4</c15:sqref>
                        </c15:formulaRef>
                      </c:ext>
                    </c:extLst>
                    <c:strCache>
                      <c:ptCount val="1"/>
                      <c:pt idx="0">
                        <c:v>Unspent balance</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dPt>
                  <c:idx val="2"/>
                  <c:marker>
                    <c:symbol val="none"/>
                  </c:marker>
                  <c:bubble3D val="0"/>
                  <c:extLst>
                    <c:ext xmlns:c16="http://schemas.microsoft.com/office/drawing/2014/chart" uri="{C3380CC4-5D6E-409C-BE32-E72D297353CC}">
                      <c16:uniqueId val="{00000003-47C4-48E1-9542-EAABB115546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Expenditures!$B$5:$B$10</c15:sqref>
                        </c15:formulaRef>
                      </c:ext>
                    </c:extLst>
                    <c:strCache>
                      <c:ptCount val="6"/>
                      <c:pt idx="0">
                        <c:v>36 جيم/5 فترة السنتين
(2013-2012)</c:v>
                      </c:pt>
                      <c:pt idx="1">
                        <c:v>37 جيم/5 فترة السنتين
(2015-2014)</c:v>
                      </c:pt>
                      <c:pt idx="2">
                        <c:v>38 جيم/5 فترة السنتين
(2017-2016)</c:v>
                      </c:pt>
                      <c:pt idx="3">
                        <c:v>39 جيم/5 فترة السنتين
(2019-2018)</c:v>
                      </c:pt>
                      <c:pt idx="4">
                        <c:v>40 جيم/5 فترة السنتين
(2021-2020)</c:v>
                      </c:pt>
                      <c:pt idx="5">
                        <c:v>41 جيم/5 فترة السنتين
(2022-2023)</c:v>
                      </c:pt>
                    </c:strCache>
                  </c:strRef>
                </c:cat>
                <c:val>
                  <c:numRef>
                    <c:extLst>
                      <c:ext uri="{02D57815-91ED-43cb-92C2-25804820EDAC}">
                        <c15:formulaRef>
                          <c15:sqref>Expenditures!$E$5:$E$9</c15:sqref>
                        </c15:formulaRef>
                      </c:ext>
                    </c:extLst>
                    <c:numCache>
                      <c:formatCode>_-* #\ ##0\ _€_-;\-* #\ ##0\ _€_-;_-* "-"??\ _€_-;_-@_-</c:formatCode>
                      <c:ptCount val="5"/>
                      <c:pt idx="0">
                        <c:v>2927208.09</c:v>
                      </c:pt>
                      <c:pt idx="1">
                        <c:v>4313553.8900000006</c:v>
                      </c:pt>
                      <c:pt idx="2">
                        <c:v>4368432.0299999993</c:v>
                      </c:pt>
                      <c:pt idx="3">
                        <c:v>3190736.66</c:v>
                      </c:pt>
                      <c:pt idx="4">
                        <c:v>4226318</c:v>
                      </c:pt>
                    </c:numCache>
                  </c:numRef>
                </c:val>
                <c:smooth val="0"/>
                <c:extLst>
                  <c:ext xmlns:c16="http://schemas.microsoft.com/office/drawing/2014/chart" uri="{C3380CC4-5D6E-409C-BE32-E72D297353CC}">
                    <c16:uniqueId val="{00000004-47C4-48E1-9542-EAABB1155467}"/>
                  </c:ext>
                </c:extLst>
              </c15:ser>
            </c15:filteredLineSeries>
            <c15:filteredLineSeries>
              <c15:ser>
                <c:idx val="2"/>
                <c:order val="3"/>
                <c:tx>
                  <c:strRef>
                    <c:extLst xmlns:c15="http://schemas.microsoft.com/office/drawing/2012/chart">
                      <c:ext xmlns:c15="http://schemas.microsoft.com/office/drawing/2012/chart" uri="{02D57815-91ED-43cb-92C2-25804820EDAC}">
                        <c15:formulaRef>
                          <c15:sqref>Expenditures!$F$4</c15:sqref>
                        </c15:formulaRef>
                      </c:ext>
                    </c:extLst>
                    <c:strCache>
                      <c:ptCount val="1"/>
                      <c:pt idx="0">
                        <c:v>Implementation rate </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Expenditures!$B$5:$B$10</c15:sqref>
                        </c15:formulaRef>
                      </c:ext>
                    </c:extLst>
                    <c:strCache>
                      <c:ptCount val="6"/>
                      <c:pt idx="0">
                        <c:v>36 جيم/5 فترة السنتين
(2013-2012)</c:v>
                      </c:pt>
                      <c:pt idx="1">
                        <c:v>37 جيم/5 فترة السنتين
(2015-2014)</c:v>
                      </c:pt>
                      <c:pt idx="2">
                        <c:v>38 جيم/5 فترة السنتين
(2017-2016)</c:v>
                      </c:pt>
                      <c:pt idx="3">
                        <c:v>39 جيم/5 فترة السنتين
(2019-2018)</c:v>
                      </c:pt>
                      <c:pt idx="4">
                        <c:v>40 جيم/5 فترة السنتين
(2021-2020)</c:v>
                      </c:pt>
                      <c:pt idx="5">
                        <c:v>41 جيم/5 فترة السنتين
(2022-2023)</c:v>
                      </c:pt>
                    </c:strCache>
                  </c:strRef>
                </c:cat>
                <c:val>
                  <c:numRef>
                    <c:extLst xmlns:c15="http://schemas.microsoft.com/office/drawing/2012/chart">
                      <c:ext xmlns:c15="http://schemas.microsoft.com/office/drawing/2012/chart" uri="{02D57815-91ED-43cb-92C2-25804820EDAC}">
                        <c15:formulaRef>
                          <c15:sqref>Expenditures!$F$5:$F$9</c15:sqref>
                        </c15:formulaRef>
                      </c:ext>
                    </c:extLst>
                    <c:numCache>
                      <c:formatCode>0%</c:formatCode>
                      <c:ptCount val="5"/>
                      <c:pt idx="0">
                        <c:v>0.49934697560024494</c:v>
                      </c:pt>
                      <c:pt idx="1">
                        <c:v>0.36099999999999999</c:v>
                      </c:pt>
                      <c:pt idx="2">
                        <c:v>0.45243471606634311</c:v>
                      </c:pt>
                      <c:pt idx="3">
                        <c:v>0.62859205798865359</c:v>
                      </c:pt>
                      <c:pt idx="4">
                        <c:v>0.46095488496155607</c:v>
                      </c:pt>
                    </c:numCache>
                  </c:numRef>
                </c:val>
                <c:smooth val="0"/>
                <c:extLst xmlns:c15="http://schemas.microsoft.com/office/drawing/2012/chart">
                  <c:ext xmlns:c16="http://schemas.microsoft.com/office/drawing/2014/chart" uri="{C3380CC4-5D6E-409C-BE32-E72D297353CC}">
                    <c16:uniqueId val="{00000005-47C4-48E1-9542-EAABB1155467}"/>
                  </c:ext>
                </c:extLst>
              </c15:ser>
            </c15:filteredLineSeries>
          </c:ext>
        </c:extLst>
      </c:lineChart>
      <c:catAx>
        <c:axId val="5024619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2462232"/>
        <c:crosses val="autoZero"/>
        <c:auto val="1"/>
        <c:lblAlgn val="ctr"/>
        <c:lblOffset val="100"/>
        <c:noMultiLvlLbl val="0"/>
      </c:catAx>
      <c:valAx>
        <c:axId val="502462232"/>
        <c:scaling>
          <c:orientation val="minMax"/>
          <c:max val="96000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2461904"/>
        <c:crosses val="autoZero"/>
        <c:crossBetween val="between"/>
      </c:valAx>
      <c:spPr>
        <a:noFill/>
        <a:ln>
          <a:noFill/>
        </a:ln>
        <a:effectLst/>
      </c:spPr>
    </c:plotArea>
    <c:legend>
      <c:legendPos val="b"/>
      <c:layout>
        <c:manualLayout>
          <c:xMode val="edge"/>
          <c:yMode val="edge"/>
          <c:x val="6.0375514899193315E-2"/>
          <c:y val="0.94193008220840946"/>
          <c:w val="0.9"/>
          <c:h val="5.8069917791590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80344-892D-4A2E-9B82-FA78E6CB2408}">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5279</Words>
  <Characters>30095</Characters>
  <Application>Microsoft Office Word</Application>
  <DocSecurity>0</DocSecurity>
  <Lines>250</Lines>
  <Paragraphs>70</Paragraphs>
  <ScaleCrop>false</ScaleCrop>
  <Company/>
  <LinksUpToDate>false</LinksUpToDate>
  <CharactersWithSpaces>35304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2026-05-18T22:02:00Z</dcterms:created>
  <dcterms:modified xsi:type="dcterms:W3CDTF">2026-05-18T22:02:00Z</dcterms:modified>
</cp:coreProperties>
</file>