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E36E" w14:textId="2F1FA50C" w:rsidR="00EC6F8D" w:rsidRPr="005077A2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5077A2">
        <w:rPr>
          <w:rFonts w:ascii="Arial" w:hAnsi="Arial" w:cs="Arial"/>
          <w:b/>
          <w:sz w:val="22"/>
        </w:rPr>
        <w:t xml:space="preserve">КОНВЕНЦИЯ ОБ ОХРАНЕ </w:t>
      </w:r>
      <w:r w:rsidR="00557795" w:rsidRPr="005077A2">
        <w:rPr>
          <w:rFonts w:ascii="Arial" w:hAnsi="Arial" w:cs="Arial"/>
          <w:b/>
          <w:sz w:val="22"/>
        </w:rPr>
        <w:br/>
      </w:r>
      <w:r w:rsidRPr="005077A2">
        <w:rPr>
          <w:rFonts w:ascii="Arial" w:hAnsi="Arial" w:cs="Arial"/>
          <w:b/>
          <w:sz w:val="22"/>
        </w:rPr>
        <w:t>НЕМАТЕРИАЛЬНОГО КУЛЬТУРНОГО НАСЛЕДИЯ</w:t>
      </w:r>
    </w:p>
    <w:p w14:paraId="3F72B1D3" w14:textId="2E2653A7" w:rsidR="00EC6F8D" w:rsidRPr="005077A2" w:rsidRDefault="005C792B" w:rsidP="00EC6F8D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5077A2">
        <w:rPr>
          <w:rFonts w:ascii="Arial" w:hAnsi="Arial" w:cs="Arial"/>
          <w:b/>
          <w:sz w:val="22"/>
        </w:rPr>
        <w:t xml:space="preserve">ГЕНЕРАЛЬНАЯ АССАМБЛЕЯ ГОСУДАРСТВ </w:t>
      </w:r>
      <w:r w:rsidR="00557795" w:rsidRPr="005077A2">
        <w:rPr>
          <w:rFonts w:ascii="Arial" w:hAnsi="Arial" w:cs="Arial"/>
          <w:b/>
          <w:sz w:val="22"/>
          <w:szCs w:val="22"/>
        </w:rPr>
        <w:t>–</w:t>
      </w:r>
      <w:r w:rsidRPr="005077A2">
        <w:rPr>
          <w:rFonts w:ascii="Arial" w:hAnsi="Arial" w:cs="Arial"/>
          <w:b/>
          <w:sz w:val="22"/>
        </w:rPr>
        <w:t xml:space="preserve"> УЧАСТНИКОВ КОНВЕНЦИИ</w:t>
      </w:r>
    </w:p>
    <w:p w14:paraId="2E1CD4B4" w14:textId="762C97E8" w:rsidR="00EC6F8D" w:rsidRPr="005077A2" w:rsidRDefault="0026085B" w:rsidP="001D14FE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 w:rsidRPr="005077A2">
        <w:rPr>
          <w:rFonts w:ascii="Arial" w:hAnsi="Arial" w:cs="Arial"/>
          <w:b/>
          <w:sz w:val="22"/>
        </w:rPr>
        <w:t>Одиннадцатая сессия</w:t>
      </w:r>
    </w:p>
    <w:p w14:paraId="1FD89575" w14:textId="05D2C62D" w:rsidR="00B2172B" w:rsidRPr="005077A2" w:rsidRDefault="005C792B" w:rsidP="00B2172B">
      <w:pPr>
        <w:jc w:val="center"/>
        <w:rPr>
          <w:rFonts w:ascii="Arial" w:hAnsi="Arial" w:cs="Arial"/>
          <w:b/>
          <w:sz w:val="22"/>
          <w:szCs w:val="22"/>
        </w:rPr>
      </w:pPr>
      <w:r w:rsidRPr="005077A2">
        <w:rPr>
          <w:rFonts w:ascii="Arial" w:hAnsi="Arial" w:cs="Arial"/>
          <w:b/>
          <w:sz w:val="22"/>
        </w:rPr>
        <w:t>Штаб-квартира ЮНЕСКО, зал I</w:t>
      </w:r>
    </w:p>
    <w:p w14:paraId="52EA6D50" w14:textId="46BCF87A" w:rsidR="00B2172B" w:rsidRPr="005077A2" w:rsidRDefault="00544C93" w:rsidP="00B2172B">
      <w:pPr>
        <w:jc w:val="center"/>
        <w:rPr>
          <w:rFonts w:ascii="Arial" w:hAnsi="Arial" w:cs="Arial"/>
          <w:b/>
          <w:sz w:val="22"/>
          <w:szCs w:val="22"/>
        </w:rPr>
      </w:pPr>
      <w:r w:rsidRPr="005077A2">
        <w:rPr>
          <w:rFonts w:ascii="Arial" w:hAnsi="Arial" w:cs="Arial"/>
          <w:b/>
          <w:sz w:val="22"/>
        </w:rPr>
        <w:t>17–18 июня 2026 r.</w:t>
      </w:r>
    </w:p>
    <w:p w14:paraId="0365203A" w14:textId="495AC932" w:rsidR="00EC6F8D" w:rsidRPr="005077A2" w:rsidRDefault="00EC6F8D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5077A2">
        <w:rPr>
          <w:rFonts w:ascii="Arial" w:hAnsi="Arial" w:cs="Arial"/>
          <w:b/>
          <w:sz w:val="22"/>
          <w:u w:val="single"/>
        </w:rPr>
        <w:t>Пункт 7 предварительной повестки дня</w:t>
      </w:r>
      <w:r w:rsidRPr="005077A2">
        <w:rPr>
          <w:rFonts w:ascii="Arial" w:hAnsi="Arial" w:cs="Arial"/>
          <w:b/>
          <w:sz w:val="22"/>
        </w:rPr>
        <w:t>:</w:t>
      </w:r>
    </w:p>
    <w:p w14:paraId="59920478" w14:textId="216139CD" w:rsidR="004A2875" w:rsidRPr="005077A2" w:rsidRDefault="00945319" w:rsidP="004A2875">
      <w:pPr>
        <w:pStyle w:val="Sansinterligne2"/>
        <w:spacing w:after="960"/>
        <w:jc w:val="center"/>
        <w:rPr>
          <w:rFonts w:ascii="Arial" w:hAnsi="Arial" w:cs="Arial"/>
          <w:bCs/>
          <w:sz w:val="22"/>
          <w:szCs w:val="22"/>
        </w:rPr>
      </w:pPr>
      <w:r w:rsidRPr="005077A2">
        <w:rPr>
          <w:rFonts w:ascii="Arial" w:hAnsi="Arial" w:cs="Arial"/>
          <w:b/>
          <w:sz w:val="22"/>
        </w:rPr>
        <w:t>Предлагаемые изменения в Оперативном руководстве по осуществлению Конвенции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5077A2" w14:paraId="75AC6221" w14:textId="77777777" w:rsidTr="00EC6F8D">
        <w:trPr>
          <w:jc w:val="center"/>
        </w:trPr>
        <w:tc>
          <w:tcPr>
            <w:tcW w:w="5670" w:type="dxa"/>
            <w:vAlign w:val="center"/>
          </w:tcPr>
          <w:p w14:paraId="51C260A9" w14:textId="77777777" w:rsidR="00EC6F8D" w:rsidRPr="005077A2" w:rsidRDefault="00EC6F8D" w:rsidP="00CA56BB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77A2">
              <w:rPr>
                <w:rFonts w:ascii="Arial" w:hAnsi="Arial" w:cs="Arial"/>
                <w:b/>
                <w:sz w:val="22"/>
              </w:rPr>
              <w:t>Содержание</w:t>
            </w:r>
          </w:p>
          <w:p w14:paraId="612E5DE6" w14:textId="146245B1" w:rsidR="00BB6EEC" w:rsidRPr="005077A2" w:rsidRDefault="00FA5F89" w:rsidP="00BB6EEC">
            <w:pPr>
              <w:pStyle w:val="Sansinterligne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Настоящей сессии Генеральной Ассамблеи предлагается утвердить предлагаемые изменения в Оперативном руководстве с целью продления сроков рассмотрения номинационных досье, а также поддержать переход к единой глобальной системе представления периодических отчетов.</w:t>
            </w:r>
          </w:p>
          <w:p w14:paraId="290310E8" w14:textId="48FB9EA8" w:rsidR="00EC6F8D" w:rsidRPr="005077A2" w:rsidRDefault="00EC6F8D" w:rsidP="00CA56B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77A2">
              <w:rPr>
                <w:rFonts w:ascii="Arial" w:hAnsi="Arial" w:cs="Arial"/>
                <w:b/>
                <w:sz w:val="22"/>
              </w:rPr>
              <w:t>Требуемое решение:</w:t>
            </w:r>
            <w:r w:rsidRPr="005077A2">
              <w:rPr>
                <w:rFonts w:ascii="Arial" w:hAnsi="Arial" w:cs="Arial"/>
                <w:sz w:val="22"/>
              </w:rPr>
              <w:t xml:space="preserve"> пункт 24</w:t>
            </w:r>
          </w:p>
        </w:tc>
      </w:tr>
    </w:tbl>
    <w:p w14:paraId="713D819F" w14:textId="77777777" w:rsidR="004A2875" w:rsidRPr="005077A2" w:rsidRDefault="00655736" w:rsidP="004A2875">
      <w:pPr>
        <w:pStyle w:val="ListParagraph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</w:rPr>
      </w:pPr>
      <w:r w:rsidRPr="005077A2">
        <w:rPr>
          <w:rFonts w:ascii="Arial" w:hAnsi="Arial" w:cs="Arial"/>
        </w:rPr>
        <w:br w:type="page"/>
      </w:r>
    </w:p>
    <w:p w14:paraId="6C62585F" w14:textId="4823E187" w:rsidR="00F70CC5" w:rsidRPr="005077A2" w:rsidRDefault="00D9719F" w:rsidP="00F70CC5">
      <w:pPr>
        <w:pStyle w:val="COMPara"/>
        <w:numPr>
          <w:ilvl w:val="0"/>
          <w:numId w:val="0"/>
        </w:numPr>
        <w:spacing w:before="240"/>
        <w:jc w:val="both"/>
        <w:rPr>
          <w:b/>
          <w:bCs/>
        </w:rPr>
      </w:pPr>
      <w:bookmarkStart w:id="0" w:name="_Hlk124351255"/>
      <w:r w:rsidRPr="005077A2">
        <w:rPr>
          <w:b/>
        </w:rPr>
        <w:lastRenderedPageBreak/>
        <w:t>Введение</w:t>
      </w:r>
    </w:p>
    <w:bookmarkEnd w:id="0"/>
    <w:p w14:paraId="68870AAB" w14:textId="5D0B4310" w:rsidR="001E7D4C" w:rsidRPr="005077A2" w:rsidRDefault="00D9719F" w:rsidP="001E1751">
      <w:pPr>
        <w:pStyle w:val="COMPara"/>
        <w:ind w:left="567" w:hanging="567"/>
        <w:jc w:val="both"/>
      </w:pPr>
      <w:r w:rsidRPr="005077A2">
        <w:t>Настоящей сессии Генеральной ассамблеи предлагается утвердить изменения в Оперативном руководстве по осуществлению Конвенции 2003 года, рекомендованные к утверждению Межправительственным комитетом на его двадцатой сессии, с целью дальнейшего укрепления процедур, связанных с двумя следующими механизмами международного сотрудничества в рамках Конвенции, а именно: рассмотрением номинационных досье для механизмов включения в списки Конвенции, а также переходом к единой глобальной системе представления периодической отчетности.</w:t>
      </w:r>
    </w:p>
    <w:p w14:paraId="5A07F7A4" w14:textId="2ECA78C3" w:rsidR="001E7D4C" w:rsidRPr="005077A2" w:rsidRDefault="001E7D4C" w:rsidP="00372A64">
      <w:pPr>
        <w:pStyle w:val="COMPara"/>
        <w:numPr>
          <w:ilvl w:val="0"/>
          <w:numId w:val="41"/>
        </w:numPr>
        <w:spacing w:before="240"/>
        <w:ind w:left="567" w:hanging="567"/>
        <w:jc w:val="both"/>
        <w:rPr>
          <w:b/>
          <w:bCs/>
          <w:color w:val="000000" w:themeColor="text1"/>
        </w:rPr>
      </w:pPr>
      <w:r w:rsidRPr="005077A2">
        <w:rPr>
          <w:b/>
          <w:color w:val="000000" w:themeColor="text1"/>
        </w:rPr>
        <w:t>Рассмотрение номинационных досье в рамках механизмов включения в списки Конвенции</w:t>
      </w:r>
    </w:p>
    <w:p w14:paraId="7D455BB9" w14:textId="28438738" w:rsidR="00372A64" w:rsidRPr="005077A2" w:rsidRDefault="00372A64" w:rsidP="0032242A">
      <w:pPr>
        <w:pStyle w:val="COMPara"/>
        <w:ind w:left="567" w:hanging="567"/>
        <w:jc w:val="both"/>
      </w:pPr>
      <w:r w:rsidRPr="005077A2">
        <w:t xml:space="preserve">Подраздел I.15 Оперативного руководства содержит положения, касающиеся процедур обработки документов для механизмов включения в перечень Конвенции, которые подразделяются на три этапа: Подготовка и представление (пункт 54), оценка (пункт 55) и рассмотрение (пункт 56). В пункте 54 Оперативного руководства предусмотрено, что после представления кандидатур, предложений и запросов в установленный законом срок до 31 марта Секретариат осуществляет обработку «материалов, включая их регистрацию и подтверждение получения. Если какое-то досье </w:t>
      </w:r>
      <w:r w:rsidR="0032242A" w:rsidRPr="005077A2">
        <w:t xml:space="preserve">признается </w:t>
      </w:r>
      <w:r w:rsidRPr="005077A2">
        <w:t xml:space="preserve">неполное, государству-участнику предлагается его доработать». Затем государству-участнику предоставляется три месяца </w:t>
      </w:r>
      <w:r w:rsidR="00D63BA6" w:rsidRPr="005077A2">
        <w:t>для представления Секретариату</w:t>
      </w:r>
      <w:r w:rsidR="00D63BA6" w:rsidRPr="005077A2" w:rsidDel="00D63BA6">
        <w:t xml:space="preserve"> </w:t>
      </w:r>
      <w:r w:rsidRPr="005077A2">
        <w:t>«</w:t>
      </w:r>
      <w:r w:rsidR="00BE5F27" w:rsidRPr="005077A2">
        <w:t>отсутствующей информации, если таковая необходима для окончательного оформления досье</w:t>
      </w:r>
      <w:r w:rsidRPr="005077A2">
        <w:t>». Эта часть процесса считается этапом «проверки технической полноты».</w:t>
      </w:r>
    </w:p>
    <w:p w14:paraId="0CAE1729" w14:textId="41A7467C" w:rsidR="000F1B71" w:rsidRPr="005077A2" w:rsidRDefault="001835D0" w:rsidP="000F15E5">
      <w:pPr>
        <w:pStyle w:val="COMPara"/>
        <w:ind w:left="567" w:hanging="567"/>
        <w:jc w:val="both"/>
      </w:pPr>
      <w:r w:rsidRPr="005077A2">
        <w:t xml:space="preserve">По итогам глобального анализа механизмов включения объектов в списки Конвенции (2018–2022 гг.) были упрощены ряд процедур и форм подачи заявок. Аналогичным образом были соответствующим образом скорректированы сопутствующие технические требования с целью учета как этих упрощенных процедур, так и разнообразия материалов, подлежащих рассмотрению, включая включение дополнительных материалов и аудиовизуальных файлов, представленных государствами и общинами. Хотя проверка на техническую полноту на протяжении многих лет все в большей степени гарантирует соответствие номинационных досье необходимым техническим требованиям, она также дает государствам возможность повысить качество своих номинаций. Таким образом, этот процесс облегчил их оценку Оценочным органом и рассмотрение Комитетом, обеспечив при этом надлежащую </w:t>
      </w:r>
      <w:r w:rsidR="00D63BA6" w:rsidRPr="005077A2">
        <w:t>видимость</w:t>
      </w:r>
      <w:r w:rsidRPr="005077A2">
        <w:t xml:space="preserve"> и представление этих элементов для общественности.</w:t>
      </w:r>
    </w:p>
    <w:p w14:paraId="326482FA" w14:textId="0B68A5A7" w:rsidR="009F2DF1" w:rsidRPr="005077A2" w:rsidRDefault="00235203" w:rsidP="00026265">
      <w:pPr>
        <w:pStyle w:val="COMPara"/>
        <w:ind w:left="567" w:hanging="567"/>
        <w:jc w:val="both"/>
      </w:pPr>
      <w:r w:rsidRPr="005077A2">
        <w:t xml:space="preserve">В связи с наблюдаемым большим объемом номинаций, представленных в рамках циклов номинаций 2024 и 2025 годов, когда результаты глобального анализа механизмов включения в список вступили в полную силу, а также в связи с ужесточением технических требований и увеличением числа соответствующих элементов, подлежащих рассмотрению в ходе проверки технической полноты, на двадцатой сессии Комитет рекомендовал Генеральной Ассамблее пересмотреть Оперативные руководящие указания (Решение </w:t>
      </w:r>
      <w:hyperlink r:id="rId8" w:history="1">
        <w:r w:rsidRPr="005077A2">
          <w:rPr>
            <w:rStyle w:val="Hyperlink"/>
          </w:rPr>
          <w:t>20.COM 8</w:t>
        </w:r>
      </w:hyperlink>
      <w:r w:rsidRPr="005077A2">
        <w:t xml:space="preserve"> и документ </w:t>
      </w:r>
      <w:hyperlink r:id="rId9" w:history="1">
        <w:r w:rsidRPr="005077A2">
          <w:rPr>
            <w:rStyle w:val="Hyperlink"/>
          </w:rPr>
          <w:t>LHE/25/20.COM/8</w:t>
        </w:r>
      </w:hyperlink>
      <w:r w:rsidRPr="005077A2">
        <w:t>), с тем чтобы предусмотреть дополнительное время для проверки технической полноты досье номинаций, принимая во внимание многочисленные аспекты этого процесса, растущее число номинаций, для которых она проводится, и ее важность для последующего этапа оценки.</w:t>
      </w:r>
    </w:p>
    <w:p w14:paraId="4D11F301" w14:textId="77777777" w:rsidR="008B6268" w:rsidRPr="005077A2" w:rsidRDefault="008B6268" w:rsidP="008B6268">
      <w:pPr>
        <w:pStyle w:val="COMPara"/>
        <w:numPr>
          <w:ilvl w:val="0"/>
          <w:numId w:val="0"/>
        </w:numPr>
        <w:ind w:left="567"/>
        <w:jc w:val="both"/>
        <w:rPr>
          <w:u w:val="single"/>
        </w:rPr>
      </w:pPr>
      <w:r w:rsidRPr="005077A2">
        <w:rPr>
          <w:u w:val="single"/>
        </w:rPr>
        <w:t>Объем проверки технической полноты</w:t>
      </w:r>
    </w:p>
    <w:p w14:paraId="44A448B3" w14:textId="4947E667" w:rsidR="008B6268" w:rsidRPr="005077A2" w:rsidRDefault="008B6268" w:rsidP="008B6268">
      <w:pPr>
        <w:pStyle w:val="COMPara"/>
        <w:ind w:left="567" w:hanging="567"/>
        <w:jc w:val="both"/>
      </w:pPr>
      <w:r w:rsidRPr="005077A2">
        <w:t xml:space="preserve">Помимо идентификации отсутствующих документов и материалов в номинационных досье, проверка на полноту заключается в обеспечении соответствия досье техническим требованиям, при этом основная цель состоит в том, чтобы облегчить его оценку Оценочным органом и рассмотрение Комитетом, а также обеспечить проведение оценки на прозрачной и справедливой основе. Кроме того, этот процесс позволяет обеспечить надлежащую </w:t>
      </w:r>
      <w:r w:rsidR="008720B2" w:rsidRPr="005077A2">
        <w:t>видимость</w:t>
      </w:r>
      <w:r w:rsidR="008720B2" w:rsidRPr="005077A2" w:rsidDel="008720B2">
        <w:t xml:space="preserve"> </w:t>
      </w:r>
      <w:r w:rsidRPr="005077A2">
        <w:t xml:space="preserve">и представление объектов общественности </w:t>
      </w:r>
      <w:r w:rsidRPr="005077A2">
        <w:lastRenderedPageBreak/>
        <w:t>посредством сопутствующих материалов по номинации, публикуемых на веб-сайте Конвенции как в ходе процесса номинации, так и после включения в Список.</w:t>
      </w:r>
    </w:p>
    <w:p w14:paraId="6D85E4F9" w14:textId="665ED1B6" w:rsidR="008B6268" w:rsidRPr="005077A2" w:rsidRDefault="008B6268" w:rsidP="008B6268">
      <w:pPr>
        <w:pStyle w:val="COMPara"/>
        <w:ind w:left="567" w:hanging="567"/>
        <w:jc w:val="both"/>
      </w:pPr>
      <w:r w:rsidRPr="005077A2">
        <w:t xml:space="preserve">Круг вопросов, рассматриваемых в ходе проверки на техническую полноту, </w:t>
      </w:r>
      <w:r w:rsidR="008720B2" w:rsidRPr="005077A2">
        <w:t>является широким</w:t>
      </w:r>
      <w:r w:rsidRPr="005077A2">
        <w:t>: от наличия ответов в формах ICH-0x по номинациям с учетом ограничений по объему текста, предоставления требуемого количества фотографий и видеороликов с субтитрами в надлежащем формате и продолжительности до представления документов о согласии или выписки из реестра на языке оригинала, а также на английском или французском языках и т. д. В результате глобального анализа механизмов включения в списки технические требования и, соответственно, объем проверяемых аспектов расширились, в частности, в связи с введением дополнительных материалов, увеличением количества аудиовизуальных файлов и появлением специальной документации для заявок на расширение и перенос объектов. Следует подчеркнуть, что на данном этапе не проводится проверка содержания представленных номинационных материалов, а проверяется лишь их соответствие техническим требованиям.</w:t>
      </w:r>
    </w:p>
    <w:p w14:paraId="44AE1E84" w14:textId="5EA01A38" w:rsidR="008B6268" w:rsidRPr="005077A2" w:rsidRDefault="008B6268" w:rsidP="00B16D9F">
      <w:pPr>
        <w:pStyle w:val="COMPara"/>
        <w:ind w:left="567" w:hanging="567"/>
        <w:jc w:val="both"/>
      </w:pPr>
      <w:r w:rsidRPr="005077A2">
        <w:t xml:space="preserve">С течением времени практика претерпела изменения, и подход стал более гибким, в частности в связи с тем, что государствам, чьи дела после нескольких лет выходили из категории «отложенных», стало необходимо предоставлять актуальную документацию. Данный процесс позволил государствам-заявителям воспользоваться возможностью, предоставляемой в ходе проверки на техническую полноту, для проведения эффективной доработки досье по номинации путем предоставления дополнительной обновленной информации, выходящей за рамки того, что было указано в запросах Секретариата о предоставлении дополнительной информации в качестве недостающих сведений. </w:t>
      </w:r>
      <w:r w:rsidR="008720B2" w:rsidRPr="005077A2">
        <w:t>В</w:t>
      </w:r>
      <w:r w:rsidRPr="005077A2">
        <w:t xml:space="preserve"> настоящее время подавляющее большинство государств-заявителей пользуются возможностью для доработки и пересмотра своих досье</w:t>
      </w:r>
      <w:r w:rsidR="00B16D9F" w:rsidRPr="005077A2">
        <w:t xml:space="preserve"> в ходе данного этапа</w:t>
      </w:r>
      <w:r w:rsidRPr="005077A2">
        <w:t xml:space="preserve">. Дополнительная информация часто включает, </w:t>
      </w:r>
      <w:r w:rsidRPr="005077A2">
        <w:rPr>
          <w:i/>
          <w:iCs/>
        </w:rPr>
        <w:t>среди прочего</w:t>
      </w:r>
      <w:r w:rsidRPr="005077A2">
        <w:t>, разъяснения относительно представления дополнительных материалов, а также дополнительные документы о согласии, обновленные выписки из реестра и иную информацию, которую общины желают предоставить с учетом меняющихся местных условий. В случае подачи многонациональных заявок эти вопросы могут касаться одного или нескольких государств-заявителей.</w:t>
      </w:r>
      <w:r w:rsidR="00B16D9F" w:rsidRPr="005077A2">
        <w:t xml:space="preserve"> </w:t>
      </w:r>
    </w:p>
    <w:p w14:paraId="66D583BE" w14:textId="2B1F5847" w:rsidR="008B6268" w:rsidRPr="005077A2" w:rsidRDefault="008B6268" w:rsidP="008B6268">
      <w:pPr>
        <w:pStyle w:val="COMPara"/>
        <w:ind w:left="567" w:hanging="567"/>
        <w:jc w:val="both"/>
      </w:pPr>
      <w:r w:rsidRPr="005077A2">
        <w:t xml:space="preserve">Несмотря на то, что такой гибкий подход к представлению документов создавал дополнительную нагрузку на Секретариат, он был принят в интересах государств и сообществ, с тем чтобы дать им возможность повысить качество номинационных досье, при этом соблюдая принцип прозрачности путем публикации различных версий номинационных документов на веб-сайте Конвенции с указанием даты их представления. Кроме того, документы по кандидатурам не могли изменяться по инициативе </w:t>
      </w:r>
      <w:r w:rsidR="00B16D9F" w:rsidRPr="005077A2">
        <w:t>осударств-заявителей</w:t>
      </w:r>
      <w:r w:rsidRPr="005077A2">
        <w:t xml:space="preserve"> после передачи этих документов в Оценочный орган.</w:t>
      </w:r>
    </w:p>
    <w:p w14:paraId="282C0F67" w14:textId="5F2F4859" w:rsidR="008B6268" w:rsidRPr="005077A2" w:rsidRDefault="008B6268" w:rsidP="008B6268">
      <w:pPr>
        <w:pStyle w:val="COMPara"/>
        <w:ind w:left="567" w:hanging="567"/>
        <w:jc w:val="both"/>
      </w:pPr>
      <w:r w:rsidRPr="005077A2">
        <w:t>Хотя укрепление потенциала государств и сообществ, а также внедрение процесса диалога в значительной степени объясняют успех номинаций в последние годы, можно считать, что гибкий подход на этапе «проверки технической полноты» также способствовал укреплению этой положительной тенденции, что выразилось в более высоком проценте положительных рекомендаций Оценочного органа (от 98% до 100% в период с 2023 по 2025 год) и улучшении географического баланса номинаций, рассмотренных в циклах 2023, 2024 и 2025 годов (Группа I: 12%, Группа II: 13%, Группа III: 15%, Группа IV: 22%, Группа V(a): 14%, Группа V(b): 16% и досье, касающиеся нескольких групп: 8% из 190 досье, поступивших из 134 государств).</w:t>
      </w:r>
    </w:p>
    <w:p w14:paraId="2689A428" w14:textId="33F7583F" w:rsidR="008B6268" w:rsidRPr="005077A2" w:rsidRDefault="008B6268" w:rsidP="008B6268">
      <w:pPr>
        <w:pStyle w:val="COMPara"/>
        <w:ind w:left="567" w:hanging="567"/>
        <w:jc w:val="both"/>
      </w:pPr>
      <w:r w:rsidRPr="005077A2">
        <w:t xml:space="preserve">Приняв к сведению вышеупомянутые вопросы, поднятые на двадцатой сессии Комитета (Решение </w:t>
      </w:r>
      <w:hyperlink r:id="rId10" w:history="1">
        <w:r w:rsidRPr="005077A2">
          <w:rPr>
            <w:rStyle w:val="Hyperlink"/>
          </w:rPr>
          <w:t>20.COM 8</w:t>
        </w:r>
      </w:hyperlink>
      <w:r w:rsidRPr="005077A2">
        <w:t xml:space="preserve">), Комитет высоко оценил положительные результаты нынешнего гибкого подхода к поддержке усилий государств и подтвердил, что положения пункта 54, в частности, касающиеся крайнего срока 30 сентября первого года, допускают представление пересмотренных материалов по заявкам в рамках проверки на техническую полноту (а не «жесткий» подход к проверке на техническую полноту, который не позволил бы государствам-заявителям вносить в заявку изменения, </w:t>
      </w:r>
      <w:r w:rsidRPr="005077A2">
        <w:lastRenderedPageBreak/>
        <w:t xml:space="preserve">выходящие за рамки того, что Секретариат указал как недостающие элементы). Вместе с тем Комитет призвал государства-участников воздерживаться от внесения существенных изменений в ходе процедуры проверки на техническую полноту и одновременно просил Секретариат изучить возможности предоставления Органу по оценке и Комитету информации об изменениях, внесенных в ходе процедуры проверки на техническую полноту. В отношении цикла 2026 года даты публикации номинационных материалов, размещенных на специальной веб-странице, отражают изменения, внесенные в ходе проверки на техническую полноту. На момент подготовки настоящего документа Секретариат изучает возможности более наглядного отображения таких изменений в соответствии с просьбой Комитета в контексте </w:t>
      </w:r>
      <w:r w:rsidR="000B5B9B" w:rsidRPr="005077A2">
        <w:t>номинационного цикла</w:t>
      </w:r>
      <w:r w:rsidRPr="005077A2">
        <w:t xml:space="preserve"> 2027 года.</w:t>
      </w:r>
    </w:p>
    <w:p w14:paraId="3EE0F2D2" w14:textId="33014187" w:rsidR="00C958C5" w:rsidRPr="005077A2" w:rsidRDefault="00C958C5" w:rsidP="000B5B9B">
      <w:pPr>
        <w:pStyle w:val="COMPara"/>
        <w:numPr>
          <w:ilvl w:val="0"/>
          <w:numId w:val="0"/>
        </w:numPr>
        <w:ind w:left="567"/>
        <w:jc w:val="both"/>
        <w:rPr>
          <w:u w:val="single"/>
        </w:rPr>
      </w:pPr>
      <w:r w:rsidRPr="005077A2">
        <w:rPr>
          <w:u w:val="single"/>
        </w:rPr>
        <w:t xml:space="preserve">График рассмотрения </w:t>
      </w:r>
      <w:r w:rsidR="000B5B9B" w:rsidRPr="005077A2">
        <w:rPr>
          <w:u w:val="single"/>
        </w:rPr>
        <w:t>номинаций</w:t>
      </w:r>
    </w:p>
    <w:p w14:paraId="56D02546" w14:textId="523BAD50" w:rsidR="00C958C5" w:rsidRPr="005077A2" w:rsidRDefault="00C958C5" w:rsidP="000B5B9B">
      <w:pPr>
        <w:pStyle w:val="COMPara"/>
        <w:ind w:left="567" w:hanging="567"/>
        <w:jc w:val="both"/>
      </w:pPr>
      <w:r w:rsidRPr="005077A2">
        <w:t xml:space="preserve">Циклы 2024 и 2025 годов являются первыми </w:t>
      </w:r>
      <w:r w:rsidR="000B5B9B" w:rsidRPr="005077A2">
        <w:t>номинационными циклами</w:t>
      </w:r>
      <w:r w:rsidRPr="005077A2">
        <w:t xml:space="preserve">, в которых в полной мере нашли свое отражение итоги глобального анализа механизмов включения в списки Конвенции (2018–2022 гг.). Хотя более подробный доклад будет представлен на следующей сессии Комитета в 2026 году в соответствии с Решением </w:t>
      </w:r>
      <w:hyperlink r:id="rId11" w:history="1">
        <w:r w:rsidRPr="005077A2">
          <w:rPr>
            <w:rStyle w:val="Hyperlink"/>
          </w:rPr>
          <w:t>19.COM 15</w:t>
        </w:r>
      </w:hyperlink>
      <w:r w:rsidRPr="005077A2">
        <w:t xml:space="preserve">, уже сейчас можно отметить, что количество рассмотренных досье значительно возросло (всего 140 досье за оба цикла по сравнению со 121 досье за циклы 2022 и 2023 годов вместе взятые), с учетом годового лимита в шестьдесят досье и различных категорий досье, которые с цикла 2024 года должны рассматриваться за пределами годового лимита (Решения </w:t>
      </w:r>
      <w:hyperlink r:id="rId12" w:history="1">
        <w:r w:rsidRPr="005077A2">
          <w:rPr>
            <w:rStyle w:val="Hyperlink"/>
          </w:rPr>
          <w:t>17.COM 15</w:t>
        </w:r>
      </w:hyperlink>
      <w:r w:rsidRPr="005077A2">
        <w:t xml:space="preserve"> и </w:t>
      </w:r>
      <w:hyperlink r:id="rId13" w:history="1">
        <w:r w:rsidRPr="005077A2">
          <w:rPr>
            <w:rStyle w:val="Hyperlink"/>
          </w:rPr>
          <w:t>19.COM 15</w:t>
        </w:r>
      </w:hyperlink>
      <w:r w:rsidRPr="005077A2">
        <w:t>). Этот рост сказывается на рабочей нагрузке Комитета, Органа по оценке и Секретариата и, возможно, станет предметом обсуждения на двадцать первой сессии Комитета.</w:t>
      </w:r>
    </w:p>
    <w:p w14:paraId="0A32D71C" w14:textId="53DDD5FD" w:rsidR="00C958C5" w:rsidRPr="005077A2" w:rsidRDefault="00C958C5" w:rsidP="000B5B9B">
      <w:pPr>
        <w:pStyle w:val="COMPara"/>
        <w:ind w:left="567" w:hanging="567"/>
        <w:jc w:val="both"/>
      </w:pPr>
      <w:r w:rsidRPr="005077A2">
        <w:t xml:space="preserve">По итогам глобального анализа механизмов включения в списки были упрощены ряд процедур и форм </w:t>
      </w:r>
      <w:r w:rsidR="000B5B9B" w:rsidRPr="005077A2">
        <w:t>представления номинаций</w:t>
      </w:r>
      <w:r w:rsidRPr="005077A2">
        <w:t xml:space="preserve">, технические требования были скорректированы с учетом этих упрощенных процедур, а также разнообразия </w:t>
      </w:r>
      <w:r w:rsidR="000B5B9B" w:rsidRPr="005077A2">
        <w:t>рассматриваемых номинационных материалов</w:t>
      </w:r>
      <w:r w:rsidRPr="005077A2">
        <w:t>, в частности в связи с переносом объектов из одного списка в другой и заявками на расширение списка. В рамках циклов 2024 и 2025 годов в отношении 106 из 140 первоначально рассмотренных досье был направлен запрос на предоставление дополнительной информации на основании проверки технической полноты и с использованием вышеупомянутого гибкого подхода.</w:t>
      </w:r>
    </w:p>
    <w:p w14:paraId="5B72F721" w14:textId="49DC73FE" w:rsidR="00C958C5" w:rsidRPr="005077A2" w:rsidRDefault="00C958C5" w:rsidP="00F959E3">
      <w:pPr>
        <w:pStyle w:val="COMPara"/>
        <w:ind w:left="567" w:hanging="567"/>
        <w:jc w:val="both"/>
      </w:pPr>
      <w:r w:rsidRPr="005077A2">
        <w:t xml:space="preserve">Учитывая многогранность аспектов, которые необходимо рассмотреть в ходе проверки на техническую полноту, значительный объем </w:t>
      </w:r>
      <w:r w:rsidR="00F959E3" w:rsidRPr="005077A2">
        <w:t>номинаций</w:t>
      </w:r>
      <w:r w:rsidRPr="005077A2">
        <w:t xml:space="preserve">, для которых эта процедура является полезной, а также её важность для этапа оценки, </w:t>
      </w:r>
      <w:r w:rsidR="00F959E3" w:rsidRPr="005077A2">
        <w:t>для проведения проверки на полноту</w:t>
      </w:r>
      <w:r w:rsidR="00F959E3" w:rsidRPr="005077A2" w:rsidDel="00F959E3">
        <w:t xml:space="preserve"> </w:t>
      </w:r>
      <w:r w:rsidRPr="005077A2">
        <w:t xml:space="preserve">целесообразно выделить больше времени. С учетом этих факторов предлагается выделить дополнительное время на этап проверки технической полноты, срок которого можно продлить до 31 августа года 1 (вместо 30 июня). В свою очередь, </w:t>
      </w:r>
      <w:r w:rsidR="00F959E3" w:rsidRPr="005077A2">
        <w:t>государствам-заявителям</w:t>
      </w:r>
      <w:r w:rsidR="00F959E3" w:rsidRPr="005077A2" w:rsidDel="00F959E3">
        <w:t xml:space="preserve"> </w:t>
      </w:r>
      <w:r w:rsidRPr="005077A2">
        <w:t xml:space="preserve">будет предоставлен трехмесячный срок, как и в настоящее время, для направления информации, не позднее 30 ноября года 1 (вместо 30 сентября). С практической точки зрения, сроки будут скорректированы таким образом, чтобы участники имели одинаковый период времени (три месяца) для завершения </w:t>
      </w:r>
      <w:r w:rsidR="00F959E3" w:rsidRPr="005077A2">
        <w:t xml:space="preserve">оформления их номинаций </w:t>
      </w:r>
      <w:r w:rsidRPr="005077A2">
        <w:t>в случае, если запросы на предоставление дополнительной информации поступят до 31 августа.</w:t>
      </w:r>
      <w:r w:rsidR="00F959E3" w:rsidRPr="005077A2">
        <w:t xml:space="preserve"> </w:t>
      </w:r>
    </w:p>
    <w:p w14:paraId="647FA266" w14:textId="47257DDB" w:rsidR="00C958C5" w:rsidRPr="005077A2" w:rsidRDefault="00C958C5" w:rsidP="004B2171">
      <w:pPr>
        <w:pStyle w:val="COMPara"/>
        <w:ind w:left="567" w:hanging="567"/>
        <w:jc w:val="both"/>
      </w:pPr>
      <w:r w:rsidRPr="005077A2">
        <w:t xml:space="preserve">Продление сроков также обосновано новой процедурой рассмотрения запросов о переносе, в связи с чем ниже предлагаются поправки к Оперативному руководству. Следует иметь в виду, что запросы на перенос, поступившие до 30 июня, будут включены в цикл заявок, поступивших до 31 марта того же года. Проверка на техническую полноту заявок на перенос будет проведена в продленный срок до 31 августа, а государствам-заявителям необходимо заполнить требуемые </w:t>
      </w:r>
      <w:r w:rsidR="004B2171" w:rsidRPr="005077A2">
        <w:t xml:space="preserve">информацию </w:t>
      </w:r>
      <w:r w:rsidRPr="005077A2">
        <w:t>в продленный срок до 30 ноября.</w:t>
      </w:r>
    </w:p>
    <w:p w14:paraId="0F861519" w14:textId="0FB35462" w:rsidR="00C958C5" w:rsidRPr="005077A2" w:rsidRDefault="00C958C5" w:rsidP="00AB0F98">
      <w:pPr>
        <w:pStyle w:val="COMPara"/>
        <w:ind w:left="567" w:hanging="567"/>
        <w:jc w:val="both"/>
      </w:pPr>
      <w:r w:rsidRPr="005077A2">
        <w:t xml:space="preserve">Помимо описанных выше изменений предлагается внести еще одно изменение, чтобы отразить тот факт, что индивидуальная оценка </w:t>
      </w:r>
      <w:r w:rsidR="00AB0F98" w:rsidRPr="005077A2">
        <w:t>досье осуществляется Оценочным органом</w:t>
      </w:r>
      <w:r w:rsidRPr="005077A2">
        <w:t xml:space="preserve"> в период с декабря года 1 по июнь года 2.</w:t>
      </w:r>
    </w:p>
    <w:p w14:paraId="431A466E" w14:textId="3F7F3B91" w:rsidR="009F2DF1" w:rsidRPr="005077A2" w:rsidRDefault="009F2DF1" w:rsidP="00263C49">
      <w:pPr>
        <w:pStyle w:val="COMPara"/>
        <w:numPr>
          <w:ilvl w:val="0"/>
          <w:numId w:val="41"/>
        </w:numPr>
        <w:spacing w:before="240"/>
        <w:ind w:left="567" w:hanging="567"/>
        <w:jc w:val="both"/>
        <w:rPr>
          <w:b/>
          <w:bCs/>
        </w:rPr>
      </w:pPr>
      <w:r w:rsidRPr="005077A2">
        <w:rPr>
          <w:b/>
        </w:rPr>
        <w:lastRenderedPageBreak/>
        <w:t>Единая глобальная система представления периодической отчетности</w:t>
      </w:r>
    </w:p>
    <w:p w14:paraId="262DDACC" w14:textId="01D645E1" w:rsidR="00820971" w:rsidRPr="005077A2" w:rsidRDefault="00820971" w:rsidP="00820971">
      <w:pPr>
        <w:pStyle w:val="COMPara"/>
        <w:ind w:left="567" w:hanging="567"/>
        <w:jc w:val="both"/>
        <w:rPr>
          <w:rStyle w:val="Hyperlink"/>
          <w:color w:val="auto"/>
          <w:u w:val="none"/>
        </w:rPr>
      </w:pPr>
      <w:r w:rsidRPr="005077A2">
        <w:t xml:space="preserve">В 2017 году был реформирован механизм периодической отчетности в рамках Конвенции 2003 года с целью повышения качества, полезности и своевременности отчетов, а также для решения проблемы низкого уровня представления отчетов, наблюдавшегося до того момента (Решение </w:t>
      </w:r>
      <w:hyperlink r:id="rId14" w:history="1">
        <w:r w:rsidRPr="005077A2">
          <w:rPr>
            <w:rStyle w:val="Hyperlink"/>
          </w:rPr>
          <w:t>12.COM 10</w:t>
        </w:r>
      </w:hyperlink>
      <w:r w:rsidRPr="005077A2">
        <w:t xml:space="preserve">). Форма отчетности была приведена в соответствие со </w:t>
      </w:r>
      <w:hyperlink r:id="rId15" w:history="1">
        <w:r w:rsidR="00837919" w:rsidRPr="005077A2">
          <w:rPr>
            <w:rStyle w:val="Hyperlink"/>
          </w:rPr>
          <w:t>Общей рамочной программой результатов</w:t>
        </w:r>
        <w:r w:rsidR="00837919" w:rsidRPr="005077A2">
          <w:rPr>
            <w:rStyle w:val="Hyperlink"/>
            <w:u w:val="none"/>
          </w:rPr>
          <w:t xml:space="preserve"> </w:t>
        </w:r>
      </w:hyperlink>
      <w:r w:rsidRPr="005077A2">
        <w:t xml:space="preserve">Конвенции, чтобы обеспечить соответствие этого процесса общим целям Конвенции и создать условия для более эффективного мониторинга достижения этих целей (Резолюция </w:t>
      </w:r>
      <w:hyperlink r:id="rId16" w:history="1">
        <w:r w:rsidRPr="005077A2">
          <w:rPr>
            <w:rStyle w:val="Hyperlink"/>
          </w:rPr>
          <w:t>7.GA 9</w:t>
        </w:r>
      </w:hyperlink>
      <w:r w:rsidRPr="005077A2">
        <w:t xml:space="preserve">). В 2018 году были внесены дополнительные изменения, позволяющие проводить отчетность на региональной основе раз в шесть лет (Решение </w:t>
      </w:r>
      <w:hyperlink r:id="rId17" w:history="1">
        <w:r w:rsidRPr="005077A2">
          <w:rPr>
            <w:rStyle w:val="Hyperlink"/>
          </w:rPr>
          <w:t>13.COM 8</w:t>
        </w:r>
      </w:hyperlink>
      <w:r w:rsidRPr="005077A2">
        <w:t xml:space="preserve">), а в 2019 году был запущен первый региональный цикл отчетности (Решение </w:t>
      </w:r>
      <w:hyperlink r:id="rId18" w:history="1">
        <w:r w:rsidRPr="005077A2">
          <w:rPr>
            <w:rStyle w:val="Hyperlink"/>
          </w:rPr>
          <w:t>14.COM 8</w:t>
        </w:r>
      </w:hyperlink>
      <w:r w:rsidRPr="005077A2">
        <w:rPr>
          <w:rStyle w:val="Hyperlink"/>
          <w:color w:val="000000" w:themeColor="text1"/>
          <w:u w:val="none"/>
        </w:rPr>
        <w:t>). В период с 2020 по 2025 год все регионы провели эту работу, что привело к значительному повышению показателей подачи отчетности во всех регионах</w:t>
      </w:r>
      <w:r w:rsidR="00DC7D3C" w:rsidRPr="005077A2">
        <w:rPr>
          <w:rStyle w:val="FootnoteReference"/>
          <w:color w:val="000000" w:themeColor="text1"/>
        </w:rPr>
        <w:footnoteReference w:id="1"/>
      </w:r>
      <w:r w:rsidRPr="005077A2">
        <w:rPr>
          <w:rStyle w:val="Hyperlink"/>
          <w:color w:val="000000" w:themeColor="text1"/>
          <w:u w:val="none"/>
        </w:rPr>
        <w:t>.</w:t>
      </w:r>
    </w:p>
    <w:p w14:paraId="4B3068B6" w14:textId="1D46C84D" w:rsidR="00FA5F89" w:rsidRPr="005077A2" w:rsidRDefault="00F1585E" w:rsidP="00FA5F89">
      <w:pPr>
        <w:pStyle w:val="COMPara"/>
        <w:ind w:left="567" w:hanging="567"/>
        <w:jc w:val="both"/>
      </w:pPr>
      <w:r w:rsidRPr="005077A2">
        <w:t xml:space="preserve">В то же время в </w:t>
      </w:r>
      <w:hyperlink r:id="rId19" w:history="1">
        <w:r w:rsidRPr="005077A2">
          <w:rPr>
            <w:rStyle w:val="Hyperlink"/>
          </w:rPr>
          <w:t>Декларации</w:t>
        </w:r>
      </w:hyperlink>
      <w:r w:rsidRPr="005077A2">
        <w:t xml:space="preserve"> МОНДИАКУЛЬТ 2022, принятой на Всемирной конференции ЮНЕСКО по культурной политике и устойчивому развитию — МОНДИАКУЛЬТ 2022, ЮНЕСКО было предложено раз в четыре года готовить Глобальный доклад о культурной политике на основе информации, данных и показателей, предоставляемых государствами-членами. </w:t>
      </w:r>
      <w:hyperlink r:id="rId20" w:history="1">
        <w:r w:rsidRPr="005077A2">
          <w:rPr>
            <w:rStyle w:val="Hyperlink"/>
          </w:rPr>
          <w:t>Первое издание</w:t>
        </w:r>
      </w:hyperlink>
      <w:r w:rsidRPr="005077A2">
        <w:t xml:space="preserve"> данного Глобального доклада вышло в 2025 году, второе издание запланировано на 2029 год, а последующие издания будут выходить раз в четыре года. Хотя механизмы представления периодических докладов в рамках каждой конвенции и рекомендации в области культуры по-прежнему остаются основным источником информации для Глобального доклада, его подготовка требует корректировки порядка представления, анализа и визуализации этих докладов, с тем чтобы обеспечить всесторонний обзор вклада культуры в устойчивое развитие во всех регионах и во всех сферах культуры.</w:t>
      </w:r>
    </w:p>
    <w:p w14:paraId="4314289A" w14:textId="6DCBC7A9" w:rsidR="00211C2C" w:rsidRPr="005077A2" w:rsidRDefault="00FA5F89" w:rsidP="00837919">
      <w:pPr>
        <w:pStyle w:val="COMPara"/>
        <w:ind w:left="567" w:hanging="567"/>
        <w:jc w:val="both"/>
      </w:pPr>
      <w:r w:rsidRPr="005077A2">
        <w:t xml:space="preserve">В ответ на это на девятнадцатой сессии Комитета в 2024 году была принята дорожная карта по созданию единой глобальной системы представления отчетности (Решение </w:t>
      </w:r>
      <w:hyperlink r:id="rId21" w:history="1">
        <w:r w:rsidRPr="005077A2">
          <w:rPr>
            <w:rStyle w:val="Hyperlink"/>
          </w:rPr>
          <w:t>19.COM 6.c</w:t>
        </w:r>
      </w:hyperlink>
      <w:r w:rsidRPr="005077A2">
        <w:t xml:space="preserve">). Что касается Конвенции 2003 года, то </w:t>
      </w:r>
      <w:r w:rsidR="00837919" w:rsidRPr="005077A2">
        <w:t>данный переход</w:t>
      </w:r>
      <w:r w:rsidRPr="005077A2">
        <w:t xml:space="preserve"> повлечет за собой следующее:</w:t>
      </w:r>
    </w:p>
    <w:p w14:paraId="77668178" w14:textId="5C22B754" w:rsidR="00211C2C" w:rsidRPr="005077A2" w:rsidRDefault="00211C2C" w:rsidP="00263C49">
      <w:pPr>
        <w:pStyle w:val="COMPara"/>
        <w:numPr>
          <w:ilvl w:val="0"/>
          <w:numId w:val="44"/>
        </w:numPr>
        <w:ind w:left="1134" w:hanging="567"/>
        <w:jc w:val="both"/>
      </w:pPr>
      <w:r w:rsidRPr="005077A2">
        <w:rPr>
          <w:u w:val="single"/>
        </w:rPr>
        <w:t>Сроки представления отчетности</w:t>
      </w:r>
      <w:r w:rsidRPr="005077A2">
        <w:t>: сроки представления отчетности по трем механизмам периодической отчетности в рамках Конвенции, которые в настоящее время не совпадают, будут согласованы с единой датой представления отчетности, назначаемой раз в четыре года. Это означает, что все государства-участники должны одновременно представлять отчеты по следующим вопросам: (a) ход осуществления Конвенции и текущее состояние элементов, включенных в Репрезентативный список; и (b) текущее состояние элементов, включенных в Список нематериального культурного наследия, нуждающегося в неотложной охране (далее — «Список неотложной охраны»). Кроме того, (c) государства, не являющиеся участниками Конвенции</w:t>
      </w:r>
      <w:r w:rsidR="00C92AB8" w:rsidRPr="005077A2">
        <w:rPr>
          <w:rStyle w:val="FootnoteReference"/>
          <w:lang w:val="en-US"/>
        </w:rPr>
        <w:footnoteReference w:id="2"/>
      </w:r>
      <w:r w:rsidRPr="005077A2">
        <w:t>, должны представлять отчеты об объектах, включенных в Репрезентативный список.</w:t>
      </w:r>
    </w:p>
    <w:p w14:paraId="3281DD85" w14:textId="3DB78858" w:rsidR="00211C2C" w:rsidRPr="005077A2" w:rsidRDefault="00211C2C" w:rsidP="00CC2DBC">
      <w:pPr>
        <w:pStyle w:val="COMPara"/>
        <w:numPr>
          <w:ilvl w:val="0"/>
          <w:numId w:val="44"/>
        </w:numPr>
        <w:ind w:left="1134" w:hanging="567"/>
        <w:jc w:val="both"/>
      </w:pPr>
      <w:r w:rsidRPr="005077A2">
        <w:rPr>
          <w:u w:val="single"/>
        </w:rPr>
        <w:t>Отчетные формы:</w:t>
      </w:r>
      <w:r w:rsidRPr="005077A2">
        <w:t xml:space="preserve"> отчетные формы (форма ICH-10 и форма ICH-11) будут упрощены с целью снижения нагрузки на государства-члены. Упрощение должно осуществляться с тщательным соблюдением баланса между сокращением объема структуры и сохранением аналитической целостности. Цель состоит в том, чтобы значительно сократить количество вопросов, добившись существенного уменьшения их числа за счет удаления, объединения, переформулирования и </w:t>
      </w:r>
      <w:r w:rsidRPr="005077A2">
        <w:lastRenderedPageBreak/>
        <w:t xml:space="preserve">перегруппировки пунктов, при этом обеспечив четкое соответствие </w:t>
      </w:r>
      <w:r w:rsidR="00CC2DBC" w:rsidRPr="005077A2">
        <w:t>Общей рамочной программе результатов</w:t>
      </w:r>
      <w:r w:rsidRPr="005077A2">
        <w:t>.</w:t>
      </w:r>
    </w:p>
    <w:p w14:paraId="3B1BF3C9" w14:textId="7A7FFEBE" w:rsidR="00211C2C" w:rsidRPr="005077A2" w:rsidRDefault="00211C2C" w:rsidP="00263C49">
      <w:pPr>
        <w:pStyle w:val="COMPara"/>
        <w:numPr>
          <w:ilvl w:val="0"/>
          <w:numId w:val="44"/>
        </w:numPr>
        <w:ind w:left="1134" w:hanging="567"/>
        <w:jc w:val="both"/>
      </w:pPr>
      <w:r w:rsidRPr="005077A2">
        <w:rPr>
          <w:u w:val="single"/>
        </w:rPr>
        <w:t>Подход, направленный на укрепление потенциала:</w:t>
      </w:r>
      <w:r w:rsidRPr="005077A2">
        <w:t xml:space="preserve"> Необходимо тщательно спланировать подход к укреплению потенциала с учетом финансовых и кадровых ресурсов, требуемых в связи с новым сроком представления отчетности, при этом сохранив региональный подход и уделяя особое внимание взаимному обучению. В этих условиях мероприятиям по укреплению потенциала могло бы способствовать укрепление сотрудничества и взаимодействия с центрами категории 2, которые сыграли ключевую роль в организации и проведении учебных мероприятий в ходе первого регионального цикла представления отчетности и выразили готовность к более широкому участию в рамках единой глобальной системы представления отчетности.</w:t>
      </w:r>
    </w:p>
    <w:p w14:paraId="62C4122D" w14:textId="267BBF9C" w:rsidR="002F6998" w:rsidRPr="005077A2" w:rsidRDefault="004A67C0" w:rsidP="002F6998">
      <w:pPr>
        <w:pStyle w:val="COMPara"/>
        <w:ind w:left="567" w:hanging="567"/>
        <w:jc w:val="both"/>
      </w:pPr>
      <w:r w:rsidRPr="005077A2">
        <w:t>При переходе на новую систему заявок на перенос объектов из Списка объектов, требующих неотложной охраны, в Репрезентативный список также могут подаваться до единого крайнего срока подачи заявок — 30 июня 2027 года, а впоследствии — с периодичностью раз в четыре года. Следует отметить, что переход на новую систему отчетности, как ожидается, не повлияет на процедуру переноса объекта из Репрезентативного списка в Список объектов, требующих неотложной охраны.</w:t>
      </w:r>
    </w:p>
    <w:p w14:paraId="47AE00BE" w14:textId="44F66BD0" w:rsidR="00126F31" w:rsidRPr="005077A2" w:rsidRDefault="00C26EBD" w:rsidP="005F3374">
      <w:pPr>
        <w:pStyle w:val="COMPara"/>
        <w:ind w:left="567" w:hanging="567"/>
        <w:jc w:val="both"/>
      </w:pPr>
      <w:r w:rsidRPr="005077A2">
        <w:t xml:space="preserve">Комитет </w:t>
      </w:r>
      <w:r w:rsidR="005F3374" w:rsidRPr="005077A2">
        <w:t>продолжит</w:t>
      </w:r>
      <w:r w:rsidR="005F3374" w:rsidRPr="005077A2" w:rsidDel="005F3374">
        <w:t xml:space="preserve"> </w:t>
      </w:r>
      <w:r w:rsidRPr="005077A2">
        <w:t>рассматривать периодические доклады о выполнении Конвенции, представляемые государствами-участниками (в соответствии со статьей 29 Конвенции), а также доклады о состоянии объектов, включенных в Список объектов, требующих неотложной охраны. Аналогичным образом, Комитет будет и впредь представлять периодические доклады Генеральной Ассамблее, а также доводить их до сведения Генеральной конференции ЮНЕСКО (в соответствии со статьей 30 Конвенции).</w:t>
      </w:r>
    </w:p>
    <w:p w14:paraId="707C8FAD" w14:textId="6528C177" w:rsidR="009E5295" w:rsidRPr="005077A2" w:rsidRDefault="004A67C0" w:rsidP="00C26EBD">
      <w:pPr>
        <w:pStyle w:val="COMPara"/>
        <w:ind w:left="567" w:hanging="567"/>
        <w:jc w:val="both"/>
      </w:pPr>
      <w:r w:rsidRPr="005077A2">
        <w:t xml:space="preserve">На двадцатой сессии Комитет одобрил предложенный план дальнейших действий и рекомендовал Генеральной Ассамблее внести изменения в Оперативное руководство в поддержку этой инициативы (Решение </w:t>
      </w:r>
      <w:hyperlink r:id="rId22" w:history="1">
        <w:r w:rsidRPr="005077A2">
          <w:rPr>
            <w:rStyle w:val="Hyperlink"/>
          </w:rPr>
          <w:t>20.COM 6.c</w:t>
        </w:r>
      </w:hyperlink>
      <w:r w:rsidRPr="005077A2">
        <w:t>). После утверждения предлагаемых поправок следует понимать, что представление периодических докладов в рамках трех механизмов отчетности будет приостановлено до истечения срока 15 декабря 2026 года, в том числе в отношении просроченных докладов.</w:t>
      </w:r>
    </w:p>
    <w:p w14:paraId="6638387D" w14:textId="3C92EE38" w:rsidR="005D39F8" w:rsidRPr="005077A2" w:rsidRDefault="00B864BD" w:rsidP="00986AFE">
      <w:pPr>
        <w:pStyle w:val="COMPara"/>
        <w:ind w:left="567" w:hanging="567"/>
        <w:jc w:val="both"/>
      </w:pPr>
      <w:r w:rsidRPr="005077A2">
        <w:t xml:space="preserve">В рамках года </w:t>
      </w:r>
      <w:r w:rsidR="005F3374" w:rsidRPr="005077A2">
        <w:t>осмысления</w:t>
      </w:r>
      <w:r w:rsidRPr="005077A2">
        <w:t xml:space="preserve">, запланированного по завершении первого регионального цикла представления отчетности, заинтересованные стороны Конвенции подробно обсудили различные аспекты перехода к единой глобальной системе представления отчетности. В частности, обсуждение касалось сроков, упрощения форм отчетности и подхода к укреплению потенциала. Этот процесс включал в себя серию из пяти региональных консультаций, прошедших в апреле и мае 2025 года, а также </w:t>
      </w:r>
      <w:hyperlink r:id="rId23" w:history="1">
        <w:r w:rsidRPr="005077A2">
          <w:rPr>
            <w:rStyle w:val="Hyperlink"/>
          </w:rPr>
          <w:t>глобальное совещание</w:t>
        </w:r>
      </w:hyperlink>
      <w:r w:rsidRPr="005077A2">
        <w:t xml:space="preserve"> по обзору механизмов периодической отчетности в рамках Конвенции 2003 года, организованное в онлайн-формате 28–30 апреля 2026 года.</w:t>
      </w:r>
    </w:p>
    <w:p w14:paraId="49FD0FBC" w14:textId="4F61B6ED" w:rsidR="0068042E" w:rsidRPr="005077A2" w:rsidRDefault="0068042E" w:rsidP="00475817">
      <w:pPr>
        <w:pStyle w:val="COMPara"/>
        <w:numPr>
          <w:ilvl w:val="0"/>
          <w:numId w:val="0"/>
        </w:numPr>
        <w:ind w:left="567"/>
        <w:jc w:val="center"/>
      </w:pPr>
      <w:r w:rsidRPr="005077A2">
        <w:t>***</w:t>
      </w:r>
    </w:p>
    <w:p w14:paraId="31C23A47" w14:textId="0854A24F" w:rsidR="00504B9E" w:rsidRPr="005077A2" w:rsidRDefault="00504B9E" w:rsidP="00403A70">
      <w:pPr>
        <w:pStyle w:val="COMPara"/>
        <w:ind w:left="567" w:hanging="567"/>
        <w:jc w:val="both"/>
      </w:pPr>
      <w:r w:rsidRPr="005077A2">
        <w:t xml:space="preserve">Вышеупомянутые поправки к Оперативному руководству представлены в </w:t>
      </w:r>
      <w:r w:rsidR="00C36528" w:rsidRPr="005077A2">
        <w:t>приложении</w:t>
      </w:r>
      <w:r w:rsidRPr="005077A2">
        <w:t xml:space="preserve"> для рассмотрения на нынешней сессии Генеральной Ассамблеи.</w:t>
      </w:r>
    </w:p>
    <w:p w14:paraId="0342793C" w14:textId="08EE7393" w:rsidR="00504B9E" w:rsidRPr="005077A2" w:rsidRDefault="00903A44" w:rsidP="005077A2">
      <w:pPr>
        <w:pStyle w:val="GAPara"/>
        <w:numPr>
          <w:ilvl w:val="0"/>
          <w:numId w:val="39"/>
        </w:numPr>
        <w:ind w:left="1134" w:hanging="567"/>
        <w:jc w:val="both"/>
      </w:pPr>
      <w:r w:rsidRPr="005077A2">
        <w:t>Текст, выделенный зеленым цветом, касается изменений, рекомендованных на двадцатой сессии Комитета (Решение</w:t>
      </w:r>
      <w:r w:rsidRPr="005077A2">
        <w:rPr>
          <w:color w:val="000000" w:themeColor="text1"/>
        </w:rPr>
        <w:t xml:space="preserve"> </w:t>
      </w:r>
      <w:hyperlink r:id="rId24" w:history="1">
        <w:r w:rsidRPr="005077A2">
          <w:rPr>
            <w:rStyle w:val="Hyperlink"/>
          </w:rPr>
          <w:t>20.COM 8</w:t>
        </w:r>
      </w:hyperlink>
      <w:r w:rsidRPr="005077A2">
        <w:rPr>
          <w:color w:val="000000" w:themeColor="text1"/>
        </w:rPr>
        <w:t>) в отношении рассмотрения досье в рамках механизмов включения в списки Конвенции.</w:t>
      </w:r>
    </w:p>
    <w:p w14:paraId="1BB67E70" w14:textId="6BC9A425" w:rsidR="0022052F" w:rsidRPr="005077A2" w:rsidRDefault="00903A44" w:rsidP="005077A2">
      <w:pPr>
        <w:pStyle w:val="GAPara"/>
        <w:numPr>
          <w:ilvl w:val="0"/>
          <w:numId w:val="39"/>
        </w:numPr>
        <w:ind w:left="1134" w:hanging="567"/>
        <w:jc w:val="both"/>
      </w:pPr>
      <w:r w:rsidRPr="005077A2">
        <w:t xml:space="preserve">Текст, выделенный синим цветом, относится к поправкам, рекомендованным </w:t>
      </w:r>
      <w:r w:rsidR="007742BB" w:rsidRPr="005077A2">
        <w:t>на двадцатой сессии Комитета</w:t>
      </w:r>
      <w:r w:rsidRPr="005077A2">
        <w:t xml:space="preserve"> (Решение</w:t>
      </w:r>
      <w:r w:rsidRPr="005077A2">
        <w:rPr>
          <w:color w:val="000000" w:themeColor="text1"/>
        </w:rPr>
        <w:t xml:space="preserve"> </w:t>
      </w:r>
      <w:hyperlink r:id="rId25" w:history="1">
        <w:r w:rsidRPr="005077A2">
          <w:rPr>
            <w:rStyle w:val="Hyperlink"/>
          </w:rPr>
          <w:t>20.COM 6.c</w:t>
        </w:r>
      </w:hyperlink>
      <w:r w:rsidRPr="005077A2">
        <w:rPr>
          <w:color w:val="000000" w:themeColor="text1"/>
        </w:rPr>
        <w:t>) в целях содействия переходу к единой глобальной системе представления периодической отчетности.</w:t>
      </w:r>
    </w:p>
    <w:p w14:paraId="062AF213" w14:textId="135B5379" w:rsidR="00CE257F" w:rsidRPr="005077A2" w:rsidRDefault="005C792B" w:rsidP="005077A2">
      <w:pPr>
        <w:pStyle w:val="COMPara"/>
        <w:keepNext/>
        <w:keepLines/>
        <w:ind w:left="567" w:hanging="567"/>
      </w:pPr>
      <w:r w:rsidRPr="005077A2">
        <w:lastRenderedPageBreak/>
        <w:t>Генеральная ассамблея, возможно, пожелает принять следующую резолюцию:</w:t>
      </w:r>
    </w:p>
    <w:p w14:paraId="6CEB1E9D" w14:textId="4851D37B" w:rsidR="00D95C4C" w:rsidRPr="005077A2" w:rsidRDefault="004A34A0" w:rsidP="005077A2">
      <w:pPr>
        <w:pStyle w:val="COMTitleDecision"/>
        <w:keepLines/>
        <w:rPr>
          <w:rFonts w:eastAsia="SimSun"/>
        </w:rPr>
      </w:pPr>
      <w:r w:rsidRPr="005077A2">
        <w:t>ПРОЕКТ РЕЗОЛЮЦИИ 11.GA 7</w:t>
      </w:r>
    </w:p>
    <w:p w14:paraId="13024F0B" w14:textId="5181E164" w:rsidR="00D95C4C" w:rsidRPr="005077A2" w:rsidRDefault="005C792B" w:rsidP="00285BB4">
      <w:pPr>
        <w:pStyle w:val="COMPreambulaDecisions"/>
        <w:rPr>
          <w:rFonts w:eastAsia="SimSun"/>
        </w:rPr>
      </w:pPr>
      <w:r w:rsidRPr="005077A2">
        <w:t>Генеральная ассамблея,</w:t>
      </w:r>
    </w:p>
    <w:p w14:paraId="5A9F22F3" w14:textId="5824F734" w:rsidR="0057439C" w:rsidRPr="005077A2" w:rsidRDefault="00D95C4C" w:rsidP="0015767D">
      <w:pPr>
        <w:pStyle w:val="COMParaDecision"/>
      </w:pPr>
      <w:r w:rsidRPr="005077A2">
        <w:t>Рассмотрев</w:t>
      </w:r>
      <w:r w:rsidRPr="005077A2">
        <w:rPr>
          <w:u w:val="none"/>
        </w:rPr>
        <w:t xml:space="preserve"> документ LHE/26/11.GA/7 с приложением,</w:t>
      </w:r>
    </w:p>
    <w:p w14:paraId="260CA8D5" w14:textId="226CB09A" w:rsidR="0057439C" w:rsidRPr="005077A2" w:rsidRDefault="0057439C" w:rsidP="0015767D">
      <w:pPr>
        <w:pStyle w:val="COMParaDecision"/>
      </w:pPr>
      <w:r w:rsidRPr="005077A2">
        <w:t>Ссылаясь</w:t>
      </w:r>
      <w:r w:rsidRPr="005077A2">
        <w:rPr>
          <w:u w:val="none"/>
        </w:rPr>
        <w:t xml:space="preserve"> на Решения </w:t>
      </w:r>
      <w:hyperlink r:id="rId26" w:history="1">
        <w:r w:rsidRPr="005077A2">
          <w:rPr>
            <w:rStyle w:val="Hyperlink"/>
          </w:rPr>
          <w:t>20.COM 6.c</w:t>
        </w:r>
      </w:hyperlink>
      <w:r w:rsidRPr="005077A2">
        <w:rPr>
          <w:u w:val="none"/>
        </w:rPr>
        <w:t xml:space="preserve"> и </w:t>
      </w:r>
      <w:hyperlink r:id="rId27" w:history="1">
        <w:r w:rsidRPr="005077A2">
          <w:rPr>
            <w:rStyle w:val="Hyperlink"/>
          </w:rPr>
          <w:t>20.COM 8</w:t>
        </w:r>
      </w:hyperlink>
      <w:r w:rsidRPr="005077A2">
        <w:rPr>
          <w:u w:val="none"/>
        </w:rPr>
        <w:t>,</w:t>
      </w:r>
    </w:p>
    <w:p w14:paraId="101D6B2B" w14:textId="77777777" w:rsidR="00A37950" w:rsidRPr="005077A2" w:rsidRDefault="00A37950" w:rsidP="00475817">
      <w:pPr>
        <w:pStyle w:val="COMParaDecision"/>
        <w:numPr>
          <w:ilvl w:val="0"/>
          <w:numId w:val="0"/>
        </w:numPr>
        <w:spacing w:before="240"/>
        <w:ind w:left="1134"/>
        <w:rPr>
          <w:b/>
          <w:bCs/>
          <w:u w:val="none"/>
        </w:rPr>
      </w:pPr>
      <w:r w:rsidRPr="005077A2">
        <w:rPr>
          <w:b/>
          <w:u w:val="none"/>
        </w:rPr>
        <w:t>Рассмотрение номинационных досье в рамках механизмов включения в списки Конвенции</w:t>
      </w:r>
    </w:p>
    <w:p w14:paraId="26AA27DD" w14:textId="3EBFDB3D" w:rsidR="005C792B" w:rsidRPr="005077A2" w:rsidRDefault="00BA5BE9" w:rsidP="00475817">
      <w:pPr>
        <w:pStyle w:val="COMParaDecision"/>
      </w:pPr>
      <w:r w:rsidRPr="005077A2">
        <w:t>Принимает к сведению</w:t>
      </w:r>
      <w:r w:rsidRPr="005077A2">
        <w:rPr>
          <w:u w:val="none"/>
        </w:rPr>
        <w:t xml:space="preserve"> предложенные изменения в Оперативное руководство, одобренные на двадцатой сессии Комитета, касающиеся рассмотрения номинационных досье в рамках механизмов включения в списки Конвенции;</w:t>
      </w:r>
    </w:p>
    <w:p w14:paraId="460DBB0E" w14:textId="787FC01E" w:rsidR="0015767D" w:rsidRPr="005077A2" w:rsidRDefault="0015767D">
      <w:pPr>
        <w:pStyle w:val="COMParaDecision"/>
        <w:rPr>
          <w:u w:val="none"/>
        </w:rPr>
      </w:pPr>
      <w:r w:rsidRPr="005077A2">
        <w:t>Высоко оценивает</w:t>
      </w:r>
      <w:r w:rsidRPr="005077A2">
        <w:rPr>
          <w:u w:val="none"/>
        </w:rPr>
        <w:t xml:space="preserve"> положительные результаты применения нынешнего подхода на этапе проверки технической полноты при рассмотрении заявок, направленного на поддержку усилий государств и общин, и в то же время </w:t>
      </w:r>
      <w:r w:rsidRPr="005077A2">
        <w:t>призывает</w:t>
      </w:r>
      <w:r w:rsidRPr="005077A2">
        <w:rPr>
          <w:u w:val="none"/>
        </w:rPr>
        <w:t xml:space="preserve"> государства-участников воздерживаться от внесения существенных изменений на данном этапе;</w:t>
      </w:r>
    </w:p>
    <w:p w14:paraId="4E98E4B0" w14:textId="1E0A6AC4" w:rsidR="0037171B" w:rsidRPr="005077A2" w:rsidRDefault="0037171B" w:rsidP="00475817">
      <w:pPr>
        <w:pStyle w:val="COMParaDecision"/>
        <w:rPr>
          <w:u w:val="none"/>
        </w:rPr>
      </w:pPr>
      <w:r w:rsidRPr="005077A2">
        <w:t>Утверждает</w:t>
      </w:r>
      <w:r w:rsidRPr="005077A2">
        <w:rPr>
          <w:u w:val="none"/>
        </w:rPr>
        <w:t xml:space="preserve"> изменения в Оперативном руководстве, содержащиеся в приложении к настоящей резолюции (касающиеся рассмотрения номинационных досье для механизмов включения в списки Конвенции), и </w:t>
      </w:r>
      <w:r w:rsidRPr="005077A2">
        <w:t>исходит из того</w:t>
      </w:r>
      <w:r w:rsidRPr="005077A2">
        <w:rPr>
          <w:u w:val="none"/>
        </w:rPr>
        <w:t>, что пересмотренный график, содержащийся в них, будет применяться начиная с цикла номинаций 2027 года;</w:t>
      </w:r>
    </w:p>
    <w:p w14:paraId="0DE86411" w14:textId="77777777" w:rsidR="00E87883" w:rsidRPr="005077A2" w:rsidRDefault="00E87883" w:rsidP="00475817">
      <w:pPr>
        <w:pStyle w:val="COMParaDecision"/>
        <w:numPr>
          <w:ilvl w:val="0"/>
          <w:numId w:val="0"/>
        </w:numPr>
        <w:spacing w:before="240"/>
        <w:ind w:left="1134"/>
        <w:rPr>
          <w:b/>
          <w:bCs/>
          <w:u w:val="none"/>
        </w:rPr>
      </w:pPr>
      <w:r w:rsidRPr="005077A2">
        <w:rPr>
          <w:b/>
          <w:u w:val="none"/>
        </w:rPr>
        <w:t>Единая глобальная система представления периодической отчетности</w:t>
      </w:r>
    </w:p>
    <w:p w14:paraId="4EB5C413" w14:textId="01D40469" w:rsidR="00D95C4C" w:rsidRPr="005077A2" w:rsidRDefault="00C20B88" w:rsidP="0015767D">
      <w:pPr>
        <w:pStyle w:val="COMParaDecision"/>
      </w:pPr>
      <w:r w:rsidRPr="005077A2">
        <w:t>Кроме того, принимает к сведению</w:t>
      </w:r>
      <w:r w:rsidRPr="005077A2">
        <w:rPr>
          <w:u w:val="none"/>
        </w:rPr>
        <w:t xml:space="preserve"> предложенные изменения в Операционном руководстве, одобренные на двадцатой сессии Комитета, касающиеся перехода к единой глобальной системе представления периодической отчетности;</w:t>
      </w:r>
    </w:p>
    <w:p w14:paraId="23F2267E" w14:textId="5A88CE8D" w:rsidR="00175BF8" w:rsidRPr="005077A2" w:rsidRDefault="00C20B88" w:rsidP="00417DE5">
      <w:pPr>
        <w:pStyle w:val="COMParaDecision"/>
        <w:rPr>
          <w:u w:val="none"/>
        </w:rPr>
        <w:sectPr w:rsidR="00175BF8" w:rsidRPr="005077A2" w:rsidSect="00655736">
          <w:headerReference w:type="even" r:id="rId28"/>
          <w:headerReference w:type="default" r:id="rId29"/>
          <w:headerReference w:type="first" r:id="rId30"/>
          <w:pgSz w:w="11906" w:h="16838" w:code="9"/>
          <w:pgMar w:top="1418" w:right="1134" w:bottom="1134" w:left="1134" w:header="397" w:footer="284" w:gutter="0"/>
          <w:cols w:space="708"/>
          <w:titlePg/>
          <w:docGrid w:linePitch="360"/>
        </w:sectPr>
      </w:pPr>
      <w:r w:rsidRPr="005077A2">
        <w:t>Утверждает</w:t>
      </w:r>
      <w:r w:rsidRPr="005077A2">
        <w:rPr>
          <w:u w:val="none"/>
        </w:rPr>
        <w:t xml:space="preserve"> изменения в Операционном руководстве, содержащиеся в приложении к настоящей резолюции (необходимые для содействия переходу к единой глобальной системе представления периодической отчетности)</w:t>
      </w:r>
      <w:r w:rsidR="00DE48D1" w:rsidRPr="00DE48D1">
        <w:rPr>
          <w:u w:val="none"/>
        </w:rPr>
        <w:t>.</w:t>
      </w:r>
    </w:p>
    <w:p w14:paraId="476009C9" w14:textId="77777777" w:rsidR="00175BF8" w:rsidRPr="005077A2" w:rsidRDefault="00175BF8" w:rsidP="00504B9E">
      <w:pPr>
        <w:pStyle w:val="Heading4"/>
        <w:numPr>
          <w:ilvl w:val="0"/>
          <w:numId w:val="0"/>
        </w:numPr>
        <w:ind w:left="567" w:hanging="567"/>
        <w:jc w:val="center"/>
        <w:rPr>
          <w:rFonts w:eastAsia="SimSun" w:cs="Arial"/>
        </w:rPr>
      </w:pPr>
      <w:r w:rsidRPr="005077A2">
        <w:rPr>
          <w:rFonts w:cs="Arial"/>
        </w:rPr>
        <w:lastRenderedPageBreak/>
        <w:t>ПРИЛОЖЕНИЕ</w:t>
      </w:r>
    </w:p>
    <w:p w14:paraId="4A6431B8" w14:textId="77777777" w:rsidR="00175BF8" w:rsidRPr="005077A2" w:rsidRDefault="00175BF8" w:rsidP="00F409F9">
      <w:pPr>
        <w:spacing w:after="240"/>
        <w:jc w:val="center"/>
        <w:rPr>
          <w:rFonts w:ascii="Arial" w:eastAsia="DengXian" w:hAnsi="Arial" w:cs="Arial"/>
          <w:b/>
          <w:bCs/>
          <w:kern w:val="2"/>
          <w:sz w:val="22"/>
          <w:szCs w:val="22"/>
          <w14:ligatures w14:val="standardContextual"/>
        </w:rPr>
      </w:pPr>
      <w:r w:rsidRPr="005077A2">
        <w:rPr>
          <w:rFonts w:ascii="Arial" w:hAnsi="Arial" w:cs="Arial"/>
          <w:b/>
          <w:sz w:val="22"/>
        </w:rPr>
        <w:t>Предлагаемые поправки к Оперативному руководству по осуществлению Конвенции</w:t>
      </w:r>
    </w:p>
    <w:p w14:paraId="00D4478C" w14:textId="77777777" w:rsidR="00175BF8" w:rsidRPr="005077A2" w:rsidRDefault="00175BF8" w:rsidP="00163C55">
      <w:pPr>
        <w:spacing w:before="120" w:after="120"/>
        <w:jc w:val="both"/>
        <w:rPr>
          <w:rFonts w:ascii="Arial" w:eastAsia="SimSun" w:hAnsi="Arial" w:cs="Arial"/>
          <w:color w:val="000000" w:themeColor="text1"/>
          <w:sz w:val="22"/>
          <w:szCs w:val="22"/>
        </w:rPr>
      </w:pPr>
      <w:r w:rsidRPr="005077A2">
        <w:rPr>
          <w:rFonts w:ascii="Arial" w:hAnsi="Arial" w:cs="Arial"/>
          <w:b/>
          <w:bCs/>
          <w:color w:val="000000" w:themeColor="text1"/>
          <w:sz w:val="22"/>
        </w:rPr>
        <w:t>Примечание</w:t>
      </w:r>
      <w:r w:rsidRPr="005077A2">
        <w:rPr>
          <w:rFonts w:ascii="Arial" w:hAnsi="Arial" w:cs="Arial"/>
          <w:color w:val="000000" w:themeColor="text1"/>
          <w:sz w:val="22"/>
        </w:rPr>
        <w:t xml:space="preserve">: Предлагаемые поправки к Оперативным директивам, выделенные зеленым цветом в правой колонке, отражают изменения, одобренные на двадцатой сессии Комитета (Решение </w:t>
      </w:r>
      <w:hyperlink r:id="rId31" w:history="1">
        <w:r w:rsidRPr="005077A2">
          <w:rPr>
            <w:rStyle w:val="Hyperlink"/>
            <w:rFonts w:ascii="Arial" w:hAnsi="Arial" w:cs="Arial"/>
            <w:sz w:val="22"/>
          </w:rPr>
          <w:t>20.COM 8</w:t>
        </w:r>
      </w:hyperlink>
      <w:r w:rsidRPr="005077A2">
        <w:rPr>
          <w:rFonts w:ascii="Arial" w:hAnsi="Arial" w:cs="Arial"/>
          <w:color w:val="000000" w:themeColor="text1"/>
          <w:sz w:val="22"/>
        </w:rPr>
        <w:t xml:space="preserve">) и касающиеся рассмотрения досье в рамках механизмов включения в списки Конвенции. Текст, выделенный синим цветом, отражает поправки, одобренные Комитетом на той же сессии (Решение </w:t>
      </w:r>
      <w:hyperlink r:id="rId32" w:history="1">
        <w:r w:rsidRPr="005077A2">
          <w:rPr>
            <w:rStyle w:val="Hyperlink"/>
            <w:rFonts w:ascii="Arial" w:hAnsi="Arial" w:cs="Arial"/>
            <w:sz w:val="22"/>
          </w:rPr>
          <w:t>20.COM 6.c</w:t>
        </w:r>
      </w:hyperlink>
      <w:r w:rsidRPr="005077A2">
        <w:rPr>
          <w:rFonts w:ascii="Arial" w:hAnsi="Arial" w:cs="Arial"/>
          <w:color w:val="000000" w:themeColor="text1"/>
          <w:sz w:val="22"/>
        </w:rPr>
        <w:t>) в целях содействия переходу к единой глобальной системе представления периодической отчетности.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45"/>
        <w:gridCol w:w="6493"/>
        <w:gridCol w:w="777"/>
        <w:gridCol w:w="6255"/>
      </w:tblGrid>
      <w:tr w:rsidR="00175BF8" w:rsidRPr="005077A2" w14:paraId="48C61512" w14:textId="77777777" w:rsidTr="00772187">
        <w:trPr>
          <w:trHeight w:val="22"/>
        </w:trPr>
        <w:tc>
          <w:tcPr>
            <w:tcW w:w="2519" w:type="pct"/>
            <w:gridSpan w:val="2"/>
            <w:shd w:val="clear" w:color="auto" w:fill="C6D9F1" w:themeFill="text2" w:themeFillTint="33"/>
          </w:tcPr>
          <w:p w14:paraId="6AC98852" w14:textId="77777777" w:rsidR="00175BF8" w:rsidRPr="005077A2" w:rsidRDefault="00175BF8" w:rsidP="005F773B">
            <w:pPr>
              <w:keepLines/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77A2">
              <w:rPr>
                <w:rFonts w:ascii="Arial" w:hAnsi="Arial" w:cs="Arial"/>
                <w:b/>
                <w:sz w:val="22"/>
              </w:rPr>
              <w:t>Оперативное руководство (издание 2024 года)</w:t>
            </w:r>
          </w:p>
        </w:tc>
        <w:tc>
          <w:tcPr>
            <w:tcW w:w="2481" w:type="pct"/>
            <w:gridSpan w:val="2"/>
            <w:shd w:val="clear" w:color="auto" w:fill="8DB3E2" w:themeFill="text2" w:themeFillTint="66"/>
          </w:tcPr>
          <w:p w14:paraId="507F900D" w14:textId="77777777" w:rsidR="00175BF8" w:rsidRPr="005077A2" w:rsidRDefault="00175BF8" w:rsidP="005F773B">
            <w:pPr>
              <w:keepLines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b/>
                <w:sz w:val="22"/>
              </w:rPr>
              <w:t>Предлагаемые поправки</w:t>
            </w:r>
          </w:p>
        </w:tc>
      </w:tr>
      <w:tr w:rsidR="00175BF8" w:rsidRPr="005077A2" w14:paraId="59F26D90" w14:textId="77777777" w:rsidTr="00772187">
        <w:tc>
          <w:tcPr>
            <w:tcW w:w="228" w:type="pct"/>
          </w:tcPr>
          <w:p w14:paraId="72231EEA" w14:textId="31AB1C6C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b/>
                <w:bCs/>
                <w:color w:val="4F81BD" w:themeColor="accent1"/>
                <w:sz w:val="22"/>
                <w:szCs w:val="22"/>
              </w:rPr>
            </w:pPr>
            <w:r w:rsidRPr="005077A2">
              <w:rPr>
                <w:rFonts w:ascii="Arial" w:hAnsi="Arial" w:cs="Arial"/>
                <w:b/>
                <w:color w:val="4F81BD" w:themeColor="accent1"/>
                <w:sz w:val="22"/>
              </w:rPr>
              <w:t>I.7</w:t>
            </w:r>
          </w:p>
        </w:tc>
        <w:tc>
          <w:tcPr>
            <w:tcW w:w="2291" w:type="pct"/>
          </w:tcPr>
          <w:p w14:paraId="4865ECDF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b/>
                <w:bCs/>
                <w:color w:val="4F81BD" w:themeColor="accent1"/>
                <w:sz w:val="22"/>
                <w:szCs w:val="22"/>
              </w:rPr>
            </w:pPr>
            <w:r w:rsidRPr="005077A2">
              <w:rPr>
                <w:rFonts w:ascii="Arial" w:hAnsi="Arial" w:cs="Arial"/>
                <w:b/>
                <w:color w:val="4F81BD" w:themeColor="accent1"/>
                <w:sz w:val="22"/>
              </w:rPr>
              <w:t>Представление досье</w:t>
            </w:r>
          </w:p>
        </w:tc>
        <w:tc>
          <w:tcPr>
            <w:tcW w:w="274" w:type="pct"/>
          </w:tcPr>
          <w:p w14:paraId="093CF637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b/>
                <w:bCs/>
                <w:color w:val="4F81BD" w:themeColor="accent1"/>
                <w:sz w:val="22"/>
                <w:szCs w:val="22"/>
              </w:rPr>
            </w:pPr>
            <w:r w:rsidRPr="005077A2">
              <w:rPr>
                <w:rFonts w:ascii="Arial" w:hAnsi="Arial" w:cs="Arial"/>
                <w:b/>
                <w:color w:val="4F81BD" w:themeColor="accent1"/>
                <w:sz w:val="22"/>
              </w:rPr>
              <w:t>I.7</w:t>
            </w:r>
          </w:p>
        </w:tc>
        <w:tc>
          <w:tcPr>
            <w:tcW w:w="2207" w:type="pct"/>
          </w:tcPr>
          <w:p w14:paraId="02BE4F3C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Без изменений</w:t>
            </w:r>
          </w:p>
        </w:tc>
      </w:tr>
      <w:tr w:rsidR="00175BF8" w:rsidRPr="005077A2" w14:paraId="58FE348B" w14:textId="77777777" w:rsidTr="00772187">
        <w:tc>
          <w:tcPr>
            <w:tcW w:w="228" w:type="pct"/>
          </w:tcPr>
          <w:p w14:paraId="44621311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b/>
                <w:bCs/>
                <w:color w:val="4F81BD" w:themeColor="accent1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20.2</w:t>
            </w:r>
          </w:p>
        </w:tc>
        <w:tc>
          <w:tcPr>
            <w:tcW w:w="2291" w:type="pct"/>
          </w:tcPr>
          <w:p w14:paraId="01825749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Форма ICH-01 RL to USL используется для перемещения элемента из Репрезентативного списка нематериального культурного наследия человечества в Список нематериального культурного наследия, нуждающегося в срочной охране, и включает возможность одновременного оформления запроса на международную помощь.</w:t>
            </w:r>
          </w:p>
          <w:p w14:paraId="005B3269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b/>
                <w:bCs/>
                <w:color w:val="4F81BD" w:themeColor="accent1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Форма ICH-02 USL to RL, прилагаемая к Форме периодической отчетности ICH-11, используется для перемещения элемента из Списка нематериального культурного наследия, нуждающегося в срочной охране, в Репрезентативный список нематериального культурного наследия человечества.</w:t>
            </w:r>
          </w:p>
        </w:tc>
        <w:tc>
          <w:tcPr>
            <w:tcW w:w="274" w:type="pct"/>
          </w:tcPr>
          <w:p w14:paraId="45A9A409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b/>
                <w:bCs/>
                <w:color w:val="4F81BD" w:themeColor="accent1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20.2</w:t>
            </w:r>
          </w:p>
        </w:tc>
        <w:tc>
          <w:tcPr>
            <w:tcW w:w="2207" w:type="pct"/>
          </w:tcPr>
          <w:p w14:paraId="1806D3F6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Без изменений</w:t>
            </w:r>
          </w:p>
        </w:tc>
      </w:tr>
      <w:tr w:rsidR="00175BF8" w:rsidRPr="005077A2" w14:paraId="4CF4C817" w14:textId="77777777" w:rsidTr="00772187">
        <w:tc>
          <w:tcPr>
            <w:tcW w:w="228" w:type="pct"/>
          </w:tcPr>
          <w:p w14:paraId="2B32B0D5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b/>
                <w:bCs/>
                <w:color w:val="4F81BD" w:themeColor="accent1"/>
                <w:sz w:val="22"/>
                <w:szCs w:val="22"/>
              </w:rPr>
            </w:pPr>
            <w:r w:rsidRPr="005077A2">
              <w:rPr>
                <w:rFonts w:ascii="Arial" w:hAnsi="Arial" w:cs="Arial"/>
                <w:b/>
                <w:color w:val="4F81BD" w:themeColor="accent1"/>
                <w:sz w:val="22"/>
              </w:rPr>
              <w:t>I.15</w:t>
            </w:r>
          </w:p>
        </w:tc>
        <w:tc>
          <w:tcPr>
            <w:tcW w:w="2291" w:type="pct"/>
          </w:tcPr>
          <w:p w14:paraId="52B6AA47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b/>
                <w:bCs/>
                <w:color w:val="4F81BD" w:themeColor="accent1"/>
                <w:sz w:val="22"/>
                <w:szCs w:val="22"/>
              </w:rPr>
            </w:pPr>
            <w:r w:rsidRPr="005077A2">
              <w:rPr>
                <w:rFonts w:ascii="Arial" w:hAnsi="Arial" w:cs="Arial"/>
                <w:b/>
                <w:color w:val="4F81BD" w:themeColor="accent1"/>
                <w:sz w:val="22"/>
              </w:rPr>
              <w:t>График – обзор процедур</w:t>
            </w:r>
          </w:p>
        </w:tc>
        <w:tc>
          <w:tcPr>
            <w:tcW w:w="274" w:type="pct"/>
          </w:tcPr>
          <w:p w14:paraId="44AF49E6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b/>
                <w:bCs/>
                <w:color w:val="4F81BD" w:themeColor="accent1"/>
                <w:sz w:val="22"/>
                <w:szCs w:val="22"/>
              </w:rPr>
            </w:pPr>
            <w:r w:rsidRPr="005077A2">
              <w:rPr>
                <w:rFonts w:ascii="Arial" w:hAnsi="Arial" w:cs="Arial"/>
                <w:b/>
                <w:color w:val="4F81BD" w:themeColor="accent1"/>
                <w:sz w:val="22"/>
              </w:rPr>
              <w:t>I.15</w:t>
            </w:r>
          </w:p>
        </w:tc>
        <w:tc>
          <w:tcPr>
            <w:tcW w:w="2207" w:type="pct"/>
          </w:tcPr>
          <w:p w14:paraId="13B2C9CF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Без изменений</w:t>
            </w:r>
          </w:p>
        </w:tc>
      </w:tr>
      <w:tr w:rsidR="00175BF8" w:rsidRPr="005077A2" w14:paraId="756B4199" w14:textId="77777777" w:rsidTr="00772187">
        <w:tc>
          <w:tcPr>
            <w:tcW w:w="228" w:type="pct"/>
          </w:tcPr>
          <w:p w14:paraId="65ACF58B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7A2">
              <w:rPr>
                <w:rFonts w:ascii="Arial" w:hAnsi="Arial" w:cs="Arial"/>
                <w:color w:val="000000" w:themeColor="text1"/>
                <w:sz w:val="22"/>
              </w:rPr>
              <w:t>54.</w:t>
            </w:r>
          </w:p>
        </w:tc>
        <w:tc>
          <w:tcPr>
            <w:tcW w:w="2291" w:type="pct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50"/>
              <w:gridCol w:w="4427"/>
            </w:tblGrid>
            <w:tr w:rsidR="00175BF8" w:rsidRPr="005077A2" w14:paraId="49E8B43A" w14:textId="77777777" w:rsidTr="00120A07">
              <w:tc>
                <w:tcPr>
                  <w:tcW w:w="1474" w:type="pct"/>
                </w:tcPr>
                <w:p w14:paraId="3754B182" w14:textId="77777777" w:rsidR="00175BF8" w:rsidRPr="005077A2" w:rsidRDefault="00175BF8" w:rsidP="007E459F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Фаза 1:</w:t>
                  </w:r>
                </w:p>
              </w:tc>
              <w:tc>
                <w:tcPr>
                  <w:tcW w:w="3526" w:type="pct"/>
                </w:tcPr>
                <w:p w14:paraId="472AA42A" w14:textId="77777777" w:rsidR="00175BF8" w:rsidRPr="005077A2" w:rsidRDefault="00175BF8" w:rsidP="007E459F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 xml:space="preserve">Подготовка и представление </w:t>
                  </w:r>
                </w:p>
              </w:tc>
            </w:tr>
            <w:tr w:rsidR="00175BF8" w:rsidRPr="005077A2" w14:paraId="7295CC1F" w14:textId="77777777" w:rsidTr="00120A07">
              <w:tc>
                <w:tcPr>
                  <w:tcW w:w="1474" w:type="pct"/>
                </w:tcPr>
                <w:p w14:paraId="7F56EE28" w14:textId="77777777" w:rsidR="00175BF8" w:rsidRPr="005077A2" w:rsidRDefault="00175BF8" w:rsidP="007E459F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31 марта</w:t>
                  </w:r>
                </w:p>
                <w:p w14:paraId="44FB739C" w14:textId="77777777" w:rsidR="00175BF8" w:rsidRPr="005077A2" w:rsidRDefault="00175BF8" w:rsidP="007E459F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Года 0</w:t>
                  </w:r>
                </w:p>
              </w:tc>
              <w:tc>
                <w:tcPr>
                  <w:tcW w:w="3526" w:type="pct"/>
                </w:tcPr>
                <w:p w14:paraId="7D8F03E8" w14:textId="77777777" w:rsidR="00175BF8" w:rsidRPr="005077A2" w:rsidRDefault="00175BF8" w:rsidP="007E459F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Крайний срок для подачи заявок на помощь в подготовке досье.</w:t>
                  </w:r>
                </w:p>
              </w:tc>
            </w:tr>
            <w:tr w:rsidR="00175BF8" w:rsidRPr="005077A2" w14:paraId="6B90D674" w14:textId="77777777" w:rsidTr="00120A07">
              <w:tc>
                <w:tcPr>
                  <w:tcW w:w="1474" w:type="pct"/>
                </w:tcPr>
                <w:p w14:paraId="77C4B061" w14:textId="77777777" w:rsidR="00175BF8" w:rsidRPr="005077A2" w:rsidRDefault="00175BF8" w:rsidP="007E459F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lastRenderedPageBreak/>
                    <w:t>15 декабря</w:t>
                  </w:r>
                </w:p>
                <w:p w14:paraId="4FAF6177" w14:textId="77777777" w:rsidR="00175BF8" w:rsidRPr="005077A2" w:rsidRDefault="00175BF8" w:rsidP="007E459F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Года 0</w:t>
                  </w:r>
                </w:p>
              </w:tc>
              <w:tc>
                <w:tcPr>
                  <w:tcW w:w="3526" w:type="pct"/>
                </w:tcPr>
                <w:p w14:paraId="163ADF2F" w14:textId="77777777" w:rsidR="00175BF8" w:rsidRPr="005077A2" w:rsidRDefault="00175BF8" w:rsidP="007E459F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Крайний срок для подачи заявок на перемещение из Списка нематериального культурного наследия, нуждающегося в срочной охране, в Репрезентативный список нематериального культурного наследия человечества.</w:t>
                  </w:r>
                </w:p>
              </w:tc>
            </w:tr>
          </w:tbl>
          <w:p w14:paraId="2E800BD0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4" w:type="pct"/>
          </w:tcPr>
          <w:p w14:paraId="01520528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77A2">
              <w:rPr>
                <w:rFonts w:ascii="Arial" w:hAnsi="Arial" w:cs="Arial"/>
                <w:color w:val="000000" w:themeColor="text1"/>
                <w:sz w:val="22"/>
              </w:rPr>
              <w:lastRenderedPageBreak/>
              <w:t>54.</w:t>
            </w:r>
          </w:p>
        </w:tc>
        <w:tc>
          <w:tcPr>
            <w:tcW w:w="2207" w:type="pct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6"/>
              <w:gridCol w:w="4648"/>
            </w:tblGrid>
            <w:tr w:rsidR="00175BF8" w:rsidRPr="005077A2" w14:paraId="0617F71B" w14:textId="77777777" w:rsidTr="00120A07">
              <w:tc>
                <w:tcPr>
                  <w:tcW w:w="1626" w:type="dxa"/>
                </w:tcPr>
                <w:p w14:paraId="429C73CC" w14:textId="77777777" w:rsidR="00175BF8" w:rsidRPr="005077A2" w:rsidRDefault="00175BF8" w:rsidP="007E459F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Фаза 1:</w:t>
                  </w:r>
                </w:p>
              </w:tc>
              <w:tc>
                <w:tcPr>
                  <w:tcW w:w="4648" w:type="dxa"/>
                </w:tcPr>
                <w:p w14:paraId="07132FA8" w14:textId="77777777" w:rsidR="00175BF8" w:rsidRPr="005077A2" w:rsidRDefault="00175BF8" w:rsidP="007E459F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Без изменений</w:t>
                  </w:r>
                </w:p>
              </w:tc>
            </w:tr>
            <w:tr w:rsidR="00175BF8" w:rsidRPr="005077A2" w14:paraId="5C43CB8B" w14:textId="77777777" w:rsidTr="00120A07">
              <w:tc>
                <w:tcPr>
                  <w:tcW w:w="1626" w:type="dxa"/>
                </w:tcPr>
                <w:p w14:paraId="606F8DB0" w14:textId="77777777" w:rsidR="00175BF8" w:rsidRPr="005077A2" w:rsidRDefault="00175BF8" w:rsidP="007E459F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31 марта</w:t>
                  </w:r>
                </w:p>
                <w:p w14:paraId="329B92B2" w14:textId="77777777" w:rsidR="00175BF8" w:rsidRPr="005077A2" w:rsidRDefault="00175BF8" w:rsidP="007E459F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Года 0</w:t>
                  </w:r>
                </w:p>
              </w:tc>
              <w:tc>
                <w:tcPr>
                  <w:tcW w:w="4648" w:type="dxa"/>
                </w:tcPr>
                <w:p w14:paraId="155796E0" w14:textId="77777777" w:rsidR="00175BF8" w:rsidRPr="005077A2" w:rsidRDefault="00175BF8" w:rsidP="007E459F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Без изменений</w:t>
                  </w:r>
                </w:p>
              </w:tc>
            </w:tr>
            <w:tr w:rsidR="00175BF8" w:rsidRPr="005077A2" w14:paraId="702DAF7A" w14:textId="77777777" w:rsidTr="00120A07">
              <w:tc>
                <w:tcPr>
                  <w:tcW w:w="1626" w:type="dxa"/>
                  <w:shd w:val="clear" w:color="auto" w:fill="DBE5F1" w:themeFill="accent1" w:themeFillTint="33"/>
                </w:tcPr>
                <w:p w14:paraId="2FE467DE" w14:textId="77777777" w:rsidR="00175BF8" w:rsidRPr="005077A2" w:rsidRDefault="00175BF8" w:rsidP="007E459F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trike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trike/>
                      <w:sz w:val="22"/>
                    </w:rPr>
                    <w:lastRenderedPageBreak/>
                    <w:t>15 декабря</w:t>
                  </w:r>
                </w:p>
                <w:p w14:paraId="6871775A" w14:textId="77777777" w:rsidR="00175BF8" w:rsidRPr="005077A2" w:rsidRDefault="00175BF8" w:rsidP="007E459F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trike/>
                      <w:sz w:val="22"/>
                    </w:rPr>
                    <w:t>Года 0</w:t>
                  </w:r>
                </w:p>
              </w:tc>
              <w:tc>
                <w:tcPr>
                  <w:tcW w:w="4648" w:type="dxa"/>
                  <w:shd w:val="clear" w:color="auto" w:fill="DBE5F1" w:themeFill="accent1" w:themeFillTint="33"/>
                </w:tcPr>
                <w:p w14:paraId="63FCB161" w14:textId="77777777" w:rsidR="00175BF8" w:rsidRPr="005077A2" w:rsidRDefault="00175BF8" w:rsidP="00DE48D1">
                  <w:pPr>
                    <w:keepLines/>
                    <w:spacing w:before="60" w:after="60"/>
                    <w:ind w:right="173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trike/>
                      <w:sz w:val="22"/>
                    </w:rPr>
                    <w:t>Крайний срок для подачи заявок на перемещение из Списка нематериального культурного наследия, нуждающегося в срочной охране, в Репрезентативный список нематериального культурного наследия человечества.</w:t>
                  </w:r>
                </w:p>
              </w:tc>
            </w:tr>
          </w:tbl>
          <w:p w14:paraId="23B1C1F9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75BF8" w:rsidRPr="005077A2" w14:paraId="1313DD71" w14:textId="77777777" w:rsidTr="00772187">
        <w:trPr>
          <w:trHeight w:val="1904"/>
        </w:trPr>
        <w:tc>
          <w:tcPr>
            <w:tcW w:w="228" w:type="pct"/>
          </w:tcPr>
          <w:p w14:paraId="2EC08A1D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1" w:type="pct"/>
            <w:tcBorders>
              <w:bottom w:val="single" w:sz="4" w:space="0" w:color="auto"/>
            </w:tcBorders>
          </w:tcPr>
          <w:tbl>
            <w:tblPr>
              <w:tblStyle w:val="TableGrid"/>
              <w:tblW w:w="62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9"/>
              <w:gridCol w:w="4586"/>
            </w:tblGrid>
            <w:tr w:rsidR="00175BF8" w:rsidRPr="005077A2" w14:paraId="23ED89E2" w14:textId="77777777" w:rsidTr="00120A07">
              <w:trPr>
                <w:cantSplit/>
              </w:trPr>
              <w:tc>
                <w:tcPr>
                  <w:tcW w:w="1352" w:type="pct"/>
                </w:tcPr>
                <w:p w14:paraId="2B7F3402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31 марта</w:t>
                  </w:r>
                </w:p>
                <w:p w14:paraId="49FAF06A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Года 1</w:t>
                  </w:r>
                </w:p>
              </w:tc>
              <w:tc>
                <w:tcPr>
                  <w:tcW w:w="3648" w:type="pct"/>
                </w:tcPr>
                <w:p w14:paraId="3AE5FB7C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Крайний срок для получения Секретариатом номинаций в Список нематериального культурного наследия, нуждающегося в срочной охране (включая номинации, представленные одновременно с заявками на международную помощь) и в Репрезентативный список нематериального культурного наследия человечества, а также предложений по программам, проектам и мероприятиям наилучшим образом отражающим цели Конвенции. Досье, полученные по истечении этого срока, будут рассматриваться в следующем цикле. По мере получения досье Секретариат размещает их на сайте Конвенции, на языке оригинала.</w:t>
                  </w:r>
                </w:p>
              </w:tc>
            </w:tr>
            <w:tr w:rsidR="00175BF8" w:rsidRPr="005077A2" w14:paraId="6D78DFEB" w14:textId="77777777" w:rsidTr="00743C1E">
              <w:trPr>
                <w:cantSplit/>
                <w:trHeight w:val="2250"/>
              </w:trPr>
              <w:tc>
                <w:tcPr>
                  <w:tcW w:w="1352" w:type="pct"/>
                </w:tcPr>
                <w:p w14:paraId="6ACF61AA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</w:pPr>
                </w:p>
                <w:p w14:paraId="30E2AA4C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648" w:type="pct"/>
                </w:tcPr>
                <w:p w14:paraId="02AC030D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BFDAA3E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 xml:space="preserve"> </w:t>
                  </w:r>
                </w:p>
              </w:tc>
            </w:tr>
            <w:tr w:rsidR="00175BF8" w:rsidRPr="005077A2" w14:paraId="7F9A0A07" w14:textId="77777777" w:rsidTr="00120A07">
              <w:trPr>
                <w:cantSplit/>
              </w:trPr>
              <w:tc>
                <w:tcPr>
                  <w:tcW w:w="1352" w:type="pct"/>
                </w:tcPr>
                <w:p w14:paraId="51333195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lastRenderedPageBreak/>
                    <w:t>30 июня</w:t>
                  </w:r>
                </w:p>
                <w:p w14:paraId="3401FAAB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Года 1</w:t>
                  </w:r>
                </w:p>
              </w:tc>
              <w:tc>
                <w:tcPr>
                  <w:tcW w:w="3648" w:type="pct"/>
                </w:tcPr>
                <w:p w14:paraId="4AFA4E48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Крайний срок для обработки досье Секретариатом, включая их регистрацию и подтверждение получения. Если какое-то досье признается неполным, государству-участнику предлагается его доработать.</w:t>
                  </w:r>
                </w:p>
              </w:tc>
            </w:tr>
            <w:tr w:rsidR="00175BF8" w:rsidRPr="005077A2" w14:paraId="424D980F" w14:textId="77777777" w:rsidTr="00743C1E">
              <w:trPr>
                <w:cantSplit/>
                <w:trHeight w:val="4698"/>
              </w:trPr>
              <w:tc>
                <w:tcPr>
                  <w:tcW w:w="1352" w:type="pct"/>
                </w:tcPr>
                <w:p w14:paraId="537FA1A2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30 сентября</w:t>
                  </w:r>
                </w:p>
                <w:p w14:paraId="62689DB0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Года 1</w:t>
                  </w:r>
                </w:p>
              </w:tc>
              <w:tc>
                <w:tcPr>
                  <w:tcW w:w="3648" w:type="pct"/>
                </w:tcPr>
                <w:p w14:paraId="727309D8" w14:textId="2D4BDF6F" w:rsidR="00175BF8" w:rsidRPr="005077A2" w:rsidRDefault="00175BF8" w:rsidP="00743C1E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Крайний срок для представления Секретариату государством-участником отсутствующей информации, если таковая необходима для окончательного оформления досье. Досье, которые останутся неполными, будут возвращены государству-участнику (государствам-участникам), которое (которые) может (могут) доработать их в последующем цикле. После получения Секретариатом пересмотренных государствами-авторами досье в ответ на запрос о дополнительной информации они размещаются на сайте и заменяют собой изначально полученные досье. Переводы этих досье на английский или французский языки также размещаются на сайте после их получения.</w:t>
                  </w:r>
                </w:p>
              </w:tc>
            </w:tr>
            <w:tr w:rsidR="00175BF8" w:rsidRPr="005077A2" w14:paraId="66AEBC00" w14:textId="77777777" w:rsidTr="00120A07">
              <w:trPr>
                <w:cantSplit/>
              </w:trPr>
              <w:tc>
                <w:tcPr>
                  <w:tcW w:w="1352" w:type="pct"/>
                </w:tcPr>
                <w:p w14:paraId="35CF4334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31 января</w:t>
                  </w:r>
                </w:p>
                <w:p w14:paraId="6B51EDDE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Года 2</w:t>
                  </w:r>
                </w:p>
              </w:tc>
              <w:tc>
                <w:tcPr>
                  <w:tcW w:w="3648" w:type="pct"/>
                </w:tcPr>
                <w:p w14:paraId="411F3E88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Крайний срок для получения Секретариатом заявок на перемещение из Репрезентативного списка нематериального культурного наследия человечества в Список нематериального культурного наследия, нуждающегося в срочной охране. Секретариат регистрирует эти заявки. Заявки направляются Оценочному органу в том же году, когда они были представлены, без проверки полноты досье.</w:t>
                  </w:r>
                </w:p>
              </w:tc>
            </w:tr>
          </w:tbl>
          <w:p w14:paraId="586F289C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3B75D5FE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pct"/>
            <w:tcBorders>
              <w:bottom w:val="single" w:sz="4" w:space="0" w:color="auto"/>
            </w:tcBorders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1"/>
              <w:gridCol w:w="4498"/>
            </w:tblGrid>
            <w:tr w:rsidR="00175BF8" w:rsidRPr="005077A2" w14:paraId="43B342B4" w14:textId="77777777" w:rsidTr="00743C1E">
              <w:trPr>
                <w:cantSplit/>
                <w:trHeight w:val="4581"/>
              </w:trPr>
              <w:tc>
                <w:tcPr>
                  <w:tcW w:w="1276" w:type="pct"/>
                </w:tcPr>
                <w:p w14:paraId="329F4BA3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31 марта</w:t>
                  </w:r>
                </w:p>
                <w:p w14:paraId="2425884E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Года 1</w:t>
                  </w:r>
                </w:p>
              </w:tc>
              <w:tc>
                <w:tcPr>
                  <w:tcW w:w="3724" w:type="pct"/>
                </w:tcPr>
                <w:p w14:paraId="4EEAD4E1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Без изменений</w:t>
                  </w:r>
                </w:p>
                <w:p w14:paraId="21F58C97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641F2FF4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1B7F9F33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0A0B2F2A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6A1D043F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7638C23F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7A80D129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3AE50FDA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009DDEB6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4375AEA7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14BA21E6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175BF8" w:rsidRPr="005077A2" w14:paraId="2DDBA82A" w14:textId="77777777" w:rsidTr="00120A07">
              <w:trPr>
                <w:cantSplit/>
                <w:trHeight w:val="1347"/>
              </w:trPr>
              <w:tc>
                <w:tcPr>
                  <w:tcW w:w="1276" w:type="pct"/>
                  <w:shd w:val="clear" w:color="auto" w:fill="DBE5F1" w:themeFill="accent1" w:themeFillTint="33"/>
                </w:tcPr>
                <w:p w14:paraId="4F12DE8A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5077A2">
                    <w:rPr>
                      <w:rFonts w:ascii="Arial" w:hAnsi="Arial" w:cs="Arial"/>
                      <w:b/>
                      <w:sz w:val="22"/>
                      <w:u w:val="single"/>
                    </w:rPr>
                    <w:t>30 июня</w:t>
                  </w:r>
                </w:p>
                <w:p w14:paraId="21F0243C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5077A2">
                    <w:rPr>
                      <w:rFonts w:ascii="Arial" w:hAnsi="Arial" w:cs="Arial"/>
                      <w:b/>
                      <w:sz w:val="22"/>
                      <w:u w:val="single"/>
                    </w:rPr>
                    <w:t>Года 1</w:t>
                  </w:r>
                </w:p>
                <w:p w14:paraId="14AACBF2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775EB497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724" w:type="pct"/>
                  <w:shd w:val="clear" w:color="auto" w:fill="DBE5F1" w:themeFill="accent1" w:themeFillTint="33"/>
                </w:tcPr>
                <w:p w14:paraId="0742EF1C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5077A2">
                    <w:rPr>
                      <w:rFonts w:ascii="Arial" w:hAnsi="Arial" w:cs="Arial"/>
                      <w:b/>
                      <w:sz w:val="22"/>
                      <w:u w:val="single"/>
                    </w:rPr>
                    <w:t>Крайний срок для подачи заявок на перемещение из Списка нематериального культурного наследия, нуждающегося в срочной охране, в Репрезентативный список нематериального культурного наследия человечества.</w:t>
                  </w:r>
                </w:p>
              </w:tc>
            </w:tr>
            <w:tr w:rsidR="00175BF8" w:rsidRPr="005077A2" w14:paraId="1C524F45" w14:textId="77777777" w:rsidTr="00743C1E">
              <w:trPr>
                <w:cantSplit/>
                <w:trHeight w:val="1728"/>
              </w:trPr>
              <w:tc>
                <w:tcPr>
                  <w:tcW w:w="1276" w:type="pct"/>
                  <w:shd w:val="clear" w:color="auto" w:fill="EAF1DD" w:themeFill="accent3" w:themeFillTint="33"/>
                </w:tcPr>
                <w:p w14:paraId="5ECF266D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trike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trike/>
                      <w:sz w:val="22"/>
                    </w:rPr>
                    <w:lastRenderedPageBreak/>
                    <w:t>30 июня</w:t>
                  </w:r>
                </w:p>
                <w:p w14:paraId="4C021543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5077A2">
                    <w:rPr>
                      <w:rFonts w:ascii="Arial" w:hAnsi="Arial" w:cs="Arial"/>
                      <w:b/>
                      <w:sz w:val="22"/>
                      <w:u w:val="single"/>
                    </w:rPr>
                    <w:t>31 августа</w:t>
                  </w:r>
                </w:p>
                <w:p w14:paraId="06F69A3D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Года 1</w:t>
                  </w:r>
                </w:p>
              </w:tc>
              <w:tc>
                <w:tcPr>
                  <w:tcW w:w="3724" w:type="pct"/>
                  <w:shd w:val="clear" w:color="auto" w:fill="EAF1DD" w:themeFill="accent3" w:themeFillTint="33"/>
                </w:tcPr>
                <w:p w14:paraId="3D87C30B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Крайний срок для обработки досье Секретариатом, включая их регистрацию и подтверждение получения. Если какое-то досье признается неполным, государству-участнику предлагается его доработать.</w:t>
                  </w:r>
                </w:p>
              </w:tc>
            </w:tr>
            <w:tr w:rsidR="00175BF8" w:rsidRPr="005077A2" w14:paraId="58771B92" w14:textId="77777777" w:rsidTr="00120A07">
              <w:trPr>
                <w:cantSplit/>
                <w:trHeight w:val="3428"/>
              </w:trPr>
              <w:tc>
                <w:tcPr>
                  <w:tcW w:w="1276" w:type="pct"/>
                  <w:shd w:val="clear" w:color="auto" w:fill="EAF1DD" w:themeFill="accent3" w:themeFillTint="33"/>
                </w:tcPr>
                <w:p w14:paraId="1CB7CE7A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trike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trike/>
                      <w:sz w:val="22"/>
                    </w:rPr>
                    <w:t>30 сентября</w:t>
                  </w:r>
                </w:p>
                <w:p w14:paraId="5278F1F1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5077A2">
                    <w:rPr>
                      <w:rFonts w:ascii="Arial" w:hAnsi="Arial" w:cs="Arial"/>
                      <w:b/>
                      <w:sz w:val="22"/>
                      <w:u w:val="single"/>
                    </w:rPr>
                    <w:t>30 ноября</w:t>
                  </w:r>
                </w:p>
                <w:p w14:paraId="04E6794E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Года 1</w:t>
                  </w:r>
                </w:p>
              </w:tc>
              <w:tc>
                <w:tcPr>
                  <w:tcW w:w="3724" w:type="pct"/>
                  <w:shd w:val="clear" w:color="auto" w:fill="EAF1DD" w:themeFill="accent3" w:themeFillTint="33"/>
                </w:tcPr>
                <w:p w14:paraId="18C85525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Крайний срок для представления Секретариату государством-участником отсутствующей информации, если таковая необходима для окончательного оформления досье. Досье, которые останутся неполными, будут возвращены государству-участнику (государствам-участникам), которое (которые) может (могут) доработать их в последующем цикле. После получения Секретариатом пересмотренных государствами-авторами досье в ответ на запрос о дополнительной информации они размещаются на сайте и заменяют собой изначально полученные досье. Переводы этих досье на английский или французский языки также размещаются на сайте после их получения.</w:t>
                  </w:r>
                </w:p>
              </w:tc>
            </w:tr>
            <w:tr w:rsidR="00175BF8" w:rsidRPr="005077A2" w14:paraId="41DEFF06" w14:textId="77777777" w:rsidTr="00120A07">
              <w:trPr>
                <w:cantSplit/>
              </w:trPr>
              <w:tc>
                <w:tcPr>
                  <w:tcW w:w="1276" w:type="pct"/>
                </w:tcPr>
                <w:p w14:paraId="6C69938B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31 января</w:t>
                  </w:r>
                </w:p>
                <w:p w14:paraId="294E1DBB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Года 2</w:t>
                  </w:r>
                </w:p>
              </w:tc>
              <w:tc>
                <w:tcPr>
                  <w:tcW w:w="3724" w:type="pct"/>
                </w:tcPr>
                <w:p w14:paraId="34D74781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Без изменений</w:t>
                  </w:r>
                </w:p>
              </w:tc>
            </w:tr>
          </w:tbl>
          <w:p w14:paraId="22EA56E2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75BF8" w:rsidRPr="005077A2" w14:paraId="0722A00A" w14:textId="77777777" w:rsidTr="00772187">
        <w:tc>
          <w:tcPr>
            <w:tcW w:w="228" w:type="pct"/>
            <w:tcBorders>
              <w:right w:val="single" w:sz="4" w:space="0" w:color="auto"/>
            </w:tcBorders>
          </w:tcPr>
          <w:p w14:paraId="7C22FA82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lastRenderedPageBreak/>
              <w:t>55.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62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8"/>
              <w:gridCol w:w="4707"/>
            </w:tblGrid>
            <w:tr w:rsidR="00175BF8" w:rsidRPr="005077A2" w14:paraId="12C6B589" w14:textId="77777777" w:rsidTr="005D7F98">
              <w:trPr>
                <w:cantSplit/>
              </w:trPr>
              <w:tc>
                <w:tcPr>
                  <w:tcW w:w="1255" w:type="pct"/>
                </w:tcPr>
                <w:p w14:paraId="64F151D9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Фаза 2:</w:t>
                  </w:r>
                </w:p>
              </w:tc>
              <w:tc>
                <w:tcPr>
                  <w:tcW w:w="3745" w:type="pct"/>
                </w:tcPr>
                <w:p w14:paraId="18DDDF28" w14:textId="77777777" w:rsidR="00175BF8" w:rsidRPr="005077A2" w:rsidRDefault="00175BF8" w:rsidP="005F773B">
                  <w:pPr>
                    <w:keepLines/>
                    <w:spacing w:before="60" w:after="60"/>
                    <w:ind w:right="176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Оценка</w:t>
                  </w:r>
                </w:p>
              </w:tc>
            </w:tr>
            <w:tr w:rsidR="00175BF8" w:rsidRPr="005077A2" w14:paraId="6707C6E9" w14:textId="77777777" w:rsidTr="005077A2">
              <w:trPr>
                <w:cantSplit/>
                <w:trHeight w:val="713"/>
              </w:trPr>
              <w:tc>
                <w:tcPr>
                  <w:tcW w:w="1255" w:type="pct"/>
                </w:tcPr>
                <w:p w14:paraId="6C2EFE7E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Декабрь года 1 – май года 2</w:t>
                  </w:r>
                </w:p>
              </w:tc>
              <w:tc>
                <w:tcPr>
                  <w:tcW w:w="3745" w:type="pct"/>
                </w:tcPr>
                <w:p w14:paraId="61E60AAD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Индивидуальная оценка досье членами Оценочного органа.</w:t>
                  </w:r>
                </w:p>
                <w:p w14:paraId="5134860F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75BF8" w:rsidRPr="005077A2" w14:paraId="4A395DDA" w14:textId="77777777" w:rsidTr="005D7F98">
              <w:trPr>
                <w:cantSplit/>
              </w:trPr>
              <w:tc>
                <w:tcPr>
                  <w:tcW w:w="1255" w:type="pct"/>
                </w:tcPr>
                <w:p w14:paraId="3066D434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 xml:space="preserve">Июнь </w:t>
                  </w:r>
                </w:p>
                <w:p w14:paraId="73E79685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Года 2</w:t>
                  </w:r>
                </w:p>
              </w:tc>
              <w:tc>
                <w:tcPr>
                  <w:tcW w:w="3745" w:type="pct"/>
                </w:tcPr>
                <w:p w14:paraId="16865F09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Проведение совещания, на котором Оценочный орган совместно завершает свою оценку досье и принимает решение, какие из досье будут включены в процесс диалога. До финального заседания Оценочного органа будет продолжаться оценка только тех досье, которые включены в процесс диалога.</w:t>
                  </w:r>
                </w:p>
                <w:p w14:paraId="3BF89358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Процесс диалога инициируется тогда, когда Оценочный орган считает, что процесс обмена короткими вопросами и ответами с представившим досье государством (государствами), осуществляемый в письменной форме через Секретариат, может повлиять на результат его оценки.</w:t>
                  </w:r>
                </w:p>
              </w:tc>
            </w:tr>
            <w:tr w:rsidR="00175BF8" w:rsidRPr="005077A2" w14:paraId="7203494F" w14:textId="77777777" w:rsidTr="005D7F98">
              <w:trPr>
                <w:cantSplit/>
                <w:trHeight w:val="2583"/>
              </w:trPr>
              <w:tc>
                <w:tcPr>
                  <w:tcW w:w="1255" w:type="pct"/>
                </w:tcPr>
                <w:p w14:paraId="15D24798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Две недели после июньского совещания</w:t>
                  </w:r>
                </w:p>
                <w:p w14:paraId="3F114C10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Года 2</w:t>
                  </w:r>
                </w:p>
              </w:tc>
              <w:tc>
                <w:tcPr>
                  <w:tcW w:w="3745" w:type="pct"/>
                </w:tcPr>
                <w:p w14:paraId="159FE459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Крайний срок, к которому Оценочный орган передает через Секретариат свои вопросы участвующим в процессе диалога государствам-участникам на одном из двух рабочих языков Конвенции.</w:t>
                  </w:r>
                </w:p>
                <w:p w14:paraId="3207D857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Государства-участники отвечают на вопросы Оценочного органа через Секретариат в течение четырех недель после получения письма на одном из двух рабочих языков Конвенции.</w:t>
                  </w:r>
                </w:p>
              </w:tc>
            </w:tr>
            <w:tr w:rsidR="00175BF8" w:rsidRPr="005077A2" w14:paraId="488143C2" w14:textId="77777777" w:rsidTr="005D7F98">
              <w:trPr>
                <w:cantSplit/>
                <w:trHeight w:val="774"/>
              </w:trPr>
              <w:tc>
                <w:tcPr>
                  <w:tcW w:w="1255" w:type="pct"/>
                </w:tcPr>
                <w:p w14:paraId="03205563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Не позднее сентября года 2</w:t>
                  </w:r>
                </w:p>
              </w:tc>
              <w:tc>
                <w:tcPr>
                  <w:tcW w:w="3745" w:type="pct"/>
                </w:tcPr>
                <w:p w14:paraId="0A7869D8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Совещание, на котором Оценочный орган завершает оценку досье, участвовавших в процессе диалога, и доклад об оценке всех досье.</w:t>
                  </w:r>
                </w:p>
              </w:tc>
            </w:tr>
            <w:tr w:rsidR="00175BF8" w:rsidRPr="005077A2" w14:paraId="39B70C3F" w14:textId="77777777" w:rsidTr="005D7F98">
              <w:trPr>
                <w:cantSplit/>
                <w:trHeight w:val="1214"/>
              </w:trPr>
              <w:tc>
                <w:tcPr>
                  <w:tcW w:w="1255" w:type="pct"/>
                </w:tcPr>
                <w:p w14:paraId="22115478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lastRenderedPageBreak/>
                    <w:t>За четыре недели до сессии Комитета</w:t>
                  </w:r>
                </w:p>
              </w:tc>
              <w:tc>
                <w:tcPr>
                  <w:tcW w:w="3745" w:type="pct"/>
                </w:tcPr>
                <w:p w14:paraId="0DE23279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Секретариат направляет членам Комитета доклады об оценке и размещает их на сайте для ознакомления.</w:t>
                  </w:r>
                </w:p>
              </w:tc>
            </w:tr>
          </w:tbl>
          <w:p w14:paraId="3E5DA0E2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C955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lastRenderedPageBreak/>
              <w:t>55.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62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01"/>
              <w:gridCol w:w="4684"/>
            </w:tblGrid>
            <w:tr w:rsidR="00175BF8" w:rsidRPr="005077A2" w14:paraId="581CA3C4" w14:textId="77777777" w:rsidTr="005D7F98">
              <w:trPr>
                <w:cantSplit/>
              </w:trPr>
              <w:tc>
                <w:tcPr>
                  <w:tcW w:w="1274" w:type="pct"/>
                </w:tcPr>
                <w:p w14:paraId="5EC58371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Фаза 2:</w:t>
                  </w:r>
                </w:p>
              </w:tc>
              <w:tc>
                <w:tcPr>
                  <w:tcW w:w="3726" w:type="pct"/>
                </w:tcPr>
                <w:p w14:paraId="5A505D6A" w14:textId="77777777" w:rsidR="00175BF8" w:rsidRPr="005077A2" w:rsidRDefault="00175BF8" w:rsidP="005F773B">
                  <w:pPr>
                    <w:keepLines/>
                    <w:spacing w:before="60" w:after="60"/>
                    <w:ind w:right="176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Без изменений</w:t>
                  </w:r>
                </w:p>
              </w:tc>
            </w:tr>
            <w:tr w:rsidR="00175BF8" w:rsidRPr="005077A2" w14:paraId="264B90AA" w14:textId="77777777" w:rsidTr="005D7F98">
              <w:trPr>
                <w:cantSplit/>
                <w:trHeight w:val="828"/>
              </w:trPr>
              <w:tc>
                <w:tcPr>
                  <w:tcW w:w="1274" w:type="pct"/>
                  <w:shd w:val="clear" w:color="auto" w:fill="EAF1DD" w:themeFill="accent3" w:themeFillTint="33"/>
                </w:tcPr>
                <w:p w14:paraId="5DC3847F" w14:textId="4DD2F755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Декабрь года 1 –</w:t>
                  </w:r>
                  <w:r w:rsidR="001873CF" w:rsidRPr="005077A2">
                    <w:rPr>
                      <w:rFonts w:ascii="Arial" w:hAnsi="Arial" w:cs="Arial"/>
                      <w:sz w:val="22"/>
                    </w:rPr>
                    <w:t xml:space="preserve"> </w:t>
                  </w:r>
                  <w:r w:rsidR="001873CF" w:rsidRPr="005077A2">
                    <w:rPr>
                      <w:rFonts w:ascii="Arial" w:hAnsi="Arial" w:cs="Arial"/>
                      <w:strike/>
                      <w:sz w:val="22"/>
                    </w:rPr>
                    <w:t>май</w:t>
                  </w:r>
                  <w:r w:rsidR="001873CF" w:rsidRPr="005077A2">
                    <w:rPr>
                      <w:rFonts w:ascii="Arial" w:hAnsi="Arial" w:cs="Arial"/>
                      <w:sz w:val="22"/>
                    </w:rPr>
                    <w:t xml:space="preserve"> </w:t>
                  </w:r>
                  <w:r w:rsidRPr="005077A2">
                    <w:rPr>
                      <w:rFonts w:ascii="Arial" w:hAnsi="Arial" w:cs="Arial"/>
                      <w:b/>
                      <w:bCs/>
                      <w:sz w:val="22"/>
                      <w:u w:val="single"/>
                    </w:rPr>
                    <w:t>июнь</w:t>
                  </w:r>
                  <w:r w:rsidRPr="005077A2">
                    <w:rPr>
                      <w:rFonts w:ascii="Arial" w:hAnsi="Arial" w:cs="Arial"/>
                      <w:sz w:val="22"/>
                    </w:rPr>
                    <w:t xml:space="preserve"> года 2</w:t>
                  </w:r>
                </w:p>
              </w:tc>
              <w:tc>
                <w:tcPr>
                  <w:tcW w:w="3726" w:type="pct"/>
                  <w:shd w:val="clear" w:color="auto" w:fill="EAF1DD" w:themeFill="accent3" w:themeFillTint="33"/>
                </w:tcPr>
                <w:p w14:paraId="30BEE45D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Индивидуальная оценка досье членами Оценочного органа.</w:t>
                  </w:r>
                </w:p>
              </w:tc>
            </w:tr>
            <w:tr w:rsidR="00175BF8" w:rsidRPr="005077A2" w14:paraId="5CC31AC5" w14:textId="77777777" w:rsidTr="005077A2">
              <w:trPr>
                <w:cantSplit/>
                <w:trHeight w:val="4355"/>
              </w:trPr>
              <w:tc>
                <w:tcPr>
                  <w:tcW w:w="1274" w:type="pct"/>
                </w:tcPr>
                <w:p w14:paraId="3BF98B2C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 xml:space="preserve">Июнь </w:t>
                  </w:r>
                </w:p>
                <w:p w14:paraId="6F5CE069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Года 2</w:t>
                  </w:r>
                </w:p>
              </w:tc>
              <w:tc>
                <w:tcPr>
                  <w:tcW w:w="3726" w:type="pct"/>
                </w:tcPr>
                <w:p w14:paraId="591A1CA5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Без изменений</w:t>
                  </w:r>
                </w:p>
                <w:p w14:paraId="59C9D38F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2EC60B30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7EA7FC09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0D7CF00A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0D117266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715E6075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4CA76B8E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4DD5F496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2414FBB4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540900BB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786DE5B0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2B119663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175BF8" w:rsidRPr="005077A2" w14:paraId="3C894EC5" w14:textId="77777777" w:rsidTr="005D7F98">
              <w:trPr>
                <w:cantSplit/>
                <w:trHeight w:val="2727"/>
              </w:trPr>
              <w:tc>
                <w:tcPr>
                  <w:tcW w:w="1274" w:type="pct"/>
                </w:tcPr>
                <w:p w14:paraId="43E6EA5B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Две недели после июньского совещания</w:t>
                  </w:r>
                </w:p>
                <w:p w14:paraId="0CB98964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Года 2</w:t>
                  </w:r>
                </w:p>
              </w:tc>
              <w:tc>
                <w:tcPr>
                  <w:tcW w:w="3726" w:type="pct"/>
                </w:tcPr>
                <w:p w14:paraId="44D87D1F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Без изменений</w:t>
                  </w:r>
                </w:p>
                <w:p w14:paraId="4044E627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2E3E427B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25893A22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1C87EED7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25E26255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  <w:p w14:paraId="78E32181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175BF8" w:rsidRPr="005077A2" w14:paraId="1A24BF0E" w14:textId="77777777" w:rsidTr="005D7F98">
              <w:trPr>
                <w:cantSplit/>
                <w:trHeight w:val="1161"/>
              </w:trPr>
              <w:tc>
                <w:tcPr>
                  <w:tcW w:w="1274" w:type="pct"/>
                </w:tcPr>
                <w:p w14:paraId="7A9FAD9C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Не позднее сентября года 2</w:t>
                  </w:r>
                </w:p>
              </w:tc>
              <w:tc>
                <w:tcPr>
                  <w:tcW w:w="3726" w:type="pct"/>
                </w:tcPr>
                <w:p w14:paraId="5AD435E7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Без изменений</w:t>
                  </w:r>
                </w:p>
              </w:tc>
            </w:tr>
            <w:tr w:rsidR="00175BF8" w:rsidRPr="005077A2" w14:paraId="14ABDE14" w14:textId="77777777" w:rsidTr="005D7F98">
              <w:trPr>
                <w:cantSplit/>
                <w:trHeight w:val="1269"/>
              </w:trPr>
              <w:tc>
                <w:tcPr>
                  <w:tcW w:w="1274" w:type="pct"/>
                </w:tcPr>
                <w:p w14:paraId="0EC2314A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lastRenderedPageBreak/>
                    <w:t>За четыре недели до сессии Комитета</w:t>
                  </w:r>
                </w:p>
              </w:tc>
              <w:tc>
                <w:tcPr>
                  <w:tcW w:w="3726" w:type="pct"/>
                </w:tcPr>
                <w:p w14:paraId="4AE99602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Без изменений</w:t>
                  </w:r>
                </w:p>
                <w:p w14:paraId="7E2CB86B" w14:textId="77777777" w:rsidR="00175BF8" w:rsidRPr="005077A2" w:rsidRDefault="00175BF8" w:rsidP="005F773B">
                  <w:pPr>
                    <w:keepLines/>
                    <w:spacing w:before="60" w:after="60"/>
                    <w:ind w:right="69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20736CD3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75BF8" w:rsidRPr="005077A2" w14:paraId="4670B40E" w14:textId="77777777" w:rsidTr="00772187">
        <w:trPr>
          <w:trHeight w:val="13"/>
        </w:trPr>
        <w:tc>
          <w:tcPr>
            <w:tcW w:w="228" w:type="pct"/>
          </w:tcPr>
          <w:p w14:paraId="56625AC0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lastRenderedPageBreak/>
              <w:t>56.</w:t>
            </w:r>
          </w:p>
        </w:tc>
        <w:tc>
          <w:tcPr>
            <w:tcW w:w="2291" w:type="pct"/>
            <w:tcBorders>
              <w:top w:val="single" w:sz="4" w:space="0" w:color="auto"/>
            </w:tcBorders>
          </w:tcPr>
          <w:tbl>
            <w:tblPr>
              <w:tblStyle w:val="TableGrid"/>
              <w:tblW w:w="62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63"/>
              <w:gridCol w:w="4922"/>
            </w:tblGrid>
            <w:tr w:rsidR="00175BF8" w:rsidRPr="005077A2" w14:paraId="7782AFD3" w14:textId="77777777" w:rsidTr="00120A07">
              <w:trPr>
                <w:cantSplit/>
              </w:trPr>
              <w:tc>
                <w:tcPr>
                  <w:tcW w:w="1084" w:type="pct"/>
                </w:tcPr>
                <w:p w14:paraId="16405DA8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Фаза 3:</w:t>
                  </w:r>
                </w:p>
              </w:tc>
              <w:tc>
                <w:tcPr>
                  <w:tcW w:w="3916" w:type="pct"/>
                </w:tcPr>
                <w:p w14:paraId="3E55AAB5" w14:textId="77777777" w:rsidR="00175BF8" w:rsidRPr="005077A2" w:rsidRDefault="00175BF8" w:rsidP="005F773B">
                  <w:pPr>
                    <w:keepLines/>
                    <w:spacing w:before="60" w:after="60"/>
                    <w:ind w:right="176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Рассмотрение</w:t>
                  </w:r>
                </w:p>
              </w:tc>
            </w:tr>
            <w:tr w:rsidR="00175BF8" w:rsidRPr="005077A2" w14:paraId="282ED2B3" w14:textId="77777777" w:rsidTr="00120A07">
              <w:trPr>
                <w:cantSplit/>
              </w:trPr>
              <w:tc>
                <w:tcPr>
                  <w:tcW w:w="1084" w:type="pct"/>
                </w:tcPr>
                <w:p w14:paraId="6BA03C31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Ноябрь</w:t>
                  </w:r>
                </w:p>
                <w:p w14:paraId="7D321E74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Года 2</w:t>
                  </w:r>
                </w:p>
              </w:tc>
              <w:tc>
                <w:tcPr>
                  <w:tcW w:w="3916" w:type="pct"/>
                </w:tcPr>
                <w:p w14:paraId="06C755AF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Комитет рассматривает номинации, предложения и заявки и принимает решения.</w:t>
                  </w:r>
                </w:p>
              </w:tc>
            </w:tr>
          </w:tbl>
          <w:p w14:paraId="2755D261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</w:tcBorders>
          </w:tcPr>
          <w:p w14:paraId="2274934E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56.</w:t>
            </w:r>
          </w:p>
        </w:tc>
        <w:tc>
          <w:tcPr>
            <w:tcW w:w="2207" w:type="pct"/>
            <w:tcBorders>
              <w:top w:val="single" w:sz="4" w:space="0" w:color="auto"/>
            </w:tcBorders>
          </w:tcPr>
          <w:tbl>
            <w:tblPr>
              <w:tblStyle w:val="TableGrid"/>
              <w:tblW w:w="62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63"/>
              <w:gridCol w:w="4922"/>
            </w:tblGrid>
            <w:tr w:rsidR="00175BF8" w:rsidRPr="005077A2" w14:paraId="529C7750" w14:textId="77777777" w:rsidTr="00120A07">
              <w:trPr>
                <w:cantSplit/>
              </w:trPr>
              <w:tc>
                <w:tcPr>
                  <w:tcW w:w="1084" w:type="pct"/>
                </w:tcPr>
                <w:p w14:paraId="6D43D66C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Фаза 3:</w:t>
                  </w:r>
                </w:p>
              </w:tc>
              <w:tc>
                <w:tcPr>
                  <w:tcW w:w="3916" w:type="pct"/>
                </w:tcPr>
                <w:p w14:paraId="5E85EB30" w14:textId="77777777" w:rsidR="00175BF8" w:rsidRPr="005077A2" w:rsidRDefault="00175BF8" w:rsidP="005F773B">
                  <w:pPr>
                    <w:keepLines/>
                    <w:spacing w:before="60" w:after="60"/>
                    <w:ind w:right="176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Без изменений</w:t>
                  </w:r>
                </w:p>
              </w:tc>
            </w:tr>
            <w:tr w:rsidR="00175BF8" w:rsidRPr="005077A2" w14:paraId="167C05DF" w14:textId="77777777" w:rsidTr="00120A07">
              <w:trPr>
                <w:cantSplit/>
                <w:trHeight w:val="836"/>
              </w:trPr>
              <w:tc>
                <w:tcPr>
                  <w:tcW w:w="1084" w:type="pct"/>
                </w:tcPr>
                <w:p w14:paraId="579A20F6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Ноябрь</w:t>
                  </w:r>
                </w:p>
                <w:p w14:paraId="4EEF6298" w14:textId="77777777" w:rsidR="00175BF8" w:rsidRPr="005077A2" w:rsidRDefault="00175BF8" w:rsidP="005F773B">
                  <w:pPr>
                    <w:keepLines/>
                    <w:spacing w:before="60" w:after="6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Года 2</w:t>
                  </w:r>
                </w:p>
              </w:tc>
              <w:tc>
                <w:tcPr>
                  <w:tcW w:w="3916" w:type="pct"/>
                </w:tcPr>
                <w:p w14:paraId="50A64A44" w14:textId="77777777" w:rsidR="00175BF8" w:rsidRPr="005077A2" w:rsidRDefault="00175BF8" w:rsidP="005F773B">
                  <w:pPr>
                    <w:keepLines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077A2">
                    <w:rPr>
                      <w:rFonts w:ascii="Arial" w:hAnsi="Arial" w:cs="Arial"/>
                      <w:sz w:val="22"/>
                    </w:rPr>
                    <w:t>Без изменений</w:t>
                  </w:r>
                </w:p>
              </w:tc>
            </w:tr>
          </w:tbl>
          <w:p w14:paraId="2EF9F675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75BF8" w:rsidRPr="005077A2" w14:paraId="01951395" w14:textId="77777777" w:rsidTr="00772187">
        <w:tc>
          <w:tcPr>
            <w:tcW w:w="228" w:type="pct"/>
          </w:tcPr>
          <w:p w14:paraId="6CB856D9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color w:val="4F81BD" w:themeColor="accent1"/>
                <w:sz w:val="22"/>
                <w:szCs w:val="22"/>
              </w:rPr>
            </w:pPr>
            <w:r w:rsidRPr="005077A2">
              <w:rPr>
                <w:rFonts w:ascii="Arial" w:hAnsi="Arial" w:cs="Arial"/>
                <w:b/>
                <w:color w:val="4F81BD" w:themeColor="accent1"/>
                <w:sz w:val="22"/>
              </w:rPr>
              <w:t>V.1</w:t>
            </w:r>
          </w:p>
        </w:tc>
        <w:tc>
          <w:tcPr>
            <w:tcW w:w="2291" w:type="pct"/>
          </w:tcPr>
          <w:p w14:paraId="76E8B3E5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color w:val="4F81BD" w:themeColor="accent1"/>
                <w:sz w:val="22"/>
                <w:szCs w:val="22"/>
              </w:rPr>
            </w:pPr>
            <w:r w:rsidRPr="005077A2">
              <w:rPr>
                <w:rFonts w:ascii="Arial" w:hAnsi="Arial" w:cs="Arial"/>
                <w:b/>
                <w:color w:val="4F81BD" w:themeColor="accent1"/>
                <w:sz w:val="22"/>
              </w:rPr>
              <w:t>Доклады государств-участников о выполнении Конвенции</w:t>
            </w:r>
          </w:p>
        </w:tc>
        <w:tc>
          <w:tcPr>
            <w:tcW w:w="274" w:type="pct"/>
          </w:tcPr>
          <w:p w14:paraId="584A5C24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color w:val="4F81BD" w:themeColor="accent1"/>
                <w:sz w:val="22"/>
                <w:szCs w:val="22"/>
              </w:rPr>
            </w:pPr>
            <w:r w:rsidRPr="005077A2">
              <w:rPr>
                <w:rFonts w:ascii="Arial" w:hAnsi="Arial" w:cs="Arial"/>
                <w:b/>
                <w:color w:val="4F81BD" w:themeColor="accent1"/>
                <w:sz w:val="22"/>
              </w:rPr>
              <w:t>V.1</w:t>
            </w:r>
          </w:p>
        </w:tc>
        <w:tc>
          <w:tcPr>
            <w:tcW w:w="2207" w:type="pct"/>
          </w:tcPr>
          <w:p w14:paraId="37BDA5F9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Без изменений</w:t>
            </w:r>
          </w:p>
        </w:tc>
      </w:tr>
      <w:tr w:rsidR="00175BF8" w:rsidRPr="005077A2" w14:paraId="750A6845" w14:textId="77777777" w:rsidTr="00772187">
        <w:tc>
          <w:tcPr>
            <w:tcW w:w="228" w:type="pct"/>
          </w:tcPr>
          <w:p w14:paraId="4F1CF19A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151.</w:t>
            </w:r>
          </w:p>
        </w:tc>
        <w:tc>
          <w:tcPr>
            <w:tcW w:w="2291" w:type="pct"/>
          </w:tcPr>
          <w:p w14:paraId="246D7CD0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Каждое государство-участник Конвенции периодически представляет Комитету доклады о законодательных, регламентирующих и иных мерах, принятых для выполнения Конвенции. Государства-участники поощряются к тому, чтобы дополнять собранные данные о выполнении Конвенции информацией, предоставляемой соответствующими неправительственными организациями.</w:t>
            </w:r>
          </w:p>
        </w:tc>
        <w:tc>
          <w:tcPr>
            <w:tcW w:w="274" w:type="pct"/>
          </w:tcPr>
          <w:p w14:paraId="1759EAAB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151.</w:t>
            </w:r>
          </w:p>
        </w:tc>
        <w:tc>
          <w:tcPr>
            <w:tcW w:w="2207" w:type="pct"/>
          </w:tcPr>
          <w:p w14:paraId="6F8C50F3" w14:textId="77777777" w:rsidR="00175BF8" w:rsidRPr="005077A2" w:rsidRDefault="00175BF8" w:rsidP="005F773B">
            <w:pPr>
              <w:keepLines/>
              <w:spacing w:before="60" w:after="60"/>
              <w:ind w:right="17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Без изменений</w:t>
            </w:r>
          </w:p>
        </w:tc>
      </w:tr>
      <w:tr w:rsidR="00175BF8" w:rsidRPr="005077A2" w14:paraId="2ED67AD1" w14:textId="77777777" w:rsidTr="00772187">
        <w:tc>
          <w:tcPr>
            <w:tcW w:w="228" w:type="pct"/>
          </w:tcPr>
          <w:p w14:paraId="2B4F11C9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lastRenderedPageBreak/>
              <w:t>152.</w:t>
            </w:r>
          </w:p>
        </w:tc>
        <w:tc>
          <w:tcPr>
            <w:tcW w:w="2291" w:type="pct"/>
          </w:tcPr>
          <w:p w14:paraId="136A0318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77A2">
              <w:rPr>
                <w:rFonts w:ascii="Arial" w:hAnsi="Arial" w:cs="Arial"/>
                <w:color w:val="000000"/>
                <w:sz w:val="22"/>
              </w:rPr>
              <w:t>Государства-участники представляют свои периодические доклады Комитету к 15 декабря раз в шесть лет на основе ротации по регионам. Порядок такой ротации устанавливает Комитет в начале шестилетнего цикла представления периодических докладов. Государства-участники используют процесс представления периодических докладов для усиления мер по мониторингу, а также для расширения активного регионального обмена и сотрудничества во имя обеспечения эффективной охраны нематериального культурного наследия. Для этих докладов используется форма ICH-10, которая также может быть заполнена онлайн каждым государством-участником (</w:t>
            </w:r>
            <w:hyperlink r:id="rId33" w:history="1">
              <w:r w:rsidRPr="005077A2">
                <w:rPr>
                  <w:rStyle w:val="Hyperlink"/>
                  <w:rFonts w:ascii="Arial" w:hAnsi="Arial" w:cs="Arial"/>
                  <w:b/>
                  <w:sz w:val="22"/>
                </w:rPr>
                <w:t>https://ich.unesco.org</w:t>
              </w:r>
            </w:hyperlink>
            <w:r w:rsidRPr="005077A2">
              <w:rPr>
                <w:rFonts w:ascii="Arial" w:hAnsi="Arial" w:cs="Arial"/>
                <w:color w:val="000000"/>
                <w:sz w:val="22"/>
              </w:rPr>
              <w:t>); эта форма с надлежащей периодичностью пересматривается Секретариатом.</w:t>
            </w:r>
          </w:p>
        </w:tc>
        <w:tc>
          <w:tcPr>
            <w:tcW w:w="274" w:type="pct"/>
          </w:tcPr>
          <w:p w14:paraId="65057699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152.</w:t>
            </w:r>
          </w:p>
        </w:tc>
        <w:tc>
          <w:tcPr>
            <w:tcW w:w="2207" w:type="pct"/>
            <w:shd w:val="clear" w:color="auto" w:fill="DBE5F1" w:themeFill="accent1" w:themeFillTint="33"/>
          </w:tcPr>
          <w:p w14:paraId="1DA3C558" w14:textId="0C6E342D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  <w:r w:rsidRPr="005077A2">
              <w:rPr>
                <w:rFonts w:ascii="Arial" w:hAnsi="Arial" w:cs="Arial"/>
                <w:color w:val="000000"/>
                <w:sz w:val="22"/>
              </w:rPr>
              <w:t xml:space="preserve">Государства-участники представляют свои периодические доклады Комитету к </w:t>
            </w:r>
            <w:r w:rsidRPr="005077A2">
              <w:rPr>
                <w:rFonts w:ascii="Arial" w:hAnsi="Arial" w:cs="Arial"/>
                <w:strike/>
                <w:color w:val="000000"/>
                <w:sz w:val="22"/>
              </w:rPr>
              <w:t>15 декабря раз в шесть лет на основе ротации по регионам</w:t>
            </w:r>
            <w:r w:rsidRPr="005077A2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Pr="005077A2">
              <w:rPr>
                <w:rFonts w:ascii="Arial" w:hAnsi="Arial" w:cs="Arial"/>
                <w:b/>
                <w:color w:val="000000"/>
                <w:sz w:val="22"/>
                <w:u w:val="single"/>
              </w:rPr>
              <w:t>30 июня раз в четыре года в соответствии с календарем, утвержденным Комитетом</w:t>
            </w:r>
            <w:r w:rsidRPr="005077A2">
              <w:rPr>
                <w:rFonts w:ascii="Arial" w:hAnsi="Arial" w:cs="Arial"/>
                <w:bCs/>
                <w:color w:val="000000"/>
                <w:sz w:val="22"/>
              </w:rPr>
              <w:t>.</w:t>
            </w:r>
            <w:r w:rsidRPr="005077A2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Pr="005077A2">
              <w:rPr>
                <w:rFonts w:ascii="Arial" w:hAnsi="Arial" w:cs="Arial"/>
                <w:strike/>
                <w:color w:val="000000"/>
                <w:sz w:val="22"/>
              </w:rPr>
              <w:t>Порядок такой ротации устанавливает Комитет в начале шестилетнего цикла представления периодических докладов.</w:t>
            </w:r>
            <w:r w:rsidRPr="005077A2">
              <w:rPr>
                <w:rFonts w:ascii="Arial" w:hAnsi="Arial" w:cs="Arial"/>
                <w:color w:val="000000"/>
                <w:sz w:val="22"/>
              </w:rPr>
              <w:t xml:space="preserve"> Государства-участники используют процесс представления периодических докладов для усиления мер по мониторингу, а также для расширения активного регионального обмена и сотрудничества во имя обеспечения эффективной охраны нематериального культурного наследия. Для этих докладов используется форма ICH-10, которая также может быть заполнена онлайн каждым государством-участником (</w:t>
            </w:r>
            <w:hyperlink r:id="rId34" w:history="1">
              <w:r w:rsidRPr="005077A2">
                <w:rPr>
                  <w:rStyle w:val="Hyperlink"/>
                  <w:rFonts w:ascii="Arial" w:hAnsi="Arial" w:cs="Arial"/>
                  <w:b/>
                  <w:sz w:val="22"/>
                </w:rPr>
                <w:t>https://ich.unesco.org</w:t>
              </w:r>
            </w:hyperlink>
            <w:r w:rsidRPr="005077A2">
              <w:rPr>
                <w:rFonts w:ascii="Arial" w:hAnsi="Arial" w:cs="Arial"/>
                <w:color w:val="000000"/>
                <w:sz w:val="22"/>
              </w:rPr>
              <w:t xml:space="preserve">); эта форма с надлежащей периодичностью пересматривается Секретариатом. </w:t>
            </w:r>
          </w:p>
        </w:tc>
      </w:tr>
      <w:tr w:rsidR="00175BF8" w:rsidRPr="005077A2" w14:paraId="5EFD2AF6" w14:textId="77777777" w:rsidTr="00772187">
        <w:tc>
          <w:tcPr>
            <w:tcW w:w="228" w:type="pct"/>
          </w:tcPr>
          <w:p w14:paraId="75326017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153.</w:t>
            </w:r>
          </w:p>
        </w:tc>
        <w:tc>
          <w:tcPr>
            <w:tcW w:w="2291" w:type="pct"/>
          </w:tcPr>
          <w:p w14:paraId="289D4D17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77A2">
              <w:rPr>
                <w:rFonts w:ascii="Arial" w:hAnsi="Arial" w:cs="Arial"/>
                <w:color w:val="000000"/>
                <w:sz w:val="22"/>
              </w:rPr>
              <w:t>Государство-участник сообщает о законодательных, регламентирующих и других мерах, принятых на национальном уровне для выполнения Конвенции, включая:</w:t>
            </w:r>
          </w:p>
          <w:p w14:paraId="35A33336" w14:textId="77777777" w:rsidR="00175BF8" w:rsidRPr="005077A2" w:rsidRDefault="00175BF8" w:rsidP="00175BF8">
            <w:pPr>
              <w:pStyle w:val="U1"/>
              <w:keepLines/>
              <w:widowControl/>
              <w:numPr>
                <w:ilvl w:val="0"/>
                <w:numId w:val="26"/>
              </w:numPr>
              <w:spacing w:before="60" w:after="60"/>
              <w:jc w:val="both"/>
            </w:pPr>
            <w:r w:rsidRPr="005077A2">
              <w:t>составление перечней нематериального культурного наследия, имеющегося на его территории, как это предусматривается в статьях 11 и 12 Конвенции;</w:t>
            </w:r>
          </w:p>
          <w:p w14:paraId="50F07FE0" w14:textId="77777777" w:rsidR="00175BF8" w:rsidRPr="005077A2" w:rsidRDefault="00175BF8" w:rsidP="00175BF8">
            <w:pPr>
              <w:pStyle w:val="U1"/>
              <w:keepLines/>
              <w:widowControl/>
              <w:numPr>
                <w:ilvl w:val="0"/>
                <w:numId w:val="26"/>
              </w:numPr>
              <w:spacing w:before="60" w:after="60"/>
              <w:jc w:val="both"/>
            </w:pPr>
            <w:r w:rsidRPr="005077A2">
              <w:t>другие меры по охране, указанные в статьях 11 и 13 Конвенции, включая следующее:</w:t>
            </w:r>
          </w:p>
          <w:p w14:paraId="35668560" w14:textId="77777777" w:rsidR="00175BF8" w:rsidRPr="005077A2" w:rsidRDefault="00175BF8" w:rsidP="005F773B">
            <w:pPr>
              <w:pStyle w:val="i"/>
              <w:keepLines/>
              <w:spacing w:before="60" w:after="60"/>
              <w:ind w:left="799"/>
              <w:rPr>
                <w:w w:val="100"/>
              </w:rPr>
            </w:pPr>
            <w:r w:rsidRPr="005077A2">
              <w:t>принятие общей политики, направленной на повышение роли нематериального культурного наследия в обществе и включение охраны этого наследия в программы планирования;</w:t>
            </w:r>
          </w:p>
          <w:p w14:paraId="391774EA" w14:textId="77777777" w:rsidR="00175BF8" w:rsidRPr="005077A2" w:rsidRDefault="00175BF8" w:rsidP="005F773B">
            <w:pPr>
              <w:pStyle w:val="i"/>
              <w:keepLines/>
              <w:spacing w:before="60" w:after="60"/>
              <w:ind w:left="799"/>
              <w:rPr>
                <w:w w:val="100"/>
              </w:rPr>
            </w:pPr>
            <w:r w:rsidRPr="005077A2">
              <w:t>содействие научным, техническим и искусствоведческим исследованиям с целью обеспечения эффективной охраны;</w:t>
            </w:r>
          </w:p>
          <w:p w14:paraId="53ED01F5" w14:textId="77777777" w:rsidR="00175BF8" w:rsidRPr="005077A2" w:rsidRDefault="00175BF8" w:rsidP="005F773B">
            <w:pPr>
              <w:pStyle w:val="i"/>
              <w:keepLines/>
              <w:spacing w:before="60" w:after="60"/>
              <w:ind w:left="799"/>
              <w:rPr>
                <w:color w:val="000000"/>
              </w:rPr>
            </w:pPr>
            <w:r w:rsidRPr="005077A2">
              <w:lastRenderedPageBreak/>
              <w:t>максимальное, по возможности, облегчение доступа к информации, касающейся нематериального культурного наследия, при соблюдении общепринятой практики, определяющей порядок доступа к его конкретным аспектам.</w:t>
            </w:r>
          </w:p>
        </w:tc>
        <w:tc>
          <w:tcPr>
            <w:tcW w:w="274" w:type="pct"/>
          </w:tcPr>
          <w:p w14:paraId="467102BF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lastRenderedPageBreak/>
              <w:t>153.</w:t>
            </w:r>
          </w:p>
        </w:tc>
        <w:tc>
          <w:tcPr>
            <w:tcW w:w="2207" w:type="pct"/>
          </w:tcPr>
          <w:p w14:paraId="7883450E" w14:textId="77777777" w:rsidR="00175BF8" w:rsidRPr="005077A2" w:rsidRDefault="00175BF8" w:rsidP="005F773B">
            <w:pPr>
              <w:keepLines/>
              <w:spacing w:before="60" w:after="60"/>
              <w:ind w:right="17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Без изменений</w:t>
            </w:r>
          </w:p>
        </w:tc>
      </w:tr>
      <w:tr w:rsidR="00175BF8" w:rsidRPr="005077A2" w14:paraId="4BEEE125" w14:textId="77777777" w:rsidTr="00772187">
        <w:tc>
          <w:tcPr>
            <w:tcW w:w="228" w:type="pct"/>
          </w:tcPr>
          <w:p w14:paraId="31660964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154.</w:t>
            </w:r>
          </w:p>
        </w:tc>
        <w:tc>
          <w:tcPr>
            <w:tcW w:w="2291" w:type="pct"/>
          </w:tcPr>
          <w:p w14:paraId="32831BFE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Государство-участник сообщает о законодательных, регламентирующих и других мерах, принятых на национальном уровне с целью укрепления институционального потенциала в области охраны нематериального культурного наследия, как это предусматривается в статье 13 Конвенции, включая следующее:</w:t>
            </w:r>
          </w:p>
          <w:p w14:paraId="6AD5B0DE" w14:textId="77777777" w:rsidR="00175BF8" w:rsidRPr="005077A2" w:rsidRDefault="00175BF8" w:rsidP="00175BF8">
            <w:pPr>
              <w:pStyle w:val="U1"/>
              <w:keepLines/>
              <w:widowControl/>
              <w:numPr>
                <w:ilvl w:val="0"/>
                <w:numId w:val="25"/>
              </w:numPr>
              <w:tabs>
                <w:tab w:val="clear" w:pos="1701"/>
              </w:tabs>
              <w:spacing w:before="60" w:after="60"/>
              <w:ind w:left="656" w:hanging="656"/>
              <w:jc w:val="both"/>
            </w:pPr>
            <w:r w:rsidRPr="005077A2">
              <w:t>определение или создание одного или нескольких компетентных органов по охране его нематериального культурного наследия;</w:t>
            </w:r>
          </w:p>
          <w:p w14:paraId="22EF2D6F" w14:textId="77777777" w:rsidR="00175BF8" w:rsidRPr="005077A2" w:rsidRDefault="00175BF8" w:rsidP="00175BF8">
            <w:pPr>
              <w:pStyle w:val="U1"/>
              <w:keepLines/>
              <w:widowControl/>
              <w:numPr>
                <w:ilvl w:val="0"/>
                <w:numId w:val="25"/>
              </w:numPr>
              <w:tabs>
                <w:tab w:val="clear" w:pos="1701"/>
              </w:tabs>
              <w:spacing w:before="60" w:after="60"/>
              <w:ind w:left="656" w:hanging="656"/>
              <w:jc w:val="both"/>
            </w:pPr>
            <w:r w:rsidRPr="005077A2">
              <w:t>укрепление учреждений по подготовке кадров в области управления нематериальным культурным наследием и его передачи;</w:t>
            </w:r>
          </w:p>
          <w:p w14:paraId="4CAECDAC" w14:textId="77777777" w:rsidR="00175BF8" w:rsidRPr="005077A2" w:rsidRDefault="00175BF8" w:rsidP="00175BF8">
            <w:pPr>
              <w:pStyle w:val="U1"/>
              <w:keepLines/>
              <w:widowControl/>
              <w:numPr>
                <w:ilvl w:val="0"/>
                <w:numId w:val="25"/>
              </w:numPr>
              <w:tabs>
                <w:tab w:val="clear" w:pos="1701"/>
              </w:tabs>
              <w:spacing w:before="60" w:after="60"/>
              <w:ind w:left="656" w:hanging="656"/>
              <w:jc w:val="both"/>
            </w:pPr>
            <w:r w:rsidRPr="005077A2">
              <w:t>создание учреждений, занимающихся документацией по нематериальному культурному наследию, и максимальное, по возможности, облегчение доступа к ним.</w:t>
            </w:r>
          </w:p>
        </w:tc>
        <w:tc>
          <w:tcPr>
            <w:tcW w:w="274" w:type="pct"/>
          </w:tcPr>
          <w:p w14:paraId="69150ADC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154.</w:t>
            </w:r>
          </w:p>
        </w:tc>
        <w:tc>
          <w:tcPr>
            <w:tcW w:w="2207" w:type="pct"/>
          </w:tcPr>
          <w:p w14:paraId="674E8FC8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077A2">
              <w:rPr>
                <w:rFonts w:ascii="Arial" w:hAnsi="Arial" w:cs="Arial"/>
                <w:sz w:val="22"/>
              </w:rPr>
              <w:t>Без изменений</w:t>
            </w:r>
          </w:p>
        </w:tc>
      </w:tr>
      <w:tr w:rsidR="00175BF8" w:rsidRPr="005077A2" w14:paraId="34752432" w14:textId="77777777" w:rsidTr="00772187">
        <w:tc>
          <w:tcPr>
            <w:tcW w:w="228" w:type="pct"/>
          </w:tcPr>
          <w:p w14:paraId="26401B17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155.</w:t>
            </w:r>
          </w:p>
        </w:tc>
        <w:tc>
          <w:tcPr>
            <w:tcW w:w="2291" w:type="pct"/>
          </w:tcPr>
          <w:p w14:paraId="045C023F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Государство-участник сообщает о законодательных, регламентирующих и других мерах, принятых на национальном уровне с целью обеспечения более широкого признания, уважения и повышения роли нематериального культурного наследия, в частности о мерах, предусматриваемых в статье 14 Конвенции:</w:t>
            </w:r>
          </w:p>
          <w:p w14:paraId="58CEE9E6" w14:textId="77777777" w:rsidR="00175BF8" w:rsidRPr="005077A2" w:rsidRDefault="00175BF8" w:rsidP="00175BF8">
            <w:pPr>
              <w:pStyle w:val="U1"/>
              <w:keepLines/>
              <w:widowControl/>
              <w:numPr>
                <w:ilvl w:val="0"/>
                <w:numId w:val="28"/>
              </w:numPr>
              <w:tabs>
                <w:tab w:val="clear" w:pos="1701"/>
              </w:tabs>
              <w:spacing w:before="60" w:after="60"/>
              <w:ind w:left="656" w:hanging="656"/>
              <w:jc w:val="both"/>
            </w:pPr>
            <w:r w:rsidRPr="005077A2">
              <w:t>программы в области образования, повышения осведомленности и информирования общественности;</w:t>
            </w:r>
          </w:p>
          <w:p w14:paraId="14F0138B" w14:textId="77777777" w:rsidR="00175BF8" w:rsidRPr="005077A2" w:rsidRDefault="00175BF8" w:rsidP="00175BF8">
            <w:pPr>
              <w:pStyle w:val="U1"/>
              <w:keepLines/>
              <w:widowControl/>
              <w:numPr>
                <w:ilvl w:val="0"/>
                <w:numId w:val="28"/>
              </w:numPr>
              <w:tabs>
                <w:tab w:val="clear" w:pos="1701"/>
              </w:tabs>
              <w:spacing w:before="60" w:after="60"/>
              <w:ind w:left="656" w:hanging="656"/>
              <w:jc w:val="both"/>
            </w:pPr>
            <w:r w:rsidRPr="005077A2">
              <w:t>программы в области образования и подготовки кадров, предназначенные для соответствующих сообществ и групп;</w:t>
            </w:r>
          </w:p>
          <w:p w14:paraId="592A800E" w14:textId="77777777" w:rsidR="00175BF8" w:rsidRPr="005077A2" w:rsidRDefault="00175BF8" w:rsidP="00175BF8">
            <w:pPr>
              <w:pStyle w:val="U1"/>
              <w:keepLines/>
              <w:widowControl/>
              <w:numPr>
                <w:ilvl w:val="0"/>
                <w:numId w:val="28"/>
              </w:numPr>
              <w:tabs>
                <w:tab w:val="clear" w:pos="1701"/>
              </w:tabs>
              <w:spacing w:before="60" w:after="60"/>
              <w:ind w:left="656" w:hanging="656"/>
              <w:jc w:val="both"/>
            </w:pPr>
            <w:r w:rsidRPr="005077A2">
              <w:lastRenderedPageBreak/>
              <w:t>мероприятия по созданию потенциала в области охраны нематериального культурного наследия;</w:t>
            </w:r>
          </w:p>
          <w:p w14:paraId="4E7F7AA4" w14:textId="77777777" w:rsidR="00175BF8" w:rsidRPr="005077A2" w:rsidRDefault="00175BF8" w:rsidP="00175BF8">
            <w:pPr>
              <w:pStyle w:val="U1"/>
              <w:keepLines/>
              <w:widowControl/>
              <w:numPr>
                <w:ilvl w:val="0"/>
                <w:numId w:val="28"/>
              </w:numPr>
              <w:tabs>
                <w:tab w:val="clear" w:pos="1701"/>
              </w:tabs>
              <w:spacing w:before="60" w:after="60"/>
              <w:ind w:left="656" w:hanging="656"/>
              <w:jc w:val="both"/>
            </w:pPr>
            <w:r w:rsidRPr="005077A2">
              <w:t>неформальные средства передачи знаний;</w:t>
            </w:r>
          </w:p>
          <w:p w14:paraId="0B90D274" w14:textId="77777777" w:rsidR="00175BF8" w:rsidRPr="005077A2" w:rsidRDefault="00175BF8" w:rsidP="00175BF8">
            <w:pPr>
              <w:pStyle w:val="U1"/>
              <w:keepLines/>
              <w:widowControl/>
              <w:numPr>
                <w:ilvl w:val="0"/>
                <w:numId w:val="28"/>
              </w:numPr>
              <w:tabs>
                <w:tab w:val="clear" w:pos="1701"/>
              </w:tabs>
              <w:spacing w:before="60" w:after="60"/>
              <w:ind w:left="656" w:hanging="656"/>
              <w:jc w:val="both"/>
            </w:pPr>
            <w:r w:rsidRPr="005077A2">
              <w:t>образование по вопросам охраны природных объектов и памятных мест.</w:t>
            </w:r>
          </w:p>
        </w:tc>
        <w:tc>
          <w:tcPr>
            <w:tcW w:w="274" w:type="pct"/>
          </w:tcPr>
          <w:p w14:paraId="4DE65CB2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lastRenderedPageBreak/>
              <w:t>155.</w:t>
            </w:r>
          </w:p>
        </w:tc>
        <w:tc>
          <w:tcPr>
            <w:tcW w:w="2207" w:type="pct"/>
          </w:tcPr>
          <w:p w14:paraId="197EE71E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Без изменений</w:t>
            </w:r>
          </w:p>
        </w:tc>
      </w:tr>
      <w:tr w:rsidR="00175BF8" w:rsidRPr="005077A2" w14:paraId="02F74F3E" w14:textId="77777777" w:rsidTr="00772187">
        <w:tc>
          <w:tcPr>
            <w:tcW w:w="228" w:type="pct"/>
          </w:tcPr>
          <w:p w14:paraId="0CFA51C8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156.</w:t>
            </w:r>
          </w:p>
        </w:tc>
        <w:tc>
          <w:tcPr>
            <w:tcW w:w="2291" w:type="pct"/>
          </w:tcPr>
          <w:p w14:paraId="7A20214C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Государство-участник сообщает о мерах, принятых им на двустороннем, субрегиональном, региональном и международном уровнях с целью выполнения Конвенции, включая такие меры по международному сотрудничеству, как обмен информацией и опытом, а также другие совместные инициативы, предусматриваемые в статье 19 Конвенции.</w:t>
            </w:r>
          </w:p>
        </w:tc>
        <w:tc>
          <w:tcPr>
            <w:tcW w:w="274" w:type="pct"/>
          </w:tcPr>
          <w:p w14:paraId="3DAA50ED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156.</w:t>
            </w:r>
          </w:p>
        </w:tc>
        <w:tc>
          <w:tcPr>
            <w:tcW w:w="2207" w:type="pct"/>
          </w:tcPr>
          <w:p w14:paraId="49EF78BA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Без изменений</w:t>
            </w:r>
          </w:p>
        </w:tc>
      </w:tr>
      <w:tr w:rsidR="00175BF8" w:rsidRPr="005077A2" w14:paraId="4EADA41E" w14:textId="77777777" w:rsidTr="00772187">
        <w:tc>
          <w:tcPr>
            <w:tcW w:w="228" w:type="pct"/>
          </w:tcPr>
          <w:p w14:paraId="64A79E91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157.</w:t>
            </w:r>
          </w:p>
        </w:tc>
        <w:tc>
          <w:tcPr>
            <w:tcW w:w="2291" w:type="pct"/>
          </w:tcPr>
          <w:p w14:paraId="0D7AFE7E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Государство-участник сообщает о нынешнем состоянии всех элементов нематериального культурного наследия, имеющихся на его территории, которые были включены в Репрезентативный список нематериального культурного наследия человечества. Государство-участник должно уделять особое внимание роли гендерного фактора и стремится обеспечить максимальное, по возможности, участие заинтересованных сообществ, групп и, в соответствующих случаях, отдельных лиц, а также соответствующих неправительственных организаций в подготовке таких докладов, в которых рассматриваются следующие вопросы применительно к каждому соответствующему элементу:</w:t>
            </w:r>
          </w:p>
          <w:p w14:paraId="4281DBC6" w14:textId="77777777" w:rsidR="00175BF8" w:rsidRPr="005077A2" w:rsidRDefault="00175BF8" w:rsidP="00175BF8">
            <w:pPr>
              <w:keepLines/>
              <w:numPr>
                <w:ilvl w:val="0"/>
                <w:numId w:val="24"/>
              </w:numPr>
              <w:spacing w:before="60" w:after="60"/>
              <w:ind w:left="656" w:hanging="6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социальные и культурные функции данного элемента;</w:t>
            </w:r>
          </w:p>
          <w:p w14:paraId="0AD91705" w14:textId="77777777" w:rsidR="00175BF8" w:rsidRPr="005077A2" w:rsidRDefault="00175BF8" w:rsidP="00175BF8">
            <w:pPr>
              <w:keepLines/>
              <w:numPr>
                <w:ilvl w:val="0"/>
                <w:numId w:val="24"/>
              </w:numPr>
              <w:spacing w:before="60" w:after="60"/>
              <w:ind w:left="656" w:hanging="6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оценка его жизнеспособности и грозящих ему опасностей, если таковые имеются;</w:t>
            </w:r>
          </w:p>
          <w:p w14:paraId="4554D75C" w14:textId="77777777" w:rsidR="00175BF8" w:rsidRPr="005077A2" w:rsidRDefault="00175BF8" w:rsidP="00175BF8">
            <w:pPr>
              <w:keepLines/>
              <w:numPr>
                <w:ilvl w:val="0"/>
                <w:numId w:val="24"/>
              </w:numPr>
              <w:spacing w:before="60" w:after="60"/>
              <w:ind w:left="656" w:hanging="6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его вклад в достижение целей Списка;</w:t>
            </w:r>
          </w:p>
          <w:p w14:paraId="62D6B545" w14:textId="77777777" w:rsidR="00175BF8" w:rsidRPr="005077A2" w:rsidRDefault="00175BF8" w:rsidP="00175BF8">
            <w:pPr>
              <w:keepLines/>
              <w:numPr>
                <w:ilvl w:val="0"/>
                <w:numId w:val="24"/>
              </w:numPr>
              <w:spacing w:before="60" w:after="60"/>
              <w:ind w:left="656" w:hanging="6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усилия, направленные на повышение или укрепление роли данного элемента, в частности осуществление каких-либо мер, необходимость которых могла бы быть продиктована его включением в Список;</w:t>
            </w:r>
          </w:p>
          <w:p w14:paraId="61F4F187" w14:textId="77777777" w:rsidR="00175BF8" w:rsidRPr="005077A2" w:rsidRDefault="00175BF8" w:rsidP="00175BF8">
            <w:pPr>
              <w:keepLines/>
              <w:numPr>
                <w:ilvl w:val="0"/>
                <w:numId w:val="24"/>
              </w:numPr>
              <w:spacing w:before="60" w:after="60"/>
              <w:ind w:left="656" w:hanging="6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lastRenderedPageBreak/>
              <w:t>участие сообществ, групп и отдельных лиц, а также соответствующих неправительственных организаций в охране данного элемента и их неизменная приверженность делу его дальнейшей охраны.</w:t>
            </w:r>
          </w:p>
        </w:tc>
        <w:tc>
          <w:tcPr>
            <w:tcW w:w="274" w:type="pct"/>
          </w:tcPr>
          <w:p w14:paraId="0CE2C39A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lastRenderedPageBreak/>
              <w:t>157.</w:t>
            </w:r>
          </w:p>
        </w:tc>
        <w:tc>
          <w:tcPr>
            <w:tcW w:w="2207" w:type="pct"/>
          </w:tcPr>
          <w:p w14:paraId="7276B293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Без изменений</w:t>
            </w:r>
          </w:p>
        </w:tc>
      </w:tr>
      <w:tr w:rsidR="00175BF8" w:rsidRPr="005077A2" w14:paraId="49CF6CDB" w14:textId="77777777" w:rsidTr="00772187">
        <w:tc>
          <w:tcPr>
            <w:tcW w:w="228" w:type="pct"/>
          </w:tcPr>
          <w:p w14:paraId="767DF055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158.</w:t>
            </w:r>
          </w:p>
        </w:tc>
        <w:tc>
          <w:tcPr>
            <w:tcW w:w="2291" w:type="pct"/>
          </w:tcPr>
          <w:p w14:paraId="5879DA20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Государство-участник сообщает об институциональном контексте элемента, внесенного в Репрезентативный список нематериального культурного наследия человечества, включая:</w:t>
            </w:r>
          </w:p>
          <w:p w14:paraId="55B1D12B" w14:textId="77777777" w:rsidR="00175BF8" w:rsidRPr="005077A2" w:rsidRDefault="00175BF8" w:rsidP="00175BF8">
            <w:pPr>
              <w:keepLines/>
              <w:numPr>
                <w:ilvl w:val="0"/>
                <w:numId w:val="29"/>
              </w:numPr>
              <w:spacing w:before="60" w:after="60"/>
              <w:ind w:left="656" w:hanging="6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наличие компетентного органа (компетентных органов), занимающегося (занимающихся) его управлением и/или охраной;</w:t>
            </w:r>
          </w:p>
          <w:p w14:paraId="21B24CC5" w14:textId="77777777" w:rsidR="00175BF8" w:rsidRPr="005077A2" w:rsidRDefault="00175BF8" w:rsidP="00175BF8">
            <w:pPr>
              <w:keepLines/>
              <w:numPr>
                <w:ilvl w:val="0"/>
                <w:numId w:val="29"/>
              </w:numPr>
              <w:spacing w:before="60" w:after="60"/>
              <w:ind w:left="656" w:hanging="6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наличие организации (организаций) соответствующего сообщества или группы, занимающейся (занимающихся) вопросами, связанными с этим элементом и его охраной.</w:t>
            </w:r>
          </w:p>
        </w:tc>
        <w:tc>
          <w:tcPr>
            <w:tcW w:w="274" w:type="pct"/>
          </w:tcPr>
          <w:p w14:paraId="5037D57E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158.</w:t>
            </w:r>
          </w:p>
        </w:tc>
        <w:tc>
          <w:tcPr>
            <w:tcW w:w="2207" w:type="pct"/>
          </w:tcPr>
          <w:p w14:paraId="090617E5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Без изменений</w:t>
            </w:r>
          </w:p>
        </w:tc>
      </w:tr>
      <w:tr w:rsidR="00175BF8" w:rsidRPr="005077A2" w14:paraId="342119EC" w14:textId="77777777" w:rsidTr="00772187">
        <w:tc>
          <w:tcPr>
            <w:tcW w:w="228" w:type="pct"/>
          </w:tcPr>
          <w:p w14:paraId="358FDE08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159.</w:t>
            </w:r>
          </w:p>
        </w:tc>
        <w:tc>
          <w:tcPr>
            <w:tcW w:w="2291" w:type="pct"/>
          </w:tcPr>
          <w:p w14:paraId="6B45B5E4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Государства-участники своевременно отвечают на направленные им Комитетом конкретные запросы о представлении дополнительной информации, если таковая потребуется и независимо от регионального цикла, установленного Комитетом в соответствии с пунктом 152 выше.</w:t>
            </w:r>
          </w:p>
        </w:tc>
        <w:tc>
          <w:tcPr>
            <w:tcW w:w="274" w:type="pct"/>
          </w:tcPr>
          <w:p w14:paraId="6C5FD5A0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159.</w:t>
            </w:r>
          </w:p>
        </w:tc>
        <w:tc>
          <w:tcPr>
            <w:tcW w:w="2207" w:type="pct"/>
            <w:shd w:val="clear" w:color="auto" w:fill="DBE5F1" w:themeFill="accent1" w:themeFillTint="33"/>
          </w:tcPr>
          <w:p w14:paraId="3393473F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 xml:space="preserve">Государства-участники своевременно отвечают на направленные им Комитетом конкретные запросы о представлении дополнительной информации, если таковая потребуется и независимо от </w:t>
            </w:r>
            <w:r w:rsidRPr="005077A2">
              <w:rPr>
                <w:rFonts w:ascii="Arial" w:hAnsi="Arial" w:cs="Arial"/>
                <w:strike/>
                <w:sz w:val="22"/>
              </w:rPr>
              <w:t xml:space="preserve">регионального цикла </w:t>
            </w:r>
            <w:r w:rsidRPr="005077A2">
              <w:rPr>
                <w:rFonts w:ascii="Arial" w:hAnsi="Arial" w:cs="Arial"/>
                <w:b/>
                <w:sz w:val="22"/>
                <w:u w:val="single"/>
              </w:rPr>
              <w:t>регулярного отчетного цикла</w:t>
            </w:r>
            <w:r w:rsidRPr="005077A2">
              <w:rPr>
                <w:rFonts w:ascii="Arial" w:hAnsi="Arial" w:cs="Arial"/>
                <w:sz w:val="22"/>
              </w:rPr>
              <w:t>, установленного Комитетом в соответствии с пунктом 152 выше.</w:t>
            </w:r>
          </w:p>
        </w:tc>
      </w:tr>
      <w:tr w:rsidR="00175BF8" w:rsidRPr="005077A2" w14:paraId="2F02B6DA" w14:textId="77777777" w:rsidTr="00772187">
        <w:tc>
          <w:tcPr>
            <w:tcW w:w="228" w:type="pct"/>
          </w:tcPr>
          <w:p w14:paraId="74EC4AFF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color w:val="4F81BD" w:themeColor="accent1"/>
                <w:sz w:val="22"/>
                <w:szCs w:val="22"/>
              </w:rPr>
            </w:pPr>
            <w:r w:rsidRPr="005077A2">
              <w:rPr>
                <w:rFonts w:ascii="Arial" w:hAnsi="Arial" w:cs="Arial"/>
                <w:b/>
                <w:color w:val="4F81BD" w:themeColor="accent1"/>
                <w:sz w:val="22"/>
              </w:rPr>
              <w:t>V.2</w:t>
            </w:r>
          </w:p>
        </w:tc>
        <w:tc>
          <w:tcPr>
            <w:tcW w:w="2291" w:type="pct"/>
          </w:tcPr>
          <w:p w14:paraId="280617CB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color w:val="4F81BD" w:themeColor="accent1"/>
                <w:sz w:val="22"/>
                <w:szCs w:val="22"/>
              </w:rPr>
            </w:pPr>
            <w:r w:rsidRPr="005077A2">
              <w:rPr>
                <w:rFonts w:ascii="Arial" w:hAnsi="Arial" w:cs="Arial"/>
                <w:b/>
                <w:color w:val="4F81BD" w:themeColor="accent1"/>
                <w:sz w:val="22"/>
              </w:rPr>
              <w:t>Доклады государств-участников об элементах, включенных в Список нематериального культурного наследия, нуждающегося в срочной охране</w:t>
            </w:r>
          </w:p>
        </w:tc>
        <w:tc>
          <w:tcPr>
            <w:tcW w:w="274" w:type="pct"/>
          </w:tcPr>
          <w:p w14:paraId="0CCB83AB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color w:val="4F81BD" w:themeColor="accent1"/>
                <w:sz w:val="22"/>
                <w:szCs w:val="22"/>
              </w:rPr>
            </w:pPr>
            <w:r w:rsidRPr="005077A2">
              <w:rPr>
                <w:rFonts w:ascii="Arial" w:hAnsi="Arial" w:cs="Arial"/>
                <w:b/>
                <w:color w:val="4F81BD" w:themeColor="accent1"/>
                <w:sz w:val="22"/>
              </w:rPr>
              <w:t>V.2</w:t>
            </w:r>
          </w:p>
        </w:tc>
        <w:tc>
          <w:tcPr>
            <w:tcW w:w="2207" w:type="pct"/>
          </w:tcPr>
          <w:p w14:paraId="7686DE15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Без изменений</w:t>
            </w:r>
          </w:p>
        </w:tc>
      </w:tr>
      <w:tr w:rsidR="00175BF8" w:rsidRPr="005077A2" w14:paraId="67339EA1" w14:textId="77777777" w:rsidTr="00772187">
        <w:tc>
          <w:tcPr>
            <w:tcW w:w="228" w:type="pct"/>
          </w:tcPr>
          <w:p w14:paraId="162DA057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lastRenderedPageBreak/>
              <w:t>160.</w:t>
            </w:r>
          </w:p>
        </w:tc>
        <w:tc>
          <w:tcPr>
            <w:tcW w:w="2291" w:type="pct"/>
          </w:tcPr>
          <w:p w14:paraId="6F6CE698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Каждое государство-участник представляет Комитету доклады о состоянии имеющихся на его территории элементов нематериального культурного наследия, которые включены в Список нематериального культурного наследия, нуждающегося в срочной охране, по его просьбе или, в случаях чрезвычайной срочности, после консультаций с ним. Государство-участник стремится привлекать на как можно более широкой основе заинтересованные сообщества, группы и, в соответствующих случаях, отдельных лиц, а также соответствующие неправительственные организации к процессу подготовки таких докладов.</w:t>
            </w:r>
          </w:p>
        </w:tc>
        <w:tc>
          <w:tcPr>
            <w:tcW w:w="274" w:type="pct"/>
          </w:tcPr>
          <w:p w14:paraId="3FD74FE0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160.</w:t>
            </w:r>
          </w:p>
        </w:tc>
        <w:tc>
          <w:tcPr>
            <w:tcW w:w="2207" w:type="pct"/>
          </w:tcPr>
          <w:p w14:paraId="42202B8D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Без изменений</w:t>
            </w:r>
          </w:p>
        </w:tc>
      </w:tr>
      <w:tr w:rsidR="00175BF8" w:rsidRPr="005077A2" w14:paraId="548626FB" w14:textId="77777777" w:rsidTr="00772187">
        <w:tc>
          <w:tcPr>
            <w:tcW w:w="228" w:type="pct"/>
          </w:tcPr>
          <w:p w14:paraId="42598198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161.</w:t>
            </w:r>
          </w:p>
        </w:tc>
        <w:tc>
          <w:tcPr>
            <w:tcW w:w="2291" w:type="pct"/>
          </w:tcPr>
          <w:p w14:paraId="7ECD8EC3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Такие доклады обычно представляются Комитету к 15 декабря четвертого года после года включения элемента в список и каждый четвертый год в дальнейшем. Для этих докладов используется форма ICH-11, которая также может быть заполнена онлайн каждым государством-участником (</w:t>
            </w:r>
            <w:hyperlink r:id="rId35" w:history="1">
              <w:r w:rsidRPr="005077A2">
                <w:rPr>
                  <w:rStyle w:val="Hyperlink"/>
                  <w:rFonts w:ascii="Arial" w:hAnsi="Arial" w:cs="Arial"/>
                  <w:b/>
                  <w:sz w:val="22"/>
                </w:rPr>
                <w:t>https://ich.unesco.org</w:t>
              </w:r>
            </w:hyperlink>
            <w:r w:rsidRPr="005077A2">
              <w:rPr>
                <w:rFonts w:ascii="Arial" w:hAnsi="Arial" w:cs="Arial"/>
                <w:sz w:val="22"/>
              </w:rPr>
              <w:t>); эта форма с надлежащей периодичностью пересматривается Секретариатом. При включении элемента в список Комитет может в каждом конкретном случае устанавливать особый график представления докладов, который заменит обычный четырехлетний цикл.</w:t>
            </w:r>
          </w:p>
        </w:tc>
        <w:tc>
          <w:tcPr>
            <w:tcW w:w="274" w:type="pct"/>
          </w:tcPr>
          <w:p w14:paraId="2EEADA48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161.</w:t>
            </w:r>
          </w:p>
        </w:tc>
        <w:tc>
          <w:tcPr>
            <w:tcW w:w="2207" w:type="pct"/>
            <w:shd w:val="clear" w:color="auto" w:fill="DBE5F1" w:themeFill="accent1" w:themeFillTint="33"/>
          </w:tcPr>
          <w:p w14:paraId="02C4D759" w14:textId="7AD46D1F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 xml:space="preserve">Такие доклады обычно представляются Комитету </w:t>
            </w:r>
            <w:r w:rsidRPr="005077A2">
              <w:rPr>
                <w:rFonts w:ascii="Arial" w:hAnsi="Arial" w:cs="Arial"/>
                <w:strike/>
                <w:sz w:val="22"/>
              </w:rPr>
              <w:t xml:space="preserve">15 декабря четвертого года после года включения элемента в список и каждый четвертый год в дальнейшем </w:t>
            </w:r>
            <w:r w:rsidRPr="005077A2">
              <w:rPr>
                <w:rFonts w:ascii="Arial" w:hAnsi="Arial" w:cs="Arial"/>
                <w:b/>
                <w:color w:val="000000"/>
                <w:sz w:val="22"/>
                <w:u w:val="single"/>
              </w:rPr>
              <w:t>раз в четыре года к 30 июня в соответствии с календарем, утвержденным Комитетом.</w:t>
            </w:r>
            <w:r w:rsidRPr="005077A2">
              <w:rPr>
                <w:rFonts w:ascii="Arial" w:hAnsi="Arial" w:cs="Arial"/>
                <w:sz w:val="22"/>
              </w:rPr>
              <w:t xml:space="preserve"> Для этих докладов используется форма ICH-11, которая также может быть заполнена онлайн каждым государством-участником (</w:t>
            </w:r>
            <w:hyperlink r:id="rId36" w:history="1">
              <w:r w:rsidRPr="005077A2">
                <w:rPr>
                  <w:rStyle w:val="Hyperlink"/>
                  <w:rFonts w:ascii="Arial" w:hAnsi="Arial" w:cs="Arial"/>
                  <w:b/>
                  <w:sz w:val="22"/>
                </w:rPr>
                <w:t>https://ich.unesco.org</w:t>
              </w:r>
            </w:hyperlink>
            <w:r w:rsidRPr="005077A2">
              <w:rPr>
                <w:rFonts w:ascii="Arial" w:hAnsi="Arial" w:cs="Arial"/>
                <w:sz w:val="22"/>
              </w:rPr>
              <w:t>); эта форма с надлежащей периодичностью пересматривается Секретариатом. При включении элемента в список Комитет может в каждом конкретном случае устанавливать особый график представления докладов, который заменит обычный четырехлетний цикл.</w:t>
            </w:r>
          </w:p>
        </w:tc>
      </w:tr>
      <w:tr w:rsidR="00175BF8" w:rsidRPr="005077A2" w14:paraId="4D3DB81A" w14:textId="77777777" w:rsidTr="00772187">
        <w:tc>
          <w:tcPr>
            <w:tcW w:w="228" w:type="pct"/>
          </w:tcPr>
          <w:p w14:paraId="39924720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162.</w:t>
            </w:r>
          </w:p>
        </w:tc>
        <w:tc>
          <w:tcPr>
            <w:tcW w:w="2291" w:type="pct"/>
          </w:tcPr>
          <w:p w14:paraId="3BBF5C3C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Государство-участник должно уделять особое внимание роли гендерного фактора и сообщать о нынешнем состоянии элемента, включая:</w:t>
            </w:r>
          </w:p>
          <w:p w14:paraId="374239D2" w14:textId="77777777" w:rsidR="00175BF8" w:rsidRPr="005077A2" w:rsidRDefault="00175BF8" w:rsidP="00175BF8">
            <w:pPr>
              <w:keepLines/>
              <w:numPr>
                <w:ilvl w:val="0"/>
                <w:numId w:val="30"/>
              </w:numPr>
              <w:spacing w:before="60" w:after="60"/>
              <w:ind w:left="493" w:hanging="4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его социальные и культурные функции;</w:t>
            </w:r>
          </w:p>
          <w:p w14:paraId="02B106D5" w14:textId="77777777" w:rsidR="00175BF8" w:rsidRPr="005077A2" w:rsidRDefault="00175BF8" w:rsidP="00175BF8">
            <w:pPr>
              <w:keepLines/>
              <w:numPr>
                <w:ilvl w:val="0"/>
                <w:numId w:val="30"/>
              </w:numPr>
              <w:spacing w:before="60" w:after="60"/>
              <w:ind w:left="493" w:hanging="4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оценку его жизнеспособности и опасностей, грозящих ему в настоящее время;</w:t>
            </w:r>
          </w:p>
          <w:p w14:paraId="5C5FCF2D" w14:textId="77777777" w:rsidR="00175BF8" w:rsidRPr="005077A2" w:rsidRDefault="00175BF8" w:rsidP="00175BF8">
            <w:pPr>
              <w:keepLines/>
              <w:numPr>
                <w:ilvl w:val="0"/>
                <w:numId w:val="30"/>
              </w:numPr>
              <w:spacing w:before="60" w:after="60"/>
              <w:ind w:left="493" w:hanging="4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результаты усилий по охране элемента, в частности осуществления плана по охране, который был представлен во время подачи номинации;</w:t>
            </w:r>
          </w:p>
          <w:p w14:paraId="629BDB39" w14:textId="77777777" w:rsidR="00175BF8" w:rsidRPr="005077A2" w:rsidRDefault="00175BF8" w:rsidP="00175BF8">
            <w:pPr>
              <w:keepLines/>
              <w:numPr>
                <w:ilvl w:val="0"/>
                <w:numId w:val="30"/>
              </w:numPr>
              <w:spacing w:before="60" w:after="60"/>
              <w:ind w:left="493" w:hanging="4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lastRenderedPageBreak/>
              <w:t>обновление плана по охране, который был включен в номинационное досье или предыдущий доклад;</w:t>
            </w:r>
          </w:p>
          <w:p w14:paraId="1035FD71" w14:textId="77777777" w:rsidR="00175BF8" w:rsidRPr="005077A2" w:rsidRDefault="00175BF8" w:rsidP="00175BF8">
            <w:pPr>
              <w:keepLines/>
              <w:numPr>
                <w:ilvl w:val="0"/>
                <w:numId w:val="30"/>
              </w:numPr>
              <w:spacing w:before="60" w:after="60"/>
              <w:ind w:left="493" w:hanging="4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участие сообществ, групп и отдельных лиц, а также соответствующих неправительственных организаций в охране данного элемента и их неизменная приверженность делу его дальнейшей охраны.</w:t>
            </w:r>
          </w:p>
        </w:tc>
        <w:tc>
          <w:tcPr>
            <w:tcW w:w="274" w:type="pct"/>
          </w:tcPr>
          <w:p w14:paraId="02488277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lastRenderedPageBreak/>
              <w:t>162.</w:t>
            </w:r>
          </w:p>
        </w:tc>
        <w:tc>
          <w:tcPr>
            <w:tcW w:w="2207" w:type="pct"/>
          </w:tcPr>
          <w:p w14:paraId="32C1BB5D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Без изменений</w:t>
            </w:r>
          </w:p>
        </w:tc>
      </w:tr>
      <w:tr w:rsidR="00175BF8" w:rsidRPr="005077A2" w14:paraId="386E677D" w14:textId="77777777" w:rsidTr="00772187">
        <w:tc>
          <w:tcPr>
            <w:tcW w:w="228" w:type="pct"/>
          </w:tcPr>
          <w:p w14:paraId="53CC9BB4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163.</w:t>
            </w:r>
          </w:p>
        </w:tc>
        <w:tc>
          <w:tcPr>
            <w:tcW w:w="2291" w:type="pct"/>
          </w:tcPr>
          <w:p w14:paraId="6B7E358F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Государство-участник сообщает об институциональном контексте охраны внесенного в Список элемента, включая:</w:t>
            </w:r>
          </w:p>
          <w:p w14:paraId="63D9A1BD" w14:textId="77777777" w:rsidR="00175BF8" w:rsidRPr="005077A2" w:rsidRDefault="00175BF8" w:rsidP="00175BF8">
            <w:pPr>
              <w:keepLines/>
              <w:numPr>
                <w:ilvl w:val="0"/>
                <w:numId w:val="31"/>
              </w:numPr>
              <w:spacing w:before="60" w:after="60"/>
              <w:ind w:left="656" w:hanging="6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наличие компетентного органа (компетентных органов), занимающегося (занимающихся) его охраной;</w:t>
            </w:r>
          </w:p>
          <w:p w14:paraId="2F1EB3FE" w14:textId="77777777" w:rsidR="00175BF8" w:rsidRPr="005077A2" w:rsidRDefault="00175BF8" w:rsidP="00175BF8">
            <w:pPr>
              <w:keepLines/>
              <w:numPr>
                <w:ilvl w:val="0"/>
                <w:numId w:val="31"/>
              </w:numPr>
              <w:spacing w:before="60" w:after="60"/>
              <w:ind w:left="656" w:hanging="6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наличие организации (организаций) соответствующего сообщества или группы, занимающейся (занимающихся) вопросами, связанными с этим элементом и его охраной.</w:t>
            </w:r>
          </w:p>
        </w:tc>
        <w:tc>
          <w:tcPr>
            <w:tcW w:w="274" w:type="pct"/>
          </w:tcPr>
          <w:p w14:paraId="47EBD311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163.</w:t>
            </w:r>
          </w:p>
        </w:tc>
        <w:tc>
          <w:tcPr>
            <w:tcW w:w="2207" w:type="pct"/>
          </w:tcPr>
          <w:p w14:paraId="3D0D0B11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Без изменений</w:t>
            </w:r>
          </w:p>
        </w:tc>
      </w:tr>
      <w:tr w:rsidR="00175BF8" w:rsidRPr="005077A2" w14:paraId="0C31DD68" w14:textId="77777777" w:rsidTr="00772187">
        <w:tc>
          <w:tcPr>
            <w:tcW w:w="228" w:type="pct"/>
          </w:tcPr>
          <w:p w14:paraId="7E84F7DB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164.</w:t>
            </w:r>
          </w:p>
        </w:tc>
        <w:tc>
          <w:tcPr>
            <w:tcW w:w="2291" w:type="pct"/>
          </w:tcPr>
          <w:p w14:paraId="4E257768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Государства-участники своевременно отвечают на направленные им Комитетом конкретные запросы о представлении дополнительной информации, если таковая потребуется в период между сроками, установленными в пункте 161 выше.</w:t>
            </w:r>
          </w:p>
        </w:tc>
        <w:tc>
          <w:tcPr>
            <w:tcW w:w="274" w:type="pct"/>
          </w:tcPr>
          <w:p w14:paraId="0E62AB86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164.</w:t>
            </w:r>
          </w:p>
        </w:tc>
        <w:tc>
          <w:tcPr>
            <w:tcW w:w="2207" w:type="pct"/>
          </w:tcPr>
          <w:p w14:paraId="7A5AE5E1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Без изменений</w:t>
            </w:r>
          </w:p>
        </w:tc>
      </w:tr>
      <w:tr w:rsidR="00175BF8" w:rsidRPr="005077A2" w14:paraId="4C8F0FC4" w14:textId="77777777" w:rsidTr="00772187">
        <w:tc>
          <w:tcPr>
            <w:tcW w:w="228" w:type="pct"/>
          </w:tcPr>
          <w:p w14:paraId="70078B36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color w:val="4F81BD" w:themeColor="accent1"/>
                <w:sz w:val="22"/>
                <w:szCs w:val="22"/>
              </w:rPr>
            </w:pPr>
            <w:r w:rsidRPr="005077A2">
              <w:rPr>
                <w:rFonts w:ascii="Arial" w:hAnsi="Arial" w:cs="Arial"/>
                <w:b/>
                <w:color w:val="4F81BD" w:themeColor="accent1"/>
                <w:sz w:val="22"/>
              </w:rPr>
              <w:t>V.3</w:t>
            </w:r>
          </w:p>
        </w:tc>
        <w:tc>
          <w:tcPr>
            <w:tcW w:w="2291" w:type="pct"/>
          </w:tcPr>
          <w:p w14:paraId="6C748BCD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color w:val="4F81BD" w:themeColor="accent1"/>
                <w:sz w:val="22"/>
                <w:szCs w:val="22"/>
              </w:rPr>
            </w:pPr>
            <w:r w:rsidRPr="005077A2">
              <w:rPr>
                <w:rFonts w:ascii="Arial" w:hAnsi="Arial" w:cs="Arial"/>
                <w:b/>
                <w:color w:val="4F81BD" w:themeColor="accent1"/>
                <w:sz w:val="22"/>
              </w:rPr>
              <w:t>Получение и обработка докладов</w:t>
            </w:r>
          </w:p>
        </w:tc>
        <w:tc>
          <w:tcPr>
            <w:tcW w:w="274" w:type="pct"/>
          </w:tcPr>
          <w:p w14:paraId="4E243AF9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color w:val="4F81BD" w:themeColor="accent1"/>
                <w:sz w:val="22"/>
                <w:szCs w:val="22"/>
              </w:rPr>
            </w:pPr>
            <w:r w:rsidRPr="005077A2">
              <w:rPr>
                <w:rFonts w:ascii="Arial" w:hAnsi="Arial" w:cs="Arial"/>
                <w:b/>
                <w:color w:val="4F81BD" w:themeColor="accent1"/>
                <w:sz w:val="22"/>
              </w:rPr>
              <w:t>V.3</w:t>
            </w:r>
          </w:p>
        </w:tc>
        <w:tc>
          <w:tcPr>
            <w:tcW w:w="2207" w:type="pct"/>
          </w:tcPr>
          <w:p w14:paraId="5EF733E7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Без изменений</w:t>
            </w:r>
          </w:p>
        </w:tc>
      </w:tr>
      <w:tr w:rsidR="00175BF8" w:rsidRPr="005077A2" w14:paraId="5D5D9A5E" w14:textId="77777777" w:rsidTr="00772187">
        <w:tc>
          <w:tcPr>
            <w:tcW w:w="228" w:type="pct"/>
          </w:tcPr>
          <w:p w14:paraId="275CACCB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165.</w:t>
            </w:r>
          </w:p>
        </w:tc>
        <w:tc>
          <w:tcPr>
            <w:tcW w:w="2291" w:type="pct"/>
          </w:tcPr>
          <w:p w14:paraId="295DB260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По получению докладов от государств-участников Секретариат регистрирует и подтверждает их получение. В случае, если какой-то доклад поступит в неполном виде, государству-участнику будет рекомендовано, каким образом доработать его.</w:t>
            </w:r>
          </w:p>
        </w:tc>
        <w:tc>
          <w:tcPr>
            <w:tcW w:w="274" w:type="pct"/>
          </w:tcPr>
          <w:p w14:paraId="0A90E36C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165.</w:t>
            </w:r>
          </w:p>
        </w:tc>
        <w:tc>
          <w:tcPr>
            <w:tcW w:w="2207" w:type="pct"/>
          </w:tcPr>
          <w:p w14:paraId="737151D7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Без изменений</w:t>
            </w:r>
          </w:p>
        </w:tc>
      </w:tr>
      <w:tr w:rsidR="00175BF8" w:rsidRPr="005077A2" w14:paraId="3974B22C" w14:textId="77777777" w:rsidTr="00772187">
        <w:tc>
          <w:tcPr>
            <w:tcW w:w="228" w:type="pct"/>
          </w:tcPr>
          <w:p w14:paraId="6AF7EC53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id="2" w:name="_Hlk208236816"/>
            <w:r w:rsidRPr="005077A2">
              <w:rPr>
                <w:rFonts w:ascii="Arial" w:hAnsi="Arial" w:cs="Arial"/>
                <w:sz w:val="22"/>
              </w:rPr>
              <w:lastRenderedPageBreak/>
              <w:t>166.</w:t>
            </w:r>
          </w:p>
        </w:tc>
        <w:tc>
          <w:tcPr>
            <w:tcW w:w="2291" w:type="pct"/>
          </w:tcPr>
          <w:p w14:paraId="443226BC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Секретариат направляет Комитету обзор всех полученных докладов, в соответствии с пунктом 152, за четыре недели до его сессии. Этот обзор также размещается онлайн для общественных консультаций вместе с докладами, полученными в соответствии с пунктами 152 и 161, на том языке, на котором они были представлены государствами-участниками, если Комитет не примет иного решения в исключительных случаях.</w:t>
            </w:r>
          </w:p>
        </w:tc>
        <w:tc>
          <w:tcPr>
            <w:tcW w:w="274" w:type="pct"/>
          </w:tcPr>
          <w:p w14:paraId="5304DA6E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166.</w:t>
            </w:r>
          </w:p>
        </w:tc>
        <w:tc>
          <w:tcPr>
            <w:tcW w:w="2207" w:type="pct"/>
            <w:shd w:val="clear" w:color="auto" w:fill="DBE5F1" w:themeFill="accent1" w:themeFillTint="33"/>
          </w:tcPr>
          <w:p w14:paraId="7C3C8985" w14:textId="426B491B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 xml:space="preserve">Секретариат направляет Комитету обзор всех полученных докладов, в соответствии с </w:t>
            </w:r>
            <w:r w:rsidRPr="005077A2">
              <w:rPr>
                <w:rFonts w:ascii="Arial" w:hAnsi="Arial" w:cs="Arial"/>
                <w:strike/>
                <w:sz w:val="22"/>
              </w:rPr>
              <w:t>пунктом</w:t>
            </w:r>
            <w:r w:rsidRPr="005077A2">
              <w:rPr>
                <w:rFonts w:ascii="Arial" w:hAnsi="Arial" w:cs="Arial"/>
                <w:sz w:val="22"/>
              </w:rPr>
              <w:t xml:space="preserve"> </w:t>
            </w:r>
            <w:r w:rsidRPr="005077A2">
              <w:rPr>
                <w:rFonts w:ascii="Arial" w:hAnsi="Arial" w:cs="Arial"/>
                <w:b/>
                <w:sz w:val="22"/>
                <w:u w:val="single"/>
              </w:rPr>
              <w:t>пунктами</w:t>
            </w:r>
            <w:r w:rsidRPr="005077A2">
              <w:rPr>
                <w:rFonts w:ascii="Arial" w:hAnsi="Arial" w:cs="Arial"/>
                <w:sz w:val="22"/>
              </w:rPr>
              <w:t xml:space="preserve"> 152 </w:t>
            </w:r>
            <w:r w:rsidRPr="005077A2">
              <w:rPr>
                <w:rFonts w:ascii="Arial" w:hAnsi="Arial" w:cs="Arial"/>
                <w:b/>
                <w:sz w:val="22"/>
                <w:u w:val="single"/>
              </w:rPr>
              <w:t>и 161</w:t>
            </w:r>
            <w:r w:rsidRPr="005077A2">
              <w:rPr>
                <w:rFonts w:ascii="Arial" w:hAnsi="Arial" w:cs="Arial"/>
                <w:sz w:val="22"/>
              </w:rPr>
              <w:t xml:space="preserve"> за четыре недели до его сессии </w:t>
            </w:r>
            <w:r w:rsidRPr="005077A2">
              <w:rPr>
                <w:rFonts w:ascii="Arial" w:hAnsi="Arial" w:cs="Arial"/>
                <w:b/>
                <w:sz w:val="22"/>
                <w:u w:val="single"/>
              </w:rPr>
              <w:t>в соответствии с календарем, утвержденным Комитетом.</w:t>
            </w:r>
            <w:r w:rsidRPr="005077A2">
              <w:rPr>
                <w:rFonts w:ascii="Arial" w:hAnsi="Arial" w:cs="Arial"/>
                <w:sz w:val="22"/>
              </w:rPr>
              <w:t xml:space="preserve"> Этот обзор также размещается онлайн для общественных консультаций вместе с докладами, полученными в соответствии с пунктами 152 и 161, на том языке, на котором они были представлены государствами-участниками, если Комитет не примет иного решения в исключительных случаях.</w:t>
            </w:r>
          </w:p>
        </w:tc>
      </w:tr>
      <w:tr w:rsidR="00175BF8" w:rsidRPr="005077A2" w14:paraId="7B11F62F" w14:textId="77777777" w:rsidTr="00772187">
        <w:tc>
          <w:tcPr>
            <w:tcW w:w="228" w:type="pct"/>
          </w:tcPr>
          <w:p w14:paraId="4CE40964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167.</w:t>
            </w:r>
          </w:p>
        </w:tc>
        <w:tc>
          <w:tcPr>
            <w:tcW w:w="2291" w:type="pct"/>
          </w:tcPr>
          <w:p w14:paraId="63491F23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Удалено.</w:t>
            </w:r>
          </w:p>
        </w:tc>
        <w:tc>
          <w:tcPr>
            <w:tcW w:w="274" w:type="pct"/>
          </w:tcPr>
          <w:p w14:paraId="073C6B71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167.</w:t>
            </w:r>
          </w:p>
        </w:tc>
        <w:tc>
          <w:tcPr>
            <w:tcW w:w="2207" w:type="pct"/>
          </w:tcPr>
          <w:p w14:paraId="33F28CD7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Без изменений</w:t>
            </w:r>
          </w:p>
        </w:tc>
      </w:tr>
      <w:bookmarkEnd w:id="2"/>
      <w:tr w:rsidR="00175BF8" w:rsidRPr="005077A2" w14:paraId="2E661FA5" w14:textId="77777777" w:rsidTr="00772187">
        <w:tc>
          <w:tcPr>
            <w:tcW w:w="228" w:type="pct"/>
          </w:tcPr>
          <w:p w14:paraId="7B1E605B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b/>
                <w:color w:val="4F81BD" w:themeColor="accent1"/>
                <w:sz w:val="22"/>
                <w:szCs w:val="22"/>
              </w:rPr>
            </w:pPr>
            <w:r w:rsidRPr="005077A2">
              <w:rPr>
                <w:rFonts w:ascii="Arial" w:hAnsi="Arial" w:cs="Arial"/>
                <w:b/>
                <w:color w:val="4F81BD" w:themeColor="accent1"/>
                <w:sz w:val="22"/>
              </w:rPr>
              <w:t>V.4</w:t>
            </w:r>
          </w:p>
        </w:tc>
        <w:tc>
          <w:tcPr>
            <w:tcW w:w="2291" w:type="pct"/>
          </w:tcPr>
          <w:p w14:paraId="576389DA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b/>
                <w:color w:val="4F81BD" w:themeColor="accent1"/>
                <w:sz w:val="22"/>
                <w:szCs w:val="22"/>
              </w:rPr>
            </w:pPr>
            <w:r w:rsidRPr="005077A2">
              <w:rPr>
                <w:rFonts w:ascii="Arial" w:hAnsi="Arial" w:cs="Arial"/>
                <w:b/>
                <w:color w:val="4F81BD" w:themeColor="accent1"/>
                <w:sz w:val="22"/>
              </w:rPr>
              <w:t>Доклады государств, не являющихся участниками Конвенции, об элементах, включенных в Репрезентативный список нематериального культурного наследия человечества</w:t>
            </w:r>
          </w:p>
        </w:tc>
        <w:tc>
          <w:tcPr>
            <w:tcW w:w="274" w:type="pct"/>
          </w:tcPr>
          <w:p w14:paraId="20AC67B5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color w:val="4F81BD" w:themeColor="accent1"/>
                <w:sz w:val="22"/>
                <w:szCs w:val="22"/>
              </w:rPr>
            </w:pPr>
            <w:r w:rsidRPr="005077A2">
              <w:rPr>
                <w:rFonts w:ascii="Arial" w:hAnsi="Arial" w:cs="Arial"/>
                <w:b/>
                <w:color w:val="4F81BD" w:themeColor="accent1"/>
                <w:sz w:val="22"/>
              </w:rPr>
              <w:t>V.4</w:t>
            </w:r>
          </w:p>
        </w:tc>
        <w:tc>
          <w:tcPr>
            <w:tcW w:w="2207" w:type="pct"/>
          </w:tcPr>
          <w:p w14:paraId="111359BB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Без изменений</w:t>
            </w:r>
          </w:p>
        </w:tc>
      </w:tr>
      <w:tr w:rsidR="00175BF8" w:rsidRPr="005077A2" w14:paraId="44B0446F" w14:textId="77777777" w:rsidTr="00772187">
        <w:tc>
          <w:tcPr>
            <w:tcW w:w="228" w:type="pct"/>
          </w:tcPr>
          <w:p w14:paraId="1ED8C613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168.</w:t>
            </w:r>
          </w:p>
        </w:tc>
        <w:tc>
          <w:tcPr>
            <w:tcW w:w="2291" w:type="pct"/>
          </w:tcPr>
          <w:p w14:paraId="7D33852A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Положения пунктов 157–159 и 165–166 настоящего Оперативного руководства в полном объеме распространяются на государства, не являющиеся участниками Конвенции, которые имеют на своей территории провозглашенные Шедевры, включенные в Репрезентативный список нематериального культурного наследия человечества, и которые согласились осуществлять соответствующие права и соблюдать соответствующие обязательства.</w:t>
            </w:r>
          </w:p>
        </w:tc>
        <w:tc>
          <w:tcPr>
            <w:tcW w:w="274" w:type="pct"/>
          </w:tcPr>
          <w:p w14:paraId="3C889A4A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168.</w:t>
            </w:r>
          </w:p>
        </w:tc>
        <w:tc>
          <w:tcPr>
            <w:tcW w:w="2207" w:type="pct"/>
          </w:tcPr>
          <w:p w14:paraId="5F93D070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Без изменений</w:t>
            </w:r>
          </w:p>
        </w:tc>
      </w:tr>
      <w:tr w:rsidR="00175BF8" w:rsidRPr="005077A2" w14:paraId="0FD056A1" w14:textId="77777777" w:rsidTr="00772187">
        <w:tc>
          <w:tcPr>
            <w:tcW w:w="228" w:type="pct"/>
          </w:tcPr>
          <w:p w14:paraId="393E37CF" w14:textId="77777777" w:rsidR="00175BF8" w:rsidRPr="005077A2" w:rsidRDefault="00175BF8" w:rsidP="005F773B">
            <w:pPr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lastRenderedPageBreak/>
              <w:t>169.</w:t>
            </w:r>
          </w:p>
        </w:tc>
        <w:tc>
          <w:tcPr>
            <w:tcW w:w="2291" w:type="pct"/>
          </w:tcPr>
          <w:p w14:paraId="22EFBFBE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Такие доклады представляются Комитету государствами, не являющимися участниками Конвенции, к 15 декабря 2014 г. и каждые шесть лет в дальнейшем. Для этих докладов используется форма ICH-10, которая также может заполняться онлайн каждым соответствующим государством (</w:t>
            </w:r>
            <w:hyperlink r:id="rId37" w:history="1">
              <w:r w:rsidRPr="005077A2">
                <w:rPr>
                  <w:rStyle w:val="Hyperlink"/>
                  <w:rFonts w:ascii="Arial" w:hAnsi="Arial" w:cs="Arial"/>
                  <w:b/>
                  <w:sz w:val="22"/>
                </w:rPr>
                <w:t>https://ich.unesco.org</w:t>
              </w:r>
            </w:hyperlink>
            <w:r w:rsidRPr="005077A2">
              <w:rPr>
                <w:rFonts w:ascii="Arial" w:hAnsi="Arial" w:cs="Arial"/>
                <w:sz w:val="22"/>
              </w:rPr>
              <w:t>); эта форма с надлежащей периодичностью пересматривается Секретариатом.</w:t>
            </w:r>
          </w:p>
        </w:tc>
        <w:tc>
          <w:tcPr>
            <w:tcW w:w="274" w:type="pct"/>
          </w:tcPr>
          <w:p w14:paraId="629B90B2" w14:textId="77777777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>169.</w:t>
            </w:r>
          </w:p>
        </w:tc>
        <w:tc>
          <w:tcPr>
            <w:tcW w:w="2207" w:type="pct"/>
            <w:shd w:val="clear" w:color="auto" w:fill="DBE5F1" w:themeFill="accent1" w:themeFillTint="33"/>
          </w:tcPr>
          <w:p w14:paraId="050AF11B" w14:textId="28E05A9D" w:rsidR="00175BF8" w:rsidRPr="005077A2" w:rsidRDefault="00175BF8" w:rsidP="005F773B">
            <w:pPr>
              <w:keepLines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7A2">
              <w:rPr>
                <w:rFonts w:ascii="Arial" w:hAnsi="Arial" w:cs="Arial"/>
                <w:sz w:val="22"/>
              </w:rPr>
              <w:t xml:space="preserve">Такие доклады представляются Комитету государствами, не являющимися участниками Конвенции, </w:t>
            </w:r>
            <w:r w:rsidRPr="005077A2">
              <w:rPr>
                <w:rFonts w:ascii="Arial" w:hAnsi="Arial" w:cs="Arial"/>
                <w:strike/>
                <w:sz w:val="22"/>
              </w:rPr>
              <w:t>15 декабря 2014 г. и каждые шесть лет в дальнейшем</w:t>
            </w:r>
            <w:r w:rsidRPr="005077A2">
              <w:rPr>
                <w:rFonts w:ascii="Arial" w:hAnsi="Arial" w:cs="Arial"/>
                <w:b/>
                <w:color w:val="000000"/>
                <w:sz w:val="22"/>
                <w:u w:val="single"/>
              </w:rPr>
              <w:t>раз в четыре года к 30 июня в соответствии с календарем, утвержденным Комитетом.</w:t>
            </w:r>
            <w:r w:rsidRPr="005077A2">
              <w:rPr>
                <w:rFonts w:ascii="Arial" w:hAnsi="Arial" w:cs="Arial"/>
                <w:sz w:val="22"/>
              </w:rPr>
              <w:t xml:space="preserve"> Для этих докладов используется форма ICH-10, которая также может заполняться онлайн каждым соответствующим государством (</w:t>
            </w:r>
            <w:hyperlink r:id="rId38" w:history="1">
              <w:r w:rsidRPr="005077A2">
                <w:rPr>
                  <w:rStyle w:val="Hyperlink"/>
                  <w:rFonts w:ascii="Arial" w:hAnsi="Arial" w:cs="Arial"/>
                  <w:b/>
                  <w:sz w:val="22"/>
                </w:rPr>
                <w:t>https://ich.unesco.org</w:t>
              </w:r>
            </w:hyperlink>
            <w:r w:rsidRPr="005077A2">
              <w:rPr>
                <w:rFonts w:ascii="Arial" w:hAnsi="Arial" w:cs="Arial"/>
                <w:sz w:val="22"/>
              </w:rPr>
              <w:t>); эта форма с надлежащей периодичностью пересматривается Секретариатом.</w:t>
            </w:r>
          </w:p>
        </w:tc>
      </w:tr>
    </w:tbl>
    <w:p w14:paraId="46980C58" w14:textId="77777777" w:rsidR="00175BF8" w:rsidRPr="005077A2" w:rsidRDefault="00175BF8">
      <w:pPr>
        <w:rPr>
          <w:rFonts w:ascii="Arial" w:hAnsi="Arial" w:cs="Arial"/>
        </w:rPr>
      </w:pPr>
    </w:p>
    <w:p w14:paraId="056D515D" w14:textId="77777777" w:rsidR="005B1129" w:rsidRPr="005077A2" w:rsidRDefault="005B1129" w:rsidP="00417DE5">
      <w:pPr>
        <w:pStyle w:val="Heading4"/>
        <w:numPr>
          <w:ilvl w:val="0"/>
          <w:numId w:val="0"/>
        </w:numPr>
        <w:rPr>
          <w:rFonts w:eastAsia="SimSun" w:cs="Arial"/>
          <w:b w:val="0"/>
          <w:bCs w:val="0"/>
          <w:szCs w:val="22"/>
        </w:rPr>
      </w:pPr>
      <w:bookmarkStart w:id="3" w:name="_ANNEX"/>
      <w:bookmarkEnd w:id="3"/>
    </w:p>
    <w:sectPr w:rsidR="005B1129" w:rsidRPr="005077A2" w:rsidSect="00175BF8">
      <w:pgSz w:w="16838" w:h="11906" w:orient="landscape" w:code="9"/>
      <w:pgMar w:top="1134" w:right="1418" w:bottom="1134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0F1E6" w14:textId="77777777" w:rsidR="00AD303C" w:rsidRDefault="00AD303C" w:rsidP="00655736">
      <w:r>
        <w:separator/>
      </w:r>
    </w:p>
  </w:endnote>
  <w:endnote w:type="continuationSeparator" w:id="0">
    <w:p w14:paraId="665E55F7" w14:textId="77777777" w:rsidR="00AD303C" w:rsidRDefault="00AD303C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4AFD" w14:textId="77777777" w:rsidR="00AD303C" w:rsidRDefault="00AD303C" w:rsidP="00655736">
      <w:r>
        <w:separator/>
      </w:r>
    </w:p>
  </w:footnote>
  <w:footnote w:type="continuationSeparator" w:id="0">
    <w:p w14:paraId="3D38B821" w14:textId="77777777" w:rsidR="00AD303C" w:rsidRDefault="00AD303C" w:rsidP="00655736">
      <w:r>
        <w:continuationSeparator/>
      </w:r>
    </w:p>
  </w:footnote>
  <w:footnote w:id="1">
    <w:p w14:paraId="02894421" w14:textId="3DC2529C" w:rsidR="00DC7D3C" w:rsidRPr="00263C49" w:rsidRDefault="00DC7D3C" w:rsidP="005077A2">
      <w:pPr>
        <w:pStyle w:val="FootnoteText"/>
        <w:ind w:left="567" w:hanging="567"/>
        <w:rPr>
          <w:rFonts w:ascii="Arial" w:hAnsi="Arial" w:cs="Arial"/>
          <w:sz w:val="18"/>
          <w:szCs w:val="18"/>
        </w:rPr>
      </w:pPr>
      <w:bookmarkStart w:id="1" w:name="_Hlk124351068"/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</w:t>
      </w:r>
      <w:r w:rsidR="005077A2" w:rsidRPr="005077A2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 xml:space="preserve">Латинская Америка и Карибский бассейн (цикл 2021 года): 87,5%, Европа (цикл 2022 года): 100%, арабские государства (цикл 2023 года): 100%, Африка (цикл 2024 года): 100% и Азиатско-Тихоокеанский регион (цикл 2025 года): 90,4% — см. документ </w:t>
      </w:r>
      <w:hyperlink r:id="rId1" w:history="1">
        <w:r w:rsidRPr="00A9158E">
          <w:rPr>
            <w:rStyle w:val="Hyperlink"/>
            <w:rFonts w:ascii="Arial" w:hAnsi="Arial"/>
            <w:sz w:val="18"/>
          </w:rPr>
          <w:t>LHE/25/20.COM/6.c</w:t>
        </w:r>
      </w:hyperlink>
      <w:r>
        <w:rPr>
          <w:rFonts w:ascii="Arial" w:hAnsi="Arial"/>
          <w:sz w:val="18"/>
        </w:rPr>
        <w:t xml:space="preserve">. </w:t>
      </w:r>
    </w:p>
    <w:bookmarkEnd w:id="1"/>
  </w:footnote>
  <w:footnote w:id="2">
    <w:p w14:paraId="778B18CA" w14:textId="62E7F573" w:rsidR="00C92AB8" w:rsidRPr="00011933" w:rsidRDefault="00C92AB8" w:rsidP="005077A2">
      <w:pPr>
        <w:pStyle w:val="FootnoteText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</w:t>
      </w:r>
      <w:r w:rsidR="005077A2" w:rsidRPr="005077A2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В настоящее время это касается лишь одного государства — Российской Федерации, которая до сих пор представляет отчеты по шестилетнему циклу, исходя из года включения двух своих шедевров в Репрезентативный список (2008 год). Таким образом, два отчета, которые следовало представить до 15 декабря 2026 года, должны быть представлены до 30 июня 2027 года.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055" w14:textId="5BCFC150" w:rsidR="00D95C4C" w:rsidRPr="00C23A97" w:rsidRDefault="00C5776D" w:rsidP="00C5776D">
    <w:pPr>
      <w:pStyle w:val="Header"/>
      <w:rPr>
        <w:rFonts w:ascii="Arial" w:hAnsi="Arial" w:cs="Arial"/>
      </w:rPr>
    </w:pPr>
    <w:r>
      <w:rPr>
        <w:rFonts w:ascii="Arial" w:hAnsi="Arial"/>
        <w:sz w:val="20"/>
      </w:rPr>
      <w:t xml:space="preserve">LHE/26/11.GA/7 – страница </w:t>
    </w:r>
    <w:r w:rsidR="00D95C4C" w:rsidRPr="00C23A97">
      <w:rPr>
        <w:rStyle w:val="PageNumber"/>
        <w:rFonts w:ascii="Arial" w:hAnsi="Arial" w:cs="Arial"/>
        <w:sz w:val="20"/>
      </w:rPr>
      <w:fldChar w:fldCharType="begin"/>
    </w:r>
    <w:r w:rsidR="00D95C4C" w:rsidRPr="00C23A97">
      <w:rPr>
        <w:rStyle w:val="PageNumber"/>
        <w:rFonts w:ascii="Arial" w:hAnsi="Arial" w:cs="Arial"/>
        <w:sz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</w:rPr>
      <w:fldChar w:fldCharType="separate"/>
    </w:r>
    <w:r w:rsidR="006E75EB">
      <w:rPr>
        <w:rStyle w:val="PageNumber"/>
        <w:rFonts w:ascii="Arial" w:hAnsi="Arial" w:cs="Arial"/>
        <w:sz w:val="20"/>
      </w:rPr>
      <w:t>2</w:t>
    </w:r>
    <w:r w:rsidR="00D95C4C" w:rsidRPr="00C23A97">
      <w:rPr>
        <w:rStyle w:val="PageNumber"/>
        <w:rFonts w:ascii="Arial" w:hAnsi="Arial" w:cs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231B" w14:textId="1B5DC208" w:rsidR="00D95C4C" w:rsidRPr="0063300C" w:rsidRDefault="00C5776D" w:rsidP="00C5776D">
    <w:pPr>
      <w:pStyle w:val="Header"/>
      <w:jc w:val="right"/>
      <w:rPr>
        <w:rFonts w:ascii="Arial" w:hAnsi="Arial" w:cs="Arial"/>
      </w:rPr>
    </w:pPr>
    <w:r>
      <w:rPr>
        <w:rFonts w:ascii="Arial" w:hAnsi="Arial"/>
        <w:sz w:val="20"/>
      </w:rPr>
      <w:t xml:space="preserve">LHE/26/11.GA/7 – страница </w:t>
    </w:r>
    <w:r w:rsidR="004A34A0" w:rsidRPr="0063300C">
      <w:rPr>
        <w:rStyle w:val="PageNumber"/>
        <w:rFonts w:ascii="Arial" w:hAnsi="Arial" w:cs="Arial"/>
        <w:sz w:val="20"/>
      </w:rPr>
      <w:fldChar w:fldCharType="begin"/>
    </w:r>
    <w:r w:rsidR="004A34A0" w:rsidRPr="0063300C">
      <w:rPr>
        <w:rStyle w:val="PageNumber"/>
        <w:rFonts w:ascii="Arial" w:hAnsi="Arial" w:cs="Arial"/>
        <w:sz w:val="20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</w:rPr>
      <w:fldChar w:fldCharType="separate"/>
    </w:r>
    <w:r w:rsidR="00190205">
      <w:rPr>
        <w:rStyle w:val="PageNumber"/>
        <w:rFonts w:ascii="Arial" w:hAnsi="Arial" w:cs="Arial"/>
        <w:sz w:val="20"/>
      </w:rPr>
      <w:t>3</w:t>
    </w:r>
    <w:r w:rsidR="004A34A0" w:rsidRPr="0063300C">
      <w:rPr>
        <w:rStyle w:val="PageNumber"/>
        <w:rFonts w:ascii="Arial" w:hAnsi="Arial" w:cs="Arial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9E0" w14:textId="356913A3" w:rsidR="00D95C4C" w:rsidRPr="00E95AE2" w:rsidRDefault="00557795">
    <w:pPr>
      <w:pStyle w:val="Head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DF4536" wp14:editId="4DA6F677">
          <wp:simplePos x="0" y="0"/>
          <wp:positionH relativeFrom="column">
            <wp:posOffset>0</wp:posOffset>
          </wp:positionH>
          <wp:positionV relativeFrom="paragraph">
            <wp:posOffset>-19133</wp:posOffset>
          </wp:positionV>
          <wp:extent cx="1677600" cy="1440000"/>
          <wp:effectExtent l="0" t="0" r="0" b="8255"/>
          <wp:wrapSquare wrapText="bothSides"/>
          <wp:docPr id="119467431" name="Image 2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57B917" w14:textId="15A6A733" w:rsidR="00D95C4C" w:rsidRPr="00D7105A" w:rsidRDefault="005C792B" w:rsidP="00C5776D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/>
        <w:b/>
        <w:sz w:val="44"/>
      </w:rPr>
      <w:t>11 GA</w:t>
    </w:r>
  </w:p>
  <w:p w14:paraId="306484B8" w14:textId="1F1B681D" w:rsidR="00D95C4C" w:rsidRPr="00D7105A" w:rsidRDefault="00C5776D" w:rsidP="00C5776D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>LHE/26/11.GA/7</w:t>
    </w:r>
  </w:p>
  <w:p w14:paraId="1B4446C3" w14:textId="2B05BC31" w:rsidR="00D95C4C" w:rsidRPr="00D7105A" w:rsidRDefault="00D95C4C" w:rsidP="00655736">
    <w:pPr>
      <w:jc w:val="right"/>
      <w:rPr>
        <w:rFonts w:ascii="Arial" w:eastAsiaTheme="minorEastAsia" w:hAnsi="Arial" w:cs="Arial"/>
        <w:b/>
        <w:sz w:val="22"/>
        <w:szCs w:val="22"/>
      </w:rPr>
    </w:pPr>
    <w:r>
      <w:rPr>
        <w:rFonts w:ascii="Arial" w:hAnsi="Arial"/>
        <w:b/>
        <w:sz w:val="22"/>
      </w:rPr>
      <w:t>Париж, 18 мая 2026 г.</w:t>
    </w:r>
  </w:p>
  <w:p w14:paraId="255B57FF" w14:textId="7A9F60F1" w:rsidR="00D95C4C" w:rsidRPr="00F32C23" w:rsidRDefault="00D95C4C" w:rsidP="00962034">
    <w:pPr>
      <w:spacing w:after="120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>Оригинал: английский</w:t>
    </w:r>
  </w:p>
  <w:p w14:paraId="3C4B8B1B" w14:textId="77777777" w:rsidR="00D95C4C" w:rsidRPr="00E95AE2" w:rsidRDefault="00D95C4C">
    <w:pPr>
      <w:pStyle w:val="Header"/>
      <w:rPr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481"/>
    <w:multiLevelType w:val="hybridMultilevel"/>
    <w:tmpl w:val="C458E90A"/>
    <w:lvl w:ilvl="0" w:tplc="7FB23842">
      <w:start w:val="1"/>
      <w:numFmt w:val="lowerLetter"/>
      <w:lvlText w:val="(%1)"/>
      <w:lvlJc w:val="left"/>
      <w:pPr>
        <w:ind w:left="39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3" w:hanging="360"/>
      </w:pPr>
    </w:lvl>
    <w:lvl w:ilvl="2" w:tplc="040C001B" w:tentative="1">
      <w:start w:val="1"/>
      <w:numFmt w:val="lowerRoman"/>
      <w:lvlText w:val="%3."/>
      <w:lvlJc w:val="right"/>
      <w:pPr>
        <w:ind w:left="1833" w:hanging="180"/>
      </w:pPr>
    </w:lvl>
    <w:lvl w:ilvl="3" w:tplc="040C000F" w:tentative="1">
      <w:start w:val="1"/>
      <w:numFmt w:val="decimal"/>
      <w:lvlText w:val="%4."/>
      <w:lvlJc w:val="left"/>
      <w:pPr>
        <w:ind w:left="2553" w:hanging="360"/>
      </w:pPr>
    </w:lvl>
    <w:lvl w:ilvl="4" w:tplc="040C0019" w:tentative="1">
      <w:start w:val="1"/>
      <w:numFmt w:val="lowerLetter"/>
      <w:lvlText w:val="%5."/>
      <w:lvlJc w:val="left"/>
      <w:pPr>
        <w:ind w:left="3273" w:hanging="360"/>
      </w:pPr>
    </w:lvl>
    <w:lvl w:ilvl="5" w:tplc="040C001B" w:tentative="1">
      <w:start w:val="1"/>
      <w:numFmt w:val="lowerRoman"/>
      <w:lvlText w:val="%6."/>
      <w:lvlJc w:val="right"/>
      <w:pPr>
        <w:ind w:left="3993" w:hanging="180"/>
      </w:pPr>
    </w:lvl>
    <w:lvl w:ilvl="6" w:tplc="040C000F" w:tentative="1">
      <w:start w:val="1"/>
      <w:numFmt w:val="decimal"/>
      <w:lvlText w:val="%7."/>
      <w:lvlJc w:val="left"/>
      <w:pPr>
        <w:ind w:left="4713" w:hanging="360"/>
      </w:pPr>
    </w:lvl>
    <w:lvl w:ilvl="7" w:tplc="040C0019" w:tentative="1">
      <w:start w:val="1"/>
      <w:numFmt w:val="lowerLetter"/>
      <w:lvlText w:val="%8."/>
      <w:lvlJc w:val="left"/>
      <w:pPr>
        <w:ind w:left="5433" w:hanging="360"/>
      </w:pPr>
    </w:lvl>
    <w:lvl w:ilvl="8" w:tplc="040C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8351306"/>
    <w:multiLevelType w:val="hybridMultilevel"/>
    <w:tmpl w:val="21E6CB8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166C6B"/>
    <w:multiLevelType w:val="hybridMultilevel"/>
    <w:tmpl w:val="24DA2972"/>
    <w:lvl w:ilvl="0" w:tplc="5C68720E">
      <w:start w:val="1"/>
      <w:numFmt w:val="lowerLetter"/>
      <w:lvlText w:val="(%1)"/>
      <w:lvlJc w:val="left"/>
      <w:pPr>
        <w:ind w:left="1215" w:hanging="85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1BA40D70"/>
    <w:multiLevelType w:val="hybridMultilevel"/>
    <w:tmpl w:val="FA48674E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F1C047D"/>
    <w:multiLevelType w:val="hybridMultilevel"/>
    <w:tmpl w:val="B34C039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515124"/>
    <w:multiLevelType w:val="hybridMultilevel"/>
    <w:tmpl w:val="93DAB1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013DF"/>
    <w:multiLevelType w:val="hybridMultilevel"/>
    <w:tmpl w:val="24927BE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5F07BFE"/>
    <w:multiLevelType w:val="hybridMultilevel"/>
    <w:tmpl w:val="59CC8118"/>
    <w:lvl w:ilvl="0" w:tplc="D55CD000">
      <w:start w:val="1"/>
      <w:numFmt w:val="decimal"/>
      <w:pStyle w:val="COMPara"/>
      <w:lvlText w:val="%1."/>
      <w:lvlJc w:val="left"/>
      <w:pPr>
        <w:ind w:left="720" w:hanging="360"/>
      </w:pPr>
      <w:rPr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5B111E"/>
    <w:multiLevelType w:val="hybridMultilevel"/>
    <w:tmpl w:val="24DA2972"/>
    <w:lvl w:ilvl="0" w:tplc="5C68720E">
      <w:start w:val="1"/>
      <w:numFmt w:val="lowerLetter"/>
      <w:lvlText w:val="(%1)"/>
      <w:lvlJc w:val="left"/>
      <w:pPr>
        <w:ind w:left="1215" w:hanging="85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C379B"/>
    <w:multiLevelType w:val="hybridMultilevel"/>
    <w:tmpl w:val="E7426B1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BB43821"/>
    <w:multiLevelType w:val="hybridMultilevel"/>
    <w:tmpl w:val="35CE79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14154"/>
    <w:multiLevelType w:val="hybridMultilevel"/>
    <w:tmpl w:val="DEBC8C1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1422FCB"/>
    <w:multiLevelType w:val="hybridMultilevel"/>
    <w:tmpl w:val="7B3E8C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0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47C22FB2"/>
    <w:multiLevelType w:val="hybridMultilevel"/>
    <w:tmpl w:val="C458E90A"/>
    <w:lvl w:ilvl="0" w:tplc="7FB23842">
      <w:start w:val="1"/>
      <w:numFmt w:val="lowerLetter"/>
      <w:lvlText w:val="(%1)"/>
      <w:lvlJc w:val="left"/>
      <w:pPr>
        <w:ind w:left="39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3" w:hanging="360"/>
      </w:pPr>
    </w:lvl>
    <w:lvl w:ilvl="2" w:tplc="040C001B" w:tentative="1">
      <w:start w:val="1"/>
      <w:numFmt w:val="lowerRoman"/>
      <w:lvlText w:val="%3."/>
      <w:lvlJc w:val="right"/>
      <w:pPr>
        <w:ind w:left="1833" w:hanging="180"/>
      </w:pPr>
    </w:lvl>
    <w:lvl w:ilvl="3" w:tplc="040C000F" w:tentative="1">
      <w:start w:val="1"/>
      <w:numFmt w:val="decimal"/>
      <w:lvlText w:val="%4."/>
      <w:lvlJc w:val="left"/>
      <w:pPr>
        <w:ind w:left="2553" w:hanging="360"/>
      </w:pPr>
    </w:lvl>
    <w:lvl w:ilvl="4" w:tplc="040C0019" w:tentative="1">
      <w:start w:val="1"/>
      <w:numFmt w:val="lowerLetter"/>
      <w:lvlText w:val="%5."/>
      <w:lvlJc w:val="left"/>
      <w:pPr>
        <w:ind w:left="3273" w:hanging="360"/>
      </w:pPr>
    </w:lvl>
    <w:lvl w:ilvl="5" w:tplc="040C001B" w:tentative="1">
      <w:start w:val="1"/>
      <w:numFmt w:val="lowerRoman"/>
      <w:lvlText w:val="%6."/>
      <w:lvlJc w:val="right"/>
      <w:pPr>
        <w:ind w:left="3993" w:hanging="180"/>
      </w:pPr>
    </w:lvl>
    <w:lvl w:ilvl="6" w:tplc="040C000F" w:tentative="1">
      <w:start w:val="1"/>
      <w:numFmt w:val="decimal"/>
      <w:lvlText w:val="%7."/>
      <w:lvlJc w:val="left"/>
      <w:pPr>
        <w:ind w:left="4713" w:hanging="360"/>
      </w:pPr>
    </w:lvl>
    <w:lvl w:ilvl="7" w:tplc="040C0019" w:tentative="1">
      <w:start w:val="1"/>
      <w:numFmt w:val="lowerLetter"/>
      <w:lvlText w:val="%8."/>
      <w:lvlJc w:val="left"/>
      <w:pPr>
        <w:ind w:left="5433" w:hanging="360"/>
      </w:pPr>
    </w:lvl>
    <w:lvl w:ilvl="8" w:tplc="040C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4A5854D7"/>
    <w:multiLevelType w:val="hybridMultilevel"/>
    <w:tmpl w:val="7B3E8CD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D5C83"/>
    <w:multiLevelType w:val="hybridMultilevel"/>
    <w:tmpl w:val="E7A6499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13D09"/>
    <w:multiLevelType w:val="hybridMultilevel"/>
    <w:tmpl w:val="24DA2972"/>
    <w:lvl w:ilvl="0" w:tplc="5C68720E">
      <w:start w:val="1"/>
      <w:numFmt w:val="lowerLetter"/>
      <w:lvlText w:val="(%1)"/>
      <w:lvlJc w:val="left"/>
      <w:pPr>
        <w:ind w:left="1215" w:hanging="85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31ADA"/>
    <w:multiLevelType w:val="hybridMultilevel"/>
    <w:tmpl w:val="601A2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65844D09"/>
    <w:multiLevelType w:val="hybridMultilevel"/>
    <w:tmpl w:val="24DA2972"/>
    <w:lvl w:ilvl="0" w:tplc="5C68720E">
      <w:start w:val="1"/>
      <w:numFmt w:val="lowerLetter"/>
      <w:lvlText w:val="(%1)"/>
      <w:lvlJc w:val="left"/>
      <w:pPr>
        <w:ind w:left="1215" w:hanging="85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87C04"/>
    <w:multiLevelType w:val="hybridMultilevel"/>
    <w:tmpl w:val="EDBE55F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2655861"/>
    <w:multiLevelType w:val="hybridMultilevel"/>
    <w:tmpl w:val="A236807A"/>
    <w:lvl w:ilvl="0" w:tplc="5B146A64">
      <w:start w:val="1"/>
      <w:numFmt w:val="lowerRoman"/>
      <w:pStyle w:val="i"/>
      <w:lvlText w:val="(%1)"/>
      <w:lvlJc w:val="left"/>
      <w:pPr>
        <w:ind w:left="1147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31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27CF4"/>
    <w:multiLevelType w:val="hybridMultilevel"/>
    <w:tmpl w:val="FA48674E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E26587C"/>
    <w:multiLevelType w:val="hybridMultilevel"/>
    <w:tmpl w:val="C458E90A"/>
    <w:lvl w:ilvl="0" w:tplc="7FB23842">
      <w:start w:val="1"/>
      <w:numFmt w:val="lowerLetter"/>
      <w:lvlText w:val="(%1)"/>
      <w:lvlJc w:val="left"/>
      <w:pPr>
        <w:ind w:left="39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3" w:hanging="360"/>
      </w:pPr>
    </w:lvl>
    <w:lvl w:ilvl="2" w:tplc="040C001B" w:tentative="1">
      <w:start w:val="1"/>
      <w:numFmt w:val="lowerRoman"/>
      <w:lvlText w:val="%3."/>
      <w:lvlJc w:val="right"/>
      <w:pPr>
        <w:ind w:left="1833" w:hanging="180"/>
      </w:pPr>
    </w:lvl>
    <w:lvl w:ilvl="3" w:tplc="040C000F" w:tentative="1">
      <w:start w:val="1"/>
      <w:numFmt w:val="decimal"/>
      <w:lvlText w:val="%4."/>
      <w:lvlJc w:val="left"/>
      <w:pPr>
        <w:ind w:left="2553" w:hanging="360"/>
      </w:pPr>
    </w:lvl>
    <w:lvl w:ilvl="4" w:tplc="040C0019" w:tentative="1">
      <w:start w:val="1"/>
      <w:numFmt w:val="lowerLetter"/>
      <w:lvlText w:val="%5."/>
      <w:lvlJc w:val="left"/>
      <w:pPr>
        <w:ind w:left="3273" w:hanging="360"/>
      </w:pPr>
    </w:lvl>
    <w:lvl w:ilvl="5" w:tplc="040C001B" w:tentative="1">
      <w:start w:val="1"/>
      <w:numFmt w:val="lowerRoman"/>
      <w:lvlText w:val="%6."/>
      <w:lvlJc w:val="right"/>
      <w:pPr>
        <w:ind w:left="3993" w:hanging="180"/>
      </w:pPr>
    </w:lvl>
    <w:lvl w:ilvl="6" w:tplc="040C000F" w:tentative="1">
      <w:start w:val="1"/>
      <w:numFmt w:val="decimal"/>
      <w:lvlText w:val="%7."/>
      <w:lvlJc w:val="left"/>
      <w:pPr>
        <w:ind w:left="4713" w:hanging="360"/>
      </w:pPr>
    </w:lvl>
    <w:lvl w:ilvl="7" w:tplc="040C0019" w:tentative="1">
      <w:start w:val="1"/>
      <w:numFmt w:val="lowerLetter"/>
      <w:lvlText w:val="%8."/>
      <w:lvlJc w:val="left"/>
      <w:pPr>
        <w:ind w:left="5433" w:hanging="360"/>
      </w:pPr>
    </w:lvl>
    <w:lvl w:ilvl="8" w:tplc="040C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822628298">
    <w:abstractNumId w:val="26"/>
  </w:num>
  <w:num w:numId="2" w16cid:durableId="699629408">
    <w:abstractNumId w:val="11"/>
  </w:num>
  <w:num w:numId="3" w16cid:durableId="164177712">
    <w:abstractNumId w:val="5"/>
  </w:num>
  <w:num w:numId="4" w16cid:durableId="1416590798">
    <w:abstractNumId w:val="31"/>
  </w:num>
  <w:num w:numId="5" w16cid:durableId="1762608160">
    <w:abstractNumId w:val="28"/>
  </w:num>
  <w:num w:numId="6" w16cid:durableId="2146270374">
    <w:abstractNumId w:val="3"/>
  </w:num>
  <w:num w:numId="7" w16cid:durableId="1113592211">
    <w:abstractNumId w:val="6"/>
  </w:num>
  <w:num w:numId="8" w16cid:durableId="1920598164">
    <w:abstractNumId w:val="20"/>
  </w:num>
  <w:num w:numId="9" w16cid:durableId="1533764642">
    <w:abstractNumId w:val="10"/>
  </w:num>
  <w:num w:numId="10" w16cid:durableId="1246129">
    <w:abstractNumId w:val="13"/>
  </w:num>
  <w:num w:numId="11" w16cid:durableId="111829808">
    <w:abstractNumId w:val="19"/>
  </w:num>
  <w:num w:numId="12" w16cid:durableId="1088770206">
    <w:abstractNumId w:val="14"/>
  </w:num>
  <w:num w:numId="13" w16cid:durableId="1263951029">
    <w:abstractNumId w:val="32"/>
  </w:num>
  <w:num w:numId="14" w16cid:durableId="395903570">
    <w:abstractNumId w:val="8"/>
  </w:num>
  <w:num w:numId="15" w16cid:durableId="1857570918">
    <w:abstractNumId w:val="10"/>
  </w:num>
  <w:num w:numId="16" w16cid:durableId="248199808">
    <w:abstractNumId w:val="10"/>
  </w:num>
  <w:num w:numId="17" w16cid:durableId="350380342">
    <w:abstractNumId w:val="10"/>
  </w:num>
  <w:num w:numId="18" w16cid:durableId="944581980">
    <w:abstractNumId w:val="10"/>
  </w:num>
  <w:num w:numId="19" w16cid:durableId="772675100">
    <w:abstractNumId w:val="10"/>
  </w:num>
  <w:num w:numId="20" w16cid:durableId="1253010311">
    <w:abstractNumId w:val="10"/>
  </w:num>
  <w:num w:numId="21" w16cid:durableId="540821319">
    <w:abstractNumId w:val="4"/>
  </w:num>
  <w:num w:numId="22" w16cid:durableId="2046514942">
    <w:abstractNumId w:val="10"/>
  </w:num>
  <w:num w:numId="23" w16cid:durableId="788285082">
    <w:abstractNumId w:val="18"/>
  </w:num>
  <w:num w:numId="24" w16cid:durableId="1916472009">
    <w:abstractNumId w:val="27"/>
  </w:num>
  <w:num w:numId="25" w16cid:durableId="864561576">
    <w:abstractNumId w:val="33"/>
  </w:num>
  <w:num w:numId="26" w16cid:durableId="1838305019">
    <w:abstractNumId w:val="21"/>
  </w:num>
  <w:num w:numId="27" w16cid:durableId="1971208763">
    <w:abstractNumId w:val="30"/>
  </w:num>
  <w:num w:numId="28" w16cid:durableId="167334897">
    <w:abstractNumId w:val="0"/>
  </w:num>
  <w:num w:numId="29" w16cid:durableId="604074785">
    <w:abstractNumId w:val="12"/>
  </w:num>
  <w:num w:numId="30" w16cid:durableId="1422723053">
    <w:abstractNumId w:val="24"/>
  </w:num>
  <w:num w:numId="31" w16cid:durableId="1916621543">
    <w:abstractNumId w:val="2"/>
  </w:num>
  <w:num w:numId="32" w16cid:durableId="129442094">
    <w:abstractNumId w:val="22"/>
  </w:num>
  <w:num w:numId="33" w16cid:durableId="1257641221">
    <w:abstractNumId w:val="1"/>
  </w:num>
  <w:num w:numId="34" w16cid:durableId="209417718">
    <w:abstractNumId w:val="17"/>
  </w:num>
  <w:num w:numId="35" w16cid:durableId="28923453">
    <w:abstractNumId w:val="9"/>
  </w:num>
  <w:num w:numId="36" w16cid:durableId="1977297749">
    <w:abstractNumId w:val="10"/>
  </w:num>
  <w:num w:numId="37" w16cid:durableId="1934437580">
    <w:abstractNumId w:val="10"/>
  </w:num>
  <w:num w:numId="38" w16cid:durableId="1497570329">
    <w:abstractNumId w:val="29"/>
  </w:num>
  <w:num w:numId="39" w16cid:durableId="1285113166">
    <w:abstractNumId w:val="7"/>
  </w:num>
  <w:num w:numId="40" w16cid:durableId="154221411">
    <w:abstractNumId w:val="10"/>
  </w:num>
  <w:num w:numId="41" w16cid:durableId="942107534">
    <w:abstractNumId w:val="23"/>
  </w:num>
  <w:num w:numId="42" w16cid:durableId="1949577460">
    <w:abstractNumId w:val="10"/>
  </w:num>
  <w:num w:numId="43" w16cid:durableId="440809013">
    <w:abstractNumId w:val="15"/>
  </w:num>
  <w:num w:numId="44" w16cid:durableId="1720786319">
    <w:abstractNumId w:val="25"/>
  </w:num>
  <w:num w:numId="45" w16cid:durableId="1256205909">
    <w:abstractNumId w:val="16"/>
  </w:num>
  <w:num w:numId="46" w16cid:durableId="767238335">
    <w:abstractNumId w:val="10"/>
  </w:num>
  <w:num w:numId="47" w16cid:durableId="570508171">
    <w:abstractNumId w:val="10"/>
  </w:num>
  <w:num w:numId="48" w16cid:durableId="81612051">
    <w:abstractNumId w:val="10"/>
  </w:num>
  <w:num w:numId="49" w16cid:durableId="823737887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39EF"/>
    <w:rsid w:val="000048ED"/>
    <w:rsid w:val="000114FD"/>
    <w:rsid w:val="00011933"/>
    <w:rsid w:val="00014915"/>
    <w:rsid w:val="00015587"/>
    <w:rsid w:val="000237EF"/>
    <w:rsid w:val="00025621"/>
    <w:rsid w:val="00027464"/>
    <w:rsid w:val="00037148"/>
    <w:rsid w:val="00041A66"/>
    <w:rsid w:val="00042D88"/>
    <w:rsid w:val="0004715D"/>
    <w:rsid w:val="000473F6"/>
    <w:rsid w:val="0005039A"/>
    <w:rsid w:val="0005176E"/>
    <w:rsid w:val="00056628"/>
    <w:rsid w:val="0006281D"/>
    <w:rsid w:val="00064F0B"/>
    <w:rsid w:val="000765F7"/>
    <w:rsid w:val="0007725F"/>
    <w:rsid w:val="000778CD"/>
    <w:rsid w:val="00077AB7"/>
    <w:rsid w:val="00081CD8"/>
    <w:rsid w:val="00090551"/>
    <w:rsid w:val="000925FD"/>
    <w:rsid w:val="000A3AB3"/>
    <w:rsid w:val="000A7117"/>
    <w:rsid w:val="000A7F0E"/>
    <w:rsid w:val="000B1C8F"/>
    <w:rsid w:val="000B47CF"/>
    <w:rsid w:val="000B5B8D"/>
    <w:rsid w:val="000B5B9B"/>
    <w:rsid w:val="000C0D61"/>
    <w:rsid w:val="000E3A54"/>
    <w:rsid w:val="000E5F46"/>
    <w:rsid w:val="000F1B71"/>
    <w:rsid w:val="000F3A3F"/>
    <w:rsid w:val="001021F2"/>
    <w:rsid w:val="00102557"/>
    <w:rsid w:val="00112E5B"/>
    <w:rsid w:val="00120A07"/>
    <w:rsid w:val="00123D82"/>
    <w:rsid w:val="00126F31"/>
    <w:rsid w:val="00147A38"/>
    <w:rsid w:val="00151B11"/>
    <w:rsid w:val="0015767D"/>
    <w:rsid w:val="001607BF"/>
    <w:rsid w:val="00163C55"/>
    <w:rsid w:val="00164CB2"/>
    <w:rsid w:val="00164D56"/>
    <w:rsid w:val="00167B10"/>
    <w:rsid w:val="0017402F"/>
    <w:rsid w:val="00175BF8"/>
    <w:rsid w:val="001767A8"/>
    <w:rsid w:val="00180959"/>
    <w:rsid w:val="001835D0"/>
    <w:rsid w:val="00184297"/>
    <w:rsid w:val="001873CF"/>
    <w:rsid w:val="00190205"/>
    <w:rsid w:val="00192C2B"/>
    <w:rsid w:val="001948F2"/>
    <w:rsid w:val="0019526D"/>
    <w:rsid w:val="00196957"/>
    <w:rsid w:val="00196C1B"/>
    <w:rsid w:val="0019782B"/>
    <w:rsid w:val="001A46F8"/>
    <w:rsid w:val="001B0403"/>
    <w:rsid w:val="001B0F73"/>
    <w:rsid w:val="001C2DB7"/>
    <w:rsid w:val="001C586F"/>
    <w:rsid w:val="001D07F1"/>
    <w:rsid w:val="001D14FE"/>
    <w:rsid w:val="001D5C04"/>
    <w:rsid w:val="001D5CB0"/>
    <w:rsid w:val="001E2AA0"/>
    <w:rsid w:val="001E7D4C"/>
    <w:rsid w:val="001F26CF"/>
    <w:rsid w:val="00200FFE"/>
    <w:rsid w:val="00211C2C"/>
    <w:rsid w:val="0022052F"/>
    <w:rsid w:val="00222A2D"/>
    <w:rsid w:val="00223029"/>
    <w:rsid w:val="00234745"/>
    <w:rsid w:val="002351A6"/>
    <w:rsid w:val="00235203"/>
    <w:rsid w:val="002407AF"/>
    <w:rsid w:val="00245501"/>
    <w:rsid w:val="002460D9"/>
    <w:rsid w:val="00250EE1"/>
    <w:rsid w:val="00252FB5"/>
    <w:rsid w:val="00253F23"/>
    <w:rsid w:val="00254B26"/>
    <w:rsid w:val="0026085B"/>
    <w:rsid w:val="0026221A"/>
    <w:rsid w:val="0026340B"/>
    <w:rsid w:val="00263AAE"/>
    <w:rsid w:val="00263C49"/>
    <w:rsid w:val="00271ED9"/>
    <w:rsid w:val="0027466B"/>
    <w:rsid w:val="002814F6"/>
    <w:rsid w:val="002838A5"/>
    <w:rsid w:val="00285BB4"/>
    <w:rsid w:val="00291723"/>
    <w:rsid w:val="00296438"/>
    <w:rsid w:val="002A1169"/>
    <w:rsid w:val="002A7A0F"/>
    <w:rsid w:val="002B4422"/>
    <w:rsid w:val="002B5308"/>
    <w:rsid w:val="002C030B"/>
    <w:rsid w:val="002C09E3"/>
    <w:rsid w:val="002C6A2C"/>
    <w:rsid w:val="002D1244"/>
    <w:rsid w:val="002D4793"/>
    <w:rsid w:val="002E3493"/>
    <w:rsid w:val="002E6442"/>
    <w:rsid w:val="002F6998"/>
    <w:rsid w:val="00303888"/>
    <w:rsid w:val="00311CC2"/>
    <w:rsid w:val="0032242A"/>
    <w:rsid w:val="00324115"/>
    <w:rsid w:val="0032618F"/>
    <w:rsid w:val="00337CEB"/>
    <w:rsid w:val="00344473"/>
    <w:rsid w:val="00344844"/>
    <w:rsid w:val="00344B58"/>
    <w:rsid w:val="0034539A"/>
    <w:rsid w:val="00345CB4"/>
    <w:rsid w:val="00353A2A"/>
    <w:rsid w:val="00370890"/>
    <w:rsid w:val="0037171B"/>
    <w:rsid w:val="00371F4E"/>
    <w:rsid w:val="00372A64"/>
    <w:rsid w:val="00375D42"/>
    <w:rsid w:val="00376B34"/>
    <w:rsid w:val="00382504"/>
    <w:rsid w:val="0038490E"/>
    <w:rsid w:val="003927AA"/>
    <w:rsid w:val="003B0A16"/>
    <w:rsid w:val="003D069C"/>
    <w:rsid w:val="003D1145"/>
    <w:rsid w:val="003D7646"/>
    <w:rsid w:val="003D77C5"/>
    <w:rsid w:val="003F113A"/>
    <w:rsid w:val="003F3E63"/>
    <w:rsid w:val="003F50BC"/>
    <w:rsid w:val="00403A70"/>
    <w:rsid w:val="00407480"/>
    <w:rsid w:val="00414643"/>
    <w:rsid w:val="004176DE"/>
    <w:rsid w:val="00417DE5"/>
    <w:rsid w:val="00420CDD"/>
    <w:rsid w:val="00421077"/>
    <w:rsid w:val="00424B0B"/>
    <w:rsid w:val="004313C4"/>
    <w:rsid w:val="00431D77"/>
    <w:rsid w:val="0043659C"/>
    <w:rsid w:val="004421E5"/>
    <w:rsid w:val="00452284"/>
    <w:rsid w:val="00453D7E"/>
    <w:rsid w:val="00455810"/>
    <w:rsid w:val="00457C8E"/>
    <w:rsid w:val="00464F1E"/>
    <w:rsid w:val="0047198C"/>
    <w:rsid w:val="00475817"/>
    <w:rsid w:val="00480175"/>
    <w:rsid w:val="0048541D"/>
    <w:rsid w:val="004856CA"/>
    <w:rsid w:val="00487E67"/>
    <w:rsid w:val="004906B7"/>
    <w:rsid w:val="004925D2"/>
    <w:rsid w:val="00494FAC"/>
    <w:rsid w:val="0049705E"/>
    <w:rsid w:val="004A0F70"/>
    <w:rsid w:val="004A2875"/>
    <w:rsid w:val="004A34A0"/>
    <w:rsid w:val="004A67C0"/>
    <w:rsid w:val="004B18C7"/>
    <w:rsid w:val="004B2171"/>
    <w:rsid w:val="004B7B8B"/>
    <w:rsid w:val="004C7C82"/>
    <w:rsid w:val="004D23F6"/>
    <w:rsid w:val="004E06C1"/>
    <w:rsid w:val="004E66F2"/>
    <w:rsid w:val="004E6E46"/>
    <w:rsid w:val="004F44A2"/>
    <w:rsid w:val="004F5CB4"/>
    <w:rsid w:val="005008A8"/>
    <w:rsid w:val="00504B9E"/>
    <w:rsid w:val="005077A2"/>
    <w:rsid w:val="00515050"/>
    <w:rsid w:val="00517FD8"/>
    <w:rsid w:val="005242C0"/>
    <w:rsid w:val="00526B7B"/>
    <w:rsid w:val="005274D2"/>
    <w:rsid w:val="00527BEE"/>
    <w:rsid w:val="005308CE"/>
    <w:rsid w:val="0053318C"/>
    <w:rsid w:val="00541F2A"/>
    <w:rsid w:val="00544C93"/>
    <w:rsid w:val="0054535F"/>
    <w:rsid w:val="00554E57"/>
    <w:rsid w:val="00555102"/>
    <w:rsid w:val="00557795"/>
    <w:rsid w:val="00561114"/>
    <w:rsid w:val="005637B2"/>
    <w:rsid w:val="0057205D"/>
    <w:rsid w:val="0057439C"/>
    <w:rsid w:val="00585426"/>
    <w:rsid w:val="00590976"/>
    <w:rsid w:val="005960FA"/>
    <w:rsid w:val="005B0127"/>
    <w:rsid w:val="005B1129"/>
    <w:rsid w:val="005B3355"/>
    <w:rsid w:val="005B7A35"/>
    <w:rsid w:val="005C26C4"/>
    <w:rsid w:val="005C4B73"/>
    <w:rsid w:val="005C5990"/>
    <w:rsid w:val="005C792B"/>
    <w:rsid w:val="005D28DA"/>
    <w:rsid w:val="005D39F8"/>
    <w:rsid w:val="005D7F98"/>
    <w:rsid w:val="005E1D2B"/>
    <w:rsid w:val="005E7074"/>
    <w:rsid w:val="005E77EC"/>
    <w:rsid w:val="005F2BAF"/>
    <w:rsid w:val="005F3374"/>
    <w:rsid w:val="005F773B"/>
    <w:rsid w:val="00600D93"/>
    <w:rsid w:val="00604A16"/>
    <w:rsid w:val="0061208E"/>
    <w:rsid w:val="0062122E"/>
    <w:rsid w:val="00622FA4"/>
    <w:rsid w:val="00623E61"/>
    <w:rsid w:val="00626BEA"/>
    <w:rsid w:val="0063300C"/>
    <w:rsid w:val="006361C5"/>
    <w:rsid w:val="00640B9A"/>
    <w:rsid w:val="00651A5B"/>
    <w:rsid w:val="00655736"/>
    <w:rsid w:val="00663B8D"/>
    <w:rsid w:val="006646A2"/>
    <w:rsid w:val="00666D10"/>
    <w:rsid w:val="0067233C"/>
    <w:rsid w:val="00676103"/>
    <w:rsid w:val="0068042E"/>
    <w:rsid w:val="0068488F"/>
    <w:rsid w:val="00696C8D"/>
    <w:rsid w:val="006A2AC2"/>
    <w:rsid w:val="006A3617"/>
    <w:rsid w:val="006B4452"/>
    <w:rsid w:val="006C0BC3"/>
    <w:rsid w:val="006D6C7E"/>
    <w:rsid w:val="006E0A8B"/>
    <w:rsid w:val="006E46E4"/>
    <w:rsid w:val="006E75EB"/>
    <w:rsid w:val="007037AB"/>
    <w:rsid w:val="00717DA5"/>
    <w:rsid w:val="00722E2C"/>
    <w:rsid w:val="007333D0"/>
    <w:rsid w:val="00743C1E"/>
    <w:rsid w:val="00744162"/>
    <w:rsid w:val="00744484"/>
    <w:rsid w:val="00747566"/>
    <w:rsid w:val="007558FF"/>
    <w:rsid w:val="0076778A"/>
    <w:rsid w:val="00773188"/>
    <w:rsid w:val="007742BB"/>
    <w:rsid w:val="007775AC"/>
    <w:rsid w:val="00783782"/>
    <w:rsid w:val="00784B8C"/>
    <w:rsid w:val="007879E1"/>
    <w:rsid w:val="007B2943"/>
    <w:rsid w:val="007B6550"/>
    <w:rsid w:val="007C1C86"/>
    <w:rsid w:val="007C21A3"/>
    <w:rsid w:val="007D67DD"/>
    <w:rsid w:val="007E459F"/>
    <w:rsid w:val="007E4AF9"/>
    <w:rsid w:val="007E57AA"/>
    <w:rsid w:val="00801558"/>
    <w:rsid w:val="00820971"/>
    <w:rsid w:val="0082337A"/>
    <w:rsid w:val="00823A11"/>
    <w:rsid w:val="00826C84"/>
    <w:rsid w:val="008334F7"/>
    <w:rsid w:val="00833E50"/>
    <w:rsid w:val="00837919"/>
    <w:rsid w:val="00845AEF"/>
    <w:rsid w:val="008510B0"/>
    <w:rsid w:val="0085405E"/>
    <w:rsid w:val="0085414A"/>
    <w:rsid w:val="00857565"/>
    <w:rsid w:val="00857EB9"/>
    <w:rsid w:val="0086269D"/>
    <w:rsid w:val="0086543A"/>
    <w:rsid w:val="00866DC7"/>
    <w:rsid w:val="00870AD7"/>
    <w:rsid w:val="00870C7F"/>
    <w:rsid w:val="008720B2"/>
    <w:rsid w:val="008724E5"/>
    <w:rsid w:val="008765C9"/>
    <w:rsid w:val="00884A9D"/>
    <w:rsid w:val="0088512B"/>
    <w:rsid w:val="0089087A"/>
    <w:rsid w:val="008A2B2D"/>
    <w:rsid w:val="008A4E1E"/>
    <w:rsid w:val="008A575E"/>
    <w:rsid w:val="008A6458"/>
    <w:rsid w:val="008B6268"/>
    <w:rsid w:val="008C296C"/>
    <w:rsid w:val="008C488B"/>
    <w:rsid w:val="008D4305"/>
    <w:rsid w:val="008E1A85"/>
    <w:rsid w:val="008E344F"/>
    <w:rsid w:val="008E37E7"/>
    <w:rsid w:val="008F19D9"/>
    <w:rsid w:val="009009F5"/>
    <w:rsid w:val="00903A44"/>
    <w:rsid w:val="009163A7"/>
    <w:rsid w:val="009214F5"/>
    <w:rsid w:val="009329D6"/>
    <w:rsid w:val="00932F72"/>
    <w:rsid w:val="00937014"/>
    <w:rsid w:val="00937D53"/>
    <w:rsid w:val="00945319"/>
    <w:rsid w:val="00946BAF"/>
    <w:rsid w:val="00946D0B"/>
    <w:rsid w:val="0095436D"/>
    <w:rsid w:val="00955877"/>
    <w:rsid w:val="00962034"/>
    <w:rsid w:val="00970594"/>
    <w:rsid w:val="0097321D"/>
    <w:rsid w:val="00983270"/>
    <w:rsid w:val="00985598"/>
    <w:rsid w:val="00986AFE"/>
    <w:rsid w:val="0099273E"/>
    <w:rsid w:val="009A18CD"/>
    <w:rsid w:val="009B0DCF"/>
    <w:rsid w:val="009D5428"/>
    <w:rsid w:val="009D77AB"/>
    <w:rsid w:val="009E5295"/>
    <w:rsid w:val="009F2DF1"/>
    <w:rsid w:val="009F7B59"/>
    <w:rsid w:val="00A10EC1"/>
    <w:rsid w:val="00A12558"/>
    <w:rsid w:val="00A13903"/>
    <w:rsid w:val="00A266AC"/>
    <w:rsid w:val="00A348BB"/>
    <w:rsid w:val="00A34ED5"/>
    <w:rsid w:val="00A361B9"/>
    <w:rsid w:val="00A37950"/>
    <w:rsid w:val="00A424B6"/>
    <w:rsid w:val="00A44888"/>
    <w:rsid w:val="00A45DBF"/>
    <w:rsid w:val="00A50236"/>
    <w:rsid w:val="00A538AC"/>
    <w:rsid w:val="00A5749E"/>
    <w:rsid w:val="00A70204"/>
    <w:rsid w:val="00A725CF"/>
    <w:rsid w:val="00A755A2"/>
    <w:rsid w:val="00A8153B"/>
    <w:rsid w:val="00A83049"/>
    <w:rsid w:val="00A8308D"/>
    <w:rsid w:val="00A8416A"/>
    <w:rsid w:val="00A86DD6"/>
    <w:rsid w:val="00A90D4F"/>
    <w:rsid w:val="00A90E5C"/>
    <w:rsid w:val="00A91430"/>
    <w:rsid w:val="00A9158E"/>
    <w:rsid w:val="00AA3C8D"/>
    <w:rsid w:val="00AA590D"/>
    <w:rsid w:val="00AA6660"/>
    <w:rsid w:val="00AB0F98"/>
    <w:rsid w:val="00AB2C36"/>
    <w:rsid w:val="00AB6DDE"/>
    <w:rsid w:val="00AB70B6"/>
    <w:rsid w:val="00AC18C1"/>
    <w:rsid w:val="00AC1B9E"/>
    <w:rsid w:val="00AC1F9D"/>
    <w:rsid w:val="00AD1A86"/>
    <w:rsid w:val="00AD303C"/>
    <w:rsid w:val="00AD58BD"/>
    <w:rsid w:val="00AD5C46"/>
    <w:rsid w:val="00AD7CA3"/>
    <w:rsid w:val="00AE103E"/>
    <w:rsid w:val="00AE6857"/>
    <w:rsid w:val="00AF0A07"/>
    <w:rsid w:val="00AF4AEC"/>
    <w:rsid w:val="00AF625E"/>
    <w:rsid w:val="00B00BCE"/>
    <w:rsid w:val="00B02D4F"/>
    <w:rsid w:val="00B03046"/>
    <w:rsid w:val="00B03BCF"/>
    <w:rsid w:val="00B11841"/>
    <w:rsid w:val="00B139BE"/>
    <w:rsid w:val="00B16D9F"/>
    <w:rsid w:val="00B17EF8"/>
    <w:rsid w:val="00B2172B"/>
    <w:rsid w:val="00B24FC3"/>
    <w:rsid w:val="00B25613"/>
    <w:rsid w:val="00B26DA8"/>
    <w:rsid w:val="00B34428"/>
    <w:rsid w:val="00B5202F"/>
    <w:rsid w:val="00B73602"/>
    <w:rsid w:val="00B76C42"/>
    <w:rsid w:val="00B84546"/>
    <w:rsid w:val="00B85074"/>
    <w:rsid w:val="00B864BD"/>
    <w:rsid w:val="00B917D2"/>
    <w:rsid w:val="00B97EB3"/>
    <w:rsid w:val="00BA001B"/>
    <w:rsid w:val="00BA198A"/>
    <w:rsid w:val="00BA241A"/>
    <w:rsid w:val="00BA5BE9"/>
    <w:rsid w:val="00BB04AF"/>
    <w:rsid w:val="00BB5CD7"/>
    <w:rsid w:val="00BB6EEC"/>
    <w:rsid w:val="00BB6FBC"/>
    <w:rsid w:val="00BB792E"/>
    <w:rsid w:val="00BD52C9"/>
    <w:rsid w:val="00BE5F27"/>
    <w:rsid w:val="00BE6354"/>
    <w:rsid w:val="00BE6E70"/>
    <w:rsid w:val="00BE7486"/>
    <w:rsid w:val="00BF0277"/>
    <w:rsid w:val="00BF0F53"/>
    <w:rsid w:val="00BF590E"/>
    <w:rsid w:val="00C062E0"/>
    <w:rsid w:val="00C138B7"/>
    <w:rsid w:val="00C138D1"/>
    <w:rsid w:val="00C16E8C"/>
    <w:rsid w:val="00C20B88"/>
    <w:rsid w:val="00C2225F"/>
    <w:rsid w:val="00C23A97"/>
    <w:rsid w:val="00C26EBD"/>
    <w:rsid w:val="00C3123A"/>
    <w:rsid w:val="00C3573D"/>
    <w:rsid w:val="00C36528"/>
    <w:rsid w:val="00C52EBE"/>
    <w:rsid w:val="00C5776D"/>
    <w:rsid w:val="00C64855"/>
    <w:rsid w:val="00C70EA7"/>
    <w:rsid w:val="00C72CE4"/>
    <w:rsid w:val="00C7433F"/>
    <w:rsid w:val="00C7516E"/>
    <w:rsid w:val="00C75770"/>
    <w:rsid w:val="00C81E8E"/>
    <w:rsid w:val="00C91969"/>
    <w:rsid w:val="00C92AB8"/>
    <w:rsid w:val="00C958C5"/>
    <w:rsid w:val="00C96970"/>
    <w:rsid w:val="00CA56BB"/>
    <w:rsid w:val="00CA64E2"/>
    <w:rsid w:val="00CB0542"/>
    <w:rsid w:val="00CB2EC7"/>
    <w:rsid w:val="00CB3AF8"/>
    <w:rsid w:val="00CB4A86"/>
    <w:rsid w:val="00CB5711"/>
    <w:rsid w:val="00CC2DBC"/>
    <w:rsid w:val="00CD24E3"/>
    <w:rsid w:val="00CE2198"/>
    <w:rsid w:val="00CE257F"/>
    <w:rsid w:val="00CE2B4C"/>
    <w:rsid w:val="00CF32BA"/>
    <w:rsid w:val="00CF3A7D"/>
    <w:rsid w:val="00D00B2B"/>
    <w:rsid w:val="00D04BFD"/>
    <w:rsid w:val="00D10742"/>
    <w:rsid w:val="00D165AC"/>
    <w:rsid w:val="00D214C8"/>
    <w:rsid w:val="00D24877"/>
    <w:rsid w:val="00D27CE0"/>
    <w:rsid w:val="00D5040A"/>
    <w:rsid w:val="00D51499"/>
    <w:rsid w:val="00D57946"/>
    <w:rsid w:val="00D63318"/>
    <w:rsid w:val="00D63BA6"/>
    <w:rsid w:val="00D7105A"/>
    <w:rsid w:val="00D8250F"/>
    <w:rsid w:val="00D86BB3"/>
    <w:rsid w:val="00D87BE2"/>
    <w:rsid w:val="00D93898"/>
    <w:rsid w:val="00D95C4C"/>
    <w:rsid w:val="00D9719F"/>
    <w:rsid w:val="00DA36ED"/>
    <w:rsid w:val="00DB6758"/>
    <w:rsid w:val="00DC3239"/>
    <w:rsid w:val="00DC49CB"/>
    <w:rsid w:val="00DC7D3C"/>
    <w:rsid w:val="00DE309F"/>
    <w:rsid w:val="00DE34F1"/>
    <w:rsid w:val="00DE48D1"/>
    <w:rsid w:val="00DE6160"/>
    <w:rsid w:val="00DE69A9"/>
    <w:rsid w:val="00DF2255"/>
    <w:rsid w:val="00DF4942"/>
    <w:rsid w:val="00E2125F"/>
    <w:rsid w:val="00E244E1"/>
    <w:rsid w:val="00E27D90"/>
    <w:rsid w:val="00E3320C"/>
    <w:rsid w:val="00E36EBF"/>
    <w:rsid w:val="00E4150C"/>
    <w:rsid w:val="00E523AE"/>
    <w:rsid w:val="00E627B1"/>
    <w:rsid w:val="00E62EC1"/>
    <w:rsid w:val="00E70169"/>
    <w:rsid w:val="00E715DB"/>
    <w:rsid w:val="00E8041B"/>
    <w:rsid w:val="00E87883"/>
    <w:rsid w:val="00E9376C"/>
    <w:rsid w:val="00E95AE2"/>
    <w:rsid w:val="00E9747E"/>
    <w:rsid w:val="00EA335E"/>
    <w:rsid w:val="00EA528C"/>
    <w:rsid w:val="00EA580C"/>
    <w:rsid w:val="00EB0BA5"/>
    <w:rsid w:val="00EB1094"/>
    <w:rsid w:val="00EB3AC9"/>
    <w:rsid w:val="00EB3F70"/>
    <w:rsid w:val="00EC6F8D"/>
    <w:rsid w:val="00ED01A9"/>
    <w:rsid w:val="00ED39B2"/>
    <w:rsid w:val="00EE49F4"/>
    <w:rsid w:val="00EF34E2"/>
    <w:rsid w:val="00F1585E"/>
    <w:rsid w:val="00F30DC6"/>
    <w:rsid w:val="00F312BC"/>
    <w:rsid w:val="00F31F96"/>
    <w:rsid w:val="00F32C23"/>
    <w:rsid w:val="00F409F9"/>
    <w:rsid w:val="00F525F6"/>
    <w:rsid w:val="00F53DE9"/>
    <w:rsid w:val="00F56B17"/>
    <w:rsid w:val="00F576CB"/>
    <w:rsid w:val="00F60DC1"/>
    <w:rsid w:val="00F650C6"/>
    <w:rsid w:val="00F7035D"/>
    <w:rsid w:val="00F70CC5"/>
    <w:rsid w:val="00F71A02"/>
    <w:rsid w:val="00F72097"/>
    <w:rsid w:val="00F742B5"/>
    <w:rsid w:val="00F74C9E"/>
    <w:rsid w:val="00F959E3"/>
    <w:rsid w:val="00FA0D63"/>
    <w:rsid w:val="00FA1A77"/>
    <w:rsid w:val="00FA472D"/>
    <w:rsid w:val="00FA5F89"/>
    <w:rsid w:val="00FB1727"/>
    <w:rsid w:val="00FB36DF"/>
    <w:rsid w:val="00FB6801"/>
    <w:rsid w:val="00FC22D5"/>
    <w:rsid w:val="00FD1226"/>
    <w:rsid w:val="00FD4BC8"/>
    <w:rsid w:val="00FE2EE9"/>
    <w:rsid w:val="00FE311B"/>
    <w:rsid w:val="00FE5E36"/>
    <w:rsid w:val="00FF09B6"/>
    <w:rsid w:val="00FF4830"/>
    <w:rsid w:val="00FF5131"/>
    <w:rsid w:val="00FF6A0C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6C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ru-RU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rsid w:val="004A28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13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3C4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313C4"/>
    <w:rPr>
      <w:vertAlign w:val="superscript"/>
    </w:rPr>
  </w:style>
  <w:style w:type="paragraph" w:customStyle="1" w:styleId="GAParaResolution">
    <w:name w:val="GA Para Resolution"/>
    <w:basedOn w:val="Normal"/>
    <w:qFormat/>
    <w:rsid w:val="005C792B"/>
    <w:pPr>
      <w:autoSpaceDE w:val="0"/>
      <w:autoSpaceDN w:val="0"/>
      <w:adjustRightInd w:val="0"/>
      <w:spacing w:after="120"/>
      <w:ind w:left="1287" w:hanging="360"/>
      <w:jc w:val="both"/>
    </w:pPr>
    <w:rPr>
      <w:rFonts w:ascii="Arial" w:eastAsia="SimSun" w:hAnsi="Arial" w:cs="Arial"/>
      <w:sz w:val="22"/>
      <w:szCs w:val="22"/>
      <w:u w:val="single"/>
    </w:rPr>
  </w:style>
  <w:style w:type="character" w:styleId="Hyperlink">
    <w:name w:val="Hyperlink"/>
    <w:aliases w:val=" Car Car3 Char, Car Car3 Char Char Char Char"/>
    <w:basedOn w:val="DefaultParagraphFont"/>
    <w:link w:val="CarCar3"/>
    <w:uiPriority w:val="99"/>
    <w:unhideWhenUsed/>
    <w:rsid w:val="005B1129"/>
    <w:rPr>
      <w:color w:val="0000FF" w:themeColor="hyperlink"/>
      <w:u w:val="single"/>
    </w:rPr>
  </w:style>
  <w:style w:type="paragraph" w:customStyle="1" w:styleId="U1">
    <w:name w:val="U.1"/>
    <w:basedOn w:val="Normal"/>
    <w:qFormat/>
    <w:rsid w:val="005B1129"/>
    <w:pPr>
      <w:widowControl w:val="0"/>
      <w:tabs>
        <w:tab w:val="left" w:pos="1701"/>
      </w:tabs>
      <w:autoSpaceDE w:val="0"/>
      <w:autoSpaceDN w:val="0"/>
      <w:adjustRightInd w:val="0"/>
      <w:spacing w:after="120"/>
      <w:ind w:left="1701" w:hanging="567"/>
    </w:pPr>
    <w:rPr>
      <w:rFonts w:ascii="Arial" w:eastAsia="SimSun" w:hAnsi="Arial" w:cs="Arial"/>
      <w:sz w:val="22"/>
      <w:szCs w:val="22"/>
    </w:rPr>
  </w:style>
  <w:style w:type="paragraph" w:customStyle="1" w:styleId="i">
    <w:name w:val="(i)"/>
    <w:basedOn w:val="Normal"/>
    <w:link w:val="iChar"/>
    <w:autoRedefine/>
    <w:qFormat/>
    <w:rsid w:val="005B1129"/>
    <w:pPr>
      <w:numPr>
        <w:numId w:val="27"/>
      </w:numPr>
      <w:autoSpaceDE w:val="0"/>
      <w:autoSpaceDN w:val="0"/>
      <w:adjustRightInd w:val="0"/>
      <w:spacing w:before="120" w:after="120"/>
      <w:ind w:right="284"/>
      <w:jc w:val="both"/>
    </w:pPr>
    <w:rPr>
      <w:rFonts w:ascii="Arial" w:eastAsia="SimSun" w:hAnsi="Arial" w:cs="Arial"/>
      <w:w w:val="90"/>
      <w:sz w:val="22"/>
      <w:szCs w:val="22"/>
    </w:rPr>
  </w:style>
  <w:style w:type="character" w:customStyle="1" w:styleId="iChar">
    <w:name w:val="(i) Char"/>
    <w:link w:val="i"/>
    <w:locked/>
    <w:rsid w:val="005B1129"/>
    <w:rPr>
      <w:rFonts w:ascii="Arial" w:hAnsi="Arial" w:cs="Arial"/>
      <w:w w:val="90"/>
      <w:sz w:val="22"/>
      <w:szCs w:val="22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420CDD"/>
    <w:rPr>
      <w:color w:val="605E5C"/>
      <w:shd w:val="clear" w:color="auto" w:fill="E1DFDD"/>
    </w:rPr>
  </w:style>
  <w:style w:type="paragraph" w:customStyle="1" w:styleId="GAPara">
    <w:name w:val="GA Para"/>
    <w:qFormat/>
    <w:rsid w:val="00504B9E"/>
    <w:pPr>
      <w:spacing w:after="120"/>
      <w:ind w:left="720" w:hanging="36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CarCar3">
    <w:name w:val="Car Car3"/>
    <w:aliases w:val=" Car Car3 Char Char"/>
    <w:basedOn w:val="Normal"/>
    <w:link w:val="Hyperlink"/>
    <w:uiPriority w:val="99"/>
    <w:rsid w:val="00504B9E"/>
    <w:pPr>
      <w:tabs>
        <w:tab w:val="left" w:pos="510"/>
        <w:tab w:val="right" w:pos="9639"/>
      </w:tabs>
      <w:autoSpaceDE w:val="0"/>
      <w:autoSpaceDN w:val="0"/>
      <w:adjustRightInd w:val="0"/>
      <w:spacing w:after="80" w:line="220" w:lineRule="exact"/>
      <w:ind w:left="1020" w:hanging="510"/>
      <w:jc w:val="both"/>
    </w:pPr>
    <w:rPr>
      <w:rFonts w:ascii="Calibri" w:eastAsia="SimSun" w:hAnsi="Calibri"/>
      <w:color w:val="0000FF" w:themeColor="hyperlink"/>
      <w:sz w:val="20"/>
      <w:szCs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590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F590E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2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2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24E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4E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en/decisions/20.COM/8" TargetMode="External"/><Relationship Id="rId13" Type="http://schemas.openxmlformats.org/officeDocument/2006/relationships/hyperlink" Target="https://ich.unesco.org/en/decisions/19.COM/15" TargetMode="External"/><Relationship Id="rId18" Type="http://schemas.openxmlformats.org/officeDocument/2006/relationships/hyperlink" Target="https://ich.unesco.org/en/Decisions/14.COM/8" TargetMode="External"/><Relationship Id="rId26" Type="http://schemas.openxmlformats.org/officeDocument/2006/relationships/hyperlink" Target="https://ich.unesco.org/en/decisions/20.COM/6.C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ich.unesco.org/en/decisions/19.COM/6.C" TargetMode="External"/><Relationship Id="rId34" Type="http://schemas.openxmlformats.org/officeDocument/2006/relationships/hyperlink" Target="https://ich.unesco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ch.unesco.org/en/decisions/17.COM/15" TargetMode="External"/><Relationship Id="rId17" Type="http://schemas.openxmlformats.org/officeDocument/2006/relationships/hyperlink" Target="https://ich.unesco.org/en/Decisions/13.COM/8" TargetMode="External"/><Relationship Id="rId25" Type="http://schemas.openxmlformats.org/officeDocument/2006/relationships/hyperlink" Target="https://ich.unesco.org/en/decisions/20.COM/6.C" TargetMode="External"/><Relationship Id="rId33" Type="http://schemas.openxmlformats.org/officeDocument/2006/relationships/hyperlink" Target="https://ich.unesco.org" TargetMode="External"/><Relationship Id="rId38" Type="http://schemas.openxmlformats.org/officeDocument/2006/relationships/hyperlink" Target="https://ich.unesco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ch.unesco.org/doc/src/ITH-18-7.GA-Resolutions-RU.docx?v=1532091840" TargetMode="External"/><Relationship Id="rId20" Type="http://schemas.openxmlformats.org/officeDocument/2006/relationships/hyperlink" Target="https://unesdoc.unesco.org/ark:/48223/pf0000395504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en/decisions/19.COM/15" TargetMode="External"/><Relationship Id="rId24" Type="http://schemas.openxmlformats.org/officeDocument/2006/relationships/hyperlink" Target="https://ich.unesco.org/en/decisions/20.COM/8" TargetMode="External"/><Relationship Id="rId32" Type="http://schemas.openxmlformats.org/officeDocument/2006/relationships/hyperlink" Target="https://ich.unesco.org/en/decisions/20.COM/6.C" TargetMode="External"/><Relationship Id="rId37" Type="http://schemas.openxmlformats.org/officeDocument/2006/relationships/hyperlink" Target="https://ich.unesco.org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ch.unesco.org/en/overall-results-framework-00984" TargetMode="External"/><Relationship Id="rId23" Type="http://schemas.openxmlformats.org/officeDocument/2006/relationships/hyperlink" Target="https://ich.unesco.org/en/events/global-reflection-meeting-on-the-periodic-reporting-mechanisms-of-the-2003-convention-01058" TargetMode="External"/><Relationship Id="rId28" Type="http://schemas.openxmlformats.org/officeDocument/2006/relationships/header" Target="header1.xml"/><Relationship Id="rId36" Type="http://schemas.openxmlformats.org/officeDocument/2006/relationships/hyperlink" Target="https://ich.unesco.org" TargetMode="External"/><Relationship Id="rId10" Type="http://schemas.openxmlformats.org/officeDocument/2006/relationships/hyperlink" Target="https://ich.unesco.org/en/decisions/20.COM/8" TargetMode="External"/><Relationship Id="rId19" Type="http://schemas.openxmlformats.org/officeDocument/2006/relationships/hyperlink" Target="https://www.unesco.org/sites/default/files/medias/fichiers/2022/10/6.MONDIACULT_RU_DRAFT%20FINAL%20DECLARATION.pdf" TargetMode="External"/><Relationship Id="rId31" Type="http://schemas.openxmlformats.org/officeDocument/2006/relationships/hyperlink" Target="https://ich.unesco.org/en/decisions/20.COM/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h.unesco.org/doc/src/LHE-25-20.COM-8_EN.docx?t=1764184365" TargetMode="External"/><Relationship Id="rId14" Type="http://schemas.openxmlformats.org/officeDocument/2006/relationships/hyperlink" Target="https://ich.unesco.org/en/Decisions/12.COM/10" TargetMode="External"/><Relationship Id="rId22" Type="http://schemas.openxmlformats.org/officeDocument/2006/relationships/hyperlink" Target="https://ich.unesco.org/en/decisions/20.COM/6.C" TargetMode="External"/><Relationship Id="rId27" Type="http://schemas.openxmlformats.org/officeDocument/2006/relationships/hyperlink" Target="https://ich.unesco.org/en/decisions/20.COM/8" TargetMode="External"/><Relationship Id="rId30" Type="http://schemas.openxmlformats.org/officeDocument/2006/relationships/header" Target="header3.xml"/><Relationship Id="rId35" Type="http://schemas.openxmlformats.org/officeDocument/2006/relationships/hyperlink" Target="https://ich.unesco.or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ch.unesco.org/doc/src/LHE-25-20.COM-6.c_EN.docx?v=1764185657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6396</Words>
  <Characters>35179</Characters>
  <Application>Microsoft Office Word</Application>
  <DocSecurity>0</DocSecurity>
  <Lines>293</Lines>
  <Paragraphs>82</Paragraphs>
  <ScaleCrop>false</ScaleCrop>
  <Company/>
  <LinksUpToDate>false</LinksUpToDate>
  <CharactersWithSpaces>41493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2026-05-18T15:39:00Z</dcterms:created>
  <dcterms:modified xsi:type="dcterms:W3CDTF">2026-05-18T17:47:00Z</dcterms:modified>
</cp:coreProperties>
</file>