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6FC07C36" w:rsidR="00EC6F8D" w:rsidRPr="002E26E7" w:rsidRDefault="00EC6F8D" w:rsidP="00EC6F8D">
      <w:pPr>
        <w:spacing w:before="1440"/>
        <w:jc w:val="center"/>
        <w:rPr>
          <w:rFonts w:ascii="Arial" w:hAnsi="Arial" w:cs="Arial"/>
          <w:b/>
          <w:sz w:val="22"/>
          <w:szCs w:val="22"/>
        </w:rPr>
      </w:pPr>
      <w:r w:rsidRPr="002E26E7">
        <w:rPr>
          <w:rFonts w:ascii="Arial" w:hAnsi="Arial" w:cs="Arial"/>
          <w:b/>
          <w:sz w:val="22"/>
        </w:rPr>
        <w:t>CONVENCIÓN PARA LA SALVAGUARDIA DEL</w:t>
      </w:r>
      <w:r w:rsidRPr="002E26E7">
        <w:rPr>
          <w:rFonts w:ascii="Arial" w:hAnsi="Arial" w:cs="Arial"/>
          <w:b/>
          <w:sz w:val="22"/>
        </w:rPr>
        <w:br/>
        <w:t>PATRIMONIO CULTURAL INMATERIAL</w:t>
      </w:r>
    </w:p>
    <w:p w14:paraId="3F72B1D3" w14:textId="37133200" w:rsidR="00EC6F8D" w:rsidRPr="002E26E7" w:rsidRDefault="005C792B" w:rsidP="00EC6F8D">
      <w:pPr>
        <w:spacing w:before="1200"/>
        <w:jc w:val="center"/>
        <w:rPr>
          <w:rFonts w:ascii="Arial" w:hAnsi="Arial" w:cs="Arial"/>
          <w:b/>
          <w:sz w:val="22"/>
          <w:szCs w:val="22"/>
        </w:rPr>
      </w:pPr>
      <w:r w:rsidRPr="002E26E7">
        <w:rPr>
          <w:rFonts w:ascii="Arial" w:hAnsi="Arial" w:cs="Arial"/>
          <w:b/>
          <w:sz w:val="22"/>
        </w:rPr>
        <w:t xml:space="preserve">ASAMBLEA GENERAL DE LOS </w:t>
      </w:r>
      <w:proofErr w:type="gramStart"/>
      <w:r w:rsidRPr="002E26E7">
        <w:rPr>
          <w:rFonts w:ascii="Arial" w:hAnsi="Arial" w:cs="Arial"/>
          <w:b/>
          <w:sz w:val="22"/>
        </w:rPr>
        <w:t>ESTADOS PARTES</w:t>
      </w:r>
      <w:proofErr w:type="gramEnd"/>
      <w:r w:rsidRPr="002E26E7">
        <w:rPr>
          <w:rFonts w:ascii="Arial" w:hAnsi="Arial" w:cs="Arial"/>
          <w:b/>
          <w:sz w:val="22"/>
        </w:rPr>
        <w:t xml:space="preserve"> EN LA CONVENCIÓN</w:t>
      </w:r>
    </w:p>
    <w:p w14:paraId="2E1CD4B4" w14:textId="5B3730D3" w:rsidR="00EC6F8D" w:rsidRPr="002E26E7" w:rsidRDefault="00671799" w:rsidP="001D14FE">
      <w:pPr>
        <w:spacing w:before="840"/>
        <w:jc w:val="center"/>
        <w:rPr>
          <w:rFonts w:ascii="Arial" w:hAnsi="Arial" w:cs="Arial"/>
          <w:b/>
          <w:sz w:val="22"/>
          <w:szCs w:val="22"/>
        </w:rPr>
      </w:pPr>
      <w:r w:rsidRPr="002E26E7">
        <w:rPr>
          <w:rFonts w:ascii="Arial" w:hAnsi="Arial" w:cs="Arial"/>
          <w:b/>
          <w:sz w:val="22"/>
        </w:rPr>
        <w:t>Undécima reunión</w:t>
      </w:r>
    </w:p>
    <w:p w14:paraId="1FD89575" w14:textId="05D2C62D" w:rsidR="00B2172B" w:rsidRPr="002E26E7" w:rsidRDefault="005C792B" w:rsidP="00B2172B">
      <w:pPr>
        <w:jc w:val="center"/>
        <w:rPr>
          <w:rFonts w:ascii="Arial" w:hAnsi="Arial" w:cs="Arial"/>
          <w:b/>
          <w:sz w:val="22"/>
          <w:szCs w:val="22"/>
        </w:rPr>
      </w:pPr>
      <w:r w:rsidRPr="002E26E7">
        <w:rPr>
          <w:rFonts w:ascii="Arial" w:hAnsi="Arial" w:cs="Arial"/>
          <w:b/>
          <w:sz w:val="22"/>
        </w:rPr>
        <w:t>Sede de la UNESCO, Sala I</w:t>
      </w:r>
    </w:p>
    <w:p w14:paraId="52EA6D50" w14:textId="038451F8" w:rsidR="00B2172B" w:rsidRPr="002E26E7" w:rsidRDefault="0054535F" w:rsidP="00B2172B">
      <w:pPr>
        <w:jc w:val="center"/>
        <w:rPr>
          <w:rFonts w:ascii="Arial" w:hAnsi="Arial" w:cs="Arial"/>
          <w:b/>
          <w:sz w:val="22"/>
          <w:szCs w:val="22"/>
        </w:rPr>
      </w:pPr>
      <w:r w:rsidRPr="002E26E7">
        <w:rPr>
          <w:rFonts w:ascii="Arial" w:hAnsi="Arial" w:cs="Arial"/>
          <w:b/>
          <w:sz w:val="22"/>
        </w:rPr>
        <w:t>17 al 18 de junio de 2026</w:t>
      </w:r>
    </w:p>
    <w:p w14:paraId="0365203A" w14:textId="0797862E" w:rsidR="00EC6F8D" w:rsidRPr="002E26E7" w:rsidRDefault="00EC6F8D" w:rsidP="00EC6F8D">
      <w:pPr>
        <w:pStyle w:val="Sansinterligne2"/>
        <w:spacing w:before="1200"/>
        <w:jc w:val="center"/>
        <w:rPr>
          <w:rFonts w:ascii="Arial" w:hAnsi="Arial" w:cs="Arial"/>
          <w:b/>
          <w:sz w:val="22"/>
          <w:szCs w:val="22"/>
        </w:rPr>
      </w:pPr>
      <w:r w:rsidRPr="002E26E7">
        <w:rPr>
          <w:rFonts w:ascii="Arial" w:hAnsi="Arial" w:cs="Arial"/>
          <w:b/>
          <w:sz w:val="22"/>
          <w:u w:val="single"/>
        </w:rPr>
        <w:t>Punto 7 del orden del día provisional</w:t>
      </w:r>
      <w:r w:rsidRPr="002E26E7">
        <w:rPr>
          <w:rFonts w:ascii="Arial" w:hAnsi="Arial" w:cs="Arial"/>
          <w:b/>
          <w:sz w:val="22"/>
        </w:rPr>
        <w:t>:</w:t>
      </w:r>
    </w:p>
    <w:p w14:paraId="59920478" w14:textId="756054F6" w:rsidR="004A2875" w:rsidRPr="002E26E7" w:rsidRDefault="007B64DD" w:rsidP="004A2875">
      <w:pPr>
        <w:pStyle w:val="Sansinterligne2"/>
        <w:spacing w:after="960"/>
        <w:jc w:val="center"/>
        <w:rPr>
          <w:rFonts w:ascii="Arial" w:hAnsi="Arial" w:cs="Arial"/>
          <w:bCs/>
          <w:sz w:val="22"/>
          <w:szCs w:val="22"/>
        </w:rPr>
      </w:pPr>
      <w:r w:rsidRPr="002E26E7">
        <w:rPr>
          <w:rFonts w:ascii="Arial" w:eastAsia="Arial" w:hAnsi="Arial" w:cs="Arial"/>
          <w:b/>
          <w:sz w:val="22"/>
          <w:szCs w:val="22"/>
          <w:lang w:bidi="es-ES"/>
        </w:rPr>
        <w:t>Revisiones propuestas a las Directrices Operativas para la aplicación de la Convención</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2E26E7" w14:paraId="75AC6221" w14:textId="77777777" w:rsidTr="00EC6F8D">
        <w:trPr>
          <w:jc w:val="center"/>
        </w:trPr>
        <w:tc>
          <w:tcPr>
            <w:tcW w:w="5670" w:type="dxa"/>
            <w:vAlign w:val="center"/>
          </w:tcPr>
          <w:p w14:paraId="51C260A9" w14:textId="77777777" w:rsidR="00EC6F8D" w:rsidRPr="002E26E7" w:rsidRDefault="00EC6F8D" w:rsidP="00CA56BB">
            <w:pPr>
              <w:pStyle w:val="Sansinterligne1"/>
              <w:spacing w:before="200" w:after="200"/>
              <w:jc w:val="center"/>
              <w:rPr>
                <w:rFonts w:ascii="Arial" w:hAnsi="Arial" w:cs="Arial"/>
                <w:b/>
                <w:sz w:val="22"/>
                <w:szCs w:val="22"/>
              </w:rPr>
            </w:pPr>
            <w:r w:rsidRPr="002E26E7">
              <w:rPr>
                <w:rFonts w:ascii="Arial" w:hAnsi="Arial" w:cs="Arial"/>
                <w:b/>
                <w:sz w:val="22"/>
              </w:rPr>
              <w:t>Resumen</w:t>
            </w:r>
          </w:p>
          <w:p w14:paraId="612E5DE6" w14:textId="7CF98B24" w:rsidR="00BB6EEC" w:rsidRPr="002E26E7" w:rsidRDefault="007B64DD" w:rsidP="00BB6EEC">
            <w:pPr>
              <w:pStyle w:val="Sansinterligne1"/>
              <w:jc w:val="both"/>
              <w:rPr>
                <w:rFonts w:ascii="Arial" w:hAnsi="Arial" w:cs="Arial"/>
                <w:bCs/>
                <w:sz w:val="22"/>
                <w:szCs w:val="22"/>
              </w:rPr>
            </w:pPr>
            <w:r w:rsidRPr="002E26E7">
              <w:rPr>
                <w:rFonts w:ascii="Arial" w:eastAsia="Arial" w:hAnsi="Arial" w:cs="Arial"/>
                <w:sz w:val="22"/>
                <w:szCs w:val="22"/>
                <w:lang w:bidi="es-ES"/>
              </w:rPr>
              <w:t xml:space="preserve">Se solicita a la presente sesión de la Asamblea General que apruebe las revisiones propuestas de las Directrices Operativas con el fin de asignar un plazo ampliado para la tramitación de los expedientes de candidatura, así como para respaldar </w:t>
            </w:r>
            <w:r w:rsidR="00111C36" w:rsidRPr="002E26E7">
              <w:rPr>
                <w:rFonts w:ascii="Arial" w:eastAsia="Arial" w:hAnsi="Arial" w:cs="Arial"/>
                <w:sz w:val="22"/>
                <w:szCs w:val="22"/>
                <w:lang w:bidi="es-ES"/>
              </w:rPr>
              <w:t xml:space="preserve">la transición </w:t>
            </w:r>
            <w:r w:rsidRPr="002E26E7">
              <w:rPr>
                <w:rFonts w:ascii="Arial" w:eastAsia="Arial" w:hAnsi="Arial" w:cs="Arial"/>
                <w:sz w:val="22"/>
                <w:szCs w:val="22"/>
                <w:lang w:bidi="es-ES"/>
              </w:rPr>
              <w:t>hacia un sistema único</w:t>
            </w:r>
            <w:r w:rsidR="00CC7E5D" w:rsidRPr="002E26E7">
              <w:rPr>
                <w:rFonts w:ascii="Arial" w:eastAsia="Arial" w:hAnsi="Arial" w:cs="Arial"/>
                <w:sz w:val="22"/>
                <w:szCs w:val="22"/>
                <w:lang w:bidi="es-ES"/>
              </w:rPr>
              <w:t xml:space="preserve"> de</w:t>
            </w:r>
            <w:r w:rsidRPr="002E26E7">
              <w:rPr>
                <w:rFonts w:ascii="Arial" w:eastAsia="Arial" w:hAnsi="Arial" w:cs="Arial"/>
                <w:sz w:val="22"/>
                <w:szCs w:val="22"/>
                <w:lang w:bidi="es-ES"/>
              </w:rPr>
              <w:t xml:space="preserve"> presentación de informes periódicos</w:t>
            </w:r>
            <w:r w:rsidR="00CC7E5D" w:rsidRPr="002E26E7">
              <w:rPr>
                <w:rFonts w:ascii="Arial" w:eastAsia="Arial" w:hAnsi="Arial" w:cs="Arial"/>
                <w:sz w:val="22"/>
                <w:szCs w:val="22"/>
                <w:lang w:bidi="es-ES"/>
              </w:rPr>
              <w:t xml:space="preserve"> a escala mundial</w:t>
            </w:r>
            <w:r w:rsidRPr="002E26E7">
              <w:rPr>
                <w:rFonts w:ascii="Arial" w:eastAsia="Arial" w:hAnsi="Arial" w:cs="Arial"/>
                <w:sz w:val="22"/>
                <w:szCs w:val="22"/>
                <w:lang w:bidi="es-ES"/>
              </w:rPr>
              <w:t>.</w:t>
            </w:r>
          </w:p>
          <w:p w14:paraId="290310E8" w14:textId="58BB21DF" w:rsidR="00EC6F8D" w:rsidRPr="002E26E7" w:rsidRDefault="00EC6F8D" w:rsidP="00CA56BB">
            <w:pPr>
              <w:pStyle w:val="Sansinterligne2"/>
              <w:spacing w:before="200" w:after="200"/>
              <w:jc w:val="both"/>
              <w:rPr>
                <w:rFonts w:ascii="Arial" w:hAnsi="Arial" w:cs="Arial"/>
                <w:b/>
                <w:sz w:val="22"/>
                <w:szCs w:val="22"/>
              </w:rPr>
            </w:pPr>
            <w:r w:rsidRPr="002E26E7">
              <w:rPr>
                <w:rFonts w:ascii="Arial" w:hAnsi="Arial" w:cs="Arial"/>
                <w:b/>
                <w:sz w:val="22"/>
              </w:rPr>
              <w:t xml:space="preserve">Decisión requerida: </w:t>
            </w:r>
            <w:r w:rsidRPr="002E26E7">
              <w:rPr>
                <w:rFonts w:ascii="Arial" w:hAnsi="Arial" w:cs="Arial"/>
                <w:sz w:val="22"/>
              </w:rPr>
              <w:t>párrafo 24</w:t>
            </w:r>
          </w:p>
        </w:tc>
      </w:tr>
    </w:tbl>
    <w:p w14:paraId="713D819F" w14:textId="77777777" w:rsidR="004A2875" w:rsidRPr="002E26E7" w:rsidRDefault="00655736" w:rsidP="004A2875">
      <w:pPr>
        <w:pStyle w:val="ListParagraph"/>
        <w:keepLines/>
        <w:numPr>
          <w:ilvl w:val="0"/>
          <w:numId w:val="13"/>
        </w:numPr>
        <w:spacing w:after="240"/>
        <w:ind w:left="567" w:hanging="567"/>
        <w:contextualSpacing w:val="0"/>
        <w:rPr>
          <w:rFonts w:ascii="Arial" w:hAnsi="Arial" w:cs="Arial"/>
          <w:b/>
          <w:snapToGrid w:val="0"/>
          <w:sz w:val="22"/>
          <w:szCs w:val="22"/>
        </w:rPr>
      </w:pPr>
      <w:r w:rsidRPr="002E26E7">
        <w:rPr>
          <w:rFonts w:ascii="Arial" w:hAnsi="Arial" w:cs="Arial"/>
          <w:lang w:bidi="es-ES"/>
        </w:rPr>
        <w:br w:type="page"/>
      </w:r>
    </w:p>
    <w:p w14:paraId="6C62585F" w14:textId="0C5BEE07" w:rsidR="00F70CC5" w:rsidRPr="002E26E7" w:rsidRDefault="00111C36" w:rsidP="00F70CC5">
      <w:pPr>
        <w:pStyle w:val="COMPara"/>
        <w:numPr>
          <w:ilvl w:val="0"/>
          <w:numId w:val="0"/>
        </w:numPr>
        <w:spacing w:before="240"/>
        <w:jc w:val="both"/>
        <w:rPr>
          <w:b/>
          <w:bCs/>
        </w:rPr>
      </w:pPr>
      <w:bookmarkStart w:id="0" w:name="_Hlk124351255"/>
      <w:r w:rsidRPr="002E26E7">
        <w:rPr>
          <w:b/>
          <w:lang w:bidi="es-ES"/>
        </w:rPr>
        <w:lastRenderedPageBreak/>
        <w:t xml:space="preserve">Introducción </w:t>
      </w:r>
    </w:p>
    <w:bookmarkEnd w:id="0"/>
    <w:p w14:paraId="5FA2B7DB" w14:textId="0BF2FC7C" w:rsidR="0057439C" w:rsidRPr="002E26E7" w:rsidRDefault="007B64DD" w:rsidP="002E26E7">
      <w:pPr>
        <w:pStyle w:val="COMPara"/>
        <w:ind w:left="567" w:hanging="567"/>
        <w:jc w:val="both"/>
      </w:pPr>
      <w:r w:rsidRPr="002E26E7">
        <w:rPr>
          <w:lang w:bidi="es-ES"/>
        </w:rPr>
        <w:t xml:space="preserve">Se invita a la presente sesión de la Asamblea General a aprobar las revisiones de las Directrices Operativas para la aplicación de la Convención de 2003 recomendadas para </w:t>
      </w:r>
      <w:r w:rsidR="00111C36" w:rsidRPr="002E26E7">
        <w:rPr>
          <w:lang w:bidi="es-ES"/>
        </w:rPr>
        <w:t>aprobación por el</w:t>
      </w:r>
      <w:r w:rsidRPr="002E26E7">
        <w:rPr>
          <w:lang w:bidi="es-ES"/>
        </w:rPr>
        <w:t xml:space="preserve"> Comité Intergubernamental en su vigésima reunión, con vistas a seguir reforzando los procedimientos asociados a los dos siguientes mecanismos de cooperación internacional de la Convención, </w:t>
      </w:r>
      <w:r w:rsidR="00AC341A" w:rsidRPr="002E26E7">
        <w:rPr>
          <w:lang w:bidi="es-ES"/>
        </w:rPr>
        <w:t>a saber,</w:t>
      </w:r>
      <w:r w:rsidRPr="002E26E7">
        <w:rPr>
          <w:lang w:bidi="es-ES"/>
        </w:rPr>
        <w:t xml:space="preserve"> el tratamiento de los expedientes de candidatura para los mecanismos de </w:t>
      </w:r>
      <w:r w:rsidR="00CC7E5D" w:rsidRPr="002E26E7">
        <w:rPr>
          <w:lang w:bidi="es-ES"/>
        </w:rPr>
        <w:t xml:space="preserve">inscripción </w:t>
      </w:r>
      <w:r w:rsidRPr="002E26E7">
        <w:rPr>
          <w:lang w:bidi="es-ES"/>
        </w:rPr>
        <w:t xml:space="preserve">en las </w:t>
      </w:r>
      <w:r w:rsidR="007569DC" w:rsidRPr="002E26E7">
        <w:rPr>
          <w:lang w:bidi="es-ES"/>
        </w:rPr>
        <w:t>l</w:t>
      </w:r>
      <w:r w:rsidRPr="002E26E7">
        <w:rPr>
          <w:lang w:bidi="es-ES"/>
        </w:rPr>
        <w:t xml:space="preserve">istas de la Convención, así como </w:t>
      </w:r>
      <w:r w:rsidR="00AC341A" w:rsidRPr="002E26E7">
        <w:rPr>
          <w:lang w:bidi="es-ES"/>
        </w:rPr>
        <w:t xml:space="preserve">la transición </w:t>
      </w:r>
      <w:r w:rsidRPr="002E26E7">
        <w:rPr>
          <w:lang w:bidi="es-ES"/>
        </w:rPr>
        <w:t xml:space="preserve">hacia un sistema único de presentación </w:t>
      </w:r>
      <w:r w:rsidR="00CC7E5D" w:rsidRPr="002E26E7">
        <w:rPr>
          <w:lang w:bidi="es-ES"/>
        </w:rPr>
        <w:t xml:space="preserve">de informes periódicos a escala </w:t>
      </w:r>
      <w:r w:rsidRPr="002E26E7">
        <w:rPr>
          <w:lang w:bidi="es-ES"/>
        </w:rPr>
        <w:t>mundial.</w:t>
      </w:r>
    </w:p>
    <w:p w14:paraId="123B6521" w14:textId="2579C67E" w:rsidR="00F70CC5" w:rsidRPr="002E26E7" w:rsidRDefault="00592F21" w:rsidP="00AC18C1">
      <w:pPr>
        <w:pStyle w:val="COMPara"/>
        <w:numPr>
          <w:ilvl w:val="0"/>
          <w:numId w:val="21"/>
        </w:numPr>
        <w:spacing w:before="240"/>
        <w:ind w:left="567" w:hanging="567"/>
        <w:jc w:val="both"/>
        <w:rPr>
          <w:b/>
          <w:bCs/>
        </w:rPr>
      </w:pPr>
      <w:r w:rsidRPr="002E26E7">
        <w:rPr>
          <w:b/>
          <w:color w:val="000000" w:themeColor="text1"/>
          <w:lang w:bidi="es-ES"/>
        </w:rPr>
        <w:t xml:space="preserve">Tramitación </w:t>
      </w:r>
      <w:r w:rsidR="007B64DD" w:rsidRPr="002E26E7">
        <w:rPr>
          <w:b/>
          <w:color w:val="000000" w:themeColor="text1"/>
          <w:lang w:bidi="es-ES"/>
        </w:rPr>
        <w:t xml:space="preserve">de los expedientes de candidatura para los mecanismos de </w:t>
      </w:r>
      <w:r w:rsidR="00AC341A" w:rsidRPr="002E26E7">
        <w:rPr>
          <w:b/>
          <w:color w:val="000000" w:themeColor="text1"/>
          <w:lang w:bidi="es-ES"/>
        </w:rPr>
        <w:t xml:space="preserve">inscripción </w:t>
      </w:r>
      <w:r w:rsidR="007B64DD" w:rsidRPr="002E26E7">
        <w:rPr>
          <w:b/>
          <w:color w:val="000000" w:themeColor="text1"/>
          <w:lang w:bidi="es-ES"/>
        </w:rPr>
        <w:t xml:space="preserve">en las </w:t>
      </w:r>
      <w:r w:rsidR="007569DC" w:rsidRPr="002E26E7">
        <w:rPr>
          <w:b/>
          <w:color w:val="000000" w:themeColor="text1"/>
          <w:lang w:bidi="es-ES"/>
        </w:rPr>
        <w:t xml:space="preserve">listas </w:t>
      </w:r>
      <w:r w:rsidR="007B64DD" w:rsidRPr="002E26E7">
        <w:rPr>
          <w:b/>
          <w:color w:val="000000" w:themeColor="text1"/>
          <w:lang w:bidi="es-ES"/>
        </w:rPr>
        <w:t>de la Convención</w:t>
      </w:r>
    </w:p>
    <w:p w14:paraId="2BB4F2DF" w14:textId="72D6AB6E" w:rsidR="007B64DD" w:rsidRPr="002E26E7" w:rsidRDefault="007B64DD" w:rsidP="007B64DD">
      <w:pPr>
        <w:pStyle w:val="COMPara"/>
        <w:ind w:left="567" w:hanging="567"/>
        <w:jc w:val="both"/>
      </w:pPr>
      <w:r w:rsidRPr="002E26E7">
        <w:rPr>
          <w:lang w:bidi="es-ES"/>
        </w:rPr>
        <w:t>El subcapítulo I.15 de las Directrices Operativas contiene las disposiciones relativas a los procedimientos asociados a</w:t>
      </w:r>
      <w:r w:rsidR="00592F21" w:rsidRPr="002E26E7">
        <w:rPr>
          <w:lang w:bidi="es-ES"/>
        </w:rPr>
        <w:t xml:space="preserve"> la</w:t>
      </w:r>
      <w:r w:rsidRPr="002E26E7">
        <w:rPr>
          <w:lang w:bidi="es-ES"/>
        </w:rPr>
        <w:t xml:space="preserve"> </w:t>
      </w:r>
      <w:r w:rsidR="00592F21" w:rsidRPr="002E26E7">
        <w:rPr>
          <w:lang w:bidi="es-ES"/>
        </w:rPr>
        <w:t xml:space="preserve">tramitación </w:t>
      </w:r>
      <w:r w:rsidRPr="002E26E7">
        <w:rPr>
          <w:lang w:bidi="es-ES"/>
        </w:rPr>
        <w:t xml:space="preserve">de los expedientes para los mecanismos de </w:t>
      </w:r>
      <w:r w:rsidR="00AE4FDC" w:rsidRPr="002E26E7">
        <w:rPr>
          <w:lang w:bidi="es-ES"/>
        </w:rPr>
        <w:t>inscripción</w:t>
      </w:r>
      <w:r w:rsidRPr="002E26E7">
        <w:rPr>
          <w:lang w:bidi="es-ES"/>
        </w:rPr>
        <w:t xml:space="preserve"> en las </w:t>
      </w:r>
      <w:r w:rsidR="007569DC" w:rsidRPr="002E26E7">
        <w:rPr>
          <w:lang w:bidi="es-ES"/>
        </w:rPr>
        <w:t xml:space="preserve">listas </w:t>
      </w:r>
      <w:r w:rsidRPr="002E26E7">
        <w:rPr>
          <w:lang w:bidi="es-ES"/>
        </w:rPr>
        <w:t xml:space="preserve">de la Convención, que se divide en tres fases: Preparación y presentación (apartado 54), Evaluación (apartado 55) y Examen (apartado 56). El apartado 54 de las Directrices Operativas prevé que, tras la presentación de candidaturas, propuestas y solicitudes dentro del plazo legal del 31 de marzo, la Secretaría tramitará "los expedientes, </w:t>
      </w:r>
      <w:r w:rsidR="003A08BB" w:rsidRPr="002E26E7">
        <w:rPr>
          <w:lang w:bidi="es-ES"/>
        </w:rPr>
        <w:t xml:space="preserve">comprendidos </w:t>
      </w:r>
      <w:r w:rsidRPr="002E26E7">
        <w:rPr>
          <w:lang w:bidi="es-ES"/>
        </w:rPr>
        <w:t xml:space="preserve">el registro y el acuse de recibo. Si </w:t>
      </w:r>
      <w:r w:rsidR="00EA28EE" w:rsidRPr="002E26E7">
        <w:rPr>
          <w:lang w:bidi="es-ES"/>
        </w:rPr>
        <w:t xml:space="preserve">se estima que </w:t>
      </w:r>
      <w:r w:rsidRPr="002E26E7">
        <w:rPr>
          <w:lang w:bidi="es-ES"/>
        </w:rPr>
        <w:t>un expediente está incompleto, se invitará al Estado Parte a que lo complete</w:t>
      </w:r>
      <w:r w:rsidR="00EA28EE" w:rsidRPr="002E26E7">
        <w:rPr>
          <w:lang w:bidi="es-ES"/>
        </w:rPr>
        <w:t>”</w:t>
      </w:r>
      <w:r w:rsidRPr="002E26E7">
        <w:rPr>
          <w:lang w:bidi="es-ES"/>
        </w:rPr>
        <w:t xml:space="preserve">. A continuación, el Estado Parte dispone de tres meses para presentar a la Secretaría "la información </w:t>
      </w:r>
      <w:r w:rsidR="001C1458" w:rsidRPr="002E26E7">
        <w:rPr>
          <w:lang w:bidi="es-ES"/>
        </w:rPr>
        <w:t>requerida</w:t>
      </w:r>
      <w:r w:rsidRPr="002E26E7">
        <w:rPr>
          <w:lang w:bidi="es-ES"/>
        </w:rPr>
        <w:t xml:space="preserve"> para completar </w:t>
      </w:r>
      <w:r w:rsidR="001C1458" w:rsidRPr="002E26E7">
        <w:rPr>
          <w:lang w:bidi="es-ES"/>
        </w:rPr>
        <w:t xml:space="preserve">el </w:t>
      </w:r>
      <w:r w:rsidRPr="002E26E7">
        <w:rPr>
          <w:lang w:bidi="es-ES"/>
        </w:rPr>
        <w:t xml:space="preserve">expediente, </w:t>
      </w:r>
      <w:r w:rsidR="001C1458" w:rsidRPr="002E26E7">
        <w:rPr>
          <w:lang w:bidi="es-ES"/>
        </w:rPr>
        <w:t>si fuere necesario</w:t>
      </w:r>
      <w:r w:rsidRPr="002E26E7">
        <w:rPr>
          <w:lang w:bidi="es-ES"/>
        </w:rPr>
        <w:t>". Esta parte del proceso se considera la fase de "comprobación de la integridad técnica".</w:t>
      </w:r>
    </w:p>
    <w:p w14:paraId="57D62EDA" w14:textId="0FA37B87" w:rsidR="007B64DD" w:rsidRPr="002E26E7" w:rsidRDefault="007B64DD" w:rsidP="007B64DD">
      <w:pPr>
        <w:pStyle w:val="COMPara"/>
        <w:ind w:left="567" w:hanging="567"/>
        <w:jc w:val="both"/>
      </w:pPr>
      <w:r w:rsidRPr="002E26E7">
        <w:rPr>
          <w:lang w:bidi="es-ES"/>
        </w:rPr>
        <w:t xml:space="preserve">Tras la reflexión mundial realizada sobre los mecanismos de </w:t>
      </w:r>
      <w:r w:rsidR="00960CDF" w:rsidRPr="002E26E7">
        <w:rPr>
          <w:lang w:bidi="es-ES"/>
        </w:rPr>
        <w:t xml:space="preserve">inscripción </w:t>
      </w:r>
      <w:r w:rsidRPr="002E26E7">
        <w:rPr>
          <w:lang w:bidi="es-ES"/>
        </w:rPr>
        <w:t xml:space="preserve">en las </w:t>
      </w:r>
      <w:r w:rsidR="007569DC" w:rsidRPr="002E26E7">
        <w:rPr>
          <w:lang w:bidi="es-ES"/>
        </w:rPr>
        <w:t xml:space="preserve">listas </w:t>
      </w:r>
      <w:r w:rsidRPr="002E26E7">
        <w:rPr>
          <w:lang w:bidi="es-ES"/>
        </w:rPr>
        <w:t xml:space="preserve">de la Convención (2018-2022), se simplificaron varios procedimientos y formularios para la presentación de candidaturas. De igual modo, se ajustaron en consonancia los requisitos técnicos relacionados para reflejar tanto estos procedimientos optimizados como la diversidad de materiales </w:t>
      </w:r>
      <w:proofErr w:type="gramStart"/>
      <w:r w:rsidRPr="002E26E7">
        <w:rPr>
          <w:lang w:bidi="es-ES"/>
        </w:rPr>
        <w:t>a</w:t>
      </w:r>
      <w:proofErr w:type="gramEnd"/>
      <w:r w:rsidRPr="002E26E7">
        <w:rPr>
          <w:lang w:bidi="es-ES"/>
        </w:rPr>
        <w:t xml:space="preserve"> tener en cuenta, incluida la introducción de materiales opcionales y archivos audiovisuales presentados por los Estados y las comunidades. A lo largo de los años, la comprobación de la integridad técnica ha garantizado cada vez más que los expedientes de candidatura cumplan los requisitos técnicos, además de brindar a los Estados la oportunidad de mejorar la calidad de sus candidaturas. Así, el proceso ha facilitado la evaluación por el Órgano de Evaluación y el examen del Comité, garantizando al mismo tiempo la visibilidad y presentación adecuadas de los elementos al público.</w:t>
      </w:r>
    </w:p>
    <w:p w14:paraId="4ED032DE" w14:textId="3CFAED7C" w:rsidR="007B64DD" w:rsidRPr="002E26E7" w:rsidRDefault="007B64DD" w:rsidP="007B64DD">
      <w:pPr>
        <w:pStyle w:val="COMPara"/>
        <w:ind w:left="567" w:hanging="567"/>
        <w:jc w:val="both"/>
      </w:pPr>
      <w:r w:rsidRPr="002E26E7">
        <w:rPr>
          <w:lang w:bidi="es-ES"/>
        </w:rPr>
        <w:t xml:space="preserve">Debido al elevado volumen observado de candidaturas presentadas en el marco de los ciclos de presentación de candidaturas de 2024 y 2025, cuando los resultados de la reflexión mundial sobre los mecanismos de </w:t>
      </w:r>
      <w:r w:rsidR="00C91ECB" w:rsidRPr="002E26E7">
        <w:rPr>
          <w:lang w:bidi="es-ES"/>
        </w:rPr>
        <w:t xml:space="preserve">inscripción </w:t>
      </w:r>
      <w:r w:rsidRPr="002E26E7">
        <w:rPr>
          <w:lang w:bidi="es-ES"/>
        </w:rPr>
        <w:t xml:space="preserve">en las </w:t>
      </w:r>
      <w:r w:rsidR="007569DC" w:rsidRPr="002E26E7">
        <w:rPr>
          <w:lang w:bidi="es-ES"/>
        </w:rPr>
        <w:t xml:space="preserve">listas </w:t>
      </w:r>
      <w:r w:rsidRPr="002E26E7">
        <w:rPr>
          <w:lang w:bidi="es-ES"/>
        </w:rPr>
        <w:t xml:space="preserve">surtieron pleno efecto, así como al aumento de los requisitos técnicos y los elementos correspondientes a revisar en la comprobación de la exhaustividad técnica, la vigésima reunión del Comité recomendó que la Asamblea General revisara las Directrices Operativas (Decisión </w:t>
      </w:r>
      <w:hyperlink r:id="rId8" w:history="1">
        <w:r w:rsidRPr="002E26E7">
          <w:rPr>
            <w:rStyle w:val="Hyperlink"/>
            <w:lang w:bidi="es-ES"/>
          </w:rPr>
          <w:t>20.COM 8</w:t>
        </w:r>
      </w:hyperlink>
      <w:r w:rsidRPr="002E26E7">
        <w:rPr>
          <w:lang w:bidi="es-ES"/>
        </w:rPr>
        <w:t xml:space="preserve"> y documento </w:t>
      </w:r>
      <w:hyperlink r:id="rId9" w:history="1">
        <w:r w:rsidRPr="002E26E7">
          <w:rPr>
            <w:rStyle w:val="Hyperlink"/>
            <w:lang w:bidi="es-ES"/>
          </w:rPr>
          <w:t>LHE/25/20.COM/8</w:t>
        </w:r>
      </w:hyperlink>
      <w:r w:rsidRPr="002E26E7">
        <w:rPr>
          <w:lang w:bidi="es-ES"/>
        </w:rPr>
        <w:t xml:space="preserve">) para permitir </w:t>
      </w:r>
      <w:r w:rsidR="00C91ECB" w:rsidRPr="002E26E7">
        <w:rPr>
          <w:lang w:bidi="es-ES"/>
        </w:rPr>
        <w:t>la asignación de</w:t>
      </w:r>
      <w:r w:rsidRPr="002E26E7">
        <w:rPr>
          <w:lang w:bidi="es-ES"/>
        </w:rPr>
        <w:t xml:space="preserve"> un plazo adicional con el fin de comprobar la integridad técnica de los expedientes de candidatura, teniendo en cuenta los numerosos aspectos que intervienen en el proceso, el creciente número de candidaturas que se benefician de él y su importancia para la posterior fase de evaluación.</w:t>
      </w:r>
    </w:p>
    <w:p w14:paraId="243C480A" w14:textId="77777777" w:rsidR="007B64DD" w:rsidRPr="002E26E7" w:rsidRDefault="007B64DD" w:rsidP="007B64DD">
      <w:pPr>
        <w:pStyle w:val="COMPara"/>
        <w:numPr>
          <w:ilvl w:val="0"/>
          <w:numId w:val="0"/>
        </w:numPr>
        <w:ind w:left="567"/>
        <w:jc w:val="both"/>
        <w:rPr>
          <w:u w:val="single"/>
        </w:rPr>
      </w:pPr>
      <w:r w:rsidRPr="002E26E7">
        <w:rPr>
          <w:u w:val="single"/>
          <w:lang w:bidi="es-ES"/>
        </w:rPr>
        <w:t>Alcance de la comprobación de integridad técnica</w:t>
      </w:r>
    </w:p>
    <w:p w14:paraId="37A475DC" w14:textId="77777777" w:rsidR="007B64DD" w:rsidRPr="002E26E7" w:rsidRDefault="007B64DD" w:rsidP="007B64DD">
      <w:pPr>
        <w:pStyle w:val="COMPara"/>
        <w:ind w:left="567" w:hanging="567"/>
        <w:jc w:val="both"/>
      </w:pPr>
      <w:r w:rsidRPr="002E26E7">
        <w:rPr>
          <w:lang w:bidi="es-ES"/>
        </w:rPr>
        <w:t>Más allá de identificar los documentos y materiales que faltan en los expedientes de candidatura, la comprobación de la integridad consiste en garantizar que un expediente cumple los requisitos técnicos, con el objetivo general de facilitar su evaluación por parte del Órgano de Evaluación y su examen por parte del Comité, garantizando al mismo tiempo que la evaluación se lleve a cabo de forma transparente y equitativa. Además, este proceso permite lograr una visibilidad y presentación adecuadas de los elementos ante el público, mediante materiales asociados a la candidatura publicados en el sitio web de la Convención durante el proceso de presentación de candidaturas y después de la inscripción.</w:t>
      </w:r>
    </w:p>
    <w:p w14:paraId="3B4A44AD" w14:textId="13B18F3C" w:rsidR="007B64DD" w:rsidRPr="002E26E7" w:rsidRDefault="007B64DD" w:rsidP="007B64DD">
      <w:pPr>
        <w:pStyle w:val="COMPara"/>
        <w:ind w:left="567" w:hanging="567"/>
        <w:jc w:val="both"/>
      </w:pPr>
      <w:r w:rsidRPr="002E26E7">
        <w:rPr>
          <w:lang w:bidi="es-ES"/>
        </w:rPr>
        <w:lastRenderedPageBreak/>
        <w:t xml:space="preserve">El abanico de cuestiones que se abordan en la comprobación de la integridad técnica es amplio, desde la presencia de respuestas en los formularios de candidatura ICH-0x con respecto a los límites de palabras, la presentación de la cantidad especificada de fotos y vídeos con subtítulos en un formato y duración adecuados, hasta la presentación de los documentos de consentimiento o de un extracto del inventario en el idioma original y en inglés o francés, entre otros. Los requisitos técnicos y, por tanto, los aspectos a comprobar han aumentado a raíz de la reflexión mundial sobre los mecanismos de </w:t>
      </w:r>
      <w:r w:rsidR="00AF40D6" w:rsidRPr="002E26E7">
        <w:rPr>
          <w:lang w:bidi="es-ES"/>
        </w:rPr>
        <w:t xml:space="preserve">inscripción </w:t>
      </w:r>
      <w:r w:rsidRPr="002E26E7">
        <w:rPr>
          <w:lang w:bidi="es-ES"/>
        </w:rPr>
        <w:t xml:space="preserve">en las </w:t>
      </w:r>
      <w:r w:rsidR="007569DC" w:rsidRPr="002E26E7">
        <w:rPr>
          <w:lang w:bidi="es-ES"/>
        </w:rPr>
        <w:t>listas</w:t>
      </w:r>
      <w:r w:rsidRPr="002E26E7">
        <w:rPr>
          <w:lang w:bidi="es-ES"/>
        </w:rPr>
        <w:t>, sobre todo con la introducción de materiales opcionales, el aumento de los ficheros audiovisuales y la documentación específica para las solicitudes de ampliación y traspaso. Cabe destacar que en esta fase no se comprueba el contenido de los materiales de la candidatura presentados,</w:t>
      </w:r>
      <w:r w:rsidR="00AF40D6" w:rsidRPr="002E26E7">
        <w:rPr>
          <w:lang w:bidi="es-ES"/>
        </w:rPr>
        <w:t xml:space="preserve"> sino</w:t>
      </w:r>
      <w:r w:rsidRPr="002E26E7">
        <w:rPr>
          <w:lang w:bidi="es-ES"/>
        </w:rPr>
        <w:t xml:space="preserve"> únicamente si cumplen los requisitos técnicos.</w:t>
      </w:r>
    </w:p>
    <w:p w14:paraId="2B396CD4" w14:textId="6C3D206E" w:rsidR="007B64DD" w:rsidRPr="002E26E7" w:rsidRDefault="007B64DD" w:rsidP="007B64DD">
      <w:pPr>
        <w:pStyle w:val="COMPara"/>
        <w:ind w:left="567" w:hanging="567"/>
        <w:jc w:val="both"/>
      </w:pPr>
      <w:r w:rsidRPr="002E26E7">
        <w:rPr>
          <w:lang w:bidi="es-ES"/>
        </w:rPr>
        <w:t>A lo largo de los años, la práctica ha evolucionado y el enfoque ha ganado flexibilidad, en particular porque los Estados con expedientes que salían de la sección "</w:t>
      </w:r>
      <w:r w:rsidR="00AF40D6" w:rsidRPr="002E26E7">
        <w:rPr>
          <w:lang w:bidi="es-ES"/>
        </w:rPr>
        <w:t>en espera</w:t>
      </w:r>
      <w:r w:rsidRPr="002E26E7">
        <w:rPr>
          <w:lang w:bidi="es-ES"/>
        </w:rPr>
        <w:t xml:space="preserve">" después de varios años necesitaban poder presentar documentación actualizada. Este proceso permitió a los Estados solicitantes aprovechar la oportunidad que les ofrecía la comprobación de la integridad técnica para revisar de manera eficaz el expediente de candidatura proporcionando información actualizada adicional más allá de lo indicado como información </w:t>
      </w:r>
      <w:r w:rsidR="00443A0A" w:rsidRPr="002E26E7">
        <w:rPr>
          <w:lang w:bidi="es-ES"/>
        </w:rPr>
        <w:t>faltante</w:t>
      </w:r>
      <w:r w:rsidRPr="002E26E7">
        <w:rPr>
          <w:lang w:bidi="es-ES"/>
        </w:rPr>
        <w:t xml:space="preserve"> en las solicitudes de información adicional de la Secretaría. Actualmente, una gran mayoría de los Estados solicitantes aprovecha esta fase para completar y revisar sus expedientes. La información adicional suele incluir, entre otras cosas, una aclaración sobre la presentación de materiales opcionales, así como documentos de consentimiento adicionales, extractos de inventario actualizados y más información que las comunidades deseen aportar ante la evolución de los contextos locales. En las candidaturas multinacionales, estas cuestiones pueden afectar a uno o varios Estados solicitantes.</w:t>
      </w:r>
    </w:p>
    <w:p w14:paraId="5510BB89" w14:textId="00121CF4" w:rsidR="007B64DD" w:rsidRPr="002E26E7" w:rsidRDefault="007B64DD" w:rsidP="007B64DD">
      <w:pPr>
        <w:pStyle w:val="COMPara"/>
        <w:ind w:left="567" w:hanging="567"/>
        <w:jc w:val="both"/>
      </w:pPr>
      <w:r w:rsidRPr="002E26E7">
        <w:rPr>
          <w:lang w:bidi="es-ES"/>
        </w:rPr>
        <w:t xml:space="preserve">Pese a representar una mayor carga de trabajo para la Secretaría, se ofreció este enfoque flexible a los Estados solicitantes en beneficio de los Estados y las comunidades, con el fin de </w:t>
      </w:r>
      <w:r w:rsidR="0076566F" w:rsidRPr="002E26E7">
        <w:rPr>
          <w:lang w:bidi="es-ES"/>
        </w:rPr>
        <w:t xml:space="preserve">proveer </w:t>
      </w:r>
      <w:r w:rsidRPr="002E26E7">
        <w:rPr>
          <w:lang w:bidi="es-ES"/>
        </w:rPr>
        <w:t>la oportunidad de mejorar la calidad de los expedientes de candidatura, respetando al mismo tiempo el principio de transparencia con la publicación de las diferentes versiones de los documentos de candidatura en el sitio web de la Convención con su fecha de presentación. Además, los documentos de presentación de candidatura no podían modificarse por iniciativa de los Estados solicitantes una vez enviadas las candidaturas al Órgano de Evaluación.</w:t>
      </w:r>
    </w:p>
    <w:p w14:paraId="7DF74B49" w14:textId="0BFC58EE" w:rsidR="007B64DD" w:rsidRPr="002E26E7" w:rsidRDefault="007B64DD" w:rsidP="007B64DD">
      <w:pPr>
        <w:pStyle w:val="COMPara"/>
        <w:ind w:left="567" w:hanging="567"/>
        <w:jc w:val="both"/>
      </w:pPr>
      <w:r w:rsidRPr="002E26E7">
        <w:rPr>
          <w:lang w:bidi="es-ES"/>
        </w:rPr>
        <w:t xml:space="preserve">Si bien el </w:t>
      </w:r>
      <w:r w:rsidR="0076566F" w:rsidRPr="002E26E7">
        <w:rPr>
          <w:lang w:bidi="es-ES"/>
        </w:rPr>
        <w:t xml:space="preserve">fortalecimiento </w:t>
      </w:r>
      <w:r w:rsidRPr="002E26E7">
        <w:rPr>
          <w:lang w:bidi="es-ES"/>
        </w:rPr>
        <w:t>de las capacidades de los Estados y las comunidades y la introducción del proceso de diálogo pueden explicar en gran medida el éxito de las candidaturas en los últimos años, podría considerarse que el enfoque flexible en la fase de comprobación de la integridad técnica también contribuyó a respaldar esta tendencia positiva, con un mayor porcentaje de recomendaciones positivas del Órgano de Evaluación (entre el 98 % y el 100 % entre 2023 y 2025) y un mejor equilibrio geográfico de las candidaturas examinadas en los ciclos de 2023, 2024 y 2025 (Grupo I: 12 %; Grupo II: 13 %; Grupo III: 15 %, Grupo IV: 22 %, Grupo V(a): 14 %, Grupo V(b): 16 %</w:t>
      </w:r>
      <w:r w:rsidR="00D512F3" w:rsidRPr="002E26E7">
        <w:rPr>
          <w:lang w:bidi="es-ES"/>
        </w:rPr>
        <w:t>;</w:t>
      </w:r>
      <w:r w:rsidRPr="002E26E7">
        <w:rPr>
          <w:lang w:bidi="es-ES"/>
        </w:rPr>
        <w:t xml:space="preserve"> y expedientes que </w:t>
      </w:r>
      <w:r w:rsidR="00D512F3" w:rsidRPr="002E26E7">
        <w:rPr>
          <w:lang w:bidi="es-ES"/>
        </w:rPr>
        <w:t xml:space="preserve">involucran </w:t>
      </w:r>
      <w:r w:rsidRPr="002E26E7">
        <w:rPr>
          <w:lang w:bidi="es-ES"/>
        </w:rPr>
        <w:t xml:space="preserve">a varios Grupos: 8 %, de 190 expedientes </w:t>
      </w:r>
      <w:r w:rsidR="00D512F3" w:rsidRPr="002E26E7">
        <w:rPr>
          <w:lang w:bidi="es-ES"/>
        </w:rPr>
        <w:t xml:space="preserve">provenientes </w:t>
      </w:r>
      <w:r w:rsidRPr="002E26E7">
        <w:rPr>
          <w:lang w:bidi="es-ES"/>
        </w:rPr>
        <w:t>de 134 Estados).</w:t>
      </w:r>
    </w:p>
    <w:p w14:paraId="13102B87" w14:textId="0719F054" w:rsidR="007B64DD" w:rsidRPr="002E26E7" w:rsidRDefault="007B64DD" w:rsidP="007B64DD">
      <w:pPr>
        <w:pStyle w:val="COMPara"/>
        <w:ind w:left="567" w:hanging="567"/>
        <w:jc w:val="both"/>
      </w:pPr>
      <w:r w:rsidRPr="002E26E7">
        <w:rPr>
          <w:lang w:bidi="es-ES"/>
        </w:rPr>
        <w:t xml:space="preserve">Tras tomar nota de las cuestiones planteadas anteriormente, la vigésima reunión del Comité (Decisión </w:t>
      </w:r>
      <w:hyperlink r:id="rId10" w:history="1">
        <w:r w:rsidRPr="002E26E7">
          <w:rPr>
            <w:rStyle w:val="Hyperlink"/>
            <w:lang w:bidi="es-ES"/>
          </w:rPr>
          <w:t>20.COM 8</w:t>
        </w:r>
      </w:hyperlink>
      <w:r w:rsidRPr="002E26E7">
        <w:rPr>
          <w:lang w:bidi="es-ES"/>
        </w:rPr>
        <w:t xml:space="preserve">) valoró los efectos positivos del actual enfoque flexible para apoyar las iniciativas de los Estados, y confirmó que las disposiciones del apartado 54, en particular la relativa a la fecha límite del 30 de septiembre del </w:t>
      </w:r>
      <w:r w:rsidR="00E8357C" w:rsidRPr="002E26E7">
        <w:rPr>
          <w:lang w:bidi="es-ES"/>
        </w:rPr>
        <w:t>a</w:t>
      </w:r>
      <w:r w:rsidRPr="002E26E7">
        <w:rPr>
          <w:lang w:bidi="es-ES"/>
        </w:rPr>
        <w:t xml:space="preserve">ño 1, permiten presentar materiales de candidatura revisados como parte de la comprobación de la integridad técnica (en lugar de un enfoque "estricto" de la comprobación de la integridad técnica que impediría a los Estados solicitantes modificar la candidatura más allá de la información que la Secretaría indicara que faltaba). No obstante, el Comité pidió a los </w:t>
      </w:r>
      <w:proofErr w:type="gramStart"/>
      <w:r w:rsidRPr="002E26E7">
        <w:rPr>
          <w:lang w:bidi="es-ES"/>
        </w:rPr>
        <w:t>Estados Partes</w:t>
      </w:r>
      <w:proofErr w:type="gramEnd"/>
      <w:r w:rsidRPr="002E26E7">
        <w:rPr>
          <w:lang w:bidi="es-ES"/>
        </w:rPr>
        <w:t xml:space="preserve"> que se abstuvieran de realizar cambios sustanciales en el proceso de comprobación de la integridad técnica y, al mismo tiempo, solicitó a la Secretaría que estudiara posibles formas de </w:t>
      </w:r>
      <w:r w:rsidR="00132743" w:rsidRPr="002E26E7">
        <w:rPr>
          <w:lang w:bidi="es-ES"/>
        </w:rPr>
        <w:t xml:space="preserve">proveer </w:t>
      </w:r>
      <w:r w:rsidRPr="002E26E7">
        <w:rPr>
          <w:lang w:bidi="es-ES"/>
        </w:rPr>
        <w:t xml:space="preserve">información al Órgano de Evaluación y al Comité sobre los cambios realizados durante el proceso de comprobación de la integridad técnica. Para el ciclo de 2026, las fechas de publicación de los materiales de candidatura disponibles a través del sitio web específico reflejan los cambios </w:t>
      </w:r>
      <w:r w:rsidRPr="002E26E7">
        <w:rPr>
          <w:lang w:bidi="es-ES"/>
        </w:rPr>
        <w:lastRenderedPageBreak/>
        <w:t>realizados durante el proceso de comprobación de la integridad técnica. En el momento de redactar este documento, la Secretaría está estudiando opciones para visualizar de forma más clara dichos cambios en respuesta a la petición del Comité en el contexto del ciclo de candidaturas de 2027.</w:t>
      </w:r>
    </w:p>
    <w:p w14:paraId="6E62A532" w14:textId="092587C8" w:rsidR="007B64DD" w:rsidRPr="002E26E7" w:rsidRDefault="007B64DD" w:rsidP="007B64DD">
      <w:pPr>
        <w:pStyle w:val="COMPara"/>
        <w:numPr>
          <w:ilvl w:val="0"/>
          <w:numId w:val="0"/>
        </w:numPr>
        <w:ind w:left="567"/>
        <w:jc w:val="both"/>
        <w:rPr>
          <w:u w:val="single"/>
        </w:rPr>
      </w:pPr>
      <w:r w:rsidRPr="002E26E7">
        <w:rPr>
          <w:u w:val="single"/>
          <w:lang w:bidi="es-ES"/>
        </w:rPr>
        <w:t xml:space="preserve">Calendario de </w:t>
      </w:r>
      <w:r w:rsidR="00592F21" w:rsidRPr="002E26E7">
        <w:rPr>
          <w:u w:val="single"/>
          <w:lang w:bidi="es-ES"/>
        </w:rPr>
        <w:t xml:space="preserve">tramitación </w:t>
      </w:r>
      <w:r w:rsidRPr="002E26E7">
        <w:rPr>
          <w:u w:val="single"/>
          <w:lang w:bidi="es-ES"/>
        </w:rPr>
        <w:t>de las candidaturas</w:t>
      </w:r>
    </w:p>
    <w:p w14:paraId="5968501F" w14:textId="3B11CDB3" w:rsidR="007B64DD" w:rsidRPr="002E26E7" w:rsidRDefault="007B64DD" w:rsidP="007B64DD">
      <w:pPr>
        <w:pStyle w:val="COMPara"/>
        <w:ind w:left="567" w:hanging="567"/>
        <w:jc w:val="both"/>
      </w:pPr>
      <w:r w:rsidRPr="002E26E7">
        <w:rPr>
          <w:lang w:bidi="es-ES"/>
        </w:rPr>
        <w:t xml:space="preserve">Los de 2024 y 2025 son los primeros ciclos de candidatura en los que las conclusiones de la reflexión mundial sobre los mecanismos de </w:t>
      </w:r>
      <w:r w:rsidR="00940BFD" w:rsidRPr="002E26E7">
        <w:rPr>
          <w:lang w:bidi="es-ES"/>
        </w:rPr>
        <w:t xml:space="preserve">inscripción </w:t>
      </w:r>
      <w:r w:rsidRPr="002E26E7">
        <w:rPr>
          <w:lang w:bidi="es-ES"/>
        </w:rPr>
        <w:t xml:space="preserve">en las </w:t>
      </w:r>
      <w:r w:rsidR="007569DC" w:rsidRPr="002E26E7">
        <w:rPr>
          <w:lang w:bidi="es-ES"/>
        </w:rPr>
        <w:t>l</w:t>
      </w:r>
      <w:r w:rsidRPr="002E26E7">
        <w:rPr>
          <w:lang w:bidi="es-ES"/>
        </w:rPr>
        <w:t xml:space="preserve">istas de la Convención (2018–2022) han surtido pleno efecto. Aunque se presentará un informe más detallado en la próxima sesión del Comité en 2026 en respuesta a la Decisión </w:t>
      </w:r>
      <w:hyperlink r:id="rId11" w:history="1">
        <w:r w:rsidRPr="002E26E7">
          <w:rPr>
            <w:rStyle w:val="Hyperlink"/>
            <w:lang w:bidi="es-ES"/>
          </w:rPr>
          <w:t>19.COM 15</w:t>
        </w:r>
      </w:hyperlink>
      <w:r w:rsidRPr="002E26E7">
        <w:rPr>
          <w:lang w:bidi="es-ES"/>
        </w:rPr>
        <w:t xml:space="preserve">, ya se observa que el número de expedientes </w:t>
      </w:r>
      <w:r w:rsidR="00592F21" w:rsidRPr="002E26E7">
        <w:rPr>
          <w:lang w:bidi="es-ES"/>
        </w:rPr>
        <w:t>tramitados</w:t>
      </w:r>
      <w:r w:rsidR="00940BFD" w:rsidRPr="002E26E7">
        <w:rPr>
          <w:lang w:bidi="es-ES"/>
        </w:rPr>
        <w:t xml:space="preserve"> </w:t>
      </w:r>
      <w:r w:rsidRPr="002E26E7">
        <w:rPr>
          <w:lang w:bidi="es-ES"/>
        </w:rPr>
        <w:t xml:space="preserve">ha aumentado sustancialmente (140 expedientes en total en ambos ciclos frente a 121 expedientes en los ciclos de 2022 y 2023 juntos), teniendo en cuenta el límite máximo anual de sesenta expedientes y las diferentes categorías de expedientes que deben </w:t>
      </w:r>
      <w:r w:rsidR="00592F21" w:rsidRPr="002E26E7">
        <w:rPr>
          <w:lang w:bidi="es-ES"/>
        </w:rPr>
        <w:t>tramitarse</w:t>
      </w:r>
      <w:r w:rsidR="00DA1BD7" w:rsidRPr="002E26E7">
        <w:rPr>
          <w:lang w:bidi="es-ES"/>
        </w:rPr>
        <w:t xml:space="preserve"> </w:t>
      </w:r>
      <w:r w:rsidRPr="002E26E7">
        <w:rPr>
          <w:lang w:bidi="es-ES"/>
        </w:rPr>
        <w:t xml:space="preserve">fuera del límite máximo anual desde el ciclo de 2024 (Decisiones </w:t>
      </w:r>
      <w:hyperlink r:id="rId12" w:history="1">
        <w:r w:rsidRPr="002E26E7">
          <w:rPr>
            <w:rStyle w:val="Hyperlink"/>
            <w:lang w:bidi="es-ES"/>
          </w:rPr>
          <w:t>17.COM 15</w:t>
        </w:r>
      </w:hyperlink>
      <w:r w:rsidRPr="002E26E7">
        <w:rPr>
          <w:lang w:bidi="es-ES"/>
        </w:rPr>
        <w:t xml:space="preserve"> y </w:t>
      </w:r>
      <w:hyperlink r:id="rId13" w:history="1">
        <w:r w:rsidRPr="002E26E7">
          <w:rPr>
            <w:rStyle w:val="Hyperlink"/>
            <w:lang w:bidi="es-ES"/>
          </w:rPr>
          <w:t>19.COM 15</w:t>
        </w:r>
      </w:hyperlink>
      <w:r w:rsidRPr="002E26E7">
        <w:rPr>
          <w:lang w:bidi="es-ES"/>
        </w:rPr>
        <w:t xml:space="preserve">). Este aumento repercute en la carga de trabajo del Comité, el Órgano de Evaluación y la Secretaría, y podría ser objeto de debate en la </w:t>
      </w:r>
      <w:r w:rsidR="00D05AD9" w:rsidRPr="002E26E7">
        <w:rPr>
          <w:lang w:bidi="es-ES"/>
        </w:rPr>
        <w:t>vigesimoprimera</w:t>
      </w:r>
      <w:r w:rsidRPr="002E26E7">
        <w:rPr>
          <w:lang w:bidi="es-ES"/>
        </w:rPr>
        <w:t xml:space="preserve"> reunión del Comité.</w:t>
      </w:r>
    </w:p>
    <w:p w14:paraId="11D690E7" w14:textId="39B9B03D" w:rsidR="007B64DD" w:rsidRPr="002E26E7" w:rsidRDefault="007B64DD" w:rsidP="007B64DD">
      <w:pPr>
        <w:pStyle w:val="COMPara"/>
        <w:ind w:left="567" w:hanging="567"/>
        <w:jc w:val="both"/>
      </w:pPr>
      <w:r w:rsidRPr="002E26E7">
        <w:rPr>
          <w:lang w:bidi="es-ES"/>
        </w:rPr>
        <w:t xml:space="preserve">A raíz de la reflexión mundial sobre los mecanismos de </w:t>
      </w:r>
      <w:r w:rsidR="00D05AD9" w:rsidRPr="002E26E7">
        <w:rPr>
          <w:lang w:bidi="es-ES"/>
        </w:rPr>
        <w:t xml:space="preserve">inscripción </w:t>
      </w:r>
      <w:r w:rsidRPr="002E26E7">
        <w:rPr>
          <w:lang w:bidi="es-ES"/>
        </w:rPr>
        <w:t xml:space="preserve">en las </w:t>
      </w:r>
      <w:r w:rsidR="007569DC" w:rsidRPr="002E26E7">
        <w:rPr>
          <w:lang w:bidi="es-ES"/>
        </w:rPr>
        <w:t>listas</w:t>
      </w:r>
      <w:r w:rsidRPr="002E26E7">
        <w:rPr>
          <w:lang w:bidi="es-ES"/>
        </w:rPr>
        <w:t xml:space="preserve">, se simplificaron varios procedimientos y formularios para presentar candidaturas, con requisitos técnicos ajustados a estos procedimientos simplificados, así como a la diversidad de materiales de candidatura </w:t>
      </w:r>
      <w:proofErr w:type="gramStart"/>
      <w:r w:rsidRPr="002E26E7">
        <w:rPr>
          <w:lang w:bidi="es-ES"/>
        </w:rPr>
        <w:t>a</w:t>
      </w:r>
      <w:proofErr w:type="gramEnd"/>
      <w:r w:rsidRPr="002E26E7">
        <w:rPr>
          <w:lang w:bidi="es-ES"/>
        </w:rPr>
        <w:t xml:space="preserve"> tener en cuenta, sobre todo para </w:t>
      </w:r>
      <w:r w:rsidR="00D05AD9" w:rsidRPr="002E26E7">
        <w:rPr>
          <w:lang w:bidi="es-ES"/>
        </w:rPr>
        <w:t>el traspaso</w:t>
      </w:r>
      <w:r w:rsidRPr="002E26E7">
        <w:rPr>
          <w:lang w:bidi="es-ES"/>
        </w:rPr>
        <w:t xml:space="preserve"> de elementos de una lista a otra y las candidaturas ampliadas. En el marco de los ciclos 2024 y 2025, 106 de los 140 expedientes </w:t>
      </w:r>
      <w:r w:rsidR="00592F21" w:rsidRPr="002E26E7">
        <w:rPr>
          <w:lang w:bidi="es-ES"/>
        </w:rPr>
        <w:t>tramitados</w:t>
      </w:r>
      <w:r w:rsidR="00D05AD9" w:rsidRPr="002E26E7">
        <w:rPr>
          <w:lang w:bidi="es-ES"/>
        </w:rPr>
        <w:t xml:space="preserve"> </w:t>
      </w:r>
      <w:r w:rsidRPr="002E26E7">
        <w:rPr>
          <w:lang w:bidi="es-ES"/>
        </w:rPr>
        <w:t>en un principio se beneficiaron de una solicitud de información complementaria basada en la comprobación de la integridad técnica y de usar el enfoque flexible mencionado con anterioridad.</w:t>
      </w:r>
    </w:p>
    <w:p w14:paraId="6F81A703" w14:textId="5241ACF3" w:rsidR="007B64DD" w:rsidRPr="002E26E7" w:rsidRDefault="007B64DD" w:rsidP="007B64DD">
      <w:pPr>
        <w:pStyle w:val="COMPara"/>
        <w:ind w:left="567" w:hanging="567"/>
        <w:jc w:val="both"/>
      </w:pPr>
      <w:r w:rsidRPr="002E26E7">
        <w:rPr>
          <w:lang w:bidi="es-ES"/>
        </w:rPr>
        <w:t xml:space="preserve">Teniendo en cuenta los numerosos aspectos que deben abordarse en la comprobación de la integridad técnica, el gran volumen de candidaturas que se benefician de este proceso y su importancia para la fase de </w:t>
      </w:r>
      <w:proofErr w:type="gramStart"/>
      <w:r w:rsidRPr="002E26E7">
        <w:rPr>
          <w:lang w:bidi="es-ES"/>
        </w:rPr>
        <w:t>evaluación,</w:t>
      </w:r>
      <w:proofErr w:type="gramEnd"/>
      <w:r w:rsidRPr="002E26E7">
        <w:rPr>
          <w:lang w:bidi="es-ES"/>
        </w:rPr>
        <w:t xml:space="preserve"> se considera conveniente asignar más tiempo </w:t>
      </w:r>
      <w:r w:rsidR="00CC6123" w:rsidRPr="002E26E7">
        <w:rPr>
          <w:lang w:bidi="es-ES"/>
        </w:rPr>
        <w:t>para</w:t>
      </w:r>
      <w:r w:rsidRPr="002E26E7">
        <w:rPr>
          <w:lang w:bidi="es-ES"/>
        </w:rPr>
        <w:t xml:space="preserve"> llevar a cabo la comprobación de la integridad. </w:t>
      </w:r>
      <w:r w:rsidR="00CC6123" w:rsidRPr="002E26E7">
        <w:rPr>
          <w:lang w:bidi="es-ES"/>
        </w:rPr>
        <w:t xml:space="preserve">Con </w:t>
      </w:r>
      <w:r w:rsidRPr="002E26E7">
        <w:rPr>
          <w:lang w:bidi="es-ES"/>
        </w:rPr>
        <w:t xml:space="preserve">base </w:t>
      </w:r>
      <w:r w:rsidR="00CC6123" w:rsidRPr="002E26E7">
        <w:rPr>
          <w:lang w:bidi="es-ES"/>
        </w:rPr>
        <w:t>en</w:t>
      </w:r>
      <w:r w:rsidRPr="002E26E7">
        <w:rPr>
          <w:lang w:bidi="es-ES"/>
        </w:rPr>
        <w:t xml:space="preserve"> estos aspectos, se propone conceder más tiempo para la fase de comprobación de la integridad técnica, cuyo plazo podría ampliarse hasta el 31 de agosto del </w:t>
      </w:r>
      <w:r w:rsidR="00E8357C" w:rsidRPr="002E26E7">
        <w:rPr>
          <w:lang w:bidi="es-ES"/>
        </w:rPr>
        <w:t>a</w:t>
      </w:r>
      <w:r w:rsidRPr="002E26E7">
        <w:rPr>
          <w:lang w:bidi="es-ES"/>
        </w:rPr>
        <w:t xml:space="preserve">ño 1 (en lugar del 30 de junio). A su vez, los Estados solicitantes dispondrían de tres meses, como ocurre actualmente, para presentar la información, </w:t>
      </w:r>
      <w:r w:rsidR="00AD2B34" w:rsidRPr="002E26E7">
        <w:rPr>
          <w:lang w:bidi="es-ES"/>
        </w:rPr>
        <w:t>a más tardar</w:t>
      </w:r>
      <w:r w:rsidRPr="002E26E7">
        <w:rPr>
          <w:lang w:bidi="es-ES"/>
        </w:rPr>
        <w:t xml:space="preserve"> el 30 de noviembre del </w:t>
      </w:r>
      <w:r w:rsidR="00E8357C" w:rsidRPr="002E26E7">
        <w:rPr>
          <w:lang w:bidi="es-ES"/>
        </w:rPr>
        <w:t>a</w:t>
      </w:r>
      <w:r w:rsidRPr="002E26E7">
        <w:rPr>
          <w:lang w:bidi="es-ES"/>
        </w:rPr>
        <w:t>ño 1 (en lugar del 30 de septiembre). En la práctica, los plazos se ajustarían para dar el mismo tiempo (tres meses) para completar su candidatura en caso de que las solicitudes de información adicional se expidan antes del 31 de agosto.</w:t>
      </w:r>
    </w:p>
    <w:p w14:paraId="5BF107AA" w14:textId="33447D6E" w:rsidR="007B64DD" w:rsidRPr="002E26E7" w:rsidRDefault="007B64DD" w:rsidP="007B64DD">
      <w:pPr>
        <w:pStyle w:val="COMPara"/>
        <w:ind w:left="567" w:hanging="567"/>
        <w:jc w:val="both"/>
      </w:pPr>
      <w:r w:rsidRPr="002E26E7">
        <w:rPr>
          <w:lang w:bidi="es-ES"/>
        </w:rPr>
        <w:t xml:space="preserve">La ampliación del plazo se justifica además en relación con el nuevo procedimiento para las solicitudes de traspaso, para el que se proponen a continuación enmiendas de las Directrices Operativas. Se entiende que las solicitudes de traspaso recibidas antes de la fecha límite del 30 de junio formarán parte del ciclo de candidaturas recibidas antes de la fecha límite del 31 de marzo del mismo año. La comprobación de la integridad técnica de las solicitudes de traspaso se </w:t>
      </w:r>
      <w:r w:rsidR="00C9258E" w:rsidRPr="002E26E7">
        <w:rPr>
          <w:lang w:bidi="es-ES"/>
        </w:rPr>
        <w:t xml:space="preserve">tramitará </w:t>
      </w:r>
      <w:r w:rsidR="00CF6C60" w:rsidRPr="002E26E7">
        <w:rPr>
          <w:lang w:bidi="es-ES"/>
        </w:rPr>
        <w:t xml:space="preserve">en </w:t>
      </w:r>
      <w:r w:rsidRPr="002E26E7">
        <w:rPr>
          <w:lang w:bidi="es-ES"/>
        </w:rPr>
        <w:t>el plazo ampliado del 31 de agosto, para que los Estados solicitantes aporten la información solicitada en el plazo ampliado del 30 de noviembre.</w:t>
      </w:r>
    </w:p>
    <w:p w14:paraId="05D1C79F" w14:textId="2CBB4B60" w:rsidR="0057439C" w:rsidRPr="002E26E7" w:rsidRDefault="007B64DD" w:rsidP="007B64DD">
      <w:pPr>
        <w:pStyle w:val="COMPara"/>
        <w:ind w:left="567" w:hanging="567"/>
      </w:pPr>
      <w:r w:rsidRPr="002E26E7">
        <w:rPr>
          <w:lang w:bidi="es-ES"/>
        </w:rPr>
        <w:t>Además de las revisiones descritas con anterioridad, se propone una revisión adicional</w:t>
      </w:r>
      <w:r w:rsidR="00E8357C" w:rsidRPr="002E26E7">
        <w:rPr>
          <w:lang w:bidi="es-ES"/>
        </w:rPr>
        <w:t>,</w:t>
      </w:r>
      <w:r w:rsidRPr="002E26E7">
        <w:rPr>
          <w:lang w:bidi="es-ES"/>
        </w:rPr>
        <w:t xml:space="preserve"> que refleje que el Órgano de Evaluación lleva a cabo la evaluación individual de los expedientes desde diciembre del año 1 hasta junio del año 2</w:t>
      </w:r>
      <w:r w:rsidR="00E8357C" w:rsidRPr="002E26E7">
        <w:rPr>
          <w:lang w:bidi="es-ES"/>
        </w:rPr>
        <w:t>.</w:t>
      </w:r>
    </w:p>
    <w:p w14:paraId="77321678" w14:textId="658CC23F" w:rsidR="00D63318" w:rsidRPr="002E26E7" w:rsidRDefault="007B64DD" w:rsidP="00AC18C1">
      <w:pPr>
        <w:pStyle w:val="COMPara"/>
        <w:numPr>
          <w:ilvl w:val="0"/>
          <w:numId w:val="21"/>
        </w:numPr>
        <w:spacing w:before="240"/>
        <w:ind w:left="567" w:hanging="567"/>
        <w:jc w:val="both"/>
        <w:rPr>
          <w:b/>
          <w:bCs/>
        </w:rPr>
      </w:pPr>
      <w:r w:rsidRPr="002E26E7">
        <w:rPr>
          <w:b/>
          <w:lang w:bidi="es-ES"/>
        </w:rPr>
        <w:t>Sistema único de presentación de informes periódicos</w:t>
      </w:r>
      <w:r w:rsidR="00C5345A" w:rsidRPr="002E26E7">
        <w:rPr>
          <w:b/>
          <w:lang w:bidi="es-ES"/>
        </w:rPr>
        <w:t xml:space="preserve"> a escala mundial</w:t>
      </w:r>
    </w:p>
    <w:p w14:paraId="2D83863C" w14:textId="03F52625" w:rsidR="007B64DD" w:rsidRPr="002E26E7" w:rsidRDefault="007B64DD" w:rsidP="007B64DD">
      <w:pPr>
        <w:pStyle w:val="COMPara"/>
        <w:ind w:left="567" w:hanging="567"/>
        <w:jc w:val="both"/>
        <w:rPr>
          <w:rStyle w:val="Hyperlink"/>
          <w:color w:val="auto"/>
          <w:u w:val="none"/>
        </w:rPr>
      </w:pPr>
      <w:r w:rsidRPr="002E26E7">
        <w:rPr>
          <w:lang w:bidi="es-ES"/>
        </w:rPr>
        <w:t xml:space="preserve">El mecanismo de presentación de informes periódicos de la Convención de 2003 se reformó en 2017 para mejorarlo en calidad, utilidad y puntualidad, así como para abordar el bajo porcentaje de presentación observada hasta ese momento (Decisión </w:t>
      </w:r>
      <w:hyperlink r:id="rId14" w:history="1">
        <w:r w:rsidRPr="002E26E7">
          <w:rPr>
            <w:rStyle w:val="Hyperlink"/>
            <w:lang w:bidi="es-ES"/>
          </w:rPr>
          <w:t>12.COM 10</w:t>
        </w:r>
      </w:hyperlink>
      <w:r w:rsidRPr="002E26E7">
        <w:rPr>
          <w:lang w:bidi="es-ES"/>
        </w:rPr>
        <w:t xml:space="preserve">). El formulario de presentación de informes se ajustó al </w:t>
      </w:r>
      <w:hyperlink r:id="rId15" w:history="1">
        <w:r w:rsidRPr="002E26E7">
          <w:rPr>
            <w:rStyle w:val="Hyperlink"/>
            <w:lang w:bidi="es-ES"/>
          </w:rPr>
          <w:t>marco global de resultados</w:t>
        </w:r>
      </w:hyperlink>
      <w:r w:rsidRPr="002E26E7">
        <w:rPr>
          <w:lang w:bidi="es-ES"/>
        </w:rPr>
        <w:t xml:space="preserve"> de la Convención para garantizar que el proceso fuera coherente con los objetivos generales de la Convención y permitir un seguimiento más eficaz para alcanzar dichos objetivos </w:t>
      </w:r>
      <w:r w:rsidRPr="002E26E7">
        <w:rPr>
          <w:lang w:bidi="es-ES"/>
        </w:rPr>
        <w:lastRenderedPageBreak/>
        <w:t>(Resolución</w:t>
      </w:r>
      <w:r w:rsidR="002E26E7" w:rsidRPr="002E26E7">
        <w:rPr>
          <w:lang w:bidi="es-ES"/>
        </w:rPr>
        <w:t> </w:t>
      </w:r>
      <w:hyperlink r:id="rId16" w:history="1">
        <w:r w:rsidRPr="002E26E7">
          <w:rPr>
            <w:rStyle w:val="Hyperlink"/>
            <w:lang w:bidi="es-ES"/>
          </w:rPr>
          <w:t>7.GA 9</w:t>
        </w:r>
      </w:hyperlink>
      <w:r w:rsidRPr="002E26E7">
        <w:rPr>
          <w:lang w:bidi="es-ES"/>
        </w:rPr>
        <w:t xml:space="preserve">). En 2018 se realizaron nuevos ajustes para permitir que la presentación de informes tuviera lugar a escala regional cada seis años (Decisión </w:t>
      </w:r>
      <w:hyperlink r:id="rId17" w:history="1">
        <w:r w:rsidRPr="002E26E7">
          <w:rPr>
            <w:rStyle w:val="Hyperlink"/>
            <w:lang w:bidi="es-ES"/>
          </w:rPr>
          <w:t>13.COM 8</w:t>
        </w:r>
      </w:hyperlink>
      <w:r w:rsidRPr="002E26E7">
        <w:rPr>
          <w:lang w:bidi="es-ES"/>
        </w:rPr>
        <w:t xml:space="preserve">) y en 2019 para poner en marcha el primer ciclo regional de presentación de informes (Decisión </w:t>
      </w:r>
      <w:hyperlink r:id="rId18" w:history="1">
        <w:r w:rsidRPr="002E26E7">
          <w:rPr>
            <w:rStyle w:val="Hyperlink"/>
            <w:lang w:bidi="es-ES"/>
          </w:rPr>
          <w:t>14.COM</w:t>
        </w:r>
        <w:r w:rsidR="002E26E7" w:rsidRPr="002E26E7">
          <w:rPr>
            <w:rStyle w:val="Hyperlink"/>
            <w:lang w:bidi="es-ES"/>
          </w:rPr>
          <w:t> </w:t>
        </w:r>
        <w:r w:rsidRPr="002E26E7">
          <w:rPr>
            <w:rStyle w:val="Hyperlink"/>
            <w:lang w:bidi="es-ES"/>
          </w:rPr>
          <w:t>8</w:t>
        </w:r>
      </w:hyperlink>
      <w:r w:rsidRPr="002E26E7">
        <w:rPr>
          <w:rStyle w:val="Hyperlink"/>
          <w:color w:val="000000" w:themeColor="text1"/>
          <w:u w:val="none"/>
          <w:lang w:bidi="es-ES"/>
        </w:rPr>
        <w:t>). Entre 2020 y 2025, todas las regiones se sometieron a este ejercicio, que permitió mejorar significativamente los porcentajes de presentación en todas ellas</w:t>
      </w:r>
      <w:r w:rsidRPr="002E26E7">
        <w:rPr>
          <w:rStyle w:val="FootnoteReference"/>
          <w:color w:val="000000" w:themeColor="text1"/>
          <w:lang w:bidi="es-ES"/>
        </w:rPr>
        <w:footnoteReference w:id="1"/>
      </w:r>
      <w:r w:rsidRPr="002E26E7">
        <w:rPr>
          <w:rStyle w:val="Hyperlink"/>
          <w:color w:val="000000" w:themeColor="text1"/>
          <w:u w:val="none"/>
          <w:lang w:bidi="es-ES"/>
        </w:rPr>
        <w:t>.</w:t>
      </w:r>
    </w:p>
    <w:p w14:paraId="29C17F32" w14:textId="20831D86" w:rsidR="007B64DD" w:rsidRPr="002E26E7" w:rsidRDefault="007B64DD" w:rsidP="007B64DD">
      <w:pPr>
        <w:pStyle w:val="COMPara"/>
        <w:ind w:left="567" w:hanging="567"/>
        <w:jc w:val="both"/>
      </w:pPr>
      <w:r w:rsidRPr="002E26E7">
        <w:rPr>
          <w:lang w:bidi="es-ES"/>
        </w:rPr>
        <w:t xml:space="preserve">Al mismo tiempo, la </w:t>
      </w:r>
      <w:hyperlink r:id="rId19" w:history="1">
        <w:r w:rsidRPr="002E26E7">
          <w:rPr>
            <w:rStyle w:val="Hyperlink"/>
            <w:lang w:bidi="es-ES"/>
          </w:rPr>
          <w:t>Declaración</w:t>
        </w:r>
      </w:hyperlink>
      <w:r w:rsidRPr="002E26E7">
        <w:rPr>
          <w:lang w:bidi="es-ES"/>
        </w:rPr>
        <w:t xml:space="preserve"> MONDIACULT 2022, adoptada en la Conferencia Mundial de la UNESCO sobre </w:t>
      </w:r>
      <w:r w:rsidR="00B95031" w:rsidRPr="002E26E7">
        <w:rPr>
          <w:lang w:bidi="es-ES"/>
        </w:rPr>
        <w:t>las P</w:t>
      </w:r>
      <w:r w:rsidRPr="002E26E7">
        <w:rPr>
          <w:lang w:bidi="es-ES"/>
        </w:rPr>
        <w:t>olítica</w:t>
      </w:r>
      <w:r w:rsidR="00B95031" w:rsidRPr="002E26E7">
        <w:rPr>
          <w:lang w:bidi="es-ES"/>
        </w:rPr>
        <w:t>s</w:t>
      </w:r>
      <w:r w:rsidRPr="002E26E7">
        <w:rPr>
          <w:lang w:bidi="es-ES"/>
        </w:rPr>
        <w:t xml:space="preserve"> </w:t>
      </w:r>
      <w:r w:rsidR="00B95031" w:rsidRPr="002E26E7">
        <w:rPr>
          <w:lang w:bidi="es-ES"/>
        </w:rPr>
        <w:t>C</w:t>
      </w:r>
      <w:r w:rsidRPr="002E26E7">
        <w:rPr>
          <w:lang w:bidi="es-ES"/>
        </w:rPr>
        <w:t>ultural</w:t>
      </w:r>
      <w:r w:rsidR="00B95031" w:rsidRPr="002E26E7">
        <w:rPr>
          <w:lang w:bidi="es-ES"/>
        </w:rPr>
        <w:t>es</w:t>
      </w:r>
      <w:r w:rsidRPr="002E26E7">
        <w:rPr>
          <w:lang w:bidi="es-ES"/>
        </w:rPr>
        <w:t xml:space="preserve"> y </w:t>
      </w:r>
      <w:r w:rsidR="00B95031" w:rsidRPr="002E26E7">
        <w:rPr>
          <w:lang w:bidi="es-ES"/>
        </w:rPr>
        <w:t>el D</w:t>
      </w:r>
      <w:r w:rsidRPr="002E26E7">
        <w:rPr>
          <w:lang w:bidi="es-ES"/>
        </w:rPr>
        <w:t xml:space="preserve">esarrollo </w:t>
      </w:r>
      <w:r w:rsidR="00B95031" w:rsidRPr="002E26E7">
        <w:rPr>
          <w:lang w:bidi="es-ES"/>
        </w:rPr>
        <w:t>S</w:t>
      </w:r>
      <w:r w:rsidRPr="002E26E7">
        <w:rPr>
          <w:lang w:bidi="es-ES"/>
        </w:rPr>
        <w:t xml:space="preserve">ostenible - MONDIACULT 2022, pedía a la UNESCO que elaborara un Informe </w:t>
      </w:r>
      <w:r w:rsidR="00BF3903" w:rsidRPr="002E26E7">
        <w:rPr>
          <w:lang w:bidi="es-ES"/>
        </w:rPr>
        <w:t xml:space="preserve">mundial </w:t>
      </w:r>
      <w:r w:rsidRPr="002E26E7">
        <w:rPr>
          <w:lang w:bidi="es-ES"/>
        </w:rPr>
        <w:t xml:space="preserve">sobre </w:t>
      </w:r>
      <w:r w:rsidR="00BF3903" w:rsidRPr="002E26E7">
        <w:rPr>
          <w:lang w:bidi="es-ES"/>
        </w:rPr>
        <w:t xml:space="preserve">las </w:t>
      </w:r>
      <w:r w:rsidRPr="002E26E7">
        <w:rPr>
          <w:lang w:bidi="es-ES"/>
        </w:rPr>
        <w:t>política</w:t>
      </w:r>
      <w:r w:rsidR="00BF3903" w:rsidRPr="002E26E7">
        <w:rPr>
          <w:lang w:bidi="es-ES"/>
        </w:rPr>
        <w:t>s</w:t>
      </w:r>
      <w:r w:rsidRPr="002E26E7">
        <w:rPr>
          <w:lang w:bidi="es-ES"/>
        </w:rPr>
        <w:t xml:space="preserve"> cultural</w:t>
      </w:r>
      <w:r w:rsidR="00BF3903" w:rsidRPr="002E26E7">
        <w:rPr>
          <w:lang w:bidi="es-ES"/>
        </w:rPr>
        <w:t>es</w:t>
      </w:r>
      <w:r w:rsidRPr="002E26E7">
        <w:rPr>
          <w:lang w:bidi="es-ES"/>
        </w:rPr>
        <w:t xml:space="preserve"> cada cuatro años, basándose en la información, los datos y los indicadores proporcionados por sus Estados miembros. La </w:t>
      </w:r>
      <w:hyperlink r:id="rId20" w:history="1">
        <w:r w:rsidRPr="002E26E7">
          <w:rPr>
            <w:rStyle w:val="Hyperlink"/>
            <w:lang w:bidi="es-ES"/>
          </w:rPr>
          <w:t>primera edición</w:t>
        </w:r>
      </w:hyperlink>
      <w:r w:rsidRPr="002E26E7">
        <w:rPr>
          <w:lang w:bidi="es-ES"/>
        </w:rPr>
        <w:t xml:space="preserve"> de este Informe </w:t>
      </w:r>
      <w:r w:rsidR="00BF3903" w:rsidRPr="002E26E7">
        <w:rPr>
          <w:lang w:bidi="es-ES"/>
        </w:rPr>
        <w:t xml:space="preserve">mundial </w:t>
      </w:r>
      <w:r w:rsidRPr="002E26E7">
        <w:rPr>
          <w:lang w:bidi="es-ES"/>
        </w:rPr>
        <w:t xml:space="preserve">se publicó en 2025, y la segunda está prevista para 2029, con ediciones posteriores cada cuatro años. Aunque los mecanismos de presentación de informes periódicos de cada Convención y Recomendación sobre cultura siguen siendo la principal fuente de información del Informe </w:t>
      </w:r>
      <w:r w:rsidR="00BF3903" w:rsidRPr="002E26E7">
        <w:rPr>
          <w:lang w:bidi="es-ES"/>
        </w:rPr>
        <w:t>mundial</w:t>
      </w:r>
      <w:r w:rsidRPr="002E26E7">
        <w:rPr>
          <w:lang w:bidi="es-ES"/>
        </w:rPr>
        <w:t xml:space="preserve">, </w:t>
      </w:r>
      <w:r w:rsidR="00BF3903" w:rsidRPr="002E26E7">
        <w:rPr>
          <w:lang w:bidi="es-ES"/>
        </w:rPr>
        <w:t xml:space="preserve">la preparación </w:t>
      </w:r>
      <w:proofErr w:type="gramStart"/>
      <w:r w:rsidR="00BF3903" w:rsidRPr="002E26E7">
        <w:rPr>
          <w:lang w:bidi="es-ES"/>
        </w:rPr>
        <w:t>del mismo</w:t>
      </w:r>
      <w:proofErr w:type="gramEnd"/>
      <w:r w:rsidR="00BF3903" w:rsidRPr="002E26E7">
        <w:rPr>
          <w:lang w:bidi="es-ES"/>
        </w:rPr>
        <w:t xml:space="preserve"> requiere ajustes</w:t>
      </w:r>
      <w:r w:rsidRPr="002E26E7">
        <w:rPr>
          <w:lang w:bidi="es-ES"/>
        </w:rPr>
        <w:t xml:space="preserve"> en la forma de presentar, analizar y visualizar los informes periódicos para ofrecer una visión global de la contribución de la cultura al desarrollo sostenible en todas las regiones y ámbitos culturales.</w:t>
      </w:r>
    </w:p>
    <w:p w14:paraId="7F395B01" w14:textId="4DC65202" w:rsidR="007B64DD" w:rsidRPr="002E26E7" w:rsidRDefault="007B64DD" w:rsidP="007B64DD">
      <w:pPr>
        <w:pStyle w:val="COMPara"/>
        <w:ind w:left="567" w:hanging="567"/>
        <w:jc w:val="both"/>
      </w:pPr>
      <w:r w:rsidRPr="002E26E7">
        <w:rPr>
          <w:lang w:bidi="es-ES"/>
        </w:rPr>
        <w:t>A este propósito, la decimonovena reunión del Comité, celebrada en 2024, adoptó una hoja de ruta hacia un sistema único de presentación de informes</w:t>
      </w:r>
      <w:r w:rsidR="00BF3903" w:rsidRPr="002E26E7">
        <w:rPr>
          <w:lang w:bidi="es-ES"/>
        </w:rPr>
        <w:t xml:space="preserve"> a escala mundial</w:t>
      </w:r>
      <w:r w:rsidRPr="002E26E7">
        <w:rPr>
          <w:lang w:bidi="es-ES"/>
        </w:rPr>
        <w:t xml:space="preserve"> (Decisión </w:t>
      </w:r>
      <w:hyperlink r:id="rId21" w:history="1">
        <w:r w:rsidRPr="002E26E7">
          <w:rPr>
            <w:rStyle w:val="Hyperlink"/>
            <w:lang w:bidi="es-ES"/>
          </w:rPr>
          <w:t>19.COM 6.c</w:t>
        </w:r>
      </w:hyperlink>
      <w:r w:rsidRPr="002E26E7">
        <w:rPr>
          <w:lang w:bidi="es-ES"/>
        </w:rPr>
        <w:t xml:space="preserve">). En lo que respecta a la Convención de 2003, </w:t>
      </w:r>
      <w:r w:rsidR="00BF3903" w:rsidRPr="002E26E7">
        <w:rPr>
          <w:lang w:bidi="es-ES"/>
        </w:rPr>
        <w:t>esta transición implica lo siguiente</w:t>
      </w:r>
      <w:r w:rsidRPr="002E26E7">
        <w:rPr>
          <w:lang w:bidi="es-ES"/>
        </w:rPr>
        <w:t>:</w:t>
      </w:r>
    </w:p>
    <w:p w14:paraId="56653E42" w14:textId="7BABC1C9" w:rsidR="007B64DD" w:rsidRPr="002E26E7" w:rsidRDefault="007B64DD" w:rsidP="007B64DD">
      <w:pPr>
        <w:pStyle w:val="COMPara"/>
        <w:numPr>
          <w:ilvl w:val="0"/>
          <w:numId w:val="24"/>
        </w:numPr>
        <w:ind w:left="1134" w:hanging="567"/>
        <w:jc w:val="both"/>
      </w:pPr>
      <w:r w:rsidRPr="002E26E7">
        <w:rPr>
          <w:u w:val="single"/>
          <w:lang w:bidi="es-ES"/>
        </w:rPr>
        <w:t>Calendarios de presentación de informes:</w:t>
      </w:r>
      <w:r w:rsidRPr="002E26E7">
        <w:rPr>
          <w:lang w:bidi="es-ES"/>
        </w:rPr>
        <w:t xml:space="preserve"> los calendarios de los tres mecanismos de presentación de informes periódicos de la Convención,</w:t>
      </w:r>
      <w:r w:rsidRPr="002E26E7">
        <w:rPr>
          <w:vertAlign w:val="superscript"/>
          <w:lang w:bidi="es-ES"/>
        </w:rPr>
        <w:t xml:space="preserve"> </w:t>
      </w:r>
      <w:r w:rsidRPr="002E26E7">
        <w:rPr>
          <w:lang w:bidi="es-ES"/>
        </w:rPr>
        <w:t>que actualmente se presentan con calendarios diferentes, se unificarán en una única fecha de presentación que tendrá lugar cada cuatro años. Es</w:t>
      </w:r>
      <w:r w:rsidR="00BF3903" w:rsidRPr="002E26E7">
        <w:rPr>
          <w:lang w:bidi="es-ES"/>
        </w:rPr>
        <w:t>t</w:t>
      </w:r>
      <w:r w:rsidRPr="002E26E7">
        <w:rPr>
          <w:lang w:bidi="es-ES"/>
        </w:rPr>
        <w:t xml:space="preserve">o significa que todos los </w:t>
      </w:r>
      <w:proofErr w:type="gramStart"/>
      <w:r w:rsidRPr="002E26E7">
        <w:rPr>
          <w:lang w:bidi="es-ES"/>
        </w:rPr>
        <w:t>Estados Partes</w:t>
      </w:r>
      <w:proofErr w:type="gramEnd"/>
      <w:r w:rsidRPr="002E26E7">
        <w:rPr>
          <w:lang w:bidi="es-ES"/>
        </w:rPr>
        <w:t xml:space="preserve"> deberán informar simultáneamente sobre: (a) la aplicación de la Convención y la situación actual de los elementos inscritos en la Lista Representativa; y (b) la situación actual de los elementos inscritos en la Lista del Patrimonio Cultural Inmaterial que requiere medidas urgentes de salvaguardia (en adelante </w:t>
      </w:r>
      <w:r w:rsidR="00BF3903" w:rsidRPr="002E26E7">
        <w:rPr>
          <w:lang w:bidi="es-ES"/>
        </w:rPr>
        <w:t>“</w:t>
      </w:r>
      <w:r w:rsidRPr="002E26E7">
        <w:rPr>
          <w:lang w:bidi="es-ES"/>
        </w:rPr>
        <w:t>la Lista de Salvaguardia Urgente</w:t>
      </w:r>
      <w:r w:rsidR="00BF3903" w:rsidRPr="002E26E7">
        <w:rPr>
          <w:lang w:bidi="es-ES"/>
        </w:rPr>
        <w:t>”</w:t>
      </w:r>
      <w:r w:rsidRPr="002E26E7">
        <w:rPr>
          <w:lang w:bidi="es-ES"/>
        </w:rPr>
        <w:t xml:space="preserve">). Además, (c) los Estados </w:t>
      </w:r>
      <w:r w:rsidR="009E3B50" w:rsidRPr="002E26E7">
        <w:rPr>
          <w:lang w:bidi="es-ES"/>
        </w:rPr>
        <w:t>no partes en</w:t>
      </w:r>
      <w:r w:rsidRPr="002E26E7">
        <w:rPr>
          <w:lang w:bidi="es-ES"/>
        </w:rPr>
        <w:t xml:space="preserve"> la Convención</w:t>
      </w:r>
      <w:r w:rsidRPr="002E26E7">
        <w:rPr>
          <w:rStyle w:val="FootnoteReference"/>
          <w:lang w:bidi="es-ES"/>
        </w:rPr>
        <w:footnoteReference w:id="2"/>
      </w:r>
      <w:r w:rsidRPr="002E26E7">
        <w:rPr>
          <w:lang w:bidi="es-ES"/>
        </w:rPr>
        <w:t xml:space="preserve"> informarán sobre los elementos inscritos en la Lista Representativa.</w:t>
      </w:r>
    </w:p>
    <w:p w14:paraId="05123E6D" w14:textId="43C5CA14" w:rsidR="007B64DD" w:rsidRPr="002E26E7" w:rsidRDefault="007B64DD" w:rsidP="007B64DD">
      <w:pPr>
        <w:pStyle w:val="COMPara"/>
        <w:numPr>
          <w:ilvl w:val="0"/>
          <w:numId w:val="24"/>
        </w:numPr>
        <w:ind w:left="1134" w:hanging="567"/>
        <w:jc w:val="both"/>
      </w:pPr>
      <w:r w:rsidRPr="002E26E7">
        <w:rPr>
          <w:u w:val="single"/>
          <w:lang w:bidi="es-ES"/>
        </w:rPr>
        <w:t>Formularios de presentación de informes:</w:t>
      </w:r>
      <w:r w:rsidRPr="002E26E7">
        <w:rPr>
          <w:lang w:bidi="es-ES"/>
        </w:rPr>
        <w:t xml:space="preserve"> los formularios de presentación de informes (Formulario ICH-10 y Formulario ICH-11) se simplificarán para aliviar la carga de los Estados miembros. La simplificación debe llevarse a cabo en un cuidadoso equilibrio entre la reducción estructural y la preservación de la integridad analítica. El objetivo es reducir significativamente el número de preguntas, procurando lograr una disminución notable mediante la supresión, fusión, reformulación y reagrupación de puntos, y manteniendo al mismo tiempo una coherencia clara con el </w:t>
      </w:r>
      <w:r w:rsidR="000303A1" w:rsidRPr="002E26E7">
        <w:rPr>
          <w:lang w:bidi="es-ES"/>
        </w:rPr>
        <w:t>m</w:t>
      </w:r>
      <w:r w:rsidRPr="002E26E7">
        <w:rPr>
          <w:lang w:bidi="es-ES"/>
        </w:rPr>
        <w:t xml:space="preserve">arco </w:t>
      </w:r>
      <w:r w:rsidR="000303A1" w:rsidRPr="002E26E7">
        <w:rPr>
          <w:lang w:bidi="es-ES"/>
        </w:rPr>
        <w:t xml:space="preserve">global </w:t>
      </w:r>
      <w:r w:rsidRPr="002E26E7">
        <w:rPr>
          <w:lang w:bidi="es-ES"/>
        </w:rPr>
        <w:t>de resultados.</w:t>
      </w:r>
    </w:p>
    <w:p w14:paraId="27F183E9" w14:textId="1967FC80" w:rsidR="007B64DD" w:rsidRPr="002E26E7" w:rsidRDefault="007B64DD" w:rsidP="007B64DD">
      <w:pPr>
        <w:pStyle w:val="COMPara"/>
        <w:numPr>
          <w:ilvl w:val="0"/>
          <w:numId w:val="24"/>
        </w:numPr>
        <w:ind w:left="1134" w:hanging="567"/>
        <w:jc w:val="both"/>
      </w:pPr>
      <w:r w:rsidRPr="002E26E7">
        <w:rPr>
          <w:u w:val="single"/>
          <w:lang w:bidi="es-ES"/>
        </w:rPr>
        <w:t>Enfoque de fortalecimiento de las capacidades:</w:t>
      </w:r>
      <w:r w:rsidRPr="002E26E7">
        <w:rPr>
          <w:lang w:bidi="es-ES"/>
        </w:rPr>
        <w:t xml:space="preserve"> </w:t>
      </w:r>
      <w:r w:rsidR="00AA2727" w:rsidRPr="002E26E7">
        <w:rPr>
          <w:lang w:bidi="es-ES"/>
        </w:rPr>
        <w:t>u</w:t>
      </w:r>
      <w:r w:rsidRPr="002E26E7">
        <w:rPr>
          <w:lang w:bidi="es-ES"/>
        </w:rPr>
        <w:t>n enfoque de fortalecimiento de las capacidades requiere una planificación cuidadosa, teniendo en cuenta los recursos financieros y humanos necesarios en vista del nuevo calendario de presentación de informes, sin perder el enfoque regional y el énfasis en el aprendizaje entre pares. En este marco, las actividades de fortalecimiento de las capacidades podrían beneficiarse de una mayor cooperación y colaboración con los centros de categoría 2, que han desempeñado un papel fundamental en la organización y acogida de actividades de formación durante el primer ciclo regional de presentación de informes y se han mostrado dispuestos a implicarse más en el marco del sistema único de presentación de informes</w:t>
      </w:r>
      <w:r w:rsidR="00AA2727" w:rsidRPr="002E26E7">
        <w:rPr>
          <w:lang w:bidi="es-ES"/>
        </w:rPr>
        <w:t>- a escala mundial</w:t>
      </w:r>
      <w:r w:rsidRPr="002E26E7">
        <w:rPr>
          <w:lang w:bidi="es-ES"/>
        </w:rPr>
        <w:t>.</w:t>
      </w:r>
    </w:p>
    <w:p w14:paraId="775E50D7" w14:textId="6DFD548F" w:rsidR="007B64DD" w:rsidRPr="002E26E7" w:rsidRDefault="007B64DD" w:rsidP="007B64DD">
      <w:pPr>
        <w:pStyle w:val="COMPara"/>
        <w:ind w:left="567" w:hanging="567"/>
        <w:jc w:val="both"/>
      </w:pPr>
      <w:r w:rsidRPr="002E26E7">
        <w:rPr>
          <w:rFonts w:eastAsia="MS Mincho"/>
          <w:lang w:bidi="es-ES"/>
        </w:rPr>
        <w:lastRenderedPageBreak/>
        <w:t>Al pasar al nuevo sistema, las solicitudes de traspas</w:t>
      </w:r>
      <w:r w:rsidR="00BA32E9" w:rsidRPr="002E26E7">
        <w:rPr>
          <w:rFonts w:eastAsia="MS Mincho"/>
          <w:lang w:bidi="es-ES"/>
        </w:rPr>
        <w:t>o de</w:t>
      </w:r>
      <w:r w:rsidRPr="002E26E7">
        <w:rPr>
          <w:rFonts w:eastAsia="MS Mincho"/>
          <w:lang w:bidi="es-ES"/>
        </w:rPr>
        <w:t xml:space="preserve"> elementos de la Lista de Salvaguardia Urgente a la Lista Representativa también podrán presentarse en la fecha de presentación única del 30 de junio de 2027, y </w:t>
      </w:r>
      <w:r w:rsidRPr="002E26E7">
        <w:rPr>
          <w:lang w:bidi="es-ES"/>
        </w:rPr>
        <w:t xml:space="preserve">después </w:t>
      </w:r>
      <w:r w:rsidR="001D3522" w:rsidRPr="002E26E7">
        <w:rPr>
          <w:rFonts w:eastAsia="MS Mincho"/>
          <w:lang w:bidi="es-ES"/>
        </w:rPr>
        <w:t>cada</w:t>
      </w:r>
      <w:r w:rsidRPr="002E26E7">
        <w:rPr>
          <w:rFonts w:eastAsia="MS Mincho"/>
          <w:lang w:bidi="es-ES"/>
        </w:rPr>
        <w:t xml:space="preserve"> cuatro años. Cabe señalar que no está previsto que el proceso de traspaso de un elemento de la Lista Representativa a la Lista de Salvaguardia Urgente se vea afectado por el cambio al nuevo sistema de presentación de informes.</w:t>
      </w:r>
    </w:p>
    <w:p w14:paraId="78504814" w14:textId="45150E5F" w:rsidR="007B64DD" w:rsidRPr="002E26E7" w:rsidRDefault="007B64DD" w:rsidP="007B64DD">
      <w:pPr>
        <w:pStyle w:val="COMPara"/>
        <w:ind w:left="567" w:hanging="567"/>
        <w:jc w:val="both"/>
      </w:pPr>
      <w:r w:rsidRPr="002E26E7">
        <w:rPr>
          <w:lang w:bidi="es-ES"/>
        </w:rPr>
        <w:t xml:space="preserve">El Comité seguirá examinando los informes periódicos sobre la aplicación de la Convención presentados por los </w:t>
      </w:r>
      <w:proofErr w:type="gramStart"/>
      <w:r w:rsidRPr="002E26E7">
        <w:rPr>
          <w:lang w:bidi="es-ES"/>
        </w:rPr>
        <w:t>Estados Partes</w:t>
      </w:r>
      <w:proofErr w:type="gramEnd"/>
      <w:r w:rsidRPr="002E26E7">
        <w:rPr>
          <w:lang w:bidi="es-ES"/>
        </w:rPr>
        <w:t xml:space="preserve"> (de conformidad con el artículo 29 de la Convención) y sobre la situación de los elementos inscritos en la Lista de Salvaguardia Urgente. Del mismo modo, el Comité seguirá presentando </w:t>
      </w:r>
      <w:r w:rsidR="001D3522" w:rsidRPr="002E26E7">
        <w:rPr>
          <w:lang w:bidi="es-ES"/>
        </w:rPr>
        <w:t xml:space="preserve">los </w:t>
      </w:r>
      <w:r w:rsidRPr="002E26E7">
        <w:rPr>
          <w:lang w:bidi="es-ES"/>
        </w:rPr>
        <w:t>informes periódicos a la Asamblea General y también los pondrá en conocimiento de la Conferencia General de la UNESCO (de conformidad con el artículo 30 de la Convención).</w:t>
      </w:r>
    </w:p>
    <w:p w14:paraId="3AEA30C2" w14:textId="1D7E05D6" w:rsidR="007B64DD" w:rsidRPr="002E26E7" w:rsidRDefault="007B64DD" w:rsidP="007B64DD">
      <w:pPr>
        <w:pStyle w:val="COMPara"/>
        <w:ind w:left="567" w:hanging="567"/>
        <w:jc w:val="both"/>
      </w:pPr>
      <w:r w:rsidRPr="002E26E7">
        <w:rPr>
          <w:lang w:bidi="es-ES"/>
        </w:rPr>
        <w:t xml:space="preserve">La vigésima reunión del Comité respaldó esta propuesta y recomendó a la Asamblea General que revisara las Directrices Operativas para apoyar esta iniciativa (Decisión </w:t>
      </w:r>
      <w:hyperlink r:id="rId22" w:history="1">
        <w:r w:rsidRPr="002E26E7">
          <w:rPr>
            <w:rStyle w:val="Hyperlink"/>
            <w:lang w:bidi="es-ES"/>
          </w:rPr>
          <w:t>20.COM 6.c</w:t>
        </w:r>
      </w:hyperlink>
      <w:r w:rsidRPr="002E26E7">
        <w:rPr>
          <w:lang w:bidi="es-ES"/>
        </w:rPr>
        <w:t xml:space="preserve">). Una vez que se aprueben las enmiendas propuestas, se entenderá que la presentación de informes periódicos </w:t>
      </w:r>
      <w:r w:rsidR="001D3522" w:rsidRPr="002E26E7">
        <w:rPr>
          <w:lang w:bidi="es-ES"/>
        </w:rPr>
        <w:t xml:space="preserve">bajo </w:t>
      </w:r>
      <w:r w:rsidRPr="002E26E7">
        <w:rPr>
          <w:lang w:bidi="es-ES"/>
        </w:rPr>
        <w:t xml:space="preserve">los tres mecanismos de presentación de informes quedará suspendida </w:t>
      </w:r>
      <w:r w:rsidR="001D3522" w:rsidRPr="002E26E7">
        <w:rPr>
          <w:lang w:bidi="es-ES"/>
        </w:rPr>
        <w:t xml:space="preserve">para </w:t>
      </w:r>
      <w:r w:rsidRPr="002E26E7">
        <w:rPr>
          <w:lang w:bidi="es-ES"/>
        </w:rPr>
        <w:t>la fecha límite del 15 de diciembre de 2026, incluidos los informes atrasados.</w:t>
      </w:r>
    </w:p>
    <w:p w14:paraId="455D684E" w14:textId="1D0FBC98" w:rsidR="007B64DD" w:rsidRPr="002E26E7" w:rsidRDefault="007B64DD" w:rsidP="007B64DD">
      <w:pPr>
        <w:pStyle w:val="COMPara"/>
        <w:ind w:left="567" w:hanging="567"/>
        <w:jc w:val="both"/>
      </w:pPr>
      <w:r w:rsidRPr="002E26E7">
        <w:rPr>
          <w:lang w:bidi="es-ES"/>
        </w:rPr>
        <w:t>Dentro del año de reflexión previsto al final del primer ciclo regional de presentación de informes, las partes interesadas de la Convención debatieron ampliamente distintos aspectos de</w:t>
      </w:r>
      <w:r w:rsidR="001D3522" w:rsidRPr="002E26E7">
        <w:rPr>
          <w:lang w:bidi="es-ES"/>
        </w:rPr>
        <w:t xml:space="preserve"> </w:t>
      </w:r>
      <w:r w:rsidRPr="002E26E7">
        <w:rPr>
          <w:lang w:bidi="es-ES"/>
        </w:rPr>
        <w:t>l</w:t>
      </w:r>
      <w:r w:rsidR="001D3522" w:rsidRPr="002E26E7">
        <w:rPr>
          <w:lang w:bidi="es-ES"/>
        </w:rPr>
        <w:t>a</w:t>
      </w:r>
      <w:r w:rsidRPr="002E26E7">
        <w:rPr>
          <w:lang w:bidi="es-ES"/>
        </w:rPr>
        <w:t xml:space="preserve"> </w:t>
      </w:r>
      <w:r w:rsidR="001D3522" w:rsidRPr="002E26E7">
        <w:rPr>
          <w:lang w:bidi="es-ES"/>
        </w:rPr>
        <w:t xml:space="preserve">transición </w:t>
      </w:r>
      <w:r w:rsidRPr="002E26E7">
        <w:rPr>
          <w:lang w:bidi="es-ES"/>
        </w:rPr>
        <w:t xml:space="preserve">al </w:t>
      </w:r>
      <w:r w:rsidR="00C5345A" w:rsidRPr="002E26E7">
        <w:rPr>
          <w:rFonts w:eastAsia="Arial"/>
          <w:lang w:bidi="es-ES"/>
        </w:rPr>
        <w:t>sistema único de presentación de informes periódicos a escala mundial</w:t>
      </w:r>
      <w:r w:rsidRPr="002E26E7">
        <w:rPr>
          <w:lang w:bidi="es-ES"/>
        </w:rPr>
        <w:t>. La reflexión alud</w:t>
      </w:r>
      <w:r w:rsidR="001D3522" w:rsidRPr="002E26E7">
        <w:rPr>
          <w:lang w:bidi="es-ES"/>
        </w:rPr>
        <w:t>ió</w:t>
      </w:r>
      <w:r w:rsidRPr="002E26E7">
        <w:rPr>
          <w:lang w:bidi="es-ES"/>
        </w:rPr>
        <w:t xml:space="preserve"> </w:t>
      </w:r>
      <w:r w:rsidR="001D3522" w:rsidRPr="002E26E7">
        <w:rPr>
          <w:lang w:bidi="es-ES"/>
        </w:rPr>
        <w:t>en particular</w:t>
      </w:r>
      <w:r w:rsidRPr="002E26E7">
        <w:rPr>
          <w:lang w:bidi="es-ES"/>
        </w:rPr>
        <w:t xml:space="preserve"> a los plazos, la simplificación de los formularios de presentación de informes y el enfoque de fortalecimiento de las capacidades. El proceso incluyó una serie de cinco consultas regionales que tuvieron lugar en abril y mayo de 2025, así como la </w:t>
      </w:r>
      <w:hyperlink r:id="rId23" w:history="1">
        <w:r w:rsidR="00513B08" w:rsidRPr="002E26E7">
          <w:rPr>
            <w:rStyle w:val="Hyperlink"/>
            <w:lang w:bidi="es-ES"/>
          </w:rPr>
          <w:t>reunión</w:t>
        </w:r>
        <w:r w:rsidRPr="002E26E7">
          <w:rPr>
            <w:rStyle w:val="Hyperlink"/>
            <w:lang w:bidi="es-ES"/>
          </w:rPr>
          <w:t xml:space="preserve"> mundial de reflexión</w:t>
        </w:r>
      </w:hyperlink>
      <w:r w:rsidRPr="002E26E7">
        <w:rPr>
          <w:lang w:bidi="es-ES"/>
        </w:rPr>
        <w:t xml:space="preserve"> sobre los mecanismos de presentación de informes periódicos de la Convención de 2003, organizada en línea del 28 al 30 de abril de 2026.</w:t>
      </w:r>
    </w:p>
    <w:p w14:paraId="2B774C68" w14:textId="77777777" w:rsidR="007B64DD" w:rsidRPr="002E26E7" w:rsidRDefault="007B64DD" w:rsidP="007B64DD">
      <w:pPr>
        <w:pStyle w:val="COMPara"/>
        <w:numPr>
          <w:ilvl w:val="0"/>
          <w:numId w:val="0"/>
        </w:numPr>
        <w:ind w:left="567"/>
        <w:jc w:val="center"/>
      </w:pPr>
      <w:r w:rsidRPr="002E26E7">
        <w:rPr>
          <w:lang w:bidi="es-ES"/>
        </w:rPr>
        <w:t>***</w:t>
      </w:r>
    </w:p>
    <w:p w14:paraId="1ABB03FB" w14:textId="12969EFE" w:rsidR="007B64DD" w:rsidRPr="002E26E7" w:rsidRDefault="007B64DD" w:rsidP="007B64DD">
      <w:pPr>
        <w:pStyle w:val="COMPara"/>
        <w:ind w:left="567" w:hanging="567"/>
        <w:jc w:val="both"/>
      </w:pPr>
      <w:r w:rsidRPr="002E26E7">
        <w:rPr>
          <w:lang w:bidi="es-ES"/>
        </w:rPr>
        <w:t>Las mencionadas revisiones de las Directrices Operativas se presentan en el anexo a la atención de la presente reunión de la Asamblea General.</w:t>
      </w:r>
    </w:p>
    <w:p w14:paraId="139471A1" w14:textId="61DB2FF4" w:rsidR="007B64DD" w:rsidRPr="002E26E7" w:rsidRDefault="007B64DD" w:rsidP="002E26E7">
      <w:pPr>
        <w:pStyle w:val="GAPara"/>
        <w:numPr>
          <w:ilvl w:val="0"/>
          <w:numId w:val="23"/>
        </w:numPr>
        <w:ind w:left="1134" w:hanging="567"/>
        <w:jc w:val="both"/>
        <w:rPr>
          <w:lang w:val="es-ES"/>
        </w:rPr>
      </w:pPr>
      <w:r w:rsidRPr="002E26E7">
        <w:rPr>
          <w:lang w:val="es-ES" w:bidi="es-ES"/>
        </w:rPr>
        <w:t xml:space="preserve">Los textos resaltados en verde corresponden a las revisiones recomendadas por la vigésima reunión del Comité </w:t>
      </w:r>
      <w:r w:rsidRPr="002E26E7">
        <w:rPr>
          <w:rFonts w:eastAsia="SimSun"/>
          <w:color w:val="000000" w:themeColor="text1"/>
          <w:lang w:val="es-ES" w:bidi="es-ES"/>
        </w:rPr>
        <w:t xml:space="preserve">(Decisión </w:t>
      </w:r>
      <w:hyperlink r:id="rId24" w:history="1">
        <w:r w:rsidRPr="002E26E7">
          <w:rPr>
            <w:rStyle w:val="Hyperlink"/>
            <w:rFonts w:eastAsia="SimSun"/>
            <w:lang w:val="es-ES" w:bidi="es-ES"/>
          </w:rPr>
          <w:t>20.COM 8</w:t>
        </w:r>
      </w:hyperlink>
      <w:r w:rsidRPr="002E26E7">
        <w:rPr>
          <w:rFonts w:eastAsia="SimSun"/>
          <w:color w:val="000000" w:themeColor="text1"/>
          <w:lang w:val="es-ES" w:bidi="es-ES"/>
        </w:rPr>
        <w:t xml:space="preserve">) en relación con </w:t>
      </w:r>
      <w:r w:rsidR="00C9258E" w:rsidRPr="002E26E7">
        <w:rPr>
          <w:rFonts w:eastAsia="SimSun"/>
          <w:color w:val="000000" w:themeColor="text1"/>
          <w:lang w:val="es-ES" w:bidi="es-ES"/>
        </w:rPr>
        <w:t xml:space="preserve">la tramitación </w:t>
      </w:r>
      <w:r w:rsidRPr="002E26E7">
        <w:rPr>
          <w:rFonts w:eastAsia="SimSun"/>
          <w:color w:val="000000" w:themeColor="text1"/>
          <w:lang w:val="es-ES" w:bidi="es-ES"/>
        </w:rPr>
        <w:t xml:space="preserve">de los expedientes a los mecanismos de </w:t>
      </w:r>
      <w:r w:rsidR="00FC04E9" w:rsidRPr="002E26E7">
        <w:rPr>
          <w:rFonts w:eastAsia="SimSun"/>
          <w:color w:val="000000" w:themeColor="text1"/>
          <w:lang w:val="es-ES" w:bidi="es-ES"/>
        </w:rPr>
        <w:t>inscripción en las</w:t>
      </w:r>
      <w:r w:rsidRPr="002E26E7">
        <w:rPr>
          <w:rFonts w:eastAsia="SimSun"/>
          <w:color w:val="000000" w:themeColor="text1"/>
          <w:lang w:val="es-ES" w:bidi="es-ES"/>
        </w:rPr>
        <w:t xml:space="preserve"> listas de la Convención</w:t>
      </w:r>
      <w:r w:rsidRPr="002E26E7">
        <w:rPr>
          <w:lang w:val="es-ES" w:bidi="es-ES"/>
        </w:rPr>
        <w:t>.</w:t>
      </w:r>
    </w:p>
    <w:p w14:paraId="6E384793" w14:textId="27D73660" w:rsidR="007B64DD" w:rsidRPr="002E26E7" w:rsidRDefault="007B64DD" w:rsidP="002E26E7">
      <w:pPr>
        <w:pStyle w:val="GAPara"/>
        <w:numPr>
          <w:ilvl w:val="0"/>
          <w:numId w:val="23"/>
        </w:numPr>
        <w:ind w:left="1134" w:hanging="567"/>
        <w:jc w:val="both"/>
        <w:rPr>
          <w:lang w:val="es-ES"/>
        </w:rPr>
      </w:pPr>
      <w:r w:rsidRPr="002E26E7">
        <w:rPr>
          <w:lang w:val="es-ES" w:bidi="es-ES"/>
        </w:rPr>
        <w:t>Los textos resaltados en azul corresponden a las revisiones recomendadas por el Comité en su vigésima reunión</w:t>
      </w:r>
      <w:r w:rsidR="00FC04E9" w:rsidRPr="002E26E7">
        <w:rPr>
          <w:lang w:val="es-ES" w:bidi="es-ES"/>
        </w:rPr>
        <w:t xml:space="preserve"> </w:t>
      </w:r>
      <w:r w:rsidRPr="002E26E7">
        <w:rPr>
          <w:rFonts w:eastAsia="SimSun"/>
          <w:color w:val="000000" w:themeColor="text1"/>
          <w:lang w:val="es-ES" w:bidi="es-ES"/>
        </w:rPr>
        <w:t xml:space="preserve">(Decisión </w:t>
      </w:r>
      <w:hyperlink r:id="rId25" w:history="1">
        <w:r w:rsidRPr="002E26E7">
          <w:rPr>
            <w:rStyle w:val="Hyperlink"/>
            <w:rFonts w:eastAsia="SimSun"/>
            <w:lang w:val="es-ES" w:bidi="es-ES"/>
          </w:rPr>
          <w:t>20.COM 6.c</w:t>
        </w:r>
      </w:hyperlink>
      <w:r w:rsidRPr="002E26E7">
        <w:rPr>
          <w:rFonts w:eastAsia="SimSun"/>
          <w:color w:val="000000" w:themeColor="text1"/>
          <w:lang w:val="es-ES" w:bidi="es-ES"/>
        </w:rPr>
        <w:t xml:space="preserve">) para apoyar </w:t>
      </w:r>
      <w:r w:rsidR="00FC04E9" w:rsidRPr="002E26E7">
        <w:rPr>
          <w:rFonts w:eastAsia="SimSun"/>
          <w:color w:val="000000" w:themeColor="text1"/>
          <w:lang w:val="es-ES" w:bidi="es-ES"/>
        </w:rPr>
        <w:t xml:space="preserve">la </w:t>
      </w:r>
      <w:r w:rsidR="007569DC" w:rsidRPr="002E26E7">
        <w:rPr>
          <w:rFonts w:eastAsia="SimSun"/>
          <w:color w:val="000000" w:themeColor="text1"/>
          <w:lang w:val="es-ES" w:bidi="es-ES"/>
        </w:rPr>
        <w:t>transición al</w:t>
      </w:r>
      <w:r w:rsidRPr="002E26E7">
        <w:rPr>
          <w:rFonts w:eastAsia="SimSun"/>
          <w:color w:val="000000" w:themeColor="text1"/>
          <w:lang w:val="es-ES" w:bidi="es-ES"/>
        </w:rPr>
        <w:t xml:space="preserve"> sistema único de presentación de informes periódicos</w:t>
      </w:r>
      <w:r w:rsidR="00FC04E9" w:rsidRPr="002E26E7">
        <w:rPr>
          <w:rFonts w:eastAsia="SimSun"/>
          <w:color w:val="000000" w:themeColor="text1"/>
          <w:lang w:val="es-ES" w:bidi="es-ES"/>
        </w:rPr>
        <w:t xml:space="preserve"> a escala mundial</w:t>
      </w:r>
      <w:r w:rsidRPr="002E26E7">
        <w:rPr>
          <w:rFonts w:eastAsia="SimSun"/>
          <w:color w:val="000000" w:themeColor="text1"/>
          <w:lang w:val="es-ES" w:bidi="es-ES"/>
        </w:rPr>
        <w:t>.</w:t>
      </w:r>
    </w:p>
    <w:p w14:paraId="50D3EAFF" w14:textId="3A349EC1" w:rsidR="00D95C4C" w:rsidRPr="002E26E7" w:rsidRDefault="005C792B" w:rsidP="005C792B">
      <w:pPr>
        <w:pStyle w:val="COMPara"/>
        <w:ind w:left="567" w:hanging="567"/>
      </w:pPr>
      <w:r w:rsidRPr="002E26E7">
        <w:rPr>
          <w:lang w:eastAsia="fr-FR"/>
        </w:rPr>
        <w:t>La Asamblea General podría aprobar la siguiente resolución:</w:t>
      </w:r>
    </w:p>
    <w:p w14:paraId="6CEB1E9D" w14:textId="6BB52577" w:rsidR="00D95C4C" w:rsidRPr="002E26E7" w:rsidRDefault="004A34A0" w:rsidP="001D14FE">
      <w:pPr>
        <w:pStyle w:val="COMTitleDecision"/>
        <w:rPr>
          <w:rFonts w:eastAsia="SimSun"/>
        </w:rPr>
      </w:pPr>
      <w:r w:rsidRPr="002E26E7">
        <w:t>PROYECTO DE RESOLUCIÓN 11.GA 7</w:t>
      </w:r>
    </w:p>
    <w:p w14:paraId="13024F0B" w14:textId="5181E164" w:rsidR="00D95C4C" w:rsidRPr="002E26E7" w:rsidRDefault="005C792B" w:rsidP="00285BB4">
      <w:pPr>
        <w:pStyle w:val="COMPreambulaDecisions"/>
        <w:rPr>
          <w:rFonts w:eastAsia="SimSun"/>
        </w:rPr>
      </w:pPr>
      <w:r w:rsidRPr="002E26E7">
        <w:t>La Asamblea General,</w:t>
      </w:r>
    </w:p>
    <w:p w14:paraId="2C3EA894" w14:textId="22A494EA" w:rsidR="007B64DD" w:rsidRPr="002E26E7" w:rsidRDefault="0076777F" w:rsidP="007B64DD">
      <w:pPr>
        <w:pStyle w:val="COMParaDecision"/>
      </w:pPr>
      <w:r w:rsidRPr="002E26E7">
        <w:t>Habiendo examinado</w:t>
      </w:r>
      <w:r w:rsidR="007B64DD" w:rsidRPr="002E26E7">
        <w:rPr>
          <w:u w:val="none"/>
          <w:lang w:bidi="es-ES"/>
        </w:rPr>
        <w:t xml:space="preserve"> el documento LHE/26/11.GA/7 y su anexo,</w:t>
      </w:r>
    </w:p>
    <w:p w14:paraId="7AD60EC7" w14:textId="4294446C" w:rsidR="007B64DD" w:rsidRPr="002E26E7" w:rsidRDefault="007B64DD" w:rsidP="007B64DD">
      <w:pPr>
        <w:pStyle w:val="COMParaDecision"/>
      </w:pPr>
      <w:r w:rsidRPr="002E26E7">
        <w:rPr>
          <w:lang w:bidi="es-ES"/>
        </w:rPr>
        <w:t>Recordando</w:t>
      </w:r>
      <w:r w:rsidRPr="002E26E7">
        <w:rPr>
          <w:u w:val="none"/>
          <w:lang w:bidi="es-ES"/>
        </w:rPr>
        <w:t xml:space="preserve"> las Decisiones </w:t>
      </w:r>
      <w:hyperlink r:id="rId26" w:history="1">
        <w:r w:rsidRPr="002E26E7">
          <w:rPr>
            <w:rStyle w:val="Hyperlink"/>
            <w:lang w:bidi="es-ES"/>
          </w:rPr>
          <w:t>20.COM 6.c</w:t>
        </w:r>
      </w:hyperlink>
      <w:r w:rsidRPr="002E26E7">
        <w:rPr>
          <w:u w:val="none"/>
          <w:lang w:bidi="es-ES"/>
        </w:rPr>
        <w:t xml:space="preserve"> y </w:t>
      </w:r>
      <w:hyperlink r:id="rId27" w:history="1">
        <w:r w:rsidRPr="002E26E7">
          <w:rPr>
            <w:rStyle w:val="Hyperlink"/>
            <w:lang w:bidi="es-ES"/>
          </w:rPr>
          <w:t>20.COM 8</w:t>
        </w:r>
      </w:hyperlink>
      <w:r w:rsidRPr="002E26E7">
        <w:rPr>
          <w:u w:val="none"/>
          <w:lang w:bidi="es-ES"/>
        </w:rPr>
        <w:t>,</w:t>
      </w:r>
    </w:p>
    <w:p w14:paraId="0101E068" w14:textId="70F810BD" w:rsidR="007B64DD" w:rsidRPr="002E26E7" w:rsidRDefault="00592F21" w:rsidP="007B64DD">
      <w:pPr>
        <w:pStyle w:val="COMParaDecision"/>
        <w:numPr>
          <w:ilvl w:val="0"/>
          <w:numId w:val="0"/>
        </w:numPr>
        <w:spacing w:before="240"/>
        <w:ind w:left="1134"/>
        <w:rPr>
          <w:b/>
          <w:bCs/>
          <w:u w:val="none"/>
        </w:rPr>
      </w:pPr>
      <w:r w:rsidRPr="002E26E7">
        <w:rPr>
          <w:b/>
          <w:u w:val="none"/>
          <w:lang w:bidi="es-ES"/>
        </w:rPr>
        <w:t xml:space="preserve">Tramitación </w:t>
      </w:r>
      <w:r w:rsidR="007B64DD" w:rsidRPr="002E26E7">
        <w:rPr>
          <w:b/>
          <w:u w:val="none"/>
          <w:lang w:bidi="es-ES"/>
        </w:rPr>
        <w:t xml:space="preserve">de los expedientes de candidatura para los mecanismos de </w:t>
      </w:r>
      <w:r w:rsidR="0052358B" w:rsidRPr="002E26E7">
        <w:rPr>
          <w:b/>
          <w:u w:val="none"/>
          <w:lang w:bidi="es-ES"/>
        </w:rPr>
        <w:t xml:space="preserve">inscripción </w:t>
      </w:r>
      <w:r w:rsidR="007B64DD" w:rsidRPr="002E26E7">
        <w:rPr>
          <w:b/>
          <w:u w:val="none"/>
          <w:lang w:bidi="es-ES"/>
        </w:rPr>
        <w:t>en las Listas de la Convención</w:t>
      </w:r>
    </w:p>
    <w:p w14:paraId="400AAFDA" w14:textId="6CF25E0E" w:rsidR="007B64DD" w:rsidRPr="002E26E7" w:rsidRDefault="007B64DD" w:rsidP="007B64DD">
      <w:pPr>
        <w:pStyle w:val="COMParaDecision"/>
      </w:pPr>
      <w:r w:rsidRPr="002E26E7">
        <w:rPr>
          <w:lang w:bidi="es-ES"/>
        </w:rPr>
        <w:t>Toma nota</w:t>
      </w:r>
      <w:r w:rsidRPr="002E26E7">
        <w:rPr>
          <w:u w:val="none"/>
          <w:lang w:bidi="es-ES"/>
        </w:rPr>
        <w:t xml:space="preserve"> de las revisiones propuestas de las Directrices Operativas aprobadas por la vigésima reunión del Comité en relación con </w:t>
      </w:r>
      <w:r w:rsidR="00592F21" w:rsidRPr="002E26E7">
        <w:rPr>
          <w:u w:val="none"/>
          <w:lang w:bidi="es-ES"/>
        </w:rPr>
        <w:t xml:space="preserve">la tramitación </w:t>
      </w:r>
      <w:r w:rsidRPr="002E26E7">
        <w:rPr>
          <w:u w:val="none"/>
          <w:lang w:bidi="es-ES"/>
        </w:rPr>
        <w:t xml:space="preserve">de los expedientes de candidatura a los mecanismos de </w:t>
      </w:r>
      <w:r w:rsidR="001034DD" w:rsidRPr="002E26E7">
        <w:rPr>
          <w:u w:val="none"/>
          <w:lang w:bidi="es-ES"/>
        </w:rPr>
        <w:t xml:space="preserve">inscripción </w:t>
      </w:r>
      <w:r w:rsidRPr="002E26E7">
        <w:rPr>
          <w:u w:val="none"/>
          <w:lang w:bidi="es-ES"/>
        </w:rPr>
        <w:t>en las Listas de la Convención;</w:t>
      </w:r>
    </w:p>
    <w:p w14:paraId="75090F44" w14:textId="2139834A" w:rsidR="007B64DD" w:rsidRPr="002E26E7" w:rsidRDefault="007B64DD" w:rsidP="007B64DD">
      <w:pPr>
        <w:pStyle w:val="COMParaDecision"/>
        <w:rPr>
          <w:u w:val="none"/>
        </w:rPr>
      </w:pPr>
      <w:r w:rsidRPr="002E26E7">
        <w:rPr>
          <w:lang w:bidi="es-ES"/>
        </w:rPr>
        <w:t>Valora</w:t>
      </w:r>
      <w:r w:rsidRPr="002E26E7">
        <w:rPr>
          <w:u w:val="none"/>
          <w:lang w:bidi="es-ES"/>
        </w:rPr>
        <w:t xml:space="preserve"> los efectos positivos del enfoque actual aplicado a la fase de comprobación de la </w:t>
      </w:r>
      <w:r w:rsidR="003E2F1B" w:rsidRPr="002E26E7">
        <w:rPr>
          <w:u w:val="none"/>
          <w:lang w:bidi="es-ES"/>
        </w:rPr>
        <w:t xml:space="preserve">integridad </w:t>
      </w:r>
      <w:r w:rsidRPr="002E26E7">
        <w:rPr>
          <w:u w:val="none"/>
          <w:lang w:bidi="es-ES"/>
        </w:rPr>
        <w:t xml:space="preserve">técnica </w:t>
      </w:r>
      <w:r w:rsidR="00592F21" w:rsidRPr="002E26E7">
        <w:rPr>
          <w:u w:val="none"/>
          <w:lang w:bidi="es-ES"/>
        </w:rPr>
        <w:t xml:space="preserve">de la tramitación </w:t>
      </w:r>
      <w:r w:rsidRPr="002E26E7">
        <w:rPr>
          <w:u w:val="none"/>
          <w:lang w:bidi="es-ES"/>
        </w:rPr>
        <w:t xml:space="preserve">de las candidaturas, para apoyar los esfuerzos de los Estados y las comunidades, </w:t>
      </w:r>
      <w:r w:rsidR="003E2F1B" w:rsidRPr="002E26E7">
        <w:rPr>
          <w:u w:val="none"/>
          <w:lang w:bidi="es-ES"/>
        </w:rPr>
        <w:t>y</w:t>
      </w:r>
      <w:r w:rsidRPr="002E26E7">
        <w:rPr>
          <w:u w:val="none"/>
          <w:lang w:bidi="es-ES"/>
        </w:rPr>
        <w:t xml:space="preserve">, al mismo tiempo, </w:t>
      </w:r>
      <w:r w:rsidRPr="002E26E7">
        <w:rPr>
          <w:lang w:bidi="es-ES"/>
        </w:rPr>
        <w:t>pide</w:t>
      </w:r>
      <w:r w:rsidRPr="002E26E7">
        <w:rPr>
          <w:u w:val="none"/>
          <w:lang w:bidi="es-ES"/>
        </w:rPr>
        <w:t xml:space="preserve"> a los </w:t>
      </w:r>
      <w:proofErr w:type="gramStart"/>
      <w:r w:rsidRPr="002E26E7">
        <w:rPr>
          <w:u w:val="none"/>
          <w:lang w:bidi="es-ES"/>
        </w:rPr>
        <w:t>Estados Partes</w:t>
      </w:r>
      <w:proofErr w:type="gramEnd"/>
      <w:r w:rsidRPr="002E26E7">
        <w:rPr>
          <w:u w:val="none"/>
          <w:lang w:bidi="es-ES"/>
        </w:rPr>
        <w:t xml:space="preserve"> que se abstengan de introducir cambios sustanciales en esta fase;</w:t>
      </w:r>
    </w:p>
    <w:p w14:paraId="779B9D89" w14:textId="11278780" w:rsidR="007B64DD" w:rsidRPr="002E26E7" w:rsidRDefault="007B64DD" w:rsidP="007B64DD">
      <w:pPr>
        <w:pStyle w:val="COMParaDecision"/>
        <w:rPr>
          <w:u w:val="none"/>
        </w:rPr>
      </w:pPr>
      <w:r w:rsidRPr="002E26E7">
        <w:rPr>
          <w:lang w:bidi="es-ES"/>
        </w:rPr>
        <w:lastRenderedPageBreak/>
        <w:t>Aprueba</w:t>
      </w:r>
      <w:r w:rsidRPr="002E26E7">
        <w:rPr>
          <w:u w:val="none"/>
          <w:lang w:bidi="es-ES"/>
        </w:rPr>
        <w:t xml:space="preserve"> las revisiones de las Directrices Operativas que figuran en el anexo de la presente Resolución (relativas a</w:t>
      </w:r>
      <w:r w:rsidR="00C9258E" w:rsidRPr="002E26E7">
        <w:rPr>
          <w:u w:val="none"/>
          <w:lang w:bidi="es-ES"/>
        </w:rPr>
        <w:t xml:space="preserve"> la</w:t>
      </w:r>
      <w:r w:rsidRPr="002E26E7">
        <w:rPr>
          <w:u w:val="none"/>
          <w:lang w:bidi="es-ES"/>
        </w:rPr>
        <w:t xml:space="preserve"> </w:t>
      </w:r>
      <w:r w:rsidR="00C9258E" w:rsidRPr="002E26E7">
        <w:rPr>
          <w:u w:val="none"/>
          <w:lang w:bidi="es-ES"/>
        </w:rPr>
        <w:t xml:space="preserve">tramitación </w:t>
      </w:r>
      <w:r w:rsidRPr="002E26E7">
        <w:rPr>
          <w:u w:val="none"/>
          <w:lang w:bidi="es-ES"/>
        </w:rPr>
        <w:t xml:space="preserve">de los expedientes de candidatura para los mecanismos de </w:t>
      </w:r>
      <w:r w:rsidR="00D05E78" w:rsidRPr="002E26E7">
        <w:rPr>
          <w:u w:val="none"/>
          <w:lang w:bidi="es-ES"/>
        </w:rPr>
        <w:t xml:space="preserve">inscripción </w:t>
      </w:r>
      <w:r w:rsidRPr="002E26E7">
        <w:rPr>
          <w:u w:val="none"/>
          <w:lang w:bidi="es-ES"/>
        </w:rPr>
        <w:t xml:space="preserve">en las </w:t>
      </w:r>
      <w:r w:rsidR="00D05E78" w:rsidRPr="002E26E7">
        <w:rPr>
          <w:u w:val="none"/>
          <w:lang w:bidi="es-ES"/>
        </w:rPr>
        <w:t>L</w:t>
      </w:r>
      <w:r w:rsidRPr="002E26E7">
        <w:rPr>
          <w:u w:val="none"/>
          <w:lang w:bidi="es-ES"/>
        </w:rPr>
        <w:t xml:space="preserve">istas de la Convención), y </w:t>
      </w:r>
      <w:r w:rsidRPr="002E26E7">
        <w:rPr>
          <w:lang w:bidi="es-ES"/>
        </w:rPr>
        <w:t>entiende</w:t>
      </w:r>
      <w:r w:rsidRPr="002E26E7">
        <w:rPr>
          <w:u w:val="none"/>
          <w:lang w:bidi="es-ES"/>
        </w:rPr>
        <w:t xml:space="preserve"> que el calendario revisado que contiene se aplicará a partir del ciclo de candidaturas de 2027 en adelante;</w:t>
      </w:r>
    </w:p>
    <w:p w14:paraId="27F77819" w14:textId="3485F764" w:rsidR="007B64DD" w:rsidRPr="002E26E7" w:rsidRDefault="007B64DD" w:rsidP="007B64DD">
      <w:pPr>
        <w:pStyle w:val="COMParaDecision"/>
        <w:numPr>
          <w:ilvl w:val="0"/>
          <w:numId w:val="0"/>
        </w:numPr>
        <w:spacing w:before="240"/>
        <w:ind w:left="1134"/>
        <w:rPr>
          <w:b/>
          <w:bCs/>
          <w:u w:val="none"/>
        </w:rPr>
      </w:pPr>
      <w:r w:rsidRPr="002E26E7">
        <w:rPr>
          <w:b/>
          <w:u w:val="none"/>
          <w:lang w:bidi="es-ES"/>
        </w:rPr>
        <w:t>Sistema único de presentación de informes periódicos</w:t>
      </w:r>
      <w:r w:rsidR="00E84D91" w:rsidRPr="002E26E7">
        <w:rPr>
          <w:b/>
          <w:u w:val="none"/>
          <w:lang w:bidi="es-ES"/>
        </w:rPr>
        <w:t xml:space="preserve"> a escala mundial</w:t>
      </w:r>
    </w:p>
    <w:p w14:paraId="5BC71D23" w14:textId="526BB8AB" w:rsidR="007B64DD" w:rsidRPr="002E26E7" w:rsidRDefault="007B64DD" w:rsidP="007B64DD">
      <w:pPr>
        <w:pStyle w:val="COMParaDecision"/>
      </w:pPr>
      <w:r w:rsidRPr="002E26E7">
        <w:rPr>
          <w:lang w:bidi="es-ES"/>
        </w:rPr>
        <w:t xml:space="preserve">Toma nota </w:t>
      </w:r>
      <w:r w:rsidR="0076777F" w:rsidRPr="002E26E7">
        <w:t>también</w:t>
      </w:r>
      <w:r w:rsidRPr="002E26E7">
        <w:rPr>
          <w:u w:val="none"/>
          <w:lang w:bidi="es-ES"/>
        </w:rPr>
        <w:t xml:space="preserve"> de las propuestas de revisión de las Directrices Operativas aprobadas por la vigésima reunión del Comité en relación con </w:t>
      </w:r>
      <w:r w:rsidR="00E84D91" w:rsidRPr="002E26E7">
        <w:rPr>
          <w:u w:val="none"/>
          <w:lang w:bidi="es-ES"/>
        </w:rPr>
        <w:t xml:space="preserve">la transición </w:t>
      </w:r>
      <w:r w:rsidRPr="002E26E7">
        <w:rPr>
          <w:u w:val="none"/>
          <w:lang w:bidi="es-ES"/>
        </w:rPr>
        <w:t>a un sistema único de presentación de informes periódicos</w:t>
      </w:r>
      <w:r w:rsidR="00E84D91" w:rsidRPr="002E26E7">
        <w:rPr>
          <w:u w:val="none"/>
          <w:lang w:bidi="es-ES"/>
        </w:rPr>
        <w:t xml:space="preserve"> a escala </w:t>
      </w:r>
      <w:r w:rsidR="00E84D91" w:rsidRPr="002E26E7">
        <w:rPr>
          <w:bCs/>
          <w:u w:val="none"/>
          <w:lang w:bidi="es-ES"/>
        </w:rPr>
        <w:t>mundial</w:t>
      </w:r>
      <w:r w:rsidRPr="002E26E7">
        <w:rPr>
          <w:bCs/>
          <w:u w:val="none"/>
          <w:lang w:bidi="es-ES"/>
        </w:rPr>
        <w:t>;</w:t>
      </w:r>
    </w:p>
    <w:p w14:paraId="42E6705B" w14:textId="4798A221" w:rsidR="00FC612A" w:rsidRPr="002E26E7" w:rsidRDefault="007B64DD" w:rsidP="007B64DD">
      <w:pPr>
        <w:pStyle w:val="COMParaDecision"/>
        <w:rPr>
          <w:u w:val="none"/>
          <w:lang w:bidi="es-ES"/>
        </w:rPr>
        <w:sectPr w:rsidR="00FC612A" w:rsidRPr="002E26E7" w:rsidSect="00655736">
          <w:headerReference w:type="even" r:id="rId28"/>
          <w:headerReference w:type="default" r:id="rId29"/>
          <w:headerReference w:type="first" r:id="rId30"/>
          <w:pgSz w:w="11906" w:h="16838" w:code="9"/>
          <w:pgMar w:top="1418" w:right="1134" w:bottom="1134" w:left="1134" w:header="397" w:footer="284" w:gutter="0"/>
          <w:cols w:space="708"/>
          <w:titlePg/>
          <w:docGrid w:linePitch="360"/>
        </w:sectPr>
      </w:pPr>
      <w:r w:rsidRPr="002E26E7">
        <w:rPr>
          <w:lang w:bidi="es-ES"/>
        </w:rPr>
        <w:t>Aprueba</w:t>
      </w:r>
      <w:r w:rsidRPr="002E26E7">
        <w:rPr>
          <w:u w:val="none"/>
          <w:lang w:bidi="es-ES"/>
        </w:rPr>
        <w:t xml:space="preserve"> las revisiones de las Directivas Operativas tal y como figuran en el anexo de la presente Resolución (necesarias para apoyar </w:t>
      </w:r>
      <w:r w:rsidR="00E84D91" w:rsidRPr="002E26E7">
        <w:rPr>
          <w:u w:val="none"/>
          <w:lang w:bidi="es-ES"/>
        </w:rPr>
        <w:t xml:space="preserve">la transición </w:t>
      </w:r>
      <w:r w:rsidRPr="002E26E7">
        <w:rPr>
          <w:u w:val="none"/>
          <w:lang w:bidi="es-ES"/>
        </w:rPr>
        <w:t>al sistema único de presentación de informes periódicos</w:t>
      </w:r>
      <w:r w:rsidR="00E84D91" w:rsidRPr="002E26E7">
        <w:rPr>
          <w:u w:val="none"/>
          <w:lang w:bidi="es-ES"/>
        </w:rPr>
        <w:t xml:space="preserve"> a escala mundial</w:t>
      </w:r>
      <w:r w:rsidRPr="002E26E7">
        <w:rPr>
          <w:u w:val="none"/>
          <w:lang w:bidi="es-ES"/>
        </w:rPr>
        <w:t>).</w:t>
      </w:r>
    </w:p>
    <w:p w14:paraId="4241355D" w14:textId="77777777" w:rsidR="00FC612A" w:rsidRPr="002E26E7" w:rsidRDefault="00FC612A" w:rsidP="00504B9E">
      <w:pPr>
        <w:pStyle w:val="Heading4"/>
        <w:numPr>
          <w:ilvl w:val="0"/>
          <w:numId w:val="0"/>
        </w:numPr>
        <w:ind w:left="567" w:hanging="567"/>
        <w:jc w:val="center"/>
        <w:rPr>
          <w:rFonts w:eastAsia="SimSun" w:cs="Arial"/>
        </w:rPr>
      </w:pPr>
      <w:bookmarkStart w:id="2" w:name="_ANNEX"/>
      <w:bookmarkEnd w:id="2"/>
      <w:r w:rsidRPr="002E26E7">
        <w:rPr>
          <w:rFonts w:eastAsia="SimSun" w:cs="Arial"/>
          <w:lang w:bidi="es-ES"/>
        </w:rPr>
        <w:lastRenderedPageBreak/>
        <w:t>ANEXO</w:t>
      </w:r>
    </w:p>
    <w:p w14:paraId="5AA90B13" w14:textId="77777777" w:rsidR="00FC612A" w:rsidRPr="002E26E7" w:rsidRDefault="00FC612A" w:rsidP="00F409F9">
      <w:pPr>
        <w:spacing w:after="240"/>
        <w:jc w:val="center"/>
        <w:rPr>
          <w:rFonts w:ascii="Arial" w:eastAsia="DengXian" w:hAnsi="Arial" w:cs="Arial"/>
          <w:b/>
          <w:bCs/>
          <w:kern w:val="2"/>
          <w:sz w:val="22"/>
          <w:szCs w:val="22"/>
          <w:lang w:eastAsia="zh-CN"/>
          <w14:ligatures w14:val="standardContextual"/>
        </w:rPr>
      </w:pPr>
      <w:r w:rsidRPr="002E26E7">
        <w:rPr>
          <w:rFonts w:ascii="Arial" w:eastAsia="DengXian" w:hAnsi="Arial" w:cs="Arial"/>
          <w:b/>
          <w:kern w:val="2"/>
          <w:sz w:val="22"/>
          <w:szCs w:val="22"/>
          <w:lang w:bidi="es-ES"/>
          <w14:ligatures w14:val="standardContextual"/>
        </w:rPr>
        <w:t>Enmiendas propuestas a las Directrices Operativas para la aplicación de la Convención</w:t>
      </w:r>
    </w:p>
    <w:p w14:paraId="221AAD06" w14:textId="76BEE895" w:rsidR="00FC612A" w:rsidRPr="002E26E7" w:rsidRDefault="00FC612A" w:rsidP="00163C55">
      <w:pPr>
        <w:spacing w:before="120" w:after="120"/>
        <w:jc w:val="both"/>
        <w:rPr>
          <w:rFonts w:ascii="Arial" w:eastAsia="SimSun" w:hAnsi="Arial" w:cs="Arial"/>
          <w:color w:val="000000" w:themeColor="text1"/>
          <w:sz w:val="22"/>
          <w:szCs w:val="22"/>
        </w:rPr>
      </w:pPr>
      <w:r w:rsidRPr="002E26E7">
        <w:rPr>
          <w:rFonts w:ascii="Arial" w:eastAsia="SimSun" w:hAnsi="Arial" w:cs="Arial"/>
          <w:b/>
          <w:color w:val="000000" w:themeColor="text1"/>
          <w:sz w:val="22"/>
          <w:szCs w:val="22"/>
          <w:lang w:bidi="es-ES"/>
        </w:rPr>
        <w:t>Nota:</w:t>
      </w:r>
      <w:r w:rsidRPr="002E26E7">
        <w:rPr>
          <w:rFonts w:ascii="Arial" w:eastAsia="SimSun" w:hAnsi="Arial" w:cs="Arial"/>
          <w:color w:val="000000" w:themeColor="text1"/>
          <w:sz w:val="22"/>
          <w:szCs w:val="22"/>
          <w:lang w:bidi="es-ES"/>
        </w:rPr>
        <w:t xml:space="preserve"> Las enmiendas propuestas a las Directrices Operativas resaltadas en verde en la columna de la derecha reflejan las revisiones aprobadas por la vigésima reunión del Comité (Decisión </w:t>
      </w:r>
      <w:hyperlink r:id="rId31" w:history="1">
        <w:r w:rsidRPr="002E26E7">
          <w:rPr>
            <w:rStyle w:val="Hyperlink"/>
            <w:rFonts w:ascii="Arial" w:eastAsia="SimSun" w:hAnsi="Arial" w:cs="Arial"/>
            <w:sz w:val="22"/>
            <w:szCs w:val="22"/>
            <w:lang w:bidi="es-ES"/>
          </w:rPr>
          <w:t>20.COM 8</w:t>
        </w:r>
      </w:hyperlink>
      <w:r w:rsidRPr="002E26E7">
        <w:rPr>
          <w:rFonts w:ascii="Arial" w:eastAsia="SimSun" w:hAnsi="Arial" w:cs="Arial"/>
          <w:color w:val="000000" w:themeColor="text1"/>
          <w:sz w:val="22"/>
          <w:szCs w:val="22"/>
          <w:lang w:bidi="es-ES"/>
        </w:rPr>
        <w:t xml:space="preserve">) relativas </w:t>
      </w:r>
      <w:r w:rsidR="00C9258E" w:rsidRPr="002E26E7">
        <w:rPr>
          <w:rFonts w:ascii="Arial" w:eastAsia="SimSun" w:hAnsi="Arial" w:cs="Arial"/>
          <w:color w:val="000000" w:themeColor="text1"/>
          <w:sz w:val="22"/>
          <w:szCs w:val="22"/>
          <w:lang w:bidi="es-ES"/>
        </w:rPr>
        <w:t xml:space="preserve">a la tramitación </w:t>
      </w:r>
      <w:r w:rsidRPr="002E26E7">
        <w:rPr>
          <w:rFonts w:ascii="Arial" w:eastAsia="SimSun" w:hAnsi="Arial" w:cs="Arial"/>
          <w:color w:val="000000" w:themeColor="text1"/>
          <w:sz w:val="22"/>
          <w:szCs w:val="22"/>
          <w:lang w:bidi="es-ES"/>
        </w:rPr>
        <w:t xml:space="preserve">de los expedientes de los mecanismos de inscripción en las listas de la Convención. Las enmiendas resaltadas en azul reflejan las revisiones aprobadas por el Comité en la misma reunión (Decisión </w:t>
      </w:r>
      <w:hyperlink r:id="rId32" w:history="1">
        <w:r w:rsidRPr="002E26E7">
          <w:rPr>
            <w:rStyle w:val="Hyperlink"/>
            <w:rFonts w:ascii="Arial" w:eastAsia="SimSun" w:hAnsi="Arial" w:cs="Arial"/>
            <w:sz w:val="22"/>
            <w:szCs w:val="22"/>
            <w:lang w:bidi="es-ES"/>
          </w:rPr>
          <w:t>20.COM 6.c</w:t>
        </w:r>
      </w:hyperlink>
      <w:r w:rsidRPr="002E26E7">
        <w:rPr>
          <w:rFonts w:ascii="Arial" w:eastAsia="SimSun" w:hAnsi="Arial" w:cs="Arial"/>
          <w:color w:val="000000" w:themeColor="text1"/>
          <w:sz w:val="22"/>
          <w:szCs w:val="22"/>
          <w:lang w:bidi="es-ES"/>
        </w:rPr>
        <w:t>) para apoyar la transición hacia el sistema único de presentación de informes periódicos</w:t>
      </w:r>
      <w:r w:rsidR="00BA32E9" w:rsidRPr="002E26E7">
        <w:rPr>
          <w:rFonts w:ascii="Arial" w:eastAsia="SimSun" w:hAnsi="Arial" w:cs="Arial"/>
          <w:color w:val="000000" w:themeColor="text1"/>
          <w:sz w:val="22"/>
          <w:szCs w:val="22"/>
          <w:lang w:bidi="es-ES"/>
        </w:rPr>
        <w:t xml:space="preserve"> a escala mundial</w:t>
      </w:r>
      <w:r w:rsidRPr="002E26E7">
        <w:rPr>
          <w:rFonts w:ascii="Arial" w:eastAsia="SimSun" w:hAnsi="Arial" w:cs="Arial"/>
          <w:color w:val="000000" w:themeColor="text1"/>
          <w:sz w:val="22"/>
          <w:szCs w:val="22"/>
          <w:lang w:bidi="es-ES"/>
        </w:rPr>
        <w:t>.</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645"/>
        <w:gridCol w:w="6493"/>
        <w:gridCol w:w="655"/>
        <w:gridCol w:w="6377"/>
      </w:tblGrid>
      <w:tr w:rsidR="00FC612A" w:rsidRPr="002E26E7" w14:paraId="736167AF" w14:textId="77777777" w:rsidTr="00772187">
        <w:trPr>
          <w:trHeight w:val="22"/>
        </w:trPr>
        <w:tc>
          <w:tcPr>
            <w:tcW w:w="2519" w:type="pct"/>
            <w:gridSpan w:val="2"/>
            <w:shd w:val="clear" w:color="auto" w:fill="C6D9F1" w:themeFill="text2" w:themeFillTint="33"/>
          </w:tcPr>
          <w:p w14:paraId="746C7FD7" w14:textId="77777777" w:rsidR="00FC612A" w:rsidRPr="002E26E7" w:rsidRDefault="00FC612A" w:rsidP="005F773B">
            <w:pPr>
              <w:keepLines/>
              <w:spacing w:before="60" w:after="60"/>
              <w:jc w:val="center"/>
              <w:rPr>
                <w:rFonts w:ascii="Arial" w:hAnsi="Arial" w:cs="Arial"/>
                <w:b/>
                <w:bCs/>
                <w:sz w:val="22"/>
                <w:szCs w:val="22"/>
                <w:lang w:val="en-GB"/>
              </w:rPr>
            </w:pPr>
            <w:r w:rsidRPr="002E26E7">
              <w:rPr>
                <w:rFonts w:ascii="Arial" w:eastAsia="Arial" w:hAnsi="Arial" w:cs="Arial"/>
                <w:b/>
                <w:sz w:val="22"/>
                <w:szCs w:val="22"/>
                <w:lang w:bidi="es-ES"/>
              </w:rPr>
              <w:t>Directrices Operativas (edición de 2024)</w:t>
            </w:r>
          </w:p>
        </w:tc>
        <w:tc>
          <w:tcPr>
            <w:tcW w:w="2481" w:type="pct"/>
            <w:gridSpan w:val="2"/>
            <w:shd w:val="clear" w:color="auto" w:fill="8DB3E2" w:themeFill="text2" w:themeFillTint="66"/>
          </w:tcPr>
          <w:p w14:paraId="017151F2" w14:textId="77777777" w:rsidR="00FC612A" w:rsidRPr="002E26E7" w:rsidRDefault="00FC612A" w:rsidP="005F773B">
            <w:pPr>
              <w:keepLines/>
              <w:spacing w:before="60" w:after="60"/>
              <w:jc w:val="center"/>
              <w:rPr>
                <w:rFonts w:ascii="Arial" w:hAnsi="Arial" w:cs="Arial"/>
                <w:sz w:val="22"/>
                <w:szCs w:val="22"/>
                <w:lang w:val="en-GB"/>
              </w:rPr>
            </w:pPr>
            <w:r w:rsidRPr="002E26E7">
              <w:rPr>
                <w:rFonts w:ascii="Arial" w:eastAsia="Arial" w:hAnsi="Arial" w:cs="Arial"/>
                <w:b/>
                <w:sz w:val="22"/>
                <w:szCs w:val="22"/>
                <w:lang w:bidi="es-ES"/>
              </w:rPr>
              <w:t>Enmiendas propuestas</w:t>
            </w:r>
          </w:p>
        </w:tc>
      </w:tr>
      <w:tr w:rsidR="00FC612A" w:rsidRPr="002E26E7" w14:paraId="2FF97E96" w14:textId="77777777" w:rsidTr="002E26E7">
        <w:tc>
          <w:tcPr>
            <w:tcW w:w="228" w:type="pct"/>
          </w:tcPr>
          <w:p w14:paraId="7AD39C4F" w14:textId="14ED8748" w:rsidR="00FC612A" w:rsidRPr="002E26E7" w:rsidRDefault="00FC612A" w:rsidP="005F773B">
            <w:pPr>
              <w:keepLines/>
              <w:spacing w:before="60" w:after="60"/>
              <w:rPr>
                <w:rFonts w:ascii="Arial" w:hAnsi="Arial" w:cs="Arial"/>
                <w:b/>
                <w:bCs/>
                <w:color w:val="4F81BD" w:themeColor="accent1"/>
                <w:sz w:val="22"/>
                <w:szCs w:val="22"/>
                <w:lang w:val="en-GB"/>
              </w:rPr>
            </w:pPr>
            <w:r w:rsidRPr="002E26E7">
              <w:rPr>
                <w:rFonts w:ascii="Arial" w:eastAsia="Arial" w:hAnsi="Arial" w:cs="Arial"/>
                <w:b/>
                <w:color w:val="4F81BD" w:themeColor="accent1"/>
                <w:sz w:val="22"/>
                <w:szCs w:val="22"/>
                <w:lang w:bidi="es-ES"/>
              </w:rPr>
              <w:t>I.7</w:t>
            </w:r>
          </w:p>
        </w:tc>
        <w:tc>
          <w:tcPr>
            <w:tcW w:w="2291" w:type="pct"/>
          </w:tcPr>
          <w:p w14:paraId="2320721F" w14:textId="77777777" w:rsidR="00FC612A" w:rsidRPr="002E26E7" w:rsidRDefault="00FC612A" w:rsidP="005F773B">
            <w:pPr>
              <w:keepLines/>
              <w:spacing w:before="60" w:after="60"/>
              <w:jc w:val="both"/>
              <w:rPr>
                <w:rFonts w:ascii="Arial" w:hAnsi="Arial" w:cs="Arial"/>
                <w:b/>
                <w:bCs/>
                <w:color w:val="4F81BD" w:themeColor="accent1"/>
                <w:sz w:val="22"/>
                <w:szCs w:val="22"/>
                <w:lang w:val="en-GB"/>
              </w:rPr>
            </w:pPr>
            <w:r w:rsidRPr="002E26E7">
              <w:rPr>
                <w:rFonts w:ascii="Arial" w:eastAsia="Arial" w:hAnsi="Arial" w:cs="Arial"/>
                <w:b/>
                <w:color w:val="4F81BD" w:themeColor="accent1"/>
                <w:sz w:val="22"/>
                <w:szCs w:val="22"/>
                <w:lang w:bidi="es-ES"/>
              </w:rPr>
              <w:t>Presentación de expedientes</w:t>
            </w:r>
          </w:p>
        </w:tc>
        <w:tc>
          <w:tcPr>
            <w:tcW w:w="231" w:type="pct"/>
          </w:tcPr>
          <w:p w14:paraId="2EC6C6A3" w14:textId="77777777" w:rsidR="00FC612A" w:rsidRPr="002E26E7" w:rsidRDefault="00FC612A" w:rsidP="005F773B">
            <w:pPr>
              <w:keepLines/>
              <w:spacing w:before="60" w:after="60"/>
              <w:jc w:val="both"/>
              <w:rPr>
                <w:rFonts w:ascii="Arial" w:hAnsi="Arial" w:cs="Arial"/>
                <w:b/>
                <w:bCs/>
                <w:color w:val="4F81BD" w:themeColor="accent1"/>
                <w:sz w:val="22"/>
                <w:szCs w:val="22"/>
                <w:lang w:val="en-GB"/>
              </w:rPr>
            </w:pPr>
            <w:r w:rsidRPr="002E26E7">
              <w:rPr>
                <w:rFonts w:ascii="Arial" w:eastAsia="Arial" w:hAnsi="Arial" w:cs="Arial"/>
                <w:b/>
                <w:color w:val="4F81BD" w:themeColor="accent1"/>
                <w:sz w:val="22"/>
                <w:szCs w:val="22"/>
                <w:lang w:bidi="es-ES"/>
              </w:rPr>
              <w:t>I.7</w:t>
            </w:r>
          </w:p>
        </w:tc>
        <w:tc>
          <w:tcPr>
            <w:tcW w:w="2251" w:type="pct"/>
          </w:tcPr>
          <w:p w14:paraId="1ABF179C"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Sin cambios</w:t>
            </w:r>
          </w:p>
        </w:tc>
      </w:tr>
      <w:tr w:rsidR="00FC612A" w:rsidRPr="002E26E7" w14:paraId="16EE62C7" w14:textId="77777777" w:rsidTr="002E26E7">
        <w:tc>
          <w:tcPr>
            <w:tcW w:w="228" w:type="pct"/>
          </w:tcPr>
          <w:p w14:paraId="1179FBD7" w14:textId="77777777" w:rsidR="00FC612A" w:rsidRPr="002E26E7" w:rsidRDefault="00FC612A" w:rsidP="005F773B">
            <w:pPr>
              <w:keepLines/>
              <w:spacing w:before="60" w:after="60"/>
              <w:rPr>
                <w:rFonts w:ascii="Arial" w:hAnsi="Arial" w:cs="Arial"/>
                <w:b/>
                <w:bCs/>
                <w:color w:val="4F81BD" w:themeColor="accent1"/>
                <w:sz w:val="22"/>
                <w:szCs w:val="22"/>
                <w:lang w:val="en-GB"/>
              </w:rPr>
            </w:pPr>
            <w:r w:rsidRPr="002E26E7">
              <w:rPr>
                <w:rFonts w:ascii="Arial" w:eastAsia="Arial" w:hAnsi="Arial" w:cs="Arial"/>
                <w:sz w:val="22"/>
                <w:szCs w:val="22"/>
                <w:lang w:bidi="es-ES"/>
              </w:rPr>
              <w:t>20.2</w:t>
            </w:r>
          </w:p>
        </w:tc>
        <w:tc>
          <w:tcPr>
            <w:tcW w:w="2291" w:type="pct"/>
          </w:tcPr>
          <w:p w14:paraId="0FBF1531" w14:textId="77777777" w:rsidR="00FC612A" w:rsidRPr="002E26E7" w:rsidRDefault="00FC612A" w:rsidP="005F773B">
            <w:pPr>
              <w:keepLines/>
              <w:spacing w:before="60" w:after="60"/>
              <w:jc w:val="both"/>
              <w:rPr>
                <w:rFonts w:ascii="Arial" w:hAnsi="Arial" w:cs="Arial"/>
                <w:sz w:val="22"/>
                <w:szCs w:val="22"/>
              </w:rPr>
            </w:pPr>
            <w:r w:rsidRPr="002E26E7">
              <w:rPr>
                <w:rFonts w:ascii="Arial" w:eastAsia="Arial" w:hAnsi="Arial" w:cs="Arial"/>
                <w:sz w:val="22"/>
                <w:szCs w:val="22"/>
                <w:lang w:bidi="es-ES"/>
              </w:rPr>
              <w:t>El formulario ICH-01 LR a LSU deberá utilizarse para el traspaso de un elemento de la Lista Representativa del Patrimonio Cultural Inmaterial de la Humanidad a la Lista del Patrimonio Cultural Inmaterial que requiere medidas urgentes de salvaguardia, e incluye una opción para una solicitud simultánea de asistencia internacional.</w:t>
            </w:r>
          </w:p>
          <w:p w14:paraId="309CA11D" w14:textId="77777777" w:rsidR="00FC612A" w:rsidRPr="002E26E7" w:rsidRDefault="00FC612A" w:rsidP="005F773B">
            <w:pPr>
              <w:keepLines/>
              <w:spacing w:before="60" w:after="60"/>
              <w:jc w:val="both"/>
              <w:rPr>
                <w:rFonts w:ascii="Arial" w:hAnsi="Arial" w:cs="Arial"/>
                <w:b/>
                <w:bCs/>
                <w:color w:val="4F81BD" w:themeColor="accent1"/>
                <w:sz w:val="22"/>
                <w:szCs w:val="22"/>
              </w:rPr>
            </w:pPr>
            <w:r w:rsidRPr="002E26E7">
              <w:rPr>
                <w:rFonts w:ascii="Arial" w:eastAsia="Arial" w:hAnsi="Arial" w:cs="Arial"/>
                <w:sz w:val="22"/>
                <w:szCs w:val="22"/>
                <w:lang w:bidi="es-ES"/>
              </w:rPr>
              <w:t>El formulario ICH-02 LSU a LR deberá utilizarse, adjunto al formulario ICH-11 de los informes periódicos, para el traspaso de un elemento de la Lista del Patrimonio Cultural Inmaterial que requiere medidas urgentes de salvaguardia a la Lista Representativa del Patrimonio Cultural Inmaterial de la Humanidad.</w:t>
            </w:r>
          </w:p>
        </w:tc>
        <w:tc>
          <w:tcPr>
            <w:tcW w:w="231" w:type="pct"/>
          </w:tcPr>
          <w:p w14:paraId="03DDA4BD" w14:textId="77777777" w:rsidR="00FC612A" w:rsidRPr="002E26E7" w:rsidRDefault="00FC612A" w:rsidP="005F773B">
            <w:pPr>
              <w:keepLines/>
              <w:spacing w:before="60" w:after="60"/>
              <w:jc w:val="both"/>
              <w:rPr>
                <w:rFonts w:ascii="Arial" w:hAnsi="Arial" w:cs="Arial"/>
                <w:b/>
                <w:bCs/>
                <w:color w:val="4F81BD" w:themeColor="accent1"/>
                <w:sz w:val="22"/>
                <w:szCs w:val="22"/>
                <w:lang w:val="en-GB"/>
              </w:rPr>
            </w:pPr>
            <w:r w:rsidRPr="002E26E7">
              <w:rPr>
                <w:rFonts w:ascii="Arial" w:eastAsia="Arial" w:hAnsi="Arial" w:cs="Arial"/>
                <w:sz w:val="22"/>
                <w:szCs w:val="22"/>
                <w:lang w:bidi="es-ES"/>
              </w:rPr>
              <w:t>20.2</w:t>
            </w:r>
          </w:p>
        </w:tc>
        <w:tc>
          <w:tcPr>
            <w:tcW w:w="2251" w:type="pct"/>
          </w:tcPr>
          <w:p w14:paraId="690599E9"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Sin cambios</w:t>
            </w:r>
          </w:p>
        </w:tc>
      </w:tr>
      <w:tr w:rsidR="00FC612A" w:rsidRPr="002E26E7" w14:paraId="018C4534" w14:textId="77777777" w:rsidTr="002E26E7">
        <w:tc>
          <w:tcPr>
            <w:tcW w:w="228" w:type="pct"/>
          </w:tcPr>
          <w:p w14:paraId="52502BAE" w14:textId="77777777" w:rsidR="00FC612A" w:rsidRPr="002E26E7" w:rsidRDefault="00FC612A" w:rsidP="005F773B">
            <w:pPr>
              <w:keepLines/>
              <w:spacing w:before="60" w:after="60"/>
              <w:rPr>
                <w:rFonts w:ascii="Arial" w:hAnsi="Arial" w:cs="Arial"/>
                <w:b/>
                <w:bCs/>
                <w:color w:val="4F81BD" w:themeColor="accent1"/>
                <w:sz w:val="22"/>
                <w:szCs w:val="22"/>
                <w:lang w:val="en-GB"/>
              </w:rPr>
            </w:pPr>
            <w:r w:rsidRPr="002E26E7">
              <w:rPr>
                <w:rFonts w:ascii="Arial" w:eastAsia="Arial" w:hAnsi="Arial" w:cs="Arial"/>
                <w:b/>
                <w:color w:val="4F81BD" w:themeColor="accent1"/>
                <w:sz w:val="22"/>
                <w:szCs w:val="22"/>
                <w:lang w:bidi="es-ES"/>
              </w:rPr>
              <w:t>I.15</w:t>
            </w:r>
          </w:p>
        </w:tc>
        <w:tc>
          <w:tcPr>
            <w:tcW w:w="2291" w:type="pct"/>
          </w:tcPr>
          <w:p w14:paraId="68A8A5AC" w14:textId="77777777" w:rsidR="00FC612A" w:rsidRPr="002E26E7" w:rsidRDefault="00FC612A" w:rsidP="005F773B">
            <w:pPr>
              <w:keepLines/>
              <w:spacing w:before="60" w:after="60"/>
              <w:jc w:val="both"/>
              <w:rPr>
                <w:rFonts w:ascii="Arial" w:hAnsi="Arial" w:cs="Arial"/>
                <w:b/>
                <w:bCs/>
                <w:color w:val="4F81BD" w:themeColor="accent1"/>
                <w:sz w:val="22"/>
                <w:szCs w:val="22"/>
              </w:rPr>
            </w:pPr>
            <w:r w:rsidRPr="002E26E7">
              <w:rPr>
                <w:rFonts w:ascii="Arial" w:eastAsia="Arial" w:hAnsi="Arial" w:cs="Arial"/>
                <w:b/>
                <w:color w:val="4F81BD" w:themeColor="accent1"/>
                <w:sz w:val="22"/>
                <w:szCs w:val="22"/>
                <w:lang w:bidi="es-ES"/>
              </w:rPr>
              <w:t>Calendario</w:t>
            </w:r>
            <w:r w:rsidRPr="002E26E7">
              <w:rPr>
                <w:rFonts w:ascii="Arial" w:eastAsia="Arial" w:hAnsi="Arial" w:cs="Arial"/>
                <w:color w:val="4F81BD" w:themeColor="accent1"/>
                <w:sz w:val="22"/>
                <w:szCs w:val="22"/>
                <w:lang w:bidi="es-ES"/>
              </w:rPr>
              <w:t xml:space="preserve"> – </w:t>
            </w:r>
            <w:r w:rsidRPr="002E26E7">
              <w:rPr>
                <w:rFonts w:ascii="Arial" w:eastAsia="Arial" w:hAnsi="Arial" w:cs="Arial"/>
                <w:b/>
                <w:color w:val="4F81BD" w:themeColor="accent1"/>
                <w:sz w:val="22"/>
                <w:szCs w:val="22"/>
                <w:lang w:bidi="es-ES"/>
              </w:rPr>
              <w:t>Sinopsis de los procedimientos</w:t>
            </w:r>
          </w:p>
        </w:tc>
        <w:tc>
          <w:tcPr>
            <w:tcW w:w="231" w:type="pct"/>
          </w:tcPr>
          <w:p w14:paraId="28E8B42B" w14:textId="77777777" w:rsidR="00FC612A" w:rsidRPr="002E26E7" w:rsidRDefault="00FC612A" w:rsidP="005F773B">
            <w:pPr>
              <w:keepLines/>
              <w:spacing w:before="60" w:after="60"/>
              <w:jc w:val="both"/>
              <w:rPr>
                <w:rFonts w:ascii="Arial" w:hAnsi="Arial" w:cs="Arial"/>
                <w:b/>
                <w:bCs/>
                <w:color w:val="4F81BD" w:themeColor="accent1"/>
                <w:sz w:val="22"/>
                <w:szCs w:val="22"/>
                <w:lang w:val="en-GB"/>
              </w:rPr>
            </w:pPr>
            <w:r w:rsidRPr="002E26E7">
              <w:rPr>
                <w:rFonts w:ascii="Arial" w:eastAsia="Arial" w:hAnsi="Arial" w:cs="Arial"/>
                <w:b/>
                <w:color w:val="4F81BD" w:themeColor="accent1"/>
                <w:sz w:val="22"/>
                <w:szCs w:val="22"/>
                <w:lang w:bidi="es-ES"/>
              </w:rPr>
              <w:t>I.15</w:t>
            </w:r>
          </w:p>
        </w:tc>
        <w:tc>
          <w:tcPr>
            <w:tcW w:w="2251" w:type="pct"/>
          </w:tcPr>
          <w:p w14:paraId="025492B1"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Sin cambios</w:t>
            </w:r>
          </w:p>
        </w:tc>
      </w:tr>
      <w:tr w:rsidR="00FC612A" w:rsidRPr="002E26E7" w14:paraId="4B336A54" w14:textId="77777777" w:rsidTr="002E26E7">
        <w:tc>
          <w:tcPr>
            <w:tcW w:w="228" w:type="pct"/>
          </w:tcPr>
          <w:p w14:paraId="7D479882" w14:textId="77777777" w:rsidR="00FC612A" w:rsidRPr="002E26E7" w:rsidRDefault="00FC612A" w:rsidP="005F773B">
            <w:pPr>
              <w:keepLines/>
              <w:spacing w:before="60" w:after="60"/>
              <w:rPr>
                <w:rFonts w:ascii="Arial" w:hAnsi="Arial" w:cs="Arial"/>
                <w:color w:val="000000" w:themeColor="text1"/>
                <w:sz w:val="22"/>
                <w:szCs w:val="22"/>
                <w:lang w:val="en-GB"/>
              </w:rPr>
            </w:pPr>
            <w:r w:rsidRPr="002E26E7">
              <w:rPr>
                <w:rFonts w:ascii="Arial" w:eastAsia="Arial" w:hAnsi="Arial" w:cs="Arial"/>
                <w:color w:val="000000" w:themeColor="text1"/>
                <w:sz w:val="22"/>
                <w:szCs w:val="22"/>
                <w:lang w:bidi="es-ES"/>
              </w:rPr>
              <w:t>54.</w:t>
            </w:r>
          </w:p>
        </w:tc>
        <w:tc>
          <w:tcPr>
            <w:tcW w:w="2291"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99"/>
              <w:gridCol w:w="4478"/>
            </w:tblGrid>
            <w:tr w:rsidR="00FC612A" w:rsidRPr="002E26E7" w14:paraId="0B40F0CE" w14:textId="77777777" w:rsidTr="002E26E7">
              <w:tc>
                <w:tcPr>
                  <w:tcW w:w="1433" w:type="pct"/>
                </w:tcPr>
                <w:p w14:paraId="3EB2A20A" w14:textId="77777777" w:rsidR="00FC612A" w:rsidRPr="002E26E7" w:rsidRDefault="00FC612A" w:rsidP="007E459F">
                  <w:pPr>
                    <w:keepLines/>
                    <w:spacing w:before="60" w:after="60"/>
                    <w:jc w:val="right"/>
                    <w:rPr>
                      <w:rFonts w:ascii="Arial" w:hAnsi="Arial" w:cs="Arial"/>
                      <w:color w:val="000000" w:themeColor="text1"/>
                      <w:sz w:val="22"/>
                      <w:szCs w:val="22"/>
                      <w:lang w:val="en-GB"/>
                    </w:rPr>
                  </w:pPr>
                  <w:r w:rsidRPr="002E26E7">
                    <w:rPr>
                      <w:rFonts w:ascii="Arial" w:eastAsia="Arial" w:hAnsi="Arial" w:cs="Arial"/>
                      <w:sz w:val="22"/>
                      <w:szCs w:val="22"/>
                      <w:lang w:bidi="es-ES"/>
                    </w:rPr>
                    <w:t>Fase 1:</w:t>
                  </w:r>
                </w:p>
              </w:tc>
              <w:tc>
                <w:tcPr>
                  <w:tcW w:w="3567" w:type="pct"/>
                </w:tcPr>
                <w:p w14:paraId="65FF392A" w14:textId="77777777" w:rsidR="00FC612A" w:rsidRPr="002E26E7" w:rsidRDefault="00FC612A" w:rsidP="007E459F">
                  <w:pPr>
                    <w:keepLines/>
                    <w:spacing w:before="60" w:after="60"/>
                    <w:jc w:val="both"/>
                    <w:rPr>
                      <w:rFonts w:ascii="Arial" w:hAnsi="Arial" w:cs="Arial"/>
                      <w:color w:val="000000" w:themeColor="text1"/>
                      <w:sz w:val="22"/>
                      <w:szCs w:val="22"/>
                      <w:lang w:val="en-GB"/>
                    </w:rPr>
                  </w:pPr>
                  <w:r w:rsidRPr="002E26E7">
                    <w:rPr>
                      <w:rFonts w:ascii="Arial" w:eastAsia="Arial" w:hAnsi="Arial" w:cs="Arial"/>
                      <w:sz w:val="22"/>
                      <w:szCs w:val="22"/>
                      <w:lang w:bidi="es-ES"/>
                    </w:rPr>
                    <w:t xml:space="preserve">Preparación y presentación </w:t>
                  </w:r>
                </w:p>
              </w:tc>
            </w:tr>
            <w:tr w:rsidR="00FC612A" w:rsidRPr="002E26E7" w14:paraId="680554E9" w14:textId="77777777" w:rsidTr="002E26E7">
              <w:tc>
                <w:tcPr>
                  <w:tcW w:w="1433" w:type="pct"/>
                </w:tcPr>
                <w:p w14:paraId="5562BB91" w14:textId="77777777" w:rsidR="00FC612A" w:rsidRPr="002E26E7" w:rsidRDefault="00FC612A" w:rsidP="007E459F">
                  <w:pPr>
                    <w:keepLines/>
                    <w:spacing w:before="60" w:after="60"/>
                    <w:jc w:val="right"/>
                    <w:rPr>
                      <w:rFonts w:ascii="Arial" w:hAnsi="Arial" w:cs="Arial"/>
                      <w:sz w:val="22"/>
                      <w:szCs w:val="22"/>
                      <w:lang w:val="en-GB"/>
                    </w:rPr>
                  </w:pPr>
                  <w:r w:rsidRPr="002E26E7">
                    <w:rPr>
                      <w:rFonts w:ascii="Arial" w:eastAsia="Arial" w:hAnsi="Arial" w:cs="Arial"/>
                      <w:sz w:val="22"/>
                      <w:szCs w:val="22"/>
                      <w:lang w:bidi="es-ES"/>
                    </w:rPr>
                    <w:t>31 de marzo</w:t>
                  </w:r>
                </w:p>
                <w:p w14:paraId="47C29460" w14:textId="77777777" w:rsidR="00FC612A" w:rsidRPr="002E26E7" w:rsidRDefault="00FC612A" w:rsidP="007E459F">
                  <w:pPr>
                    <w:keepLines/>
                    <w:spacing w:before="60" w:after="60"/>
                    <w:jc w:val="right"/>
                    <w:rPr>
                      <w:rFonts w:ascii="Arial" w:hAnsi="Arial" w:cs="Arial"/>
                      <w:sz w:val="22"/>
                      <w:szCs w:val="22"/>
                      <w:lang w:val="en-GB"/>
                    </w:rPr>
                  </w:pPr>
                  <w:r w:rsidRPr="002E26E7">
                    <w:rPr>
                      <w:rFonts w:ascii="Arial" w:eastAsia="Arial" w:hAnsi="Arial" w:cs="Arial"/>
                      <w:sz w:val="22"/>
                      <w:szCs w:val="22"/>
                      <w:lang w:bidi="es-ES"/>
                    </w:rPr>
                    <w:t>año 0</w:t>
                  </w:r>
                </w:p>
              </w:tc>
              <w:tc>
                <w:tcPr>
                  <w:tcW w:w="3567" w:type="pct"/>
                </w:tcPr>
                <w:p w14:paraId="0EC2F388" w14:textId="77777777" w:rsidR="00FC612A" w:rsidRPr="002E26E7" w:rsidRDefault="00FC612A" w:rsidP="007E459F">
                  <w:pPr>
                    <w:keepLines/>
                    <w:spacing w:before="60" w:after="60"/>
                    <w:jc w:val="both"/>
                    <w:rPr>
                      <w:rFonts w:ascii="Arial" w:hAnsi="Arial" w:cs="Arial"/>
                      <w:color w:val="000000" w:themeColor="text1"/>
                      <w:sz w:val="22"/>
                      <w:szCs w:val="22"/>
                    </w:rPr>
                  </w:pPr>
                  <w:r w:rsidRPr="002E26E7">
                    <w:rPr>
                      <w:rFonts w:ascii="Arial" w:eastAsia="Arial" w:hAnsi="Arial" w:cs="Arial"/>
                      <w:sz w:val="22"/>
                      <w:szCs w:val="22"/>
                      <w:lang w:bidi="es-ES"/>
                    </w:rPr>
                    <w:t>Fecha límite para presentar las solicitudes de asistencia preparatoria.</w:t>
                  </w:r>
                </w:p>
              </w:tc>
            </w:tr>
            <w:tr w:rsidR="00FC612A" w:rsidRPr="002E26E7" w14:paraId="697E02E3" w14:textId="77777777" w:rsidTr="002E26E7">
              <w:tc>
                <w:tcPr>
                  <w:tcW w:w="1433" w:type="pct"/>
                </w:tcPr>
                <w:p w14:paraId="2F976ACD" w14:textId="77777777" w:rsidR="00FC612A" w:rsidRPr="002E26E7" w:rsidRDefault="00FC612A" w:rsidP="007E459F">
                  <w:pPr>
                    <w:keepLines/>
                    <w:spacing w:before="60" w:after="60"/>
                    <w:jc w:val="right"/>
                    <w:rPr>
                      <w:rFonts w:ascii="Arial" w:hAnsi="Arial" w:cs="Arial"/>
                      <w:sz w:val="22"/>
                      <w:szCs w:val="22"/>
                      <w:lang w:val="en-GB"/>
                    </w:rPr>
                  </w:pPr>
                  <w:r w:rsidRPr="002E26E7">
                    <w:rPr>
                      <w:rFonts w:ascii="Arial" w:eastAsia="Arial" w:hAnsi="Arial" w:cs="Arial"/>
                      <w:sz w:val="22"/>
                      <w:szCs w:val="22"/>
                      <w:lang w:bidi="es-ES"/>
                    </w:rPr>
                    <w:lastRenderedPageBreak/>
                    <w:t>15 de diciembre</w:t>
                  </w:r>
                </w:p>
                <w:p w14:paraId="5EE9137C" w14:textId="77777777" w:rsidR="00FC612A" w:rsidRPr="002E26E7" w:rsidRDefault="00FC612A" w:rsidP="007E459F">
                  <w:pPr>
                    <w:keepLines/>
                    <w:spacing w:before="60" w:after="60"/>
                    <w:jc w:val="right"/>
                    <w:rPr>
                      <w:rFonts w:ascii="Arial" w:hAnsi="Arial" w:cs="Arial"/>
                      <w:sz w:val="22"/>
                      <w:szCs w:val="22"/>
                      <w:lang w:val="en-GB"/>
                    </w:rPr>
                  </w:pPr>
                  <w:r w:rsidRPr="002E26E7">
                    <w:rPr>
                      <w:rFonts w:ascii="Arial" w:eastAsia="Arial" w:hAnsi="Arial" w:cs="Arial"/>
                      <w:sz w:val="22"/>
                      <w:szCs w:val="22"/>
                      <w:lang w:bidi="es-ES"/>
                    </w:rPr>
                    <w:t>año 0</w:t>
                  </w:r>
                </w:p>
              </w:tc>
              <w:tc>
                <w:tcPr>
                  <w:tcW w:w="3567" w:type="pct"/>
                </w:tcPr>
                <w:p w14:paraId="2E9D7429" w14:textId="77777777" w:rsidR="00FC612A" w:rsidRPr="002E26E7" w:rsidRDefault="00FC612A" w:rsidP="007E459F">
                  <w:pPr>
                    <w:keepLines/>
                    <w:spacing w:before="60" w:after="60"/>
                    <w:jc w:val="both"/>
                    <w:rPr>
                      <w:rFonts w:ascii="Arial" w:hAnsi="Arial" w:cs="Arial"/>
                      <w:color w:val="000000" w:themeColor="text1"/>
                      <w:sz w:val="22"/>
                      <w:szCs w:val="22"/>
                    </w:rPr>
                  </w:pPr>
                  <w:r w:rsidRPr="002E26E7">
                    <w:rPr>
                      <w:rFonts w:ascii="Arial" w:eastAsia="Arial" w:hAnsi="Arial" w:cs="Arial"/>
                      <w:sz w:val="22"/>
                      <w:szCs w:val="22"/>
                      <w:lang w:bidi="es-ES"/>
                    </w:rPr>
                    <w:t>Fecha límite para la presentación de las solicitudes de traspaso de la Lista del Patrimonio Cultural Inmaterial que requiere medidas urgentes de salvaguardia a la Lista Representativa del Patrimonio Cultural Inmaterial de la Humanidad.</w:t>
                  </w:r>
                </w:p>
              </w:tc>
            </w:tr>
          </w:tbl>
          <w:p w14:paraId="2241AEEF" w14:textId="77777777" w:rsidR="00FC612A" w:rsidRPr="002E26E7" w:rsidRDefault="00FC612A" w:rsidP="005F773B">
            <w:pPr>
              <w:keepLines/>
              <w:spacing w:before="60" w:after="60"/>
              <w:jc w:val="both"/>
              <w:rPr>
                <w:rFonts w:ascii="Arial" w:hAnsi="Arial" w:cs="Arial"/>
                <w:color w:val="000000" w:themeColor="text1"/>
                <w:sz w:val="22"/>
                <w:szCs w:val="22"/>
              </w:rPr>
            </w:pPr>
          </w:p>
        </w:tc>
        <w:tc>
          <w:tcPr>
            <w:tcW w:w="231" w:type="pct"/>
          </w:tcPr>
          <w:p w14:paraId="4CE0D2F3" w14:textId="77777777" w:rsidR="00FC612A" w:rsidRPr="002E26E7" w:rsidRDefault="00FC612A" w:rsidP="005F773B">
            <w:pPr>
              <w:keepLines/>
              <w:spacing w:before="60" w:after="60"/>
              <w:jc w:val="both"/>
              <w:rPr>
                <w:rFonts w:ascii="Arial" w:hAnsi="Arial" w:cs="Arial"/>
                <w:color w:val="000000" w:themeColor="text1"/>
                <w:sz w:val="22"/>
                <w:szCs w:val="22"/>
                <w:lang w:val="en-GB"/>
              </w:rPr>
            </w:pPr>
            <w:r w:rsidRPr="002E26E7">
              <w:rPr>
                <w:rFonts w:ascii="Arial" w:eastAsia="Arial" w:hAnsi="Arial" w:cs="Arial"/>
                <w:color w:val="000000" w:themeColor="text1"/>
                <w:sz w:val="22"/>
                <w:szCs w:val="22"/>
                <w:lang w:bidi="es-ES"/>
              </w:rPr>
              <w:lastRenderedPageBreak/>
              <w:t>54.</w:t>
            </w:r>
          </w:p>
        </w:tc>
        <w:tc>
          <w:tcPr>
            <w:tcW w:w="2251" w:type="pct"/>
          </w:tcPr>
          <w:tbl>
            <w:tblPr>
              <w:tblStyle w:val="TableGrid"/>
              <w:tblW w:w="6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2"/>
              <w:gridCol w:w="4402"/>
            </w:tblGrid>
            <w:tr w:rsidR="00FC612A" w:rsidRPr="002E26E7" w14:paraId="4EA719D0" w14:textId="77777777" w:rsidTr="002E26E7">
              <w:tc>
                <w:tcPr>
                  <w:tcW w:w="1872" w:type="dxa"/>
                </w:tcPr>
                <w:p w14:paraId="6809A318" w14:textId="77777777" w:rsidR="00FC612A" w:rsidRPr="002E26E7" w:rsidRDefault="00FC612A" w:rsidP="007E459F">
                  <w:pPr>
                    <w:keepLines/>
                    <w:spacing w:before="60" w:after="60"/>
                    <w:jc w:val="right"/>
                    <w:rPr>
                      <w:rFonts w:ascii="Arial" w:hAnsi="Arial" w:cs="Arial"/>
                      <w:color w:val="000000" w:themeColor="text1"/>
                      <w:sz w:val="22"/>
                      <w:szCs w:val="22"/>
                      <w:lang w:val="en-GB"/>
                    </w:rPr>
                  </w:pPr>
                  <w:r w:rsidRPr="002E26E7">
                    <w:rPr>
                      <w:rFonts w:ascii="Arial" w:eastAsia="Arial" w:hAnsi="Arial" w:cs="Arial"/>
                      <w:sz w:val="22"/>
                      <w:szCs w:val="22"/>
                      <w:lang w:bidi="es-ES"/>
                    </w:rPr>
                    <w:t>Fase 1:</w:t>
                  </w:r>
                </w:p>
              </w:tc>
              <w:tc>
                <w:tcPr>
                  <w:tcW w:w="4402" w:type="dxa"/>
                </w:tcPr>
                <w:p w14:paraId="54C2C25C" w14:textId="77777777" w:rsidR="00FC612A" w:rsidRPr="002E26E7" w:rsidRDefault="00FC612A" w:rsidP="007E459F">
                  <w:pPr>
                    <w:keepLines/>
                    <w:spacing w:before="60" w:after="60"/>
                    <w:jc w:val="both"/>
                    <w:rPr>
                      <w:rFonts w:ascii="Arial" w:hAnsi="Arial" w:cs="Arial"/>
                      <w:color w:val="000000" w:themeColor="text1"/>
                      <w:sz w:val="22"/>
                      <w:szCs w:val="22"/>
                      <w:lang w:val="en-GB"/>
                    </w:rPr>
                  </w:pPr>
                  <w:r w:rsidRPr="002E26E7">
                    <w:rPr>
                      <w:rFonts w:ascii="Arial" w:eastAsia="Arial" w:hAnsi="Arial" w:cs="Arial"/>
                      <w:sz w:val="22"/>
                      <w:szCs w:val="22"/>
                      <w:lang w:bidi="es-ES"/>
                    </w:rPr>
                    <w:t>Sin cambios</w:t>
                  </w:r>
                </w:p>
              </w:tc>
            </w:tr>
            <w:tr w:rsidR="00FC612A" w:rsidRPr="002E26E7" w14:paraId="7485544B" w14:textId="77777777" w:rsidTr="002E26E7">
              <w:tc>
                <w:tcPr>
                  <w:tcW w:w="1872" w:type="dxa"/>
                </w:tcPr>
                <w:p w14:paraId="7B962AF5" w14:textId="77777777" w:rsidR="00FC612A" w:rsidRPr="002E26E7" w:rsidRDefault="00FC612A" w:rsidP="007E459F">
                  <w:pPr>
                    <w:keepLines/>
                    <w:spacing w:before="60" w:after="60"/>
                    <w:jc w:val="right"/>
                    <w:rPr>
                      <w:rFonts w:ascii="Arial" w:hAnsi="Arial" w:cs="Arial"/>
                      <w:sz w:val="22"/>
                      <w:szCs w:val="22"/>
                      <w:lang w:val="en-GB"/>
                    </w:rPr>
                  </w:pPr>
                  <w:r w:rsidRPr="002E26E7">
                    <w:rPr>
                      <w:rFonts w:ascii="Arial" w:eastAsia="Arial" w:hAnsi="Arial" w:cs="Arial"/>
                      <w:sz w:val="22"/>
                      <w:szCs w:val="22"/>
                      <w:lang w:bidi="es-ES"/>
                    </w:rPr>
                    <w:t>31 de marzo</w:t>
                  </w:r>
                </w:p>
                <w:p w14:paraId="4AFAF682" w14:textId="77777777" w:rsidR="00FC612A" w:rsidRPr="002E26E7" w:rsidRDefault="00FC612A" w:rsidP="007E459F">
                  <w:pPr>
                    <w:keepLines/>
                    <w:spacing w:before="60" w:after="60"/>
                    <w:jc w:val="right"/>
                    <w:rPr>
                      <w:rFonts w:ascii="Arial" w:hAnsi="Arial" w:cs="Arial"/>
                      <w:sz w:val="22"/>
                      <w:szCs w:val="22"/>
                      <w:lang w:val="en-GB"/>
                    </w:rPr>
                  </w:pPr>
                  <w:r w:rsidRPr="002E26E7">
                    <w:rPr>
                      <w:rFonts w:ascii="Arial" w:eastAsia="Arial" w:hAnsi="Arial" w:cs="Arial"/>
                      <w:sz w:val="22"/>
                      <w:szCs w:val="22"/>
                      <w:lang w:bidi="es-ES"/>
                    </w:rPr>
                    <w:t>año 0</w:t>
                  </w:r>
                </w:p>
              </w:tc>
              <w:tc>
                <w:tcPr>
                  <w:tcW w:w="4402" w:type="dxa"/>
                </w:tcPr>
                <w:p w14:paraId="18CFBCA9" w14:textId="77777777" w:rsidR="00FC612A" w:rsidRPr="002E26E7" w:rsidRDefault="00FC612A" w:rsidP="007E459F">
                  <w:pPr>
                    <w:keepLines/>
                    <w:spacing w:before="60" w:after="60"/>
                    <w:jc w:val="both"/>
                    <w:rPr>
                      <w:rFonts w:ascii="Arial" w:hAnsi="Arial" w:cs="Arial"/>
                      <w:color w:val="000000" w:themeColor="text1"/>
                      <w:sz w:val="22"/>
                      <w:szCs w:val="22"/>
                      <w:lang w:val="en-GB"/>
                    </w:rPr>
                  </w:pPr>
                  <w:r w:rsidRPr="002E26E7">
                    <w:rPr>
                      <w:rFonts w:ascii="Arial" w:eastAsia="Arial" w:hAnsi="Arial" w:cs="Arial"/>
                      <w:sz w:val="22"/>
                      <w:szCs w:val="22"/>
                      <w:lang w:bidi="es-ES"/>
                    </w:rPr>
                    <w:t>Sin cambios</w:t>
                  </w:r>
                </w:p>
              </w:tc>
            </w:tr>
            <w:tr w:rsidR="00FC612A" w:rsidRPr="002E26E7" w14:paraId="051B15A9" w14:textId="77777777" w:rsidTr="002E26E7">
              <w:tc>
                <w:tcPr>
                  <w:tcW w:w="1872" w:type="dxa"/>
                  <w:shd w:val="clear" w:color="auto" w:fill="DBE5F1" w:themeFill="accent1" w:themeFillTint="33"/>
                </w:tcPr>
                <w:p w14:paraId="39FFA43A" w14:textId="77777777" w:rsidR="00FC612A" w:rsidRPr="002E26E7" w:rsidRDefault="00FC612A" w:rsidP="007E459F">
                  <w:pPr>
                    <w:keepLines/>
                    <w:spacing w:before="60" w:after="60"/>
                    <w:jc w:val="right"/>
                    <w:rPr>
                      <w:rFonts w:ascii="Arial" w:hAnsi="Arial" w:cs="Arial"/>
                      <w:strike/>
                      <w:sz w:val="22"/>
                      <w:szCs w:val="22"/>
                      <w:lang w:val="en-GB"/>
                    </w:rPr>
                  </w:pPr>
                  <w:r w:rsidRPr="002E26E7">
                    <w:rPr>
                      <w:rFonts w:ascii="Arial" w:eastAsia="Arial" w:hAnsi="Arial" w:cs="Arial"/>
                      <w:strike/>
                      <w:sz w:val="22"/>
                      <w:szCs w:val="22"/>
                      <w:lang w:bidi="es-ES"/>
                    </w:rPr>
                    <w:lastRenderedPageBreak/>
                    <w:t>15 de diciembre</w:t>
                  </w:r>
                </w:p>
                <w:p w14:paraId="1F4C1CF7" w14:textId="77777777" w:rsidR="00FC612A" w:rsidRPr="002E26E7" w:rsidRDefault="00FC612A" w:rsidP="007E459F">
                  <w:pPr>
                    <w:keepLines/>
                    <w:spacing w:before="60" w:after="60"/>
                    <w:jc w:val="right"/>
                    <w:rPr>
                      <w:rFonts w:ascii="Arial" w:hAnsi="Arial" w:cs="Arial"/>
                      <w:sz w:val="22"/>
                      <w:szCs w:val="22"/>
                      <w:lang w:val="en-GB"/>
                    </w:rPr>
                  </w:pPr>
                  <w:r w:rsidRPr="002E26E7">
                    <w:rPr>
                      <w:rFonts w:ascii="Arial" w:eastAsia="Arial" w:hAnsi="Arial" w:cs="Arial"/>
                      <w:strike/>
                      <w:sz w:val="22"/>
                      <w:szCs w:val="22"/>
                      <w:lang w:bidi="es-ES"/>
                    </w:rPr>
                    <w:t>año 0</w:t>
                  </w:r>
                </w:p>
              </w:tc>
              <w:tc>
                <w:tcPr>
                  <w:tcW w:w="4402" w:type="dxa"/>
                  <w:shd w:val="clear" w:color="auto" w:fill="DBE5F1" w:themeFill="accent1" w:themeFillTint="33"/>
                </w:tcPr>
                <w:p w14:paraId="45FFE5AE" w14:textId="77777777" w:rsidR="00FC612A" w:rsidRPr="002E26E7" w:rsidRDefault="00FC612A" w:rsidP="0006712A">
                  <w:pPr>
                    <w:keepLines/>
                    <w:tabs>
                      <w:tab w:val="left" w:pos="4006"/>
                    </w:tabs>
                    <w:spacing w:before="60" w:after="60"/>
                    <w:jc w:val="both"/>
                    <w:rPr>
                      <w:rFonts w:ascii="Arial" w:hAnsi="Arial" w:cs="Arial"/>
                      <w:color w:val="000000" w:themeColor="text1"/>
                      <w:sz w:val="22"/>
                      <w:szCs w:val="22"/>
                    </w:rPr>
                  </w:pPr>
                  <w:r w:rsidRPr="002E26E7">
                    <w:rPr>
                      <w:rFonts w:ascii="Arial" w:eastAsia="Arial" w:hAnsi="Arial" w:cs="Arial"/>
                      <w:strike/>
                      <w:sz w:val="22"/>
                      <w:szCs w:val="22"/>
                      <w:lang w:bidi="es-ES"/>
                    </w:rPr>
                    <w:t>Fecha límite para la presentación de las solicitudes de traspaso de la Lista del Patrimonio Cultural Inmaterial que requiere medidas urgentes de salvaguardia a la Lista Representativa del Patrimonio Cultural Inmaterial de la Humanidad.</w:t>
                  </w:r>
                </w:p>
              </w:tc>
            </w:tr>
          </w:tbl>
          <w:p w14:paraId="7B1AB8E0" w14:textId="77777777" w:rsidR="00FC612A" w:rsidRPr="002E26E7" w:rsidRDefault="00FC612A" w:rsidP="005F773B">
            <w:pPr>
              <w:keepLines/>
              <w:spacing w:before="60" w:after="60"/>
              <w:jc w:val="both"/>
              <w:rPr>
                <w:rFonts w:ascii="Arial" w:hAnsi="Arial" w:cs="Arial"/>
                <w:color w:val="000000" w:themeColor="text1"/>
                <w:sz w:val="22"/>
                <w:szCs w:val="22"/>
              </w:rPr>
            </w:pPr>
          </w:p>
        </w:tc>
      </w:tr>
      <w:tr w:rsidR="00FC612A" w:rsidRPr="002E26E7" w14:paraId="2B66CB93" w14:textId="77777777" w:rsidTr="002E26E7">
        <w:trPr>
          <w:trHeight w:val="1904"/>
        </w:trPr>
        <w:tc>
          <w:tcPr>
            <w:tcW w:w="228" w:type="pct"/>
          </w:tcPr>
          <w:p w14:paraId="0E82E339" w14:textId="77777777" w:rsidR="00FC612A" w:rsidRPr="002E26E7" w:rsidRDefault="00FC612A" w:rsidP="005F773B">
            <w:pPr>
              <w:keepLines/>
              <w:spacing w:before="60" w:after="60"/>
              <w:rPr>
                <w:rFonts w:ascii="Arial" w:hAnsi="Arial" w:cs="Arial"/>
                <w:sz w:val="22"/>
                <w:szCs w:val="22"/>
              </w:rPr>
            </w:pPr>
          </w:p>
        </w:tc>
        <w:tc>
          <w:tcPr>
            <w:tcW w:w="2291" w:type="pct"/>
            <w:tcBorders>
              <w:bottom w:val="single" w:sz="4" w:space="0" w:color="auto"/>
            </w:tcBorders>
          </w:tcPr>
          <w:tbl>
            <w:tblPr>
              <w:tblStyle w:val="TableGrid"/>
              <w:tblW w:w="6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99"/>
              <w:gridCol w:w="4486"/>
            </w:tblGrid>
            <w:tr w:rsidR="00FC612A" w:rsidRPr="002E26E7" w14:paraId="6EB4D79A" w14:textId="77777777" w:rsidTr="002E26E7">
              <w:trPr>
                <w:cantSplit/>
              </w:trPr>
              <w:tc>
                <w:tcPr>
                  <w:tcW w:w="1431" w:type="pct"/>
                </w:tcPr>
                <w:p w14:paraId="4E53B8DB" w14:textId="77777777" w:rsidR="00FC612A" w:rsidRPr="002E26E7" w:rsidRDefault="00FC612A" w:rsidP="005F773B">
                  <w:pPr>
                    <w:keepLines/>
                    <w:spacing w:before="60" w:after="60"/>
                    <w:jc w:val="right"/>
                    <w:rPr>
                      <w:rFonts w:ascii="Arial" w:hAnsi="Arial" w:cs="Arial"/>
                      <w:sz w:val="22"/>
                      <w:szCs w:val="22"/>
                      <w:lang w:val="en-GB"/>
                    </w:rPr>
                  </w:pPr>
                  <w:r w:rsidRPr="002E26E7">
                    <w:rPr>
                      <w:rFonts w:ascii="Arial" w:eastAsia="Arial" w:hAnsi="Arial" w:cs="Arial"/>
                      <w:sz w:val="22"/>
                      <w:szCs w:val="22"/>
                      <w:lang w:bidi="es-ES"/>
                    </w:rPr>
                    <w:t>31 de marzo</w:t>
                  </w:r>
                </w:p>
                <w:p w14:paraId="7CE77768" w14:textId="77777777" w:rsidR="00FC612A" w:rsidRPr="002E26E7" w:rsidRDefault="00FC612A" w:rsidP="005F773B">
                  <w:pPr>
                    <w:keepLines/>
                    <w:spacing w:before="60" w:after="60"/>
                    <w:jc w:val="right"/>
                    <w:rPr>
                      <w:rFonts w:ascii="Arial" w:hAnsi="Arial" w:cs="Arial"/>
                      <w:sz w:val="22"/>
                      <w:szCs w:val="22"/>
                      <w:lang w:val="en-GB"/>
                    </w:rPr>
                  </w:pPr>
                  <w:r w:rsidRPr="002E26E7">
                    <w:rPr>
                      <w:rFonts w:ascii="Arial" w:eastAsia="Arial" w:hAnsi="Arial" w:cs="Arial"/>
                      <w:sz w:val="22"/>
                      <w:szCs w:val="22"/>
                      <w:lang w:bidi="es-ES"/>
                    </w:rPr>
                    <w:t>año 1</w:t>
                  </w:r>
                </w:p>
              </w:tc>
              <w:tc>
                <w:tcPr>
                  <w:tcW w:w="3569" w:type="pct"/>
                </w:tcPr>
                <w:p w14:paraId="56DCC66B" w14:textId="77777777" w:rsidR="00FC612A" w:rsidRPr="002E26E7" w:rsidRDefault="00FC612A" w:rsidP="005F773B">
                  <w:pPr>
                    <w:keepLines/>
                    <w:spacing w:before="60" w:after="60"/>
                    <w:ind w:right="69"/>
                    <w:jc w:val="both"/>
                    <w:rPr>
                      <w:rFonts w:ascii="Arial" w:hAnsi="Arial" w:cs="Arial"/>
                      <w:sz w:val="22"/>
                      <w:szCs w:val="22"/>
                    </w:rPr>
                  </w:pPr>
                  <w:r w:rsidRPr="002E26E7">
                    <w:rPr>
                      <w:rFonts w:ascii="Arial" w:eastAsia="Arial" w:hAnsi="Arial" w:cs="Arial"/>
                      <w:sz w:val="22"/>
                      <w:szCs w:val="22"/>
                      <w:lang w:bidi="es-ES"/>
                    </w:rPr>
                    <w:t>Fecha límite para presentar a la Secretaría los expedientes de candidatura a la Lista del Patrimonio Cultural Inmaterial que requiere medidas urgentes de salvaguardia (incluidas las presentadas simultáneamente con solicitudes de asistencia internacional) y la Lista Representativa del Patrimonio Cultural Inmaterial de la Humanidad, así como propuestas de programas, proyectos y actividades que reflejan del modo más adecuado los principios y objetivos de la Convención. Los expedientes que se reciban después de esta fecha se examinarán en el ciclo siguiente. La Secretaría publicará en el sitio web de la Convención los expedientes tal como se hayan recibido, en su lengua original.</w:t>
                  </w:r>
                </w:p>
              </w:tc>
            </w:tr>
            <w:tr w:rsidR="00FC612A" w:rsidRPr="002E26E7" w14:paraId="7639C06C" w14:textId="77777777" w:rsidTr="002E26E7">
              <w:trPr>
                <w:cantSplit/>
                <w:trHeight w:val="95"/>
              </w:trPr>
              <w:tc>
                <w:tcPr>
                  <w:tcW w:w="1431" w:type="pct"/>
                </w:tcPr>
                <w:p w14:paraId="2AC01BE5" w14:textId="77777777" w:rsidR="00FC612A" w:rsidRPr="002E26E7" w:rsidRDefault="00FC612A" w:rsidP="005F773B">
                  <w:pPr>
                    <w:keepLines/>
                    <w:spacing w:before="60" w:after="60"/>
                    <w:jc w:val="right"/>
                    <w:rPr>
                      <w:rFonts w:ascii="Arial" w:hAnsi="Arial" w:cs="Arial"/>
                      <w:sz w:val="22"/>
                      <w:szCs w:val="22"/>
                      <w:highlight w:val="yellow"/>
                    </w:rPr>
                  </w:pPr>
                </w:p>
                <w:p w14:paraId="26FAD7DD" w14:textId="77777777" w:rsidR="00FC612A" w:rsidRPr="002E26E7" w:rsidRDefault="00FC612A" w:rsidP="005F773B">
                  <w:pPr>
                    <w:keepLines/>
                    <w:spacing w:before="60" w:after="60"/>
                    <w:jc w:val="right"/>
                    <w:rPr>
                      <w:rFonts w:ascii="Arial" w:hAnsi="Arial" w:cs="Arial"/>
                      <w:sz w:val="22"/>
                      <w:szCs w:val="22"/>
                      <w:highlight w:val="yellow"/>
                    </w:rPr>
                  </w:pPr>
                </w:p>
                <w:p w14:paraId="0038118E" w14:textId="77777777" w:rsidR="00FC612A" w:rsidRPr="002E26E7" w:rsidRDefault="00FC612A" w:rsidP="005F773B">
                  <w:pPr>
                    <w:keepLines/>
                    <w:spacing w:before="60" w:after="60"/>
                    <w:jc w:val="right"/>
                    <w:rPr>
                      <w:rFonts w:ascii="Arial" w:hAnsi="Arial" w:cs="Arial"/>
                      <w:sz w:val="22"/>
                      <w:szCs w:val="22"/>
                      <w:highlight w:val="yellow"/>
                    </w:rPr>
                  </w:pPr>
                </w:p>
                <w:p w14:paraId="02062704" w14:textId="77777777" w:rsidR="00FC612A" w:rsidRPr="002E26E7" w:rsidRDefault="00FC612A" w:rsidP="005F773B">
                  <w:pPr>
                    <w:keepLines/>
                    <w:spacing w:before="60" w:after="60"/>
                    <w:jc w:val="right"/>
                    <w:rPr>
                      <w:rFonts w:ascii="Arial" w:hAnsi="Arial" w:cs="Arial"/>
                      <w:sz w:val="22"/>
                      <w:szCs w:val="22"/>
                      <w:highlight w:val="yellow"/>
                    </w:rPr>
                  </w:pPr>
                </w:p>
              </w:tc>
              <w:tc>
                <w:tcPr>
                  <w:tcW w:w="3569" w:type="pct"/>
                </w:tcPr>
                <w:p w14:paraId="4113814C" w14:textId="77777777" w:rsidR="00FC612A" w:rsidRPr="002E26E7" w:rsidRDefault="00FC612A" w:rsidP="005F773B">
                  <w:pPr>
                    <w:keepLines/>
                    <w:spacing w:before="60" w:after="60"/>
                    <w:jc w:val="both"/>
                    <w:rPr>
                      <w:rFonts w:ascii="Arial" w:hAnsi="Arial" w:cs="Arial"/>
                      <w:sz w:val="22"/>
                      <w:szCs w:val="22"/>
                    </w:rPr>
                  </w:pPr>
                </w:p>
                <w:p w14:paraId="24541558" w14:textId="77777777" w:rsidR="00FC612A" w:rsidRPr="002E26E7" w:rsidRDefault="00FC612A" w:rsidP="005F773B">
                  <w:pPr>
                    <w:keepLines/>
                    <w:spacing w:before="60" w:after="60"/>
                    <w:jc w:val="both"/>
                    <w:rPr>
                      <w:rFonts w:ascii="Arial" w:hAnsi="Arial" w:cs="Arial"/>
                      <w:sz w:val="22"/>
                      <w:szCs w:val="22"/>
                    </w:rPr>
                  </w:pPr>
                </w:p>
                <w:p w14:paraId="48C3953A" w14:textId="77777777" w:rsidR="00FC612A" w:rsidRPr="002E26E7" w:rsidRDefault="00FC612A" w:rsidP="005F773B">
                  <w:pPr>
                    <w:keepLines/>
                    <w:spacing w:before="60" w:after="60"/>
                    <w:jc w:val="both"/>
                    <w:rPr>
                      <w:rFonts w:ascii="Arial" w:hAnsi="Arial" w:cs="Arial"/>
                      <w:sz w:val="22"/>
                      <w:szCs w:val="22"/>
                    </w:rPr>
                  </w:pPr>
                </w:p>
                <w:p w14:paraId="1240BE1F" w14:textId="77777777" w:rsidR="00FC612A" w:rsidRPr="002E26E7" w:rsidRDefault="00FC612A" w:rsidP="005F773B">
                  <w:pPr>
                    <w:keepLines/>
                    <w:spacing w:before="60" w:after="60"/>
                    <w:jc w:val="both"/>
                    <w:rPr>
                      <w:rFonts w:ascii="Arial" w:hAnsi="Arial" w:cs="Arial"/>
                      <w:sz w:val="22"/>
                      <w:szCs w:val="22"/>
                    </w:rPr>
                  </w:pPr>
                </w:p>
                <w:p w14:paraId="58CA5BE4" w14:textId="77777777" w:rsidR="00FC612A" w:rsidRPr="002E26E7" w:rsidRDefault="00FC612A" w:rsidP="005F773B">
                  <w:pPr>
                    <w:keepLines/>
                    <w:spacing w:before="60" w:after="60"/>
                    <w:jc w:val="both"/>
                    <w:rPr>
                      <w:rFonts w:ascii="Arial" w:hAnsi="Arial" w:cs="Arial"/>
                      <w:sz w:val="22"/>
                      <w:szCs w:val="22"/>
                    </w:rPr>
                  </w:pPr>
                </w:p>
                <w:p w14:paraId="66340F3F" w14:textId="77777777" w:rsidR="00FC612A" w:rsidRPr="002E26E7" w:rsidRDefault="00FC612A" w:rsidP="005F773B">
                  <w:pPr>
                    <w:keepLines/>
                    <w:spacing w:before="60" w:after="60"/>
                    <w:jc w:val="both"/>
                    <w:rPr>
                      <w:rFonts w:ascii="Arial" w:hAnsi="Arial" w:cs="Arial"/>
                      <w:sz w:val="22"/>
                      <w:szCs w:val="22"/>
                    </w:rPr>
                  </w:pPr>
                  <w:r w:rsidRPr="002E26E7">
                    <w:rPr>
                      <w:rFonts w:ascii="Arial" w:eastAsia="Arial" w:hAnsi="Arial" w:cs="Arial"/>
                      <w:sz w:val="22"/>
                      <w:szCs w:val="22"/>
                      <w:lang w:bidi="es-ES"/>
                    </w:rPr>
                    <w:t xml:space="preserve"> </w:t>
                  </w:r>
                </w:p>
              </w:tc>
            </w:tr>
            <w:tr w:rsidR="00FC612A" w:rsidRPr="002E26E7" w14:paraId="303926C4" w14:textId="77777777" w:rsidTr="002E26E7">
              <w:trPr>
                <w:cantSplit/>
              </w:trPr>
              <w:tc>
                <w:tcPr>
                  <w:tcW w:w="1431" w:type="pct"/>
                </w:tcPr>
                <w:p w14:paraId="2097D597" w14:textId="77777777" w:rsidR="00FC612A" w:rsidRPr="002E26E7" w:rsidRDefault="00FC612A" w:rsidP="005F773B">
                  <w:pPr>
                    <w:keepLines/>
                    <w:spacing w:before="60" w:after="60"/>
                    <w:jc w:val="right"/>
                    <w:rPr>
                      <w:rFonts w:ascii="Arial" w:hAnsi="Arial" w:cs="Arial"/>
                      <w:sz w:val="22"/>
                      <w:szCs w:val="22"/>
                      <w:lang w:val="en-GB"/>
                    </w:rPr>
                  </w:pPr>
                  <w:r w:rsidRPr="002E26E7">
                    <w:rPr>
                      <w:rFonts w:ascii="Arial" w:eastAsia="Arial" w:hAnsi="Arial" w:cs="Arial"/>
                      <w:sz w:val="22"/>
                      <w:szCs w:val="22"/>
                      <w:lang w:bidi="es-ES"/>
                    </w:rPr>
                    <w:lastRenderedPageBreak/>
                    <w:t>30 de junio</w:t>
                  </w:r>
                </w:p>
                <w:p w14:paraId="7BE9BA20" w14:textId="77777777" w:rsidR="00FC612A" w:rsidRPr="002E26E7" w:rsidRDefault="00FC612A" w:rsidP="005F773B">
                  <w:pPr>
                    <w:keepLines/>
                    <w:spacing w:before="60" w:after="60"/>
                    <w:jc w:val="right"/>
                    <w:rPr>
                      <w:rFonts w:ascii="Arial" w:hAnsi="Arial" w:cs="Arial"/>
                      <w:sz w:val="22"/>
                      <w:szCs w:val="22"/>
                      <w:lang w:val="en-GB"/>
                    </w:rPr>
                  </w:pPr>
                  <w:r w:rsidRPr="002E26E7">
                    <w:rPr>
                      <w:rFonts w:ascii="Arial" w:eastAsia="Arial" w:hAnsi="Arial" w:cs="Arial"/>
                      <w:sz w:val="22"/>
                      <w:szCs w:val="22"/>
                      <w:lang w:bidi="es-ES"/>
                    </w:rPr>
                    <w:t>año 1</w:t>
                  </w:r>
                </w:p>
              </w:tc>
              <w:tc>
                <w:tcPr>
                  <w:tcW w:w="3569" w:type="pct"/>
                </w:tcPr>
                <w:p w14:paraId="50964746" w14:textId="77777777" w:rsidR="00FC612A" w:rsidRPr="002E26E7" w:rsidRDefault="00FC612A" w:rsidP="005F773B">
                  <w:pPr>
                    <w:keepLines/>
                    <w:spacing w:before="60" w:after="60"/>
                    <w:ind w:right="69"/>
                    <w:jc w:val="both"/>
                    <w:rPr>
                      <w:rFonts w:ascii="Arial" w:hAnsi="Arial" w:cs="Arial"/>
                      <w:sz w:val="22"/>
                      <w:szCs w:val="22"/>
                    </w:rPr>
                  </w:pPr>
                  <w:r w:rsidRPr="002E26E7">
                    <w:rPr>
                      <w:rFonts w:ascii="Arial" w:eastAsia="Arial" w:hAnsi="Arial" w:cs="Arial"/>
                      <w:sz w:val="22"/>
                      <w:szCs w:val="22"/>
                      <w:lang w:bidi="es-ES"/>
                    </w:rPr>
                    <w:t>Fecha límite para que la Secretaría ultime la tramitación de los expedientes, comprendidos el registro y el acuse de recibo. Si se estima que un expediente está incompleto, se invitará al Estado Parte a que lo complete.</w:t>
                  </w:r>
                </w:p>
              </w:tc>
            </w:tr>
            <w:tr w:rsidR="00FC612A" w:rsidRPr="002E26E7" w14:paraId="3F490945" w14:textId="77777777" w:rsidTr="002E26E7">
              <w:trPr>
                <w:cantSplit/>
              </w:trPr>
              <w:tc>
                <w:tcPr>
                  <w:tcW w:w="1431" w:type="pct"/>
                </w:tcPr>
                <w:p w14:paraId="1B90FAFB" w14:textId="77777777" w:rsidR="00FC612A" w:rsidRPr="002E26E7" w:rsidRDefault="00FC612A" w:rsidP="005F773B">
                  <w:pPr>
                    <w:keepLines/>
                    <w:spacing w:before="60" w:after="60"/>
                    <w:jc w:val="right"/>
                    <w:rPr>
                      <w:rFonts w:ascii="Arial" w:hAnsi="Arial" w:cs="Arial"/>
                      <w:sz w:val="22"/>
                      <w:szCs w:val="22"/>
                      <w:lang w:val="en-GB"/>
                    </w:rPr>
                  </w:pPr>
                  <w:r w:rsidRPr="002E26E7">
                    <w:rPr>
                      <w:rFonts w:ascii="Arial" w:eastAsia="Arial" w:hAnsi="Arial" w:cs="Arial"/>
                      <w:sz w:val="22"/>
                      <w:szCs w:val="22"/>
                      <w:lang w:bidi="es-ES"/>
                    </w:rPr>
                    <w:t>30 de septiembre</w:t>
                  </w:r>
                </w:p>
                <w:p w14:paraId="23F9377E" w14:textId="77777777" w:rsidR="00FC612A" w:rsidRPr="002E26E7" w:rsidRDefault="00FC612A" w:rsidP="005F773B">
                  <w:pPr>
                    <w:keepLines/>
                    <w:spacing w:before="60" w:after="60"/>
                    <w:jc w:val="right"/>
                    <w:rPr>
                      <w:rFonts w:ascii="Arial" w:hAnsi="Arial" w:cs="Arial"/>
                      <w:sz w:val="22"/>
                      <w:szCs w:val="22"/>
                      <w:lang w:val="en-GB"/>
                    </w:rPr>
                  </w:pPr>
                  <w:r w:rsidRPr="002E26E7">
                    <w:rPr>
                      <w:rFonts w:ascii="Arial" w:eastAsia="Arial" w:hAnsi="Arial" w:cs="Arial"/>
                      <w:sz w:val="22"/>
                      <w:szCs w:val="22"/>
                      <w:lang w:bidi="es-ES"/>
                    </w:rPr>
                    <w:t>año 1</w:t>
                  </w:r>
                </w:p>
              </w:tc>
              <w:tc>
                <w:tcPr>
                  <w:tcW w:w="3569" w:type="pct"/>
                </w:tcPr>
                <w:p w14:paraId="2AD29B1E" w14:textId="77777777" w:rsidR="00FC612A" w:rsidRPr="002E26E7" w:rsidRDefault="00FC612A" w:rsidP="005F773B">
                  <w:pPr>
                    <w:keepLines/>
                    <w:spacing w:before="60" w:after="60"/>
                    <w:ind w:right="69"/>
                    <w:jc w:val="both"/>
                    <w:rPr>
                      <w:rFonts w:ascii="Arial" w:hAnsi="Arial" w:cs="Arial"/>
                      <w:sz w:val="22"/>
                      <w:szCs w:val="22"/>
                    </w:rPr>
                  </w:pPr>
                  <w:r w:rsidRPr="002E26E7">
                    <w:rPr>
                      <w:rFonts w:ascii="Arial" w:eastAsia="Arial" w:hAnsi="Arial" w:cs="Arial"/>
                      <w:sz w:val="22"/>
                      <w:szCs w:val="22"/>
                      <w:lang w:bidi="es-ES"/>
                    </w:rPr>
                    <w:t>Fecha límite para que el Estado Parte presente a la Secretaría la información requerida para completar el expediente, si fuere necesario. Los expedientes que sigan estando incompletos se podrán completar para un ciclo ulterior. A medida que se vayan recibiendo en la Secretaría los expedientes revisados por los Estados solicitantes a los que se pidió información complementaria, se publicarán en el sitio web y reemplazarán a los expedientes recibidos inicialmente. Las traducciones al francés y al inglés de esos expedientes se publicarán también en el sitio web cuando estén disponibles.</w:t>
                  </w:r>
                </w:p>
                <w:p w14:paraId="6C95862B" w14:textId="77777777" w:rsidR="00FC612A" w:rsidRPr="002E26E7" w:rsidRDefault="00FC612A" w:rsidP="005F773B">
                  <w:pPr>
                    <w:keepLines/>
                    <w:spacing w:before="60" w:after="60"/>
                    <w:ind w:right="69"/>
                    <w:jc w:val="both"/>
                    <w:rPr>
                      <w:rFonts w:ascii="Arial" w:hAnsi="Arial" w:cs="Arial"/>
                      <w:sz w:val="22"/>
                      <w:szCs w:val="22"/>
                    </w:rPr>
                  </w:pPr>
                </w:p>
              </w:tc>
            </w:tr>
            <w:tr w:rsidR="00FC612A" w:rsidRPr="002E26E7" w14:paraId="1E36550B" w14:textId="77777777" w:rsidTr="002E26E7">
              <w:trPr>
                <w:cantSplit/>
              </w:trPr>
              <w:tc>
                <w:tcPr>
                  <w:tcW w:w="1431" w:type="pct"/>
                </w:tcPr>
                <w:p w14:paraId="6FF57A66" w14:textId="77777777" w:rsidR="00FC612A" w:rsidRPr="002E26E7" w:rsidRDefault="00FC612A" w:rsidP="005F773B">
                  <w:pPr>
                    <w:keepLines/>
                    <w:spacing w:before="60" w:after="60"/>
                    <w:jc w:val="right"/>
                    <w:rPr>
                      <w:rFonts w:ascii="Arial" w:hAnsi="Arial" w:cs="Arial"/>
                      <w:sz w:val="22"/>
                      <w:szCs w:val="22"/>
                      <w:lang w:val="en-GB"/>
                    </w:rPr>
                  </w:pPr>
                  <w:r w:rsidRPr="002E26E7">
                    <w:rPr>
                      <w:rFonts w:ascii="Arial" w:eastAsia="Arial" w:hAnsi="Arial" w:cs="Arial"/>
                      <w:sz w:val="22"/>
                      <w:szCs w:val="22"/>
                      <w:lang w:bidi="es-ES"/>
                    </w:rPr>
                    <w:t>31 de enero</w:t>
                  </w:r>
                </w:p>
                <w:p w14:paraId="37658F32" w14:textId="77777777" w:rsidR="00FC612A" w:rsidRPr="002E26E7" w:rsidRDefault="00FC612A" w:rsidP="005F773B">
                  <w:pPr>
                    <w:keepLines/>
                    <w:spacing w:before="60" w:after="60"/>
                    <w:jc w:val="right"/>
                    <w:rPr>
                      <w:rFonts w:ascii="Arial" w:hAnsi="Arial" w:cs="Arial"/>
                      <w:sz w:val="22"/>
                      <w:szCs w:val="22"/>
                      <w:lang w:val="en-GB"/>
                    </w:rPr>
                  </w:pPr>
                  <w:r w:rsidRPr="002E26E7">
                    <w:rPr>
                      <w:rFonts w:ascii="Arial" w:eastAsia="Arial" w:hAnsi="Arial" w:cs="Arial"/>
                      <w:sz w:val="22"/>
                      <w:szCs w:val="22"/>
                      <w:lang w:bidi="es-ES"/>
                    </w:rPr>
                    <w:t>año 2</w:t>
                  </w:r>
                </w:p>
              </w:tc>
              <w:tc>
                <w:tcPr>
                  <w:tcW w:w="3569" w:type="pct"/>
                </w:tcPr>
                <w:p w14:paraId="4E33399F" w14:textId="77777777" w:rsidR="00FC612A" w:rsidRPr="002E26E7" w:rsidRDefault="00FC612A" w:rsidP="005F773B">
                  <w:pPr>
                    <w:keepLines/>
                    <w:spacing w:before="60" w:after="60"/>
                    <w:ind w:right="69"/>
                    <w:jc w:val="both"/>
                    <w:rPr>
                      <w:rFonts w:ascii="Arial" w:hAnsi="Arial" w:cs="Arial"/>
                      <w:sz w:val="22"/>
                      <w:szCs w:val="22"/>
                    </w:rPr>
                  </w:pPr>
                  <w:r w:rsidRPr="002E26E7">
                    <w:rPr>
                      <w:rFonts w:ascii="Arial" w:eastAsia="Arial" w:hAnsi="Arial" w:cs="Arial"/>
                      <w:sz w:val="22"/>
                      <w:szCs w:val="22"/>
                      <w:lang w:bidi="es-ES"/>
                    </w:rPr>
                    <w:t>Fecha límite para presentar a la Secretaría las solicitudes de traspaso de la Lista Representativa del Patrimonio Cultural Inmaterial de la Humanidad a la Lista del Patrimonio Cultural Inmaterial que requiere medidas urgentes de salvaguardia. La Secretaría registra las solicitudes. Las solicitudes se transmiten al Órgano de Evaluación el mismo año de su presentación, sin verificación de que el expediente esté completo.</w:t>
                  </w:r>
                </w:p>
              </w:tc>
            </w:tr>
          </w:tbl>
          <w:p w14:paraId="25693707" w14:textId="77777777" w:rsidR="00FC612A" w:rsidRPr="002E26E7" w:rsidRDefault="00FC612A" w:rsidP="005F773B">
            <w:pPr>
              <w:keepLines/>
              <w:spacing w:before="60" w:after="60"/>
              <w:jc w:val="both"/>
              <w:rPr>
                <w:rFonts w:ascii="Arial" w:hAnsi="Arial" w:cs="Arial"/>
                <w:sz w:val="22"/>
                <w:szCs w:val="22"/>
              </w:rPr>
            </w:pPr>
          </w:p>
        </w:tc>
        <w:tc>
          <w:tcPr>
            <w:tcW w:w="231" w:type="pct"/>
            <w:tcBorders>
              <w:bottom w:val="single" w:sz="4" w:space="0" w:color="auto"/>
            </w:tcBorders>
          </w:tcPr>
          <w:p w14:paraId="5070CB94" w14:textId="77777777" w:rsidR="00FC612A" w:rsidRPr="002E26E7" w:rsidRDefault="00FC612A" w:rsidP="005F773B">
            <w:pPr>
              <w:keepLines/>
              <w:spacing w:before="60" w:after="60"/>
              <w:jc w:val="both"/>
              <w:rPr>
                <w:rFonts w:ascii="Arial" w:hAnsi="Arial" w:cs="Arial"/>
                <w:sz w:val="22"/>
                <w:szCs w:val="22"/>
              </w:rPr>
            </w:pPr>
          </w:p>
        </w:tc>
        <w:tc>
          <w:tcPr>
            <w:tcW w:w="2251" w:type="pct"/>
            <w:tcBorders>
              <w:bottom w:val="single" w:sz="4" w:space="0" w:color="auto"/>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2"/>
              <w:gridCol w:w="4289"/>
            </w:tblGrid>
            <w:tr w:rsidR="00FC612A" w:rsidRPr="002E26E7" w14:paraId="49063C18" w14:textId="77777777" w:rsidTr="002E26E7">
              <w:trPr>
                <w:cantSplit/>
                <w:trHeight w:val="4702"/>
              </w:trPr>
              <w:tc>
                <w:tcPr>
                  <w:tcW w:w="1519" w:type="pct"/>
                </w:tcPr>
                <w:p w14:paraId="123EC3E9" w14:textId="77777777" w:rsidR="00FC612A" w:rsidRPr="002E26E7" w:rsidRDefault="00FC612A" w:rsidP="005F773B">
                  <w:pPr>
                    <w:keepLines/>
                    <w:spacing w:before="60" w:after="60"/>
                    <w:jc w:val="right"/>
                    <w:rPr>
                      <w:rFonts w:ascii="Arial" w:hAnsi="Arial" w:cs="Arial"/>
                      <w:sz w:val="22"/>
                      <w:szCs w:val="22"/>
                      <w:lang w:val="en-GB"/>
                    </w:rPr>
                  </w:pPr>
                  <w:r w:rsidRPr="002E26E7">
                    <w:rPr>
                      <w:rFonts w:ascii="Arial" w:eastAsia="Arial" w:hAnsi="Arial" w:cs="Arial"/>
                      <w:sz w:val="22"/>
                      <w:szCs w:val="22"/>
                      <w:lang w:bidi="es-ES"/>
                    </w:rPr>
                    <w:t>31 de marzo</w:t>
                  </w:r>
                </w:p>
                <w:p w14:paraId="0CEE7EA4" w14:textId="77777777" w:rsidR="00FC612A" w:rsidRPr="002E26E7" w:rsidRDefault="00FC612A" w:rsidP="005F773B">
                  <w:pPr>
                    <w:keepLines/>
                    <w:spacing w:before="60" w:after="60"/>
                    <w:jc w:val="right"/>
                    <w:rPr>
                      <w:rFonts w:ascii="Arial" w:hAnsi="Arial" w:cs="Arial"/>
                      <w:sz w:val="22"/>
                      <w:szCs w:val="22"/>
                      <w:lang w:val="en-GB"/>
                    </w:rPr>
                  </w:pPr>
                  <w:r w:rsidRPr="002E26E7">
                    <w:rPr>
                      <w:rFonts w:ascii="Arial" w:eastAsia="Arial" w:hAnsi="Arial" w:cs="Arial"/>
                      <w:sz w:val="22"/>
                      <w:szCs w:val="22"/>
                      <w:lang w:bidi="es-ES"/>
                    </w:rPr>
                    <w:t>año 1</w:t>
                  </w:r>
                </w:p>
              </w:tc>
              <w:tc>
                <w:tcPr>
                  <w:tcW w:w="3481" w:type="pct"/>
                </w:tcPr>
                <w:p w14:paraId="347D0783"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Sin cambios</w:t>
                  </w:r>
                </w:p>
                <w:p w14:paraId="3B95ED54" w14:textId="77777777" w:rsidR="00FC612A" w:rsidRPr="002E26E7" w:rsidRDefault="00FC612A" w:rsidP="005F773B">
                  <w:pPr>
                    <w:keepLines/>
                    <w:spacing w:before="60" w:after="60"/>
                    <w:jc w:val="both"/>
                    <w:rPr>
                      <w:rFonts w:ascii="Arial" w:hAnsi="Arial" w:cs="Arial"/>
                      <w:sz w:val="22"/>
                      <w:szCs w:val="22"/>
                      <w:lang w:val="en-GB"/>
                    </w:rPr>
                  </w:pPr>
                </w:p>
                <w:p w14:paraId="01BE86F6" w14:textId="77777777" w:rsidR="00FC612A" w:rsidRPr="002E26E7" w:rsidRDefault="00FC612A" w:rsidP="005F773B">
                  <w:pPr>
                    <w:keepLines/>
                    <w:spacing w:before="60" w:after="60"/>
                    <w:jc w:val="both"/>
                    <w:rPr>
                      <w:rFonts w:ascii="Arial" w:hAnsi="Arial" w:cs="Arial"/>
                      <w:sz w:val="22"/>
                      <w:szCs w:val="22"/>
                      <w:lang w:val="en-GB"/>
                    </w:rPr>
                  </w:pPr>
                </w:p>
                <w:p w14:paraId="054C3DDF" w14:textId="77777777" w:rsidR="00FC612A" w:rsidRPr="002E26E7" w:rsidRDefault="00FC612A" w:rsidP="005F773B">
                  <w:pPr>
                    <w:keepLines/>
                    <w:spacing w:before="60" w:after="60"/>
                    <w:jc w:val="both"/>
                    <w:rPr>
                      <w:rFonts w:ascii="Arial" w:hAnsi="Arial" w:cs="Arial"/>
                      <w:sz w:val="22"/>
                      <w:szCs w:val="22"/>
                      <w:lang w:val="en-GB"/>
                    </w:rPr>
                  </w:pPr>
                </w:p>
                <w:p w14:paraId="58EE57D3" w14:textId="77777777" w:rsidR="00FC612A" w:rsidRPr="002E26E7" w:rsidRDefault="00FC612A" w:rsidP="005F773B">
                  <w:pPr>
                    <w:keepLines/>
                    <w:spacing w:before="60" w:after="60"/>
                    <w:jc w:val="both"/>
                    <w:rPr>
                      <w:rFonts w:ascii="Arial" w:hAnsi="Arial" w:cs="Arial"/>
                      <w:sz w:val="22"/>
                      <w:szCs w:val="22"/>
                      <w:lang w:val="en-GB"/>
                    </w:rPr>
                  </w:pPr>
                </w:p>
                <w:p w14:paraId="4AAC12E2" w14:textId="77777777" w:rsidR="00FC612A" w:rsidRPr="002E26E7" w:rsidRDefault="00FC612A" w:rsidP="005F773B">
                  <w:pPr>
                    <w:keepLines/>
                    <w:spacing w:before="60" w:after="60"/>
                    <w:jc w:val="both"/>
                    <w:rPr>
                      <w:rFonts w:ascii="Arial" w:hAnsi="Arial" w:cs="Arial"/>
                      <w:sz w:val="22"/>
                      <w:szCs w:val="22"/>
                      <w:lang w:val="en-GB"/>
                    </w:rPr>
                  </w:pPr>
                </w:p>
                <w:p w14:paraId="465D3F78" w14:textId="77777777" w:rsidR="00FC612A" w:rsidRPr="002E26E7" w:rsidRDefault="00FC612A" w:rsidP="005F773B">
                  <w:pPr>
                    <w:keepLines/>
                    <w:spacing w:before="60" w:after="60"/>
                    <w:jc w:val="both"/>
                    <w:rPr>
                      <w:rFonts w:ascii="Arial" w:hAnsi="Arial" w:cs="Arial"/>
                      <w:sz w:val="22"/>
                      <w:szCs w:val="22"/>
                      <w:lang w:val="en-GB"/>
                    </w:rPr>
                  </w:pPr>
                </w:p>
                <w:p w14:paraId="0258B07F" w14:textId="77777777" w:rsidR="00FC612A" w:rsidRPr="002E26E7" w:rsidRDefault="00FC612A" w:rsidP="005F773B">
                  <w:pPr>
                    <w:keepLines/>
                    <w:spacing w:before="60" w:after="60"/>
                    <w:jc w:val="both"/>
                    <w:rPr>
                      <w:rFonts w:ascii="Arial" w:hAnsi="Arial" w:cs="Arial"/>
                      <w:sz w:val="22"/>
                      <w:szCs w:val="22"/>
                      <w:lang w:val="en-GB"/>
                    </w:rPr>
                  </w:pPr>
                </w:p>
                <w:p w14:paraId="1F7799B5" w14:textId="77777777" w:rsidR="00FC612A" w:rsidRPr="002E26E7" w:rsidRDefault="00FC612A" w:rsidP="005F773B">
                  <w:pPr>
                    <w:keepLines/>
                    <w:spacing w:before="60" w:after="60"/>
                    <w:jc w:val="both"/>
                    <w:rPr>
                      <w:rFonts w:ascii="Arial" w:hAnsi="Arial" w:cs="Arial"/>
                      <w:sz w:val="22"/>
                      <w:szCs w:val="22"/>
                      <w:lang w:val="en-GB"/>
                    </w:rPr>
                  </w:pPr>
                </w:p>
                <w:p w14:paraId="4A50769E" w14:textId="77777777" w:rsidR="00FC612A" w:rsidRPr="002E26E7" w:rsidRDefault="00FC612A" w:rsidP="005F773B">
                  <w:pPr>
                    <w:keepLines/>
                    <w:spacing w:before="60" w:after="60"/>
                    <w:jc w:val="both"/>
                    <w:rPr>
                      <w:rFonts w:ascii="Arial" w:hAnsi="Arial" w:cs="Arial"/>
                      <w:sz w:val="22"/>
                      <w:szCs w:val="22"/>
                      <w:lang w:val="en-GB"/>
                    </w:rPr>
                  </w:pPr>
                </w:p>
                <w:p w14:paraId="0BE36F48" w14:textId="77777777" w:rsidR="00FC612A" w:rsidRPr="002E26E7" w:rsidRDefault="00FC612A" w:rsidP="005F773B">
                  <w:pPr>
                    <w:keepLines/>
                    <w:spacing w:before="60" w:after="60"/>
                    <w:jc w:val="both"/>
                    <w:rPr>
                      <w:rFonts w:ascii="Arial" w:hAnsi="Arial" w:cs="Arial"/>
                      <w:sz w:val="22"/>
                      <w:szCs w:val="22"/>
                      <w:lang w:val="en-GB"/>
                    </w:rPr>
                  </w:pPr>
                </w:p>
                <w:p w14:paraId="2F30D581" w14:textId="77777777" w:rsidR="00FC612A" w:rsidRPr="002E26E7" w:rsidRDefault="00FC612A" w:rsidP="005F773B">
                  <w:pPr>
                    <w:keepLines/>
                    <w:spacing w:before="60" w:after="60"/>
                    <w:jc w:val="both"/>
                    <w:rPr>
                      <w:rFonts w:ascii="Arial" w:hAnsi="Arial" w:cs="Arial"/>
                      <w:sz w:val="22"/>
                      <w:szCs w:val="22"/>
                      <w:lang w:val="en-GB"/>
                    </w:rPr>
                  </w:pPr>
                </w:p>
                <w:p w14:paraId="7F7B801D" w14:textId="77777777" w:rsidR="00FC612A" w:rsidRPr="002E26E7" w:rsidRDefault="00FC612A" w:rsidP="005F773B">
                  <w:pPr>
                    <w:keepLines/>
                    <w:spacing w:before="60" w:after="60"/>
                    <w:jc w:val="both"/>
                    <w:rPr>
                      <w:rFonts w:ascii="Arial" w:hAnsi="Arial" w:cs="Arial"/>
                      <w:sz w:val="22"/>
                      <w:szCs w:val="22"/>
                      <w:lang w:val="en-GB"/>
                    </w:rPr>
                  </w:pPr>
                </w:p>
                <w:p w14:paraId="3FEED8F6" w14:textId="77777777" w:rsidR="00FC612A" w:rsidRPr="002E26E7" w:rsidRDefault="00FC612A" w:rsidP="005F773B">
                  <w:pPr>
                    <w:keepLines/>
                    <w:spacing w:before="60" w:after="60"/>
                    <w:jc w:val="both"/>
                    <w:rPr>
                      <w:rFonts w:ascii="Arial" w:hAnsi="Arial" w:cs="Arial"/>
                      <w:sz w:val="22"/>
                      <w:szCs w:val="22"/>
                      <w:lang w:val="en-GB"/>
                    </w:rPr>
                  </w:pPr>
                </w:p>
              </w:tc>
            </w:tr>
            <w:tr w:rsidR="00FC612A" w:rsidRPr="002E26E7" w14:paraId="4842CEFD" w14:textId="77777777" w:rsidTr="002E26E7">
              <w:trPr>
                <w:cantSplit/>
                <w:trHeight w:val="1347"/>
              </w:trPr>
              <w:tc>
                <w:tcPr>
                  <w:tcW w:w="1519" w:type="pct"/>
                  <w:shd w:val="clear" w:color="auto" w:fill="DBE5F1" w:themeFill="accent1" w:themeFillTint="33"/>
                </w:tcPr>
                <w:p w14:paraId="0F3C3FAF" w14:textId="77777777" w:rsidR="00FC612A" w:rsidRPr="002E26E7" w:rsidRDefault="00FC612A" w:rsidP="005F773B">
                  <w:pPr>
                    <w:keepLines/>
                    <w:spacing w:before="60" w:after="60"/>
                    <w:jc w:val="right"/>
                    <w:rPr>
                      <w:rFonts w:ascii="Arial" w:hAnsi="Arial" w:cs="Arial"/>
                      <w:b/>
                      <w:bCs/>
                      <w:sz w:val="22"/>
                      <w:szCs w:val="22"/>
                      <w:u w:val="single"/>
                      <w:lang w:val="en-GB"/>
                    </w:rPr>
                  </w:pPr>
                  <w:r w:rsidRPr="002E26E7">
                    <w:rPr>
                      <w:rFonts w:ascii="Arial" w:eastAsia="Arial" w:hAnsi="Arial" w:cs="Arial"/>
                      <w:b/>
                      <w:sz w:val="22"/>
                      <w:szCs w:val="22"/>
                      <w:u w:val="single"/>
                      <w:lang w:bidi="es-ES"/>
                    </w:rPr>
                    <w:t>30 de junio</w:t>
                  </w:r>
                </w:p>
                <w:p w14:paraId="1563E3AF" w14:textId="77777777" w:rsidR="00FC612A" w:rsidRPr="002E26E7" w:rsidRDefault="00FC612A" w:rsidP="005F773B">
                  <w:pPr>
                    <w:keepLines/>
                    <w:spacing w:before="60" w:after="60"/>
                    <w:jc w:val="right"/>
                    <w:rPr>
                      <w:rFonts w:ascii="Arial" w:hAnsi="Arial" w:cs="Arial"/>
                      <w:b/>
                      <w:bCs/>
                      <w:sz w:val="22"/>
                      <w:szCs w:val="22"/>
                      <w:u w:val="single"/>
                      <w:lang w:val="en-GB"/>
                    </w:rPr>
                  </w:pPr>
                  <w:r w:rsidRPr="002E26E7">
                    <w:rPr>
                      <w:rFonts w:ascii="Arial" w:eastAsia="Arial" w:hAnsi="Arial" w:cs="Arial"/>
                      <w:b/>
                      <w:sz w:val="22"/>
                      <w:szCs w:val="22"/>
                      <w:u w:val="single"/>
                      <w:lang w:bidi="es-ES"/>
                    </w:rPr>
                    <w:t>año 1</w:t>
                  </w:r>
                </w:p>
                <w:p w14:paraId="34227283" w14:textId="77777777" w:rsidR="00FC612A" w:rsidRPr="002E26E7" w:rsidRDefault="00FC612A" w:rsidP="005F773B">
                  <w:pPr>
                    <w:keepLines/>
                    <w:spacing w:before="60" w:after="60"/>
                    <w:jc w:val="right"/>
                    <w:rPr>
                      <w:rFonts w:ascii="Arial" w:hAnsi="Arial" w:cs="Arial"/>
                      <w:sz w:val="22"/>
                      <w:szCs w:val="22"/>
                      <w:lang w:val="en-GB"/>
                    </w:rPr>
                  </w:pPr>
                </w:p>
                <w:p w14:paraId="288FDF70" w14:textId="77777777" w:rsidR="00FC612A" w:rsidRPr="002E26E7" w:rsidRDefault="00FC612A" w:rsidP="005F773B">
                  <w:pPr>
                    <w:keepLines/>
                    <w:spacing w:before="60" w:after="60"/>
                    <w:jc w:val="right"/>
                    <w:rPr>
                      <w:rFonts w:ascii="Arial" w:hAnsi="Arial" w:cs="Arial"/>
                      <w:sz w:val="22"/>
                      <w:szCs w:val="22"/>
                      <w:lang w:val="en-GB"/>
                    </w:rPr>
                  </w:pPr>
                </w:p>
              </w:tc>
              <w:tc>
                <w:tcPr>
                  <w:tcW w:w="3481" w:type="pct"/>
                  <w:shd w:val="clear" w:color="auto" w:fill="DBE5F1" w:themeFill="accent1" w:themeFillTint="33"/>
                </w:tcPr>
                <w:p w14:paraId="327B88FB" w14:textId="77777777" w:rsidR="00FC612A" w:rsidRPr="002E26E7" w:rsidRDefault="00FC612A" w:rsidP="005F773B">
                  <w:pPr>
                    <w:keepLines/>
                    <w:spacing w:before="60" w:after="60"/>
                    <w:jc w:val="both"/>
                    <w:rPr>
                      <w:rFonts w:ascii="Arial" w:hAnsi="Arial" w:cs="Arial"/>
                      <w:b/>
                      <w:bCs/>
                      <w:sz w:val="22"/>
                      <w:szCs w:val="22"/>
                      <w:u w:val="single"/>
                    </w:rPr>
                  </w:pPr>
                  <w:r w:rsidRPr="002E26E7">
                    <w:rPr>
                      <w:rFonts w:ascii="Arial" w:eastAsia="Arial" w:hAnsi="Arial" w:cs="Arial"/>
                      <w:b/>
                      <w:sz w:val="22"/>
                      <w:szCs w:val="22"/>
                      <w:u w:val="single"/>
                      <w:lang w:bidi="es-ES"/>
                    </w:rPr>
                    <w:t>Fecha límite para la presentación de las solicitudes de traspaso de la Lista del Patrimonio Cultural Inmaterial que requiere medidas urgentes de salvaguardia a la Lista Representativa del Patrimonio Cultural Inmaterial de la Humanidad.</w:t>
                  </w:r>
                </w:p>
              </w:tc>
            </w:tr>
            <w:tr w:rsidR="00FC612A" w:rsidRPr="002E26E7" w14:paraId="75A4E794" w14:textId="77777777" w:rsidTr="002E26E7">
              <w:trPr>
                <w:cantSplit/>
              </w:trPr>
              <w:tc>
                <w:tcPr>
                  <w:tcW w:w="1519" w:type="pct"/>
                  <w:shd w:val="clear" w:color="auto" w:fill="EAF1DD" w:themeFill="accent3" w:themeFillTint="33"/>
                </w:tcPr>
                <w:p w14:paraId="460B9687" w14:textId="77777777" w:rsidR="00FC612A" w:rsidRPr="002E26E7" w:rsidRDefault="00FC612A" w:rsidP="005F773B">
                  <w:pPr>
                    <w:keepLines/>
                    <w:spacing w:before="60" w:after="60"/>
                    <w:jc w:val="right"/>
                    <w:rPr>
                      <w:rFonts w:ascii="Arial" w:hAnsi="Arial" w:cs="Arial"/>
                      <w:strike/>
                      <w:sz w:val="22"/>
                      <w:szCs w:val="22"/>
                    </w:rPr>
                  </w:pPr>
                  <w:r w:rsidRPr="002E26E7">
                    <w:rPr>
                      <w:rFonts w:ascii="Arial" w:eastAsia="Arial" w:hAnsi="Arial" w:cs="Arial"/>
                      <w:strike/>
                      <w:sz w:val="22"/>
                      <w:szCs w:val="22"/>
                      <w:lang w:bidi="es-ES"/>
                    </w:rPr>
                    <w:lastRenderedPageBreak/>
                    <w:t>30 de junio</w:t>
                  </w:r>
                </w:p>
                <w:p w14:paraId="459A91FC" w14:textId="77777777" w:rsidR="00FC612A" w:rsidRPr="002E26E7" w:rsidRDefault="00FC612A" w:rsidP="005F773B">
                  <w:pPr>
                    <w:keepLines/>
                    <w:spacing w:before="60" w:after="60"/>
                    <w:jc w:val="right"/>
                    <w:rPr>
                      <w:rFonts w:ascii="Arial" w:hAnsi="Arial" w:cs="Arial"/>
                      <w:b/>
                      <w:bCs/>
                      <w:sz w:val="22"/>
                      <w:szCs w:val="22"/>
                      <w:u w:val="single"/>
                    </w:rPr>
                  </w:pPr>
                  <w:r w:rsidRPr="002E26E7">
                    <w:rPr>
                      <w:rFonts w:ascii="Arial" w:eastAsia="Arial" w:hAnsi="Arial" w:cs="Arial"/>
                      <w:b/>
                      <w:sz w:val="22"/>
                      <w:szCs w:val="22"/>
                      <w:u w:val="single"/>
                      <w:lang w:bidi="es-ES"/>
                    </w:rPr>
                    <w:t>31 de agosto</w:t>
                  </w:r>
                </w:p>
                <w:p w14:paraId="55DF3B53" w14:textId="77777777" w:rsidR="00FC612A" w:rsidRPr="002E26E7" w:rsidRDefault="00FC612A" w:rsidP="005F773B">
                  <w:pPr>
                    <w:keepLines/>
                    <w:spacing w:before="60" w:after="60"/>
                    <w:jc w:val="right"/>
                    <w:rPr>
                      <w:rFonts w:ascii="Arial" w:hAnsi="Arial" w:cs="Arial"/>
                      <w:sz w:val="22"/>
                      <w:szCs w:val="22"/>
                    </w:rPr>
                  </w:pPr>
                  <w:r w:rsidRPr="002E26E7">
                    <w:rPr>
                      <w:rFonts w:ascii="Arial" w:eastAsia="Arial" w:hAnsi="Arial" w:cs="Arial"/>
                      <w:sz w:val="22"/>
                      <w:szCs w:val="22"/>
                      <w:lang w:bidi="es-ES"/>
                    </w:rPr>
                    <w:t>año 1</w:t>
                  </w:r>
                </w:p>
              </w:tc>
              <w:tc>
                <w:tcPr>
                  <w:tcW w:w="3481" w:type="pct"/>
                  <w:shd w:val="clear" w:color="auto" w:fill="EAF1DD" w:themeFill="accent3" w:themeFillTint="33"/>
                </w:tcPr>
                <w:p w14:paraId="6FF3C3A1" w14:textId="77777777" w:rsidR="00FC612A" w:rsidRPr="002E26E7" w:rsidRDefault="00FC612A" w:rsidP="005F773B">
                  <w:pPr>
                    <w:keepLines/>
                    <w:spacing w:before="60" w:after="60"/>
                    <w:jc w:val="both"/>
                    <w:rPr>
                      <w:rFonts w:ascii="Arial" w:hAnsi="Arial" w:cs="Arial"/>
                      <w:sz w:val="22"/>
                      <w:szCs w:val="22"/>
                    </w:rPr>
                  </w:pPr>
                  <w:r w:rsidRPr="002E26E7">
                    <w:rPr>
                      <w:rFonts w:ascii="Arial" w:eastAsia="Arial" w:hAnsi="Arial" w:cs="Arial"/>
                      <w:sz w:val="22"/>
                      <w:szCs w:val="22"/>
                      <w:lang w:bidi="es-ES"/>
                    </w:rPr>
                    <w:t>Fecha límite para que la Secretaría ultime la tramitación de los expedientes, comprendidos el registro y el acuse de recibo. Si se estima que un expediente está incompleto, se invitará al Estado Parte a que lo complete.</w:t>
                  </w:r>
                </w:p>
              </w:tc>
            </w:tr>
            <w:tr w:rsidR="00FC612A" w:rsidRPr="002E26E7" w14:paraId="15577EB2" w14:textId="77777777" w:rsidTr="002E26E7">
              <w:trPr>
                <w:cantSplit/>
                <w:trHeight w:val="3428"/>
              </w:trPr>
              <w:tc>
                <w:tcPr>
                  <w:tcW w:w="1519" w:type="pct"/>
                  <w:shd w:val="clear" w:color="auto" w:fill="EAF1DD" w:themeFill="accent3" w:themeFillTint="33"/>
                </w:tcPr>
                <w:p w14:paraId="52550EC7" w14:textId="77777777" w:rsidR="00FC612A" w:rsidRPr="002E26E7" w:rsidRDefault="00FC612A" w:rsidP="005F773B">
                  <w:pPr>
                    <w:keepLines/>
                    <w:spacing w:before="60" w:after="60"/>
                    <w:jc w:val="right"/>
                    <w:rPr>
                      <w:rFonts w:ascii="Arial" w:hAnsi="Arial" w:cs="Arial"/>
                      <w:strike/>
                      <w:sz w:val="22"/>
                      <w:szCs w:val="22"/>
                    </w:rPr>
                  </w:pPr>
                  <w:r w:rsidRPr="002E26E7">
                    <w:rPr>
                      <w:rFonts w:ascii="Arial" w:eastAsia="Arial" w:hAnsi="Arial" w:cs="Arial"/>
                      <w:strike/>
                      <w:sz w:val="22"/>
                      <w:szCs w:val="22"/>
                      <w:lang w:bidi="es-ES"/>
                    </w:rPr>
                    <w:t>30 de septiembre</w:t>
                  </w:r>
                </w:p>
                <w:p w14:paraId="2424C56E" w14:textId="77777777" w:rsidR="00FC612A" w:rsidRPr="002E26E7" w:rsidRDefault="00FC612A" w:rsidP="005F773B">
                  <w:pPr>
                    <w:keepLines/>
                    <w:spacing w:before="60" w:after="60"/>
                    <w:jc w:val="right"/>
                    <w:rPr>
                      <w:rFonts w:ascii="Arial" w:hAnsi="Arial" w:cs="Arial"/>
                      <w:b/>
                      <w:bCs/>
                      <w:sz w:val="22"/>
                      <w:szCs w:val="22"/>
                      <w:u w:val="single"/>
                    </w:rPr>
                  </w:pPr>
                  <w:r w:rsidRPr="002E26E7">
                    <w:rPr>
                      <w:rFonts w:ascii="Arial" w:eastAsia="Arial" w:hAnsi="Arial" w:cs="Arial"/>
                      <w:b/>
                      <w:sz w:val="22"/>
                      <w:szCs w:val="22"/>
                      <w:u w:val="single"/>
                      <w:lang w:bidi="es-ES"/>
                    </w:rPr>
                    <w:t>30 de noviembre</w:t>
                  </w:r>
                </w:p>
                <w:p w14:paraId="31B6DE56" w14:textId="77777777" w:rsidR="00FC612A" w:rsidRPr="002E26E7" w:rsidRDefault="00FC612A" w:rsidP="005F773B">
                  <w:pPr>
                    <w:keepLines/>
                    <w:spacing w:before="60" w:after="60"/>
                    <w:jc w:val="right"/>
                    <w:rPr>
                      <w:rFonts w:ascii="Arial" w:hAnsi="Arial" w:cs="Arial"/>
                      <w:sz w:val="22"/>
                      <w:szCs w:val="22"/>
                    </w:rPr>
                  </w:pPr>
                  <w:r w:rsidRPr="002E26E7">
                    <w:rPr>
                      <w:rFonts w:ascii="Arial" w:eastAsia="Arial" w:hAnsi="Arial" w:cs="Arial"/>
                      <w:sz w:val="22"/>
                      <w:szCs w:val="22"/>
                      <w:lang w:bidi="es-ES"/>
                    </w:rPr>
                    <w:t>año 1</w:t>
                  </w:r>
                </w:p>
              </w:tc>
              <w:tc>
                <w:tcPr>
                  <w:tcW w:w="3481" w:type="pct"/>
                  <w:shd w:val="clear" w:color="auto" w:fill="EAF1DD" w:themeFill="accent3" w:themeFillTint="33"/>
                </w:tcPr>
                <w:p w14:paraId="4F7C46C2" w14:textId="77777777" w:rsidR="00FC612A" w:rsidRPr="002E26E7" w:rsidRDefault="00FC612A" w:rsidP="005F773B">
                  <w:pPr>
                    <w:keepLines/>
                    <w:spacing w:before="60" w:after="60"/>
                    <w:jc w:val="both"/>
                    <w:rPr>
                      <w:rFonts w:ascii="Arial" w:eastAsia="Arial" w:hAnsi="Arial" w:cs="Arial"/>
                      <w:sz w:val="22"/>
                      <w:szCs w:val="22"/>
                      <w:lang w:bidi="es-ES"/>
                    </w:rPr>
                  </w:pPr>
                  <w:r w:rsidRPr="002E26E7">
                    <w:rPr>
                      <w:rFonts w:ascii="Arial" w:eastAsia="Arial" w:hAnsi="Arial" w:cs="Arial"/>
                      <w:sz w:val="22"/>
                      <w:szCs w:val="22"/>
                      <w:lang w:bidi="es-ES"/>
                    </w:rPr>
                    <w:t>Fecha límite para que el Estado Parte presente a la Secretaría la información requerida para completar el expediente, si fuere necesario. Los expedientes que sigan estando incompletos se podrán completar para un ciclo ulterior. A medida que se vayan recibiendo en la Secretaría los expedientes revisados por los Estados solicitantes a los que se pidió información complementaria, se publicarán en el sitio web y reemplazarán a los expedientes recibidos inicialmente. Las traducciones al francés y al inglés de esos expedientes se publicarán también en el sitio web cuando estén disponibles.</w:t>
                  </w:r>
                </w:p>
                <w:p w14:paraId="6DB35F2F" w14:textId="77777777" w:rsidR="00FC612A" w:rsidRPr="002E26E7" w:rsidRDefault="00FC612A" w:rsidP="005F773B">
                  <w:pPr>
                    <w:keepLines/>
                    <w:spacing w:before="60" w:after="60"/>
                    <w:jc w:val="both"/>
                    <w:rPr>
                      <w:rFonts w:ascii="Arial" w:hAnsi="Arial" w:cs="Arial"/>
                      <w:sz w:val="22"/>
                      <w:szCs w:val="22"/>
                    </w:rPr>
                  </w:pPr>
                </w:p>
              </w:tc>
            </w:tr>
            <w:tr w:rsidR="00FC612A" w:rsidRPr="002E26E7" w14:paraId="7C0B5B1C" w14:textId="77777777" w:rsidTr="002E26E7">
              <w:trPr>
                <w:cantSplit/>
              </w:trPr>
              <w:tc>
                <w:tcPr>
                  <w:tcW w:w="1519" w:type="pct"/>
                </w:tcPr>
                <w:p w14:paraId="58A42670" w14:textId="77777777" w:rsidR="00FC612A" w:rsidRPr="002E26E7" w:rsidRDefault="00FC612A" w:rsidP="005F773B">
                  <w:pPr>
                    <w:keepLines/>
                    <w:spacing w:before="60" w:after="60"/>
                    <w:jc w:val="right"/>
                    <w:rPr>
                      <w:rFonts w:ascii="Arial" w:hAnsi="Arial" w:cs="Arial"/>
                      <w:sz w:val="22"/>
                      <w:szCs w:val="22"/>
                      <w:lang w:val="en-GB"/>
                    </w:rPr>
                  </w:pPr>
                  <w:r w:rsidRPr="002E26E7">
                    <w:rPr>
                      <w:rFonts w:ascii="Arial" w:eastAsia="Arial" w:hAnsi="Arial" w:cs="Arial"/>
                      <w:sz w:val="22"/>
                      <w:szCs w:val="22"/>
                      <w:lang w:bidi="es-ES"/>
                    </w:rPr>
                    <w:t>31 de enero</w:t>
                  </w:r>
                </w:p>
                <w:p w14:paraId="2C63843C" w14:textId="77777777" w:rsidR="00FC612A" w:rsidRPr="002E26E7" w:rsidRDefault="00FC612A" w:rsidP="005F773B">
                  <w:pPr>
                    <w:keepLines/>
                    <w:spacing w:before="60" w:after="60"/>
                    <w:jc w:val="right"/>
                    <w:rPr>
                      <w:rFonts w:ascii="Arial" w:hAnsi="Arial" w:cs="Arial"/>
                      <w:sz w:val="22"/>
                      <w:szCs w:val="22"/>
                      <w:lang w:val="en-GB"/>
                    </w:rPr>
                  </w:pPr>
                  <w:r w:rsidRPr="002E26E7">
                    <w:rPr>
                      <w:rFonts w:ascii="Arial" w:eastAsia="Arial" w:hAnsi="Arial" w:cs="Arial"/>
                      <w:sz w:val="22"/>
                      <w:szCs w:val="22"/>
                      <w:lang w:bidi="es-ES"/>
                    </w:rPr>
                    <w:t>año 2</w:t>
                  </w:r>
                </w:p>
              </w:tc>
              <w:tc>
                <w:tcPr>
                  <w:tcW w:w="3481" w:type="pct"/>
                </w:tcPr>
                <w:p w14:paraId="00D4BAB5"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Sin cambios</w:t>
                  </w:r>
                </w:p>
              </w:tc>
            </w:tr>
          </w:tbl>
          <w:p w14:paraId="5AB34B90" w14:textId="77777777" w:rsidR="00FC612A" w:rsidRPr="002E26E7" w:rsidRDefault="00FC612A" w:rsidP="005F773B">
            <w:pPr>
              <w:keepLines/>
              <w:spacing w:before="60" w:after="60"/>
              <w:jc w:val="both"/>
              <w:rPr>
                <w:rFonts w:ascii="Arial" w:hAnsi="Arial" w:cs="Arial"/>
                <w:sz w:val="22"/>
                <w:szCs w:val="22"/>
                <w:lang w:val="en-US"/>
              </w:rPr>
            </w:pPr>
          </w:p>
        </w:tc>
      </w:tr>
      <w:tr w:rsidR="00FC612A" w:rsidRPr="002E26E7" w14:paraId="0082D946" w14:textId="77777777" w:rsidTr="002E26E7">
        <w:tc>
          <w:tcPr>
            <w:tcW w:w="228" w:type="pct"/>
            <w:tcBorders>
              <w:right w:val="single" w:sz="4" w:space="0" w:color="auto"/>
            </w:tcBorders>
          </w:tcPr>
          <w:p w14:paraId="219C8E56" w14:textId="77777777" w:rsidR="00FC612A" w:rsidRPr="002E26E7" w:rsidRDefault="00FC612A" w:rsidP="005F773B">
            <w:pPr>
              <w:keepLines/>
              <w:spacing w:before="60" w:after="60"/>
              <w:rPr>
                <w:rFonts w:ascii="Arial" w:hAnsi="Arial" w:cs="Arial"/>
                <w:sz w:val="22"/>
                <w:szCs w:val="22"/>
                <w:lang w:val="en-GB"/>
              </w:rPr>
            </w:pPr>
            <w:r w:rsidRPr="002E26E7">
              <w:rPr>
                <w:rFonts w:ascii="Arial" w:eastAsia="Arial" w:hAnsi="Arial" w:cs="Arial"/>
                <w:sz w:val="22"/>
                <w:szCs w:val="22"/>
                <w:lang w:bidi="es-ES"/>
              </w:rPr>
              <w:lastRenderedPageBreak/>
              <w:t>55.</w:t>
            </w:r>
          </w:p>
        </w:tc>
        <w:tc>
          <w:tcPr>
            <w:tcW w:w="2291" w:type="pct"/>
            <w:tcBorders>
              <w:top w:val="single" w:sz="4" w:space="0" w:color="auto"/>
              <w:left w:val="single" w:sz="4" w:space="0" w:color="auto"/>
              <w:bottom w:val="single" w:sz="4" w:space="0" w:color="auto"/>
              <w:right w:val="single" w:sz="4" w:space="0" w:color="auto"/>
            </w:tcBorders>
          </w:tcPr>
          <w:tbl>
            <w:tblPr>
              <w:tblStyle w:val="TableGrid"/>
              <w:tblW w:w="6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99"/>
              <w:gridCol w:w="4486"/>
            </w:tblGrid>
            <w:tr w:rsidR="00FC612A" w:rsidRPr="002E26E7" w14:paraId="4247EC5A" w14:textId="77777777" w:rsidTr="002E26E7">
              <w:trPr>
                <w:cantSplit/>
              </w:trPr>
              <w:tc>
                <w:tcPr>
                  <w:tcW w:w="1431" w:type="pct"/>
                </w:tcPr>
                <w:p w14:paraId="0E0D3B1C" w14:textId="77777777" w:rsidR="00FC612A" w:rsidRPr="002E26E7" w:rsidRDefault="00FC612A" w:rsidP="005F773B">
                  <w:pPr>
                    <w:keepLines/>
                    <w:spacing w:before="60" w:after="60"/>
                    <w:jc w:val="right"/>
                    <w:rPr>
                      <w:rFonts w:ascii="Arial" w:hAnsi="Arial" w:cs="Arial"/>
                      <w:sz w:val="22"/>
                      <w:szCs w:val="22"/>
                      <w:lang w:val="en-GB"/>
                    </w:rPr>
                  </w:pPr>
                  <w:r w:rsidRPr="002E26E7">
                    <w:rPr>
                      <w:rFonts w:ascii="Arial" w:eastAsia="Arial" w:hAnsi="Arial" w:cs="Arial"/>
                      <w:sz w:val="22"/>
                      <w:szCs w:val="22"/>
                      <w:lang w:bidi="es-ES"/>
                    </w:rPr>
                    <w:t>Fase 2:</w:t>
                  </w:r>
                </w:p>
              </w:tc>
              <w:tc>
                <w:tcPr>
                  <w:tcW w:w="3569" w:type="pct"/>
                </w:tcPr>
                <w:p w14:paraId="2CA147B0" w14:textId="77777777" w:rsidR="00FC612A" w:rsidRPr="002E26E7" w:rsidRDefault="00FC612A" w:rsidP="005F773B">
                  <w:pPr>
                    <w:keepLines/>
                    <w:spacing w:before="60" w:after="60"/>
                    <w:ind w:right="176"/>
                    <w:jc w:val="both"/>
                    <w:rPr>
                      <w:rFonts w:ascii="Arial" w:hAnsi="Arial" w:cs="Arial"/>
                      <w:sz w:val="22"/>
                      <w:szCs w:val="22"/>
                      <w:lang w:val="en-GB"/>
                    </w:rPr>
                  </w:pPr>
                  <w:r w:rsidRPr="002E26E7">
                    <w:rPr>
                      <w:rFonts w:ascii="Arial" w:eastAsia="Arial" w:hAnsi="Arial" w:cs="Arial"/>
                      <w:sz w:val="22"/>
                      <w:szCs w:val="22"/>
                      <w:lang w:bidi="es-ES"/>
                    </w:rPr>
                    <w:t>Evaluación</w:t>
                  </w:r>
                </w:p>
              </w:tc>
            </w:tr>
            <w:tr w:rsidR="00FC612A" w:rsidRPr="002E26E7" w14:paraId="6A9A03DE" w14:textId="77777777" w:rsidTr="002E26E7">
              <w:trPr>
                <w:cantSplit/>
                <w:trHeight w:val="1098"/>
              </w:trPr>
              <w:tc>
                <w:tcPr>
                  <w:tcW w:w="1431" w:type="pct"/>
                </w:tcPr>
                <w:p w14:paraId="5C430220" w14:textId="77777777" w:rsidR="00FC612A" w:rsidRPr="002E26E7" w:rsidRDefault="00FC612A" w:rsidP="005F773B">
                  <w:pPr>
                    <w:keepLines/>
                    <w:spacing w:before="60" w:after="60"/>
                    <w:jc w:val="right"/>
                    <w:rPr>
                      <w:rFonts w:ascii="Arial" w:hAnsi="Arial" w:cs="Arial"/>
                      <w:sz w:val="22"/>
                      <w:szCs w:val="22"/>
                    </w:rPr>
                  </w:pPr>
                  <w:r w:rsidRPr="002E26E7">
                    <w:rPr>
                      <w:rFonts w:ascii="Arial" w:eastAsia="Arial" w:hAnsi="Arial" w:cs="Arial"/>
                      <w:sz w:val="22"/>
                      <w:szCs w:val="22"/>
                      <w:lang w:bidi="es-ES"/>
                    </w:rPr>
                    <w:lastRenderedPageBreak/>
                    <w:t>Diciembre del año 1 a mayo del año 2</w:t>
                  </w:r>
                </w:p>
              </w:tc>
              <w:tc>
                <w:tcPr>
                  <w:tcW w:w="3569" w:type="pct"/>
                </w:tcPr>
                <w:p w14:paraId="11B55FC4" w14:textId="77777777" w:rsidR="00FC612A" w:rsidRPr="002E26E7" w:rsidRDefault="00FC612A" w:rsidP="005F773B">
                  <w:pPr>
                    <w:keepLines/>
                    <w:spacing w:before="60" w:after="60"/>
                    <w:jc w:val="both"/>
                    <w:rPr>
                      <w:rFonts w:ascii="Arial" w:hAnsi="Arial" w:cs="Arial"/>
                      <w:sz w:val="22"/>
                      <w:szCs w:val="22"/>
                    </w:rPr>
                  </w:pPr>
                  <w:r w:rsidRPr="002E26E7">
                    <w:rPr>
                      <w:rFonts w:ascii="Arial" w:eastAsia="Arial" w:hAnsi="Arial" w:cs="Arial"/>
                      <w:sz w:val="22"/>
                      <w:szCs w:val="22"/>
                      <w:lang w:bidi="es-ES"/>
                    </w:rPr>
                    <w:t>Evaluación individual de los expedientes por los miembros del Órgano de Evaluación.</w:t>
                  </w:r>
                </w:p>
                <w:p w14:paraId="7627A962" w14:textId="77777777" w:rsidR="00FC612A" w:rsidRPr="002E26E7" w:rsidRDefault="00FC612A" w:rsidP="005F773B">
                  <w:pPr>
                    <w:keepLines/>
                    <w:spacing w:before="60" w:after="60"/>
                    <w:ind w:right="69"/>
                    <w:jc w:val="both"/>
                    <w:rPr>
                      <w:rFonts w:ascii="Arial" w:hAnsi="Arial" w:cs="Arial"/>
                      <w:sz w:val="22"/>
                      <w:szCs w:val="22"/>
                    </w:rPr>
                  </w:pPr>
                </w:p>
              </w:tc>
            </w:tr>
            <w:tr w:rsidR="00FC612A" w:rsidRPr="002E26E7" w14:paraId="43A9261A" w14:textId="77777777" w:rsidTr="002E26E7">
              <w:trPr>
                <w:cantSplit/>
              </w:trPr>
              <w:tc>
                <w:tcPr>
                  <w:tcW w:w="1431" w:type="pct"/>
                </w:tcPr>
                <w:p w14:paraId="319351D0" w14:textId="77777777" w:rsidR="00FC612A" w:rsidRPr="002E26E7" w:rsidRDefault="00FC612A" w:rsidP="005F773B">
                  <w:pPr>
                    <w:keepLines/>
                    <w:spacing w:before="60" w:after="60"/>
                    <w:jc w:val="right"/>
                    <w:rPr>
                      <w:rFonts w:ascii="Arial" w:hAnsi="Arial" w:cs="Arial"/>
                      <w:sz w:val="22"/>
                      <w:szCs w:val="22"/>
                      <w:lang w:val="en-GB"/>
                    </w:rPr>
                  </w:pPr>
                  <w:r w:rsidRPr="002E26E7">
                    <w:rPr>
                      <w:rFonts w:ascii="Arial" w:eastAsia="Arial" w:hAnsi="Arial" w:cs="Arial"/>
                      <w:sz w:val="22"/>
                      <w:szCs w:val="22"/>
                      <w:lang w:bidi="es-ES"/>
                    </w:rPr>
                    <w:t xml:space="preserve">Junio </w:t>
                  </w:r>
                </w:p>
                <w:p w14:paraId="7BB65D32" w14:textId="77777777" w:rsidR="00FC612A" w:rsidRPr="002E26E7" w:rsidRDefault="00FC612A" w:rsidP="005F773B">
                  <w:pPr>
                    <w:keepLines/>
                    <w:spacing w:before="60" w:after="60"/>
                    <w:jc w:val="right"/>
                    <w:rPr>
                      <w:rFonts w:ascii="Arial" w:hAnsi="Arial" w:cs="Arial"/>
                      <w:sz w:val="22"/>
                      <w:szCs w:val="22"/>
                      <w:lang w:val="en-GB"/>
                    </w:rPr>
                  </w:pPr>
                  <w:r w:rsidRPr="002E26E7">
                    <w:rPr>
                      <w:rFonts w:ascii="Arial" w:eastAsia="Arial" w:hAnsi="Arial" w:cs="Arial"/>
                      <w:sz w:val="22"/>
                      <w:szCs w:val="22"/>
                      <w:lang w:bidi="es-ES"/>
                    </w:rPr>
                    <w:t>año 2</w:t>
                  </w:r>
                </w:p>
              </w:tc>
              <w:tc>
                <w:tcPr>
                  <w:tcW w:w="3569" w:type="pct"/>
                </w:tcPr>
                <w:p w14:paraId="1E222FB1" w14:textId="77777777" w:rsidR="00FC612A" w:rsidRPr="002E26E7" w:rsidRDefault="00FC612A" w:rsidP="005F773B">
                  <w:pPr>
                    <w:keepLines/>
                    <w:spacing w:before="60" w:after="60"/>
                    <w:jc w:val="both"/>
                    <w:rPr>
                      <w:rFonts w:ascii="Arial" w:hAnsi="Arial" w:cs="Arial"/>
                      <w:sz w:val="22"/>
                      <w:szCs w:val="22"/>
                    </w:rPr>
                  </w:pPr>
                  <w:r w:rsidRPr="002E26E7">
                    <w:rPr>
                      <w:rFonts w:ascii="Arial" w:eastAsia="Arial" w:hAnsi="Arial" w:cs="Arial"/>
                      <w:sz w:val="22"/>
                      <w:szCs w:val="22"/>
                      <w:lang w:bidi="es-ES"/>
                    </w:rPr>
                    <w:t>Reunión en la que el Órgano de Evaluación finaliza colectivamente su evaluación de los expedientes y decide qué expedientes se incluirán en el proceso de diálogo. Solo la evaluación de los expedientes incluidos en el proceso de diálogo quedará pendiente hasta la reunión final del Órgano de Evaluación.</w:t>
                  </w:r>
                </w:p>
                <w:p w14:paraId="208C5BC4" w14:textId="77777777" w:rsidR="00FC612A" w:rsidRPr="002E26E7" w:rsidRDefault="00FC612A" w:rsidP="005F773B">
                  <w:pPr>
                    <w:keepLines/>
                    <w:spacing w:before="60" w:after="60"/>
                    <w:ind w:right="69"/>
                    <w:jc w:val="both"/>
                    <w:rPr>
                      <w:rFonts w:ascii="Arial" w:hAnsi="Arial" w:cs="Arial"/>
                      <w:sz w:val="22"/>
                      <w:szCs w:val="22"/>
                    </w:rPr>
                  </w:pPr>
                  <w:r w:rsidRPr="002E26E7">
                    <w:rPr>
                      <w:rFonts w:ascii="Arial" w:eastAsia="Arial" w:hAnsi="Arial" w:cs="Arial"/>
                      <w:sz w:val="22"/>
                      <w:szCs w:val="22"/>
                      <w:lang w:bidi="es-ES"/>
                    </w:rPr>
                    <w:t>El proceso de diálogo se inicia cuando el Órgano de Evaluación considera que un breve proceso de preguntas y respuestas, realizado por escrito a través de la Secretaría con el Estado o los Estados que presentan las candidaturas, podría influir en el resultado de su evaluación.</w:t>
                  </w:r>
                </w:p>
              </w:tc>
            </w:tr>
            <w:tr w:rsidR="00FC612A" w:rsidRPr="002E26E7" w14:paraId="778156B8" w14:textId="77777777" w:rsidTr="002E26E7">
              <w:trPr>
                <w:cantSplit/>
                <w:trHeight w:val="2583"/>
              </w:trPr>
              <w:tc>
                <w:tcPr>
                  <w:tcW w:w="1431" w:type="pct"/>
                </w:tcPr>
                <w:p w14:paraId="4B277A41" w14:textId="77777777" w:rsidR="00FC612A" w:rsidRPr="002E26E7" w:rsidRDefault="00FC612A" w:rsidP="005F773B">
                  <w:pPr>
                    <w:keepLines/>
                    <w:spacing w:before="60" w:after="60"/>
                    <w:jc w:val="right"/>
                    <w:rPr>
                      <w:rFonts w:ascii="Arial" w:hAnsi="Arial" w:cs="Arial"/>
                      <w:sz w:val="22"/>
                      <w:szCs w:val="22"/>
                    </w:rPr>
                  </w:pPr>
                  <w:r w:rsidRPr="002E26E7">
                    <w:rPr>
                      <w:rFonts w:ascii="Arial" w:eastAsia="Arial" w:hAnsi="Arial" w:cs="Arial"/>
                      <w:sz w:val="22"/>
                      <w:szCs w:val="22"/>
                      <w:lang w:bidi="es-ES"/>
                    </w:rPr>
                    <w:t>Dos semanas después de la reunión de junio</w:t>
                  </w:r>
                </w:p>
                <w:p w14:paraId="4489DC0A" w14:textId="77777777" w:rsidR="00FC612A" w:rsidRPr="002E26E7" w:rsidRDefault="00FC612A" w:rsidP="005F773B">
                  <w:pPr>
                    <w:keepLines/>
                    <w:spacing w:before="60" w:after="60"/>
                    <w:jc w:val="right"/>
                    <w:rPr>
                      <w:rFonts w:ascii="Arial" w:hAnsi="Arial" w:cs="Arial"/>
                      <w:sz w:val="22"/>
                      <w:szCs w:val="22"/>
                      <w:highlight w:val="yellow"/>
                      <w:lang w:val="en-GB"/>
                    </w:rPr>
                  </w:pPr>
                  <w:r w:rsidRPr="002E26E7">
                    <w:rPr>
                      <w:rFonts w:ascii="Arial" w:eastAsia="Arial" w:hAnsi="Arial" w:cs="Arial"/>
                      <w:sz w:val="22"/>
                      <w:szCs w:val="22"/>
                      <w:lang w:bidi="es-ES"/>
                    </w:rPr>
                    <w:t>año 2</w:t>
                  </w:r>
                </w:p>
              </w:tc>
              <w:tc>
                <w:tcPr>
                  <w:tcW w:w="3569" w:type="pct"/>
                </w:tcPr>
                <w:p w14:paraId="77CB4FF5" w14:textId="77777777" w:rsidR="00FC612A" w:rsidRPr="002E26E7" w:rsidRDefault="00FC612A" w:rsidP="005F773B">
                  <w:pPr>
                    <w:keepLines/>
                    <w:spacing w:before="60" w:after="60"/>
                    <w:jc w:val="both"/>
                    <w:rPr>
                      <w:rFonts w:ascii="Arial" w:hAnsi="Arial" w:cs="Arial"/>
                      <w:sz w:val="22"/>
                      <w:szCs w:val="22"/>
                    </w:rPr>
                  </w:pPr>
                  <w:r w:rsidRPr="002E26E7">
                    <w:rPr>
                      <w:rFonts w:ascii="Arial" w:eastAsia="Arial" w:hAnsi="Arial" w:cs="Arial"/>
                      <w:sz w:val="22"/>
                      <w:szCs w:val="22"/>
                      <w:lang w:bidi="es-ES"/>
                    </w:rPr>
                    <w:t xml:space="preserve">Plazo en el que el Órgano de Evaluación deberá transmitir, por medio de la Secretaría, sus preguntas a los </w:t>
                  </w:r>
                  <w:proofErr w:type="gramStart"/>
                  <w:r w:rsidRPr="002E26E7">
                    <w:rPr>
                      <w:rFonts w:ascii="Arial" w:eastAsia="Arial" w:hAnsi="Arial" w:cs="Arial"/>
                      <w:sz w:val="22"/>
                      <w:szCs w:val="22"/>
                      <w:lang w:bidi="es-ES"/>
                    </w:rPr>
                    <w:t>Estados Partes</w:t>
                  </w:r>
                  <w:proofErr w:type="gramEnd"/>
                  <w:r w:rsidRPr="002E26E7">
                    <w:rPr>
                      <w:rFonts w:ascii="Arial" w:eastAsia="Arial" w:hAnsi="Arial" w:cs="Arial"/>
                      <w:sz w:val="22"/>
                      <w:szCs w:val="22"/>
                      <w:lang w:bidi="es-ES"/>
                    </w:rPr>
                    <w:t xml:space="preserve"> implicados en el proceso de diálogo, en uno de los dos idiomas de trabajo de la Convención.</w:t>
                  </w:r>
                </w:p>
                <w:p w14:paraId="4DC77286" w14:textId="77777777" w:rsidR="00FC612A" w:rsidRPr="002E26E7" w:rsidRDefault="00FC612A" w:rsidP="005F773B">
                  <w:pPr>
                    <w:keepLines/>
                    <w:spacing w:before="60" w:after="60"/>
                    <w:jc w:val="both"/>
                    <w:rPr>
                      <w:rFonts w:ascii="Arial" w:hAnsi="Arial" w:cs="Arial"/>
                      <w:sz w:val="22"/>
                      <w:szCs w:val="22"/>
                    </w:rPr>
                  </w:pPr>
                  <w:r w:rsidRPr="002E26E7">
                    <w:rPr>
                      <w:rFonts w:ascii="Arial" w:eastAsia="Arial" w:hAnsi="Arial" w:cs="Arial"/>
                      <w:sz w:val="22"/>
                      <w:szCs w:val="22"/>
                      <w:lang w:bidi="es-ES"/>
                    </w:rPr>
                    <w:t xml:space="preserve">Los </w:t>
                  </w:r>
                  <w:proofErr w:type="gramStart"/>
                  <w:r w:rsidRPr="002E26E7">
                    <w:rPr>
                      <w:rFonts w:ascii="Arial" w:eastAsia="Arial" w:hAnsi="Arial" w:cs="Arial"/>
                      <w:sz w:val="22"/>
                      <w:szCs w:val="22"/>
                      <w:lang w:bidi="es-ES"/>
                    </w:rPr>
                    <w:t>Estados Partes</w:t>
                  </w:r>
                  <w:proofErr w:type="gramEnd"/>
                  <w:r w:rsidRPr="002E26E7">
                    <w:rPr>
                      <w:rFonts w:ascii="Arial" w:eastAsia="Arial" w:hAnsi="Arial" w:cs="Arial"/>
                      <w:sz w:val="22"/>
                      <w:szCs w:val="22"/>
                      <w:lang w:bidi="es-ES"/>
                    </w:rPr>
                    <w:t xml:space="preserve"> deberán responder a las solicitudes del Órgano de Evaluación, por medio de la Secretaría, en un plazo de cuatro semanas a partir de la recepción de la carta, en los dos idiomas de trabajo de la Convención.</w:t>
                  </w:r>
                </w:p>
              </w:tc>
            </w:tr>
            <w:tr w:rsidR="00FC612A" w:rsidRPr="002E26E7" w14:paraId="1B591913" w14:textId="77777777" w:rsidTr="002E26E7">
              <w:trPr>
                <w:cantSplit/>
                <w:trHeight w:val="774"/>
              </w:trPr>
              <w:tc>
                <w:tcPr>
                  <w:tcW w:w="1431" w:type="pct"/>
                </w:tcPr>
                <w:p w14:paraId="37E8BB18" w14:textId="77777777" w:rsidR="00FC612A" w:rsidRPr="002E26E7" w:rsidRDefault="00FC612A" w:rsidP="005F773B">
                  <w:pPr>
                    <w:keepLines/>
                    <w:spacing w:before="60" w:after="60"/>
                    <w:jc w:val="right"/>
                    <w:rPr>
                      <w:rFonts w:ascii="Arial" w:hAnsi="Arial" w:cs="Arial"/>
                      <w:sz w:val="22"/>
                      <w:szCs w:val="22"/>
                    </w:rPr>
                  </w:pPr>
                  <w:r w:rsidRPr="002E26E7">
                    <w:rPr>
                      <w:rFonts w:ascii="Arial" w:eastAsia="Arial" w:hAnsi="Arial" w:cs="Arial"/>
                      <w:sz w:val="22"/>
                      <w:szCs w:val="22"/>
                      <w:lang w:bidi="es-ES"/>
                    </w:rPr>
                    <w:lastRenderedPageBreak/>
                    <w:t>A más tardar para septiembre del año 2</w:t>
                  </w:r>
                </w:p>
              </w:tc>
              <w:tc>
                <w:tcPr>
                  <w:tcW w:w="3569" w:type="pct"/>
                </w:tcPr>
                <w:p w14:paraId="765E5112" w14:textId="77777777" w:rsidR="00FC612A" w:rsidRPr="002E26E7" w:rsidRDefault="00FC612A" w:rsidP="005F773B">
                  <w:pPr>
                    <w:keepLines/>
                    <w:spacing w:before="60" w:after="60"/>
                    <w:jc w:val="both"/>
                    <w:rPr>
                      <w:rFonts w:ascii="Arial" w:hAnsi="Arial" w:cs="Arial"/>
                      <w:sz w:val="22"/>
                      <w:szCs w:val="22"/>
                    </w:rPr>
                  </w:pPr>
                  <w:r w:rsidRPr="002E26E7">
                    <w:rPr>
                      <w:rFonts w:ascii="Arial" w:eastAsia="Arial" w:hAnsi="Arial" w:cs="Arial"/>
                      <w:sz w:val="22"/>
                      <w:szCs w:val="22"/>
                      <w:lang w:bidi="es-ES"/>
                    </w:rPr>
                    <w:t>Reunión en la que el Órgano de Evaluación finaliza su evaluación de los expedientes afectados por el proceso de diálogo y su informe sobre la evaluación de todos los expedientes.</w:t>
                  </w:r>
                </w:p>
              </w:tc>
            </w:tr>
            <w:tr w:rsidR="00FC612A" w:rsidRPr="002E26E7" w14:paraId="48563C0C" w14:textId="77777777" w:rsidTr="002E26E7">
              <w:trPr>
                <w:cantSplit/>
                <w:trHeight w:val="1214"/>
              </w:trPr>
              <w:tc>
                <w:tcPr>
                  <w:tcW w:w="1431" w:type="pct"/>
                </w:tcPr>
                <w:p w14:paraId="4423B95B" w14:textId="77777777" w:rsidR="00FC612A" w:rsidRPr="002E26E7" w:rsidRDefault="00FC612A" w:rsidP="005F773B">
                  <w:pPr>
                    <w:keepLines/>
                    <w:spacing w:before="60" w:after="60"/>
                    <w:jc w:val="right"/>
                    <w:rPr>
                      <w:rFonts w:ascii="Arial" w:hAnsi="Arial" w:cs="Arial"/>
                      <w:sz w:val="22"/>
                      <w:szCs w:val="22"/>
                    </w:rPr>
                  </w:pPr>
                  <w:r w:rsidRPr="002E26E7">
                    <w:rPr>
                      <w:rFonts w:ascii="Arial" w:eastAsia="Arial" w:hAnsi="Arial" w:cs="Arial"/>
                      <w:sz w:val="22"/>
                      <w:szCs w:val="22"/>
                      <w:lang w:bidi="es-ES"/>
                    </w:rPr>
                    <w:t>Cuatro semanas antes de la reunión del Comité</w:t>
                  </w:r>
                </w:p>
              </w:tc>
              <w:tc>
                <w:tcPr>
                  <w:tcW w:w="3569" w:type="pct"/>
                </w:tcPr>
                <w:p w14:paraId="298AAE87" w14:textId="77777777" w:rsidR="00FC612A" w:rsidRPr="002E26E7" w:rsidRDefault="00FC612A" w:rsidP="005F773B">
                  <w:pPr>
                    <w:keepLines/>
                    <w:spacing w:before="60" w:after="60"/>
                    <w:ind w:right="69"/>
                    <w:jc w:val="both"/>
                    <w:rPr>
                      <w:rFonts w:ascii="Arial" w:hAnsi="Arial" w:cs="Arial"/>
                      <w:sz w:val="22"/>
                      <w:szCs w:val="22"/>
                    </w:rPr>
                  </w:pPr>
                  <w:r w:rsidRPr="002E26E7">
                    <w:rPr>
                      <w:rFonts w:ascii="Arial" w:eastAsia="Arial" w:hAnsi="Arial" w:cs="Arial"/>
                      <w:sz w:val="22"/>
                      <w:szCs w:val="22"/>
                      <w:lang w:bidi="es-ES"/>
                    </w:rPr>
                    <w:t>La Secretaría transmite los informes de evaluación a los miembros del Comité y los pone a disposición en línea para su consulta.</w:t>
                  </w:r>
                </w:p>
              </w:tc>
            </w:tr>
          </w:tbl>
          <w:p w14:paraId="2F4A6B62" w14:textId="77777777" w:rsidR="00FC612A" w:rsidRPr="002E26E7" w:rsidRDefault="00FC612A" w:rsidP="005F773B">
            <w:pPr>
              <w:keepLines/>
              <w:spacing w:before="60" w:after="60"/>
              <w:jc w:val="both"/>
              <w:rPr>
                <w:rFonts w:ascii="Arial" w:hAnsi="Arial" w:cs="Arial"/>
                <w:sz w:val="22"/>
                <w:szCs w:val="22"/>
              </w:rPr>
            </w:pPr>
          </w:p>
        </w:tc>
        <w:tc>
          <w:tcPr>
            <w:tcW w:w="231" w:type="pct"/>
            <w:tcBorders>
              <w:top w:val="single" w:sz="4" w:space="0" w:color="auto"/>
              <w:left w:val="single" w:sz="4" w:space="0" w:color="auto"/>
              <w:bottom w:val="single" w:sz="4" w:space="0" w:color="auto"/>
              <w:right w:val="single" w:sz="4" w:space="0" w:color="auto"/>
            </w:tcBorders>
          </w:tcPr>
          <w:p w14:paraId="55064BF8"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lastRenderedPageBreak/>
              <w:t>55.</w:t>
            </w:r>
          </w:p>
        </w:tc>
        <w:tc>
          <w:tcPr>
            <w:tcW w:w="2251" w:type="pct"/>
            <w:tcBorders>
              <w:top w:val="single" w:sz="4" w:space="0" w:color="auto"/>
              <w:left w:val="single" w:sz="4" w:space="0" w:color="auto"/>
              <w:bottom w:val="single" w:sz="4" w:space="0" w:color="auto"/>
              <w:right w:val="single" w:sz="4" w:space="0" w:color="auto"/>
            </w:tcBorders>
          </w:tcPr>
          <w:tbl>
            <w:tblPr>
              <w:tblStyle w:val="TableGrid"/>
              <w:tblW w:w="6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2"/>
              <w:gridCol w:w="4413"/>
            </w:tblGrid>
            <w:tr w:rsidR="00FC612A" w:rsidRPr="002E26E7" w14:paraId="7CC180D4" w14:textId="77777777" w:rsidTr="002E26E7">
              <w:trPr>
                <w:cantSplit/>
              </w:trPr>
              <w:tc>
                <w:tcPr>
                  <w:tcW w:w="1489" w:type="pct"/>
                </w:tcPr>
                <w:p w14:paraId="6D9D39DD" w14:textId="77777777" w:rsidR="00FC612A" w:rsidRPr="002E26E7" w:rsidRDefault="00FC612A" w:rsidP="005F773B">
                  <w:pPr>
                    <w:keepLines/>
                    <w:spacing w:before="60" w:after="60"/>
                    <w:jc w:val="right"/>
                    <w:rPr>
                      <w:rFonts w:ascii="Arial" w:hAnsi="Arial" w:cs="Arial"/>
                      <w:sz w:val="22"/>
                      <w:szCs w:val="22"/>
                      <w:lang w:val="en-GB"/>
                    </w:rPr>
                  </w:pPr>
                  <w:r w:rsidRPr="002E26E7">
                    <w:rPr>
                      <w:rFonts w:ascii="Arial" w:eastAsia="Arial" w:hAnsi="Arial" w:cs="Arial"/>
                      <w:sz w:val="22"/>
                      <w:szCs w:val="22"/>
                      <w:lang w:bidi="es-ES"/>
                    </w:rPr>
                    <w:t>Fase 2:</w:t>
                  </w:r>
                </w:p>
              </w:tc>
              <w:tc>
                <w:tcPr>
                  <w:tcW w:w="3511" w:type="pct"/>
                </w:tcPr>
                <w:p w14:paraId="43C1CC25" w14:textId="77777777" w:rsidR="00FC612A" w:rsidRPr="002E26E7" w:rsidRDefault="00FC612A" w:rsidP="005F773B">
                  <w:pPr>
                    <w:keepLines/>
                    <w:spacing w:before="60" w:after="60"/>
                    <w:ind w:right="176"/>
                    <w:jc w:val="both"/>
                    <w:rPr>
                      <w:rFonts w:ascii="Arial" w:hAnsi="Arial" w:cs="Arial"/>
                      <w:sz w:val="22"/>
                      <w:szCs w:val="22"/>
                      <w:lang w:val="en-GB"/>
                    </w:rPr>
                  </w:pPr>
                  <w:r w:rsidRPr="002E26E7">
                    <w:rPr>
                      <w:rFonts w:ascii="Arial" w:eastAsia="Arial" w:hAnsi="Arial" w:cs="Arial"/>
                      <w:sz w:val="22"/>
                      <w:szCs w:val="22"/>
                      <w:lang w:bidi="es-ES"/>
                    </w:rPr>
                    <w:t>Sin cambios</w:t>
                  </w:r>
                </w:p>
              </w:tc>
            </w:tr>
            <w:tr w:rsidR="00FC612A" w:rsidRPr="002E26E7" w14:paraId="4D8320CA" w14:textId="77777777" w:rsidTr="002E26E7">
              <w:trPr>
                <w:cantSplit/>
                <w:trHeight w:val="1077"/>
              </w:trPr>
              <w:tc>
                <w:tcPr>
                  <w:tcW w:w="1489" w:type="pct"/>
                  <w:shd w:val="clear" w:color="auto" w:fill="EAF1DD" w:themeFill="accent3" w:themeFillTint="33"/>
                </w:tcPr>
                <w:p w14:paraId="2678399B" w14:textId="77777777" w:rsidR="00FC612A" w:rsidRPr="002E26E7" w:rsidRDefault="00FC612A" w:rsidP="005F773B">
                  <w:pPr>
                    <w:keepLines/>
                    <w:spacing w:before="60" w:after="60"/>
                    <w:jc w:val="right"/>
                    <w:rPr>
                      <w:rFonts w:ascii="Arial" w:hAnsi="Arial" w:cs="Arial"/>
                      <w:sz w:val="22"/>
                      <w:szCs w:val="22"/>
                    </w:rPr>
                  </w:pPr>
                  <w:r w:rsidRPr="002E26E7">
                    <w:rPr>
                      <w:rFonts w:ascii="Arial" w:eastAsia="Arial" w:hAnsi="Arial" w:cs="Arial"/>
                      <w:sz w:val="22"/>
                      <w:szCs w:val="22"/>
                      <w:lang w:bidi="es-ES"/>
                    </w:rPr>
                    <w:lastRenderedPageBreak/>
                    <w:t xml:space="preserve">Diciembre del año 1 a </w:t>
                  </w:r>
                  <w:r w:rsidRPr="002E26E7">
                    <w:rPr>
                      <w:rFonts w:ascii="Arial" w:eastAsia="Arial" w:hAnsi="Arial" w:cs="Arial"/>
                      <w:strike/>
                      <w:sz w:val="22"/>
                      <w:szCs w:val="22"/>
                      <w:lang w:bidi="es-ES"/>
                    </w:rPr>
                    <w:t>mayo</w:t>
                  </w:r>
                  <w:r w:rsidRPr="002E26E7">
                    <w:rPr>
                      <w:rFonts w:ascii="Arial" w:eastAsia="Arial" w:hAnsi="Arial" w:cs="Arial"/>
                      <w:sz w:val="22"/>
                      <w:szCs w:val="22"/>
                      <w:lang w:bidi="es-ES"/>
                    </w:rPr>
                    <w:t xml:space="preserve"> </w:t>
                  </w:r>
                  <w:r w:rsidRPr="002E26E7">
                    <w:rPr>
                      <w:rFonts w:ascii="Arial" w:eastAsia="Arial" w:hAnsi="Arial" w:cs="Arial"/>
                      <w:b/>
                      <w:sz w:val="22"/>
                      <w:szCs w:val="22"/>
                      <w:u w:val="single"/>
                      <w:lang w:bidi="es-ES"/>
                    </w:rPr>
                    <w:t>junio</w:t>
                  </w:r>
                  <w:r w:rsidRPr="002E26E7">
                    <w:rPr>
                      <w:rFonts w:ascii="Arial" w:eastAsia="Arial" w:hAnsi="Arial" w:cs="Arial"/>
                      <w:sz w:val="22"/>
                      <w:szCs w:val="22"/>
                      <w:lang w:bidi="es-ES"/>
                    </w:rPr>
                    <w:t xml:space="preserve"> del año 2</w:t>
                  </w:r>
                </w:p>
              </w:tc>
              <w:tc>
                <w:tcPr>
                  <w:tcW w:w="3511" w:type="pct"/>
                  <w:shd w:val="clear" w:color="auto" w:fill="EAF1DD" w:themeFill="accent3" w:themeFillTint="33"/>
                </w:tcPr>
                <w:p w14:paraId="6D46BB0F" w14:textId="77777777" w:rsidR="00FC612A" w:rsidRPr="002E26E7" w:rsidRDefault="00FC612A" w:rsidP="005F773B">
                  <w:pPr>
                    <w:keepLines/>
                    <w:spacing w:before="60" w:after="60"/>
                    <w:ind w:right="69"/>
                    <w:jc w:val="both"/>
                    <w:rPr>
                      <w:rFonts w:ascii="Arial" w:hAnsi="Arial" w:cs="Arial"/>
                      <w:sz w:val="22"/>
                      <w:szCs w:val="22"/>
                    </w:rPr>
                  </w:pPr>
                  <w:r w:rsidRPr="002E26E7">
                    <w:rPr>
                      <w:rFonts w:ascii="Arial" w:eastAsia="Arial" w:hAnsi="Arial" w:cs="Arial"/>
                      <w:sz w:val="22"/>
                      <w:szCs w:val="22"/>
                      <w:lang w:bidi="es-ES"/>
                    </w:rPr>
                    <w:t>Evaluación individual de los expedientes por los miembros del Órgano de Evaluación.</w:t>
                  </w:r>
                </w:p>
              </w:tc>
            </w:tr>
            <w:tr w:rsidR="00FC612A" w:rsidRPr="002E26E7" w14:paraId="392BDD93" w14:textId="77777777" w:rsidTr="002E26E7">
              <w:trPr>
                <w:cantSplit/>
                <w:trHeight w:val="3969"/>
              </w:trPr>
              <w:tc>
                <w:tcPr>
                  <w:tcW w:w="1489" w:type="pct"/>
                </w:tcPr>
                <w:p w14:paraId="3A8DC66A" w14:textId="77777777" w:rsidR="00FC612A" w:rsidRPr="002E26E7" w:rsidRDefault="00FC612A" w:rsidP="005F773B">
                  <w:pPr>
                    <w:keepLines/>
                    <w:spacing w:before="60" w:after="60"/>
                    <w:jc w:val="right"/>
                    <w:rPr>
                      <w:rFonts w:ascii="Arial" w:hAnsi="Arial" w:cs="Arial"/>
                      <w:sz w:val="22"/>
                      <w:szCs w:val="22"/>
                      <w:lang w:val="en-GB"/>
                    </w:rPr>
                  </w:pPr>
                  <w:r w:rsidRPr="002E26E7">
                    <w:rPr>
                      <w:rFonts w:ascii="Arial" w:eastAsia="Arial" w:hAnsi="Arial" w:cs="Arial"/>
                      <w:sz w:val="22"/>
                      <w:szCs w:val="22"/>
                      <w:lang w:bidi="es-ES"/>
                    </w:rPr>
                    <w:t xml:space="preserve">Junio </w:t>
                  </w:r>
                </w:p>
                <w:p w14:paraId="6C01B2F6" w14:textId="77777777" w:rsidR="00FC612A" w:rsidRPr="002E26E7" w:rsidRDefault="00FC612A" w:rsidP="005F773B">
                  <w:pPr>
                    <w:keepLines/>
                    <w:spacing w:before="60" w:after="60"/>
                    <w:jc w:val="right"/>
                    <w:rPr>
                      <w:rFonts w:ascii="Arial" w:hAnsi="Arial" w:cs="Arial"/>
                      <w:sz w:val="22"/>
                      <w:szCs w:val="22"/>
                      <w:lang w:val="en-GB"/>
                    </w:rPr>
                  </w:pPr>
                  <w:r w:rsidRPr="002E26E7">
                    <w:rPr>
                      <w:rFonts w:ascii="Arial" w:eastAsia="Arial" w:hAnsi="Arial" w:cs="Arial"/>
                      <w:sz w:val="22"/>
                      <w:szCs w:val="22"/>
                      <w:lang w:bidi="es-ES"/>
                    </w:rPr>
                    <w:t>año 2</w:t>
                  </w:r>
                </w:p>
              </w:tc>
              <w:tc>
                <w:tcPr>
                  <w:tcW w:w="3511" w:type="pct"/>
                </w:tcPr>
                <w:p w14:paraId="183B7B22"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Sin cambios</w:t>
                  </w:r>
                </w:p>
                <w:p w14:paraId="3CEF9341" w14:textId="77777777" w:rsidR="00FC612A" w:rsidRPr="002E26E7" w:rsidRDefault="00FC612A" w:rsidP="005F773B">
                  <w:pPr>
                    <w:keepLines/>
                    <w:spacing w:before="60" w:after="60"/>
                    <w:ind w:right="69"/>
                    <w:jc w:val="both"/>
                    <w:rPr>
                      <w:rFonts w:ascii="Arial" w:hAnsi="Arial" w:cs="Arial"/>
                      <w:sz w:val="22"/>
                      <w:szCs w:val="22"/>
                      <w:lang w:val="en-GB"/>
                    </w:rPr>
                  </w:pPr>
                </w:p>
                <w:p w14:paraId="4DF0FE87" w14:textId="77777777" w:rsidR="00FC612A" w:rsidRPr="002E26E7" w:rsidRDefault="00FC612A" w:rsidP="005F773B">
                  <w:pPr>
                    <w:keepLines/>
                    <w:spacing w:before="60" w:after="60"/>
                    <w:ind w:right="69"/>
                    <w:jc w:val="both"/>
                    <w:rPr>
                      <w:rFonts w:ascii="Arial" w:hAnsi="Arial" w:cs="Arial"/>
                      <w:sz w:val="22"/>
                      <w:szCs w:val="22"/>
                      <w:lang w:val="en-GB"/>
                    </w:rPr>
                  </w:pPr>
                </w:p>
                <w:p w14:paraId="316159AF" w14:textId="77777777" w:rsidR="00FC612A" w:rsidRPr="002E26E7" w:rsidRDefault="00FC612A" w:rsidP="005F773B">
                  <w:pPr>
                    <w:keepLines/>
                    <w:spacing w:before="60" w:after="60"/>
                    <w:ind w:right="69"/>
                    <w:jc w:val="both"/>
                    <w:rPr>
                      <w:rFonts w:ascii="Arial" w:hAnsi="Arial" w:cs="Arial"/>
                      <w:sz w:val="22"/>
                      <w:szCs w:val="22"/>
                      <w:lang w:val="en-GB"/>
                    </w:rPr>
                  </w:pPr>
                </w:p>
                <w:p w14:paraId="7EBA63D7" w14:textId="77777777" w:rsidR="00FC612A" w:rsidRPr="002E26E7" w:rsidRDefault="00FC612A" w:rsidP="005F773B">
                  <w:pPr>
                    <w:keepLines/>
                    <w:spacing w:before="60" w:after="60"/>
                    <w:ind w:right="69"/>
                    <w:jc w:val="both"/>
                    <w:rPr>
                      <w:rFonts w:ascii="Arial" w:hAnsi="Arial" w:cs="Arial"/>
                      <w:sz w:val="22"/>
                      <w:szCs w:val="22"/>
                      <w:lang w:val="en-GB"/>
                    </w:rPr>
                  </w:pPr>
                </w:p>
                <w:p w14:paraId="4F952411" w14:textId="77777777" w:rsidR="00FC612A" w:rsidRPr="002E26E7" w:rsidRDefault="00FC612A" w:rsidP="005F773B">
                  <w:pPr>
                    <w:keepLines/>
                    <w:spacing w:before="60" w:after="60"/>
                    <w:ind w:right="69"/>
                    <w:jc w:val="both"/>
                    <w:rPr>
                      <w:rFonts w:ascii="Arial" w:hAnsi="Arial" w:cs="Arial"/>
                      <w:sz w:val="22"/>
                      <w:szCs w:val="22"/>
                      <w:lang w:val="en-GB"/>
                    </w:rPr>
                  </w:pPr>
                </w:p>
                <w:p w14:paraId="27958ED9" w14:textId="77777777" w:rsidR="00FC612A" w:rsidRPr="002E26E7" w:rsidRDefault="00FC612A" w:rsidP="005F773B">
                  <w:pPr>
                    <w:keepLines/>
                    <w:spacing w:before="60" w:after="60"/>
                    <w:ind w:right="69"/>
                    <w:jc w:val="both"/>
                    <w:rPr>
                      <w:rFonts w:ascii="Arial" w:hAnsi="Arial" w:cs="Arial"/>
                      <w:sz w:val="22"/>
                      <w:szCs w:val="22"/>
                      <w:lang w:val="en-GB"/>
                    </w:rPr>
                  </w:pPr>
                </w:p>
                <w:p w14:paraId="2F95D92C" w14:textId="77777777" w:rsidR="00FC612A" w:rsidRPr="002E26E7" w:rsidRDefault="00FC612A" w:rsidP="005F773B">
                  <w:pPr>
                    <w:keepLines/>
                    <w:spacing w:before="60" w:after="60"/>
                    <w:ind w:right="69"/>
                    <w:jc w:val="both"/>
                    <w:rPr>
                      <w:rFonts w:ascii="Arial" w:hAnsi="Arial" w:cs="Arial"/>
                      <w:sz w:val="22"/>
                      <w:szCs w:val="22"/>
                      <w:lang w:val="en-GB"/>
                    </w:rPr>
                  </w:pPr>
                </w:p>
                <w:p w14:paraId="22B94B9F" w14:textId="77777777" w:rsidR="00FC612A" w:rsidRPr="002E26E7" w:rsidRDefault="00FC612A" w:rsidP="005F773B">
                  <w:pPr>
                    <w:keepLines/>
                    <w:spacing w:before="60" w:after="60"/>
                    <w:ind w:right="69"/>
                    <w:jc w:val="both"/>
                    <w:rPr>
                      <w:rFonts w:ascii="Arial" w:hAnsi="Arial" w:cs="Arial"/>
                      <w:sz w:val="22"/>
                      <w:szCs w:val="22"/>
                      <w:lang w:val="en-GB"/>
                    </w:rPr>
                  </w:pPr>
                </w:p>
                <w:p w14:paraId="3996D60C" w14:textId="77777777" w:rsidR="00FC612A" w:rsidRPr="002E26E7" w:rsidRDefault="00FC612A" w:rsidP="005F773B">
                  <w:pPr>
                    <w:keepLines/>
                    <w:spacing w:before="60" w:after="60"/>
                    <w:ind w:right="69"/>
                    <w:jc w:val="both"/>
                    <w:rPr>
                      <w:rFonts w:ascii="Arial" w:hAnsi="Arial" w:cs="Arial"/>
                      <w:sz w:val="22"/>
                      <w:szCs w:val="22"/>
                      <w:lang w:val="en-GB"/>
                    </w:rPr>
                  </w:pPr>
                </w:p>
                <w:p w14:paraId="6A9E688B" w14:textId="77777777" w:rsidR="00FC612A" w:rsidRPr="002E26E7" w:rsidRDefault="00FC612A" w:rsidP="005F773B">
                  <w:pPr>
                    <w:keepLines/>
                    <w:spacing w:before="60" w:after="60"/>
                    <w:ind w:right="69"/>
                    <w:jc w:val="both"/>
                    <w:rPr>
                      <w:rFonts w:ascii="Arial" w:hAnsi="Arial" w:cs="Arial"/>
                      <w:sz w:val="22"/>
                      <w:szCs w:val="22"/>
                      <w:lang w:val="en-GB"/>
                    </w:rPr>
                  </w:pPr>
                </w:p>
                <w:p w14:paraId="5A1D82B2" w14:textId="77777777" w:rsidR="00FC612A" w:rsidRPr="002E26E7" w:rsidRDefault="00FC612A" w:rsidP="005F773B">
                  <w:pPr>
                    <w:keepLines/>
                    <w:spacing w:before="60" w:after="60"/>
                    <w:ind w:right="69"/>
                    <w:jc w:val="both"/>
                    <w:rPr>
                      <w:rFonts w:ascii="Arial" w:hAnsi="Arial" w:cs="Arial"/>
                      <w:sz w:val="22"/>
                      <w:szCs w:val="22"/>
                      <w:lang w:val="en-GB"/>
                    </w:rPr>
                  </w:pPr>
                </w:p>
              </w:tc>
            </w:tr>
            <w:tr w:rsidR="00FC612A" w:rsidRPr="002E26E7" w14:paraId="44BA9921" w14:textId="77777777" w:rsidTr="002E26E7">
              <w:trPr>
                <w:cantSplit/>
                <w:trHeight w:val="3530"/>
              </w:trPr>
              <w:tc>
                <w:tcPr>
                  <w:tcW w:w="1489" w:type="pct"/>
                </w:tcPr>
                <w:p w14:paraId="62E0345B" w14:textId="77777777" w:rsidR="00FC612A" w:rsidRPr="002E26E7" w:rsidRDefault="00FC612A" w:rsidP="005F773B">
                  <w:pPr>
                    <w:keepLines/>
                    <w:spacing w:before="60" w:after="60"/>
                    <w:jc w:val="right"/>
                    <w:rPr>
                      <w:rFonts w:ascii="Arial" w:hAnsi="Arial" w:cs="Arial"/>
                      <w:sz w:val="22"/>
                      <w:szCs w:val="22"/>
                    </w:rPr>
                  </w:pPr>
                  <w:r w:rsidRPr="002E26E7">
                    <w:rPr>
                      <w:rFonts w:ascii="Arial" w:eastAsia="Arial" w:hAnsi="Arial" w:cs="Arial"/>
                      <w:sz w:val="22"/>
                      <w:szCs w:val="22"/>
                      <w:lang w:bidi="es-ES"/>
                    </w:rPr>
                    <w:t>Dos semanas después de la reunión de junio</w:t>
                  </w:r>
                </w:p>
                <w:p w14:paraId="4E456CBC" w14:textId="77777777" w:rsidR="00FC612A" w:rsidRPr="002E26E7" w:rsidRDefault="00FC612A" w:rsidP="005F773B">
                  <w:pPr>
                    <w:keepLines/>
                    <w:spacing w:before="60" w:after="60"/>
                    <w:jc w:val="right"/>
                    <w:rPr>
                      <w:rFonts w:ascii="Arial" w:hAnsi="Arial" w:cs="Arial"/>
                      <w:sz w:val="22"/>
                      <w:szCs w:val="22"/>
                      <w:lang w:val="en-GB"/>
                    </w:rPr>
                  </w:pPr>
                  <w:r w:rsidRPr="002E26E7">
                    <w:rPr>
                      <w:rFonts w:ascii="Arial" w:eastAsia="Arial" w:hAnsi="Arial" w:cs="Arial"/>
                      <w:sz w:val="22"/>
                      <w:szCs w:val="22"/>
                      <w:lang w:bidi="es-ES"/>
                    </w:rPr>
                    <w:t>año 2</w:t>
                  </w:r>
                </w:p>
              </w:tc>
              <w:tc>
                <w:tcPr>
                  <w:tcW w:w="3511" w:type="pct"/>
                </w:tcPr>
                <w:p w14:paraId="586954CB" w14:textId="77777777" w:rsidR="00FC612A" w:rsidRPr="002E26E7" w:rsidRDefault="00FC612A" w:rsidP="005F773B">
                  <w:pPr>
                    <w:keepLines/>
                    <w:spacing w:before="60" w:after="60"/>
                    <w:ind w:right="69"/>
                    <w:jc w:val="both"/>
                    <w:rPr>
                      <w:rFonts w:ascii="Arial" w:hAnsi="Arial" w:cs="Arial"/>
                      <w:sz w:val="22"/>
                      <w:szCs w:val="22"/>
                      <w:lang w:val="en-GB"/>
                    </w:rPr>
                  </w:pPr>
                  <w:r w:rsidRPr="002E26E7">
                    <w:rPr>
                      <w:rFonts w:ascii="Arial" w:eastAsia="Arial" w:hAnsi="Arial" w:cs="Arial"/>
                      <w:sz w:val="22"/>
                      <w:szCs w:val="22"/>
                      <w:lang w:bidi="es-ES"/>
                    </w:rPr>
                    <w:t>Sin cambios</w:t>
                  </w:r>
                </w:p>
                <w:p w14:paraId="5BE6CA2F" w14:textId="77777777" w:rsidR="00FC612A" w:rsidRPr="002E26E7" w:rsidRDefault="00FC612A" w:rsidP="005F773B">
                  <w:pPr>
                    <w:keepLines/>
                    <w:spacing w:before="60" w:after="60"/>
                    <w:ind w:right="69"/>
                    <w:jc w:val="both"/>
                    <w:rPr>
                      <w:rFonts w:ascii="Arial" w:hAnsi="Arial" w:cs="Arial"/>
                      <w:sz w:val="22"/>
                      <w:szCs w:val="22"/>
                      <w:lang w:val="en-GB"/>
                    </w:rPr>
                  </w:pPr>
                </w:p>
                <w:p w14:paraId="3FE75021" w14:textId="77777777" w:rsidR="00FC612A" w:rsidRPr="002E26E7" w:rsidRDefault="00FC612A" w:rsidP="005F773B">
                  <w:pPr>
                    <w:keepLines/>
                    <w:spacing w:before="60" w:after="60"/>
                    <w:ind w:right="69"/>
                    <w:jc w:val="both"/>
                    <w:rPr>
                      <w:rFonts w:ascii="Arial" w:hAnsi="Arial" w:cs="Arial"/>
                      <w:sz w:val="22"/>
                      <w:szCs w:val="22"/>
                      <w:lang w:val="en-GB"/>
                    </w:rPr>
                  </w:pPr>
                </w:p>
                <w:p w14:paraId="27F9E0C6" w14:textId="77777777" w:rsidR="00FC612A" w:rsidRPr="002E26E7" w:rsidRDefault="00FC612A" w:rsidP="005F773B">
                  <w:pPr>
                    <w:keepLines/>
                    <w:spacing w:before="60" w:after="60"/>
                    <w:ind w:right="69"/>
                    <w:jc w:val="both"/>
                    <w:rPr>
                      <w:rFonts w:ascii="Arial" w:hAnsi="Arial" w:cs="Arial"/>
                      <w:sz w:val="22"/>
                      <w:szCs w:val="22"/>
                      <w:lang w:val="en-GB"/>
                    </w:rPr>
                  </w:pPr>
                </w:p>
                <w:p w14:paraId="3830DD27" w14:textId="77777777" w:rsidR="00FC612A" w:rsidRPr="002E26E7" w:rsidRDefault="00FC612A" w:rsidP="005F773B">
                  <w:pPr>
                    <w:keepLines/>
                    <w:spacing w:before="60" w:after="60"/>
                    <w:ind w:right="69"/>
                    <w:jc w:val="both"/>
                    <w:rPr>
                      <w:rFonts w:ascii="Arial" w:hAnsi="Arial" w:cs="Arial"/>
                      <w:sz w:val="22"/>
                      <w:szCs w:val="22"/>
                      <w:lang w:val="en-GB"/>
                    </w:rPr>
                  </w:pPr>
                </w:p>
                <w:p w14:paraId="45A0F71C" w14:textId="77777777" w:rsidR="00FC612A" w:rsidRPr="002E26E7" w:rsidRDefault="00FC612A" w:rsidP="005F773B">
                  <w:pPr>
                    <w:keepLines/>
                    <w:spacing w:before="60" w:after="60"/>
                    <w:ind w:right="69"/>
                    <w:jc w:val="both"/>
                    <w:rPr>
                      <w:rFonts w:ascii="Arial" w:hAnsi="Arial" w:cs="Arial"/>
                      <w:sz w:val="22"/>
                      <w:szCs w:val="22"/>
                      <w:lang w:val="en-GB"/>
                    </w:rPr>
                  </w:pPr>
                </w:p>
                <w:p w14:paraId="41880AF9" w14:textId="77777777" w:rsidR="00EB3DBA" w:rsidRPr="002E26E7" w:rsidRDefault="00EB3DBA" w:rsidP="005F773B">
                  <w:pPr>
                    <w:keepLines/>
                    <w:spacing w:before="60" w:after="60"/>
                    <w:ind w:right="69"/>
                    <w:jc w:val="both"/>
                    <w:rPr>
                      <w:rFonts w:ascii="Arial" w:hAnsi="Arial" w:cs="Arial"/>
                      <w:sz w:val="22"/>
                      <w:szCs w:val="22"/>
                      <w:lang w:val="en-GB"/>
                    </w:rPr>
                  </w:pPr>
                </w:p>
                <w:p w14:paraId="3FF8BF4C" w14:textId="77777777" w:rsidR="00EB3DBA" w:rsidRPr="002E26E7" w:rsidRDefault="00EB3DBA" w:rsidP="005F773B">
                  <w:pPr>
                    <w:keepLines/>
                    <w:spacing w:before="60" w:after="60"/>
                    <w:ind w:right="69"/>
                    <w:jc w:val="both"/>
                    <w:rPr>
                      <w:rFonts w:ascii="Arial" w:hAnsi="Arial" w:cs="Arial"/>
                      <w:sz w:val="22"/>
                      <w:szCs w:val="22"/>
                      <w:lang w:val="en-GB"/>
                    </w:rPr>
                  </w:pPr>
                </w:p>
                <w:p w14:paraId="4B34D41F" w14:textId="77777777" w:rsidR="00FC612A" w:rsidRPr="002E26E7" w:rsidRDefault="00FC612A" w:rsidP="005F773B">
                  <w:pPr>
                    <w:keepLines/>
                    <w:spacing w:before="60" w:after="60"/>
                    <w:ind w:right="69"/>
                    <w:jc w:val="both"/>
                    <w:rPr>
                      <w:rFonts w:ascii="Arial" w:hAnsi="Arial" w:cs="Arial"/>
                      <w:sz w:val="22"/>
                      <w:szCs w:val="22"/>
                      <w:lang w:val="en-GB"/>
                    </w:rPr>
                  </w:pPr>
                </w:p>
              </w:tc>
            </w:tr>
            <w:tr w:rsidR="00FC612A" w:rsidRPr="002E26E7" w14:paraId="745036B8" w14:textId="77777777" w:rsidTr="002E26E7">
              <w:trPr>
                <w:cantSplit/>
                <w:trHeight w:val="1361"/>
              </w:trPr>
              <w:tc>
                <w:tcPr>
                  <w:tcW w:w="1489" w:type="pct"/>
                </w:tcPr>
                <w:p w14:paraId="45916818" w14:textId="77777777" w:rsidR="00FC612A" w:rsidRPr="002E26E7" w:rsidRDefault="00FC612A" w:rsidP="005F773B">
                  <w:pPr>
                    <w:keepLines/>
                    <w:spacing w:before="60" w:after="60"/>
                    <w:jc w:val="right"/>
                    <w:rPr>
                      <w:rFonts w:ascii="Arial" w:hAnsi="Arial" w:cs="Arial"/>
                      <w:sz w:val="22"/>
                      <w:szCs w:val="22"/>
                      <w:highlight w:val="yellow"/>
                    </w:rPr>
                  </w:pPr>
                  <w:r w:rsidRPr="002E26E7">
                    <w:rPr>
                      <w:rFonts w:ascii="Arial" w:eastAsia="Arial" w:hAnsi="Arial" w:cs="Arial"/>
                      <w:sz w:val="22"/>
                      <w:szCs w:val="22"/>
                      <w:lang w:bidi="es-ES"/>
                    </w:rPr>
                    <w:lastRenderedPageBreak/>
                    <w:t>A más tardar para septiembre del año 2</w:t>
                  </w:r>
                </w:p>
              </w:tc>
              <w:tc>
                <w:tcPr>
                  <w:tcW w:w="3511" w:type="pct"/>
                </w:tcPr>
                <w:p w14:paraId="76534A24"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Sin cambios</w:t>
                  </w:r>
                </w:p>
              </w:tc>
            </w:tr>
            <w:tr w:rsidR="00FC612A" w:rsidRPr="002E26E7" w14:paraId="6B91963A" w14:textId="77777777" w:rsidTr="002E26E7">
              <w:trPr>
                <w:cantSplit/>
                <w:trHeight w:val="1269"/>
              </w:trPr>
              <w:tc>
                <w:tcPr>
                  <w:tcW w:w="1489" w:type="pct"/>
                </w:tcPr>
                <w:p w14:paraId="4450238F" w14:textId="77777777" w:rsidR="00FC612A" w:rsidRPr="002E26E7" w:rsidRDefault="00FC612A" w:rsidP="005F773B">
                  <w:pPr>
                    <w:keepLines/>
                    <w:spacing w:before="60" w:after="60"/>
                    <w:jc w:val="right"/>
                    <w:rPr>
                      <w:rFonts w:ascii="Arial" w:hAnsi="Arial" w:cs="Arial"/>
                      <w:sz w:val="22"/>
                      <w:szCs w:val="22"/>
                    </w:rPr>
                  </w:pPr>
                  <w:r w:rsidRPr="002E26E7">
                    <w:rPr>
                      <w:rFonts w:ascii="Arial" w:eastAsia="Arial" w:hAnsi="Arial" w:cs="Arial"/>
                      <w:sz w:val="22"/>
                      <w:szCs w:val="22"/>
                      <w:lang w:bidi="es-ES"/>
                    </w:rPr>
                    <w:t>Cuatro semanas antes de la reunión del Comité</w:t>
                  </w:r>
                </w:p>
              </w:tc>
              <w:tc>
                <w:tcPr>
                  <w:tcW w:w="3511" w:type="pct"/>
                </w:tcPr>
                <w:p w14:paraId="51710262" w14:textId="77777777" w:rsidR="00FC612A" w:rsidRPr="002E26E7" w:rsidRDefault="00FC612A" w:rsidP="005F773B">
                  <w:pPr>
                    <w:keepLines/>
                    <w:spacing w:before="60" w:after="60"/>
                    <w:ind w:right="69"/>
                    <w:jc w:val="both"/>
                    <w:rPr>
                      <w:rFonts w:ascii="Arial" w:hAnsi="Arial" w:cs="Arial"/>
                      <w:sz w:val="22"/>
                      <w:szCs w:val="22"/>
                      <w:lang w:val="en-GB"/>
                    </w:rPr>
                  </w:pPr>
                  <w:r w:rsidRPr="002E26E7">
                    <w:rPr>
                      <w:rFonts w:ascii="Arial" w:eastAsia="Arial" w:hAnsi="Arial" w:cs="Arial"/>
                      <w:sz w:val="22"/>
                      <w:szCs w:val="22"/>
                      <w:lang w:bidi="es-ES"/>
                    </w:rPr>
                    <w:t>Sin cambios</w:t>
                  </w:r>
                </w:p>
                <w:p w14:paraId="777556D8" w14:textId="77777777" w:rsidR="00FC612A" w:rsidRPr="002E26E7" w:rsidRDefault="00FC612A" w:rsidP="005F773B">
                  <w:pPr>
                    <w:keepLines/>
                    <w:spacing w:before="60" w:after="60"/>
                    <w:ind w:right="69"/>
                    <w:jc w:val="both"/>
                    <w:rPr>
                      <w:rFonts w:ascii="Arial" w:hAnsi="Arial" w:cs="Arial"/>
                      <w:sz w:val="22"/>
                      <w:szCs w:val="22"/>
                      <w:lang w:val="en-GB"/>
                    </w:rPr>
                  </w:pPr>
                </w:p>
              </w:tc>
            </w:tr>
          </w:tbl>
          <w:p w14:paraId="4B3D0F5A" w14:textId="77777777" w:rsidR="00FC612A" w:rsidRPr="002E26E7" w:rsidRDefault="00FC612A" w:rsidP="005F773B">
            <w:pPr>
              <w:keepLines/>
              <w:spacing w:before="60" w:after="60"/>
              <w:jc w:val="both"/>
              <w:rPr>
                <w:rFonts w:ascii="Arial" w:hAnsi="Arial" w:cs="Arial"/>
                <w:sz w:val="22"/>
                <w:szCs w:val="22"/>
                <w:lang w:val="en-US"/>
              </w:rPr>
            </w:pPr>
          </w:p>
        </w:tc>
      </w:tr>
      <w:tr w:rsidR="00FC612A" w:rsidRPr="002E26E7" w14:paraId="3BF1B14D" w14:textId="77777777" w:rsidTr="002E26E7">
        <w:trPr>
          <w:trHeight w:val="13"/>
        </w:trPr>
        <w:tc>
          <w:tcPr>
            <w:tcW w:w="228" w:type="pct"/>
          </w:tcPr>
          <w:p w14:paraId="36D60349" w14:textId="77777777" w:rsidR="00FC612A" w:rsidRPr="002E26E7" w:rsidRDefault="00FC612A" w:rsidP="005F773B">
            <w:pPr>
              <w:keepLines/>
              <w:spacing w:before="60" w:after="60"/>
              <w:rPr>
                <w:rFonts w:ascii="Arial" w:hAnsi="Arial" w:cs="Arial"/>
                <w:sz w:val="22"/>
                <w:szCs w:val="22"/>
                <w:lang w:val="en-GB"/>
              </w:rPr>
            </w:pPr>
            <w:r w:rsidRPr="002E26E7">
              <w:rPr>
                <w:rFonts w:ascii="Arial" w:eastAsia="Arial" w:hAnsi="Arial" w:cs="Arial"/>
                <w:sz w:val="22"/>
                <w:szCs w:val="22"/>
                <w:lang w:bidi="es-ES"/>
              </w:rPr>
              <w:lastRenderedPageBreak/>
              <w:t>56.</w:t>
            </w:r>
          </w:p>
        </w:tc>
        <w:tc>
          <w:tcPr>
            <w:tcW w:w="2291" w:type="pct"/>
            <w:tcBorders>
              <w:top w:val="single" w:sz="4" w:space="0" w:color="auto"/>
            </w:tcBorders>
          </w:tcPr>
          <w:tbl>
            <w:tblPr>
              <w:tblStyle w:val="TableGrid"/>
              <w:tblW w:w="6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99"/>
              <w:gridCol w:w="4486"/>
            </w:tblGrid>
            <w:tr w:rsidR="00FC612A" w:rsidRPr="002E26E7" w14:paraId="69796E3F" w14:textId="77777777" w:rsidTr="002E26E7">
              <w:trPr>
                <w:cantSplit/>
              </w:trPr>
              <w:tc>
                <w:tcPr>
                  <w:tcW w:w="1431" w:type="pct"/>
                </w:tcPr>
                <w:p w14:paraId="4B48CB7B" w14:textId="77777777" w:rsidR="00FC612A" w:rsidRPr="002E26E7" w:rsidRDefault="00FC612A" w:rsidP="005F773B">
                  <w:pPr>
                    <w:keepLines/>
                    <w:spacing w:before="60" w:after="60"/>
                    <w:jc w:val="right"/>
                    <w:rPr>
                      <w:rFonts w:ascii="Arial" w:hAnsi="Arial" w:cs="Arial"/>
                      <w:sz w:val="22"/>
                      <w:szCs w:val="22"/>
                      <w:lang w:val="en-GB"/>
                    </w:rPr>
                  </w:pPr>
                  <w:r w:rsidRPr="002E26E7">
                    <w:rPr>
                      <w:rFonts w:ascii="Arial" w:eastAsia="Arial" w:hAnsi="Arial" w:cs="Arial"/>
                      <w:sz w:val="22"/>
                      <w:szCs w:val="22"/>
                      <w:lang w:bidi="es-ES"/>
                    </w:rPr>
                    <w:t>Fase 3:</w:t>
                  </w:r>
                </w:p>
              </w:tc>
              <w:tc>
                <w:tcPr>
                  <w:tcW w:w="3569" w:type="pct"/>
                </w:tcPr>
                <w:p w14:paraId="42B30952" w14:textId="77777777" w:rsidR="00FC612A" w:rsidRPr="002E26E7" w:rsidRDefault="00FC612A" w:rsidP="005F773B">
                  <w:pPr>
                    <w:keepLines/>
                    <w:spacing w:before="60" w:after="60"/>
                    <w:ind w:right="176"/>
                    <w:jc w:val="both"/>
                    <w:rPr>
                      <w:rFonts w:ascii="Arial" w:hAnsi="Arial" w:cs="Arial"/>
                      <w:sz w:val="22"/>
                      <w:szCs w:val="22"/>
                      <w:lang w:val="en-GB"/>
                    </w:rPr>
                  </w:pPr>
                  <w:r w:rsidRPr="002E26E7">
                    <w:rPr>
                      <w:rFonts w:ascii="Arial" w:eastAsia="Arial" w:hAnsi="Arial" w:cs="Arial"/>
                      <w:sz w:val="22"/>
                      <w:szCs w:val="22"/>
                      <w:lang w:bidi="es-ES"/>
                    </w:rPr>
                    <w:t>Examen</w:t>
                  </w:r>
                </w:p>
              </w:tc>
            </w:tr>
            <w:tr w:rsidR="00FC612A" w:rsidRPr="002E26E7" w14:paraId="034A99D1" w14:textId="77777777" w:rsidTr="002E26E7">
              <w:trPr>
                <w:cantSplit/>
              </w:trPr>
              <w:tc>
                <w:tcPr>
                  <w:tcW w:w="1431" w:type="pct"/>
                </w:tcPr>
                <w:p w14:paraId="72875075" w14:textId="77777777" w:rsidR="00FC612A" w:rsidRPr="002E26E7" w:rsidRDefault="00FC612A" w:rsidP="005F773B">
                  <w:pPr>
                    <w:keepLines/>
                    <w:spacing w:before="60" w:after="60"/>
                    <w:jc w:val="right"/>
                    <w:rPr>
                      <w:rFonts w:ascii="Arial" w:hAnsi="Arial" w:cs="Arial"/>
                      <w:sz w:val="22"/>
                      <w:szCs w:val="22"/>
                      <w:lang w:val="en-GB"/>
                    </w:rPr>
                  </w:pPr>
                  <w:r w:rsidRPr="002E26E7">
                    <w:rPr>
                      <w:rFonts w:ascii="Arial" w:eastAsia="Arial" w:hAnsi="Arial" w:cs="Arial"/>
                      <w:sz w:val="22"/>
                      <w:szCs w:val="22"/>
                      <w:lang w:bidi="es-ES"/>
                    </w:rPr>
                    <w:t>Noviembre</w:t>
                  </w:r>
                </w:p>
                <w:p w14:paraId="4C269615" w14:textId="77777777" w:rsidR="00FC612A" w:rsidRPr="002E26E7" w:rsidRDefault="00FC612A" w:rsidP="005F773B">
                  <w:pPr>
                    <w:keepLines/>
                    <w:spacing w:before="60" w:after="60"/>
                    <w:jc w:val="right"/>
                    <w:rPr>
                      <w:rFonts w:ascii="Arial" w:hAnsi="Arial" w:cs="Arial"/>
                      <w:sz w:val="22"/>
                      <w:szCs w:val="22"/>
                      <w:lang w:val="en-GB"/>
                    </w:rPr>
                  </w:pPr>
                  <w:r w:rsidRPr="002E26E7">
                    <w:rPr>
                      <w:rFonts w:ascii="Arial" w:eastAsia="Arial" w:hAnsi="Arial" w:cs="Arial"/>
                      <w:sz w:val="22"/>
                      <w:szCs w:val="22"/>
                      <w:lang w:bidi="es-ES"/>
                    </w:rPr>
                    <w:t>año 2</w:t>
                  </w:r>
                </w:p>
              </w:tc>
              <w:tc>
                <w:tcPr>
                  <w:tcW w:w="3569" w:type="pct"/>
                </w:tcPr>
                <w:p w14:paraId="7F588DF3" w14:textId="77777777" w:rsidR="00FC612A" w:rsidRPr="002E26E7" w:rsidRDefault="00FC612A" w:rsidP="005F773B">
                  <w:pPr>
                    <w:keepLines/>
                    <w:spacing w:before="60" w:after="60"/>
                    <w:jc w:val="both"/>
                    <w:rPr>
                      <w:rFonts w:ascii="Arial" w:hAnsi="Arial" w:cs="Arial"/>
                      <w:sz w:val="22"/>
                      <w:szCs w:val="22"/>
                    </w:rPr>
                  </w:pPr>
                  <w:r w:rsidRPr="002E26E7">
                    <w:rPr>
                      <w:rFonts w:ascii="Arial" w:eastAsia="Arial" w:hAnsi="Arial" w:cs="Arial"/>
                      <w:sz w:val="22"/>
                      <w:szCs w:val="22"/>
                      <w:lang w:bidi="es-ES"/>
                    </w:rPr>
                    <w:t>El Comité examinará las candidaturas, propuestas y solicitudes y adoptará sus decisiones.</w:t>
                  </w:r>
                </w:p>
              </w:tc>
            </w:tr>
          </w:tbl>
          <w:p w14:paraId="5FFBA830" w14:textId="77777777" w:rsidR="00FC612A" w:rsidRPr="002E26E7" w:rsidRDefault="00FC612A" w:rsidP="005F773B">
            <w:pPr>
              <w:keepLines/>
              <w:spacing w:before="60" w:after="60"/>
              <w:jc w:val="both"/>
              <w:rPr>
                <w:rFonts w:ascii="Arial" w:hAnsi="Arial" w:cs="Arial"/>
                <w:sz w:val="22"/>
                <w:szCs w:val="22"/>
              </w:rPr>
            </w:pPr>
          </w:p>
        </w:tc>
        <w:tc>
          <w:tcPr>
            <w:tcW w:w="231" w:type="pct"/>
            <w:tcBorders>
              <w:top w:val="single" w:sz="4" w:space="0" w:color="auto"/>
            </w:tcBorders>
          </w:tcPr>
          <w:p w14:paraId="54701B4C"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56.</w:t>
            </w:r>
          </w:p>
        </w:tc>
        <w:tc>
          <w:tcPr>
            <w:tcW w:w="2251" w:type="pct"/>
            <w:tcBorders>
              <w:top w:val="single" w:sz="4" w:space="0" w:color="auto"/>
            </w:tcBorders>
          </w:tcPr>
          <w:tbl>
            <w:tblPr>
              <w:tblStyle w:val="TableGrid"/>
              <w:tblW w:w="6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2"/>
              <w:gridCol w:w="4413"/>
            </w:tblGrid>
            <w:tr w:rsidR="00FC612A" w:rsidRPr="002E26E7" w14:paraId="62489631" w14:textId="77777777" w:rsidTr="002E26E7">
              <w:trPr>
                <w:cantSplit/>
              </w:trPr>
              <w:tc>
                <w:tcPr>
                  <w:tcW w:w="1489" w:type="pct"/>
                </w:tcPr>
                <w:p w14:paraId="6BD405A1" w14:textId="77777777" w:rsidR="00FC612A" w:rsidRPr="002E26E7" w:rsidRDefault="00FC612A" w:rsidP="005F773B">
                  <w:pPr>
                    <w:keepLines/>
                    <w:spacing w:before="60" w:after="60"/>
                    <w:jc w:val="right"/>
                    <w:rPr>
                      <w:rFonts w:ascii="Arial" w:hAnsi="Arial" w:cs="Arial"/>
                      <w:sz w:val="22"/>
                      <w:szCs w:val="22"/>
                      <w:lang w:val="en-GB"/>
                    </w:rPr>
                  </w:pPr>
                  <w:r w:rsidRPr="002E26E7">
                    <w:rPr>
                      <w:rFonts w:ascii="Arial" w:eastAsia="Arial" w:hAnsi="Arial" w:cs="Arial"/>
                      <w:sz w:val="22"/>
                      <w:szCs w:val="22"/>
                      <w:lang w:bidi="es-ES"/>
                    </w:rPr>
                    <w:t>Fase 3:</w:t>
                  </w:r>
                </w:p>
              </w:tc>
              <w:tc>
                <w:tcPr>
                  <w:tcW w:w="3511" w:type="pct"/>
                </w:tcPr>
                <w:p w14:paraId="3FE8D538" w14:textId="77777777" w:rsidR="00FC612A" w:rsidRPr="002E26E7" w:rsidRDefault="00FC612A" w:rsidP="005F773B">
                  <w:pPr>
                    <w:keepLines/>
                    <w:spacing w:before="60" w:after="60"/>
                    <w:ind w:right="176"/>
                    <w:jc w:val="both"/>
                    <w:rPr>
                      <w:rFonts w:ascii="Arial" w:hAnsi="Arial" w:cs="Arial"/>
                      <w:sz w:val="22"/>
                      <w:szCs w:val="22"/>
                      <w:lang w:val="en-GB"/>
                    </w:rPr>
                  </w:pPr>
                  <w:r w:rsidRPr="002E26E7">
                    <w:rPr>
                      <w:rFonts w:ascii="Arial" w:eastAsia="Arial" w:hAnsi="Arial" w:cs="Arial"/>
                      <w:sz w:val="22"/>
                      <w:szCs w:val="22"/>
                      <w:lang w:bidi="es-ES"/>
                    </w:rPr>
                    <w:t>Sin cambios</w:t>
                  </w:r>
                </w:p>
              </w:tc>
            </w:tr>
            <w:tr w:rsidR="00FC612A" w:rsidRPr="002E26E7" w14:paraId="5FA538CA" w14:textId="77777777" w:rsidTr="002E26E7">
              <w:trPr>
                <w:cantSplit/>
                <w:trHeight w:val="836"/>
              </w:trPr>
              <w:tc>
                <w:tcPr>
                  <w:tcW w:w="1489" w:type="pct"/>
                </w:tcPr>
                <w:p w14:paraId="15B6AF45" w14:textId="77777777" w:rsidR="00FC612A" w:rsidRPr="002E26E7" w:rsidRDefault="00FC612A" w:rsidP="005F773B">
                  <w:pPr>
                    <w:keepLines/>
                    <w:spacing w:before="60" w:after="60"/>
                    <w:jc w:val="right"/>
                    <w:rPr>
                      <w:rFonts w:ascii="Arial" w:hAnsi="Arial" w:cs="Arial"/>
                      <w:sz w:val="22"/>
                      <w:szCs w:val="22"/>
                      <w:lang w:val="en-GB"/>
                    </w:rPr>
                  </w:pPr>
                  <w:r w:rsidRPr="002E26E7">
                    <w:rPr>
                      <w:rFonts w:ascii="Arial" w:eastAsia="Arial" w:hAnsi="Arial" w:cs="Arial"/>
                      <w:sz w:val="22"/>
                      <w:szCs w:val="22"/>
                      <w:lang w:bidi="es-ES"/>
                    </w:rPr>
                    <w:t>Noviembre</w:t>
                  </w:r>
                </w:p>
                <w:p w14:paraId="1C6E98E6" w14:textId="77777777" w:rsidR="00FC612A" w:rsidRPr="002E26E7" w:rsidRDefault="00FC612A" w:rsidP="005F773B">
                  <w:pPr>
                    <w:keepLines/>
                    <w:spacing w:before="60" w:after="60"/>
                    <w:jc w:val="right"/>
                    <w:rPr>
                      <w:rFonts w:ascii="Arial" w:hAnsi="Arial" w:cs="Arial"/>
                      <w:sz w:val="22"/>
                      <w:szCs w:val="22"/>
                      <w:lang w:val="en-GB"/>
                    </w:rPr>
                  </w:pPr>
                  <w:r w:rsidRPr="002E26E7">
                    <w:rPr>
                      <w:rFonts w:ascii="Arial" w:eastAsia="Arial" w:hAnsi="Arial" w:cs="Arial"/>
                      <w:sz w:val="22"/>
                      <w:szCs w:val="22"/>
                      <w:lang w:bidi="es-ES"/>
                    </w:rPr>
                    <w:t>año 2</w:t>
                  </w:r>
                </w:p>
              </w:tc>
              <w:tc>
                <w:tcPr>
                  <w:tcW w:w="3511" w:type="pct"/>
                </w:tcPr>
                <w:p w14:paraId="59EC772F"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Sin cambios</w:t>
                  </w:r>
                </w:p>
              </w:tc>
            </w:tr>
          </w:tbl>
          <w:p w14:paraId="60807ABE" w14:textId="77777777" w:rsidR="00FC612A" w:rsidRPr="002E26E7" w:rsidRDefault="00FC612A" w:rsidP="005F773B">
            <w:pPr>
              <w:keepLines/>
              <w:spacing w:before="60" w:after="60"/>
              <w:jc w:val="both"/>
              <w:rPr>
                <w:rFonts w:ascii="Arial" w:hAnsi="Arial" w:cs="Arial"/>
                <w:sz w:val="22"/>
                <w:szCs w:val="22"/>
                <w:lang w:val="en-US"/>
              </w:rPr>
            </w:pPr>
          </w:p>
        </w:tc>
      </w:tr>
      <w:tr w:rsidR="00FC612A" w:rsidRPr="002E26E7" w14:paraId="6EA94412" w14:textId="77777777" w:rsidTr="002E26E7">
        <w:tc>
          <w:tcPr>
            <w:tcW w:w="228" w:type="pct"/>
          </w:tcPr>
          <w:p w14:paraId="422BAE7D" w14:textId="77777777" w:rsidR="00FC612A" w:rsidRPr="002E26E7" w:rsidRDefault="00FC612A" w:rsidP="005F773B">
            <w:pPr>
              <w:keepLines/>
              <w:spacing w:before="60" w:after="60"/>
              <w:rPr>
                <w:rFonts w:ascii="Arial" w:hAnsi="Arial" w:cs="Arial"/>
                <w:color w:val="4F81BD" w:themeColor="accent1"/>
                <w:sz w:val="22"/>
                <w:szCs w:val="22"/>
                <w:lang w:val="en-GB"/>
              </w:rPr>
            </w:pPr>
            <w:r w:rsidRPr="002E26E7">
              <w:rPr>
                <w:rFonts w:ascii="Arial" w:eastAsia="Arial" w:hAnsi="Arial" w:cs="Arial"/>
                <w:b/>
                <w:color w:val="4F81BD" w:themeColor="accent1"/>
                <w:sz w:val="22"/>
                <w:szCs w:val="22"/>
                <w:lang w:bidi="es-ES"/>
              </w:rPr>
              <w:t>V.1</w:t>
            </w:r>
          </w:p>
        </w:tc>
        <w:tc>
          <w:tcPr>
            <w:tcW w:w="2291" w:type="pct"/>
          </w:tcPr>
          <w:p w14:paraId="20D1D13F" w14:textId="77777777" w:rsidR="00FC612A" w:rsidRPr="002E26E7" w:rsidRDefault="00FC612A" w:rsidP="005F773B">
            <w:pPr>
              <w:keepLines/>
              <w:spacing w:before="60" w:after="60"/>
              <w:jc w:val="both"/>
              <w:rPr>
                <w:rFonts w:ascii="Arial" w:hAnsi="Arial" w:cs="Arial"/>
                <w:color w:val="4F81BD" w:themeColor="accent1"/>
                <w:sz w:val="22"/>
                <w:szCs w:val="22"/>
              </w:rPr>
            </w:pPr>
            <w:r w:rsidRPr="002E26E7">
              <w:rPr>
                <w:rFonts w:ascii="Arial" w:eastAsia="Arial" w:hAnsi="Arial" w:cs="Arial"/>
                <w:b/>
                <w:color w:val="4F81BD" w:themeColor="accent1"/>
                <w:sz w:val="22"/>
                <w:szCs w:val="22"/>
                <w:lang w:bidi="es-ES"/>
              </w:rPr>
              <w:t xml:space="preserve">Informes de los </w:t>
            </w:r>
            <w:proofErr w:type="gramStart"/>
            <w:r w:rsidRPr="002E26E7">
              <w:rPr>
                <w:rFonts w:ascii="Arial" w:eastAsia="Arial" w:hAnsi="Arial" w:cs="Arial"/>
                <w:b/>
                <w:color w:val="4F81BD" w:themeColor="accent1"/>
                <w:sz w:val="22"/>
                <w:szCs w:val="22"/>
                <w:lang w:bidi="es-ES"/>
              </w:rPr>
              <w:t>Estados Partes</w:t>
            </w:r>
            <w:proofErr w:type="gramEnd"/>
            <w:r w:rsidRPr="002E26E7">
              <w:rPr>
                <w:rFonts w:ascii="Arial" w:eastAsia="Arial" w:hAnsi="Arial" w:cs="Arial"/>
                <w:b/>
                <w:color w:val="4F81BD" w:themeColor="accent1"/>
                <w:sz w:val="22"/>
                <w:szCs w:val="22"/>
                <w:lang w:bidi="es-ES"/>
              </w:rPr>
              <w:t xml:space="preserve"> sobre la aplicación de la Convención</w:t>
            </w:r>
          </w:p>
        </w:tc>
        <w:tc>
          <w:tcPr>
            <w:tcW w:w="231" w:type="pct"/>
          </w:tcPr>
          <w:p w14:paraId="2C551D94" w14:textId="77777777" w:rsidR="00FC612A" w:rsidRPr="002E26E7" w:rsidRDefault="00FC612A" w:rsidP="005F773B">
            <w:pPr>
              <w:keepLines/>
              <w:spacing w:before="60" w:after="60"/>
              <w:jc w:val="both"/>
              <w:rPr>
                <w:rFonts w:ascii="Arial" w:hAnsi="Arial" w:cs="Arial"/>
                <w:color w:val="4F81BD" w:themeColor="accent1"/>
                <w:sz w:val="22"/>
                <w:szCs w:val="22"/>
                <w:lang w:val="en-GB"/>
              </w:rPr>
            </w:pPr>
            <w:r w:rsidRPr="002E26E7">
              <w:rPr>
                <w:rFonts w:ascii="Arial" w:eastAsia="Arial" w:hAnsi="Arial" w:cs="Arial"/>
                <w:b/>
                <w:color w:val="4F81BD" w:themeColor="accent1"/>
                <w:sz w:val="22"/>
                <w:szCs w:val="22"/>
                <w:lang w:bidi="es-ES"/>
              </w:rPr>
              <w:t>V.1</w:t>
            </w:r>
          </w:p>
        </w:tc>
        <w:tc>
          <w:tcPr>
            <w:tcW w:w="2251" w:type="pct"/>
          </w:tcPr>
          <w:p w14:paraId="585C7960"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Sin cambios</w:t>
            </w:r>
          </w:p>
        </w:tc>
      </w:tr>
      <w:tr w:rsidR="00FC612A" w:rsidRPr="002E26E7" w14:paraId="0D542199" w14:textId="77777777" w:rsidTr="002E26E7">
        <w:tc>
          <w:tcPr>
            <w:tcW w:w="228" w:type="pct"/>
          </w:tcPr>
          <w:p w14:paraId="6EA54B77" w14:textId="77777777" w:rsidR="00FC612A" w:rsidRPr="002E26E7" w:rsidRDefault="00FC612A" w:rsidP="005F773B">
            <w:pPr>
              <w:keepLines/>
              <w:spacing w:before="60" w:after="60"/>
              <w:rPr>
                <w:rFonts w:ascii="Arial" w:hAnsi="Arial" w:cs="Arial"/>
                <w:sz w:val="22"/>
                <w:szCs w:val="22"/>
                <w:lang w:val="en-GB"/>
              </w:rPr>
            </w:pPr>
            <w:r w:rsidRPr="002E26E7">
              <w:rPr>
                <w:rFonts w:ascii="Arial" w:eastAsia="Arial" w:hAnsi="Arial" w:cs="Arial"/>
                <w:sz w:val="22"/>
                <w:szCs w:val="22"/>
                <w:lang w:bidi="es-ES"/>
              </w:rPr>
              <w:t>151.</w:t>
            </w:r>
          </w:p>
        </w:tc>
        <w:tc>
          <w:tcPr>
            <w:tcW w:w="2291" w:type="pct"/>
          </w:tcPr>
          <w:p w14:paraId="564D07D8" w14:textId="77777777" w:rsidR="00FC612A" w:rsidRPr="002E26E7" w:rsidRDefault="00FC612A" w:rsidP="005F773B">
            <w:pPr>
              <w:keepLines/>
              <w:spacing w:before="60" w:after="60"/>
              <w:jc w:val="both"/>
              <w:rPr>
                <w:rFonts w:ascii="Arial" w:hAnsi="Arial" w:cs="Arial"/>
                <w:sz w:val="22"/>
                <w:szCs w:val="22"/>
              </w:rPr>
            </w:pPr>
            <w:r w:rsidRPr="002E26E7">
              <w:rPr>
                <w:rFonts w:ascii="Arial" w:eastAsia="Arial" w:hAnsi="Arial" w:cs="Arial"/>
                <w:sz w:val="22"/>
                <w:szCs w:val="22"/>
                <w:lang w:bidi="es-ES"/>
              </w:rPr>
              <w:t xml:space="preserve">Cada Estado Parte en la Convención presentará periódicamente al Comité informes sobre las disposiciones legislativas, reglamentarias y de otra índole que haya adoptado para aplicar la Convención. Se alienta a los </w:t>
            </w:r>
            <w:proofErr w:type="gramStart"/>
            <w:r w:rsidRPr="002E26E7">
              <w:rPr>
                <w:rFonts w:ascii="Arial" w:eastAsia="Arial" w:hAnsi="Arial" w:cs="Arial"/>
                <w:sz w:val="22"/>
                <w:szCs w:val="22"/>
                <w:lang w:bidi="es-ES"/>
              </w:rPr>
              <w:t>Estados Partes</w:t>
            </w:r>
            <w:proofErr w:type="gramEnd"/>
            <w:r w:rsidRPr="002E26E7">
              <w:rPr>
                <w:rFonts w:ascii="Arial" w:eastAsia="Arial" w:hAnsi="Arial" w:cs="Arial"/>
                <w:sz w:val="22"/>
                <w:szCs w:val="22"/>
                <w:lang w:bidi="es-ES"/>
              </w:rPr>
              <w:t xml:space="preserve"> a complementar los datos recogidos sobre la aplicación de la Convención con información proporcionada por organizaciones no gubernamentales pertinentes.</w:t>
            </w:r>
          </w:p>
        </w:tc>
        <w:tc>
          <w:tcPr>
            <w:tcW w:w="231" w:type="pct"/>
          </w:tcPr>
          <w:p w14:paraId="6432CDCC" w14:textId="77777777" w:rsidR="00FC612A" w:rsidRPr="002E26E7" w:rsidRDefault="00FC612A" w:rsidP="005F773B">
            <w:pPr>
              <w:keepLines/>
              <w:spacing w:before="60" w:after="60"/>
              <w:rPr>
                <w:rFonts w:ascii="Arial" w:hAnsi="Arial" w:cs="Arial"/>
                <w:sz w:val="22"/>
                <w:szCs w:val="22"/>
                <w:lang w:val="en-GB"/>
              </w:rPr>
            </w:pPr>
            <w:r w:rsidRPr="002E26E7">
              <w:rPr>
                <w:rFonts w:ascii="Arial" w:eastAsia="Arial" w:hAnsi="Arial" w:cs="Arial"/>
                <w:sz w:val="22"/>
                <w:szCs w:val="22"/>
                <w:lang w:bidi="es-ES"/>
              </w:rPr>
              <w:t>151.</w:t>
            </w:r>
          </w:p>
        </w:tc>
        <w:tc>
          <w:tcPr>
            <w:tcW w:w="2251" w:type="pct"/>
          </w:tcPr>
          <w:p w14:paraId="0C0DED45" w14:textId="77777777" w:rsidR="00FC612A" w:rsidRPr="002E26E7" w:rsidRDefault="00FC612A" w:rsidP="005F773B">
            <w:pPr>
              <w:keepLines/>
              <w:spacing w:before="60" w:after="60"/>
              <w:ind w:right="175"/>
              <w:jc w:val="both"/>
              <w:rPr>
                <w:rFonts w:ascii="Arial" w:hAnsi="Arial" w:cs="Arial"/>
                <w:sz w:val="22"/>
                <w:szCs w:val="22"/>
                <w:lang w:val="en-GB"/>
              </w:rPr>
            </w:pPr>
            <w:r w:rsidRPr="002E26E7">
              <w:rPr>
                <w:rFonts w:ascii="Arial" w:eastAsia="Arial" w:hAnsi="Arial" w:cs="Arial"/>
                <w:sz w:val="22"/>
                <w:szCs w:val="22"/>
                <w:lang w:bidi="es-ES"/>
              </w:rPr>
              <w:t>Sin cambios</w:t>
            </w:r>
          </w:p>
        </w:tc>
      </w:tr>
      <w:tr w:rsidR="00FC612A" w:rsidRPr="002E26E7" w14:paraId="05BB6EE3" w14:textId="77777777" w:rsidTr="002E26E7">
        <w:tc>
          <w:tcPr>
            <w:tcW w:w="228" w:type="pct"/>
          </w:tcPr>
          <w:p w14:paraId="6F99A087" w14:textId="77777777" w:rsidR="00FC612A" w:rsidRPr="002E26E7" w:rsidRDefault="00FC612A" w:rsidP="005F773B">
            <w:pPr>
              <w:keepLines/>
              <w:spacing w:before="60" w:after="60"/>
              <w:rPr>
                <w:rFonts w:ascii="Arial" w:hAnsi="Arial" w:cs="Arial"/>
                <w:sz w:val="22"/>
                <w:szCs w:val="22"/>
                <w:lang w:val="en-GB"/>
              </w:rPr>
            </w:pPr>
            <w:r w:rsidRPr="002E26E7">
              <w:rPr>
                <w:rFonts w:ascii="Arial" w:eastAsia="Arial" w:hAnsi="Arial" w:cs="Arial"/>
                <w:sz w:val="22"/>
                <w:szCs w:val="22"/>
                <w:lang w:bidi="es-ES"/>
              </w:rPr>
              <w:lastRenderedPageBreak/>
              <w:t>152.</w:t>
            </w:r>
          </w:p>
        </w:tc>
        <w:tc>
          <w:tcPr>
            <w:tcW w:w="2291" w:type="pct"/>
          </w:tcPr>
          <w:p w14:paraId="73B052DA" w14:textId="77777777" w:rsidR="00FC612A" w:rsidRPr="002E26E7" w:rsidRDefault="00FC612A" w:rsidP="005F773B">
            <w:pPr>
              <w:keepLines/>
              <w:spacing w:before="60" w:after="60"/>
              <w:jc w:val="both"/>
              <w:rPr>
                <w:rFonts w:ascii="Arial" w:hAnsi="Arial" w:cs="Arial"/>
                <w:color w:val="000000"/>
                <w:sz w:val="22"/>
                <w:szCs w:val="22"/>
              </w:rPr>
            </w:pPr>
            <w:r w:rsidRPr="002E26E7">
              <w:rPr>
                <w:rFonts w:ascii="Arial" w:eastAsia="Arial" w:hAnsi="Arial" w:cs="Arial"/>
                <w:color w:val="000000"/>
                <w:sz w:val="22"/>
                <w:szCs w:val="22"/>
                <w:lang w:bidi="es-ES"/>
              </w:rPr>
              <w:t xml:space="preserve">Los </w:t>
            </w:r>
            <w:proofErr w:type="gramStart"/>
            <w:r w:rsidRPr="002E26E7">
              <w:rPr>
                <w:rFonts w:ascii="Arial" w:eastAsia="Arial" w:hAnsi="Arial" w:cs="Arial"/>
                <w:color w:val="000000"/>
                <w:sz w:val="22"/>
                <w:szCs w:val="22"/>
                <w:lang w:bidi="es-ES"/>
              </w:rPr>
              <w:t>Estados Partes</w:t>
            </w:r>
            <w:proofErr w:type="gramEnd"/>
            <w:r w:rsidRPr="002E26E7">
              <w:rPr>
                <w:rFonts w:ascii="Arial" w:eastAsia="Arial" w:hAnsi="Arial" w:cs="Arial"/>
                <w:color w:val="000000"/>
                <w:sz w:val="22"/>
                <w:szCs w:val="22"/>
                <w:lang w:bidi="es-ES"/>
              </w:rPr>
              <w:t xml:space="preserve"> presentarán sus informes periódicos al Comité a más tardar el 15 de diciembre cada seis años con base en una rotación región por región. El orden de dicha rotación es establecido por el Comité al principio del ciclo de seis años de presentación de informes periódicos. Los </w:t>
            </w:r>
            <w:proofErr w:type="gramStart"/>
            <w:r w:rsidRPr="002E26E7">
              <w:rPr>
                <w:rFonts w:ascii="Arial" w:eastAsia="Arial" w:hAnsi="Arial" w:cs="Arial"/>
                <w:color w:val="000000"/>
                <w:sz w:val="22"/>
                <w:szCs w:val="22"/>
                <w:lang w:bidi="es-ES"/>
              </w:rPr>
              <w:t>Estados Partes</w:t>
            </w:r>
            <w:proofErr w:type="gramEnd"/>
            <w:r w:rsidRPr="002E26E7">
              <w:rPr>
                <w:rFonts w:ascii="Arial" w:eastAsia="Arial" w:hAnsi="Arial" w:cs="Arial"/>
                <w:color w:val="000000"/>
                <w:sz w:val="22"/>
                <w:szCs w:val="22"/>
                <w:lang w:bidi="es-ES"/>
              </w:rPr>
              <w:t xml:space="preserve"> utilizarán el proceso de presentación de informes periódicos para fomentar las medidas de seguimiento, así como la cooperación y el intercambio activo a nivel regional, con el fin de asegurar una salvaguardia eficaz del Patrimonio Cultural Inmaterial. Para esos informes se utilizará el formulario ICH-10, que los </w:t>
            </w:r>
            <w:proofErr w:type="gramStart"/>
            <w:r w:rsidRPr="002E26E7">
              <w:rPr>
                <w:rFonts w:ascii="Arial" w:eastAsia="Arial" w:hAnsi="Arial" w:cs="Arial"/>
                <w:color w:val="000000"/>
                <w:sz w:val="22"/>
                <w:szCs w:val="22"/>
                <w:lang w:bidi="es-ES"/>
              </w:rPr>
              <w:t>Estados Partes</w:t>
            </w:r>
            <w:proofErr w:type="gramEnd"/>
            <w:r w:rsidRPr="002E26E7">
              <w:rPr>
                <w:rFonts w:ascii="Arial" w:eastAsia="Arial" w:hAnsi="Arial" w:cs="Arial"/>
                <w:color w:val="000000"/>
                <w:sz w:val="22"/>
                <w:szCs w:val="22"/>
                <w:lang w:bidi="es-ES"/>
              </w:rPr>
              <w:t xml:space="preserve"> podrán completar en línea (</w:t>
            </w:r>
            <w:hyperlink r:id="rId33" w:history="1">
              <w:r w:rsidRPr="002E26E7">
                <w:rPr>
                  <w:rStyle w:val="Hyperlink"/>
                  <w:rFonts w:ascii="Arial" w:eastAsia="Arial" w:hAnsi="Arial" w:cs="Arial"/>
                  <w:b/>
                  <w:sz w:val="22"/>
                  <w:szCs w:val="22"/>
                  <w:lang w:bidi="es-ES"/>
                </w:rPr>
                <w:t>https://ich.unesco.org</w:t>
              </w:r>
            </w:hyperlink>
            <w:r w:rsidRPr="002E26E7">
              <w:rPr>
                <w:rFonts w:ascii="Arial" w:eastAsia="Arial" w:hAnsi="Arial" w:cs="Arial"/>
                <w:color w:val="000000"/>
                <w:sz w:val="22"/>
                <w:szCs w:val="22"/>
                <w:lang w:bidi="es-ES"/>
              </w:rPr>
              <w:t>) y serán revisados en los intervalos adecuados por parte de la Secretaría.</w:t>
            </w:r>
          </w:p>
        </w:tc>
        <w:tc>
          <w:tcPr>
            <w:tcW w:w="231" w:type="pct"/>
          </w:tcPr>
          <w:p w14:paraId="4E67601E" w14:textId="77777777" w:rsidR="00FC612A" w:rsidRPr="002E26E7" w:rsidRDefault="00FC612A" w:rsidP="005F773B">
            <w:pPr>
              <w:keepLines/>
              <w:spacing w:before="60" w:after="60"/>
              <w:jc w:val="both"/>
              <w:rPr>
                <w:rFonts w:ascii="Arial" w:hAnsi="Arial" w:cs="Arial"/>
                <w:color w:val="000000"/>
                <w:sz w:val="22"/>
                <w:szCs w:val="22"/>
                <w:lang w:val="en-GB"/>
              </w:rPr>
            </w:pPr>
            <w:r w:rsidRPr="002E26E7">
              <w:rPr>
                <w:rFonts w:ascii="Arial" w:eastAsia="Arial" w:hAnsi="Arial" w:cs="Arial"/>
                <w:sz w:val="22"/>
                <w:szCs w:val="22"/>
                <w:lang w:bidi="es-ES"/>
              </w:rPr>
              <w:t>152.</w:t>
            </w:r>
          </w:p>
        </w:tc>
        <w:tc>
          <w:tcPr>
            <w:tcW w:w="2251" w:type="pct"/>
            <w:shd w:val="clear" w:color="auto" w:fill="DBE5F1" w:themeFill="accent1" w:themeFillTint="33"/>
          </w:tcPr>
          <w:p w14:paraId="6EDF4087" w14:textId="77777777" w:rsidR="00FC612A" w:rsidRPr="002E26E7" w:rsidRDefault="00FC612A" w:rsidP="005F773B">
            <w:pPr>
              <w:keepLines/>
              <w:spacing w:before="60" w:after="60"/>
              <w:jc w:val="both"/>
              <w:rPr>
                <w:rFonts w:ascii="Arial" w:hAnsi="Arial" w:cs="Arial"/>
                <w:strike/>
                <w:color w:val="000000"/>
                <w:sz w:val="22"/>
                <w:szCs w:val="22"/>
              </w:rPr>
            </w:pPr>
            <w:r w:rsidRPr="002E26E7">
              <w:rPr>
                <w:rFonts w:ascii="Arial" w:eastAsia="Arial" w:hAnsi="Arial" w:cs="Arial"/>
                <w:color w:val="000000"/>
                <w:sz w:val="22"/>
                <w:szCs w:val="22"/>
                <w:lang w:bidi="es-ES"/>
              </w:rPr>
              <w:t xml:space="preserve">Los </w:t>
            </w:r>
            <w:proofErr w:type="gramStart"/>
            <w:r w:rsidRPr="002E26E7">
              <w:rPr>
                <w:rFonts w:ascii="Arial" w:eastAsia="Arial" w:hAnsi="Arial" w:cs="Arial"/>
                <w:color w:val="000000"/>
                <w:sz w:val="22"/>
                <w:szCs w:val="22"/>
                <w:lang w:bidi="es-ES"/>
              </w:rPr>
              <w:t>Estados Partes</w:t>
            </w:r>
            <w:proofErr w:type="gramEnd"/>
            <w:r w:rsidRPr="002E26E7">
              <w:rPr>
                <w:rFonts w:ascii="Arial" w:eastAsia="Arial" w:hAnsi="Arial" w:cs="Arial"/>
                <w:color w:val="000000"/>
                <w:sz w:val="22"/>
                <w:szCs w:val="22"/>
                <w:lang w:bidi="es-ES"/>
              </w:rPr>
              <w:t xml:space="preserve"> presentarán sus informes periódicos al Comité a más tardar el </w:t>
            </w:r>
            <w:r w:rsidRPr="002E26E7">
              <w:rPr>
                <w:rFonts w:ascii="Arial" w:eastAsia="Arial" w:hAnsi="Arial" w:cs="Arial"/>
                <w:strike/>
                <w:color w:val="000000"/>
                <w:sz w:val="22"/>
                <w:szCs w:val="22"/>
                <w:lang w:bidi="es-ES"/>
              </w:rPr>
              <w:t>15 de diciembre cada seis años con base en una rotación región por región</w:t>
            </w:r>
            <w:r w:rsidRPr="002E26E7">
              <w:rPr>
                <w:rFonts w:ascii="Arial" w:eastAsia="Arial" w:hAnsi="Arial" w:cs="Arial"/>
                <w:color w:val="000000"/>
                <w:sz w:val="22"/>
                <w:szCs w:val="22"/>
                <w:lang w:bidi="es-ES"/>
              </w:rPr>
              <w:t xml:space="preserve"> </w:t>
            </w:r>
            <w:r w:rsidRPr="002E26E7">
              <w:rPr>
                <w:rFonts w:ascii="Arial" w:eastAsia="Arial" w:hAnsi="Arial" w:cs="Arial"/>
                <w:b/>
                <w:color w:val="000000"/>
                <w:sz w:val="22"/>
                <w:szCs w:val="22"/>
                <w:u w:val="single"/>
                <w:lang w:bidi="es-ES"/>
              </w:rPr>
              <w:t>30 de junio cada cuatro años según el calendario establecido por el Comité</w:t>
            </w:r>
            <w:r w:rsidRPr="002E26E7">
              <w:rPr>
                <w:rFonts w:ascii="Arial" w:eastAsia="Arial" w:hAnsi="Arial" w:cs="Arial"/>
                <w:color w:val="000000"/>
                <w:sz w:val="22"/>
                <w:szCs w:val="22"/>
                <w:lang w:bidi="es-ES"/>
              </w:rPr>
              <w:t xml:space="preserve">. </w:t>
            </w:r>
            <w:r w:rsidRPr="002E26E7">
              <w:rPr>
                <w:rFonts w:ascii="Arial" w:eastAsia="Arial" w:hAnsi="Arial" w:cs="Arial"/>
                <w:strike/>
                <w:color w:val="000000"/>
                <w:sz w:val="22"/>
                <w:szCs w:val="22"/>
                <w:lang w:bidi="es-ES"/>
              </w:rPr>
              <w:t>El orden de dicha rotación es establecido por el Comité al principio del ciclo de seis años de presentación de informes periódicos.</w:t>
            </w:r>
            <w:r w:rsidRPr="002E26E7">
              <w:rPr>
                <w:rFonts w:ascii="Arial" w:eastAsia="Arial" w:hAnsi="Arial" w:cs="Arial"/>
                <w:color w:val="000000"/>
                <w:sz w:val="22"/>
                <w:szCs w:val="22"/>
                <w:lang w:bidi="es-ES"/>
              </w:rPr>
              <w:t xml:space="preserve"> Los </w:t>
            </w:r>
            <w:proofErr w:type="gramStart"/>
            <w:r w:rsidRPr="002E26E7">
              <w:rPr>
                <w:rFonts w:ascii="Arial" w:eastAsia="Arial" w:hAnsi="Arial" w:cs="Arial"/>
                <w:color w:val="000000"/>
                <w:sz w:val="22"/>
                <w:szCs w:val="22"/>
                <w:lang w:bidi="es-ES"/>
              </w:rPr>
              <w:t>Estados Partes</w:t>
            </w:r>
            <w:proofErr w:type="gramEnd"/>
            <w:r w:rsidRPr="002E26E7">
              <w:rPr>
                <w:rFonts w:ascii="Arial" w:eastAsia="Arial" w:hAnsi="Arial" w:cs="Arial"/>
                <w:color w:val="000000"/>
                <w:sz w:val="22"/>
                <w:szCs w:val="22"/>
                <w:lang w:bidi="es-ES"/>
              </w:rPr>
              <w:t xml:space="preserve"> utilizarán el proceso de presentación de informes periódicos para fomentar las medidas de seguimiento, así como la cooperación y el intercambio activo a nivel regional, con el fin de asegurar una salvaguardia eficaz del Patrimonio Cultural Inmaterial. Para esos informes se utilizará el formulario ICH-10, que los </w:t>
            </w:r>
            <w:proofErr w:type="gramStart"/>
            <w:r w:rsidRPr="002E26E7">
              <w:rPr>
                <w:rFonts w:ascii="Arial" w:eastAsia="Arial" w:hAnsi="Arial" w:cs="Arial"/>
                <w:color w:val="000000"/>
                <w:sz w:val="22"/>
                <w:szCs w:val="22"/>
                <w:lang w:bidi="es-ES"/>
              </w:rPr>
              <w:t>Estados Partes</w:t>
            </w:r>
            <w:proofErr w:type="gramEnd"/>
            <w:r w:rsidRPr="002E26E7">
              <w:rPr>
                <w:rFonts w:ascii="Arial" w:eastAsia="Arial" w:hAnsi="Arial" w:cs="Arial"/>
                <w:color w:val="000000"/>
                <w:sz w:val="22"/>
                <w:szCs w:val="22"/>
                <w:lang w:bidi="es-ES"/>
              </w:rPr>
              <w:t xml:space="preserve"> podrán completar en línea (</w:t>
            </w:r>
            <w:hyperlink r:id="rId34" w:history="1">
              <w:r w:rsidRPr="002E26E7">
                <w:rPr>
                  <w:rStyle w:val="Hyperlink"/>
                  <w:rFonts w:ascii="Arial" w:eastAsia="Arial" w:hAnsi="Arial" w:cs="Arial"/>
                  <w:b/>
                  <w:sz w:val="22"/>
                  <w:szCs w:val="22"/>
                  <w:lang w:bidi="es-ES"/>
                </w:rPr>
                <w:t>https://ich.unesco.org</w:t>
              </w:r>
            </w:hyperlink>
            <w:r w:rsidRPr="002E26E7">
              <w:rPr>
                <w:rFonts w:ascii="Arial" w:eastAsia="Arial" w:hAnsi="Arial" w:cs="Arial"/>
                <w:color w:val="000000"/>
                <w:sz w:val="22"/>
                <w:szCs w:val="22"/>
                <w:lang w:bidi="es-ES"/>
              </w:rPr>
              <w:t>) y serán revisados en los intervalos adecuados por parte de la Secretaría.</w:t>
            </w:r>
          </w:p>
        </w:tc>
      </w:tr>
      <w:tr w:rsidR="00FC612A" w:rsidRPr="002E26E7" w14:paraId="0DB3DDA5" w14:textId="77777777" w:rsidTr="002E26E7">
        <w:tc>
          <w:tcPr>
            <w:tcW w:w="228" w:type="pct"/>
          </w:tcPr>
          <w:p w14:paraId="0299A70D" w14:textId="77777777" w:rsidR="00FC612A" w:rsidRPr="002E26E7" w:rsidRDefault="00FC612A" w:rsidP="005F773B">
            <w:pPr>
              <w:keepLines/>
              <w:spacing w:before="60" w:after="60"/>
              <w:rPr>
                <w:rFonts w:ascii="Arial" w:hAnsi="Arial" w:cs="Arial"/>
                <w:sz w:val="22"/>
                <w:szCs w:val="22"/>
                <w:lang w:val="en-GB"/>
              </w:rPr>
            </w:pPr>
            <w:r w:rsidRPr="002E26E7">
              <w:rPr>
                <w:rFonts w:ascii="Arial" w:eastAsia="Arial" w:hAnsi="Arial" w:cs="Arial"/>
                <w:sz w:val="22"/>
                <w:szCs w:val="22"/>
                <w:lang w:bidi="es-ES"/>
              </w:rPr>
              <w:t>153.</w:t>
            </w:r>
          </w:p>
        </w:tc>
        <w:tc>
          <w:tcPr>
            <w:tcW w:w="2291" w:type="pct"/>
          </w:tcPr>
          <w:p w14:paraId="5BAA541F" w14:textId="77777777" w:rsidR="00FC612A" w:rsidRPr="002E26E7" w:rsidRDefault="00FC612A" w:rsidP="005F773B">
            <w:pPr>
              <w:keepLines/>
              <w:spacing w:before="60" w:after="60"/>
              <w:jc w:val="both"/>
              <w:rPr>
                <w:rFonts w:ascii="Arial" w:hAnsi="Arial" w:cs="Arial"/>
                <w:color w:val="000000"/>
                <w:sz w:val="22"/>
                <w:szCs w:val="22"/>
              </w:rPr>
            </w:pPr>
            <w:r w:rsidRPr="002E26E7">
              <w:rPr>
                <w:rFonts w:ascii="Arial" w:eastAsia="Arial" w:hAnsi="Arial" w:cs="Arial"/>
                <w:color w:val="000000"/>
                <w:sz w:val="22"/>
                <w:szCs w:val="22"/>
                <w:lang w:bidi="es-ES"/>
              </w:rPr>
              <w:t>El Estado Parte informará sobre las disposiciones legislativas, reglamentarias y de otra índole que haya adoptado para aplicar la Convención en el plano nacional, en particular sobre:</w:t>
            </w:r>
          </w:p>
          <w:p w14:paraId="3069FE29" w14:textId="77777777" w:rsidR="00FC612A" w:rsidRPr="002E26E7" w:rsidRDefault="00FC612A" w:rsidP="00FC612A">
            <w:pPr>
              <w:pStyle w:val="U1"/>
              <w:keepLines/>
              <w:widowControl/>
              <w:numPr>
                <w:ilvl w:val="0"/>
                <w:numId w:val="27"/>
              </w:numPr>
              <w:spacing w:before="60" w:after="60"/>
              <w:jc w:val="both"/>
              <w:rPr>
                <w:lang w:val="es-ES"/>
              </w:rPr>
            </w:pPr>
            <w:r w:rsidRPr="002E26E7">
              <w:rPr>
                <w:lang w:val="es-ES" w:bidi="es-ES"/>
              </w:rPr>
              <w:t>la confección de inventarios del patrimonio cultural inmaterial presente en su territorio, tal como se indica en los Artículos 11 y 12 de la Convención;</w:t>
            </w:r>
          </w:p>
          <w:p w14:paraId="6D482DA7" w14:textId="77777777" w:rsidR="00FC612A" w:rsidRPr="002E26E7" w:rsidRDefault="00FC612A" w:rsidP="00FC612A">
            <w:pPr>
              <w:pStyle w:val="U1"/>
              <w:keepLines/>
              <w:widowControl/>
              <w:numPr>
                <w:ilvl w:val="0"/>
                <w:numId w:val="27"/>
              </w:numPr>
              <w:spacing w:before="60" w:after="60"/>
              <w:jc w:val="both"/>
              <w:rPr>
                <w:lang w:val="es-ES"/>
              </w:rPr>
            </w:pPr>
            <w:r w:rsidRPr="002E26E7">
              <w:rPr>
                <w:lang w:val="es-ES" w:bidi="es-ES"/>
              </w:rPr>
              <w:t>las otras medidas de salvaguardia indicadas en los Artículos 11 y 13 de la Convención, comprendidas las destinadas a:</w:t>
            </w:r>
          </w:p>
          <w:p w14:paraId="050C59CE" w14:textId="77777777" w:rsidR="00FC612A" w:rsidRPr="002E26E7" w:rsidRDefault="00FC612A" w:rsidP="005F773B">
            <w:pPr>
              <w:pStyle w:val="i"/>
              <w:keepLines/>
              <w:spacing w:before="60" w:after="60"/>
              <w:ind w:left="799"/>
              <w:rPr>
                <w:w w:val="100"/>
                <w:lang w:val="es-ES"/>
              </w:rPr>
            </w:pPr>
            <w:r w:rsidRPr="002E26E7">
              <w:rPr>
                <w:w w:val="100"/>
                <w:lang w:val="es-ES" w:bidi="es-ES"/>
              </w:rPr>
              <w:t>adoptar una política general encaminada a realzar la función del patrimonio cultural inmaterial en la sociedad e integrar su salvaguardia en programas de planificación;</w:t>
            </w:r>
          </w:p>
          <w:p w14:paraId="45DDEA4F" w14:textId="77777777" w:rsidR="00FC612A" w:rsidRPr="002E26E7" w:rsidRDefault="00FC612A" w:rsidP="005F773B">
            <w:pPr>
              <w:pStyle w:val="i"/>
              <w:keepLines/>
              <w:spacing w:before="60" w:after="60"/>
              <w:ind w:left="799"/>
              <w:rPr>
                <w:w w:val="100"/>
                <w:lang w:val="es-ES"/>
              </w:rPr>
            </w:pPr>
            <w:r w:rsidRPr="002E26E7">
              <w:rPr>
                <w:w w:val="100"/>
                <w:lang w:val="es-ES" w:bidi="es-ES"/>
              </w:rPr>
              <w:t>fomentar estudios científicos, técnicos y artísticos con miras a una salvaguardia eficaz; y</w:t>
            </w:r>
          </w:p>
          <w:p w14:paraId="6D72B48F" w14:textId="77777777" w:rsidR="00FC612A" w:rsidRPr="002E26E7" w:rsidRDefault="00FC612A" w:rsidP="005F773B">
            <w:pPr>
              <w:pStyle w:val="i"/>
              <w:keepLines/>
              <w:spacing w:before="60" w:after="60"/>
              <w:ind w:left="799"/>
              <w:rPr>
                <w:color w:val="000000"/>
                <w:lang w:val="es-ES"/>
              </w:rPr>
            </w:pPr>
            <w:r w:rsidRPr="002E26E7">
              <w:rPr>
                <w:w w:val="100"/>
                <w:lang w:val="es-ES" w:bidi="es-ES"/>
              </w:rPr>
              <w:t xml:space="preserve">facilitar en la medida de lo posible el acceso a la información relativa al patrimonio cultural inmaterial, respetando al mismo tiempo los usos consuetudinarios por los que se rige el acceso a determinados aspectos </w:t>
            </w:r>
            <w:proofErr w:type="gramStart"/>
            <w:r w:rsidRPr="002E26E7">
              <w:rPr>
                <w:w w:val="100"/>
                <w:lang w:val="es-ES" w:bidi="es-ES"/>
              </w:rPr>
              <w:t>del mismo</w:t>
            </w:r>
            <w:proofErr w:type="gramEnd"/>
            <w:r w:rsidRPr="002E26E7">
              <w:rPr>
                <w:w w:val="100"/>
                <w:lang w:val="es-ES" w:bidi="es-ES"/>
              </w:rPr>
              <w:t>.</w:t>
            </w:r>
          </w:p>
        </w:tc>
        <w:tc>
          <w:tcPr>
            <w:tcW w:w="231" w:type="pct"/>
          </w:tcPr>
          <w:p w14:paraId="6485C650" w14:textId="77777777" w:rsidR="00FC612A" w:rsidRPr="002E26E7" w:rsidRDefault="00FC612A" w:rsidP="005F773B">
            <w:pPr>
              <w:keepLines/>
              <w:spacing w:before="60" w:after="60"/>
              <w:rPr>
                <w:rFonts w:ascii="Arial" w:hAnsi="Arial" w:cs="Arial"/>
                <w:sz w:val="22"/>
                <w:szCs w:val="22"/>
                <w:lang w:val="en-GB"/>
              </w:rPr>
            </w:pPr>
            <w:r w:rsidRPr="002E26E7">
              <w:rPr>
                <w:rFonts w:ascii="Arial" w:eastAsia="Arial" w:hAnsi="Arial" w:cs="Arial"/>
                <w:sz w:val="22"/>
                <w:szCs w:val="22"/>
                <w:lang w:bidi="es-ES"/>
              </w:rPr>
              <w:t>153.</w:t>
            </w:r>
          </w:p>
        </w:tc>
        <w:tc>
          <w:tcPr>
            <w:tcW w:w="2251" w:type="pct"/>
          </w:tcPr>
          <w:p w14:paraId="7B15C858" w14:textId="77777777" w:rsidR="00FC612A" w:rsidRPr="002E26E7" w:rsidRDefault="00FC612A" w:rsidP="005F773B">
            <w:pPr>
              <w:keepLines/>
              <w:spacing w:before="60" w:after="60"/>
              <w:ind w:right="175"/>
              <w:jc w:val="both"/>
              <w:rPr>
                <w:rFonts w:ascii="Arial" w:hAnsi="Arial" w:cs="Arial"/>
                <w:sz w:val="22"/>
                <w:szCs w:val="22"/>
                <w:lang w:val="en-GB"/>
              </w:rPr>
            </w:pPr>
            <w:r w:rsidRPr="002E26E7">
              <w:rPr>
                <w:rFonts w:ascii="Arial" w:eastAsia="Arial" w:hAnsi="Arial" w:cs="Arial"/>
                <w:sz w:val="22"/>
                <w:szCs w:val="22"/>
                <w:lang w:bidi="es-ES"/>
              </w:rPr>
              <w:t>Sin cambios</w:t>
            </w:r>
          </w:p>
        </w:tc>
      </w:tr>
      <w:tr w:rsidR="00FC612A" w:rsidRPr="002E26E7" w14:paraId="3EF536B5" w14:textId="77777777" w:rsidTr="002E26E7">
        <w:tc>
          <w:tcPr>
            <w:tcW w:w="228" w:type="pct"/>
          </w:tcPr>
          <w:p w14:paraId="484AB837" w14:textId="77777777" w:rsidR="00FC612A" w:rsidRPr="002E26E7" w:rsidRDefault="00FC612A" w:rsidP="005F773B">
            <w:pPr>
              <w:keepLines/>
              <w:spacing w:before="60" w:after="60"/>
              <w:rPr>
                <w:rFonts w:ascii="Arial" w:hAnsi="Arial" w:cs="Arial"/>
                <w:sz w:val="22"/>
                <w:szCs w:val="22"/>
                <w:lang w:val="en-GB"/>
              </w:rPr>
            </w:pPr>
            <w:r w:rsidRPr="002E26E7">
              <w:rPr>
                <w:rFonts w:ascii="Arial" w:eastAsia="Arial" w:hAnsi="Arial" w:cs="Arial"/>
                <w:sz w:val="22"/>
                <w:szCs w:val="22"/>
                <w:lang w:bidi="es-ES"/>
              </w:rPr>
              <w:lastRenderedPageBreak/>
              <w:t>154.</w:t>
            </w:r>
          </w:p>
        </w:tc>
        <w:tc>
          <w:tcPr>
            <w:tcW w:w="2291" w:type="pct"/>
          </w:tcPr>
          <w:p w14:paraId="7589F570" w14:textId="77777777" w:rsidR="00FC612A" w:rsidRPr="002E26E7" w:rsidRDefault="00FC612A" w:rsidP="005F773B">
            <w:pPr>
              <w:keepLines/>
              <w:spacing w:before="60" w:after="60"/>
              <w:jc w:val="both"/>
              <w:rPr>
                <w:rFonts w:ascii="Arial" w:hAnsi="Arial" w:cs="Arial"/>
                <w:sz w:val="22"/>
                <w:szCs w:val="22"/>
              </w:rPr>
            </w:pPr>
            <w:r w:rsidRPr="002E26E7">
              <w:rPr>
                <w:rFonts w:ascii="Arial" w:eastAsia="Arial" w:hAnsi="Arial" w:cs="Arial"/>
                <w:sz w:val="22"/>
                <w:szCs w:val="22"/>
                <w:lang w:bidi="es-ES"/>
              </w:rPr>
              <w:t>El Estado Parte informará sobre las disposiciones legislativas, reglamentarias y de otra índole que haya adoptado en el plano nacional para fortalecer las capacidades institucionales en materia de salvaguardia del patrimonio cultural inmaterial, tal como se indica en el Artículo 13 de la Convención, comprendidas las destinadas a:</w:t>
            </w:r>
          </w:p>
          <w:p w14:paraId="4899B343" w14:textId="77777777" w:rsidR="00FC612A" w:rsidRPr="002E26E7" w:rsidRDefault="00FC612A" w:rsidP="00FC612A">
            <w:pPr>
              <w:pStyle w:val="U1"/>
              <w:keepLines/>
              <w:widowControl/>
              <w:numPr>
                <w:ilvl w:val="0"/>
                <w:numId w:val="26"/>
              </w:numPr>
              <w:tabs>
                <w:tab w:val="clear" w:pos="1701"/>
              </w:tabs>
              <w:spacing w:before="60" w:after="60"/>
              <w:ind w:left="656" w:hanging="656"/>
              <w:jc w:val="both"/>
              <w:rPr>
                <w:lang w:val="es-ES"/>
              </w:rPr>
            </w:pPr>
            <w:r w:rsidRPr="002E26E7">
              <w:rPr>
                <w:lang w:val="es-ES" w:bidi="es-ES"/>
              </w:rPr>
              <w:t>designar o crear uno o varios organismos competentes para la salvaguardia de su patrimonio cultural inmaterial;</w:t>
            </w:r>
          </w:p>
          <w:p w14:paraId="4B7EE8A2" w14:textId="77777777" w:rsidR="00FC612A" w:rsidRPr="002E26E7" w:rsidRDefault="00FC612A" w:rsidP="00FC612A">
            <w:pPr>
              <w:pStyle w:val="U1"/>
              <w:keepLines/>
              <w:widowControl/>
              <w:numPr>
                <w:ilvl w:val="0"/>
                <w:numId w:val="26"/>
              </w:numPr>
              <w:tabs>
                <w:tab w:val="clear" w:pos="1701"/>
              </w:tabs>
              <w:spacing w:before="60" w:after="60"/>
              <w:ind w:left="656" w:hanging="656"/>
              <w:jc w:val="both"/>
              <w:rPr>
                <w:lang w:val="es-ES"/>
              </w:rPr>
            </w:pPr>
            <w:r w:rsidRPr="002E26E7">
              <w:rPr>
                <w:lang w:val="es-ES" w:bidi="es-ES"/>
              </w:rPr>
              <w:t>fortalecer las instituciones de formación para la gestión y transmisión del patrimonio cultural inmaterial; y</w:t>
            </w:r>
          </w:p>
          <w:p w14:paraId="5EAF59C7" w14:textId="77777777" w:rsidR="00FC612A" w:rsidRPr="002E26E7" w:rsidRDefault="00FC612A" w:rsidP="00FC612A">
            <w:pPr>
              <w:pStyle w:val="U1"/>
              <w:keepLines/>
              <w:widowControl/>
              <w:numPr>
                <w:ilvl w:val="0"/>
                <w:numId w:val="26"/>
              </w:numPr>
              <w:tabs>
                <w:tab w:val="clear" w:pos="1701"/>
              </w:tabs>
              <w:spacing w:before="60" w:after="60"/>
              <w:ind w:left="656" w:hanging="656"/>
              <w:jc w:val="both"/>
              <w:rPr>
                <w:lang w:val="es-ES"/>
              </w:rPr>
            </w:pPr>
            <w:r w:rsidRPr="002E26E7">
              <w:rPr>
                <w:lang w:val="es-ES" w:bidi="es-ES"/>
              </w:rPr>
              <w:t>crear instituciones de documentación sobre el patrimonio cultural inmaterial y facilitar el acceso a ellas en la medida de lo posible.</w:t>
            </w:r>
          </w:p>
        </w:tc>
        <w:tc>
          <w:tcPr>
            <w:tcW w:w="231" w:type="pct"/>
          </w:tcPr>
          <w:p w14:paraId="081419B6"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154.</w:t>
            </w:r>
          </w:p>
        </w:tc>
        <w:tc>
          <w:tcPr>
            <w:tcW w:w="2251" w:type="pct"/>
          </w:tcPr>
          <w:p w14:paraId="062B1C9C" w14:textId="77777777" w:rsidR="00FC612A" w:rsidRPr="002E26E7" w:rsidRDefault="00FC612A" w:rsidP="005F773B">
            <w:pPr>
              <w:keepLines/>
              <w:spacing w:before="60" w:after="60"/>
              <w:jc w:val="both"/>
              <w:rPr>
                <w:rFonts w:ascii="Arial" w:hAnsi="Arial" w:cs="Arial"/>
                <w:sz w:val="22"/>
                <w:szCs w:val="22"/>
                <w:u w:val="single"/>
                <w:lang w:val="en-GB"/>
              </w:rPr>
            </w:pPr>
            <w:r w:rsidRPr="002E26E7">
              <w:rPr>
                <w:rFonts w:ascii="Arial" w:eastAsia="Arial" w:hAnsi="Arial" w:cs="Arial"/>
                <w:sz w:val="22"/>
                <w:szCs w:val="22"/>
                <w:lang w:bidi="es-ES"/>
              </w:rPr>
              <w:t>Sin cambios</w:t>
            </w:r>
          </w:p>
        </w:tc>
      </w:tr>
      <w:tr w:rsidR="00FC612A" w:rsidRPr="002E26E7" w14:paraId="7068DDA5" w14:textId="77777777" w:rsidTr="002E26E7">
        <w:tc>
          <w:tcPr>
            <w:tcW w:w="228" w:type="pct"/>
          </w:tcPr>
          <w:p w14:paraId="604093C5" w14:textId="77777777" w:rsidR="00FC612A" w:rsidRPr="002E26E7" w:rsidRDefault="00FC612A" w:rsidP="005F773B">
            <w:pPr>
              <w:keepLines/>
              <w:spacing w:before="60" w:after="60"/>
              <w:rPr>
                <w:rFonts w:ascii="Arial" w:hAnsi="Arial" w:cs="Arial"/>
                <w:sz w:val="22"/>
                <w:szCs w:val="22"/>
                <w:lang w:val="en-GB"/>
              </w:rPr>
            </w:pPr>
            <w:r w:rsidRPr="002E26E7">
              <w:rPr>
                <w:rFonts w:ascii="Arial" w:eastAsia="Arial" w:hAnsi="Arial" w:cs="Arial"/>
                <w:sz w:val="22"/>
                <w:szCs w:val="22"/>
                <w:lang w:bidi="es-ES"/>
              </w:rPr>
              <w:t>155.</w:t>
            </w:r>
          </w:p>
        </w:tc>
        <w:tc>
          <w:tcPr>
            <w:tcW w:w="2291" w:type="pct"/>
          </w:tcPr>
          <w:p w14:paraId="2871DA7D" w14:textId="77777777" w:rsidR="00FC612A" w:rsidRPr="002E26E7" w:rsidRDefault="00FC612A" w:rsidP="005F773B">
            <w:pPr>
              <w:keepLines/>
              <w:spacing w:before="60" w:after="60"/>
              <w:jc w:val="both"/>
              <w:rPr>
                <w:rFonts w:ascii="Arial" w:hAnsi="Arial" w:cs="Arial"/>
                <w:sz w:val="22"/>
                <w:szCs w:val="22"/>
              </w:rPr>
            </w:pPr>
            <w:r w:rsidRPr="002E26E7">
              <w:rPr>
                <w:rFonts w:ascii="Arial" w:eastAsia="Arial" w:hAnsi="Arial" w:cs="Arial"/>
                <w:sz w:val="22"/>
                <w:szCs w:val="22"/>
                <w:lang w:bidi="es-ES"/>
              </w:rPr>
              <w:t>El Estado Parte informará sobre las disposiciones legislativas, reglamentarias y de otra índole que haya adoptado en el plano nacional para garantizar un mayor reconocimiento, respeto y valorización del patrimonio cultural inmaterial, comprendidas las indicadas en el Artículo 14 de la Convención, a saber:</w:t>
            </w:r>
          </w:p>
          <w:p w14:paraId="32D7B2CB" w14:textId="77777777" w:rsidR="00FC612A" w:rsidRPr="002E26E7" w:rsidRDefault="00FC612A" w:rsidP="00FC612A">
            <w:pPr>
              <w:pStyle w:val="U1"/>
              <w:keepLines/>
              <w:widowControl/>
              <w:numPr>
                <w:ilvl w:val="0"/>
                <w:numId w:val="29"/>
              </w:numPr>
              <w:tabs>
                <w:tab w:val="clear" w:pos="1701"/>
              </w:tabs>
              <w:spacing w:before="60" w:after="60"/>
              <w:ind w:left="656" w:hanging="656"/>
              <w:jc w:val="both"/>
              <w:rPr>
                <w:lang w:val="es-ES"/>
              </w:rPr>
            </w:pPr>
            <w:r w:rsidRPr="002E26E7">
              <w:rPr>
                <w:lang w:val="es-ES" w:bidi="es-ES"/>
              </w:rPr>
              <w:t>programas de educación, sensibilización y difusión de información;</w:t>
            </w:r>
          </w:p>
          <w:p w14:paraId="17F2F73B" w14:textId="77777777" w:rsidR="00FC612A" w:rsidRPr="002E26E7" w:rsidRDefault="00FC612A" w:rsidP="00FC612A">
            <w:pPr>
              <w:pStyle w:val="U1"/>
              <w:keepLines/>
              <w:widowControl/>
              <w:numPr>
                <w:ilvl w:val="0"/>
                <w:numId w:val="29"/>
              </w:numPr>
              <w:tabs>
                <w:tab w:val="clear" w:pos="1701"/>
              </w:tabs>
              <w:spacing w:before="60" w:after="60"/>
              <w:ind w:left="656" w:hanging="656"/>
              <w:jc w:val="both"/>
              <w:rPr>
                <w:lang w:val="es-ES"/>
              </w:rPr>
            </w:pPr>
            <w:r w:rsidRPr="002E26E7">
              <w:rPr>
                <w:lang w:val="es-ES" w:bidi="es-ES"/>
              </w:rPr>
              <w:t>programas de educación y formación en las comunidades y grupos interesados;</w:t>
            </w:r>
          </w:p>
          <w:p w14:paraId="5F0351F9" w14:textId="776B7F0A" w:rsidR="00FC612A" w:rsidRPr="002E26E7" w:rsidRDefault="00FC612A" w:rsidP="00FC612A">
            <w:pPr>
              <w:pStyle w:val="U1"/>
              <w:keepLines/>
              <w:widowControl/>
              <w:numPr>
                <w:ilvl w:val="0"/>
                <w:numId w:val="29"/>
              </w:numPr>
              <w:tabs>
                <w:tab w:val="clear" w:pos="1701"/>
              </w:tabs>
              <w:spacing w:before="60" w:after="60"/>
              <w:ind w:left="656" w:hanging="656"/>
              <w:jc w:val="both"/>
              <w:rPr>
                <w:lang w:val="es-ES"/>
              </w:rPr>
            </w:pPr>
            <w:r w:rsidRPr="002E26E7">
              <w:rPr>
                <w:lang w:val="es-ES" w:bidi="es-ES"/>
              </w:rPr>
              <w:t xml:space="preserve">actividades de fortalecimiento de capacidades en materia de salvaguardia del patrimonio cultural inmaterial; </w:t>
            </w:r>
          </w:p>
          <w:p w14:paraId="1D6C987F" w14:textId="77777777" w:rsidR="00FC612A" w:rsidRPr="002E26E7" w:rsidRDefault="00FC612A" w:rsidP="00FC612A">
            <w:pPr>
              <w:pStyle w:val="U1"/>
              <w:keepLines/>
              <w:widowControl/>
              <w:numPr>
                <w:ilvl w:val="0"/>
                <w:numId w:val="29"/>
              </w:numPr>
              <w:tabs>
                <w:tab w:val="clear" w:pos="1701"/>
              </w:tabs>
              <w:spacing w:before="60" w:after="60"/>
              <w:ind w:left="656" w:hanging="656"/>
              <w:jc w:val="both"/>
              <w:rPr>
                <w:lang w:val="es-ES"/>
              </w:rPr>
            </w:pPr>
            <w:r w:rsidRPr="002E26E7">
              <w:rPr>
                <w:lang w:val="es-ES" w:bidi="es-ES"/>
              </w:rPr>
              <w:t>medios no formales de transmisión de conocimientos; y</w:t>
            </w:r>
          </w:p>
          <w:p w14:paraId="6A230E36" w14:textId="77777777" w:rsidR="00FC612A" w:rsidRPr="002E26E7" w:rsidRDefault="00FC612A" w:rsidP="00FC612A">
            <w:pPr>
              <w:pStyle w:val="U1"/>
              <w:keepLines/>
              <w:widowControl/>
              <w:numPr>
                <w:ilvl w:val="0"/>
                <w:numId w:val="29"/>
              </w:numPr>
              <w:tabs>
                <w:tab w:val="clear" w:pos="1701"/>
              </w:tabs>
              <w:spacing w:before="60" w:after="60"/>
              <w:ind w:left="656" w:hanging="656"/>
              <w:jc w:val="both"/>
              <w:rPr>
                <w:lang w:val="es-ES"/>
              </w:rPr>
            </w:pPr>
            <w:r w:rsidRPr="002E26E7">
              <w:rPr>
                <w:lang w:val="es-ES" w:bidi="es-ES"/>
              </w:rPr>
              <w:t>educación para la protección de espacios naturales y lugares de memoria.</w:t>
            </w:r>
          </w:p>
        </w:tc>
        <w:tc>
          <w:tcPr>
            <w:tcW w:w="231" w:type="pct"/>
          </w:tcPr>
          <w:p w14:paraId="5DE511CB"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155.</w:t>
            </w:r>
          </w:p>
        </w:tc>
        <w:tc>
          <w:tcPr>
            <w:tcW w:w="2251" w:type="pct"/>
          </w:tcPr>
          <w:p w14:paraId="37E89354"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Sin cambios</w:t>
            </w:r>
          </w:p>
        </w:tc>
      </w:tr>
      <w:tr w:rsidR="00FC612A" w:rsidRPr="002E26E7" w14:paraId="33053518" w14:textId="77777777" w:rsidTr="002E26E7">
        <w:tc>
          <w:tcPr>
            <w:tcW w:w="228" w:type="pct"/>
          </w:tcPr>
          <w:p w14:paraId="020C04DF" w14:textId="77777777" w:rsidR="00FC612A" w:rsidRPr="002E26E7" w:rsidRDefault="00FC612A" w:rsidP="005F773B">
            <w:pPr>
              <w:keepLines/>
              <w:spacing w:before="60" w:after="60"/>
              <w:rPr>
                <w:rFonts w:ascii="Arial" w:hAnsi="Arial" w:cs="Arial"/>
                <w:sz w:val="22"/>
                <w:szCs w:val="22"/>
                <w:lang w:val="en-GB"/>
              </w:rPr>
            </w:pPr>
            <w:r w:rsidRPr="002E26E7">
              <w:rPr>
                <w:rFonts w:ascii="Arial" w:eastAsia="Arial" w:hAnsi="Arial" w:cs="Arial"/>
                <w:sz w:val="22"/>
                <w:szCs w:val="22"/>
                <w:lang w:bidi="es-ES"/>
              </w:rPr>
              <w:lastRenderedPageBreak/>
              <w:t>156.</w:t>
            </w:r>
          </w:p>
        </w:tc>
        <w:tc>
          <w:tcPr>
            <w:tcW w:w="2291" w:type="pct"/>
          </w:tcPr>
          <w:p w14:paraId="2223914A" w14:textId="77777777" w:rsidR="00FC612A" w:rsidRPr="002E26E7" w:rsidRDefault="00FC612A" w:rsidP="005F773B">
            <w:pPr>
              <w:keepLines/>
              <w:spacing w:before="60" w:after="60"/>
              <w:jc w:val="both"/>
              <w:rPr>
                <w:rFonts w:ascii="Arial" w:hAnsi="Arial" w:cs="Arial"/>
                <w:sz w:val="22"/>
                <w:szCs w:val="22"/>
              </w:rPr>
            </w:pPr>
            <w:r w:rsidRPr="002E26E7">
              <w:rPr>
                <w:rFonts w:ascii="Arial" w:eastAsia="Arial" w:hAnsi="Arial" w:cs="Arial"/>
                <w:sz w:val="22"/>
                <w:szCs w:val="22"/>
                <w:lang w:bidi="es-ES"/>
              </w:rPr>
              <w:t>El Estado Parte informará acerca de las disposiciones que haya adoptado en los planos bilateral, subregional, regional e internacional para aplicar la Convención, comprendidas las medidas de cooperación internacional como el intercambio de información y de experiencias, así como las otras iniciativas comunes a las que se hace referencia en el Artículo 19 de la Convención.</w:t>
            </w:r>
          </w:p>
        </w:tc>
        <w:tc>
          <w:tcPr>
            <w:tcW w:w="231" w:type="pct"/>
          </w:tcPr>
          <w:p w14:paraId="49899927"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156.</w:t>
            </w:r>
          </w:p>
        </w:tc>
        <w:tc>
          <w:tcPr>
            <w:tcW w:w="2251" w:type="pct"/>
          </w:tcPr>
          <w:p w14:paraId="3EC552C5"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Sin cambios</w:t>
            </w:r>
          </w:p>
        </w:tc>
      </w:tr>
      <w:tr w:rsidR="00FC612A" w:rsidRPr="002E26E7" w14:paraId="01193B74" w14:textId="77777777" w:rsidTr="002E26E7">
        <w:tc>
          <w:tcPr>
            <w:tcW w:w="228" w:type="pct"/>
          </w:tcPr>
          <w:p w14:paraId="69D2B847" w14:textId="77777777" w:rsidR="00FC612A" w:rsidRPr="002E26E7" w:rsidRDefault="00FC612A" w:rsidP="005F773B">
            <w:pPr>
              <w:keepLines/>
              <w:spacing w:before="60" w:after="60"/>
              <w:rPr>
                <w:rFonts w:ascii="Arial" w:hAnsi="Arial" w:cs="Arial"/>
                <w:sz w:val="22"/>
                <w:szCs w:val="22"/>
                <w:lang w:val="en-GB"/>
              </w:rPr>
            </w:pPr>
            <w:r w:rsidRPr="002E26E7">
              <w:rPr>
                <w:rFonts w:ascii="Arial" w:eastAsia="Arial" w:hAnsi="Arial" w:cs="Arial"/>
                <w:sz w:val="22"/>
                <w:szCs w:val="22"/>
                <w:lang w:bidi="es-ES"/>
              </w:rPr>
              <w:t>157.</w:t>
            </w:r>
          </w:p>
        </w:tc>
        <w:tc>
          <w:tcPr>
            <w:tcW w:w="2291" w:type="pct"/>
          </w:tcPr>
          <w:p w14:paraId="53F45E79" w14:textId="77777777" w:rsidR="00FC612A" w:rsidRPr="002E26E7" w:rsidRDefault="00FC612A" w:rsidP="005F773B">
            <w:pPr>
              <w:keepLines/>
              <w:spacing w:before="60" w:after="60"/>
              <w:jc w:val="both"/>
              <w:rPr>
                <w:rFonts w:ascii="Arial" w:hAnsi="Arial" w:cs="Arial"/>
                <w:sz w:val="22"/>
                <w:szCs w:val="22"/>
              </w:rPr>
            </w:pPr>
            <w:r w:rsidRPr="002E26E7">
              <w:rPr>
                <w:rFonts w:ascii="Arial" w:eastAsia="Arial" w:hAnsi="Arial" w:cs="Arial"/>
                <w:sz w:val="22"/>
                <w:szCs w:val="22"/>
                <w:lang w:bidi="es-ES"/>
              </w:rPr>
              <w:t>El Estado Parte informará acerca del estado actual de todos los elementos del patrimonio cultural inmaterial presentes en su territorio que estén inscritos en la Lista Representativa del Patrimonio Cultural Inmaterial de la Humanidad. El Estado Parte prestará especial atención a la función del género y velará por lograr una participación lo más amplia posible de las comunidades, grupos y, si procede, individuos interesados y de las organizaciones no gubernamentales pertinentes en el proceso de preparación de los informes, en los que se indicarán para cada elemento:</w:t>
            </w:r>
          </w:p>
          <w:p w14:paraId="60D92A43" w14:textId="77777777" w:rsidR="00FC612A" w:rsidRPr="002E26E7" w:rsidRDefault="00FC612A" w:rsidP="00FC612A">
            <w:pPr>
              <w:keepLines/>
              <w:numPr>
                <w:ilvl w:val="0"/>
                <w:numId w:val="25"/>
              </w:numPr>
              <w:spacing w:before="60" w:after="60"/>
              <w:ind w:left="656" w:hanging="656"/>
              <w:jc w:val="both"/>
              <w:rPr>
                <w:rFonts w:ascii="Arial" w:hAnsi="Arial" w:cs="Arial"/>
                <w:sz w:val="22"/>
                <w:szCs w:val="22"/>
              </w:rPr>
            </w:pPr>
            <w:r w:rsidRPr="002E26E7">
              <w:rPr>
                <w:rFonts w:ascii="Arial" w:eastAsia="Arial" w:hAnsi="Arial" w:cs="Arial"/>
                <w:sz w:val="22"/>
                <w:szCs w:val="22"/>
                <w:lang w:bidi="es-ES"/>
              </w:rPr>
              <w:t>sus funciones sociales y culturales;</w:t>
            </w:r>
          </w:p>
          <w:p w14:paraId="0637322C" w14:textId="77777777" w:rsidR="00FC612A" w:rsidRPr="002E26E7" w:rsidRDefault="00FC612A" w:rsidP="00FC612A">
            <w:pPr>
              <w:keepLines/>
              <w:numPr>
                <w:ilvl w:val="0"/>
                <w:numId w:val="25"/>
              </w:numPr>
              <w:spacing w:before="60" w:after="60"/>
              <w:ind w:left="656" w:hanging="656"/>
              <w:jc w:val="both"/>
              <w:rPr>
                <w:rFonts w:ascii="Arial" w:hAnsi="Arial" w:cs="Arial"/>
                <w:sz w:val="22"/>
                <w:szCs w:val="22"/>
              </w:rPr>
            </w:pPr>
            <w:r w:rsidRPr="002E26E7">
              <w:rPr>
                <w:rFonts w:ascii="Arial" w:eastAsia="Arial" w:hAnsi="Arial" w:cs="Arial"/>
                <w:sz w:val="22"/>
                <w:szCs w:val="22"/>
                <w:lang w:bidi="es-ES"/>
              </w:rPr>
              <w:t>una evaluación de su viabilidad y de los riesgos que corre actualmente, si los hubiere;</w:t>
            </w:r>
          </w:p>
          <w:p w14:paraId="0E8C6FB2" w14:textId="77777777" w:rsidR="00FC612A" w:rsidRPr="002E26E7" w:rsidRDefault="00FC612A" w:rsidP="00FC612A">
            <w:pPr>
              <w:keepLines/>
              <w:numPr>
                <w:ilvl w:val="0"/>
                <w:numId w:val="25"/>
              </w:numPr>
              <w:spacing w:before="60" w:after="60"/>
              <w:ind w:left="656" w:hanging="656"/>
              <w:jc w:val="both"/>
              <w:rPr>
                <w:rFonts w:ascii="Arial" w:hAnsi="Arial" w:cs="Arial"/>
                <w:sz w:val="22"/>
                <w:szCs w:val="22"/>
              </w:rPr>
            </w:pPr>
            <w:r w:rsidRPr="002E26E7">
              <w:rPr>
                <w:rFonts w:ascii="Arial" w:eastAsia="Arial" w:hAnsi="Arial" w:cs="Arial"/>
                <w:sz w:val="22"/>
                <w:szCs w:val="22"/>
                <w:lang w:bidi="es-ES"/>
              </w:rPr>
              <w:t>su contribución a los objetivos de la Lista Representativa del Patrimonio Cultural Inmaterial de la Humanidad;</w:t>
            </w:r>
          </w:p>
          <w:p w14:paraId="3CA5AB7F" w14:textId="77777777" w:rsidR="00FC612A" w:rsidRPr="002E26E7" w:rsidRDefault="00FC612A" w:rsidP="00FC612A">
            <w:pPr>
              <w:keepLines/>
              <w:numPr>
                <w:ilvl w:val="0"/>
                <w:numId w:val="25"/>
              </w:numPr>
              <w:spacing w:before="60" w:after="60"/>
              <w:ind w:left="656" w:hanging="656"/>
              <w:jc w:val="both"/>
              <w:rPr>
                <w:rFonts w:ascii="Arial" w:hAnsi="Arial" w:cs="Arial"/>
                <w:sz w:val="22"/>
                <w:szCs w:val="22"/>
              </w:rPr>
            </w:pPr>
            <w:r w:rsidRPr="002E26E7">
              <w:rPr>
                <w:rFonts w:ascii="Arial" w:eastAsia="Arial" w:hAnsi="Arial" w:cs="Arial"/>
                <w:sz w:val="22"/>
                <w:szCs w:val="22"/>
                <w:lang w:bidi="es-ES"/>
              </w:rPr>
              <w:t>la labor realizada para promover o reforzar el elemento, en particular la aplicación de todas las medidas que pueda haber sido necesario adoptar como consecuencia de su inscripción en la Lista Representativa del Patrimonio Cultural Inmaterial de la Humanidad; y</w:t>
            </w:r>
          </w:p>
          <w:p w14:paraId="3AB10AF1" w14:textId="77777777" w:rsidR="00FC612A" w:rsidRPr="002E26E7" w:rsidRDefault="00FC612A" w:rsidP="00FC612A">
            <w:pPr>
              <w:keepLines/>
              <w:numPr>
                <w:ilvl w:val="0"/>
                <w:numId w:val="25"/>
              </w:numPr>
              <w:spacing w:before="60" w:after="60"/>
              <w:ind w:left="656" w:hanging="656"/>
              <w:jc w:val="both"/>
              <w:rPr>
                <w:rFonts w:ascii="Arial" w:hAnsi="Arial" w:cs="Arial"/>
                <w:sz w:val="22"/>
                <w:szCs w:val="22"/>
              </w:rPr>
            </w:pPr>
            <w:r w:rsidRPr="002E26E7">
              <w:rPr>
                <w:rFonts w:ascii="Arial" w:eastAsia="Arial" w:hAnsi="Arial" w:cs="Arial"/>
                <w:sz w:val="22"/>
                <w:szCs w:val="22"/>
                <w:lang w:bidi="es-ES"/>
              </w:rPr>
              <w:t>la participación de las comunidades, grupos, individuos y organizaciones no gubernamentales pertinentes en la salvaguardia del elemento, así como la persistencia de su voluntad de seguir salvaguardándolo.</w:t>
            </w:r>
          </w:p>
        </w:tc>
        <w:tc>
          <w:tcPr>
            <w:tcW w:w="231" w:type="pct"/>
          </w:tcPr>
          <w:p w14:paraId="34FD974B"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157.</w:t>
            </w:r>
          </w:p>
        </w:tc>
        <w:tc>
          <w:tcPr>
            <w:tcW w:w="2251" w:type="pct"/>
          </w:tcPr>
          <w:p w14:paraId="7FA1E69E"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Sin cambios</w:t>
            </w:r>
          </w:p>
        </w:tc>
      </w:tr>
      <w:tr w:rsidR="00FC612A" w:rsidRPr="002E26E7" w14:paraId="0C7CB4CF" w14:textId="77777777" w:rsidTr="002E26E7">
        <w:tc>
          <w:tcPr>
            <w:tcW w:w="228" w:type="pct"/>
          </w:tcPr>
          <w:p w14:paraId="400A94F3" w14:textId="77777777" w:rsidR="00FC612A" w:rsidRPr="002E26E7" w:rsidRDefault="00FC612A" w:rsidP="005F773B">
            <w:pPr>
              <w:keepLines/>
              <w:spacing w:before="60" w:after="60"/>
              <w:rPr>
                <w:rFonts w:ascii="Arial" w:hAnsi="Arial" w:cs="Arial"/>
                <w:sz w:val="22"/>
                <w:szCs w:val="22"/>
                <w:lang w:val="en-GB"/>
              </w:rPr>
            </w:pPr>
            <w:r w:rsidRPr="002E26E7">
              <w:rPr>
                <w:rFonts w:ascii="Arial" w:eastAsia="Arial" w:hAnsi="Arial" w:cs="Arial"/>
                <w:sz w:val="22"/>
                <w:szCs w:val="22"/>
                <w:lang w:bidi="es-ES"/>
              </w:rPr>
              <w:lastRenderedPageBreak/>
              <w:t>158.</w:t>
            </w:r>
          </w:p>
        </w:tc>
        <w:tc>
          <w:tcPr>
            <w:tcW w:w="2291" w:type="pct"/>
          </w:tcPr>
          <w:p w14:paraId="710116E0" w14:textId="77777777" w:rsidR="00FC612A" w:rsidRPr="002E26E7" w:rsidRDefault="00FC612A" w:rsidP="005F773B">
            <w:pPr>
              <w:keepLines/>
              <w:spacing w:before="60" w:after="60"/>
              <w:jc w:val="both"/>
              <w:rPr>
                <w:rFonts w:ascii="Arial" w:hAnsi="Arial" w:cs="Arial"/>
                <w:sz w:val="22"/>
                <w:szCs w:val="22"/>
              </w:rPr>
            </w:pPr>
            <w:r w:rsidRPr="002E26E7">
              <w:rPr>
                <w:rFonts w:ascii="Arial" w:eastAsia="Arial" w:hAnsi="Arial" w:cs="Arial"/>
                <w:sz w:val="22"/>
                <w:szCs w:val="22"/>
                <w:lang w:bidi="es-ES"/>
              </w:rPr>
              <w:t>El Estado Parte informará sobre el contexto institucional del elemento inscrito en la Lista Representativa del Patrimonio Cultural Inmaterial de la Humanidad, en particular sobre:</w:t>
            </w:r>
          </w:p>
          <w:p w14:paraId="51D78A8E" w14:textId="77777777" w:rsidR="00FC612A" w:rsidRPr="002E26E7" w:rsidRDefault="00FC612A" w:rsidP="00FC612A">
            <w:pPr>
              <w:keepLines/>
              <w:numPr>
                <w:ilvl w:val="0"/>
                <w:numId w:val="30"/>
              </w:numPr>
              <w:spacing w:before="60" w:after="60"/>
              <w:ind w:left="656" w:hanging="656"/>
              <w:jc w:val="both"/>
              <w:rPr>
                <w:rFonts w:ascii="Arial" w:hAnsi="Arial" w:cs="Arial"/>
                <w:sz w:val="22"/>
                <w:szCs w:val="22"/>
              </w:rPr>
            </w:pPr>
            <w:r w:rsidRPr="002E26E7">
              <w:rPr>
                <w:rFonts w:ascii="Arial" w:eastAsia="Arial" w:hAnsi="Arial" w:cs="Arial"/>
                <w:sz w:val="22"/>
                <w:szCs w:val="22"/>
                <w:lang w:bidi="es-ES"/>
              </w:rPr>
              <w:t>el (los) organismo(s) competente(s) que participa(n) en su gestión y/o salvaguardia; y</w:t>
            </w:r>
          </w:p>
          <w:p w14:paraId="54EB5B1A" w14:textId="77777777" w:rsidR="00FC612A" w:rsidRPr="002E26E7" w:rsidRDefault="00FC612A" w:rsidP="00FC612A">
            <w:pPr>
              <w:keepLines/>
              <w:numPr>
                <w:ilvl w:val="0"/>
                <w:numId w:val="30"/>
              </w:numPr>
              <w:spacing w:before="60" w:after="60"/>
              <w:ind w:left="656" w:hanging="656"/>
              <w:jc w:val="both"/>
              <w:rPr>
                <w:rFonts w:ascii="Arial" w:hAnsi="Arial" w:cs="Arial"/>
                <w:sz w:val="22"/>
                <w:szCs w:val="22"/>
              </w:rPr>
            </w:pPr>
            <w:r w:rsidRPr="002E26E7">
              <w:rPr>
                <w:rFonts w:ascii="Arial" w:eastAsia="Arial" w:hAnsi="Arial" w:cs="Arial"/>
                <w:sz w:val="22"/>
                <w:szCs w:val="22"/>
                <w:lang w:bidi="es-ES"/>
              </w:rPr>
              <w:t>la(s) organización(es) de la comunidad o el grupo a las que conciernen el elemento y su salvaguardia.</w:t>
            </w:r>
          </w:p>
        </w:tc>
        <w:tc>
          <w:tcPr>
            <w:tcW w:w="231" w:type="pct"/>
          </w:tcPr>
          <w:p w14:paraId="6412D567"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158.</w:t>
            </w:r>
          </w:p>
        </w:tc>
        <w:tc>
          <w:tcPr>
            <w:tcW w:w="2251" w:type="pct"/>
          </w:tcPr>
          <w:p w14:paraId="4191ABE8"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Sin cambios</w:t>
            </w:r>
          </w:p>
        </w:tc>
      </w:tr>
      <w:tr w:rsidR="00FC612A" w:rsidRPr="002E26E7" w14:paraId="0D74CC18" w14:textId="77777777" w:rsidTr="002E26E7">
        <w:tc>
          <w:tcPr>
            <w:tcW w:w="228" w:type="pct"/>
          </w:tcPr>
          <w:p w14:paraId="27310E4A" w14:textId="77777777" w:rsidR="00FC612A" w:rsidRPr="002E26E7" w:rsidRDefault="00FC612A" w:rsidP="005F773B">
            <w:pPr>
              <w:keepLines/>
              <w:spacing w:before="60" w:after="60"/>
              <w:rPr>
                <w:rFonts w:ascii="Arial" w:hAnsi="Arial" w:cs="Arial"/>
                <w:sz w:val="22"/>
                <w:szCs w:val="22"/>
                <w:lang w:val="en-GB"/>
              </w:rPr>
            </w:pPr>
            <w:r w:rsidRPr="002E26E7">
              <w:rPr>
                <w:rFonts w:ascii="Arial" w:eastAsia="Arial" w:hAnsi="Arial" w:cs="Arial"/>
                <w:sz w:val="22"/>
                <w:szCs w:val="22"/>
                <w:lang w:bidi="es-ES"/>
              </w:rPr>
              <w:t>159.</w:t>
            </w:r>
          </w:p>
        </w:tc>
        <w:tc>
          <w:tcPr>
            <w:tcW w:w="2291" w:type="pct"/>
          </w:tcPr>
          <w:p w14:paraId="1FFE035A" w14:textId="77777777" w:rsidR="00FC612A" w:rsidRPr="002E26E7" w:rsidRDefault="00FC612A" w:rsidP="005F773B">
            <w:pPr>
              <w:keepLines/>
              <w:spacing w:before="60" w:after="60"/>
              <w:jc w:val="both"/>
              <w:rPr>
                <w:rFonts w:ascii="Arial" w:hAnsi="Arial" w:cs="Arial"/>
                <w:sz w:val="22"/>
                <w:szCs w:val="22"/>
              </w:rPr>
            </w:pPr>
            <w:r w:rsidRPr="002E26E7">
              <w:rPr>
                <w:rFonts w:ascii="Arial" w:eastAsia="Arial" w:hAnsi="Arial" w:cs="Arial"/>
                <w:sz w:val="22"/>
                <w:szCs w:val="22"/>
                <w:lang w:bidi="es-ES"/>
              </w:rPr>
              <w:t xml:space="preserve">Los </w:t>
            </w:r>
            <w:proofErr w:type="gramStart"/>
            <w:r w:rsidRPr="002E26E7">
              <w:rPr>
                <w:rFonts w:ascii="Arial" w:eastAsia="Arial" w:hAnsi="Arial" w:cs="Arial"/>
                <w:sz w:val="22"/>
                <w:szCs w:val="22"/>
                <w:lang w:bidi="es-ES"/>
              </w:rPr>
              <w:t>Estados Partes</w:t>
            </w:r>
            <w:proofErr w:type="gramEnd"/>
            <w:r w:rsidRPr="002E26E7">
              <w:rPr>
                <w:rFonts w:ascii="Arial" w:eastAsia="Arial" w:hAnsi="Arial" w:cs="Arial"/>
                <w:sz w:val="22"/>
                <w:szCs w:val="22"/>
                <w:lang w:bidi="es-ES"/>
              </w:rPr>
              <w:t xml:space="preserve"> responderán a su debido tiempo a las peticiones concretas de información complementaria que les remita el Comité, si fuere necesario e independientemente del ciclo regional establecido por el Comité, conforme al párrafo 152 </w:t>
            </w:r>
            <w:r w:rsidRPr="002E26E7">
              <w:rPr>
                <w:rFonts w:ascii="Arial" w:eastAsia="Arial" w:hAnsi="Arial" w:cs="Arial"/>
                <w:i/>
                <w:sz w:val="22"/>
                <w:szCs w:val="22"/>
                <w:lang w:bidi="es-ES"/>
              </w:rPr>
              <w:t>supra</w:t>
            </w:r>
            <w:r w:rsidRPr="002E26E7">
              <w:rPr>
                <w:rFonts w:ascii="Arial" w:eastAsia="Arial" w:hAnsi="Arial" w:cs="Arial"/>
                <w:sz w:val="22"/>
                <w:szCs w:val="22"/>
                <w:lang w:bidi="es-ES"/>
              </w:rPr>
              <w:t>.</w:t>
            </w:r>
          </w:p>
        </w:tc>
        <w:tc>
          <w:tcPr>
            <w:tcW w:w="231" w:type="pct"/>
          </w:tcPr>
          <w:p w14:paraId="6ED35EB2"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159.</w:t>
            </w:r>
          </w:p>
        </w:tc>
        <w:tc>
          <w:tcPr>
            <w:tcW w:w="2251" w:type="pct"/>
            <w:shd w:val="clear" w:color="auto" w:fill="DBE5F1" w:themeFill="accent1" w:themeFillTint="33"/>
          </w:tcPr>
          <w:p w14:paraId="3DE4CC0C" w14:textId="77777777" w:rsidR="00FC612A" w:rsidRPr="002E26E7" w:rsidRDefault="00FC612A" w:rsidP="005F773B">
            <w:pPr>
              <w:keepLines/>
              <w:spacing w:before="60" w:after="60"/>
              <w:jc w:val="both"/>
              <w:rPr>
                <w:rFonts w:ascii="Arial" w:hAnsi="Arial" w:cs="Arial"/>
                <w:sz w:val="22"/>
                <w:szCs w:val="22"/>
              </w:rPr>
            </w:pPr>
            <w:r w:rsidRPr="002E26E7">
              <w:rPr>
                <w:rFonts w:ascii="Arial" w:eastAsia="Arial" w:hAnsi="Arial" w:cs="Arial"/>
                <w:sz w:val="22"/>
                <w:szCs w:val="22"/>
                <w:lang w:bidi="es-ES"/>
              </w:rPr>
              <w:t xml:space="preserve">Los </w:t>
            </w:r>
            <w:proofErr w:type="gramStart"/>
            <w:r w:rsidRPr="002E26E7">
              <w:rPr>
                <w:rFonts w:ascii="Arial" w:eastAsia="Arial" w:hAnsi="Arial" w:cs="Arial"/>
                <w:sz w:val="22"/>
                <w:szCs w:val="22"/>
                <w:lang w:bidi="es-ES"/>
              </w:rPr>
              <w:t>Estados Partes</w:t>
            </w:r>
            <w:proofErr w:type="gramEnd"/>
            <w:r w:rsidRPr="002E26E7">
              <w:rPr>
                <w:rFonts w:ascii="Arial" w:eastAsia="Arial" w:hAnsi="Arial" w:cs="Arial"/>
                <w:sz w:val="22"/>
                <w:szCs w:val="22"/>
                <w:lang w:bidi="es-ES"/>
              </w:rPr>
              <w:t xml:space="preserve"> responderán a su debido tiempo a las peticiones concretas de información complementaria que les remita el Comité, si fuere necesario e independientemente del </w:t>
            </w:r>
            <w:r w:rsidRPr="002E26E7">
              <w:rPr>
                <w:rFonts w:ascii="Arial" w:eastAsia="Arial" w:hAnsi="Arial" w:cs="Arial"/>
                <w:strike/>
                <w:sz w:val="22"/>
                <w:szCs w:val="22"/>
                <w:lang w:bidi="es-ES"/>
              </w:rPr>
              <w:t>ciclo regional</w:t>
            </w:r>
            <w:r w:rsidRPr="002E26E7">
              <w:rPr>
                <w:rFonts w:ascii="Arial" w:eastAsia="Arial" w:hAnsi="Arial" w:cs="Arial"/>
                <w:sz w:val="22"/>
                <w:szCs w:val="22"/>
                <w:lang w:bidi="es-ES"/>
              </w:rPr>
              <w:t xml:space="preserve"> </w:t>
            </w:r>
            <w:r w:rsidRPr="002E26E7">
              <w:rPr>
                <w:rFonts w:ascii="Arial" w:eastAsia="Arial" w:hAnsi="Arial" w:cs="Arial"/>
                <w:b/>
                <w:sz w:val="22"/>
                <w:szCs w:val="22"/>
                <w:u w:val="single"/>
                <w:lang w:bidi="es-ES"/>
              </w:rPr>
              <w:t xml:space="preserve">ciclo ordinario de presentación de informes </w:t>
            </w:r>
            <w:r w:rsidRPr="002E26E7">
              <w:rPr>
                <w:rFonts w:ascii="Arial" w:eastAsia="Arial" w:hAnsi="Arial" w:cs="Arial"/>
                <w:sz w:val="22"/>
                <w:szCs w:val="22"/>
                <w:lang w:bidi="es-ES"/>
              </w:rPr>
              <w:t xml:space="preserve">establecido por el Comité, conforme al párrafo 152 </w:t>
            </w:r>
            <w:r w:rsidRPr="002E26E7">
              <w:rPr>
                <w:rFonts w:ascii="Arial" w:eastAsia="Arial" w:hAnsi="Arial" w:cs="Arial"/>
                <w:i/>
                <w:sz w:val="22"/>
                <w:szCs w:val="22"/>
                <w:lang w:bidi="es-ES"/>
              </w:rPr>
              <w:t>supra</w:t>
            </w:r>
            <w:r w:rsidRPr="002E26E7">
              <w:rPr>
                <w:rFonts w:ascii="Arial" w:eastAsia="Arial" w:hAnsi="Arial" w:cs="Arial"/>
                <w:sz w:val="22"/>
                <w:szCs w:val="22"/>
                <w:lang w:bidi="es-ES"/>
              </w:rPr>
              <w:t>.</w:t>
            </w:r>
          </w:p>
        </w:tc>
      </w:tr>
      <w:tr w:rsidR="00FC612A" w:rsidRPr="002E26E7" w14:paraId="5775B1F2" w14:textId="77777777" w:rsidTr="002E26E7">
        <w:tc>
          <w:tcPr>
            <w:tcW w:w="228" w:type="pct"/>
          </w:tcPr>
          <w:p w14:paraId="54C65F21" w14:textId="77777777" w:rsidR="00FC612A" w:rsidRPr="002E26E7" w:rsidRDefault="00FC612A" w:rsidP="005F773B">
            <w:pPr>
              <w:keepLines/>
              <w:spacing w:before="60" w:after="60"/>
              <w:rPr>
                <w:rFonts w:ascii="Arial" w:hAnsi="Arial" w:cs="Arial"/>
                <w:color w:val="4F81BD" w:themeColor="accent1"/>
                <w:sz w:val="22"/>
                <w:szCs w:val="22"/>
                <w:lang w:val="en-GB"/>
              </w:rPr>
            </w:pPr>
            <w:r w:rsidRPr="002E26E7">
              <w:rPr>
                <w:rFonts w:ascii="Arial" w:eastAsia="Arial" w:hAnsi="Arial" w:cs="Arial"/>
                <w:b/>
                <w:color w:val="4F81BD" w:themeColor="accent1"/>
                <w:sz w:val="22"/>
                <w:szCs w:val="22"/>
                <w:lang w:bidi="es-ES"/>
              </w:rPr>
              <w:t>V.2</w:t>
            </w:r>
          </w:p>
        </w:tc>
        <w:tc>
          <w:tcPr>
            <w:tcW w:w="2291" w:type="pct"/>
          </w:tcPr>
          <w:p w14:paraId="593C477C" w14:textId="77777777" w:rsidR="00FC612A" w:rsidRPr="002E26E7" w:rsidRDefault="00FC612A" w:rsidP="005F773B">
            <w:pPr>
              <w:keepLines/>
              <w:spacing w:before="60" w:after="60"/>
              <w:jc w:val="both"/>
              <w:rPr>
                <w:rFonts w:ascii="Arial" w:hAnsi="Arial" w:cs="Arial"/>
                <w:color w:val="4F81BD" w:themeColor="accent1"/>
                <w:sz w:val="22"/>
                <w:szCs w:val="22"/>
              </w:rPr>
            </w:pPr>
            <w:r w:rsidRPr="002E26E7">
              <w:rPr>
                <w:rFonts w:ascii="Arial" w:eastAsia="Arial" w:hAnsi="Arial" w:cs="Arial"/>
                <w:b/>
                <w:color w:val="4F81BD" w:themeColor="accent1"/>
                <w:sz w:val="22"/>
                <w:szCs w:val="22"/>
                <w:lang w:bidi="es-ES"/>
              </w:rPr>
              <w:t xml:space="preserve">Informes de los </w:t>
            </w:r>
            <w:proofErr w:type="gramStart"/>
            <w:r w:rsidRPr="002E26E7">
              <w:rPr>
                <w:rFonts w:ascii="Arial" w:eastAsia="Arial" w:hAnsi="Arial" w:cs="Arial"/>
                <w:b/>
                <w:color w:val="4F81BD" w:themeColor="accent1"/>
                <w:sz w:val="22"/>
                <w:szCs w:val="22"/>
                <w:lang w:bidi="es-ES"/>
              </w:rPr>
              <w:t>Estados Partes</w:t>
            </w:r>
            <w:proofErr w:type="gramEnd"/>
            <w:r w:rsidRPr="002E26E7">
              <w:rPr>
                <w:rFonts w:ascii="Arial" w:eastAsia="Arial" w:hAnsi="Arial" w:cs="Arial"/>
                <w:b/>
                <w:color w:val="4F81BD" w:themeColor="accent1"/>
                <w:sz w:val="22"/>
                <w:szCs w:val="22"/>
                <w:lang w:bidi="es-ES"/>
              </w:rPr>
              <w:t xml:space="preserve"> sobre los elementos inscritos en la Lista del Patrimonio Cultural Inmaterial que requiere medidas urgentes de salvaguardia</w:t>
            </w:r>
          </w:p>
        </w:tc>
        <w:tc>
          <w:tcPr>
            <w:tcW w:w="231" w:type="pct"/>
          </w:tcPr>
          <w:p w14:paraId="788F395C" w14:textId="77777777" w:rsidR="00FC612A" w:rsidRPr="002E26E7" w:rsidRDefault="00FC612A" w:rsidP="005F773B">
            <w:pPr>
              <w:keepLines/>
              <w:spacing w:before="60" w:after="60"/>
              <w:jc w:val="both"/>
              <w:rPr>
                <w:rFonts w:ascii="Arial" w:hAnsi="Arial" w:cs="Arial"/>
                <w:color w:val="4F81BD" w:themeColor="accent1"/>
                <w:sz w:val="22"/>
                <w:szCs w:val="22"/>
                <w:lang w:val="en-GB"/>
              </w:rPr>
            </w:pPr>
            <w:r w:rsidRPr="002E26E7">
              <w:rPr>
                <w:rFonts w:ascii="Arial" w:eastAsia="Arial" w:hAnsi="Arial" w:cs="Arial"/>
                <w:b/>
                <w:color w:val="4F81BD" w:themeColor="accent1"/>
                <w:sz w:val="22"/>
                <w:szCs w:val="22"/>
                <w:lang w:bidi="es-ES"/>
              </w:rPr>
              <w:t>V.2</w:t>
            </w:r>
          </w:p>
        </w:tc>
        <w:tc>
          <w:tcPr>
            <w:tcW w:w="2251" w:type="pct"/>
          </w:tcPr>
          <w:p w14:paraId="29986C0B"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Sin cambios</w:t>
            </w:r>
          </w:p>
        </w:tc>
      </w:tr>
      <w:tr w:rsidR="00FC612A" w:rsidRPr="002E26E7" w14:paraId="78058278" w14:textId="77777777" w:rsidTr="002E26E7">
        <w:tc>
          <w:tcPr>
            <w:tcW w:w="228" w:type="pct"/>
          </w:tcPr>
          <w:p w14:paraId="5938637C" w14:textId="77777777" w:rsidR="00FC612A" w:rsidRPr="002E26E7" w:rsidRDefault="00FC612A" w:rsidP="005F773B">
            <w:pPr>
              <w:keepLines/>
              <w:spacing w:before="60" w:after="60"/>
              <w:rPr>
                <w:rFonts w:ascii="Arial" w:hAnsi="Arial" w:cs="Arial"/>
                <w:sz w:val="22"/>
                <w:szCs w:val="22"/>
                <w:lang w:val="en-GB"/>
              </w:rPr>
            </w:pPr>
            <w:r w:rsidRPr="002E26E7">
              <w:rPr>
                <w:rFonts w:ascii="Arial" w:eastAsia="Arial" w:hAnsi="Arial" w:cs="Arial"/>
                <w:sz w:val="22"/>
                <w:szCs w:val="22"/>
                <w:lang w:bidi="es-ES"/>
              </w:rPr>
              <w:t>160.</w:t>
            </w:r>
          </w:p>
        </w:tc>
        <w:tc>
          <w:tcPr>
            <w:tcW w:w="2291" w:type="pct"/>
          </w:tcPr>
          <w:p w14:paraId="634D6C54" w14:textId="77777777" w:rsidR="00FC612A" w:rsidRPr="002E26E7" w:rsidRDefault="00FC612A" w:rsidP="005F773B">
            <w:pPr>
              <w:keepLines/>
              <w:spacing w:before="60" w:after="60"/>
              <w:jc w:val="both"/>
              <w:rPr>
                <w:rFonts w:ascii="Arial" w:hAnsi="Arial" w:cs="Arial"/>
                <w:sz w:val="22"/>
                <w:szCs w:val="22"/>
              </w:rPr>
            </w:pPr>
            <w:r w:rsidRPr="002E26E7">
              <w:rPr>
                <w:rFonts w:ascii="Arial" w:eastAsia="Arial" w:hAnsi="Arial" w:cs="Arial"/>
                <w:sz w:val="22"/>
                <w:szCs w:val="22"/>
                <w:lang w:bidi="es-ES"/>
              </w:rPr>
              <w:t>Cada Estado Parte presentará al Comité informes sobre el estado de los elementos del patrimonio cultural inmaterial presentes en su territorio que hayan sido inscritos en la Lista del Patrimonio Cultural Inmaterial que requiere medidas urgentes de salvaguardia a petición suya o, en casos de extrema urgencia, tras consulta con el Comité. El Estado Parte se esforzará por hacer participar del modo más amplio posible en el proceso de elaboración de esos informes a las comunidades, grupos y, si procede, individuos interesados, así como a las organizaciones no gubernamentales pertinentes.</w:t>
            </w:r>
          </w:p>
        </w:tc>
        <w:tc>
          <w:tcPr>
            <w:tcW w:w="231" w:type="pct"/>
          </w:tcPr>
          <w:p w14:paraId="2C41BC04"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160.</w:t>
            </w:r>
          </w:p>
        </w:tc>
        <w:tc>
          <w:tcPr>
            <w:tcW w:w="2251" w:type="pct"/>
          </w:tcPr>
          <w:p w14:paraId="70D6B5B3"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Sin cambios</w:t>
            </w:r>
          </w:p>
        </w:tc>
      </w:tr>
      <w:tr w:rsidR="00FC612A" w:rsidRPr="002E26E7" w14:paraId="585D91BD" w14:textId="77777777" w:rsidTr="002E26E7">
        <w:tc>
          <w:tcPr>
            <w:tcW w:w="228" w:type="pct"/>
          </w:tcPr>
          <w:p w14:paraId="066B2BE9" w14:textId="77777777" w:rsidR="00FC612A" w:rsidRPr="002E26E7" w:rsidRDefault="00FC612A" w:rsidP="005F773B">
            <w:pPr>
              <w:keepLines/>
              <w:spacing w:before="60" w:after="60"/>
              <w:rPr>
                <w:rFonts w:ascii="Arial" w:hAnsi="Arial" w:cs="Arial"/>
                <w:sz w:val="22"/>
                <w:szCs w:val="22"/>
                <w:lang w:val="en-GB"/>
              </w:rPr>
            </w:pPr>
            <w:r w:rsidRPr="002E26E7">
              <w:rPr>
                <w:rFonts w:ascii="Arial" w:eastAsia="Arial" w:hAnsi="Arial" w:cs="Arial"/>
                <w:sz w:val="22"/>
                <w:szCs w:val="22"/>
                <w:lang w:bidi="es-ES"/>
              </w:rPr>
              <w:lastRenderedPageBreak/>
              <w:t>161.</w:t>
            </w:r>
          </w:p>
        </w:tc>
        <w:tc>
          <w:tcPr>
            <w:tcW w:w="2291" w:type="pct"/>
          </w:tcPr>
          <w:p w14:paraId="588035ED" w14:textId="047C0D74" w:rsidR="00FC612A" w:rsidRPr="002E26E7" w:rsidRDefault="00FC612A" w:rsidP="005F773B">
            <w:pPr>
              <w:keepLines/>
              <w:spacing w:before="60" w:after="60"/>
              <w:jc w:val="both"/>
              <w:rPr>
                <w:rFonts w:ascii="Arial" w:hAnsi="Arial" w:cs="Arial"/>
                <w:sz w:val="22"/>
                <w:szCs w:val="22"/>
              </w:rPr>
            </w:pPr>
            <w:r w:rsidRPr="002E26E7">
              <w:rPr>
                <w:rFonts w:ascii="Arial" w:eastAsia="Arial" w:hAnsi="Arial" w:cs="Arial"/>
                <w:sz w:val="22"/>
                <w:szCs w:val="22"/>
                <w:lang w:bidi="es-ES"/>
              </w:rPr>
              <w:t xml:space="preserve">Estos informes se presentarán normalmente al Comité a más tardar el 15 de diciembre del cuarto año siguiente a aquél en que se haya inscrito el elemento y luego cada cuatrienio. Para esos informes se utilizará el formulario ICH-11, que los </w:t>
            </w:r>
            <w:proofErr w:type="gramStart"/>
            <w:r w:rsidRPr="002E26E7">
              <w:rPr>
                <w:rFonts w:ascii="Arial" w:eastAsia="Arial" w:hAnsi="Arial" w:cs="Arial"/>
                <w:sz w:val="22"/>
                <w:szCs w:val="22"/>
                <w:lang w:bidi="es-ES"/>
              </w:rPr>
              <w:t>Estados Partes</w:t>
            </w:r>
            <w:proofErr w:type="gramEnd"/>
            <w:r w:rsidRPr="002E26E7">
              <w:rPr>
                <w:rFonts w:ascii="Arial" w:eastAsia="Arial" w:hAnsi="Arial" w:cs="Arial"/>
                <w:sz w:val="22"/>
                <w:szCs w:val="22"/>
                <w:lang w:bidi="es-ES"/>
              </w:rPr>
              <w:t xml:space="preserve"> podrán completar en línea (</w:t>
            </w:r>
            <w:hyperlink r:id="rId35" w:history="1">
              <w:r w:rsidRPr="002E26E7">
                <w:rPr>
                  <w:rStyle w:val="Hyperlink"/>
                  <w:rFonts w:ascii="Arial" w:eastAsia="Arial" w:hAnsi="Arial" w:cs="Arial"/>
                  <w:b/>
                  <w:sz w:val="22"/>
                  <w:szCs w:val="22"/>
                  <w:lang w:bidi="es-ES"/>
                </w:rPr>
                <w:t>https://ich.unesco.org</w:t>
              </w:r>
            </w:hyperlink>
            <w:r w:rsidRPr="002E26E7">
              <w:rPr>
                <w:rFonts w:ascii="Arial" w:eastAsia="Arial" w:hAnsi="Arial" w:cs="Arial"/>
                <w:sz w:val="22"/>
                <w:szCs w:val="22"/>
                <w:lang w:bidi="es-ES"/>
              </w:rPr>
              <w:t>) y serán revisados en los intervalos adecuados por parte de la Secretaría. En el momento de la inscripción, el Comité podrá establecer, caso por caso, un calendario específico para la presentación de informes que prevalecerá sobre el ciclo cuatrienal normal.</w:t>
            </w:r>
          </w:p>
        </w:tc>
        <w:tc>
          <w:tcPr>
            <w:tcW w:w="231" w:type="pct"/>
          </w:tcPr>
          <w:p w14:paraId="49A1AC59"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161.</w:t>
            </w:r>
          </w:p>
        </w:tc>
        <w:tc>
          <w:tcPr>
            <w:tcW w:w="2251" w:type="pct"/>
            <w:shd w:val="clear" w:color="auto" w:fill="DBE5F1" w:themeFill="accent1" w:themeFillTint="33"/>
          </w:tcPr>
          <w:p w14:paraId="5A5DB7B5" w14:textId="77777777" w:rsidR="00FC612A" w:rsidRPr="002E26E7" w:rsidRDefault="00FC612A" w:rsidP="005F773B">
            <w:pPr>
              <w:keepLines/>
              <w:spacing w:before="60" w:after="60"/>
              <w:jc w:val="both"/>
              <w:rPr>
                <w:rFonts w:ascii="Arial" w:hAnsi="Arial" w:cs="Arial"/>
                <w:sz w:val="22"/>
                <w:szCs w:val="22"/>
              </w:rPr>
            </w:pPr>
            <w:r w:rsidRPr="002E26E7">
              <w:rPr>
                <w:rFonts w:ascii="Arial" w:eastAsia="Arial" w:hAnsi="Arial" w:cs="Arial"/>
                <w:sz w:val="22"/>
                <w:szCs w:val="22"/>
                <w:lang w:bidi="es-ES"/>
              </w:rPr>
              <w:t xml:space="preserve">Estos informes se presentarán normalmente al Comité a más tardar el </w:t>
            </w:r>
            <w:r w:rsidRPr="002E26E7">
              <w:rPr>
                <w:rFonts w:ascii="Arial" w:eastAsia="Arial" w:hAnsi="Arial" w:cs="Arial"/>
                <w:strike/>
                <w:sz w:val="22"/>
                <w:szCs w:val="22"/>
                <w:lang w:bidi="es-ES"/>
              </w:rPr>
              <w:t>15 de diciembre del cuarto año siguiente a aquél en que se haya inscrito el elemento y luego cada cuatrienio</w:t>
            </w:r>
            <w:r w:rsidRPr="002E26E7">
              <w:rPr>
                <w:rFonts w:ascii="Arial" w:eastAsia="Arial" w:hAnsi="Arial" w:cs="Arial"/>
                <w:sz w:val="22"/>
                <w:szCs w:val="22"/>
                <w:lang w:bidi="es-ES"/>
              </w:rPr>
              <w:t xml:space="preserve"> </w:t>
            </w:r>
            <w:r w:rsidRPr="002E26E7">
              <w:rPr>
                <w:rFonts w:ascii="Arial" w:eastAsia="Arial" w:hAnsi="Arial" w:cs="Arial"/>
                <w:b/>
                <w:color w:val="000000"/>
                <w:sz w:val="22"/>
                <w:szCs w:val="22"/>
                <w:u w:val="single"/>
                <w:lang w:bidi="es-ES"/>
              </w:rPr>
              <w:t>30 de junio cada cuatro años según el calendario establecido por el Comité</w:t>
            </w:r>
            <w:r w:rsidRPr="002E26E7">
              <w:rPr>
                <w:rFonts w:ascii="Arial" w:eastAsia="Arial" w:hAnsi="Arial" w:cs="Arial"/>
                <w:sz w:val="22"/>
                <w:szCs w:val="22"/>
                <w:lang w:bidi="es-ES"/>
              </w:rPr>
              <w:t xml:space="preserve">. Para esos informes se utilizará el formulario ICH-11, que los </w:t>
            </w:r>
            <w:proofErr w:type="gramStart"/>
            <w:r w:rsidRPr="002E26E7">
              <w:rPr>
                <w:rFonts w:ascii="Arial" w:eastAsia="Arial" w:hAnsi="Arial" w:cs="Arial"/>
                <w:sz w:val="22"/>
                <w:szCs w:val="22"/>
                <w:lang w:bidi="es-ES"/>
              </w:rPr>
              <w:t>Estados Partes</w:t>
            </w:r>
            <w:proofErr w:type="gramEnd"/>
            <w:r w:rsidRPr="002E26E7">
              <w:rPr>
                <w:rFonts w:ascii="Arial" w:eastAsia="Arial" w:hAnsi="Arial" w:cs="Arial"/>
                <w:sz w:val="22"/>
                <w:szCs w:val="22"/>
                <w:lang w:bidi="es-ES"/>
              </w:rPr>
              <w:t xml:space="preserve"> podrán completar en línea (</w:t>
            </w:r>
            <w:hyperlink r:id="rId36" w:history="1">
              <w:r w:rsidRPr="002E26E7">
                <w:rPr>
                  <w:rStyle w:val="Hyperlink"/>
                  <w:rFonts w:ascii="Arial" w:eastAsia="Arial" w:hAnsi="Arial" w:cs="Arial"/>
                  <w:b/>
                  <w:sz w:val="22"/>
                  <w:szCs w:val="22"/>
                  <w:lang w:bidi="es-ES"/>
                </w:rPr>
                <w:t>https://ich.unesco.org</w:t>
              </w:r>
            </w:hyperlink>
            <w:r w:rsidRPr="002E26E7">
              <w:rPr>
                <w:rFonts w:ascii="Arial" w:eastAsia="Arial" w:hAnsi="Arial" w:cs="Arial"/>
                <w:sz w:val="22"/>
                <w:szCs w:val="22"/>
                <w:lang w:bidi="es-ES"/>
              </w:rPr>
              <w:t>) y serán revisados en los intervalos adecuados por parte de la Secretaría. En el momento de la inscripción, el Comité podrá establecer, caso por caso, un calendario específico para la presentación de informes que prevalecerá sobre el ciclo cuatrienal normal.</w:t>
            </w:r>
          </w:p>
        </w:tc>
      </w:tr>
      <w:tr w:rsidR="00FC612A" w:rsidRPr="002E26E7" w14:paraId="32310E76" w14:textId="77777777" w:rsidTr="002E26E7">
        <w:tc>
          <w:tcPr>
            <w:tcW w:w="228" w:type="pct"/>
          </w:tcPr>
          <w:p w14:paraId="18ACEA96" w14:textId="77777777" w:rsidR="00FC612A" w:rsidRPr="002E26E7" w:rsidRDefault="00FC612A" w:rsidP="005F773B">
            <w:pPr>
              <w:keepLines/>
              <w:spacing w:before="60" w:after="60"/>
              <w:rPr>
                <w:rFonts w:ascii="Arial" w:hAnsi="Arial" w:cs="Arial"/>
                <w:sz w:val="22"/>
                <w:szCs w:val="22"/>
                <w:lang w:val="en-GB"/>
              </w:rPr>
            </w:pPr>
            <w:r w:rsidRPr="002E26E7">
              <w:rPr>
                <w:rFonts w:ascii="Arial" w:eastAsia="Arial" w:hAnsi="Arial" w:cs="Arial"/>
                <w:sz w:val="22"/>
                <w:szCs w:val="22"/>
                <w:lang w:bidi="es-ES"/>
              </w:rPr>
              <w:t>162.</w:t>
            </w:r>
          </w:p>
        </w:tc>
        <w:tc>
          <w:tcPr>
            <w:tcW w:w="2291" w:type="pct"/>
          </w:tcPr>
          <w:p w14:paraId="3CB037B0" w14:textId="77777777" w:rsidR="00FC612A" w:rsidRPr="002E26E7" w:rsidRDefault="00FC612A" w:rsidP="005F773B">
            <w:pPr>
              <w:keepLines/>
              <w:spacing w:before="60" w:after="60"/>
              <w:jc w:val="both"/>
              <w:rPr>
                <w:rFonts w:ascii="Arial" w:hAnsi="Arial" w:cs="Arial"/>
                <w:sz w:val="22"/>
                <w:szCs w:val="22"/>
              </w:rPr>
            </w:pPr>
            <w:r w:rsidRPr="002E26E7">
              <w:rPr>
                <w:rFonts w:ascii="Arial" w:eastAsia="Arial" w:hAnsi="Arial" w:cs="Arial"/>
                <w:sz w:val="22"/>
                <w:szCs w:val="22"/>
                <w:lang w:bidi="es-ES"/>
              </w:rPr>
              <w:t>El Estado Parte prestará especial atención a la función del género e informará acerca del estado actual del elemento, en particular sobre:</w:t>
            </w:r>
          </w:p>
          <w:p w14:paraId="4F552172" w14:textId="77777777" w:rsidR="00FC612A" w:rsidRPr="002E26E7" w:rsidRDefault="00FC612A" w:rsidP="00FC612A">
            <w:pPr>
              <w:keepLines/>
              <w:numPr>
                <w:ilvl w:val="0"/>
                <w:numId w:val="31"/>
              </w:numPr>
              <w:spacing w:before="60" w:after="60"/>
              <w:ind w:left="493" w:hanging="493"/>
              <w:jc w:val="both"/>
              <w:rPr>
                <w:rFonts w:ascii="Arial" w:hAnsi="Arial" w:cs="Arial"/>
                <w:sz w:val="22"/>
                <w:szCs w:val="22"/>
              </w:rPr>
            </w:pPr>
            <w:r w:rsidRPr="002E26E7">
              <w:rPr>
                <w:rFonts w:ascii="Arial" w:eastAsia="Arial" w:hAnsi="Arial" w:cs="Arial"/>
                <w:sz w:val="22"/>
                <w:szCs w:val="22"/>
                <w:lang w:bidi="es-ES"/>
              </w:rPr>
              <w:t>sus funciones sociales y culturales;</w:t>
            </w:r>
          </w:p>
          <w:p w14:paraId="0FF0E956" w14:textId="77777777" w:rsidR="00FC612A" w:rsidRPr="002E26E7" w:rsidRDefault="00FC612A" w:rsidP="00FC612A">
            <w:pPr>
              <w:keepLines/>
              <w:numPr>
                <w:ilvl w:val="0"/>
                <w:numId w:val="31"/>
              </w:numPr>
              <w:spacing w:before="60" w:after="60"/>
              <w:ind w:left="493" w:hanging="493"/>
              <w:jc w:val="both"/>
              <w:rPr>
                <w:rFonts w:ascii="Arial" w:hAnsi="Arial" w:cs="Arial"/>
                <w:sz w:val="22"/>
                <w:szCs w:val="22"/>
              </w:rPr>
            </w:pPr>
            <w:r w:rsidRPr="002E26E7">
              <w:rPr>
                <w:rFonts w:ascii="Arial" w:eastAsia="Arial" w:hAnsi="Arial" w:cs="Arial"/>
                <w:sz w:val="22"/>
                <w:szCs w:val="22"/>
                <w:lang w:bidi="es-ES"/>
              </w:rPr>
              <w:t>una evaluación de su viabilidad y de los riesgos que corre actualmente;</w:t>
            </w:r>
          </w:p>
          <w:p w14:paraId="28343055" w14:textId="77777777" w:rsidR="00FC612A" w:rsidRPr="002E26E7" w:rsidRDefault="00FC612A" w:rsidP="00FC612A">
            <w:pPr>
              <w:keepLines/>
              <w:numPr>
                <w:ilvl w:val="0"/>
                <w:numId w:val="31"/>
              </w:numPr>
              <w:spacing w:before="60" w:after="60"/>
              <w:ind w:left="493" w:hanging="493"/>
              <w:jc w:val="both"/>
              <w:rPr>
                <w:rFonts w:ascii="Arial" w:hAnsi="Arial" w:cs="Arial"/>
                <w:sz w:val="22"/>
                <w:szCs w:val="22"/>
              </w:rPr>
            </w:pPr>
            <w:r w:rsidRPr="002E26E7">
              <w:rPr>
                <w:rFonts w:ascii="Arial" w:eastAsia="Arial" w:hAnsi="Arial" w:cs="Arial"/>
                <w:sz w:val="22"/>
                <w:szCs w:val="22"/>
                <w:lang w:bidi="es-ES"/>
              </w:rPr>
              <w:t>las repercusiones de la labor realizada para salvaguardar el elemento, en particular las de la aplicación del plan de salvaguardia sometido en el momento de presentación de su candidatura a la inscripción;</w:t>
            </w:r>
          </w:p>
          <w:p w14:paraId="752EE72C" w14:textId="77777777" w:rsidR="00FC612A" w:rsidRPr="002E26E7" w:rsidRDefault="00FC612A" w:rsidP="00FC612A">
            <w:pPr>
              <w:keepLines/>
              <w:numPr>
                <w:ilvl w:val="0"/>
                <w:numId w:val="31"/>
              </w:numPr>
              <w:spacing w:before="60" w:after="60"/>
              <w:ind w:left="493" w:hanging="493"/>
              <w:jc w:val="both"/>
              <w:rPr>
                <w:rFonts w:ascii="Arial" w:hAnsi="Arial" w:cs="Arial"/>
                <w:sz w:val="22"/>
                <w:szCs w:val="22"/>
              </w:rPr>
            </w:pPr>
            <w:r w:rsidRPr="002E26E7">
              <w:rPr>
                <w:rFonts w:ascii="Arial" w:eastAsia="Arial" w:hAnsi="Arial" w:cs="Arial"/>
                <w:sz w:val="22"/>
                <w:szCs w:val="22"/>
                <w:lang w:bidi="es-ES"/>
              </w:rPr>
              <w:t>información actualizada sobre el plan de salvaguardia que se incluyó en el expediente de candidatura o en el informe anterior;</w:t>
            </w:r>
          </w:p>
          <w:p w14:paraId="236768F7" w14:textId="77777777" w:rsidR="00FC612A" w:rsidRPr="002E26E7" w:rsidRDefault="00FC612A" w:rsidP="00FC612A">
            <w:pPr>
              <w:keepLines/>
              <w:numPr>
                <w:ilvl w:val="0"/>
                <w:numId w:val="31"/>
              </w:numPr>
              <w:spacing w:before="60" w:after="60"/>
              <w:ind w:left="493" w:hanging="493"/>
              <w:jc w:val="both"/>
              <w:rPr>
                <w:rFonts w:ascii="Arial" w:hAnsi="Arial" w:cs="Arial"/>
                <w:sz w:val="22"/>
                <w:szCs w:val="22"/>
              </w:rPr>
            </w:pPr>
            <w:r w:rsidRPr="002E26E7">
              <w:rPr>
                <w:rFonts w:ascii="Arial" w:eastAsia="Arial" w:hAnsi="Arial" w:cs="Arial"/>
                <w:sz w:val="22"/>
                <w:szCs w:val="22"/>
                <w:lang w:bidi="es-ES"/>
              </w:rPr>
              <w:t>la participación de comunidades, grupos, individuos y organizaciones no gubernamentales pertinentes en la salvaguardia del elemento, así como la persistencia de su voluntad de seguir salvaguardándolo.</w:t>
            </w:r>
          </w:p>
        </w:tc>
        <w:tc>
          <w:tcPr>
            <w:tcW w:w="231" w:type="pct"/>
          </w:tcPr>
          <w:p w14:paraId="51328773"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162.</w:t>
            </w:r>
          </w:p>
        </w:tc>
        <w:tc>
          <w:tcPr>
            <w:tcW w:w="2251" w:type="pct"/>
          </w:tcPr>
          <w:p w14:paraId="1A8317B4"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Sin cambios</w:t>
            </w:r>
          </w:p>
        </w:tc>
      </w:tr>
      <w:tr w:rsidR="00FC612A" w:rsidRPr="002E26E7" w14:paraId="63C6C5EC" w14:textId="77777777" w:rsidTr="002E26E7">
        <w:tc>
          <w:tcPr>
            <w:tcW w:w="228" w:type="pct"/>
          </w:tcPr>
          <w:p w14:paraId="1F0495F1" w14:textId="77777777" w:rsidR="00FC612A" w:rsidRPr="002E26E7" w:rsidRDefault="00FC612A" w:rsidP="005F773B">
            <w:pPr>
              <w:keepLines/>
              <w:spacing w:before="60" w:after="60"/>
              <w:rPr>
                <w:rFonts w:ascii="Arial" w:hAnsi="Arial" w:cs="Arial"/>
                <w:sz w:val="22"/>
                <w:szCs w:val="22"/>
                <w:lang w:val="en-GB"/>
              </w:rPr>
            </w:pPr>
            <w:r w:rsidRPr="002E26E7">
              <w:rPr>
                <w:rFonts w:ascii="Arial" w:eastAsia="Arial" w:hAnsi="Arial" w:cs="Arial"/>
                <w:sz w:val="22"/>
                <w:szCs w:val="22"/>
                <w:lang w:bidi="es-ES"/>
              </w:rPr>
              <w:t>163.</w:t>
            </w:r>
          </w:p>
        </w:tc>
        <w:tc>
          <w:tcPr>
            <w:tcW w:w="2291" w:type="pct"/>
          </w:tcPr>
          <w:p w14:paraId="0DF9068F" w14:textId="77777777" w:rsidR="00FC612A" w:rsidRPr="002E26E7" w:rsidRDefault="00FC612A" w:rsidP="005F773B">
            <w:pPr>
              <w:keepLines/>
              <w:spacing w:before="60" w:after="60"/>
              <w:jc w:val="both"/>
              <w:rPr>
                <w:rFonts w:ascii="Arial" w:hAnsi="Arial" w:cs="Arial"/>
                <w:sz w:val="22"/>
                <w:szCs w:val="22"/>
              </w:rPr>
            </w:pPr>
            <w:r w:rsidRPr="002E26E7">
              <w:rPr>
                <w:rFonts w:ascii="Arial" w:eastAsia="Arial" w:hAnsi="Arial" w:cs="Arial"/>
                <w:sz w:val="22"/>
                <w:szCs w:val="22"/>
                <w:lang w:bidi="es-ES"/>
              </w:rPr>
              <w:t>El Estado Parte informará sobre el contexto institucional en el que se lleva a cabo la salvaguardia del elemento inscrito en la Lista del Patrimonio Cultural Inmaterial que requiere medidas urgentes de salvaguardia, en particular sobre:</w:t>
            </w:r>
          </w:p>
          <w:p w14:paraId="257D64C8" w14:textId="77777777" w:rsidR="00FC612A" w:rsidRPr="002E26E7" w:rsidRDefault="00FC612A" w:rsidP="00FC612A">
            <w:pPr>
              <w:keepLines/>
              <w:numPr>
                <w:ilvl w:val="0"/>
                <w:numId w:val="32"/>
              </w:numPr>
              <w:spacing w:before="60" w:after="60"/>
              <w:ind w:left="656" w:hanging="656"/>
              <w:jc w:val="both"/>
              <w:rPr>
                <w:rFonts w:ascii="Arial" w:hAnsi="Arial" w:cs="Arial"/>
                <w:sz w:val="22"/>
                <w:szCs w:val="22"/>
              </w:rPr>
            </w:pPr>
            <w:r w:rsidRPr="002E26E7">
              <w:rPr>
                <w:rFonts w:ascii="Arial" w:eastAsia="Arial" w:hAnsi="Arial" w:cs="Arial"/>
                <w:sz w:val="22"/>
                <w:szCs w:val="22"/>
                <w:lang w:bidi="es-ES"/>
              </w:rPr>
              <w:lastRenderedPageBreak/>
              <w:t>el (los) organismo(s) competente(s) que participa(n) en su salvaguardia; y</w:t>
            </w:r>
          </w:p>
          <w:p w14:paraId="56901569" w14:textId="77777777" w:rsidR="00FC612A" w:rsidRPr="002E26E7" w:rsidRDefault="00FC612A" w:rsidP="00FC612A">
            <w:pPr>
              <w:keepLines/>
              <w:numPr>
                <w:ilvl w:val="0"/>
                <w:numId w:val="32"/>
              </w:numPr>
              <w:spacing w:before="60" w:after="60"/>
              <w:ind w:left="656" w:hanging="656"/>
              <w:jc w:val="both"/>
              <w:rPr>
                <w:rFonts w:ascii="Arial" w:hAnsi="Arial" w:cs="Arial"/>
                <w:sz w:val="22"/>
                <w:szCs w:val="22"/>
              </w:rPr>
            </w:pPr>
            <w:r w:rsidRPr="002E26E7">
              <w:rPr>
                <w:rFonts w:ascii="Arial" w:eastAsia="Arial" w:hAnsi="Arial" w:cs="Arial"/>
                <w:sz w:val="22"/>
                <w:szCs w:val="22"/>
                <w:lang w:bidi="es-ES"/>
              </w:rPr>
              <w:t>la(s) organización(es) de la comunidad o el grupo a las que conciernen el elemento y su salvaguardia.</w:t>
            </w:r>
          </w:p>
        </w:tc>
        <w:tc>
          <w:tcPr>
            <w:tcW w:w="231" w:type="pct"/>
          </w:tcPr>
          <w:p w14:paraId="7092454B"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lastRenderedPageBreak/>
              <w:t>163.</w:t>
            </w:r>
          </w:p>
        </w:tc>
        <w:tc>
          <w:tcPr>
            <w:tcW w:w="2251" w:type="pct"/>
          </w:tcPr>
          <w:p w14:paraId="36793A85"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Sin cambios</w:t>
            </w:r>
          </w:p>
        </w:tc>
      </w:tr>
      <w:tr w:rsidR="00FC612A" w:rsidRPr="002E26E7" w14:paraId="57FEBB4C" w14:textId="77777777" w:rsidTr="002E26E7">
        <w:tc>
          <w:tcPr>
            <w:tcW w:w="228" w:type="pct"/>
          </w:tcPr>
          <w:p w14:paraId="5BA3E51F" w14:textId="77777777" w:rsidR="00FC612A" w:rsidRPr="002E26E7" w:rsidRDefault="00FC612A" w:rsidP="005F773B">
            <w:pPr>
              <w:keepLines/>
              <w:spacing w:before="60" w:after="60"/>
              <w:rPr>
                <w:rFonts w:ascii="Arial" w:hAnsi="Arial" w:cs="Arial"/>
                <w:sz w:val="22"/>
                <w:szCs w:val="22"/>
                <w:lang w:val="en-GB"/>
              </w:rPr>
            </w:pPr>
            <w:r w:rsidRPr="002E26E7">
              <w:rPr>
                <w:rFonts w:ascii="Arial" w:eastAsia="Arial" w:hAnsi="Arial" w:cs="Arial"/>
                <w:sz w:val="22"/>
                <w:szCs w:val="22"/>
                <w:lang w:bidi="es-ES"/>
              </w:rPr>
              <w:t>164.</w:t>
            </w:r>
          </w:p>
        </w:tc>
        <w:tc>
          <w:tcPr>
            <w:tcW w:w="2291" w:type="pct"/>
          </w:tcPr>
          <w:p w14:paraId="3999AFCD" w14:textId="77777777" w:rsidR="00FC612A" w:rsidRPr="002E26E7" w:rsidRDefault="00FC612A" w:rsidP="005F773B">
            <w:pPr>
              <w:keepLines/>
              <w:spacing w:before="60" w:after="60"/>
              <w:jc w:val="both"/>
              <w:rPr>
                <w:rFonts w:ascii="Arial" w:hAnsi="Arial" w:cs="Arial"/>
                <w:sz w:val="22"/>
                <w:szCs w:val="22"/>
              </w:rPr>
            </w:pPr>
            <w:r w:rsidRPr="002E26E7">
              <w:rPr>
                <w:rFonts w:ascii="Arial" w:eastAsia="Arial" w:hAnsi="Arial" w:cs="Arial"/>
                <w:sz w:val="22"/>
                <w:szCs w:val="22"/>
                <w:lang w:bidi="es-ES"/>
              </w:rPr>
              <w:t xml:space="preserve">Los </w:t>
            </w:r>
            <w:proofErr w:type="gramStart"/>
            <w:r w:rsidRPr="002E26E7">
              <w:rPr>
                <w:rFonts w:ascii="Arial" w:eastAsia="Arial" w:hAnsi="Arial" w:cs="Arial"/>
                <w:sz w:val="22"/>
                <w:szCs w:val="22"/>
                <w:lang w:bidi="es-ES"/>
              </w:rPr>
              <w:t>Estados Partes</w:t>
            </w:r>
            <w:proofErr w:type="gramEnd"/>
            <w:r w:rsidRPr="002E26E7">
              <w:rPr>
                <w:rFonts w:ascii="Arial" w:eastAsia="Arial" w:hAnsi="Arial" w:cs="Arial"/>
                <w:sz w:val="22"/>
                <w:szCs w:val="22"/>
                <w:lang w:bidi="es-ES"/>
              </w:rPr>
              <w:t xml:space="preserve"> responderán a su debido tiempo a las peticiones concretas de información complementaria que les remita el Comité, si fuere necesario dentro de los plazos establecidos en el párrafo 161 </w:t>
            </w:r>
            <w:r w:rsidRPr="002E26E7">
              <w:rPr>
                <w:rFonts w:ascii="Arial" w:eastAsia="Arial" w:hAnsi="Arial" w:cs="Arial"/>
                <w:i/>
                <w:sz w:val="22"/>
                <w:szCs w:val="22"/>
                <w:lang w:bidi="es-ES"/>
              </w:rPr>
              <w:t>supra</w:t>
            </w:r>
            <w:r w:rsidRPr="002E26E7">
              <w:rPr>
                <w:rFonts w:ascii="Arial" w:eastAsia="Arial" w:hAnsi="Arial" w:cs="Arial"/>
                <w:sz w:val="22"/>
                <w:szCs w:val="22"/>
                <w:lang w:bidi="es-ES"/>
              </w:rPr>
              <w:t>.</w:t>
            </w:r>
          </w:p>
        </w:tc>
        <w:tc>
          <w:tcPr>
            <w:tcW w:w="231" w:type="pct"/>
          </w:tcPr>
          <w:p w14:paraId="57FA27A2"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164.</w:t>
            </w:r>
          </w:p>
        </w:tc>
        <w:tc>
          <w:tcPr>
            <w:tcW w:w="2251" w:type="pct"/>
          </w:tcPr>
          <w:p w14:paraId="32CF5BBA"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Sin cambios</w:t>
            </w:r>
          </w:p>
        </w:tc>
      </w:tr>
      <w:tr w:rsidR="00FC612A" w:rsidRPr="002E26E7" w14:paraId="51DEDD95" w14:textId="77777777" w:rsidTr="002E26E7">
        <w:tc>
          <w:tcPr>
            <w:tcW w:w="228" w:type="pct"/>
          </w:tcPr>
          <w:p w14:paraId="62642C72" w14:textId="77777777" w:rsidR="00FC612A" w:rsidRPr="002E26E7" w:rsidRDefault="00FC612A" w:rsidP="005F773B">
            <w:pPr>
              <w:keepLines/>
              <w:spacing w:before="60" w:after="60"/>
              <w:rPr>
                <w:rFonts w:ascii="Arial" w:hAnsi="Arial" w:cs="Arial"/>
                <w:color w:val="4F81BD" w:themeColor="accent1"/>
                <w:sz w:val="22"/>
                <w:szCs w:val="22"/>
                <w:lang w:val="en-GB"/>
              </w:rPr>
            </w:pPr>
            <w:r w:rsidRPr="002E26E7">
              <w:rPr>
                <w:rFonts w:ascii="Arial" w:eastAsia="Arial" w:hAnsi="Arial" w:cs="Arial"/>
                <w:b/>
                <w:color w:val="4F81BD" w:themeColor="accent1"/>
                <w:sz w:val="22"/>
                <w:szCs w:val="22"/>
                <w:lang w:bidi="es-ES"/>
              </w:rPr>
              <w:t>V.3</w:t>
            </w:r>
          </w:p>
        </w:tc>
        <w:tc>
          <w:tcPr>
            <w:tcW w:w="2291" w:type="pct"/>
          </w:tcPr>
          <w:p w14:paraId="380A0973" w14:textId="77777777" w:rsidR="00FC612A" w:rsidRPr="002E26E7" w:rsidRDefault="00FC612A" w:rsidP="005F773B">
            <w:pPr>
              <w:keepLines/>
              <w:spacing w:before="60" w:after="60"/>
              <w:jc w:val="both"/>
              <w:rPr>
                <w:rFonts w:ascii="Arial" w:hAnsi="Arial" w:cs="Arial"/>
                <w:color w:val="4F81BD" w:themeColor="accent1"/>
                <w:sz w:val="22"/>
                <w:szCs w:val="22"/>
              </w:rPr>
            </w:pPr>
            <w:r w:rsidRPr="002E26E7">
              <w:rPr>
                <w:rFonts w:ascii="Arial" w:eastAsia="Arial" w:hAnsi="Arial" w:cs="Arial"/>
                <w:b/>
                <w:color w:val="4F81BD" w:themeColor="accent1"/>
                <w:sz w:val="22"/>
                <w:szCs w:val="22"/>
                <w:lang w:bidi="es-ES"/>
              </w:rPr>
              <w:t>Recepción y tramitación de los informes</w:t>
            </w:r>
          </w:p>
        </w:tc>
        <w:tc>
          <w:tcPr>
            <w:tcW w:w="231" w:type="pct"/>
          </w:tcPr>
          <w:p w14:paraId="74195A2A" w14:textId="77777777" w:rsidR="00FC612A" w:rsidRPr="002E26E7" w:rsidRDefault="00FC612A" w:rsidP="005F773B">
            <w:pPr>
              <w:keepLines/>
              <w:spacing w:before="60" w:after="60"/>
              <w:jc w:val="both"/>
              <w:rPr>
                <w:rFonts w:ascii="Arial" w:hAnsi="Arial" w:cs="Arial"/>
                <w:color w:val="4F81BD" w:themeColor="accent1"/>
                <w:sz w:val="22"/>
                <w:szCs w:val="22"/>
                <w:lang w:val="en-GB"/>
              </w:rPr>
            </w:pPr>
            <w:r w:rsidRPr="002E26E7">
              <w:rPr>
                <w:rFonts w:ascii="Arial" w:eastAsia="Arial" w:hAnsi="Arial" w:cs="Arial"/>
                <w:b/>
                <w:color w:val="4F81BD" w:themeColor="accent1"/>
                <w:sz w:val="22"/>
                <w:szCs w:val="22"/>
                <w:lang w:bidi="es-ES"/>
              </w:rPr>
              <w:t>V.3</w:t>
            </w:r>
          </w:p>
        </w:tc>
        <w:tc>
          <w:tcPr>
            <w:tcW w:w="2251" w:type="pct"/>
          </w:tcPr>
          <w:p w14:paraId="0BA4F1DA"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Sin cambios</w:t>
            </w:r>
          </w:p>
        </w:tc>
      </w:tr>
      <w:tr w:rsidR="00FC612A" w:rsidRPr="002E26E7" w14:paraId="7BE3BAB7" w14:textId="77777777" w:rsidTr="002E26E7">
        <w:tc>
          <w:tcPr>
            <w:tcW w:w="228" w:type="pct"/>
          </w:tcPr>
          <w:p w14:paraId="6DE78F78" w14:textId="77777777" w:rsidR="00FC612A" w:rsidRPr="002E26E7" w:rsidRDefault="00FC612A" w:rsidP="005F773B">
            <w:pPr>
              <w:keepLines/>
              <w:spacing w:before="60" w:after="60"/>
              <w:rPr>
                <w:rFonts w:ascii="Arial" w:hAnsi="Arial" w:cs="Arial"/>
                <w:sz w:val="22"/>
                <w:szCs w:val="22"/>
                <w:lang w:val="en-GB"/>
              </w:rPr>
            </w:pPr>
            <w:r w:rsidRPr="002E26E7">
              <w:rPr>
                <w:rFonts w:ascii="Arial" w:eastAsia="Arial" w:hAnsi="Arial" w:cs="Arial"/>
                <w:sz w:val="22"/>
                <w:szCs w:val="22"/>
                <w:lang w:bidi="es-ES"/>
              </w:rPr>
              <w:t>165.</w:t>
            </w:r>
          </w:p>
        </w:tc>
        <w:tc>
          <w:tcPr>
            <w:tcW w:w="2291" w:type="pct"/>
          </w:tcPr>
          <w:p w14:paraId="6777CF79" w14:textId="77777777" w:rsidR="00FC612A" w:rsidRPr="002E26E7" w:rsidRDefault="00FC612A" w:rsidP="005F773B">
            <w:pPr>
              <w:keepLines/>
              <w:spacing w:before="60" w:after="60"/>
              <w:jc w:val="both"/>
              <w:rPr>
                <w:rFonts w:ascii="Arial" w:hAnsi="Arial" w:cs="Arial"/>
                <w:sz w:val="22"/>
                <w:szCs w:val="22"/>
              </w:rPr>
            </w:pPr>
            <w:r w:rsidRPr="002E26E7">
              <w:rPr>
                <w:rFonts w:ascii="Arial" w:eastAsia="Arial" w:hAnsi="Arial" w:cs="Arial"/>
                <w:sz w:val="22"/>
                <w:szCs w:val="22"/>
                <w:lang w:bidi="es-ES"/>
              </w:rPr>
              <w:t xml:space="preserve">En cuanto reciba los informes de los </w:t>
            </w:r>
            <w:proofErr w:type="gramStart"/>
            <w:r w:rsidRPr="002E26E7">
              <w:rPr>
                <w:rFonts w:ascii="Arial" w:eastAsia="Arial" w:hAnsi="Arial" w:cs="Arial"/>
                <w:sz w:val="22"/>
                <w:szCs w:val="22"/>
                <w:lang w:bidi="es-ES"/>
              </w:rPr>
              <w:t>Estados Partes</w:t>
            </w:r>
            <w:proofErr w:type="gramEnd"/>
            <w:r w:rsidRPr="002E26E7">
              <w:rPr>
                <w:rFonts w:ascii="Arial" w:eastAsia="Arial" w:hAnsi="Arial" w:cs="Arial"/>
                <w:sz w:val="22"/>
                <w:szCs w:val="22"/>
                <w:lang w:bidi="es-ES"/>
              </w:rPr>
              <w:t xml:space="preserve">, la Secretaría los registrará y acusará recibo de </w:t>
            </w:r>
            <w:proofErr w:type="gramStart"/>
            <w:r w:rsidRPr="002E26E7">
              <w:rPr>
                <w:rFonts w:ascii="Arial" w:eastAsia="Arial" w:hAnsi="Arial" w:cs="Arial"/>
                <w:sz w:val="22"/>
                <w:szCs w:val="22"/>
                <w:lang w:bidi="es-ES"/>
              </w:rPr>
              <w:t>los mismos</w:t>
            </w:r>
            <w:proofErr w:type="gramEnd"/>
            <w:r w:rsidRPr="002E26E7">
              <w:rPr>
                <w:rFonts w:ascii="Arial" w:eastAsia="Arial" w:hAnsi="Arial" w:cs="Arial"/>
                <w:sz w:val="22"/>
                <w:szCs w:val="22"/>
                <w:lang w:bidi="es-ES"/>
              </w:rPr>
              <w:t>. Si un informe estuviera incompleto, se indicará al Estado Parte cómo debe completarlo.</w:t>
            </w:r>
          </w:p>
        </w:tc>
        <w:tc>
          <w:tcPr>
            <w:tcW w:w="231" w:type="pct"/>
          </w:tcPr>
          <w:p w14:paraId="7A5F4FE9"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165.</w:t>
            </w:r>
          </w:p>
        </w:tc>
        <w:tc>
          <w:tcPr>
            <w:tcW w:w="2251" w:type="pct"/>
          </w:tcPr>
          <w:p w14:paraId="3589A09F"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Sin cambios</w:t>
            </w:r>
          </w:p>
        </w:tc>
      </w:tr>
      <w:tr w:rsidR="00FC612A" w:rsidRPr="002E26E7" w14:paraId="74D9288E" w14:textId="77777777" w:rsidTr="002E26E7">
        <w:tc>
          <w:tcPr>
            <w:tcW w:w="228" w:type="pct"/>
          </w:tcPr>
          <w:p w14:paraId="6A7EFF34" w14:textId="77777777" w:rsidR="00FC612A" w:rsidRPr="002E26E7" w:rsidRDefault="00FC612A" w:rsidP="005F773B">
            <w:pPr>
              <w:keepLines/>
              <w:spacing w:before="60" w:after="60"/>
              <w:rPr>
                <w:rFonts w:ascii="Arial" w:hAnsi="Arial" w:cs="Arial"/>
                <w:sz w:val="22"/>
                <w:szCs w:val="22"/>
                <w:lang w:val="en-GB"/>
              </w:rPr>
            </w:pPr>
            <w:bookmarkStart w:id="3" w:name="_Hlk208236816"/>
            <w:r w:rsidRPr="002E26E7">
              <w:rPr>
                <w:rFonts w:ascii="Arial" w:eastAsia="Arial" w:hAnsi="Arial" w:cs="Arial"/>
                <w:sz w:val="22"/>
                <w:szCs w:val="22"/>
                <w:lang w:bidi="es-ES"/>
              </w:rPr>
              <w:t>166.</w:t>
            </w:r>
          </w:p>
        </w:tc>
        <w:tc>
          <w:tcPr>
            <w:tcW w:w="2291" w:type="pct"/>
          </w:tcPr>
          <w:p w14:paraId="2511707E" w14:textId="3CF55521" w:rsidR="00FC612A" w:rsidRPr="002E26E7" w:rsidRDefault="00FC612A" w:rsidP="005F773B">
            <w:pPr>
              <w:keepLines/>
              <w:spacing w:before="60" w:after="60"/>
              <w:jc w:val="both"/>
              <w:rPr>
                <w:rFonts w:ascii="Arial" w:hAnsi="Arial" w:cs="Arial"/>
                <w:sz w:val="22"/>
                <w:szCs w:val="22"/>
              </w:rPr>
            </w:pPr>
            <w:r w:rsidRPr="002E26E7">
              <w:rPr>
                <w:rFonts w:ascii="Arial" w:eastAsia="Arial" w:hAnsi="Arial" w:cs="Arial"/>
                <w:sz w:val="22"/>
                <w:szCs w:val="22"/>
                <w:lang w:bidi="es-ES"/>
              </w:rPr>
              <w:t>Cuatro semanas antes de la reunión del Comité, la Secretaría le transmitirá una sinopsis de todos los informes recibidos en conformidad con el párrafo 152.</w:t>
            </w:r>
            <w:r w:rsidR="00570030" w:rsidRPr="002E26E7">
              <w:rPr>
                <w:rStyle w:val="FootnoteReference"/>
                <w:rFonts w:ascii="Arial" w:eastAsia="Arial" w:hAnsi="Arial" w:cs="Arial"/>
                <w:sz w:val="22"/>
                <w:szCs w:val="22"/>
                <w:lang w:bidi="es-ES"/>
              </w:rPr>
              <w:footnoteReference w:id="3"/>
            </w:r>
            <w:r w:rsidRPr="002E26E7">
              <w:rPr>
                <w:rFonts w:ascii="Arial" w:eastAsia="Arial" w:hAnsi="Arial" w:cs="Arial"/>
                <w:sz w:val="22"/>
                <w:szCs w:val="22"/>
                <w:lang w:bidi="es-ES"/>
              </w:rPr>
              <w:t xml:space="preserve"> La sinopsis también se pondrá en línea para su consulta pública, junto con los informes recibidos en conformidad con los párrafos 152 y 161, en el idioma en el que fueron presentados por el Estado Parte, salvo que el Comité decida otra cosa en casos excepcionales.</w:t>
            </w:r>
          </w:p>
        </w:tc>
        <w:tc>
          <w:tcPr>
            <w:tcW w:w="231" w:type="pct"/>
          </w:tcPr>
          <w:p w14:paraId="29155C41"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166.</w:t>
            </w:r>
          </w:p>
        </w:tc>
        <w:tc>
          <w:tcPr>
            <w:tcW w:w="2251" w:type="pct"/>
            <w:shd w:val="clear" w:color="auto" w:fill="DBE5F1" w:themeFill="accent1" w:themeFillTint="33"/>
          </w:tcPr>
          <w:p w14:paraId="3380F238" w14:textId="77777777" w:rsidR="00FC612A" w:rsidRPr="002E26E7" w:rsidRDefault="00FC612A" w:rsidP="005F773B">
            <w:pPr>
              <w:keepLines/>
              <w:spacing w:before="60" w:after="60"/>
              <w:jc w:val="both"/>
              <w:rPr>
                <w:rFonts w:ascii="Arial" w:hAnsi="Arial" w:cs="Arial"/>
                <w:sz w:val="22"/>
                <w:szCs w:val="22"/>
              </w:rPr>
            </w:pPr>
            <w:r w:rsidRPr="002E26E7">
              <w:rPr>
                <w:rFonts w:ascii="Arial" w:eastAsia="Arial" w:hAnsi="Arial" w:cs="Arial"/>
                <w:sz w:val="22"/>
                <w:szCs w:val="22"/>
                <w:lang w:bidi="es-ES"/>
              </w:rPr>
              <w:t xml:space="preserve">Cuatro semanas antes de la reunión del Comité, la Secretaría le transmitirá una sinopsis de todos los informes recibidos en conformidad con </w:t>
            </w:r>
            <w:r w:rsidRPr="002E26E7">
              <w:rPr>
                <w:rFonts w:ascii="Arial" w:eastAsia="Arial" w:hAnsi="Arial" w:cs="Arial"/>
                <w:strike/>
                <w:sz w:val="22"/>
                <w:szCs w:val="22"/>
                <w:lang w:bidi="es-ES"/>
              </w:rPr>
              <w:t>el párrafo</w:t>
            </w:r>
            <w:r w:rsidRPr="002E26E7">
              <w:rPr>
                <w:rFonts w:ascii="Arial" w:eastAsia="Arial" w:hAnsi="Arial" w:cs="Arial"/>
                <w:sz w:val="22"/>
                <w:szCs w:val="22"/>
                <w:lang w:bidi="es-ES"/>
              </w:rPr>
              <w:t xml:space="preserve"> </w:t>
            </w:r>
            <w:r w:rsidRPr="002E26E7">
              <w:rPr>
                <w:rFonts w:ascii="Arial" w:eastAsia="Arial" w:hAnsi="Arial" w:cs="Arial"/>
                <w:b/>
                <w:sz w:val="22"/>
                <w:szCs w:val="22"/>
                <w:u w:val="single"/>
                <w:lang w:bidi="es-ES"/>
              </w:rPr>
              <w:t>los párrafos</w:t>
            </w:r>
            <w:r w:rsidRPr="002E26E7">
              <w:rPr>
                <w:rFonts w:ascii="Arial" w:eastAsia="Arial" w:hAnsi="Arial" w:cs="Arial"/>
                <w:sz w:val="22"/>
                <w:szCs w:val="22"/>
                <w:lang w:bidi="es-ES"/>
              </w:rPr>
              <w:t xml:space="preserve"> 152 </w:t>
            </w:r>
            <w:r w:rsidRPr="002E26E7">
              <w:rPr>
                <w:rFonts w:ascii="Arial" w:eastAsia="Arial" w:hAnsi="Arial" w:cs="Arial"/>
                <w:b/>
                <w:sz w:val="22"/>
                <w:szCs w:val="22"/>
                <w:u w:val="single"/>
                <w:lang w:bidi="es-ES"/>
              </w:rPr>
              <w:t>y 161</w:t>
            </w:r>
            <w:r w:rsidRPr="002E26E7">
              <w:rPr>
                <w:rFonts w:ascii="Arial" w:eastAsia="Arial" w:hAnsi="Arial" w:cs="Arial"/>
                <w:sz w:val="22"/>
                <w:szCs w:val="22"/>
                <w:lang w:bidi="es-ES"/>
              </w:rPr>
              <w:t xml:space="preserve">, </w:t>
            </w:r>
            <w:r w:rsidRPr="002E26E7">
              <w:rPr>
                <w:rFonts w:ascii="Arial" w:eastAsia="Arial" w:hAnsi="Arial" w:cs="Arial"/>
                <w:b/>
                <w:sz w:val="22"/>
                <w:szCs w:val="22"/>
                <w:u w:val="single"/>
                <w:lang w:bidi="es-ES"/>
              </w:rPr>
              <w:t>según el calendario establecido por el Comité</w:t>
            </w:r>
            <w:r w:rsidRPr="002E26E7">
              <w:rPr>
                <w:rFonts w:ascii="Arial" w:eastAsia="Arial" w:hAnsi="Arial" w:cs="Arial"/>
                <w:sz w:val="22"/>
                <w:szCs w:val="22"/>
                <w:lang w:bidi="es-ES"/>
              </w:rPr>
              <w:t>. La sinopsis también se pondrá en línea para su consulta pública, junto con los informes recibidos en conformidad con los párrafos 152 y 161, en el idioma en el que fueron presentados por el Estado Parte, salvo que el Comité decida otra cosa en casos excepcionales.</w:t>
            </w:r>
          </w:p>
        </w:tc>
      </w:tr>
      <w:tr w:rsidR="00FC612A" w:rsidRPr="002E26E7" w14:paraId="302C0AFE" w14:textId="77777777" w:rsidTr="002E26E7">
        <w:tc>
          <w:tcPr>
            <w:tcW w:w="228" w:type="pct"/>
          </w:tcPr>
          <w:p w14:paraId="49F5C419" w14:textId="77777777" w:rsidR="00FC612A" w:rsidRPr="002E26E7" w:rsidRDefault="00FC612A" w:rsidP="005F773B">
            <w:pPr>
              <w:keepLines/>
              <w:spacing w:before="60" w:after="60"/>
              <w:rPr>
                <w:rFonts w:ascii="Arial" w:hAnsi="Arial" w:cs="Arial"/>
                <w:sz w:val="22"/>
                <w:szCs w:val="22"/>
                <w:lang w:val="en-GB"/>
              </w:rPr>
            </w:pPr>
            <w:r w:rsidRPr="002E26E7">
              <w:rPr>
                <w:rFonts w:ascii="Arial" w:eastAsia="Arial" w:hAnsi="Arial" w:cs="Arial"/>
                <w:sz w:val="22"/>
                <w:szCs w:val="22"/>
                <w:lang w:bidi="es-ES"/>
              </w:rPr>
              <w:t>167.</w:t>
            </w:r>
          </w:p>
        </w:tc>
        <w:tc>
          <w:tcPr>
            <w:tcW w:w="2291" w:type="pct"/>
          </w:tcPr>
          <w:p w14:paraId="7470DE4D"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Suprimido.</w:t>
            </w:r>
          </w:p>
        </w:tc>
        <w:tc>
          <w:tcPr>
            <w:tcW w:w="231" w:type="pct"/>
          </w:tcPr>
          <w:p w14:paraId="290D2D68"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167.</w:t>
            </w:r>
          </w:p>
        </w:tc>
        <w:tc>
          <w:tcPr>
            <w:tcW w:w="2251" w:type="pct"/>
          </w:tcPr>
          <w:p w14:paraId="7993A4F4"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Sin cambios</w:t>
            </w:r>
          </w:p>
        </w:tc>
      </w:tr>
      <w:bookmarkEnd w:id="3"/>
      <w:tr w:rsidR="00FC612A" w:rsidRPr="002E26E7" w14:paraId="3F8A34FD" w14:textId="77777777" w:rsidTr="002E26E7">
        <w:tc>
          <w:tcPr>
            <w:tcW w:w="228" w:type="pct"/>
          </w:tcPr>
          <w:p w14:paraId="24AE90E9" w14:textId="77777777" w:rsidR="00FC612A" w:rsidRPr="002E26E7" w:rsidRDefault="00FC612A" w:rsidP="005F773B">
            <w:pPr>
              <w:keepLines/>
              <w:spacing w:before="60" w:after="60"/>
              <w:rPr>
                <w:rFonts w:ascii="Arial" w:hAnsi="Arial" w:cs="Arial"/>
                <w:b/>
                <w:color w:val="4F81BD" w:themeColor="accent1"/>
                <w:sz w:val="22"/>
                <w:szCs w:val="22"/>
                <w:lang w:val="en-GB"/>
              </w:rPr>
            </w:pPr>
            <w:r w:rsidRPr="002E26E7">
              <w:rPr>
                <w:rFonts w:ascii="Arial" w:eastAsia="Arial" w:hAnsi="Arial" w:cs="Arial"/>
                <w:b/>
                <w:color w:val="4F81BD" w:themeColor="accent1"/>
                <w:sz w:val="22"/>
                <w:szCs w:val="22"/>
                <w:lang w:bidi="es-ES"/>
              </w:rPr>
              <w:t>V.4</w:t>
            </w:r>
          </w:p>
        </w:tc>
        <w:tc>
          <w:tcPr>
            <w:tcW w:w="2291" w:type="pct"/>
          </w:tcPr>
          <w:p w14:paraId="57F9FDEE" w14:textId="77777777" w:rsidR="00FC612A" w:rsidRPr="002E26E7" w:rsidRDefault="00FC612A" w:rsidP="005F773B">
            <w:pPr>
              <w:keepLines/>
              <w:spacing w:before="60" w:after="60"/>
              <w:jc w:val="both"/>
              <w:rPr>
                <w:rFonts w:ascii="Arial" w:hAnsi="Arial" w:cs="Arial"/>
                <w:b/>
                <w:color w:val="4F81BD" w:themeColor="accent1"/>
                <w:sz w:val="22"/>
                <w:szCs w:val="22"/>
              </w:rPr>
            </w:pPr>
            <w:r w:rsidRPr="002E26E7">
              <w:rPr>
                <w:rFonts w:ascii="Arial" w:eastAsia="Arial" w:hAnsi="Arial" w:cs="Arial"/>
                <w:b/>
                <w:color w:val="4F81BD" w:themeColor="accent1"/>
                <w:sz w:val="22"/>
                <w:szCs w:val="22"/>
                <w:lang w:bidi="es-ES"/>
              </w:rPr>
              <w:t>Informes de Estados no partes en la Convención sobre elementos inscritos en la Lista Representativa del Patrimonio Cultural Inmaterial de la Humanidad</w:t>
            </w:r>
          </w:p>
        </w:tc>
        <w:tc>
          <w:tcPr>
            <w:tcW w:w="231" w:type="pct"/>
          </w:tcPr>
          <w:p w14:paraId="2C8F71A6" w14:textId="77777777" w:rsidR="00FC612A" w:rsidRPr="002E26E7" w:rsidRDefault="00FC612A" w:rsidP="005F773B">
            <w:pPr>
              <w:keepLines/>
              <w:spacing w:before="60" w:after="60"/>
              <w:jc w:val="both"/>
              <w:rPr>
                <w:rFonts w:ascii="Arial" w:hAnsi="Arial" w:cs="Arial"/>
                <w:color w:val="4F81BD" w:themeColor="accent1"/>
                <w:sz w:val="22"/>
                <w:szCs w:val="22"/>
                <w:lang w:val="en-GB"/>
              </w:rPr>
            </w:pPr>
            <w:r w:rsidRPr="002E26E7">
              <w:rPr>
                <w:rFonts w:ascii="Arial" w:eastAsia="Arial" w:hAnsi="Arial" w:cs="Arial"/>
                <w:b/>
                <w:color w:val="4F81BD" w:themeColor="accent1"/>
                <w:sz w:val="22"/>
                <w:szCs w:val="22"/>
                <w:lang w:bidi="es-ES"/>
              </w:rPr>
              <w:t>V.4</w:t>
            </w:r>
          </w:p>
        </w:tc>
        <w:tc>
          <w:tcPr>
            <w:tcW w:w="2251" w:type="pct"/>
          </w:tcPr>
          <w:p w14:paraId="1607AD25"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Sin cambios</w:t>
            </w:r>
          </w:p>
        </w:tc>
      </w:tr>
      <w:tr w:rsidR="00FC612A" w:rsidRPr="002E26E7" w14:paraId="417C1543" w14:textId="77777777" w:rsidTr="002E26E7">
        <w:tc>
          <w:tcPr>
            <w:tcW w:w="228" w:type="pct"/>
          </w:tcPr>
          <w:p w14:paraId="341FB1DE" w14:textId="77777777" w:rsidR="00FC612A" w:rsidRPr="002E26E7" w:rsidRDefault="00FC612A" w:rsidP="005F773B">
            <w:pPr>
              <w:keepLines/>
              <w:spacing w:before="60" w:after="60"/>
              <w:rPr>
                <w:rFonts w:ascii="Arial" w:hAnsi="Arial" w:cs="Arial"/>
                <w:sz w:val="22"/>
                <w:szCs w:val="22"/>
                <w:lang w:val="en-GB"/>
              </w:rPr>
            </w:pPr>
            <w:r w:rsidRPr="002E26E7">
              <w:rPr>
                <w:rFonts w:ascii="Arial" w:eastAsia="Arial" w:hAnsi="Arial" w:cs="Arial"/>
                <w:sz w:val="22"/>
                <w:szCs w:val="22"/>
                <w:lang w:bidi="es-ES"/>
              </w:rPr>
              <w:lastRenderedPageBreak/>
              <w:t>168.</w:t>
            </w:r>
          </w:p>
        </w:tc>
        <w:tc>
          <w:tcPr>
            <w:tcW w:w="2291" w:type="pct"/>
          </w:tcPr>
          <w:p w14:paraId="3EF750F7" w14:textId="77777777" w:rsidR="00FC612A" w:rsidRPr="002E26E7" w:rsidRDefault="00FC612A" w:rsidP="005F773B">
            <w:pPr>
              <w:keepLines/>
              <w:spacing w:before="60" w:after="60"/>
              <w:jc w:val="both"/>
              <w:rPr>
                <w:rFonts w:ascii="Arial" w:hAnsi="Arial" w:cs="Arial"/>
                <w:sz w:val="22"/>
                <w:szCs w:val="22"/>
              </w:rPr>
            </w:pPr>
            <w:r w:rsidRPr="002E26E7">
              <w:rPr>
                <w:rFonts w:ascii="Arial" w:eastAsia="Arial" w:hAnsi="Arial" w:cs="Arial"/>
                <w:sz w:val="22"/>
                <w:szCs w:val="22"/>
                <w:lang w:bidi="es-ES"/>
              </w:rPr>
              <w:t>Los párrafos 157 a 159 y 165 a 166 de las presentes Directrices se aplicarán en su totalidad a los Estados no Partes en la Convención que cuentan en sus territorios con elementos proclamados Obras maestras e incorporados a la Lista Representativa del Patrimonio Cultural Inmaterial de la Humanidad, y que hayan aceptado los derechos y obligaciones correspondientes.</w:t>
            </w:r>
          </w:p>
        </w:tc>
        <w:tc>
          <w:tcPr>
            <w:tcW w:w="231" w:type="pct"/>
          </w:tcPr>
          <w:p w14:paraId="30E9D9DD"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168.</w:t>
            </w:r>
          </w:p>
        </w:tc>
        <w:tc>
          <w:tcPr>
            <w:tcW w:w="2251" w:type="pct"/>
          </w:tcPr>
          <w:p w14:paraId="1657CDBA"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Sin cambios</w:t>
            </w:r>
          </w:p>
        </w:tc>
      </w:tr>
      <w:tr w:rsidR="00FC612A" w:rsidRPr="002E26E7" w14:paraId="1B56119C" w14:textId="77777777" w:rsidTr="002E26E7">
        <w:tc>
          <w:tcPr>
            <w:tcW w:w="228" w:type="pct"/>
          </w:tcPr>
          <w:p w14:paraId="50488A20" w14:textId="77777777" w:rsidR="00FC612A" w:rsidRPr="002E26E7" w:rsidRDefault="00FC612A" w:rsidP="005F773B">
            <w:pPr>
              <w:keepLines/>
              <w:spacing w:before="60" w:after="60"/>
              <w:rPr>
                <w:rFonts w:ascii="Arial" w:hAnsi="Arial" w:cs="Arial"/>
                <w:sz w:val="22"/>
                <w:szCs w:val="22"/>
                <w:lang w:val="en-GB"/>
              </w:rPr>
            </w:pPr>
            <w:r w:rsidRPr="002E26E7">
              <w:rPr>
                <w:rFonts w:ascii="Arial" w:eastAsia="Arial" w:hAnsi="Arial" w:cs="Arial"/>
                <w:sz w:val="22"/>
                <w:szCs w:val="22"/>
                <w:lang w:bidi="es-ES"/>
              </w:rPr>
              <w:t>169.</w:t>
            </w:r>
          </w:p>
        </w:tc>
        <w:tc>
          <w:tcPr>
            <w:tcW w:w="2291" w:type="pct"/>
          </w:tcPr>
          <w:p w14:paraId="09E7BEDA" w14:textId="77777777" w:rsidR="00FC612A" w:rsidRPr="002E26E7" w:rsidRDefault="00FC612A" w:rsidP="005F773B">
            <w:pPr>
              <w:keepLines/>
              <w:spacing w:before="60" w:after="60"/>
              <w:jc w:val="both"/>
              <w:rPr>
                <w:rFonts w:ascii="Arial" w:hAnsi="Arial" w:cs="Arial"/>
                <w:sz w:val="22"/>
                <w:szCs w:val="22"/>
              </w:rPr>
            </w:pPr>
            <w:r w:rsidRPr="002E26E7">
              <w:rPr>
                <w:rFonts w:ascii="Arial" w:eastAsia="Arial" w:hAnsi="Arial" w:cs="Arial"/>
                <w:sz w:val="22"/>
                <w:szCs w:val="22"/>
                <w:lang w:bidi="es-ES"/>
              </w:rPr>
              <w:t>Los Estados no Partes presentarán esos informes al Comité a más tardar el 15 de diciembre de 2014, y luego cada sexenio. Para esos informes se utilizará el formulario ICH-10, que los Estados interesados podrán completar en línea (</w:t>
            </w:r>
            <w:hyperlink r:id="rId37" w:history="1">
              <w:r w:rsidRPr="002E26E7">
                <w:rPr>
                  <w:rStyle w:val="Hyperlink"/>
                  <w:rFonts w:ascii="Arial" w:eastAsia="Arial" w:hAnsi="Arial" w:cs="Arial"/>
                  <w:b/>
                  <w:sz w:val="22"/>
                  <w:szCs w:val="22"/>
                  <w:lang w:bidi="es-ES"/>
                </w:rPr>
                <w:t>https://ich.unesco.org</w:t>
              </w:r>
            </w:hyperlink>
            <w:r w:rsidRPr="002E26E7">
              <w:rPr>
                <w:rFonts w:ascii="Arial" w:eastAsia="Arial" w:hAnsi="Arial" w:cs="Arial"/>
                <w:sz w:val="22"/>
                <w:szCs w:val="22"/>
                <w:lang w:bidi="es-ES"/>
              </w:rPr>
              <w:t>) y serán revisados en los intervalos adecuados por parte de la Secretaría.</w:t>
            </w:r>
          </w:p>
        </w:tc>
        <w:tc>
          <w:tcPr>
            <w:tcW w:w="231" w:type="pct"/>
          </w:tcPr>
          <w:p w14:paraId="1A9160C7" w14:textId="77777777" w:rsidR="00FC612A" w:rsidRPr="002E26E7" w:rsidRDefault="00FC612A" w:rsidP="005F773B">
            <w:pPr>
              <w:keepLines/>
              <w:spacing w:before="60" w:after="60"/>
              <w:jc w:val="both"/>
              <w:rPr>
                <w:rFonts w:ascii="Arial" w:hAnsi="Arial" w:cs="Arial"/>
                <w:sz w:val="22"/>
                <w:szCs w:val="22"/>
                <w:lang w:val="en-GB"/>
              </w:rPr>
            </w:pPr>
            <w:r w:rsidRPr="002E26E7">
              <w:rPr>
                <w:rFonts w:ascii="Arial" w:eastAsia="Arial" w:hAnsi="Arial" w:cs="Arial"/>
                <w:sz w:val="22"/>
                <w:szCs w:val="22"/>
                <w:lang w:bidi="es-ES"/>
              </w:rPr>
              <w:t>169.</w:t>
            </w:r>
          </w:p>
        </w:tc>
        <w:tc>
          <w:tcPr>
            <w:tcW w:w="2251" w:type="pct"/>
            <w:shd w:val="clear" w:color="auto" w:fill="DBE5F1" w:themeFill="accent1" w:themeFillTint="33"/>
          </w:tcPr>
          <w:p w14:paraId="563A72E1" w14:textId="77777777" w:rsidR="00FC612A" w:rsidRPr="002E26E7" w:rsidRDefault="00FC612A" w:rsidP="005F773B">
            <w:pPr>
              <w:keepLines/>
              <w:spacing w:before="60" w:after="60"/>
              <w:jc w:val="both"/>
              <w:rPr>
                <w:rFonts w:ascii="Arial" w:hAnsi="Arial" w:cs="Arial"/>
                <w:sz w:val="22"/>
                <w:szCs w:val="22"/>
              </w:rPr>
            </w:pPr>
            <w:r w:rsidRPr="002E26E7">
              <w:rPr>
                <w:rFonts w:ascii="Arial" w:eastAsia="Arial" w:hAnsi="Arial" w:cs="Arial"/>
                <w:sz w:val="22"/>
                <w:szCs w:val="22"/>
                <w:lang w:bidi="es-ES"/>
              </w:rPr>
              <w:t xml:space="preserve">Los Estados no Partes presentarán esos informes al Comité a más tardar el </w:t>
            </w:r>
            <w:r w:rsidRPr="002E26E7">
              <w:rPr>
                <w:rFonts w:ascii="Arial" w:eastAsia="Arial" w:hAnsi="Arial" w:cs="Arial"/>
                <w:strike/>
                <w:sz w:val="22"/>
                <w:szCs w:val="22"/>
                <w:lang w:bidi="es-ES"/>
              </w:rPr>
              <w:t>15 de diciembre de 2014, y luego cada sexenio</w:t>
            </w:r>
            <w:r w:rsidRPr="002E26E7">
              <w:rPr>
                <w:rFonts w:ascii="Arial" w:eastAsia="Arial" w:hAnsi="Arial" w:cs="Arial"/>
                <w:sz w:val="22"/>
                <w:szCs w:val="22"/>
                <w:lang w:bidi="es-ES"/>
              </w:rPr>
              <w:t xml:space="preserve"> </w:t>
            </w:r>
            <w:r w:rsidRPr="002E26E7">
              <w:rPr>
                <w:rFonts w:ascii="Arial" w:eastAsia="Arial" w:hAnsi="Arial" w:cs="Arial"/>
                <w:b/>
                <w:sz w:val="22"/>
                <w:szCs w:val="22"/>
                <w:u w:val="single"/>
                <w:lang w:bidi="es-ES"/>
              </w:rPr>
              <w:t>30 de junio cada cuatro años según el calendario establecido por el Comité</w:t>
            </w:r>
            <w:r w:rsidRPr="002E26E7">
              <w:rPr>
                <w:rFonts w:ascii="Arial" w:eastAsia="Arial" w:hAnsi="Arial" w:cs="Arial"/>
                <w:sz w:val="22"/>
                <w:szCs w:val="22"/>
                <w:lang w:bidi="es-ES"/>
              </w:rPr>
              <w:t>. Para esos informes se utilizará el formulario ICH-10, que los Estados interesados podrán completar en línea (</w:t>
            </w:r>
            <w:hyperlink r:id="rId38" w:history="1">
              <w:r w:rsidRPr="002E26E7">
                <w:rPr>
                  <w:rStyle w:val="Hyperlink"/>
                  <w:rFonts w:ascii="Arial" w:eastAsia="Arial" w:hAnsi="Arial" w:cs="Arial"/>
                  <w:b/>
                  <w:sz w:val="22"/>
                  <w:szCs w:val="22"/>
                  <w:lang w:bidi="es-ES"/>
                </w:rPr>
                <w:t>https://ich.unesco.org</w:t>
              </w:r>
            </w:hyperlink>
            <w:r w:rsidRPr="002E26E7">
              <w:rPr>
                <w:rFonts w:ascii="Arial" w:eastAsia="Arial" w:hAnsi="Arial" w:cs="Arial"/>
                <w:sz w:val="22"/>
                <w:szCs w:val="22"/>
                <w:lang w:bidi="es-ES"/>
              </w:rPr>
              <w:t>) y serán revisados en los intervalos adecuados por parte de la Secretaría.</w:t>
            </w:r>
          </w:p>
        </w:tc>
      </w:tr>
    </w:tbl>
    <w:p w14:paraId="4FEE486A" w14:textId="77777777" w:rsidR="00FC612A" w:rsidRPr="002E26E7" w:rsidRDefault="00FC612A">
      <w:pPr>
        <w:rPr>
          <w:rFonts w:ascii="Arial" w:hAnsi="Arial" w:cs="Arial"/>
        </w:rPr>
      </w:pPr>
    </w:p>
    <w:p w14:paraId="19AC5F4A" w14:textId="60DF8B2E" w:rsidR="00937D53" w:rsidRPr="002E26E7" w:rsidRDefault="00937D53">
      <w:pPr>
        <w:rPr>
          <w:rFonts w:ascii="Arial" w:eastAsia="SimSun" w:hAnsi="Arial" w:cs="Arial"/>
          <w:sz w:val="22"/>
          <w:szCs w:val="22"/>
          <w:u w:val="single"/>
        </w:rPr>
      </w:pPr>
    </w:p>
    <w:p w14:paraId="1B08DF9D" w14:textId="77777777" w:rsidR="00190205" w:rsidRPr="002E26E7" w:rsidRDefault="00190205" w:rsidP="00D86BB3">
      <w:pPr>
        <w:rPr>
          <w:rFonts w:ascii="Arial" w:eastAsia="SimSun" w:hAnsi="Arial" w:cs="Arial"/>
          <w:sz w:val="22"/>
          <w:szCs w:val="22"/>
          <w:u w:val="single"/>
        </w:rPr>
      </w:pPr>
    </w:p>
    <w:sectPr w:rsidR="00190205" w:rsidRPr="002E26E7" w:rsidSect="00FC612A">
      <w:pgSz w:w="16838" w:h="11906" w:orient="landscape" w:code="9"/>
      <w:pgMar w:top="1134" w:right="1418"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B2E28" w14:textId="77777777" w:rsidR="00B036CF" w:rsidRDefault="00B036CF" w:rsidP="00655736">
      <w:r>
        <w:separator/>
      </w:r>
    </w:p>
  </w:endnote>
  <w:endnote w:type="continuationSeparator" w:id="0">
    <w:p w14:paraId="0FF51E8E" w14:textId="77777777" w:rsidR="00B036CF" w:rsidRDefault="00B036CF"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AEEF1" w14:textId="77777777" w:rsidR="00B036CF" w:rsidRDefault="00B036CF" w:rsidP="00655736">
      <w:r>
        <w:separator/>
      </w:r>
    </w:p>
  </w:footnote>
  <w:footnote w:type="continuationSeparator" w:id="0">
    <w:p w14:paraId="08310F06" w14:textId="77777777" w:rsidR="00B036CF" w:rsidRDefault="00B036CF" w:rsidP="00655736">
      <w:r>
        <w:continuationSeparator/>
      </w:r>
    </w:p>
  </w:footnote>
  <w:footnote w:id="1">
    <w:p w14:paraId="348DB906" w14:textId="336D1C93" w:rsidR="007B64DD" w:rsidRPr="002E26E7" w:rsidRDefault="007B64DD" w:rsidP="002E26E7">
      <w:pPr>
        <w:pStyle w:val="FootnoteText"/>
        <w:ind w:left="567" w:hanging="567"/>
        <w:jc w:val="both"/>
        <w:rPr>
          <w:rFonts w:ascii="Arial" w:hAnsi="Arial" w:cs="Arial"/>
          <w:sz w:val="18"/>
          <w:szCs w:val="18"/>
        </w:rPr>
      </w:pPr>
      <w:bookmarkStart w:id="1" w:name="_Hlk124351068"/>
      <w:r w:rsidRPr="00263C49">
        <w:rPr>
          <w:rStyle w:val="FootnoteReference"/>
          <w:rFonts w:ascii="Arial" w:eastAsia="Arial" w:hAnsi="Arial" w:cs="Arial"/>
          <w:sz w:val="18"/>
          <w:szCs w:val="18"/>
          <w:lang w:bidi="es-ES"/>
        </w:rPr>
        <w:footnoteRef/>
      </w:r>
      <w:r w:rsidRPr="00263C49">
        <w:rPr>
          <w:rFonts w:ascii="Arial" w:eastAsia="Arial" w:hAnsi="Arial" w:cs="Arial"/>
          <w:sz w:val="18"/>
          <w:szCs w:val="18"/>
          <w:lang w:bidi="es-ES"/>
        </w:rPr>
        <w:t xml:space="preserve"> </w:t>
      </w:r>
      <w:r w:rsidR="002E26E7">
        <w:rPr>
          <w:rFonts w:ascii="Arial" w:eastAsia="Arial" w:hAnsi="Arial" w:cs="Arial"/>
          <w:sz w:val="18"/>
          <w:szCs w:val="18"/>
          <w:lang w:bidi="es-ES"/>
        </w:rPr>
        <w:tab/>
      </w:r>
      <w:r w:rsidRPr="00263C49">
        <w:rPr>
          <w:rFonts w:ascii="Arial" w:eastAsia="Arial" w:hAnsi="Arial" w:cs="Arial"/>
          <w:sz w:val="18"/>
          <w:szCs w:val="18"/>
          <w:lang w:bidi="es-ES"/>
        </w:rPr>
        <w:t xml:space="preserve">América Latina y el Caribe (ciclo 2021): 87,5 %, Europa (ciclo 2022): 100 %, Estados Árabes (ciclo 2023): 100 %, África (ciclo 2024): 100 % y Asia y el Pacífico (ciclo 2025): 90,4 % - véase el documento </w:t>
      </w:r>
      <w:hyperlink r:id="rId1" w:history="1">
        <w:r w:rsidRPr="00B95031">
          <w:rPr>
            <w:rStyle w:val="Hyperlink"/>
            <w:rFonts w:ascii="Arial" w:eastAsia="Arial" w:hAnsi="Arial" w:cs="Arial"/>
            <w:sz w:val="18"/>
            <w:szCs w:val="18"/>
            <w:lang w:bidi="es-ES"/>
          </w:rPr>
          <w:t>LHE/25/20.COM/6.c</w:t>
        </w:r>
      </w:hyperlink>
      <w:r w:rsidRPr="00263C49">
        <w:rPr>
          <w:rFonts w:ascii="Arial" w:eastAsia="Arial" w:hAnsi="Arial" w:cs="Arial"/>
          <w:sz w:val="18"/>
          <w:szCs w:val="18"/>
          <w:lang w:bidi="es-ES"/>
        </w:rPr>
        <w:t xml:space="preserve">. </w:t>
      </w:r>
    </w:p>
    <w:bookmarkEnd w:id="1"/>
  </w:footnote>
  <w:footnote w:id="2">
    <w:p w14:paraId="3BFFF4DF" w14:textId="7BEDF137" w:rsidR="007B64DD" w:rsidRPr="002E26E7" w:rsidRDefault="007B64DD" w:rsidP="002E26E7">
      <w:pPr>
        <w:pStyle w:val="FootnoteText"/>
        <w:ind w:left="567" w:hanging="567"/>
        <w:jc w:val="both"/>
        <w:rPr>
          <w:rFonts w:ascii="Arial" w:hAnsi="Arial" w:cs="Arial"/>
          <w:sz w:val="18"/>
          <w:szCs w:val="18"/>
        </w:rPr>
      </w:pPr>
      <w:r w:rsidRPr="00011933">
        <w:rPr>
          <w:rStyle w:val="FootnoteReference"/>
          <w:rFonts w:ascii="Arial" w:eastAsia="Arial" w:hAnsi="Arial" w:cs="Arial"/>
          <w:sz w:val="18"/>
          <w:szCs w:val="18"/>
          <w:lang w:bidi="es-ES"/>
        </w:rPr>
        <w:footnoteRef/>
      </w:r>
      <w:r w:rsidRPr="00011933">
        <w:rPr>
          <w:rFonts w:ascii="Arial" w:eastAsia="Arial" w:hAnsi="Arial" w:cs="Arial"/>
          <w:sz w:val="18"/>
          <w:szCs w:val="18"/>
          <w:lang w:bidi="es-ES"/>
        </w:rPr>
        <w:t xml:space="preserve"> </w:t>
      </w:r>
      <w:r w:rsidR="002E26E7">
        <w:rPr>
          <w:rFonts w:ascii="Arial" w:eastAsia="Arial" w:hAnsi="Arial" w:cs="Arial"/>
          <w:sz w:val="18"/>
          <w:szCs w:val="18"/>
          <w:lang w:bidi="es-ES"/>
        </w:rPr>
        <w:tab/>
      </w:r>
      <w:r w:rsidRPr="00011933">
        <w:rPr>
          <w:rFonts w:ascii="Arial" w:eastAsia="Arial" w:hAnsi="Arial" w:cs="Arial"/>
          <w:sz w:val="18"/>
          <w:szCs w:val="18"/>
          <w:lang w:bidi="es-ES"/>
        </w:rPr>
        <w:t>En la actualidad, esto solo afecta a un Estado, la Federación de Rusia, que hasta ahora informaba en un ciclo de seis años basado en el año de incorporación de sus dos Obras maestras a la Lista Representativa (2008). Por lo tanto, los dos informes previstos para el 15 de diciembre de 2026 deberán presentarse antes del 30 de junio de 2027.</w:t>
      </w:r>
    </w:p>
  </w:footnote>
  <w:footnote w:id="3">
    <w:p w14:paraId="0066351C" w14:textId="761EA221" w:rsidR="00570030" w:rsidRPr="001A11BE" w:rsidRDefault="00570030" w:rsidP="002E26E7">
      <w:pPr>
        <w:pStyle w:val="FootnoteText"/>
        <w:ind w:left="567" w:hanging="567"/>
        <w:jc w:val="both"/>
      </w:pPr>
      <w:r w:rsidRPr="002E26E7">
        <w:rPr>
          <w:rStyle w:val="FootnoteReference"/>
          <w:rFonts w:ascii="Arial" w:eastAsia="Arial" w:hAnsi="Arial" w:cs="Arial"/>
          <w:sz w:val="18"/>
          <w:szCs w:val="18"/>
          <w:lang w:bidi="es-ES"/>
        </w:rPr>
        <w:footnoteRef/>
      </w:r>
      <w:r w:rsidR="002E26E7">
        <w:rPr>
          <w:rStyle w:val="FootnoteReference"/>
          <w:rFonts w:ascii="Arial" w:eastAsia="Arial" w:hAnsi="Arial" w:cs="Arial"/>
          <w:sz w:val="18"/>
          <w:szCs w:val="18"/>
          <w:lang w:bidi="es-ES"/>
        </w:rPr>
        <w:t xml:space="preserve"> </w:t>
      </w:r>
      <w:r w:rsidR="002E26E7">
        <w:rPr>
          <w:rFonts w:ascii="Arial" w:eastAsia="Arial" w:hAnsi="Arial" w:cs="Arial"/>
          <w:sz w:val="18"/>
          <w:szCs w:val="18"/>
          <w:lang w:bidi="es-ES"/>
        </w:rPr>
        <w:tab/>
      </w:r>
      <w:r w:rsidR="001A11BE" w:rsidRPr="002E26E7">
        <w:rPr>
          <w:rFonts w:ascii="Arial" w:eastAsia="Arial" w:hAnsi="Arial" w:cs="Arial"/>
          <w:sz w:val="18"/>
          <w:szCs w:val="18"/>
          <w:lang w:bidi="es-ES"/>
        </w:rPr>
        <w:t xml:space="preserve">La palabra “en” fue eliminada de la versión en español de esta frase, atendiendo a razones lingüísticas.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696116BE" w:rsidR="00D95C4C" w:rsidRPr="0076777F" w:rsidRDefault="00C5776D" w:rsidP="00C5776D">
    <w:pPr>
      <w:pStyle w:val="Header"/>
      <w:rPr>
        <w:rFonts w:ascii="Arial" w:hAnsi="Arial" w:cs="Arial"/>
      </w:rPr>
    </w:pPr>
    <w:r w:rsidRPr="0076777F">
      <w:rPr>
        <w:rFonts w:ascii="Arial" w:hAnsi="Arial"/>
        <w:sz w:val="20"/>
      </w:rPr>
      <w:t xml:space="preserve">LHE/26/11.GA/7 – página </w:t>
    </w:r>
    <w:r w:rsidR="00D95C4C" w:rsidRPr="0076777F">
      <w:rPr>
        <w:rStyle w:val="PageNumber"/>
        <w:rFonts w:ascii="Arial" w:hAnsi="Arial" w:cs="Arial"/>
        <w:sz w:val="20"/>
      </w:rPr>
      <w:fldChar w:fldCharType="begin"/>
    </w:r>
    <w:r w:rsidR="00D95C4C" w:rsidRPr="0076777F">
      <w:rPr>
        <w:rStyle w:val="PageNumber"/>
        <w:rFonts w:ascii="Arial" w:hAnsi="Arial" w:cs="Arial"/>
        <w:sz w:val="20"/>
      </w:rPr>
      <w:instrText xml:space="preserve"> PAGE </w:instrText>
    </w:r>
    <w:r w:rsidR="00D95C4C" w:rsidRPr="0076777F">
      <w:rPr>
        <w:rStyle w:val="PageNumber"/>
        <w:rFonts w:ascii="Arial" w:hAnsi="Arial" w:cs="Arial"/>
        <w:sz w:val="20"/>
      </w:rPr>
      <w:fldChar w:fldCharType="separate"/>
    </w:r>
    <w:r w:rsidR="006E75EB" w:rsidRPr="0076777F">
      <w:rPr>
        <w:rStyle w:val="PageNumber"/>
        <w:rFonts w:ascii="Arial" w:hAnsi="Arial" w:cs="Arial"/>
        <w:sz w:val="20"/>
      </w:rPr>
      <w:t>2</w:t>
    </w:r>
    <w:r w:rsidR="00D95C4C" w:rsidRPr="0076777F">
      <w:rPr>
        <w:rStyle w:val="PageNumber"/>
        <w:rFonts w:ascii="Arial"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728BF6C2" w:rsidR="00D95C4C" w:rsidRPr="0076777F" w:rsidRDefault="00C5776D" w:rsidP="00C5776D">
    <w:pPr>
      <w:pStyle w:val="Header"/>
      <w:jc w:val="right"/>
      <w:rPr>
        <w:rFonts w:ascii="Arial" w:hAnsi="Arial" w:cs="Arial"/>
      </w:rPr>
    </w:pPr>
    <w:r w:rsidRPr="0076777F">
      <w:rPr>
        <w:rFonts w:ascii="Arial" w:hAnsi="Arial"/>
        <w:sz w:val="20"/>
      </w:rPr>
      <w:t xml:space="preserve">LHE/26/11.GA/7 – página </w:t>
    </w:r>
    <w:r w:rsidR="004A34A0" w:rsidRPr="0076777F">
      <w:rPr>
        <w:rStyle w:val="PageNumber"/>
        <w:rFonts w:ascii="Arial" w:hAnsi="Arial" w:cs="Arial"/>
        <w:sz w:val="20"/>
      </w:rPr>
      <w:fldChar w:fldCharType="begin"/>
    </w:r>
    <w:r w:rsidR="004A34A0" w:rsidRPr="0076777F">
      <w:rPr>
        <w:rStyle w:val="PageNumber"/>
        <w:rFonts w:ascii="Arial" w:hAnsi="Arial" w:cs="Arial"/>
        <w:sz w:val="20"/>
      </w:rPr>
      <w:instrText xml:space="preserve"> PAGE </w:instrText>
    </w:r>
    <w:r w:rsidR="004A34A0" w:rsidRPr="0076777F">
      <w:rPr>
        <w:rStyle w:val="PageNumber"/>
        <w:rFonts w:ascii="Arial" w:hAnsi="Arial" w:cs="Arial"/>
        <w:sz w:val="20"/>
      </w:rPr>
      <w:fldChar w:fldCharType="separate"/>
    </w:r>
    <w:r w:rsidR="00190205" w:rsidRPr="0076777F">
      <w:rPr>
        <w:rStyle w:val="PageNumber"/>
        <w:rFonts w:ascii="Arial" w:hAnsi="Arial" w:cs="Arial"/>
        <w:sz w:val="20"/>
      </w:rPr>
      <w:t>3</w:t>
    </w:r>
    <w:r w:rsidR="004A34A0" w:rsidRPr="0076777F">
      <w:rPr>
        <w:rStyle w:val="PageNumber"/>
        <w:rFonts w:ascii="Arial" w:hAnsi="Arial" w:cs="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50838DBA" w:rsidR="00D95C4C" w:rsidRPr="00E95AE2" w:rsidRDefault="000875B4">
    <w:pPr>
      <w:pStyle w:val="Header"/>
      <w:rPr>
        <w:sz w:val="22"/>
        <w:szCs w:val="22"/>
      </w:rPr>
    </w:pPr>
    <w:r>
      <w:rPr>
        <w:noProof/>
        <w:lang w:bidi="es-ES"/>
      </w:rPr>
      <w:drawing>
        <wp:anchor distT="0" distB="0" distL="114300" distR="114300" simplePos="0" relativeHeight="251661312" behindDoc="0" locked="0" layoutInCell="1" allowOverlap="1" wp14:anchorId="38876ACA" wp14:editId="7B03A841">
          <wp:simplePos x="0" y="0"/>
          <wp:positionH relativeFrom="margin">
            <wp:posOffset>-558</wp:posOffset>
          </wp:positionH>
          <wp:positionV relativeFrom="paragraph">
            <wp:posOffset>102058</wp:posOffset>
          </wp:positionV>
          <wp:extent cx="1709420" cy="1439545"/>
          <wp:effectExtent l="0" t="0" r="5080" b="8255"/>
          <wp:wrapSquare wrapText="bothSides"/>
          <wp:docPr id="1282087409" name="Imag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420"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57B917" w14:textId="6DA8A611" w:rsidR="00D95C4C" w:rsidRPr="0076777F" w:rsidRDefault="005C792B" w:rsidP="00C5776D">
    <w:pPr>
      <w:pStyle w:val="Header"/>
      <w:spacing w:after="520"/>
      <w:jc w:val="right"/>
      <w:rPr>
        <w:rFonts w:ascii="Arial" w:hAnsi="Arial" w:cs="Arial"/>
        <w:b/>
        <w:sz w:val="44"/>
        <w:szCs w:val="44"/>
        <w:lang w:val="pt-BR"/>
      </w:rPr>
    </w:pPr>
    <w:r w:rsidRPr="0076777F">
      <w:rPr>
        <w:rFonts w:ascii="Arial" w:hAnsi="Arial"/>
        <w:b/>
        <w:sz w:val="44"/>
        <w:lang w:val="pt-BR" w:eastAsia="pt-BR" w:bidi="pt-BR"/>
      </w:rPr>
      <w:t>11 GA</w:t>
    </w:r>
  </w:p>
  <w:p w14:paraId="306484B8" w14:textId="74479D40" w:rsidR="00D95C4C" w:rsidRPr="0076777F" w:rsidRDefault="00C5776D" w:rsidP="00C5776D">
    <w:pPr>
      <w:jc w:val="right"/>
      <w:rPr>
        <w:rFonts w:ascii="Arial" w:hAnsi="Arial" w:cs="Arial"/>
        <w:b/>
        <w:sz w:val="22"/>
        <w:szCs w:val="22"/>
        <w:lang w:val="pt-BR"/>
      </w:rPr>
    </w:pPr>
    <w:r w:rsidRPr="0076777F">
      <w:rPr>
        <w:rFonts w:ascii="Arial" w:hAnsi="Arial"/>
        <w:b/>
        <w:sz w:val="22"/>
        <w:lang w:val="pt-BR" w:eastAsia="pt-BR" w:bidi="pt-BR"/>
      </w:rPr>
      <w:t>LHE/26/11.GA/7</w:t>
    </w:r>
  </w:p>
  <w:p w14:paraId="1B4446C3" w14:textId="71EDF218" w:rsidR="00D95C4C" w:rsidRPr="0076777F" w:rsidRDefault="00D95C4C" w:rsidP="00655736">
    <w:pPr>
      <w:jc w:val="right"/>
      <w:rPr>
        <w:rFonts w:ascii="Arial" w:eastAsiaTheme="minorEastAsia" w:hAnsi="Arial" w:cs="Arial"/>
        <w:b/>
        <w:sz w:val="22"/>
        <w:szCs w:val="22"/>
        <w:lang w:val="pt-BR"/>
      </w:rPr>
    </w:pPr>
    <w:proofErr w:type="spellStart"/>
    <w:r w:rsidRPr="0076777F">
      <w:rPr>
        <w:rFonts w:ascii="Arial" w:hAnsi="Arial"/>
        <w:b/>
        <w:sz w:val="22"/>
        <w:lang w:val="pt-BR" w:eastAsia="pt-BR" w:bidi="pt-BR"/>
      </w:rPr>
      <w:t>París</w:t>
    </w:r>
    <w:proofErr w:type="spellEnd"/>
    <w:r w:rsidRPr="0076777F">
      <w:rPr>
        <w:rFonts w:ascii="Arial" w:hAnsi="Arial"/>
        <w:b/>
        <w:sz w:val="22"/>
        <w:lang w:val="pt-BR" w:eastAsia="pt-BR" w:bidi="pt-BR"/>
      </w:rPr>
      <w:t xml:space="preserve">, 18 de </w:t>
    </w:r>
    <w:proofErr w:type="spellStart"/>
    <w:r w:rsidRPr="0076777F">
      <w:rPr>
        <w:rFonts w:ascii="Arial" w:hAnsi="Arial"/>
        <w:b/>
        <w:sz w:val="22"/>
        <w:lang w:val="pt-BR" w:eastAsia="pt-BR" w:bidi="pt-BR"/>
      </w:rPr>
      <w:t>mayo</w:t>
    </w:r>
    <w:proofErr w:type="spellEnd"/>
    <w:r w:rsidRPr="0076777F">
      <w:rPr>
        <w:rFonts w:ascii="Arial" w:hAnsi="Arial"/>
        <w:b/>
        <w:sz w:val="22"/>
        <w:lang w:val="pt-BR" w:eastAsia="pt-BR" w:bidi="pt-BR"/>
      </w:rPr>
      <w:t xml:space="preserve"> de 2026</w:t>
    </w:r>
  </w:p>
  <w:p w14:paraId="255B57FF" w14:textId="1D72292B" w:rsidR="00D95C4C" w:rsidRPr="0076777F" w:rsidRDefault="00D95C4C" w:rsidP="00962034">
    <w:pPr>
      <w:spacing w:after="120"/>
      <w:jc w:val="right"/>
      <w:rPr>
        <w:rFonts w:ascii="Arial" w:hAnsi="Arial" w:cs="Arial"/>
        <w:b/>
        <w:sz w:val="22"/>
        <w:szCs w:val="22"/>
      </w:rPr>
    </w:pPr>
    <w:r w:rsidRPr="0076777F">
      <w:rPr>
        <w:rFonts w:ascii="Arial" w:hAnsi="Arial"/>
        <w:b/>
        <w:sz w:val="22"/>
      </w:rPr>
      <w:t>Original: inglés</w:t>
    </w:r>
  </w:p>
  <w:p w14:paraId="3C4B8B1B" w14:textId="77777777" w:rsidR="00D95C4C" w:rsidRPr="00671799" w:rsidRDefault="00D95C4C">
    <w:pPr>
      <w:pStyle w:val="Header"/>
      <w:rPr>
        <w:sz w:val="22"/>
        <w:szCs w:val="22"/>
      </w:rPr>
    </w:pPr>
  </w:p>
  <w:p w14:paraId="3C997849" w14:textId="77777777" w:rsidR="007F171D" w:rsidRPr="00671799" w:rsidRDefault="007F171D">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481"/>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1" w15:restartNumberingAfterBreak="0">
    <w:nsid w:val="0C166C6B"/>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F1C047D"/>
    <w:multiLevelType w:val="hybridMultilevel"/>
    <w:tmpl w:val="B34C039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95B111E"/>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4"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15:restartNumberingAfterBreak="0">
    <w:nsid w:val="47C22FB2"/>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16" w15:restartNumberingAfterBreak="0">
    <w:nsid w:val="54C13D09"/>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9431ADA"/>
    <w:multiLevelType w:val="hybridMultilevel"/>
    <w:tmpl w:val="601A2D6C"/>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9" w15:restartNumberingAfterBreak="0">
    <w:nsid w:val="65844D09"/>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2655861"/>
    <w:multiLevelType w:val="hybridMultilevel"/>
    <w:tmpl w:val="A236807A"/>
    <w:lvl w:ilvl="0" w:tplc="5B146A64">
      <w:start w:val="1"/>
      <w:numFmt w:val="lowerRoman"/>
      <w:pStyle w:val="i"/>
      <w:lvlText w:val="(%1)"/>
      <w:lvlJc w:val="left"/>
      <w:pPr>
        <w:ind w:left="1147" w:hanging="360"/>
      </w:pPr>
      <w:rPr>
        <w:rFonts w:cs="Times New Roman" w:hint="default"/>
      </w:rPr>
    </w:lvl>
    <w:lvl w:ilvl="1" w:tplc="040C0019" w:tentative="1">
      <w:start w:val="1"/>
      <w:numFmt w:val="lowerLetter"/>
      <w:lvlText w:val="%2."/>
      <w:lvlJc w:val="left"/>
      <w:pPr>
        <w:ind w:left="1867" w:hanging="360"/>
      </w:pPr>
      <w:rPr>
        <w:rFonts w:cs="Times New Roman"/>
      </w:rPr>
    </w:lvl>
    <w:lvl w:ilvl="2" w:tplc="040C001B" w:tentative="1">
      <w:start w:val="1"/>
      <w:numFmt w:val="lowerRoman"/>
      <w:lvlText w:val="%3."/>
      <w:lvlJc w:val="right"/>
      <w:pPr>
        <w:ind w:left="2587" w:hanging="180"/>
      </w:pPr>
      <w:rPr>
        <w:rFonts w:cs="Times New Roman"/>
      </w:rPr>
    </w:lvl>
    <w:lvl w:ilvl="3" w:tplc="040C000F" w:tentative="1">
      <w:start w:val="1"/>
      <w:numFmt w:val="decimal"/>
      <w:lvlText w:val="%4."/>
      <w:lvlJc w:val="left"/>
      <w:pPr>
        <w:ind w:left="3307" w:hanging="360"/>
      </w:pPr>
      <w:rPr>
        <w:rFonts w:cs="Times New Roman"/>
      </w:rPr>
    </w:lvl>
    <w:lvl w:ilvl="4" w:tplc="040C0019" w:tentative="1">
      <w:start w:val="1"/>
      <w:numFmt w:val="lowerLetter"/>
      <w:lvlText w:val="%5."/>
      <w:lvlJc w:val="left"/>
      <w:pPr>
        <w:ind w:left="4027" w:hanging="360"/>
      </w:pPr>
      <w:rPr>
        <w:rFonts w:cs="Times New Roman"/>
      </w:rPr>
    </w:lvl>
    <w:lvl w:ilvl="5" w:tplc="040C001B" w:tentative="1">
      <w:start w:val="1"/>
      <w:numFmt w:val="lowerRoman"/>
      <w:lvlText w:val="%6."/>
      <w:lvlJc w:val="right"/>
      <w:pPr>
        <w:ind w:left="4747" w:hanging="180"/>
      </w:pPr>
      <w:rPr>
        <w:rFonts w:cs="Times New Roman"/>
      </w:rPr>
    </w:lvl>
    <w:lvl w:ilvl="6" w:tplc="040C000F" w:tentative="1">
      <w:start w:val="1"/>
      <w:numFmt w:val="decimal"/>
      <w:lvlText w:val="%7."/>
      <w:lvlJc w:val="left"/>
      <w:pPr>
        <w:ind w:left="5467" w:hanging="360"/>
      </w:pPr>
      <w:rPr>
        <w:rFonts w:cs="Times New Roman"/>
      </w:rPr>
    </w:lvl>
    <w:lvl w:ilvl="7" w:tplc="040C0019" w:tentative="1">
      <w:start w:val="1"/>
      <w:numFmt w:val="lowerLetter"/>
      <w:lvlText w:val="%8."/>
      <w:lvlJc w:val="left"/>
      <w:pPr>
        <w:ind w:left="6187" w:hanging="360"/>
      </w:pPr>
      <w:rPr>
        <w:rFonts w:cs="Times New Roman"/>
      </w:rPr>
    </w:lvl>
    <w:lvl w:ilvl="8" w:tplc="040C001B" w:tentative="1">
      <w:start w:val="1"/>
      <w:numFmt w:val="lowerRoman"/>
      <w:lvlText w:val="%9."/>
      <w:lvlJc w:val="right"/>
      <w:pPr>
        <w:ind w:left="6907" w:hanging="180"/>
      </w:pPr>
      <w:rPr>
        <w:rFonts w:cs="Times New Roman"/>
      </w:rPr>
    </w:lvl>
  </w:abstractNum>
  <w:abstractNum w:abstractNumId="22"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4" w15:restartNumberingAfterBreak="0">
    <w:nsid w:val="7E26587C"/>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num w:numId="1" w16cid:durableId="822628298">
    <w:abstractNumId w:val="18"/>
  </w:num>
  <w:num w:numId="2" w16cid:durableId="699629408">
    <w:abstractNumId w:val="9"/>
  </w:num>
  <w:num w:numId="3" w16cid:durableId="164177712">
    <w:abstractNumId w:val="4"/>
  </w:num>
  <w:num w:numId="4" w16cid:durableId="1416590798">
    <w:abstractNumId w:val="22"/>
  </w:num>
  <w:num w:numId="5" w16cid:durableId="1762608160">
    <w:abstractNumId w:val="20"/>
  </w:num>
  <w:num w:numId="6" w16cid:durableId="2146270374">
    <w:abstractNumId w:val="2"/>
  </w:num>
  <w:num w:numId="7" w16cid:durableId="1113592211">
    <w:abstractNumId w:val="5"/>
  </w:num>
  <w:num w:numId="8" w16cid:durableId="1920598164">
    <w:abstractNumId w:val="14"/>
  </w:num>
  <w:num w:numId="9" w16cid:durableId="1533764642">
    <w:abstractNumId w:val="8"/>
  </w:num>
  <w:num w:numId="10" w16cid:durableId="1246129">
    <w:abstractNumId w:val="11"/>
  </w:num>
  <w:num w:numId="11" w16cid:durableId="111829808">
    <w:abstractNumId w:val="13"/>
  </w:num>
  <w:num w:numId="12" w16cid:durableId="1088770206">
    <w:abstractNumId w:val="12"/>
  </w:num>
  <w:num w:numId="13" w16cid:durableId="1263951029">
    <w:abstractNumId w:val="23"/>
  </w:num>
  <w:num w:numId="14" w16cid:durableId="395903570">
    <w:abstractNumId w:val="7"/>
  </w:num>
  <w:num w:numId="15" w16cid:durableId="1857570918">
    <w:abstractNumId w:val="8"/>
  </w:num>
  <w:num w:numId="16" w16cid:durableId="248199808">
    <w:abstractNumId w:val="8"/>
  </w:num>
  <w:num w:numId="17" w16cid:durableId="350380342">
    <w:abstractNumId w:val="8"/>
  </w:num>
  <w:num w:numId="18" w16cid:durableId="944581980">
    <w:abstractNumId w:val="8"/>
  </w:num>
  <w:num w:numId="19" w16cid:durableId="772675100">
    <w:abstractNumId w:val="8"/>
  </w:num>
  <w:num w:numId="20" w16cid:durableId="1253010311">
    <w:abstractNumId w:val="8"/>
  </w:num>
  <w:num w:numId="21" w16cid:durableId="540821319">
    <w:abstractNumId w:val="3"/>
  </w:num>
  <w:num w:numId="22" w16cid:durableId="2046514942">
    <w:abstractNumId w:val="8"/>
  </w:num>
  <w:num w:numId="23" w16cid:durableId="1285113166">
    <w:abstractNumId w:val="6"/>
  </w:num>
  <w:num w:numId="24" w16cid:durableId="1720786319">
    <w:abstractNumId w:val="17"/>
  </w:num>
  <w:num w:numId="25" w16cid:durableId="1916472009">
    <w:abstractNumId w:val="19"/>
  </w:num>
  <w:num w:numId="26" w16cid:durableId="864561576">
    <w:abstractNumId w:val="24"/>
  </w:num>
  <w:num w:numId="27" w16cid:durableId="1838305019">
    <w:abstractNumId w:val="15"/>
  </w:num>
  <w:num w:numId="28" w16cid:durableId="1971208763">
    <w:abstractNumId w:val="21"/>
  </w:num>
  <w:num w:numId="29" w16cid:durableId="167334897">
    <w:abstractNumId w:val="0"/>
  </w:num>
  <w:num w:numId="30" w16cid:durableId="604074785">
    <w:abstractNumId w:val="10"/>
  </w:num>
  <w:num w:numId="31" w16cid:durableId="1422723053">
    <w:abstractNumId w:val="16"/>
  </w:num>
  <w:num w:numId="32" w16cid:durableId="1916621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915"/>
    <w:rsid w:val="00025621"/>
    <w:rsid w:val="0003000E"/>
    <w:rsid w:val="000303A1"/>
    <w:rsid w:val="00041A66"/>
    <w:rsid w:val="00042D88"/>
    <w:rsid w:val="0005176E"/>
    <w:rsid w:val="0006712A"/>
    <w:rsid w:val="000765F7"/>
    <w:rsid w:val="0007725F"/>
    <w:rsid w:val="00077AB7"/>
    <w:rsid w:val="00081CD8"/>
    <w:rsid w:val="000875B4"/>
    <w:rsid w:val="00095E16"/>
    <w:rsid w:val="000A7F0E"/>
    <w:rsid w:val="000B1C8F"/>
    <w:rsid w:val="000C0D61"/>
    <w:rsid w:val="000F3A3F"/>
    <w:rsid w:val="00102557"/>
    <w:rsid w:val="001034DD"/>
    <w:rsid w:val="00111C36"/>
    <w:rsid w:val="00132743"/>
    <w:rsid w:val="0013537E"/>
    <w:rsid w:val="00147A38"/>
    <w:rsid w:val="00164D56"/>
    <w:rsid w:val="00167B10"/>
    <w:rsid w:val="0017402F"/>
    <w:rsid w:val="00190205"/>
    <w:rsid w:val="00196C1B"/>
    <w:rsid w:val="001A11BE"/>
    <w:rsid w:val="001B0F73"/>
    <w:rsid w:val="001C1458"/>
    <w:rsid w:val="001C2DB7"/>
    <w:rsid w:val="001D14FE"/>
    <w:rsid w:val="001D3522"/>
    <w:rsid w:val="001D5C04"/>
    <w:rsid w:val="001F26CF"/>
    <w:rsid w:val="00222A2D"/>
    <w:rsid w:val="00223029"/>
    <w:rsid w:val="00234745"/>
    <w:rsid w:val="002351A6"/>
    <w:rsid w:val="002407AF"/>
    <w:rsid w:val="00245501"/>
    <w:rsid w:val="00250399"/>
    <w:rsid w:val="00254B26"/>
    <w:rsid w:val="0026221A"/>
    <w:rsid w:val="0027466B"/>
    <w:rsid w:val="00280CC6"/>
    <w:rsid w:val="002814F6"/>
    <w:rsid w:val="002838A5"/>
    <w:rsid w:val="00285BB4"/>
    <w:rsid w:val="002954D0"/>
    <w:rsid w:val="002C09E3"/>
    <w:rsid w:val="002C6A2C"/>
    <w:rsid w:val="002D1244"/>
    <w:rsid w:val="002E26E7"/>
    <w:rsid w:val="00337CEB"/>
    <w:rsid w:val="00344B58"/>
    <w:rsid w:val="0034539A"/>
    <w:rsid w:val="00345CB4"/>
    <w:rsid w:val="00364EF0"/>
    <w:rsid w:val="00375D42"/>
    <w:rsid w:val="00392764"/>
    <w:rsid w:val="003A08BB"/>
    <w:rsid w:val="003D069C"/>
    <w:rsid w:val="003D7646"/>
    <w:rsid w:val="003E2F1B"/>
    <w:rsid w:val="003F113A"/>
    <w:rsid w:val="003F3E63"/>
    <w:rsid w:val="00407480"/>
    <w:rsid w:val="00414643"/>
    <w:rsid w:val="004313C4"/>
    <w:rsid w:val="004421E5"/>
    <w:rsid w:val="00443A0A"/>
    <w:rsid w:val="00452284"/>
    <w:rsid w:val="00457C8E"/>
    <w:rsid w:val="00480175"/>
    <w:rsid w:val="004856CA"/>
    <w:rsid w:val="00487E67"/>
    <w:rsid w:val="004906B7"/>
    <w:rsid w:val="0049705E"/>
    <w:rsid w:val="004A2875"/>
    <w:rsid w:val="004A34A0"/>
    <w:rsid w:val="004C7C82"/>
    <w:rsid w:val="005008A8"/>
    <w:rsid w:val="00513B08"/>
    <w:rsid w:val="00517FD8"/>
    <w:rsid w:val="0052358B"/>
    <w:rsid w:val="00526B7B"/>
    <w:rsid w:val="005274D2"/>
    <w:rsid w:val="005308CE"/>
    <w:rsid w:val="0053318C"/>
    <w:rsid w:val="0054535F"/>
    <w:rsid w:val="00570030"/>
    <w:rsid w:val="0057439C"/>
    <w:rsid w:val="00592F21"/>
    <w:rsid w:val="005960FA"/>
    <w:rsid w:val="005A0E99"/>
    <w:rsid w:val="005B0127"/>
    <w:rsid w:val="005B7A35"/>
    <w:rsid w:val="005C4B73"/>
    <w:rsid w:val="005C792B"/>
    <w:rsid w:val="005E1D2B"/>
    <w:rsid w:val="005E7074"/>
    <w:rsid w:val="005F2BAF"/>
    <w:rsid w:val="00600D93"/>
    <w:rsid w:val="00626BEA"/>
    <w:rsid w:val="0063300C"/>
    <w:rsid w:val="00651A5B"/>
    <w:rsid w:val="006522FB"/>
    <w:rsid w:val="00655736"/>
    <w:rsid w:val="00663B8D"/>
    <w:rsid w:val="00671799"/>
    <w:rsid w:val="00696C8D"/>
    <w:rsid w:val="006A2AC2"/>
    <w:rsid w:val="006A3617"/>
    <w:rsid w:val="006B4452"/>
    <w:rsid w:val="006B6B91"/>
    <w:rsid w:val="006E46E4"/>
    <w:rsid w:val="006E75EB"/>
    <w:rsid w:val="00717DA5"/>
    <w:rsid w:val="007333D0"/>
    <w:rsid w:val="00744484"/>
    <w:rsid w:val="00747566"/>
    <w:rsid w:val="0075100D"/>
    <w:rsid w:val="007569DC"/>
    <w:rsid w:val="0076566F"/>
    <w:rsid w:val="0076777F"/>
    <w:rsid w:val="00773188"/>
    <w:rsid w:val="007824FE"/>
    <w:rsid w:val="00783782"/>
    <w:rsid w:val="00784B8C"/>
    <w:rsid w:val="007879E1"/>
    <w:rsid w:val="007B64DD"/>
    <w:rsid w:val="007E57AA"/>
    <w:rsid w:val="007F171D"/>
    <w:rsid w:val="00823A11"/>
    <w:rsid w:val="0085405E"/>
    <w:rsid w:val="0085414A"/>
    <w:rsid w:val="00857EB9"/>
    <w:rsid w:val="0086269D"/>
    <w:rsid w:val="0086543A"/>
    <w:rsid w:val="008724E5"/>
    <w:rsid w:val="008765C9"/>
    <w:rsid w:val="00884A9D"/>
    <w:rsid w:val="0088512B"/>
    <w:rsid w:val="008A2B2D"/>
    <w:rsid w:val="008A4E1E"/>
    <w:rsid w:val="008A6458"/>
    <w:rsid w:val="008C296C"/>
    <w:rsid w:val="008D4305"/>
    <w:rsid w:val="008E1A85"/>
    <w:rsid w:val="008E344F"/>
    <w:rsid w:val="009138CC"/>
    <w:rsid w:val="009163A7"/>
    <w:rsid w:val="0092128D"/>
    <w:rsid w:val="00923AC2"/>
    <w:rsid w:val="00937D53"/>
    <w:rsid w:val="00940BFD"/>
    <w:rsid w:val="00946D0B"/>
    <w:rsid w:val="00955877"/>
    <w:rsid w:val="00955A7E"/>
    <w:rsid w:val="00960CDF"/>
    <w:rsid w:val="00962034"/>
    <w:rsid w:val="00994FA4"/>
    <w:rsid w:val="009A18CD"/>
    <w:rsid w:val="009B0CB1"/>
    <w:rsid w:val="009D5428"/>
    <w:rsid w:val="009E3B50"/>
    <w:rsid w:val="00A12558"/>
    <w:rsid w:val="00A13903"/>
    <w:rsid w:val="00A34ED5"/>
    <w:rsid w:val="00A45DBF"/>
    <w:rsid w:val="00A725CF"/>
    <w:rsid w:val="00A755A2"/>
    <w:rsid w:val="00A91430"/>
    <w:rsid w:val="00AA2727"/>
    <w:rsid w:val="00AA590D"/>
    <w:rsid w:val="00AA6660"/>
    <w:rsid w:val="00AB2C36"/>
    <w:rsid w:val="00AB6DDE"/>
    <w:rsid w:val="00AB70B6"/>
    <w:rsid w:val="00AC18C1"/>
    <w:rsid w:val="00AC2190"/>
    <w:rsid w:val="00AC341A"/>
    <w:rsid w:val="00AD1A86"/>
    <w:rsid w:val="00AD2B34"/>
    <w:rsid w:val="00AD5C46"/>
    <w:rsid w:val="00AE103E"/>
    <w:rsid w:val="00AE4FDC"/>
    <w:rsid w:val="00AF0A07"/>
    <w:rsid w:val="00AF40D6"/>
    <w:rsid w:val="00AF4AEC"/>
    <w:rsid w:val="00AF625E"/>
    <w:rsid w:val="00B036CF"/>
    <w:rsid w:val="00B139BE"/>
    <w:rsid w:val="00B16714"/>
    <w:rsid w:val="00B17214"/>
    <w:rsid w:val="00B2172B"/>
    <w:rsid w:val="00B34428"/>
    <w:rsid w:val="00B677BB"/>
    <w:rsid w:val="00B85074"/>
    <w:rsid w:val="00B917D2"/>
    <w:rsid w:val="00B95031"/>
    <w:rsid w:val="00B97EB3"/>
    <w:rsid w:val="00BA241A"/>
    <w:rsid w:val="00BA32E9"/>
    <w:rsid w:val="00BB04AF"/>
    <w:rsid w:val="00BB6EEC"/>
    <w:rsid w:val="00BD52C9"/>
    <w:rsid w:val="00BE6354"/>
    <w:rsid w:val="00BF3903"/>
    <w:rsid w:val="00C138D1"/>
    <w:rsid w:val="00C206AA"/>
    <w:rsid w:val="00C23A97"/>
    <w:rsid w:val="00C52EBE"/>
    <w:rsid w:val="00C5345A"/>
    <w:rsid w:val="00C5776D"/>
    <w:rsid w:val="00C6427B"/>
    <w:rsid w:val="00C64855"/>
    <w:rsid w:val="00C70EA7"/>
    <w:rsid w:val="00C7433F"/>
    <w:rsid w:val="00C7516E"/>
    <w:rsid w:val="00C75770"/>
    <w:rsid w:val="00C91ECB"/>
    <w:rsid w:val="00C9258E"/>
    <w:rsid w:val="00CA56BB"/>
    <w:rsid w:val="00CB0542"/>
    <w:rsid w:val="00CC6123"/>
    <w:rsid w:val="00CC7E5D"/>
    <w:rsid w:val="00CE2198"/>
    <w:rsid w:val="00CF6C60"/>
    <w:rsid w:val="00D00B2B"/>
    <w:rsid w:val="00D05AD9"/>
    <w:rsid w:val="00D05E78"/>
    <w:rsid w:val="00D24877"/>
    <w:rsid w:val="00D512F3"/>
    <w:rsid w:val="00D570C3"/>
    <w:rsid w:val="00D63318"/>
    <w:rsid w:val="00D64D9C"/>
    <w:rsid w:val="00D7105A"/>
    <w:rsid w:val="00D8250F"/>
    <w:rsid w:val="00D86BB3"/>
    <w:rsid w:val="00D95C4C"/>
    <w:rsid w:val="00DA1BD7"/>
    <w:rsid w:val="00DA36ED"/>
    <w:rsid w:val="00DC49CB"/>
    <w:rsid w:val="00DE34F1"/>
    <w:rsid w:val="00DE6160"/>
    <w:rsid w:val="00DF4942"/>
    <w:rsid w:val="00E2125F"/>
    <w:rsid w:val="00E244E1"/>
    <w:rsid w:val="00E316F7"/>
    <w:rsid w:val="00E4150C"/>
    <w:rsid w:val="00E627B1"/>
    <w:rsid w:val="00E70169"/>
    <w:rsid w:val="00E8357C"/>
    <w:rsid w:val="00E84D91"/>
    <w:rsid w:val="00E9376C"/>
    <w:rsid w:val="00E95AE2"/>
    <w:rsid w:val="00EA28EE"/>
    <w:rsid w:val="00EA335E"/>
    <w:rsid w:val="00EA528C"/>
    <w:rsid w:val="00EA580C"/>
    <w:rsid w:val="00EB3DBA"/>
    <w:rsid w:val="00EC6F8D"/>
    <w:rsid w:val="00ED39B2"/>
    <w:rsid w:val="00EE49F4"/>
    <w:rsid w:val="00EE53EB"/>
    <w:rsid w:val="00EF34E2"/>
    <w:rsid w:val="00F30DC6"/>
    <w:rsid w:val="00F31F96"/>
    <w:rsid w:val="00F32C23"/>
    <w:rsid w:val="00F53DE9"/>
    <w:rsid w:val="00F54C2E"/>
    <w:rsid w:val="00F576CB"/>
    <w:rsid w:val="00F7035D"/>
    <w:rsid w:val="00F70CC5"/>
    <w:rsid w:val="00F71A02"/>
    <w:rsid w:val="00FA0D63"/>
    <w:rsid w:val="00FC04E9"/>
    <w:rsid w:val="00FC612A"/>
    <w:rsid w:val="00FD1226"/>
    <w:rsid w:val="00FD4BC8"/>
    <w:rsid w:val="00FD7445"/>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s-ES"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s-ES"/>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s-ES"/>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s-ES"/>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FootnoteText">
    <w:name w:val="footnote text"/>
    <w:basedOn w:val="Normal"/>
    <w:link w:val="FootnoteTextChar"/>
    <w:uiPriority w:val="99"/>
    <w:semiHidden/>
    <w:unhideWhenUsed/>
    <w:rsid w:val="004313C4"/>
    <w:rPr>
      <w:sz w:val="20"/>
      <w:szCs w:val="20"/>
    </w:rPr>
  </w:style>
  <w:style w:type="character" w:customStyle="1" w:styleId="FootnoteTextChar">
    <w:name w:val="Footnote Text Char"/>
    <w:basedOn w:val="DefaultParagraphFont"/>
    <w:link w:val="FootnoteText"/>
    <w:uiPriority w:val="99"/>
    <w:semiHidden/>
    <w:rsid w:val="004313C4"/>
    <w:rPr>
      <w:rFonts w:ascii="Times New Roman" w:eastAsia="Times New Roman" w:hAnsi="Times New Roman"/>
    </w:rPr>
  </w:style>
  <w:style w:type="character" w:styleId="FootnoteReference">
    <w:name w:val="footnote reference"/>
    <w:basedOn w:val="DefaultParagraphFont"/>
    <w:uiPriority w:val="99"/>
    <w:semiHidden/>
    <w:unhideWhenUsed/>
    <w:rsid w:val="004313C4"/>
    <w:rPr>
      <w:vertAlign w:val="superscript"/>
    </w:rPr>
  </w:style>
  <w:style w:type="paragraph" w:customStyle="1" w:styleId="GAParaResolution">
    <w:name w:val="GA Para Resolution"/>
    <w:basedOn w:val="Normal"/>
    <w:qFormat/>
    <w:rsid w:val="005C792B"/>
    <w:pPr>
      <w:autoSpaceDE w:val="0"/>
      <w:autoSpaceDN w:val="0"/>
      <w:adjustRightInd w:val="0"/>
      <w:spacing w:after="120"/>
      <w:ind w:left="1287" w:hanging="360"/>
      <w:jc w:val="both"/>
    </w:pPr>
    <w:rPr>
      <w:rFonts w:ascii="Arial" w:eastAsia="SimSun" w:hAnsi="Arial" w:cs="Arial"/>
      <w:sz w:val="22"/>
      <w:szCs w:val="22"/>
      <w:u w:val="single"/>
    </w:rPr>
  </w:style>
  <w:style w:type="paragraph" w:styleId="Revision">
    <w:name w:val="Revision"/>
    <w:hidden/>
    <w:uiPriority w:val="99"/>
    <w:semiHidden/>
    <w:rsid w:val="0003000E"/>
    <w:rPr>
      <w:rFonts w:ascii="Times New Roman" w:eastAsia="Times New Roman" w:hAnsi="Times New Roman"/>
      <w:sz w:val="24"/>
      <w:szCs w:val="24"/>
    </w:rPr>
  </w:style>
  <w:style w:type="character" w:styleId="Hyperlink">
    <w:name w:val="Hyperlink"/>
    <w:aliases w:val=" Car Car3 Char, Car Car3 Char Char Char Char"/>
    <w:basedOn w:val="DefaultParagraphFont"/>
    <w:link w:val="CarCar3"/>
    <w:uiPriority w:val="99"/>
    <w:unhideWhenUsed/>
    <w:rsid w:val="007B64DD"/>
    <w:rPr>
      <w:color w:val="0000FF" w:themeColor="hyperlink"/>
      <w:u w:val="single"/>
    </w:rPr>
  </w:style>
  <w:style w:type="paragraph" w:customStyle="1" w:styleId="CarCar3">
    <w:name w:val="Car Car3"/>
    <w:aliases w:val=" Car Car3 Char Char"/>
    <w:basedOn w:val="Normal"/>
    <w:link w:val="Hyperlink"/>
    <w:uiPriority w:val="99"/>
    <w:rsid w:val="007B64DD"/>
    <w:pPr>
      <w:tabs>
        <w:tab w:val="left" w:pos="510"/>
        <w:tab w:val="right" w:pos="9639"/>
      </w:tabs>
      <w:autoSpaceDE w:val="0"/>
      <w:autoSpaceDN w:val="0"/>
      <w:adjustRightInd w:val="0"/>
      <w:spacing w:after="80" w:line="220" w:lineRule="exact"/>
      <w:ind w:left="1020" w:hanging="510"/>
      <w:jc w:val="both"/>
    </w:pPr>
    <w:rPr>
      <w:rFonts w:ascii="Calibri" w:eastAsia="SimSun" w:hAnsi="Calibri"/>
      <w:color w:val="0000FF" w:themeColor="hyperlink"/>
      <w:sz w:val="20"/>
      <w:szCs w:val="20"/>
      <w:u w:val="single"/>
    </w:rPr>
  </w:style>
  <w:style w:type="paragraph" w:customStyle="1" w:styleId="GAPara">
    <w:name w:val="GA Para"/>
    <w:qFormat/>
    <w:rsid w:val="007B64DD"/>
    <w:pPr>
      <w:spacing w:after="120"/>
      <w:ind w:left="720" w:hanging="360"/>
    </w:pPr>
    <w:rPr>
      <w:rFonts w:ascii="Arial" w:eastAsia="Times New Roman" w:hAnsi="Arial" w:cs="Arial"/>
      <w:snapToGrid w:val="0"/>
      <w:sz w:val="22"/>
      <w:szCs w:val="22"/>
      <w:lang w:val="en-GB" w:eastAsia="en-US"/>
    </w:rPr>
  </w:style>
  <w:style w:type="character" w:styleId="FollowedHyperlink">
    <w:name w:val="FollowedHyperlink"/>
    <w:basedOn w:val="DefaultParagraphFont"/>
    <w:uiPriority w:val="99"/>
    <w:semiHidden/>
    <w:unhideWhenUsed/>
    <w:rsid w:val="00C5345A"/>
    <w:rPr>
      <w:color w:val="800080" w:themeColor="followedHyperlink"/>
      <w:u w:val="single"/>
    </w:rPr>
  </w:style>
  <w:style w:type="character" w:styleId="UnresolvedMention">
    <w:name w:val="Unresolved Mention"/>
    <w:basedOn w:val="DefaultParagraphFont"/>
    <w:uiPriority w:val="99"/>
    <w:semiHidden/>
    <w:unhideWhenUsed/>
    <w:rsid w:val="00B95031"/>
    <w:rPr>
      <w:color w:val="605E5C"/>
      <w:shd w:val="clear" w:color="auto" w:fill="E1DFDD"/>
    </w:rPr>
  </w:style>
  <w:style w:type="paragraph" w:customStyle="1" w:styleId="U1">
    <w:name w:val="U.1"/>
    <w:basedOn w:val="Normal"/>
    <w:qFormat/>
    <w:rsid w:val="00FC612A"/>
    <w:pPr>
      <w:widowControl w:val="0"/>
      <w:tabs>
        <w:tab w:val="left" w:pos="1701"/>
      </w:tabs>
      <w:autoSpaceDE w:val="0"/>
      <w:autoSpaceDN w:val="0"/>
      <w:adjustRightInd w:val="0"/>
      <w:spacing w:after="120"/>
      <w:ind w:left="1701" w:hanging="567"/>
    </w:pPr>
    <w:rPr>
      <w:rFonts w:ascii="Arial" w:eastAsia="SimSun" w:hAnsi="Arial" w:cs="Arial"/>
      <w:sz w:val="22"/>
      <w:szCs w:val="22"/>
      <w:lang w:val="en-US"/>
    </w:rPr>
  </w:style>
  <w:style w:type="paragraph" w:customStyle="1" w:styleId="i">
    <w:name w:val="(i)"/>
    <w:basedOn w:val="Normal"/>
    <w:link w:val="iChar"/>
    <w:autoRedefine/>
    <w:qFormat/>
    <w:rsid w:val="00FC612A"/>
    <w:pPr>
      <w:numPr>
        <w:numId w:val="28"/>
      </w:numPr>
      <w:autoSpaceDE w:val="0"/>
      <w:autoSpaceDN w:val="0"/>
      <w:adjustRightInd w:val="0"/>
      <w:spacing w:before="120" w:after="120"/>
      <w:ind w:right="284"/>
      <w:jc w:val="both"/>
    </w:pPr>
    <w:rPr>
      <w:rFonts w:ascii="Arial" w:eastAsia="SimSun" w:hAnsi="Arial" w:cs="Arial"/>
      <w:w w:val="90"/>
      <w:sz w:val="22"/>
      <w:szCs w:val="22"/>
      <w:lang w:val="en-US"/>
    </w:rPr>
  </w:style>
  <w:style w:type="character" w:customStyle="1" w:styleId="iChar">
    <w:name w:val="(i) Char"/>
    <w:link w:val="i"/>
    <w:locked/>
    <w:rsid w:val="00FC612A"/>
    <w:rPr>
      <w:rFonts w:ascii="Arial" w:hAnsi="Arial" w:cs="Arial"/>
      <w:w w:val="9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20.COM/8" TargetMode="External"/><Relationship Id="rId13" Type="http://schemas.openxmlformats.org/officeDocument/2006/relationships/hyperlink" Target="https://ich.unesco.org/en/decisions/19.COM/15" TargetMode="External"/><Relationship Id="rId18" Type="http://schemas.openxmlformats.org/officeDocument/2006/relationships/hyperlink" Target="https://ich.unesco.org/en/Decisions/14.COM/8" TargetMode="External"/><Relationship Id="rId26" Type="http://schemas.openxmlformats.org/officeDocument/2006/relationships/hyperlink" Target="https://ich.unesco.org/en/decisions/20.COM/6.C"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ch.unesco.org/en/decisions/19.COM/6.C" TargetMode="External"/><Relationship Id="rId34" Type="http://schemas.openxmlformats.org/officeDocument/2006/relationships/hyperlink" Target="https://ich.unesco.org" TargetMode="External"/><Relationship Id="rId7" Type="http://schemas.openxmlformats.org/officeDocument/2006/relationships/endnotes" Target="endnotes.xml"/><Relationship Id="rId12" Type="http://schemas.openxmlformats.org/officeDocument/2006/relationships/hyperlink" Target="https://ich.unesco.org/en/decisions/17.COM/15" TargetMode="External"/><Relationship Id="rId17" Type="http://schemas.openxmlformats.org/officeDocument/2006/relationships/hyperlink" Target="https://ich.unesco.org/en/Decisions/13.COM/8" TargetMode="External"/><Relationship Id="rId25" Type="http://schemas.openxmlformats.org/officeDocument/2006/relationships/hyperlink" Target="https://ich.unesco.org/en/decisions/20.COM/6.C" TargetMode="External"/><Relationship Id="rId33" Type="http://schemas.openxmlformats.org/officeDocument/2006/relationships/hyperlink" Target="https://ich.unesco.org" TargetMode="External"/><Relationship Id="rId38" Type="http://schemas.openxmlformats.org/officeDocument/2006/relationships/hyperlink" Target="https://ich.unesco.org" TargetMode="External"/><Relationship Id="rId2" Type="http://schemas.openxmlformats.org/officeDocument/2006/relationships/numbering" Target="numbering.xml"/><Relationship Id="rId16" Type="http://schemas.openxmlformats.org/officeDocument/2006/relationships/hyperlink" Target="https://ich.unesco.org/doc/src/ITH-18-7.GA-Resolutions-ES.docx?v=1532091840" TargetMode="External"/><Relationship Id="rId20" Type="http://schemas.openxmlformats.org/officeDocument/2006/relationships/hyperlink" Target="https://unesdoc.unesco.org/ark:/48223/pf0000395709"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9.COM/15" TargetMode="External"/><Relationship Id="rId24" Type="http://schemas.openxmlformats.org/officeDocument/2006/relationships/hyperlink" Target="https://ich.unesco.org/en/decisions/20.COM/8" TargetMode="External"/><Relationship Id="rId32" Type="http://schemas.openxmlformats.org/officeDocument/2006/relationships/hyperlink" Target="https://ich.unesco.org/en/decisions/20.COM/6.C" TargetMode="External"/><Relationship Id="rId37" Type="http://schemas.openxmlformats.org/officeDocument/2006/relationships/hyperlink" Target="https://ich.unesco.org"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ch.unesco.org/es/marco-global-de-resultados-00984" TargetMode="External"/><Relationship Id="rId23" Type="http://schemas.openxmlformats.org/officeDocument/2006/relationships/hyperlink" Target="https://ich.unesco.org/es/eventos/01058" TargetMode="External"/><Relationship Id="rId28" Type="http://schemas.openxmlformats.org/officeDocument/2006/relationships/header" Target="header1.xml"/><Relationship Id="rId36" Type="http://schemas.openxmlformats.org/officeDocument/2006/relationships/hyperlink" Target="https://ich.unesco.org" TargetMode="External"/><Relationship Id="rId10" Type="http://schemas.openxmlformats.org/officeDocument/2006/relationships/hyperlink" Target="https://ich.unesco.org/en/decisions/20.COM/8" TargetMode="External"/><Relationship Id="rId19" Type="http://schemas.openxmlformats.org/officeDocument/2006/relationships/hyperlink" Target="https://www.unesco.org/sites/default/files/medias/fichiers/2022/10/6.MONDIACULT_ES_DRAFT%20FINAL%20DECLARATION.pdf" TargetMode="External"/><Relationship Id="rId31" Type="http://schemas.openxmlformats.org/officeDocument/2006/relationships/hyperlink" Target="https://ich.unesco.org/en/decisions/20.COM/8" TargetMode="External"/><Relationship Id="rId4" Type="http://schemas.openxmlformats.org/officeDocument/2006/relationships/settings" Target="settings.xml"/><Relationship Id="rId9" Type="http://schemas.openxmlformats.org/officeDocument/2006/relationships/hyperlink" Target="https://ich.unesco.org/doc/src/LHE-25-20.COM-8_EN.docx?t=1764184365" TargetMode="External"/><Relationship Id="rId14" Type="http://schemas.openxmlformats.org/officeDocument/2006/relationships/hyperlink" Target="https://ich.unesco.org/en/Decisions/12.COM/10" TargetMode="External"/><Relationship Id="rId22" Type="http://schemas.openxmlformats.org/officeDocument/2006/relationships/hyperlink" Target="https://ich.unesco.org/en/decisions/20.COM/6.C" TargetMode="External"/><Relationship Id="rId27" Type="http://schemas.openxmlformats.org/officeDocument/2006/relationships/hyperlink" Target="https://ich.unesco.org/en/decisions/20.COM/8" TargetMode="External"/><Relationship Id="rId30" Type="http://schemas.openxmlformats.org/officeDocument/2006/relationships/header" Target="header3.xml"/><Relationship Id="rId35" Type="http://schemas.openxmlformats.org/officeDocument/2006/relationships/hyperlink" Target="https://ich.unesco.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ch.unesco.org/doc/src/LHE-25-20.COM-6.c_EN.docx?v=176418565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6876</Words>
  <Characters>37821</Characters>
  <Application>Microsoft Office Word</Application>
  <DocSecurity>0</DocSecurity>
  <Lines>315</Lines>
  <Paragraphs>89</Paragraphs>
  <ScaleCrop>false</ScaleCrop>
  <Company/>
  <LinksUpToDate>false</LinksUpToDate>
  <CharactersWithSpaces>44608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2026-05-18T15:34:00Z</dcterms:created>
  <dcterms:modified xsi:type="dcterms:W3CDTF">2026-05-18T17:19:00Z</dcterms:modified>
</cp:coreProperties>
</file>