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562F3A93" w:rsidR="00EC6F8D" w:rsidRPr="00195EB3" w:rsidRDefault="00EC6F8D" w:rsidP="00EC6F8D">
      <w:pPr>
        <w:spacing w:before="1440"/>
        <w:jc w:val="center"/>
        <w:rPr>
          <w:rFonts w:ascii="Arial" w:hAnsi="Arial" w:cs="Arial"/>
          <w:b/>
          <w:sz w:val="22"/>
          <w:szCs w:val="22"/>
          <w:lang w:val="en-GB"/>
        </w:rPr>
      </w:pPr>
      <w:r w:rsidRPr="00195EB3">
        <w:rPr>
          <w:rFonts w:ascii="Arial" w:hAnsi="Arial" w:cs="Arial"/>
          <w:b/>
          <w:sz w:val="22"/>
          <w:szCs w:val="22"/>
          <w:lang w:val="en-GB"/>
        </w:rPr>
        <w:t>CONVENTION FOR THE SAFEGUARDING OF THE</w:t>
      </w:r>
      <w:r w:rsidRPr="00195EB3">
        <w:rPr>
          <w:rFonts w:ascii="Arial" w:hAnsi="Arial" w:cs="Arial"/>
          <w:b/>
          <w:sz w:val="22"/>
          <w:szCs w:val="22"/>
          <w:lang w:val="en-GB"/>
        </w:rPr>
        <w:br/>
        <w:t>INTANGIBLE CULTURAL HERITAGE</w:t>
      </w:r>
    </w:p>
    <w:p w14:paraId="3F72B1D3" w14:textId="37133200" w:rsidR="00EC6F8D" w:rsidRPr="00195EB3" w:rsidRDefault="005C792B" w:rsidP="00EC6F8D">
      <w:pPr>
        <w:spacing w:before="1200"/>
        <w:jc w:val="center"/>
        <w:rPr>
          <w:rFonts w:ascii="Arial" w:hAnsi="Arial" w:cs="Arial"/>
          <w:b/>
          <w:sz w:val="22"/>
          <w:szCs w:val="22"/>
          <w:lang w:val="en-GB"/>
        </w:rPr>
      </w:pPr>
      <w:r w:rsidRPr="00195EB3">
        <w:rPr>
          <w:rFonts w:ascii="Arial" w:hAnsi="Arial" w:cs="Arial"/>
          <w:b/>
          <w:sz w:val="22"/>
          <w:szCs w:val="22"/>
          <w:lang w:val="en-GB"/>
        </w:rPr>
        <w:t>GENERAL ASSEMBLY OF THE STATES PARTIES TO THE CONVENTION</w:t>
      </w:r>
    </w:p>
    <w:p w14:paraId="2E1CD4B4" w14:textId="762C97E8" w:rsidR="00EC6F8D" w:rsidRPr="00195EB3" w:rsidRDefault="0026085B" w:rsidP="001D14FE">
      <w:pPr>
        <w:spacing w:before="840"/>
        <w:jc w:val="center"/>
        <w:rPr>
          <w:rFonts w:ascii="Arial" w:hAnsi="Arial" w:cs="Arial"/>
          <w:b/>
          <w:sz w:val="22"/>
          <w:szCs w:val="22"/>
          <w:lang w:val="en-GB"/>
        </w:rPr>
      </w:pPr>
      <w:r w:rsidRPr="00195EB3">
        <w:rPr>
          <w:rFonts w:ascii="Arial" w:eastAsiaTheme="minorEastAsia" w:hAnsi="Arial" w:cs="Arial"/>
          <w:b/>
          <w:sz w:val="22"/>
          <w:szCs w:val="22"/>
          <w:lang w:val="en-GB" w:eastAsia="ko-KR"/>
        </w:rPr>
        <w:t>Eleventh</w:t>
      </w:r>
      <w:r w:rsidR="00B2172B" w:rsidRPr="00195EB3">
        <w:rPr>
          <w:rFonts w:ascii="Arial" w:eastAsiaTheme="minorEastAsia" w:hAnsi="Arial" w:cs="Arial"/>
          <w:b/>
          <w:sz w:val="22"/>
          <w:szCs w:val="22"/>
          <w:lang w:val="en-GB" w:eastAsia="ko-KR"/>
        </w:rPr>
        <w:t xml:space="preserve"> </w:t>
      </w:r>
      <w:r w:rsidR="00EC6F8D" w:rsidRPr="00195EB3">
        <w:rPr>
          <w:rFonts w:ascii="Arial" w:hAnsi="Arial" w:cs="Arial"/>
          <w:b/>
          <w:sz w:val="22"/>
          <w:szCs w:val="22"/>
          <w:lang w:val="en-GB"/>
        </w:rPr>
        <w:t>session</w:t>
      </w:r>
    </w:p>
    <w:p w14:paraId="1FD89575" w14:textId="05D2C62D" w:rsidR="00B2172B" w:rsidRPr="00195EB3" w:rsidRDefault="005C792B" w:rsidP="00B2172B">
      <w:pPr>
        <w:jc w:val="center"/>
        <w:rPr>
          <w:rFonts w:ascii="Arial" w:hAnsi="Arial" w:cs="Arial"/>
          <w:b/>
          <w:sz w:val="22"/>
          <w:szCs w:val="22"/>
          <w:lang w:val="en-GB"/>
        </w:rPr>
      </w:pPr>
      <w:r w:rsidRPr="00195EB3">
        <w:rPr>
          <w:rFonts w:ascii="Arial" w:hAnsi="Arial" w:cs="Arial"/>
          <w:b/>
          <w:sz w:val="22"/>
          <w:szCs w:val="22"/>
          <w:lang w:val="en-GB"/>
        </w:rPr>
        <w:t>UNESCO Headquarters, Room I</w:t>
      </w:r>
    </w:p>
    <w:p w14:paraId="52EA6D50" w14:textId="46BCF87A" w:rsidR="00B2172B" w:rsidRPr="00195EB3" w:rsidRDefault="00544C93" w:rsidP="00B2172B">
      <w:pPr>
        <w:jc w:val="center"/>
        <w:rPr>
          <w:rFonts w:ascii="Arial" w:hAnsi="Arial" w:cs="Arial"/>
          <w:b/>
          <w:sz w:val="22"/>
          <w:szCs w:val="22"/>
          <w:lang w:val="en-GB"/>
        </w:rPr>
      </w:pPr>
      <w:r w:rsidRPr="00195EB3">
        <w:rPr>
          <w:rFonts w:ascii="Arial" w:hAnsi="Arial" w:cs="Arial"/>
          <w:b/>
          <w:sz w:val="22"/>
          <w:szCs w:val="22"/>
          <w:lang w:val="en-GB"/>
        </w:rPr>
        <w:t>17</w:t>
      </w:r>
      <w:r w:rsidR="0026221A" w:rsidRPr="00195EB3">
        <w:rPr>
          <w:rFonts w:ascii="Arial" w:hAnsi="Arial" w:cs="Arial"/>
          <w:b/>
          <w:sz w:val="22"/>
          <w:szCs w:val="22"/>
          <w:lang w:val="en-GB"/>
        </w:rPr>
        <w:t xml:space="preserve"> to </w:t>
      </w:r>
      <w:r w:rsidRPr="00195EB3">
        <w:rPr>
          <w:rFonts w:ascii="Arial" w:hAnsi="Arial" w:cs="Arial"/>
          <w:b/>
          <w:sz w:val="22"/>
          <w:szCs w:val="22"/>
          <w:lang w:val="en-GB"/>
        </w:rPr>
        <w:t>18</w:t>
      </w:r>
      <w:r w:rsidR="0054535F" w:rsidRPr="00195EB3">
        <w:rPr>
          <w:rFonts w:ascii="Arial" w:hAnsi="Arial" w:cs="Arial"/>
          <w:b/>
          <w:sz w:val="22"/>
          <w:szCs w:val="22"/>
          <w:lang w:val="en-GB"/>
        </w:rPr>
        <w:t xml:space="preserve"> June</w:t>
      </w:r>
      <w:r w:rsidR="00B2172B" w:rsidRPr="00195EB3">
        <w:rPr>
          <w:rFonts w:ascii="Arial" w:hAnsi="Arial" w:cs="Arial"/>
          <w:b/>
          <w:sz w:val="22"/>
          <w:szCs w:val="22"/>
          <w:lang w:val="en-GB"/>
        </w:rPr>
        <w:t xml:space="preserve"> 202</w:t>
      </w:r>
      <w:r w:rsidR="0026085B" w:rsidRPr="00195EB3">
        <w:rPr>
          <w:rFonts w:ascii="Arial" w:hAnsi="Arial" w:cs="Arial"/>
          <w:b/>
          <w:sz w:val="22"/>
          <w:szCs w:val="22"/>
          <w:lang w:val="en-GB"/>
        </w:rPr>
        <w:t>6</w:t>
      </w:r>
    </w:p>
    <w:p w14:paraId="0365203A" w14:textId="495AC932" w:rsidR="00EC6F8D" w:rsidRPr="00195EB3" w:rsidRDefault="00EC6F8D" w:rsidP="00EC6F8D">
      <w:pPr>
        <w:pStyle w:val="Sansinterligne2"/>
        <w:spacing w:before="1200"/>
        <w:jc w:val="center"/>
        <w:rPr>
          <w:rFonts w:ascii="Arial" w:hAnsi="Arial" w:cs="Arial"/>
          <w:b/>
          <w:sz w:val="22"/>
          <w:szCs w:val="22"/>
          <w:lang w:val="en-GB"/>
        </w:rPr>
      </w:pPr>
      <w:r w:rsidRPr="00195EB3">
        <w:rPr>
          <w:rFonts w:ascii="Arial" w:hAnsi="Arial" w:cs="Arial"/>
          <w:b/>
          <w:sz w:val="22"/>
          <w:szCs w:val="22"/>
          <w:u w:val="single"/>
          <w:lang w:val="en-GB"/>
        </w:rPr>
        <w:t xml:space="preserve">Item </w:t>
      </w:r>
      <w:r w:rsidR="00945319" w:rsidRPr="00195EB3">
        <w:rPr>
          <w:rFonts w:ascii="Arial" w:hAnsi="Arial" w:cs="Arial"/>
          <w:b/>
          <w:sz w:val="22"/>
          <w:szCs w:val="22"/>
          <w:u w:val="single"/>
          <w:lang w:val="en-GB"/>
        </w:rPr>
        <w:t>7</w:t>
      </w:r>
      <w:r w:rsidR="00651A5B" w:rsidRPr="00195EB3">
        <w:rPr>
          <w:rFonts w:ascii="Arial" w:hAnsi="Arial" w:cs="Arial"/>
          <w:b/>
          <w:sz w:val="22"/>
          <w:szCs w:val="22"/>
          <w:u w:val="single"/>
          <w:lang w:val="en-GB"/>
        </w:rPr>
        <w:t xml:space="preserve"> </w:t>
      </w:r>
      <w:r w:rsidRPr="00195EB3">
        <w:rPr>
          <w:rFonts w:ascii="Arial" w:hAnsi="Arial" w:cs="Arial"/>
          <w:b/>
          <w:sz w:val="22"/>
          <w:szCs w:val="22"/>
          <w:u w:val="single"/>
          <w:lang w:val="en-GB"/>
        </w:rPr>
        <w:t xml:space="preserve">of the </w:t>
      </w:r>
      <w:r w:rsidR="00937D53" w:rsidRPr="00195EB3">
        <w:rPr>
          <w:rFonts w:ascii="Arial" w:hAnsi="Arial" w:cs="Arial"/>
          <w:b/>
          <w:sz w:val="22"/>
          <w:szCs w:val="22"/>
          <w:u w:val="single"/>
          <w:lang w:val="en-GB"/>
        </w:rPr>
        <w:t>p</w:t>
      </w:r>
      <w:r w:rsidRPr="00195EB3">
        <w:rPr>
          <w:rFonts w:ascii="Arial" w:hAnsi="Arial" w:cs="Arial"/>
          <w:b/>
          <w:sz w:val="22"/>
          <w:szCs w:val="22"/>
          <w:u w:val="single"/>
          <w:lang w:val="en-GB"/>
        </w:rPr>
        <w:t xml:space="preserve">rovisional </w:t>
      </w:r>
      <w:r w:rsidR="00937D53" w:rsidRPr="00195EB3">
        <w:rPr>
          <w:rFonts w:ascii="Arial" w:hAnsi="Arial" w:cs="Arial"/>
          <w:b/>
          <w:sz w:val="22"/>
          <w:szCs w:val="22"/>
          <w:u w:val="single"/>
          <w:lang w:val="en-GB"/>
        </w:rPr>
        <w:t>a</w:t>
      </w:r>
      <w:r w:rsidRPr="00195EB3">
        <w:rPr>
          <w:rFonts w:ascii="Arial" w:hAnsi="Arial" w:cs="Arial"/>
          <w:b/>
          <w:sz w:val="22"/>
          <w:szCs w:val="22"/>
          <w:u w:val="single"/>
          <w:lang w:val="en-GB"/>
        </w:rPr>
        <w:t>genda</w:t>
      </w:r>
      <w:r w:rsidRPr="00195EB3">
        <w:rPr>
          <w:rFonts w:ascii="Arial" w:hAnsi="Arial" w:cs="Arial"/>
          <w:b/>
          <w:sz w:val="22"/>
          <w:szCs w:val="22"/>
          <w:lang w:val="en-GB"/>
        </w:rPr>
        <w:t>:</w:t>
      </w:r>
    </w:p>
    <w:p w14:paraId="59920478" w14:textId="216139CD" w:rsidR="004A2875" w:rsidRPr="00195EB3" w:rsidRDefault="00945319" w:rsidP="004A2875">
      <w:pPr>
        <w:pStyle w:val="Sansinterligne2"/>
        <w:spacing w:after="960"/>
        <w:jc w:val="center"/>
        <w:rPr>
          <w:rFonts w:ascii="Arial" w:hAnsi="Arial" w:cs="Arial"/>
          <w:bCs/>
          <w:sz w:val="22"/>
          <w:szCs w:val="22"/>
          <w:lang w:val="en-US"/>
        </w:rPr>
      </w:pPr>
      <w:r w:rsidRPr="00195EB3">
        <w:rPr>
          <w:rFonts w:ascii="Arial" w:hAnsi="Arial" w:cs="Arial"/>
          <w:b/>
          <w:bCs/>
          <w:sz w:val="22"/>
          <w:szCs w:val="22"/>
          <w:lang w:val="en-US"/>
        </w:rPr>
        <w:t>Proposed revisions to the Operational Directives for the implementation of the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195EB3" w14:paraId="75AC6221" w14:textId="77777777" w:rsidTr="00EC6F8D">
        <w:trPr>
          <w:jc w:val="center"/>
        </w:trPr>
        <w:tc>
          <w:tcPr>
            <w:tcW w:w="5670" w:type="dxa"/>
            <w:vAlign w:val="center"/>
          </w:tcPr>
          <w:p w14:paraId="51C260A9" w14:textId="77777777" w:rsidR="00EC6F8D" w:rsidRPr="00195EB3" w:rsidRDefault="00EC6F8D" w:rsidP="00CA56BB">
            <w:pPr>
              <w:pStyle w:val="Sansinterligne1"/>
              <w:spacing w:before="200" w:after="200"/>
              <w:jc w:val="center"/>
              <w:rPr>
                <w:rFonts w:ascii="Arial" w:hAnsi="Arial" w:cs="Arial"/>
                <w:b/>
                <w:sz w:val="22"/>
                <w:szCs w:val="22"/>
                <w:lang w:val="en-GB"/>
              </w:rPr>
            </w:pPr>
            <w:r w:rsidRPr="00195EB3">
              <w:rPr>
                <w:rFonts w:ascii="Arial" w:hAnsi="Arial" w:cs="Arial"/>
                <w:b/>
                <w:sz w:val="22"/>
                <w:szCs w:val="22"/>
                <w:lang w:val="en-GB"/>
              </w:rPr>
              <w:t>Summary</w:t>
            </w:r>
          </w:p>
          <w:p w14:paraId="612E5DE6" w14:textId="146245B1" w:rsidR="00BB6EEC" w:rsidRPr="00195EB3" w:rsidRDefault="00FA5F89" w:rsidP="00BB6EEC">
            <w:pPr>
              <w:pStyle w:val="Sansinterligne1"/>
              <w:jc w:val="both"/>
              <w:rPr>
                <w:rFonts w:ascii="Arial" w:hAnsi="Arial" w:cs="Arial"/>
                <w:bCs/>
                <w:sz w:val="22"/>
                <w:szCs w:val="22"/>
                <w:lang w:val="en-GB"/>
              </w:rPr>
            </w:pPr>
            <w:r w:rsidRPr="00195EB3">
              <w:rPr>
                <w:rFonts w:ascii="Arial" w:hAnsi="Arial" w:cs="Arial"/>
                <w:bCs/>
                <w:sz w:val="22"/>
                <w:szCs w:val="22"/>
                <w:lang w:val="en-GB"/>
              </w:rPr>
              <w:t xml:space="preserve">The present session of the General Assembly is requested to approve the proposed revisions to the Operational Directives in order to </w:t>
            </w:r>
            <w:r w:rsidR="0047198C" w:rsidRPr="00195EB3">
              <w:rPr>
                <w:rFonts w:ascii="Arial" w:hAnsi="Arial" w:cs="Arial"/>
                <w:bCs/>
                <w:sz w:val="22"/>
                <w:szCs w:val="22"/>
                <w:lang w:val="en-GB"/>
              </w:rPr>
              <w:t>allocate an extended timeline for the treatment of nomination files, as well as to support the move towards a single global submission system of periodic reports.</w:t>
            </w:r>
          </w:p>
          <w:p w14:paraId="290310E8" w14:textId="48FB9EA8" w:rsidR="00EC6F8D" w:rsidRPr="00195EB3" w:rsidRDefault="00EC6F8D" w:rsidP="00CA56BB">
            <w:pPr>
              <w:pStyle w:val="Sansinterligne2"/>
              <w:spacing w:before="200" w:after="200"/>
              <w:jc w:val="both"/>
              <w:rPr>
                <w:rFonts w:ascii="Arial" w:hAnsi="Arial" w:cs="Arial"/>
                <w:b/>
                <w:sz w:val="22"/>
                <w:szCs w:val="22"/>
                <w:lang w:val="en-GB"/>
              </w:rPr>
            </w:pPr>
            <w:r w:rsidRPr="00195EB3">
              <w:rPr>
                <w:rFonts w:ascii="Arial" w:hAnsi="Arial" w:cs="Arial"/>
                <w:b/>
                <w:sz w:val="22"/>
                <w:szCs w:val="22"/>
                <w:lang w:val="en-GB"/>
              </w:rPr>
              <w:t xml:space="preserve">Decision required: </w:t>
            </w:r>
            <w:r w:rsidRPr="00195EB3">
              <w:rPr>
                <w:rFonts w:ascii="Arial" w:hAnsi="Arial" w:cs="Arial"/>
                <w:bCs/>
                <w:sz w:val="22"/>
                <w:szCs w:val="22"/>
                <w:lang w:val="en-GB"/>
              </w:rPr>
              <w:t xml:space="preserve">paragraph </w:t>
            </w:r>
            <w:r w:rsidR="0005039A" w:rsidRPr="00195EB3">
              <w:rPr>
                <w:rFonts w:ascii="Arial" w:hAnsi="Arial" w:cs="Arial"/>
                <w:bCs/>
                <w:sz w:val="22"/>
                <w:szCs w:val="22"/>
                <w:lang w:val="en-GB"/>
              </w:rPr>
              <w:t>2</w:t>
            </w:r>
            <w:r w:rsidR="00DB6758" w:rsidRPr="00195EB3">
              <w:rPr>
                <w:rFonts w:ascii="Arial" w:hAnsi="Arial" w:cs="Arial"/>
                <w:bCs/>
                <w:sz w:val="22"/>
                <w:szCs w:val="22"/>
                <w:lang w:val="en-GB"/>
              </w:rPr>
              <w:t>4</w:t>
            </w:r>
          </w:p>
        </w:tc>
      </w:tr>
    </w:tbl>
    <w:p w14:paraId="713D819F" w14:textId="77777777" w:rsidR="004A2875" w:rsidRPr="00195EB3"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195EB3">
        <w:rPr>
          <w:rFonts w:ascii="Arial" w:hAnsi="Arial" w:cs="Arial"/>
          <w:lang w:val="en-GB"/>
        </w:rPr>
        <w:br w:type="page"/>
      </w:r>
    </w:p>
    <w:p w14:paraId="6C62585F" w14:textId="4823E187" w:rsidR="00F70CC5" w:rsidRPr="00195EB3" w:rsidRDefault="00D9719F" w:rsidP="00F70CC5">
      <w:pPr>
        <w:pStyle w:val="COMPara"/>
        <w:numPr>
          <w:ilvl w:val="0"/>
          <w:numId w:val="0"/>
        </w:numPr>
        <w:spacing w:before="240"/>
        <w:jc w:val="both"/>
        <w:rPr>
          <w:b/>
          <w:bCs/>
        </w:rPr>
      </w:pPr>
      <w:bookmarkStart w:id="0" w:name="_Hlk124351255"/>
      <w:r w:rsidRPr="00195EB3">
        <w:rPr>
          <w:b/>
          <w:bCs/>
        </w:rPr>
        <w:lastRenderedPageBreak/>
        <w:t>Introduction</w:t>
      </w:r>
    </w:p>
    <w:bookmarkEnd w:id="0"/>
    <w:p w14:paraId="68870AAB" w14:textId="3A2C11FF" w:rsidR="001E7D4C" w:rsidRPr="00195EB3" w:rsidRDefault="00D9719F" w:rsidP="001E1751">
      <w:pPr>
        <w:pStyle w:val="COMPara"/>
        <w:ind w:left="567" w:hanging="567"/>
        <w:jc w:val="both"/>
      </w:pPr>
      <w:r w:rsidRPr="00195EB3">
        <w:t xml:space="preserve">The present session of the General Assembly is </w:t>
      </w:r>
      <w:r w:rsidR="0005039A" w:rsidRPr="00195EB3">
        <w:t xml:space="preserve">invited </w:t>
      </w:r>
      <w:r w:rsidRPr="00195EB3">
        <w:t>to approve the revisions to the Operational Directives</w:t>
      </w:r>
      <w:r w:rsidR="001A46F8" w:rsidRPr="00195EB3">
        <w:t xml:space="preserve"> for the implementation of the 2003 Convention</w:t>
      </w:r>
      <w:r w:rsidR="00A90E5C" w:rsidRPr="00195EB3">
        <w:t xml:space="preserve"> recommended for approval by the Intergovernmental Committee at its twentieth session</w:t>
      </w:r>
      <w:r w:rsidR="00A44888" w:rsidRPr="00195EB3">
        <w:rPr>
          <w:lang w:val="en-US"/>
        </w:rPr>
        <w:t>, with a view to further strengthening</w:t>
      </w:r>
      <w:r w:rsidR="00027464" w:rsidRPr="00195EB3">
        <w:rPr>
          <w:lang w:val="en-US"/>
        </w:rPr>
        <w:t xml:space="preserve"> </w:t>
      </w:r>
      <w:r w:rsidR="0061208E" w:rsidRPr="00195EB3">
        <w:rPr>
          <w:lang w:val="en-US"/>
        </w:rPr>
        <w:t xml:space="preserve">the </w:t>
      </w:r>
      <w:r w:rsidR="0061208E" w:rsidRPr="00195EB3">
        <w:t xml:space="preserve">procedures associated with </w:t>
      </w:r>
      <w:r w:rsidR="00A90E5C" w:rsidRPr="00195EB3">
        <w:t xml:space="preserve">the </w:t>
      </w:r>
      <w:r w:rsidR="00A44888" w:rsidRPr="00195EB3">
        <w:rPr>
          <w:lang w:val="en-US"/>
        </w:rPr>
        <w:t>t</w:t>
      </w:r>
      <w:r w:rsidR="001E7D4C" w:rsidRPr="00195EB3">
        <w:rPr>
          <w:lang w:val="en-US"/>
        </w:rPr>
        <w:t>wo following international cooperation mechanisms of the Convention</w:t>
      </w:r>
      <w:r w:rsidR="00B24FC3" w:rsidRPr="00195EB3">
        <w:rPr>
          <w:lang w:val="en-US"/>
        </w:rPr>
        <w:t xml:space="preserve">, notably </w:t>
      </w:r>
      <w:r w:rsidR="001E7D4C" w:rsidRPr="00195EB3">
        <w:t xml:space="preserve">the treatment of </w:t>
      </w:r>
      <w:r w:rsidR="00027464" w:rsidRPr="00195EB3">
        <w:t xml:space="preserve">nomination </w:t>
      </w:r>
      <w:r w:rsidR="001E7D4C" w:rsidRPr="00195EB3">
        <w:t>files for the listing mechanisms of the Convention</w:t>
      </w:r>
      <w:r w:rsidR="00B24FC3" w:rsidRPr="00195EB3">
        <w:t xml:space="preserve">, </w:t>
      </w:r>
      <w:r w:rsidR="00CB3AF8" w:rsidRPr="00195EB3">
        <w:t>as well as</w:t>
      </w:r>
      <w:r w:rsidR="001E7D4C" w:rsidRPr="00195EB3">
        <w:t xml:space="preserve"> </w:t>
      </w:r>
      <w:r w:rsidR="00B24FC3" w:rsidRPr="00195EB3">
        <w:t xml:space="preserve">the </w:t>
      </w:r>
      <w:r w:rsidR="0061208E" w:rsidRPr="00195EB3">
        <w:t>move</w:t>
      </w:r>
      <w:r w:rsidR="001E7D4C" w:rsidRPr="00195EB3">
        <w:t xml:space="preserve"> towards a single global submission system of periodic reporting.</w:t>
      </w:r>
    </w:p>
    <w:p w14:paraId="5A07F7A4" w14:textId="2ECA78C3" w:rsidR="001E7D4C" w:rsidRPr="00195EB3" w:rsidRDefault="001E7D4C" w:rsidP="00372A64">
      <w:pPr>
        <w:pStyle w:val="COMPara"/>
        <w:numPr>
          <w:ilvl w:val="0"/>
          <w:numId w:val="41"/>
        </w:numPr>
        <w:spacing w:before="240"/>
        <w:ind w:left="567" w:hanging="567"/>
        <w:jc w:val="both"/>
        <w:rPr>
          <w:b/>
          <w:bCs/>
          <w:color w:val="000000" w:themeColor="text1"/>
        </w:rPr>
      </w:pPr>
      <w:r w:rsidRPr="00195EB3">
        <w:rPr>
          <w:b/>
          <w:bCs/>
          <w:color w:val="000000" w:themeColor="text1"/>
        </w:rPr>
        <w:t xml:space="preserve">Treatment of </w:t>
      </w:r>
      <w:r w:rsidR="00027464" w:rsidRPr="00195EB3">
        <w:rPr>
          <w:b/>
          <w:bCs/>
          <w:color w:val="000000" w:themeColor="text1"/>
        </w:rPr>
        <w:t xml:space="preserve">nomination </w:t>
      </w:r>
      <w:r w:rsidRPr="00195EB3">
        <w:rPr>
          <w:b/>
          <w:bCs/>
          <w:color w:val="000000" w:themeColor="text1"/>
        </w:rPr>
        <w:t>files</w:t>
      </w:r>
      <w:r w:rsidR="00FE2EE9" w:rsidRPr="00195EB3">
        <w:rPr>
          <w:b/>
          <w:bCs/>
          <w:color w:val="000000" w:themeColor="text1"/>
        </w:rPr>
        <w:t xml:space="preserve"> for the listing mechanisms of the Convention</w:t>
      </w:r>
    </w:p>
    <w:p w14:paraId="7D455BB9" w14:textId="7DF309E1" w:rsidR="00372A64" w:rsidRPr="00195EB3" w:rsidRDefault="00372A64" w:rsidP="00372A64">
      <w:pPr>
        <w:pStyle w:val="COMPara"/>
        <w:ind w:left="567" w:hanging="567"/>
        <w:jc w:val="both"/>
      </w:pPr>
      <w:r w:rsidRPr="00195EB3">
        <w:t>Sub-chapter I.15 of the Operational Directives contains the provisions related to the procedures associated with the treatment of files for the listing mechanisms of the Convention, which is divided in three phases: Preparation and submission (paragraph 54), Evaluation (paragraph 55) and Examination (paragraph 56). Paragraph 54 of the Operational Directives foresees that, following the submission of nominations, proposals and requests by the 31 March statutory deadline, the Secretariat will process ‘the files, including registration and acknowledgement of receipt. If a file is</w:t>
      </w:r>
      <w:r w:rsidR="00B25DE6" w:rsidRPr="00195EB3">
        <w:t xml:space="preserve"> found</w:t>
      </w:r>
      <w:r w:rsidRPr="00195EB3">
        <w:t xml:space="preserve"> incomplete, the State Party is invited to complete </w:t>
      </w:r>
      <w:r w:rsidR="00B25DE6" w:rsidRPr="00195EB3">
        <w:t>the file</w:t>
      </w:r>
      <w:r w:rsidRPr="00195EB3">
        <w:t>’. The State Party is then given three months to submit to the Secretariat ‘missing information required to complete the files, if any’. This part of the process is considered as the ‘technical completeness check’ phase.</w:t>
      </w:r>
    </w:p>
    <w:p w14:paraId="0CAE1729" w14:textId="1CC05A79" w:rsidR="000F1B71" w:rsidRPr="00195EB3" w:rsidRDefault="001835D0" w:rsidP="000F15E5">
      <w:pPr>
        <w:pStyle w:val="COMPara"/>
        <w:ind w:left="567" w:hanging="567"/>
        <w:jc w:val="both"/>
      </w:pPr>
      <w:r w:rsidRPr="00195EB3">
        <w:rPr>
          <w:lang w:val="en-US"/>
        </w:rPr>
        <w:t xml:space="preserve">Following the </w:t>
      </w:r>
      <w:r w:rsidR="000778CD" w:rsidRPr="00195EB3">
        <w:rPr>
          <w:lang w:val="en-US"/>
        </w:rPr>
        <w:t>g</w:t>
      </w:r>
      <w:r w:rsidRPr="00195EB3">
        <w:rPr>
          <w:lang w:val="en-US"/>
        </w:rPr>
        <w:t xml:space="preserve">lobal </w:t>
      </w:r>
      <w:r w:rsidR="000778CD" w:rsidRPr="00195EB3">
        <w:rPr>
          <w:lang w:val="en-US"/>
        </w:rPr>
        <w:t>r</w:t>
      </w:r>
      <w:r w:rsidRPr="00195EB3">
        <w:rPr>
          <w:lang w:val="en-US"/>
        </w:rPr>
        <w:t>eflection on the listing mechanisms of the Convention (2018–2022), several procedures and forms for the submission of nominations were simplified</w:t>
      </w:r>
      <w:r w:rsidR="00CF32BA" w:rsidRPr="00195EB3">
        <w:rPr>
          <w:lang w:val="en-US"/>
        </w:rPr>
        <w:t>. Similarly,</w:t>
      </w:r>
      <w:r w:rsidRPr="00195EB3">
        <w:rPr>
          <w:lang w:val="en-US"/>
        </w:rPr>
        <w:t xml:space="preserve"> the related technical requirements were adjusted accordingly to reflect both these streamlined procedures and the diversity of materials to be considered, including the introduction of optional materials and audiovisual files submitted by States and communities</w:t>
      </w:r>
      <w:r w:rsidR="0022052F" w:rsidRPr="00195EB3">
        <w:t>.</w:t>
      </w:r>
      <w:r w:rsidR="00376B34" w:rsidRPr="00195EB3">
        <w:t xml:space="preserve"> </w:t>
      </w:r>
      <w:r w:rsidR="00235203" w:rsidRPr="00195EB3">
        <w:t>While t</w:t>
      </w:r>
      <w:r w:rsidR="00CF3A7D" w:rsidRPr="00195EB3">
        <w:t xml:space="preserve">he technical completeness check </w:t>
      </w:r>
      <w:r w:rsidRPr="00195EB3">
        <w:rPr>
          <w:lang w:val="en-US"/>
        </w:rPr>
        <w:t xml:space="preserve">has </w:t>
      </w:r>
      <w:r w:rsidR="00376B34" w:rsidRPr="00195EB3">
        <w:rPr>
          <w:lang w:val="en-US"/>
        </w:rPr>
        <w:t xml:space="preserve">increasingly </w:t>
      </w:r>
      <w:r w:rsidRPr="00195EB3">
        <w:rPr>
          <w:lang w:val="en-US"/>
        </w:rPr>
        <w:t xml:space="preserve">ensured over the years that nomination files comply with the </w:t>
      </w:r>
      <w:r w:rsidR="00CB3AF8" w:rsidRPr="00195EB3">
        <w:rPr>
          <w:lang w:val="en-US"/>
        </w:rPr>
        <w:t>necessary</w:t>
      </w:r>
      <w:r w:rsidRPr="00195EB3">
        <w:rPr>
          <w:lang w:val="en-US"/>
        </w:rPr>
        <w:t xml:space="preserve"> technical requirements</w:t>
      </w:r>
      <w:r w:rsidR="00235203" w:rsidRPr="00195EB3">
        <w:rPr>
          <w:lang w:val="en-US"/>
        </w:rPr>
        <w:t>,</w:t>
      </w:r>
      <w:r w:rsidRPr="00195EB3">
        <w:rPr>
          <w:lang w:val="en-US"/>
        </w:rPr>
        <w:t xml:space="preserve"> </w:t>
      </w:r>
      <w:r w:rsidR="00235203" w:rsidRPr="00195EB3">
        <w:rPr>
          <w:lang w:val="en-US"/>
        </w:rPr>
        <w:t>i</w:t>
      </w:r>
      <w:r w:rsidRPr="00195EB3">
        <w:rPr>
          <w:lang w:val="en-US"/>
        </w:rPr>
        <w:t>t has also provided States with an opportunity to improve the quality of their nominations</w:t>
      </w:r>
      <w:r w:rsidR="00235203" w:rsidRPr="00195EB3">
        <w:rPr>
          <w:lang w:val="en-US"/>
        </w:rPr>
        <w:t>. The process has</w:t>
      </w:r>
      <w:r w:rsidRPr="00195EB3">
        <w:rPr>
          <w:lang w:val="en-US"/>
        </w:rPr>
        <w:t xml:space="preserve"> thereby facilitat</w:t>
      </w:r>
      <w:r w:rsidR="00235203" w:rsidRPr="00195EB3">
        <w:rPr>
          <w:lang w:val="en-US"/>
        </w:rPr>
        <w:t>ed</w:t>
      </w:r>
      <w:r w:rsidRPr="00195EB3">
        <w:rPr>
          <w:lang w:val="en-US"/>
        </w:rPr>
        <w:t xml:space="preserve"> their assessment by the Evaluation Body and their examination by the Committee, while ensuring the appropriate visibility and presentation of the elements to the public</w:t>
      </w:r>
      <w:r w:rsidR="00CF3A7D" w:rsidRPr="00195EB3">
        <w:t>.</w:t>
      </w:r>
    </w:p>
    <w:p w14:paraId="326482FA" w14:textId="2C81B8F3" w:rsidR="009F2DF1" w:rsidRPr="00195EB3" w:rsidRDefault="00235203" w:rsidP="00026265">
      <w:pPr>
        <w:pStyle w:val="COMPara"/>
        <w:ind w:left="567" w:hanging="567"/>
        <w:jc w:val="both"/>
      </w:pPr>
      <w:r w:rsidRPr="00195EB3">
        <w:rPr>
          <w:lang w:val="en-US"/>
        </w:rPr>
        <w:t>Due to</w:t>
      </w:r>
      <w:r w:rsidR="00B00BCE" w:rsidRPr="00195EB3">
        <w:rPr>
          <w:lang w:val="en-US"/>
        </w:rPr>
        <w:t xml:space="preserve"> the observed high volume of nominations submitted </w:t>
      </w:r>
      <w:r w:rsidRPr="00195EB3">
        <w:rPr>
          <w:lang w:val="en-US"/>
        </w:rPr>
        <w:t>in the framework of</w:t>
      </w:r>
      <w:r w:rsidR="00B00BCE" w:rsidRPr="00195EB3">
        <w:rPr>
          <w:lang w:val="en-US"/>
        </w:rPr>
        <w:t xml:space="preserve"> the 2024 and 2025 </w:t>
      </w:r>
      <w:r w:rsidRPr="00195EB3">
        <w:rPr>
          <w:lang w:val="en-US"/>
        </w:rPr>
        <w:t xml:space="preserve">nomination </w:t>
      </w:r>
      <w:r w:rsidR="00B00BCE" w:rsidRPr="00195EB3">
        <w:rPr>
          <w:lang w:val="en-US"/>
        </w:rPr>
        <w:t xml:space="preserve">cycles, </w:t>
      </w:r>
      <w:r w:rsidR="001835D0" w:rsidRPr="00195EB3">
        <w:rPr>
          <w:lang w:val="en-US"/>
        </w:rPr>
        <w:t xml:space="preserve">when the outcomes of the </w:t>
      </w:r>
      <w:r w:rsidR="000778CD" w:rsidRPr="00195EB3">
        <w:rPr>
          <w:lang w:val="en-US"/>
        </w:rPr>
        <w:t>g</w:t>
      </w:r>
      <w:r w:rsidR="001835D0" w:rsidRPr="00195EB3">
        <w:rPr>
          <w:lang w:val="en-US"/>
        </w:rPr>
        <w:t xml:space="preserve">lobal </w:t>
      </w:r>
      <w:r w:rsidR="000778CD" w:rsidRPr="00195EB3">
        <w:rPr>
          <w:lang w:val="en-US"/>
        </w:rPr>
        <w:t>r</w:t>
      </w:r>
      <w:r w:rsidR="001835D0" w:rsidRPr="00195EB3">
        <w:rPr>
          <w:lang w:val="en-US"/>
        </w:rPr>
        <w:t xml:space="preserve">eflection on the listing mechanisms took full effect, </w:t>
      </w:r>
      <w:r w:rsidRPr="00195EB3">
        <w:rPr>
          <w:lang w:val="en-US"/>
        </w:rPr>
        <w:t xml:space="preserve">as well as the </w:t>
      </w:r>
      <w:r w:rsidR="00B00BCE" w:rsidRPr="00195EB3">
        <w:rPr>
          <w:lang w:val="en-US"/>
        </w:rPr>
        <w:t>increasing technical requirements and the corresponding elements to be reviewed throughout the technical completeness check</w:t>
      </w:r>
      <w:r w:rsidR="001D07F1" w:rsidRPr="00195EB3">
        <w:t>, t</w:t>
      </w:r>
      <w:r w:rsidR="0022052F" w:rsidRPr="00195EB3">
        <w:rPr>
          <w:lang w:val="en-US"/>
        </w:rPr>
        <w:t xml:space="preserve">he </w:t>
      </w:r>
      <w:r w:rsidR="009F2DF1" w:rsidRPr="00195EB3">
        <w:rPr>
          <w:lang w:val="en-US"/>
        </w:rPr>
        <w:t>twentieth session of the Committee recommended that the General Assembly revise the Operational Directives</w:t>
      </w:r>
      <w:r w:rsidR="00F56B17" w:rsidRPr="00195EB3">
        <w:rPr>
          <w:lang w:val="en-US"/>
        </w:rPr>
        <w:t xml:space="preserve"> (Decision </w:t>
      </w:r>
      <w:hyperlink r:id="rId8" w:history="1">
        <w:r w:rsidR="00F56B17" w:rsidRPr="00195EB3">
          <w:rPr>
            <w:rStyle w:val="Hyperlink"/>
          </w:rPr>
          <w:t>20.COM 8</w:t>
        </w:r>
      </w:hyperlink>
      <w:r w:rsidR="00F56B17" w:rsidRPr="00195EB3">
        <w:t xml:space="preserve"> and document </w:t>
      </w:r>
      <w:hyperlink r:id="rId9" w:history="1">
        <w:r w:rsidR="00F56B17" w:rsidRPr="00195EB3">
          <w:rPr>
            <w:rStyle w:val="Hyperlink"/>
          </w:rPr>
          <w:t>LHE/25/20.COM/8</w:t>
        </w:r>
      </w:hyperlink>
      <w:r w:rsidR="00F56B17" w:rsidRPr="00195EB3">
        <w:t>)</w:t>
      </w:r>
      <w:r w:rsidRPr="00195EB3">
        <w:rPr>
          <w:lang w:val="en-US"/>
        </w:rPr>
        <w:t xml:space="preserve"> to </w:t>
      </w:r>
      <w:r w:rsidR="00090551" w:rsidRPr="00195EB3">
        <w:rPr>
          <w:lang w:val="en-US"/>
        </w:rPr>
        <w:t>enable the allocation of additional time for the technical completeness check of nomination files</w:t>
      </w:r>
      <w:r w:rsidR="001B0403" w:rsidRPr="00195EB3">
        <w:rPr>
          <w:lang w:val="en-US"/>
        </w:rPr>
        <w:t>,</w:t>
      </w:r>
      <w:r w:rsidR="00090551" w:rsidRPr="00195EB3">
        <w:rPr>
          <w:lang w:val="en-US"/>
        </w:rPr>
        <w:t xml:space="preserve"> taking into account the multiple aspects involved in the process, the growing number of nominations benefiting from it, and its importance for the subsequent evaluation phase.</w:t>
      </w:r>
    </w:p>
    <w:p w14:paraId="4D11F301" w14:textId="77777777" w:rsidR="008B6268" w:rsidRPr="00195EB3" w:rsidRDefault="008B6268" w:rsidP="008B6268">
      <w:pPr>
        <w:pStyle w:val="COMPara"/>
        <w:numPr>
          <w:ilvl w:val="0"/>
          <w:numId w:val="0"/>
        </w:numPr>
        <w:ind w:left="567"/>
        <w:jc w:val="both"/>
        <w:rPr>
          <w:u w:val="single"/>
        </w:rPr>
      </w:pPr>
      <w:r w:rsidRPr="00195EB3">
        <w:rPr>
          <w:u w:val="single"/>
        </w:rPr>
        <w:t>Scope of the technical completeness check</w:t>
      </w:r>
    </w:p>
    <w:p w14:paraId="44A448B3" w14:textId="7FB5F726" w:rsidR="008B6268" w:rsidRPr="00195EB3" w:rsidRDefault="008B6268" w:rsidP="008B6268">
      <w:pPr>
        <w:pStyle w:val="COMPara"/>
        <w:ind w:left="567" w:hanging="567"/>
        <w:jc w:val="both"/>
      </w:pPr>
      <w:r w:rsidRPr="00195EB3">
        <w:t xml:space="preserve">Beyond the identification of missing documents and materials in nomination files, the completeness check consists in ensuring that a file complies with the technical requirements, with the overarching objective of facilitating its assessment by the Evaluation Body and examination by the Committee, while ensuring </w:t>
      </w:r>
      <w:r w:rsidR="00573D28" w:rsidRPr="00195EB3">
        <w:t xml:space="preserve">that </w:t>
      </w:r>
      <w:r w:rsidRPr="00195EB3">
        <w:t>the evaluation is carried out on a transparent and equitable basis. In addition, this process allows elements to be given adequate visibility and presentation to the public, through associated nomination materials published on the Convention’s website during the nomination process and after inscription.</w:t>
      </w:r>
    </w:p>
    <w:p w14:paraId="6D85E4F9" w14:textId="2D585128" w:rsidR="008B6268" w:rsidRPr="00195EB3" w:rsidRDefault="008B6268" w:rsidP="008B6268">
      <w:pPr>
        <w:pStyle w:val="COMPara"/>
        <w:ind w:left="567" w:hanging="567"/>
        <w:jc w:val="both"/>
      </w:pPr>
      <w:r w:rsidRPr="00195EB3">
        <w:t xml:space="preserve">The range of issues addressed through the technical completeness check is broad, from the presence of replies in the nomination Forms ICH-0x in respect of the word limits, the submission of the specified number of photos and videos with subtitles in an adequate format and duration, to the presentation of consent documents or of an inventory extract in the original language and in English or French, among others. The technical requirements and therefore the aspects to be checked have increased following the global reflection on the listing </w:t>
      </w:r>
      <w:r w:rsidRPr="00195EB3">
        <w:lastRenderedPageBreak/>
        <w:t>mechanisms, notably with the introduction of optional materials, the increase in audiovisual files and the specific documentation for extension and transfer requests. It should be underlined that at that stage, no check is made on the content of the nomination materials submitted but only on whether they meet the technical requirements.</w:t>
      </w:r>
    </w:p>
    <w:p w14:paraId="44AE1E84" w14:textId="77777777" w:rsidR="008B6268" w:rsidRPr="00195EB3" w:rsidRDefault="008B6268" w:rsidP="008B6268">
      <w:pPr>
        <w:pStyle w:val="COMPara"/>
        <w:ind w:left="567" w:hanging="567"/>
        <w:jc w:val="both"/>
      </w:pPr>
      <w:r w:rsidRPr="00195EB3">
        <w:t xml:space="preserve">Over the years, the practice has evolved and the approach has become more flexible, in particular as it became a necessity for States with files coming out of the ‘backlog’ after several years to be able to submit up-to-date documentation. This process allowed submitting States to take the opportunity of the technical completeness check to effectively revise the nomination file by providing additional updated information beyond what is indicated as missing information in the Secretariat’s requests for additional information. A large majority of the submitting States currently take the opportunity to complete and revise their files during this phase. Additional information often includes, </w:t>
      </w:r>
      <w:r w:rsidRPr="00195EB3">
        <w:rPr>
          <w:i/>
          <w:iCs/>
        </w:rPr>
        <w:t>inter alia</w:t>
      </w:r>
      <w:r w:rsidRPr="00195EB3">
        <w:t>, a clarification about the submission of optional materials, and additional consent documents, updated inventory extracts, and further information that the communities wish to convey in light of changing local contexts. In multinational nominations, these issues can concern one or more submitting States.</w:t>
      </w:r>
    </w:p>
    <w:p w14:paraId="66D583BE" w14:textId="77777777" w:rsidR="008B6268" w:rsidRPr="00195EB3" w:rsidRDefault="008B6268" w:rsidP="008B6268">
      <w:pPr>
        <w:pStyle w:val="COMPara"/>
        <w:ind w:left="567" w:hanging="567"/>
        <w:jc w:val="both"/>
      </w:pPr>
      <w:r w:rsidRPr="00195EB3">
        <w:t>Despite representing a heavier workload for the Secretariat, this flexible approach was given to submitting States in the interest of States and communities so as to provide an opportunity to improve the quality of nomination files, while keeping with the principle of transparency by publishing the different versions of the nomination documents on the Convention’s website with their date of submission. Furthermore, nomination documents could not be modified at the initiative of the submitting States after nominations were transmitted to the Evaluation Body.</w:t>
      </w:r>
    </w:p>
    <w:p w14:paraId="282C0F67" w14:textId="77777777" w:rsidR="008B6268" w:rsidRPr="00195EB3" w:rsidRDefault="008B6268" w:rsidP="008B6268">
      <w:pPr>
        <w:pStyle w:val="COMPara"/>
        <w:ind w:left="567" w:hanging="567"/>
        <w:jc w:val="both"/>
      </w:pPr>
      <w:r w:rsidRPr="00195EB3">
        <w:t>While the strengthened capacities of States and communities and the introduction of the dialogue process can largely explain the success of nominations in recent years, it could be considered that the flexible approach in the ‘technical completeness check’ phase also contributed to supporting this positive trend, with a higher rate of positive recommendations from the Evaluation Body (between 98% and 100% between 2023 and 2025) and an improved geographical balance of nominations examined in the 2023, 2024 and 2025 cycles (Group I: 12%, Group II: 13%, Group III: 15%, Group IV: 22%, Group V(a): 14%, Group V(b): 16% and files involving multiple Groups: 8%, out of 190 files from 134 States).</w:t>
      </w:r>
    </w:p>
    <w:p w14:paraId="2689A428" w14:textId="10A6207B" w:rsidR="008B6268" w:rsidRPr="00195EB3" w:rsidRDefault="008B6268" w:rsidP="008B6268">
      <w:pPr>
        <w:pStyle w:val="COMPara"/>
        <w:ind w:left="567" w:hanging="567"/>
        <w:jc w:val="both"/>
      </w:pPr>
      <w:r w:rsidRPr="00195EB3">
        <w:t xml:space="preserve">Having taken note of the above-mentioned issues brought forward, the twentieth session of the Committee </w:t>
      </w:r>
      <w:r w:rsidR="00E27D90" w:rsidRPr="00195EB3">
        <w:t xml:space="preserve">(Decision </w:t>
      </w:r>
      <w:hyperlink r:id="rId10" w:history="1">
        <w:r w:rsidR="00E27D90" w:rsidRPr="00195EB3">
          <w:rPr>
            <w:rStyle w:val="Hyperlink"/>
          </w:rPr>
          <w:t>20.COM 8</w:t>
        </w:r>
      </w:hyperlink>
      <w:r w:rsidR="00E27D90" w:rsidRPr="00195EB3">
        <w:t xml:space="preserve">) </w:t>
      </w:r>
      <w:r w:rsidRPr="00195EB3">
        <w:t>appreciated the positive effects of the current flexible approach</w:t>
      </w:r>
      <w:r w:rsidR="00BB792E" w:rsidRPr="00195EB3">
        <w:t xml:space="preserve"> </w:t>
      </w:r>
      <w:r w:rsidRPr="00195EB3">
        <w:t>to support the efforts from States</w:t>
      </w:r>
      <w:r w:rsidR="00E27D90" w:rsidRPr="00195EB3">
        <w:t xml:space="preserve">, </w:t>
      </w:r>
      <w:r w:rsidRPr="00195EB3">
        <w:t>confirming that the provisions in paragraph 54, in particular for the deadline of 30 September Year 1, allow the submission of revised nomination materials as part of the technical completeness check</w:t>
      </w:r>
      <w:r w:rsidR="00E27D90" w:rsidRPr="00195EB3">
        <w:t xml:space="preserve"> (rather than</w:t>
      </w:r>
      <w:r w:rsidRPr="00195EB3">
        <w:t xml:space="preserve"> a ‘strict’ approach to technical completeness check </w:t>
      </w:r>
      <w:r w:rsidR="00E27D90" w:rsidRPr="00195EB3">
        <w:t xml:space="preserve">that would </w:t>
      </w:r>
      <w:r w:rsidRPr="00195EB3">
        <w:t>prevent submitting States from altering the nomination beyond what the Secretariat indicated as missing</w:t>
      </w:r>
      <w:r w:rsidR="00E27D90" w:rsidRPr="00195EB3">
        <w:t>)</w:t>
      </w:r>
      <w:r w:rsidRPr="00195EB3">
        <w:t>.</w:t>
      </w:r>
      <w:r w:rsidR="00E27D90" w:rsidRPr="00195EB3">
        <w:t xml:space="preserve"> </w:t>
      </w:r>
      <w:r w:rsidR="000778CD" w:rsidRPr="00195EB3">
        <w:t>However, t</w:t>
      </w:r>
      <w:r w:rsidR="00E27D90" w:rsidRPr="00195EB3">
        <w:t xml:space="preserve">he Committee called upon States Parties to refrain from undertaking substantial changes through the technical completeness check process, and at the same time, requested the Secretariat to explore ways to provide information to the Evaluation Body and the Committee on changes made during the technical completeness check process. </w:t>
      </w:r>
      <w:r w:rsidR="00D93898" w:rsidRPr="00195EB3">
        <w:t xml:space="preserve">For the 2026 cycle, the publication dates of </w:t>
      </w:r>
      <w:r w:rsidR="00515050" w:rsidRPr="00195EB3">
        <w:t xml:space="preserve">the </w:t>
      </w:r>
      <w:r w:rsidR="00D93898" w:rsidRPr="00195EB3">
        <w:t>nomination materials</w:t>
      </w:r>
      <w:r w:rsidR="00515050" w:rsidRPr="00195EB3">
        <w:t xml:space="preserve"> made available through the dedicated webpage</w:t>
      </w:r>
      <w:r w:rsidR="00D93898" w:rsidRPr="00195EB3">
        <w:t xml:space="preserve"> </w:t>
      </w:r>
      <w:r w:rsidR="00515050" w:rsidRPr="00195EB3">
        <w:t>reflect the</w:t>
      </w:r>
      <w:r w:rsidR="00D93898" w:rsidRPr="00195EB3">
        <w:t xml:space="preserve"> changes made during the technical completeness check process. At the time of writing</w:t>
      </w:r>
      <w:r w:rsidR="00515050" w:rsidRPr="00195EB3">
        <w:t>,</w:t>
      </w:r>
      <w:r w:rsidR="00D93898" w:rsidRPr="00195EB3">
        <w:t xml:space="preserve"> the Secretariat </w:t>
      </w:r>
      <w:r w:rsidR="00515050" w:rsidRPr="00195EB3">
        <w:t>is exploring options for a clearer way to visualise such changes in response to the Committee’s request</w:t>
      </w:r>
      <w:r w:rsidR="00F650C6" w:rsidRPr="00195EB3">
        <w:t xml:space="preserve"> in the context of the 2027 cycle of nominations</w:t>
      </w:r>
      <w:r w:rsidR="00D93898" w:rsidRPr="00195EB3">
        <w:t>.</w:t>
      </w:r>
    </w:p>
    <w:p w14:paraId="3EE0F2D2" w14:textId="77777777" w:rsidR="00C958C5" w:rsidRPr="00195EB3" w:rsidRDefault="00C958C5" w:rsidP="00C958C5">
      <w:pPr>
        <w:pStyle w:val="COMPara"/>
        <w:numPr>
          <w:ilvl w:val="0"/>
          <w:numId w:val="0"/>
        </w:numPr>
        <w:ind w:left="567"/>
        <w:jc w:val="both"/>
        <w:rPr>
          <w:u w:val="single"/>
        </w:rPr>
      </w:pPr>
      <w:r w:rsidRPr="00195EB3">
        <w:rPr>
          <w:u w:val="single"/>
        </w:rPr>
        <w:t>Timetable for the treatment of nominations</w:t>
      </w:r>
    </w:p>
    <w:p w14:paraId="56D02546" w14:textId="081146EF" w:rsidR="00C958C5" w:rsidRPr="00195EB3" w:rsidRDefault="00C958C5" w:rsidP="00C958C5">
      <w:pPr>
        <w:pStyle w:val="COMPara"/>
        <w:ind w:left="567" w:hanging="567"/>
        <w:jc w:val="both"/>
      </w:pPr>
      <w:r w:rsidRPr="00195EB3">
        <w:t xml:space="preserve">The 2024 and 2025 cycles are the first nomination cycles in which the outcomes of the global reflection on the listing mechanisms of the Convention (2018–2022) have taken full effect. While a more detailed report will be presented to the next session of the Committee in 2026 in response to Decision </w:t>
      </w:r>
      <w:hyperlink r:id="rId11" w:history="1">
        <w:r w:rsidRPr="00195EB3">
          <w:rPr>
            <w:rStyle w:val="Hyperlink"/>
          </w:rPr>
          <w:t>19.COM 15</w:t>
        </w:r>
      </w:hyperlink>
      <w:r w:rsidRPr="00195EB3">
        <w:t xml:space="preserve">, it can already be observed that the number of files treated has substantially increased (140 files in total over both cycles against 121 files in the 2022 and 2023 cycles combined), taking into account the annual ceiling of sixty files and the different categories of files that are to be treated outside the annual ceiling since the 2024 cycle </w:t>
      </w:r>
      <w:r w:rsidRPr="00195EB3">
        <w:lastRenderedPageBreak/>
        <w:t xml:space="preserve">(Decisions </w:t>
      </w:r>
      <w:hyperlink r:id="rId12" w:history="1">
        <w:r w:rsidRPr="00195EB3">
          <w:rPr>
            <w:rStyle w:val="Hyperlink"/>
          </w:rPr>
          <w:t>17.COM 15</w:t>
        </w:r>
      </w:hyperlink>
      <w:r w:rsidRPr="00195EB3">
        <w:t xml:space="preserve"> and </w:t>
      </w:r>
      <w:hyperlink r:id="rId13" w:history="1">
        <w:r w:rsidRPr="00195EB3">
          <w:rPr>
            <w:rStyle w:val="Hyperlink"/>
          </w:rPr>
          <w:t>19.COM 15</w:t>
        </w:r>
      </w:hyperlink>
      <w:r w:rsidRPr="00195EB3">
        <w:t>). This rise impacts the workload of the Committee, the Evaluation Body and the Secretariat, and may be the subject of discussions at the twenty-first session of the Committee.</w:t>
      </w:r>
    </w:p>
    <w:p w14:paraId="0A32D71C" w14:textId="19DAE2A5" w:rsidR="00C958C5" w:rsidRPr="00195EB3" w:rsidRDefault="00C958C5" w:rsidP="00C958C5">
      <w:pPr>
        <w:pStyle w:val="COMPara"/>
        <w:ind w:left="567" w:hanging="567"/>
        <w:jc w:val="both"/>
      </w:pPr>
      <w:r w:rsidRPr="00195EB3">
        <w:t>Following the global reflection on the listing mechanisms, several procedures and forms were simplified for the submission of nominations, with technical requirements adjusted to these simplified procedures as well as to a diversity of nomination materials to be considered, in particular for the transfer of elements from one list to the other and nominations on an extended basis. Under the 2024 and 2025 cycles, 106 of the 140 files initially treated benefitted from a request for additional information based on the technical completeness check and using the abovementioned flexible approach.</w:t>
      </w:r>
    </w:p>
    <w:p w14:paraId="5B72F721" w14:textId="6FCF09E7" w:rsidR="00C958C5" w:rsidRPr="00195EB3" w:rsidRDefault="00C958C5" w:rsidP="00C958C5">
      <w:pPr>
        <w:pStyle w:val="COMPara"/>
        <w:ind w:left="567" w:hanging="567"/>
        <w:jc w:val="both"/>
      </w:pPr>
      <w:r w:rsidRPr="00195EB3">
        <w:t>Considering the multiple aspects to be addressed through the technical completeness check, the large volume of nominations that benefit from this process and its importance for the evaluation phase, it can be considered desirable to allocate more time for the completeness check to be operated. In light of these aspects, it is proposed to allow additional time for the technical completeness check phase, which deadline could be extended to 31 August Year 1 (instead of 30 June). In turn, submitting States would be given three months, as is the case presently, to submit information, at the latest by 30 November Year 1 (instead of 30</w:t>
      </w:r>
      <w:r w:rsidR="000778CD" w:rsidRPr="00195EB3">
        <w:t> </w:t>
      </w:r>
      <w:r w:rsidRPr="00195EB3">
        <w:t>September). Practically speaking, the deadlines would be adjusted to give an equal length of time (three months) to complete their nomination in the eventuality that requests for additional information are issue</w:t>
      </w:r>
      <w:r w:rsidR="00D54950" w:rsidRPr="00195EB3">
        <w:t>d</w:t>
      </w:r>
      <w:r w:rsidRPr="00195EB3">
        <w:t xml:space="preserve"> before 31 August.</w:t>
      </w:r>
    </w:p>
    <w:p w14:paraId="647FA266" w14:textId="0AEDE862" w:rsidR="00C958C5" w:rsidRPr="00195EB3" w:rsidRDefault="00C958C5" w:rsidP="00C958C5">
      <w:pPr>
        <w:pStyle w:val="COMPara"/>
        <w:ind w:left="567" w:hanging="567"/>
        <w:jc w:val="both"/>
      </w:pPr>
      <w:r w:rsidRPr="00195EB3">
        <w:t>The extended timeline is further justified in relation to the new procedure for transfer requests for which amendments to the Operational Directives are proposed below. It is to be understood that the transfer requests received by the deadline of 30 June will be part of the cycle of nominations received by the deadline of 31 March in the same year. The technical completeness check for the transfer requests will be processed by the extended deadline of 31 August, for submitting States to complete the requested</w:t>
      </w:r>
      <w:r w:rsidR="003C1D59" w:rsidRPr="00195EB3">
        <w:t xml:space="preserve"> information</w:t>
      </w:r>
      <w:r w:rsidRPr="00195EB3">
        <w:t xml:space="preserve"> by the extended deadline of 30 November.</w:t>
      </w:r>
    </w:p>
    <w:p w14:paraId="0F861519" w14:textId="77777777" w:rsidR="00C958C5" w:rsidRPr="00195EB3" w:rsidRDefault="00C958C5" w:rsidP="00C958C5">
      <w:pPr>
        <w:pStyle w:val="COMPara"/>
        <w:ind w:left="567" w:hanging="567"/>
        <w:jc w:val="both"/>
      </w:pPr>
      <w:r w:rsidRPr="00195EB3">
        <w:t>In addition to the revisions described above, an additional revision is proposed to reflect that the individual evaluation of files is undertaken by the Evaluation Body from December Year 1 to June Year 2.</w:t>
      </w:r>
    </w:p>
    <w:p w14:paraId="431A466E" w14:textId="3F7F3B91" w:rsidR="009F2DF1" w:rsidRPr="00195EB3" w:rsidRDefault="009F2DF1" w:rsidP="00263C49">
      <w:pPr>
        <w:pStyle w:val="COMPara"/>
        <w:numPr>
          <w:ilvl w:val="0"/>
          <w:numId w:val="41"/>
        </w:numPr>
        <w:spacing w:before="240"/>
        <w:ind w:left="567" w:hanging="567"/>
        <w:jc w:val="both"/>
        <w:rPr>
          <w:b/>
          <w:bCs/>
        </w:rPr>
      </w:pPr>
      <w:r w:rsidRPr="00195EB3">
        <w:rPr>
          <w:b/>
          <w:bCs/>
        </w:rPr>
        <w:t>Single global submission system of periodic reporting</w:t>
      </w:r>
    </w:p>
    <w:p w14:paraId="262DDACC" w14:textId="74BBC4D9" w:rsidR="00820971" w:rsidRPr="00195EB3" w:rsidRDefault="00820971" w:rsidP="00820971">
      <w:pPr>
        <w:pStyle w:val="COMPara"/>
        <w:ind w:left="567" w:hanging="567"/>
        <w:jc w:val="both"/>
        <w:rPr>
          <w:rStyle w:val="Hyperlink"/>
          <w:color w:val="auto"/>
          <w:u w:val="none"/>
        </w:rPr>
      </w:pPr>
      <w:r w:rsidRPr="00195EB3">
        <w:t xml:space="preserve">The periodic reporting mechanism of the 2003 Convention was reformed in 2017 to enhance its quality, usefulness and timeliness, as well as to address the low submission rate observed up to that point (Decision </w:t>
      </w:r>
      <w:hyperlink r:id="rId14" w:history="1">
        <w:r w:rsidRPr="00195EB3">
          <w:rPr>
            <w:rStyle w:val="Hyperlink"/>
          </w:rPr>
          <w:t>12.COM 10</w:t>
        </w:r>
      </w:hyperlink>
      <w:r w:rsidRPr="00195EB3">
        <w:t xml:space="preserve">). The reporting form was aligned with the Convention’s </w:t>
      </w:r>
      <w:hyperlink r:id="rId15" w:history="1">
        <w:r w:rsidRPr="00195EB3">
          <w:rPr>
            <w:rStyle w:val="Hyperlink"/>
          </w:rPr>
          <w:t>Overall Results Framework</w:t>
        </w:r>
      </w:hyperlink>
      <w:r w:rsidRPr="00195EB3">
        <w:t xml:space="preserve"> in order to ensure that the process is consistent with the overarching goals of the Convention and to allow for more effective monitoring to achieve these goals (Resolution </w:t>
      </w:r>
      <w:hyperlink r:id="rId16" w:history="1">
        <w:r w:rsidRPr="00195EB3">
          <w:rPr>
            <w:rStyle w:val="Hyperlink"/>
          </w:rPr>
          <w:t>7.GA 9</w:t>
        </w:r>
      </w:hyperlink>
      <w:r w:rsidRPr="00195EB3">
        <w:t xml:space="preserve">). Further adjustments were made in 2018 to allow the reporting to take place on a regional basis every six years (Decision </w:t>
      </w:r>
      <w:hyperlink r:id="rId17" w:history="1">
        <w:r w:rsidRPr="00195EB3">
          <w:rPr>
            <w:rStyle w:val="Hyperlink"/>
          </w:rPr>
          <w:t>13.COM 8</w:t>
        </w:r>
      </w:hyperlink>
      <w:r w:rsidRPr="00195EB3">
        <w:t xml:space="preserve">) and in 2019 to launch the first regional cycle of reporting (Decision </w:t>
      </w:r>
      <w:hyperlink r:id="rId18" w:history="1">
        <w:r w:rsidRPr="00195EB3">
          <w:rPr>
            <w:rStyle w:val="Hyperlink"/>
          </w:rPr>
          <w:t>14.COM 8</w:t>
        </w:r>
      </w:hyperlink>
      <w:r w:rsidRPr="00195EB3">
        <w:rPr>
          <w:rStyle w:val="Hyperlink"/>
          <w:color w:val="000000" w:themeColor="text1"/>
          <w:u w:val="none"/>
        </w:rPr>
        <w:t>). Between 2020 and 2025 all regions under</w:t>
      </w:r>
      <w:r w:rsidR="00B864BD" w:rsidRPr="00195EB3">
        <w:rPr>
          <w:rStyle w:val="Hyperlink"/>
          <w:color w:val="000000" w:themeColor="text1"/>
          <w:u w:val="none"/>
        </w:rPr>
        <w:t>went</w:t>
      </w:r>
      <w:r w:rsidRPr="00195EB3">
        <w:rPr>
          <w:rStyle w:val="Hyperlink"/>
          <w:color w:val="000000" w:themeColor="text1"/>
          <w:u w:val="none"/>
        </w:rPr>
        <w:t xml:space="preserve"> the exercise</w:t>
      </w:r>
      <w:r w:rsidR="00DC7D3C" w:rsidRPr="00195EB3">
        <w:rPr>
          <w:rStyle w:val="Hyperlink"/>
          <w:color w:val="000000" w:themeColor="text1"/>
          <w:u w:val="none"/>
        </w:rPr>
        <w:t>, which led to significantly improved submission rates across regions</w:t>
      </w:r>
      <w:r w:rsidR="00DC7D3C" w:rsidRPr="00195EB3">
        <w:rPr>
          <w:rStyle w:val="FootnoteReference"/>
          <w:color w:val="000000" w:themeColor="text1"/>
        </w:rPr>
        <w:footnoteReference w:id="1"/>
      </w:r>
      <w:r w:rsidRPr="00195EB3">
        <w:rPr>
          <w:rStyle w:val="Hyperlink"/>
          <w:color w:val="000000" w:themeColor="text1"/>
          <w:u w:val="none"/>
        </w:rPr>
        <w:t>.</w:t>
      </w:r>
    </w:p>
    <w:p w14:paraId="4B3068B6" w14:textId="3C0C8755" w:rsidR="00FA5F89" w:rsidRPr="00195EB3" w:rsidRDefault="00F1585E" w:rsidP="00FA5F89">
      <w:pPr>
        <w:pStyle w:val="COMPara"/>
        <w:ind w:left="567" w:hanging="567"/>
        <w:jc w:val="both"/>
      </w:pPr>
      <w:r w:rsidRPr="00195EB3">
        <w:rPr>
          <w:lang w:val="en-US"/>
        </w:rPr>
        <w:t>At the same time</w:t>
      </w:r>
      <w:r w:rsidR="00BA001B" w:rsidRPr="00195EB3">
        <w:rPr>
          <w:lang w:val="en-US"/>
        </w:rPr>
        <w:t xml:space="preserve">, </w:t>
      </w:r>
      <w:r w:rsidR="00FA5F89" w:rsidRPr="00195EB3">
        <w:rPr>
          <w:lang w:val="en-US"/>
        </w:rPr>
        <w:t xml:space="preserve">the MONDIACULT 2022 </w:t>
      </w:r>
      <w:hyperlink r:id="rId19" w:history="1">
        <w:r w:rsidR="00FA5F89" w:rsidRPr="00195EB3">
          <w:rPr>
            <w:rStyle w:val="Hyperlink"/>
            <w:lang w:val="en-US"/>
          </w:rPr>
          <w:t>Declaration</w:t>
        </w:r>
      </w:hyperlink>
      <w:r w:rsidR="00FA5F89" w:rsidRPr="00195EB3">
        <w:rPr>
          <w:lang w:val="en-US"/>
        </w:rPr>
        <w:t xml:space="preserve">, adopted at the UNESCO World Conference on Cultural Policies and Sustainable Development - MONDIACULT 2022, called on UNESCO to produce a Global Report on Cultural Policies every four years, building on information, data, and indicators provided by its Member States. The </w:t>
      </w:r>
      <w:hyperlink r:id="rId20" w:history="1">
        <w:r w:rsidR="00FA5F89" w:rsidRPr="00195EB3">
          <w:rPr>
            <w:rStyle w:val="Hyperlink"/>
            <w:lang w:val="en-US"/>
          </w:rPr>
          <w:t>first edition</w:t>
        </w:r>
      </w:hyperlink>
      <w:r w:rsidR="00FA5F89" w:rsidRPr="00195EB3">
        <w:rPr>
          <w:lang w:val="en-US"/>
        </w:rPr>
        <w:t xml:space="preserve"> of this Global Report was published in 2025, and the second edition is scheduled for 2029, with subsequent editions on a quadrennial basis. While the periodic reporting mechanisms of each Culture Convention and Recommendation remain the primary source of information for the Global Report, its preparation requires adaptations in how periodic reports are submitted, </w:t>
      </w:r>
      <w:proofErr w:type="spellStart"/>
      <w:r w:rsidR="00FA5F89" w:rsidRPr="00195EB3">
        <w:rPr>
          <w:lang w:val="en-US"/>
        </w:rPr>
        <w:t>analysed</w:t>
      </w:r>
      <w:proofErr w:type="spellEnd"/>
      <w:r w:rsidR="00FA5F89" w:rsidRPr="00195EB3">
        <w:rPr>
          <w:lang w:val="en-US"/>
        </w:rPr>
        <w:t xml:space="preserve"> </w:t>
      </w:r>
      <w:r w:rsidR="00FA5F89" w:rsidRPr="00195EB3">
        <w:rPr>
          <w:lang w:val="en-US"/>
        </w:rPr>
        <w:lastRenderedPageBreak/>
        <w:t>and visualized to provide a comprehensive overview of the contribution of culture to sustainable development across all regions and cultural domains.</w:t>
      </w:r>
    </w:p>
    <w:p w14:paraId="4314289A" w14:textId="60DAD923" w:rsidR="00211C2C" w:rsidRPr="00195EB3" w:rsidRDefault="00FA5F89" w:rsidP="00263C49">
      <w:pPr>
        <w:pStyle w:val="COMPara"/>
        <w:ind w:left="567" w:hanging="567"/>
        <w:jc w:val="both"/>
      </w:pPr>
      <w:r w:rsidRPr="00195EB3">
        <w:rPr>
          <w:lang w:val="en-US"/>
        </w:rPr>
        <w:t xml:space="preserve">In response, </w:t>
      </w:r>
      <w:r w:rsidR="009E5295" w:rsidRPr="00195EB3">
        <w:rPr>
          <w:lang w:val="en-US"/>
        </w:rPr>
        <w:t>the nineteenth session of the Committee</w:t>
      </w:r>
      <w:r w:rsidRPr="00195EB3">
        <w:rPr>
          <w:lang w:val="en-US"/>
        </w:rPr>
        <w:t xml:space="preserve"> </w:t>
      </w:r>
      <w:r w:rsidR="00B864BD" w:rsidRPr="00195EB3">
        <w:rPr>
          <w:lang w:val="en-US"/>
        </w:rPr>
        <w:t xml:space="preserve">in </w:t>
      </w:r>
      <w:r w:rsidR="009B0DCF" w:rsidRPr="00195EB3">
        <w:rPr>
          <w:lang w:val="en-US"/>
        </w:rPr>
        <w:t>2024</w:t>
      </w:r>
      <w:r w:rsidR="00B864BD" w:rsidRPr="00195EB3">
        <w:rPr>
          <w:lang w:val="en-US"/>
        </w:rPr>
        <w:t xml:space="preserve"> </w:t>
      </w:r>
      <w:r w:rsidRPr="00195EB3">
        <w:rPr>
          <w:lang w:val="en-US"/>
        </w:rPr>
        <w:t xml:space="preserve">adopted a roadmap towards a single global submission system of </w:t>
      </w:r>
      <w:r w:rsidR="00B864BD" w:rsidRPr="00195EB3">
        <w:rPr>
          <w:lang w:val="en-US"/>
        </w:rPr>
        <w:t>reporting</w:t>
      </w:r>
      <w:r w:rsidR="009E5295" w:rsidRPr="00195EB3">
        <w:rPr>
          <w:lang w:val="en-US"/>
        </w:rPr>
        <w:t xml:space="preserve"> (Decision </w:t>
      </w:r>
      <w:hyperlink r:id="rId21" w:history="1">
        <w:r w:rsidR="009E5295" w:rsidRPr="00195EB3">
          <w:rPr>
            <w:rStyle w:val="Hyperlink"/>
            <w:lang w:val="en-US"/>
          </w:rPr>
          <w:t>19.COM 6.c</w:t>
        </w:r>
      </w:hyperlink>
      <w:r w:rsidR="009E5295" w:rsidRPr="00195EB3">
        <w:rPr>
          <w:lang w:val="en-US"/>
        </w:rPr>
        <w:t>)</w:t>
      </w:r>
      <w:r w:rsidR="00FE5E36" w:rsidRPr="00195EB3">
        <w:rPr>
          <w:lang w:val="en-US"/>
        </w:rPr>
        <w:t xml:space="preserve">. </w:t>
      </w:r>
      <w:r w:rsidR="00211C2C" w:rsidRPr="00195EB3">
        <w:t xml:space="preserve">As far as the 2003 Convention is concerned, this </w:t>
      </w:r>
      <w:r w:rsidR="00B864BD" w:rsidRPr="00195EB3">
        <w:t>move</w:t>
      </w:r>
      <w:r w:rsidR="00211C2C" w:rsidRPr="00195EB3">
        <w:t xml:space="preserve"> would entail the following:</w:t>
      </w:r>
    </w:p>
    <w:p w14:paraId="77668178" w14:textId="5C22B754" w:rsidR="00211C2C" w:rsidRPr="00195EB3" w:rsidRDefault="00211C2C" w:rsidP="00263C49">
      <w:pPr>
        <w:pStyle w:val="COMPara"/>
        <w:numPr>
          <w:ilvl w:val="0"/>
          <w:numId w:val="44"/>
        </w:numPr>
        <w:ind w:left="1134" w:hanging="567"/>
        <w:jc w:val="both"/>
      </w:pPr>
      <w:r w:rsidRPr="00195EB3">
        <w:rPr>
          <w:u w:val="single"/>
        </w:rPr>
        <w:t>Reporting calendars</w:t>
      </w:r>
      <w:r w:rsidR="00C92AB8" w:rsidRPr="00195EB3">
        <w:rPr>
          <w:u w:val="single"/>
        </w:rPr>
        <w:t>:</w:t>
      </w:r>
      <w:r w:rsidRPr="00195EB3">
        <w:t xml:space="preserve"> the calendars of the three periodic reporting mechanisms of the Convention,</w:t>
      </w:r>
      <w:r w:rsidRPr="00195EB3">
        <w:rPr>
          <w:vertAlign w:val="superscript"/>
        </w:rPr>
        <w:t xml:space="preserve"> </w:t>
      </w:r>
      <w:r w:rsidRPr="00195EB3">
        <w:t xml:space="preserve">currently reported on different schedules, </w:t>
      </w:r>
      <w:r w:rsidR="00C92AB8" w:rsidRPr="00195EB3">
        <w:t xml:space="preserve">will be aligned </w:t>
      </w:r>
      <w:r w:rsidRPr="00195EB3">
        <w:t>to a single submission date occurring every four years. This would mean that all States Parties</w:t>
      </w:r>
      <w:r w:rsidR="00C92AB8" w:rsidRPr="00195EB3">
        <w:t xml:space="preserve"> </w:t>
      </w:r>
      <w:r w:rsidRPr="00195EB3">
        <w:t xml:space="preserve">shall report </w:t>
      </w:r>
      <w:r w:rsidR="00C92AB8" w:rsidRPr="00195EB3">
        <w:t>simultaneously</w:t>
      </w:r>
      <w:r w:rsidR="004B7B8B" w:rsidRPr="00195EB3">
        <w:t xml:space="preserve"> </w:t>
      </w:r>
      <w:r w:rsidRPr="00195EB3">
        <w:t xml:space="preserve">on: (a) the implementation of the Convention and the current status of elements inscribed on the Representative List; and (b) the current status of elements inscribed on the List of Intangible Cultural Heritage in Need of Urgent Safeguarding (hereinafter ‘the Urgent Safeguarding List’). Moreover, </w:t>
      </w:r>
      <w:r w:rsidR="00C92AB8" w:rsidRPr="00195EB3">
        <w:t xml:space="preserve">(c) </w:t>
      </w:r>
      <w:r w:rsidRPr="00195EB3">
        <w:t>States non</w:t>
      </w:r>
      <w:r w:rsidR="007558FF" w:rsidRPr="00195EB3">
        <w:t xml:space="preserve"> </w:t>
      </w:r>
      <w:r w:rsidRPr="00195EB3">
        <w:t>party to the Convention</w:t>
      </w:r>
      <w:r w:rsidR="00C92AB8" w:rsidRPr="00195EB3">
        <w:rPr>
          <w:rStyle w:val="FootnoteReference"/>
          <w:lang w:val="en-US"/>
        </w:rPr>
        <w:footnoteReference w:id="2"/>
      </w:r>
      <w:r w:rsidRPr="00195EB3">
        <w:t xml:space="preserve"> shall report on elements inscribed on the Representative List.</w:t>
      </w:r>
    </w:p>
    <w:p w14:paraId="3281DD85" w14:textId="7D418F9A" w:rsidR="00211C2C" w:rsidRPr="00195EB3" w:rsidRDefault="00211C2C" w:rsidP="00263C49">
      <w:pPr>
        <w:pStyle w:val="COMPara"/>
        <w:numPr>
          <w:ilvl w:val="0"/>
          <w:numId w:val="44"/>
        </w:numPr>
        <w:ind w:left="1134" w:hanging="567"/>
        <w:jc w:val="both"/>
        <w:rPr>
          <w:lang w:val="en-US"/>
        </w:rPr>
      </w:pPr>
      <w:r w:rsidRPr="00195EB3">
        <w:rPr>
          <w:u w:val="single"/>
        </w:rPr>
        <w:t>Reporting forms</w:t>
      </w:r>
      <w:r w:rsidR="004B7B8B" w:rsidRPr="00195EB3">
        <w:rPr>
          <w:u w:val="single"/>
        </w:rPr>
        <w:t>:</w:t>
      </w:r>
      <w:r w:rsidRPr="00195EB3">
        <w:t xml:space="preserve"> the reporting forms </w:t>
      </w:r>
      <w:r w:rsidR="004B7B8B" w:rsidRPr="00195EB3">
        <w:t xml:space="preserve">(Form ICH-10 and Form ICH-11) will be simplified </w:t>
      </w:r>
      <w:r w:rsidRPr="00195EB3">
        <w:t xml:space="preserve">to alleviate the burden on Member States. </w:t>
      </w:r>
      <w:r w:rsidR="004B7B8B" w:rsidRPr="00195EB3">
        <w:rPr>
          <w:lang w:val="en-US"/>
        </w:rPr>
        <w:t xml:space="preserve">The simplification </w:t>
      </w:r>
      <w:r w:rsidR="00200FFE" w:rsidRPr="00195EB3">
        <w:rPr>
          <w:lang w:val="en-US"/>
        </w:rPr>
        <w:t>needs to be undertaken in a careful balance between structural reduction and the preservation of analytical integrity. The objective is to significantly reduce the number of questions, aiming for a substantial decrease through the deletion, merging, rephrasing, and regrouping of items, while maintaining clear alignment with the Overall Results Framework.</w:t>
      </w:r>
    </w:p>
    <w:p w14:paraId="3B1BF3C9" w14:textId="47B09B0D" w:rsidR="00211C2C" w:rsidRPr="00195EB3" w:rsidRDefault="00211C2C" w:rsidP="00263C49">
      <w:pPr>
        <w:pStyle w:val="COMPara"/>
        <w:numPr>
          <w:ilvl w:val="0"/>
          <w:numId w:val="44"/>
        </w:numPr>
        <w:ind w:left="1134" w:hanging="567"/>
        <w:jc w:val="both"/>
      </w:pPr>
      <w:r w:rsidRPr="00195EB3">
        <w:rPr>
          <w:u w:val="single"/>
        </w:rPr>
        <w:t>Capacity-building approach</w:t>
      </w:r>
      <w:r w:rsidR="00382504" w:rsidRPr="00195EB3">
        <w:rPr>
          <w:u w:val="single"/>
        </w:rPr>
        <w:t>:</w:t>
      </w:r>
      <w:r w:rsidRPr="00195EB3">
        <w:t xml:space="preserve"> </w:t>
      </w:r>
      <w:r w:rsidR="00AE3884" w:rsidRPr="00195EB3">
        <w:t xml:space="preserve">a </w:t>
      </w:r>
      <w:r w:rsidR="0004448A" w:rsidRPr="00195EB3">
        <w:t>c</w:t>
      </w:r>
      <w:r w:rsidR="00FB6801" w:rsidRPr="00195EB3">
        <w:t xml:space="preserve">areful planning of </w:t>
      </w:r>
      <w:r w:rsidR="00382504" w:rsidRPr="00195EB3">
        <w:t>a</w:t>
      </w:r>
      <w:r w:rsidRPr="00195EB3">
        <w:t xml:space="preserve"> capacity-building </w:t>
      </w:r>
      <w:r w:rsidR="00382504" w:rsidRPr="00195EB3">
        <w:t>approach is needed</w:t>
      </w:r>
      <w:r w:rsidRPr="00195EB3">
        <w:t xml:space="preserve">, </w:t>
      </w:r>
      <w:r w:rsidR="00382504" w:rsidRPr="00195EB3">
        <w:t>considering</w:t>
      </w:r>
      <w:r w:rsidRPr="00195EB3">
        <w:t xml:space="preserve"> the financial and human resources required in light of the new reporting calendar, while keeping the regional approach and the emphasis on peer learning. In this framework, capacity-building activities could benefit from strengthened cooperation and collaboration with category 2 centres, which have played a pivotal role in organizing and hosting training activities during the </w:t>
      </w:r>
      <w:r w:rsidR="00382504" w:rsidRPr="00195EB3">
        <w:t xml:space="preserve">first regional reporting </w:t>
      </w:r>
      <w:r w:rsidRPr="00195EB3">
        <w:t>cycle and have expressed readiness for a broader involvement</w:t>
      </w:r>
      <w:r w:rsidR="00382504" w:rsidRPr="00195EB3">
        <w:t xml:space="preserve"> under the single global submission system</w:t>
      </w:r>
      <w:r w:rsidRPr="00195EB3">
        <w:t>.</w:t>
      </w:r>
    </w:p>
    <w:p w14:paraId="62C4122D" w14:textId="267BBF9C" w:rsidR="002F6998" w:rsidRPr="00195EB3" w:rsidRDefault="004A67C0" w:rsidP="002F6998">
      <w:pPr>
        <w:pStyle w:val="COMPara"/>
        <w:ind w:left="567" w:hanging="567"/>
        <w:jc w:val="both"/>
      </w:pPr>
      <w:r w:rsidRPr="00195EB3">
        <w:rPr>
          <w:rFonts w:eastAsia="MS Mincho"/>
          <w:lang w:eastAsia="ja-JP"/>
        </w:rPr>
        <w:t>W</w:t>
      </w:r>
      <w:r w:rsidR="000237EF" w:rsidRPr="00195EB3">
        <w:rPr>
          <w:rFonts w:eastAsia="MS Mincho"/>
          <w:lang w:eastAsia="ja-JP"/>
        </w:rPr>
        <w:t xml:space="preserve">hen moving to the new system, requests to transfer elements from the Urgent Safeguarding List to the Representative List may </w:t>
      </w:r>
      <w:r w:rsidR="00B76C42" w:rsidRPr="00195EB3">
        <w:rPr>
          <w:rFonts w:eastAsia="MS Mincho"/>
          <w:lang w:eastAsia="ja-JP"/>
        </w:rPr>
        <w:t xml:space="preserve">also </w:t>
      </w:r>
      <w:r w:rsidR="000237EF" w:rsidRPr="00195EB3">
        <w:rPr>
          <w:rFonts w:eastAsia="MS Mincho"/>
          <w:lang w:eastAsia="ja-JP"/>
        </w:rPr>
        <w:t>be submitted by the single submission date of 30 June 2027</w:t>
      </w:r>
      <w:r w:rsidR="00B76C42" w:rsidRPr="00195EB3">
        <w:rPr>
          <w:rFonts w:eastAsia="MS Mincho"/>
          <w:lang w:eastAsia="ja-JP"/>
        </w:rPr>
        <w:t xml:space="preserve">, and </w:t>
      </w:r>
      <w:r w:rsidR="00B76C42" w:rsidRPr="00195EB3">
        <w:t>subsequently</w:t>
      </w:r>
      <w:r w:rsidR="00B76C42" w:rsidRPr="00195EB3">
        <w:rPr>
          <w:rFonts w:eastAsia="MS Mincho"/>
          <w:lang w:eastAsia="ja-JP"/>
        </w:rPr>
        <w:t xml:space="preserve"> on a four-year cycle</w:t>
      </w:r>
      <w:r w:rsidR="000237EF" w:rsidRPr="00195EB3">
        <w:rPr>
          <w:rFonts w:eastAsia="MS Mincho"/>
          <w:lang w:eastAsia="ja-JP"/>
        </w:rPr>
        <w:t>.</w:t>
      </w:r>
      <w:r w:rsidR="002F6998" w:rsidRPr="00195EB3">
        <w:rPr>
          <w:rFonts w:eastAsia="MS Mincho"/>
          <w:lang w:eastAsia="ja-JP"/>
        </w:rPr>
        <w:t xml:space="preserve"> It is to be noted that the process to transfer an element from the Representative List to the Urgent Safeguarding List is not expected to be impacted by the move to the new reporting system.</w:t>
      </w:r>
    </w:p>
    <w:p w14:paraId="47AE00BE" w14:textId="4D5AACE3" w:rsidR="00126F31" w:rsidRPr="00195EB3" w:rsidRDefault="00C26EBD" w:rsidP="00027638">
      <w:pPr>
        <w:pStyle w:val="COMPara"/>
        <w:ind w:left="567" w:hanging="567"/>
        <w:jc w:val="both"/>
      </w:pPr>
      <w:r w:rsidRPr="00195EB3">
        <w:t>T</w:t>
      </w:r>
      <w:r w:rsidR="00CB5711" w:rsidRPr="00195EB3">
        <w:t>he Committee will continue to examine periodic reports on the implementation of the Convention submitted by States Parties (in compliance with Article 29 of the Convention) and on the status of elements inscribed on the Urgent Safeguarding List. Similarly, periodic reports will continue to be submitted by the Committee to the General Assembly and also brought to the attention of the General Conference of UNESCO (in compliance with Article 30 of the Convention).</w:t>
      </w:r>
    </w:p>
    <w:p w14:paraId="707C8FAD" w14:textId="6528C177" w:rsidR="009E5295" w:rsidRPr="00195EB3" w:rsidRDefault="004A67C0" w:rsidP="00C26EBD">
      <w:pPr>
        <w:pStyle w:val="COMPara"/>
        <w:ind w:left="567" w:hanging="567"/>
        <w:jc w:val="both"/>
      </w:pPr>
      <w:r w:rsidRPr="00195EB3">
        <w:rPr>
          <w:lang w:val="en-US"/>
        </w:rPr>
        <w:t xml:space="preserve">The twentieth session of the Committee endorsed this </w:t>
      </w:r>
      <w:r w:rsidR="007558FF" w:rsidRPr="00195EB3">
        <w:rPr>
          <w:lang w:val="en-US"/>
        </w:rPr>
        <w:t>proposed way forward</w:t>
      </w:r>
      <w:r w:rsidRPr="00195EB3">
        <w:rPr>
          <w:lang w:val="en-US"/>
        </w:rPr>
        <w:t xml:space="preserve"> and recommended that the General Assembly </w:t>
      </w:r>
      <w:r w:rsidR="00263C49" w:rsidRPr="00195EB3">
        <w:rPr>
          <w:lang w:val="en-US"/>
        </w:rPr>
        <w:t xml:space="preserve">revise </w:t>
      </w:r>
      <w:r w:rsidRPr="00195EB3">
        <w:rPr>
          <w:lang w:val="en-US"/>
        </w:rPr>
        <w:t xml:space="preserve">the Operational Directives to support this move (Decision </w:t>
      </w:r>
      <w:hyperlink r:id="rId22" w:history="1">
        <w:r w:rsidRPr="00195EB3">
          <w:rPr>
            <w:rStyle w:val="Hyperlink"/>
            <w:lang w:val="en-US"/>
          </w:rPr>
          <w:t>20.COM 6.c</w:t>
        </w:r>
      </w:hyperlink>
      <w:r w:rsidRPr="00195EB3">
        <w:rPr>
          <w:lang w:val="en-US"/>
        </w:rPr>
        <w:t>).</w:t>
      </w:r>
      <w:r w:rsidR="00C26EBD" w:rsidRPr="00195EB3">
        <w:t xml:space="preserve"> </w:t>
      </w:r>
      <w:r w:rsidR="00585426" w:rsidRPr="00195EB3">
        <w:t>Once the proposed amendments are approved, it is to be understood that t</w:t>
      </w:r>
      <w:r w:rsidR="00011933" w:rsidRPr="00195EB3">
        <w:t xml:space="preserve">he submission of periodic reports </w:t>
      </w:r>
      <w:r w:rsidR="00946BAF" w:rsidRPr="00195EB3">
        <w:t xml:space="preserve">under the three reporting mechanisms </w:t>
      </w:r>
      <w:r w:rsidR="00585426" w:rsidRPr="00195EB3">
        <w:t>will</w:t>
      </w:r>
      <w:r w:rsidR="00011933" w:rsidRPr="00195EB3">
        <w:t xml:space="preserve"> be suspended for the deadline of 15 December 2026, including for overdue reports</w:t>
      </w:r>
      <w:r w:rsidR="00585426" w:rsidRPr="00195EB3">
        <w:t>.</w:t>
      </w:r>
    </w:p>
    <w:p w14:paraId="6638387D" w14:textId="09535F6C" w:rsidR="005D39F8" w:rsidRPr="00195EB3" w:rsidRDefault="00B864BD" w:rsidP="00986AFE">
      <w:pPr>
        <w:pStyle w:val="COMPara"/>
        <w:ind w:left="567" w:hanging="567"/>
        <w:jc w:val="both"/>
      </w:pPr>
      <w:r w:rsidRPr="00195EB3">
        <w:t>As part of the reflection year scheduled at the end of the first regional cycle of reporting, different aspects of the move to</w:t>
      </w:r>
      <w:r w:rsidR="00051D25" w:rsidRPr="00195EB3">
        <w:t>wards</w:t>
      </w:r>
      <w:r w:rsidRPr="00195EB3">
        <w:t xml:space="preserve"> the single global submission system were extensively discussed by the Convention’s stakeholders. </w:t>
      </w:r>
      <w:r w:rsidR="0038490E" w:rsidRPr="00195EB3">
        <w:t xml:space="preserve">The reflection notably </w:t>
      </w:r>
      <w:r w:rsidR="000B5B8D" w:rsidRPr="00195EB3">
        <w:t>concerned</w:t>
      </w:r>
      <w:r w:rsidR="0038490E" w:rsidRPr="00195EB3">
        <w:t xml:space="preserve"> timelines, simplification of reporting forms and the capacity</w:t>
      </w:r>
      <w:r w:rsidR="007558FF" w:rsidRPr="00195EB3">
        <w:t>-building</w:t>
      </w:r>
      <w:r w:rsidR="0038490E" w:rsidRPr="00195EB3">
        <w:t xml:space="preserve"> approach. </w:t>
      </w:r>
      <w:r w:rsidRPr="00195EB3">
        <w:t xml:space="preserve">The process involved </w:t>
      </w:r>
      <w:r w:rsidR="0038490E" w:rsidRPr="00195EB3">
        <w:t>a series of five</w:t>
      </w:r>
      <w:r w:rsidRPr="00195EB3">
        <w:t xml:space="preserve"> regional consultations that took place in April and May 2025 as well as the </w:t>
      </w:r>
      <w:hyperlink r:id="rId23" w:history="1">
        <w:r w:rsidRPr="00195EB3">
          <w:rPr>
            <w:rStyle w:val="Hyperlink"/>
          </w:rPr>
          <w:t xml:space="preserve">global </w:t>
        </w:r>
        <w:r w:rsidRPr="00195EB3">
          <w:rPr>
            <w:rStyle w:val="Hyperlink"/>
          </w:rPr>
          <w:lastRenderedPageBreak/>
          <w:t xml:space="preserve">reflection </w:t>
        </w:r>
        <w:r w:rsidR="007558FF" w:rsidRPr="00195EB3">
          <w:rPr>
            <w:rStyle w:val="Hyperlink"/>
          </w:rPr>
          <w:t>meeting</w:t>
        </w:r>
      </w:hyperlink>
      <w:r w:rsidR="007558FF" w:rsidRPr="00195EB3">
        <w:t xml:space="preserve"> </w:t>
      </w:r>
      <w:r w:rsidRPr="00195EB3">
        <w:t xml:space="preserve">on </w:t>
      </w:r>
      <w:r w:rsidR="007558FF" w:rsidRPr="00195EB3">
        <w:t xml:space="preserve">the </w:t>
      </w:r>
      <w:r w:rsidRPr="00195EB3">
        <w:t xml:space="preserve">periodic reporting </w:t>
      </w:r>
      <w:r w:rsidR="007558FF" w:rsidRPr="00195EB3">
        <w:t xml:space="preserve">mechanisms of the 2003 Convention </w:t>
      </w:r>
      <w:r w:rsidRPr="00195EB3">
        <w:t>organised online from 28 to 30 April 2026.</w:t>
      </w:r>
    </w:p>
    <w:p w14:paraId="49FD0FBC" w14:textId="4F61B6ED" w:rsidR="0068042E" w:rsidRPr="00195EB3" w:rsidRDefault="0068042E" w:rsidP="00475817">
      <w:pPr>
        <w:pStyle w:val="COMPara"/>
        <w:numPr>
          <w:ilvl w:val="0"/>
          <w:numId w:val="0"/>
        </w:numPr>
        <w:ind w:left="567"/>
        <w:jc w:val="center"/>
      </w:pPr>
      <w:r w:rsidRPr="00195EB3">
        <w:t>***</w:t>
      </w:r>
    </w:p>
    <w:p w14:paraId="31C23A47" w14:textId="2550DE06" w:rsidR="00504B9E" w:rsidRPr="00195EB3" w:rsidRDefault="00504B9E" w:rsidP="00403A70">
      <w:pPr>
        <w:pStyle w:val="COMPara"/>
        <w:ind w:left="567" w:hanging="567"/>
        <w:jc w:val="both"/>
      </w:pPr>
      <w:r w:rsidRPr="00195EB3">
        <w:t>The above-mentioned revisions to the Operational Directives are presented in the annex for the attention of the present session of the General Assembly.</w:t>
      </w:r>
    </w:p>
    <w:p w14:paraId="0342793C" w14:textId="08EE7393" w:rsidR="00504B9E" w:rsidRPr="00195EB3" w:rsidRDefault="00903A44" w:rsidP="00195EB3">
      <w:pPr>
        <w:pStyle w:val="GAPara"/>
        <w:numPr>
          <w:ilvl w:val="0"/>
          <w:numId w:val="39"/>
        </w:numPr>
        <w:ind w:left="1134" w:hanging="567"/>
        <w:jc w:val="both"/>
      </w:pPr>
      <w:r w:rsidRPr="00195EB3">
        <w:t xml:space="preserve">The texts highlighted in green pertain to the revisions recommended by the twentieth session of the Committee </w:t>
      </w:r>
      <w:r w:rsidRPr="00195EB3">
        <w:rPr>
          <w:rFonts w:eastAsia="SimSun"/>
          <w:color w:val="000000" w:themeColor="text1"/>
          <w:lang w:val="en-US"/>
        </w:rPr>
        <w:t xml:space="preserve">(Decision </w:t>
      </w:r>
      <w:hyperlink r:id="rId24" w:history="1">
        <w:r w:rsidRPr="00195EB3">
          <w:rPr>
            <w:rStyle w:val="Hyperlink"/>
            <w:rFonts w:eastAsia="SimSun"/>
            <w:lang w:val="en-US"/>
          </w:rPr>
          <w:t>20.COM 8</w:t>
        </w:r>
      </w:hyperlink>
      <w:r w:rsidRPr="00195EB3">
        <w:rPr>
          <w:rFonts w:eastAsia="SimSun"/>
          <w:color w:val="000000" w:themeColor="text1"/>
          <w:lang w:val="en-US"/>
        </w:rPr>
        <w:t>) concerning the treatment of files to the listing mechanisms of the Convention</w:t>
      </w:r>
      <w:r w:rsidR="00504B9E" w:rsidRPr="00195EB3">
        <w:t>.</w:t>
      </w:r>
    </w:p>
    <w:p w14:paraId="1BB67E70" w14:textId="5D390D06" w:rsidR="0022052F" w:rsidRPr="00195EB3" w:rsidRDefault="00903A44" w:rsidP="00195EB3">
      <w:pPr>
        <w:pStyle w:val="GAPara"/>
        <w:numPr>
          <w:ilvl w:val="0"/>
          <w:numId w:val="39"/>
        </w:numPr>
        <w:ind w:left="1134" w:hanging="567"/>
        <w:jc w:val="both"/>
      </w:pPr>
      <w:r w:rsidRPr="00195EB3">
        <w:t>The texts highlighted in blue pertain to the revision</w:t>
      </w:r>
      <w:r w:rsidR="00937014" w:rsidRPr="00195EB3">
        <w:t>s</w:t>
      </w:r>
      <w:r w:rsidRPr="00195EB3">
        <w:t xml:space="preserve"> recommended </w:t>
      </w:r>
      <w:r w:rsidR="00937014" w:rsidRPr="00195EB3">
        <w:t>by the twentieth session of the Committee</w:t>
      </w:r>
      <w:r w:rsidR="00937014" w:rsidRPr="00195EB3" w:rsidDel="00937014">
        <w:t xml:space="preserve"> </w:t>
      </w:r>
      <w:r w:rsidRPr="00195EB3">
        <w:t>(</w:t>
      </w:r>
      <w:r w:rsidRPr="00195EB3">
        <w:rPr>
          <w:rFonts w:eastAsia="SimSun"/>
          <w:color w:val="000000" w:themeColor="text1"/>
          <w:lang w:val="en-US"/>
        </w:rPr>
        <w:t xml:space="preserve">Decision </w:t>
      </w:r>
      <w:hyperlink r:id="rId25" w:history="1">
        <w:r w:rsidRPr="00195EB3">
          <w:rPr>
            <w:rStyle w:val="Hyperlink"/>
            <w:rFonts w:eastAsia="SimSun"/>
            <w:lang w:val="en-US"/>
          </w:rPr>
          <w:t>20.COM 6.c</w:t>
        </w:r>
      </w:hyperlink>
      <w:r w:rsidRPr="00195EB3">
        <w:rPr>
          <w:rFonts w:eastAsia="SimSun"/>
          <w:color w:val="000000" w:themeColor="text1"/>
          <w:lang w:val="en-US"/>
        </w:rPr>
        <w:t>) to support the move towards the single global submission system of periodic reporting</w:t>
      </w:r>
      <w:r w:rsidR="004F5CB4" w:rsidRPr="00195EB3">
        <w:rPr>
          <w:lang w:val="en-US"/>
        </w:rPr>
        <w:t>.</w:t>
      </w:r>
    </w:p>
    <w:p w14:paraId="062AF213" w14:textId="135B5379" w:rsidR="00CE257F" w:rsidRPr="00195EB3" w:rsidRDefault="005C792B" w:rsidP="00475817">
      <w:pPr>
        <w:pStyle w:val="COMPara"/>
        <w:ind w:left="567" w:hanging="567"/>
      </w:pPr>
      <w:r w:rsidRPr="00195EB3">
        <w:t>The General Assembly may wish to adopt the following resolution</w:t>
      </w:r>
      <w:r w:rsidR="00937014" w:rsidRPr="00195EB3">
        <w:t>:</w:t>
      </w:r>
    </w:p>
    <w:p w14:paraId="6CEB1E9D" w14:textId="4851D37B" w:rsidR="00D95C4C" w:rsidRPr="00195EB3" w:rsidRDefault="004A34A0" w:rsidP="001D14FE">
      <w:pPr>
        <w:pStyle w:val="COMTitleDecision"/>
        <w:rPr>
          <w:rFonts w:eastAsia="SimSun"/>
        </w:rPr>
      </w:pPr>
      <w:r w:rsidRPr="00195EB3">
        <w:t xml:space="preserve">DRAFT </w:t>
      </w:r>
      <w:r w:rsidR="005C792B" w:rsidRPr="00195EB3">
        <w:t>RESOLUTION</w:t>
      </w:r>
      <w:r w:rsidR="00CB0542" w:rsidRPr="00195EB3">
        <w:t xml:space="preserve"> 1</w:t>
      </w:r>
      <w:r w:rsidR="0026085B" w:rsidRPr="00195EB3">
        <w:t>1</w:t>
      </w:r>
      <w:r w:rsidR="00EC6F8D" w:rsidRPr="00195EB3">
        <w:t>.</w:t>
      </w:r>
      <w:r w:rsidR="005C792B" w:rsidRPr="00195EB3">
        <w:t>GA</w:t>
      </w:r>
      <w:r w:rsidR="00517FD8" w:rsidRPr="00195EB3">
        <w:t xml:space="preserve"> </w:t>
      </w:r>
      <w:r w:rsidR="00CB3AF8" w:rsidRPr="00195EB3">
        <w:t>7</w:t>
      </w:r>
    </w:p>
    <w:p w14:paraId="13024F0B" w14:textId="5181E164" w:rsidR="00D95C4C" w:rsidRPr="00195EB3" w:rsidRDefault="005C792B" w:rsidP="00285BB4">
      <w:pPr>
        <w:pStyle w:val="COMPreambulaDecisions"/>
        <w:rPr>
          <w:rFonts w:eastAsia="SimSun"/>
        </w:rPr>
      </w:pPr>
      <w:r w:rsidRPr="00195EB3">
        <w:t>The General Assembly,</w:t>
      </w:r>
    </w:p>
    <w:p w14:paraId="5A9F22F3" w14:textId="5824F734" w:rsidR="0057439C" w:rsidRPr="00195EB3" w:rsidRDefault="00D95C4C" w:rsidP="0015767D">
      <w:pPr>
        <w:pStyle w:val="COMParaDecision"/>
      </w:pPr>
      <w:r w:rsidRPr="00195EB3">
        <w:t>Having examined</w:t>
      </w:r>
      <w:r w:rsidRPr="00195EB3">
        <w:rPr>
          <w:u w:val="none"/>
        </w:rPr>
        <w:t xml:space="preserve"> </w:t>
      </w:r>
      <w:r w:rsidR="00480175" w:rsidRPr="00195EB3">
        <w:rPr>
          <w:u w:val="none"/>
        </w:rPr>
        <w:t>d</w:t>
      </w:r>
      <w:r w:rsidRPr="00195EB3">
        <w:rPr>
          <w:u w:val="none"/>
        </w:rPr>
        <w:t>oc</w:t>
      </w:r>
      <w:r w:rsidR="00CB0542" w:rsidRPr="00195EB3">
        <w:rPr>
          <w:u w:val="none"/>
        </w:rPr>
        <w:t xml:space="preserve">ument </w:t>
      </w:r>
      <w:r w:rsidR="00C5776D" w:rsidRPr="00195EB3">
        <w:rPr>
          <w:u w:val="none"/>
        </w:rPr>
        <w:t>LHE</w:t>
      </w:r>
      <w:r w:rsidR="00CB0542" w:rsidRPr="00195EB3">
        <w:rPr>
          <w:u w:val="none"/>
        </w:rPr>
        <w:t>/</w:t>
      </w:r>
      <w:r w:rsidR="00D7105A" w:rsidRPr="00195EB3">
        <w:rPr>
          <w:u w:val="none"/>
        </w:rPr>
        <w:t>2</w:t>
      </w:r>
      <w:r w:rsidR="0026085B" w:rsidRPr="00195EB3">
        <w:rPr>
          <w:u w:val="none"/>
        </w:rPr>
        <w:t>6</w:t>
      </w:r>
      <w:r w:rsidR="00337CEB" w:rsidRPr="00195EB3">
        <w:rPr>
          <w:u w:val="none"/>
        </w:rPr>
        <w:t>/1</w:t>
      </w:r>
      <w:r w:rsidR="0026085B" w:rsidRPr="00195EB3">
        <w:rPr>
          <w:u w:val="none"/>
        </w:rPr>
        <w:t>1</w:t>
      </w:r>
      <w:r w:rsidR="00EC6F8D" w:rsidRPr="00195EB3">
        <w:rPr>
          <w:u w:val="none"/>
        </w:rPr>
        <w:t>.</w:t>
      </w:r>
      <w:r w:rsidR="005C792B" w:rsidRPr="00195EB3">
        <w:rPr>
          <w:u w:val="none"/>
        </w:rPr>
        <w:t>GA</w:t>
      </w:r>
      <w:r w:rsidR="004A34A0" w:rsidRPr="00195EB3">
        <w:rPr>
          <w:u w:val="none"/>
        </w:rPr>
        <w:t>/</w:t>
      </w:r>
      <w:r w:rsidR="0099273E" w:rsidRPr="00195EB3">
        <w:rPr>
          <w:u w:val="none"/>
        </w:rPr>
        <w:t xml:space="preserve">7 </w:t>
      </w:r>
      <w:r w:rsidR="006E75EB" w:rsidRPr="00195EB3">
        <w:rPr>
          <w:u w:val="none"/>
        </w:rPr>
        <w:t>and its annex,</w:t>
      </w:r>
    </w:p>
    <w:p w14:paraId="260CA8D5" w14:textId="226CB09A" w:rsidR="0057439C" w:rsidRPr="00195EB3" w:rsidRDefault="0057439C" w:rsidP="0015767D">
      <w:pPr>
        <w:pStyle w:val="COMParaDecision"/>
      </w:pPr>
      <w:r w:rsidRPr="00195EB3">
        <w:t>Recallin</w:t>
      </w:r>
      <w:r w:rsidR="00517FD8" w:rsidRPr="00195EB3">
        <w:t>g</w:t>
      </w:r>
      <w:r w:rsidR="00517FD8" w:rsidRPr="00195EB3">
        <w:rPr>
          <w:u w:val="none"/>
        </w:rPr>
        <w:t xml:space="preserve"> </w:t>
      </w:r>
      <w:r w:rsidR="008E344F" w:rsidRPr="00195EB3">
        <w:rPr>
          <w:u w:val="none"/>
        </w:rPr>
        <w:t>Decision</w:t>
      </w:r>
      <w:r w:rsidR="00970594" w:rsidRPr="00195EB3">
        <w:rPr>
          <w:u w:val="none"/>
        </w:rPr>
        <w:t>s</w:t>
      </w:r>
      <w:r w:rsidR="008E344F" w:rsidRPr="00195EB3">
        <w:rPr>
          <w:u w:val="none"/>
        </w:rPr>
        <w:t xml:space="preserve"> </w:t>
      </w:r>
      <w:hyperlink r:id="rId26" w:history="1">
        <w:r w:rsidR="0099273E" w:rsidRPr="00195EB3">
          <w:rPr>
            <w:rStyle w:val="Hyperlink"/>
          </w:rPr>
          <w:t>20.COM</w:t>
        </w:r>
        <w:r w:rsidR="008E344F" w:rsidRPr="00195EB3">
          <w:rPr>
            <w:rStyle w:val="Hyperlink"/>
          </w:rPr>
          <w:t xml:space="preserve"> </w:t>
        </w:r>
        <w:r w:rsidR="0099273E" w:rsidRPr="00195EB3">
          <w:rPr>
            <w:rStyle w:val="Hyperlink"/>
          </w:rPr>
          <w:t>6.c</w:t>
        </w:r>
      </w:hyperlink>
      <w:r w:rsidR="0099273E" w:rsidRPr="00195EB3">
        <w:rPr>
          <w:u w:val="none"/>
        </w:rPr>
        <w:t xml:space="preserve"> </w:t>
      </w:r>
      <w:r w:rsidR="00970594" w:rsidRPr="00195EB3">
        <w:rPr>
          <w:u w:val="none"/>
        </w:rPr>
        <w:t>and</w:t>
      </w:r>
      <w:r w:rsidR="008E344F" w:rsidRPr="00195EB3">
        <w:rPr>
          <w:u w:val="none"/>
        </w:rPr>
        <w:t xml:space="preserve"> </w:t>
      </w:r>
      <w:hyperlink r:id="rId27" w:history="1">
        <w:r w:rsidR="00555102" w:rsidRPr="00195EB3">
          <w:rPr>
            <w:rStyle w:val="Hyperlink"/>
          </w:rPr>
          <w:t>20</w:t>
        </w:r>
        <w:r w:rsidR="008E344F" w:rsidRPr="00195EB3">
          <w:rPr>
            <w:rStyle w:val="Hyperlink"/>
          </w:rPr>
          <w:t xml:space="preserve">.COM </w:t>
        </w:r>
        <w:r w:rsidR="0099273E" w:rsidRPr="00195EB3">
          <w:rPr>
            <w:rStyle w:val="Hyperlink"/>
          </w:rPr>
          <w:t>8</w:t>
        </w:r>
      </w:hyperlink>
      <w:r w:rsidRPr="00195EB3">
        <w:rPr>
          <w:u w:val="none"/>
        </w:rPr>
        <w:t>,</w:t>
      </w:r>
    </w:p>
    <w:p w14:paraId="101D6B2B" w14:textId="77777777" w:rsidR="00A37950" w:rsidRPr="00195EB3" w:rsidRDefault="00A37950" w:rsidP="00475817">
      <w:pPr>
        <w:pStyle w:val="COMParaDecision"/>
        <w:numPr>
          <w:ilvl w:val="0"/>
          <w:numId w:val="0"/>
        </w:numPr>
        <w:spacing w:before="240"/>
        <w:ind w:left="1134"/>
        <w:rPr>
          <w:b/>
          <w:bCs/>
          <w:u w:val="none"/>
        </w:rPr>
      </w:pPr>
      <w:r w:rsidRPr="00195EB3">
        <w:rPr>
          <w:b/>
          <w:bCs/>
          <w:u w:val="none"/>
        </w:rPr>
        <w:t>Treatment of nomination files for the listing mechanisms of the Convention</w:t>
      </w:r>
    </w:p>
    <w:p w14:paraId="26AA27DD" w14:textId="3EBFDB3D" w:rsidR="005C792B" w:rsidRPr="00195EB3" w:rsidRDefault="00BA5BE9" w:rsidP="00475817">
      <w:pPr>
        <w:pStyle w:val="COMParaDecision"/>
      </w:pPr>
      <w:r w:rsidRPr="00195EB3">
        <w:t>Takes note</w:t>
      </w:r>
      <w:r w:rsidRPr="00195EB3">
        <w:rPr>
          <w:u w:val="none"/>
        </w:rPr>
        <w:t xml:space="preserve"> of the proposed revisions to the Operational Directives endorsed by the twentieth session of the Committee concerning the treatment of </w:t>
      </w:r>
      <w:r w:rsidR="00C20B88" w:rsidRPr="00195EB3">
        <w:rPr>
          <w:u w:val="none"/>
        </w:rPr>
        <w:t xml:space="preserve">nomination </w:t>
      </w:r>
      <w:r w:rsidRPr="00195EB3">
        <w:rPr>
          <w:u w:val="none"/>
        </w:rPr>
        <w:t>files to the listing mechanism</w:t>
      </w:r>
      <w:r w:rsidR="0026340B" w:rsidRPr="00195EB3">
        <w:rPr>
          <w:u w:val="none"/>
        </w:rPr>
        <w:t>s</w:t>
      </w:r>
      <w:r w:rsidRPr="00195EB3">
        <w:rPr>
          <w:u w:val="none"/>
        </w:rPr>
        <w:t xml:space="preserve"> of the Convention</w:t>
      </w:r>
      <w:r w:rsidR="0015767D" w:rsidRPr="00195EB3">
        <w:rPr>
          <w:u w:val="none"/>
        </w:rPr>
        <w:t>;</w:t>
      </w:r>
    </w:p>
    <w:p w14:paraId="460DBB0E" w14:textId="787FC01E" w:rsidR="0015767D" w:rsidRPr="00195EB3" w:rsidRDefault="0015767D">
      <w:pPr>
        <w:pStyle w:val="COMParaDecision"/>
        <w:rPr>
          <w:u w:val="none"/>
        </w:rPr>
      </w:pPr>
      <w:r w:rsidRPr="00195EB3">
        <w:rPr>
          <w:lang w:val="en-US"/>
        </w:rPr>
        <w:t>Appreciates</w:t>
      </w:r>
      <w:r w:rsidRPr="00195EB3">
        <w:rPr>
          <w:u w:val="none"/>
          <w:lang w:val="en-US"/>
        </w:rPr>
        <w:t xml:space="preserve"> the positive effects of the current approach applied to the technical completeness check phase of the treatment of nominations, to support the efforts from States and communities,</w:t>
      </w:r>
      <w:r w:rsidR="007C21A3" w:rsidRPr="00195EB3">
        <w:rPr>
          <w:u w:val="none"/>
          <w:lang w:val="en-US"/>
        </w:rPr>
        <w:t xml:space="preserve"> while, at the same time,</w:t>
      </w:r>
      <w:r w:rsidRPr="00195EB3">
        <w:rPr>
          <w:u w:val="none"/>
          <w:lang w:val="en-US"/>
        </w:rPr>
        <w:t xml:space="preserve"> </w:t>
      </w:r>
      <w:r w:rsidRPr="00195EB3">
        <w:rPr>
          <w:lang w:val="en-US"/>
        </w:rPr>
        <w:t>call</w:t>
      </w:r>
      <w:r w:rsidR="0026340B" w:rsidRPr="00195EB3">
        <w:rPr>
          <w:lang w:val="en-US"/>
        </w:rPr>
        <w:t>s</w:t>
      </w:r>
      <w:r w:rsidRPr="00195EB3">
        <w:rPr>
          <w:lang w:val="en-US"/>
        </w:rPr>
        <w:t xml:space="preserve"> upon</w:t>
      </w:r>
      <w:r w:rsidRPr="00195EB3">
        <w:rPr>
          <w:u w:val="none"/>
          <w:lang w:val="en-US"/>
        </w:rPr>
        <w:t xml:space="preserve"> States Parties to refrain from undertaking substantial changes through this phase;</w:t>
      </w:r>
    </w:p>
    <w:p w14:paraId="4E98E4B0" w14:textId="1E0A6AC4" w:rsidR="0037171B" w:rsidRPr="00195EB3" w:rsidRDefault="0037171B" w:rsidP="00475817">
      <w:pPr>
        <w:pStyle w:val="COMParaDecision"/>
        <w:rPr>
          <w:u w:val="none"/>
        </w:rPr>
      </w:pPr>
      <w:r w:rsidRPr="00195EB3">
        <w:t>Approves</w:t>
      </w:r>
      <w:r w:rsidRPr="00195EB3">
        <w:rPr>
          <w:u w:val="none"/>
        </w:rPr>
        <w:t xml:space="preserve"> the revisions to the Operational Directives as contained in the annex of the present Resolution (concerning the treatment of nomination files for the listing mechanisms of the Convention)</w:t>
      </w:r>
      <w:r w:rsidR="00604A16" w:rsidRPr="00195EB3">
        <w:rPr>
          <w:u w:val="none"/>
        </w:rPr>
        <w:t xml:space="preserve">, and </w:t>
      </w:r>
      <w:r w:rsidR="00604A16" w:rsidRPr="00195EB3">
        <w:t>understands</w:t>
      </w:r>
      <w:r w:rsidR="00604A16" w:rsidRPr="00195EB3">
        <w:rPr>
          <w:u w:val="none"/>
        </w:rPr>
        <w:t xml:space="preserve"> that the revised timetable contained thereof will be implemented from the 2027 nomination cycle onwards;</w:t>
      </w:r>
    </w:p>
    <w:p w14:paraId="0DE86411" w14:textId="77777777" w:rsidR="00E87883" w:rsidRPr="00195EB3" w:rsidRDefault="00E87883" w:rsidP="00475817">
      <w:pPr>
        <w:pStyle w:val="COMParaDecision"/>
        <w:numPr>
          <w:ilvl w:val="0"/>
          <w:numId w:val="0"/>
        </w:numPr>
        <w:spacing w:before="240"/>
        <w:ind w:left="1134"/>
        <w:rPr>
          <w:b/>
          <w:bCs/>
          <w:u w:val="none"/>
        </w:rPr>
      </w:pPr>
      <w:r w:rsidRPr="00195EB3">
        <w:rPr>
          <w:b/>
          <w:bCs/>
          <w:u w:val="none"/>
        </w:rPr>
        <w:t>Single global submission system of periodic reporting</w:t>
      </w:r>
    </w:p>
    <w:p w14:paraId="4EB5C413" w14:textId="01D40469" w:rsidR="00D95C4C" w:rsidRPr="00195EB3" w:rsidRDefault="00C20B88" w:rsidP="0015767D">
      <w:pPr>
        <w:pStyle w:val="COMParaDecision"/>
      </w:pPr>
      <w:r w:rsidRPr="00195EB3">
        <w:t>Further takes note</w:t>
      </w:r>
      <w:r w:rsidR="00517FD8" w:rsidRPr="00195EB3">
        <w:rPr>
          <w:u w:val="none"/>
        </w:rPr>
        <w:t xml:space="preserve"> </w:t>
      </w:r>
      <w:r w:rsidRPr="00195EB3">
        <w:rPr>
          <w:u w:val="none"/>
        </w:rPr>
        <w:t>of the proposed revisions to the Operational Directives endorsed by the twentieth session of the Committee concerning the move towards a single global submission system of periodic reporting</w:t>
      </w:r>
      <w:r w:rsidR="0015767D" w:rsidRPr="00195EB3">
        <w:rPr>
          <w:u w:val="none"/>
        </w:rPr>
        <w:t>;</w:t>
      </w:r>
    </w:p>
    <w:p w14:paraId="79475903" w14:textId="3DB9F1A2" w:rsidR="0037171B" w:rsidRPr="00195EB3" w:rsidRDefault="00C20B88" w:rsidP="0015767D">
      <w:pPr>
        <w:pStyle w:val="COMParaDecision"/>
      </w:pPr>
      <w:r w:rsidRPr="00195EB3">
        <w:t>Approves</w:t>
      </w:r>
      <w:r w:rsidR="005B7A35" w:rsidRPr="00195EB3">
        <w:rPr>
          <w:u w:val="none"/>
        </w:rPr>
        <w:t xml:space="preserve"> </w:t>
      </w:r>
      <w:r w:rsidRPr="00195EB3">
        <w:rPr>
          <w:u w:val="none"/>
        </w:rPr>
        <w:t xml:space="preserve">the </w:t>
      </w:r>
      <w:r w:rsidR="0037171B" w:rsidRPr="00195EB3">
        <w:rPr>
          <w:u w:val="none"/>
        </w:rPr>
        <w:t>revisions</w:t>
      </w:r>
      <w:r w:rsidRPr="00195EB3">
        <w:rPr>
          <w:u w:val="none"/>
        </w:rPr>
        <w:t xml:space="preserve"> to the Operational Directives as contained in the annex of the present Resolution</w:t>
      </w:r>
      <w:r w:rsidR="0037171B" w:rsidRPr="00195EB3">
        <w:rPr>
          <w:u w:val="none"/>
        </w:rPr>
        <w:t xml:space="preserve"> (required to support the move to</w:t>
      </w:r>
      <w:r w:rsidR="00FB36DF" w:rsidRPr="00195EB3">
        <w:rPr>
          <w:u w:val="none"/>
        </w:rPr>
        <w:t>wards</w:t>
      </w:r>
      <w:r w:rsidR="0037171B" w:rsidRPr="00195EB3">
        <w:rPr>
          <w:u w:val="none"/>
        </w:rPr>
        <w:t xml:space="preserve"> the single global submission system of periodic reporting)</w:t>
      </w:r>
      <w:r w:rsidRPr="00195EB3">
        <w:rPr>
          <w:u w:val="none"/>
        </w:rPr>
        <w:t>.</w:t>
      </w:r>
    </w:p>
    <w:p w14:paraId="1B08DF9D" w14:textId="6532427E" w:rsidR="00190205" w:rsidRPr="00195EB3" w:rsidRDefault="00937D53" w:rsidP="00475817">
      <w:pPr>
        <w:pStyle w:val="COMParaDecision"/>
        <w:numPr>
          <w:ilvl w:val="0"/>
          <w:numId w:val="0"/>
        </w:numPr>
        <w:ind w:left="567"/>
      </w:pPr>
      <w:r w:rsidRPr="00195EB3">
        <w:br w:type="page"/>
      </w:r>
    </w:p>
    <w:p w14:paraId="41D9D0FE" w14:textId="77777777" w:rsidR="00F409F9" w:rsidRPr="00195EB3" w:rsidRDefault="00F409F9" w:rsidP="00D86BB3">
      <w:pPr>
        <w:rPr>
          <w:rFonts w:ascii="Arial" w:eastAsia="SimSun" w:hAnsi="Arial" w:cs="Arial"/>
          <w:sz w:val="22"/>
          <w:szCs w:val="22"/>
          <w:u w:val="single"/>
          <w:lang w:val="en-GB"/>
        </w:rPr>
        <w:sectPr w:rsidR="00F409F9" w:rsidRPr="00195EB3" w:rsidSect="00655736">
          <w:headerReference w:type="even" r:id="rId28"/>
          <w:headerReference w:type="default" r:id="rId29"/>
          <w:headerReference w:type="first" r:id="rId30"/>
          <w:pgSz w:w="11906" w:h="16838" w:code="9"/>
          <w:pgMar w:top="1418" w:right="1134" w:bottom="1134" w:left="1134" w:header="397" w:footer="284" w:gutter="0"/>
          <w:cols w:space="708"/>
          <w:titlePg/>
          <w:docGrid w:linePitch="360"/>
        </w:sectPr>
      </w:pPr>
    </w:p>
    <w:p w14:paraId="3FCC8E41" w14:textId="3EA511F7" w:rsidR="00F409F9" w:rsidRPr="00195EB3" w:rsidRDefault="00F409F9" w:rsidP="00504B9E">
      <w:pPr>
        <w:pStyle w:val="Heading4"/>
        <w:numPr>
          <w:ilvl w:val="0"/>
          <w:numId w:val="0"/>
        </w:numPr>
        <w:ind w:left="567" w:hanging="567"/>
        <w:jc w:val="center"/>
        <w:rPr>
          <w:rFonts w:eastAsia="SimSun" w:cs="Arial"/>
        </w:rPr>
      </w:pPr>
      <w:bookmarkStart w:id="2" w:name="_ANNEX"/>
      <w:bookmarkEnd w:id="2"/>
      <w:r w:rsidRPr="00195EB3">
        <w:rPr>
          <w:rFonts w:eastAsia="SimSun" w:cs="Arial"/>
        </w:rPr>
        <w:lastRenderedPageBreak/>
        <w:t>ANNEX</w:t>
      </w:r>
    </w:p>
    <w:p w14:paraId="7206802F" w14:textId="3DBB149B" w:rsidR="00F409F9" w:rsidRPr="00195EB3" w:rsidRDefault="00F409F9" w:rsidP="00F409F9">
      <w:pPr>
        <w:spacing w:after="240"/>
        <w:jc w:val="center"/>
        <w:rPr>
          <w:rFonts w:ascii="Arial" w:eastAsia="DengXian" w:hAnsi="Arial" w:cs="Arial"/>
          <w:b/>
          <w:bCs/>
          <w:kern w:val="2"/>
          <w:sz w:val="22"/>
          <w:szCs w:val="22"/>
          <w:lang w:val="en-GB" w:eastAsia="zh-CN"/>
          <w14:ligatures w14:val="standardContextual"/>
        </w:rPr>
      </w:pPr>
      <w:r w:rsidRPr="00195EB3">
        <w:rPr>
          <w:rFonts w:ascii="Arial" w:eastAsia="DengXian" w:hAnsi="Arial" w:cs="Arial"/>
          <w:b/>
          <w:bCs/>
          <w:kern w:val="2"/>
          <w:sz w:val="22"/>
          <w:szCs w:val="22"/>
          <w:lang w:val="en-GB" w:eastAsia="zh-CN"/>
          <w14:ligatures w14:val="standardContextual"/>
        </w:rPr>
        <w:t>Proposed amendments to the Operational Directives for the implementation of the Convention</w:t>
      </w:r>
    </w:p>
    <w:p w14:paraId="4C546B4A" w14:textId="0779E5FF" w:rsidR="00FC22D5" w:rsidRPr="00195EB3" w:rsidRDefault="0057205D" w:rsidP="00163C55">
      <w:pPr>
        <w:spacing w:before="120" w:after="120"/>
        <w:jc w:val="both"/>
        <w:rPr>
          <w:rFonts w:ascii="Arial" w:eastAsia="SimSun" w:hAnsi="Arial" w:cs="Arial"/>
          <w:color w:val="000000" w:themeColor="text1"/>
          <w:sz w:val="22"/>
          <w:szCs w:val="22"/>
          <w:lang w:val="en-GB"/>
        </w:rPr>
      </w:pPr>
      <w:r w:rsidRPr="00195EB3">
        <w:rPr>
          <w:rFonts w:ascii="Arial" w:eastAsia="SimSun" w:hAnsi="Arial" w:cs="Arial"/>
          <w:b/>
          <w:bCs/>
          <w:color w:val="000000" w:themeColor="text1"/>
          <w:sz w:val="22"/>
          <w:szCs w:val="22"/>
          <w:lang w:val="en-GB"/>
        </w:rPr>
        <w:t>Note</w:t>
      </w:r>
      <w:r w:rsidRPr="00195EB3">
        <w:rPr>
          <w:rFonts w:ascii="Arial" w:eastAsia="SimSun" w:hAnsi="Arial" w:cs="Arial"/>
          <w:color w:val="000000" w:themeColor="text1"/>
          <w:sz w:val="22"/>
          <w:szCs w:val="22"/>
          <w:lang w:val="en-GB"/>
        </w:rPr>
        <w:t xml:space="preserve">: </w:t>
      </w:r>
      <w:r w:rsidR="005C5990" w:rsidRPr="00195EB3">
        <w:rPr>
          <w:rFonts w:ascii="Arial" w:eastAsia="SimSun" w:hAnsi="Arial" w:cs="Arial"/>
          <w:color w:val="000000" w:themeColor="text1"/>
          <w:sz w:val="22"/>
          <w:szCs w:val="22"/>
          <w:lang w:val="en-US"/>
        </w:rPr>
        <w:t xml:space="preserve">The proposed amendments to the Operational Directives highlighted in green in the right-hand column reflect the revisions endorsed by the twentieth session of the Committee (Decision </w:t>
      </w:r>
      <w:hyperlink r:id="rId31" w:history="1">
        <w:r w:rsidR="005C5990" w:rsidRPr="00195EB3">
          <w:rPr>
            <w:rStyle w:val="Hyperlink"/>
            <w:rFonts w:ascii="Arial" w:eastAsia="SimSun" w:hAnsi="Arial" w:cs="Arial"/>
            <w:sz w:val="22"/>
            <w:szCs w:val="22"/>
            <w:lang w:val="en-US"/>
          </w:rPr>
          <w:t>20.COM 8</w:t>
        </w:r>
      </w:hyperlink>
      <w:r w:rsidR="005C5990" w:rsidRPr="00195EB3">
        <w:rPr>
          <w:rFonts w:ascii="Arial" w:eastAsia="SimSun" w:hAnsi="Arial" w:cs="Arial"/>
          <w:color w:val="000000" w:themeColor="text1"/>
          <w:sz w:val="22"/>
          <w:szCs w:val="22"/>
          <w:lang w:val="en-US"/>
        </w:rPr>
        <w:t xml:space="preserve">) concerning the treatment of files to the listing mechanisms of the Convention. Those highlighted in blue reflect the revisions endorsed </w:t>
      </w:r>
      <w:r w:rsidR="00BF590E" w:rsidRPr="00195EB3">
        <w:rPr>
          <w:rFonts w:ascii="Arial" w:eastAsia="SimSun" w:hAnsi="Arial" w:cs="Arial"/>
          <w:color w:val="000000" w:themeColor="text1"/>
          <w:sz w:val="22"/>
          <w:szCs w:val="22"/>
          <w:lang w:val="en-US"/>
        </w:rPr>
        <w:t>by</w:t>
      </w:r>
      <w:r w:rsidR="005C5990" w:rsidRPr="00195EB3">
        <w:rPr>
          <w:rFonts w:ascii="Arial" w:eastAsia="SimSun" w:hAnsi="Arial" w:cs="Arial"/>
          <w:color w:val="000000" w:themeColor="text1"/>
          <w:sz w:val="22"/>
          <w:szCs w:val="22"/>
          <w:lang w:val="en-US"/>
        </w:rPr>
        <w:t xml:space="preserve"> the Committee </w:t>
      </w:r>
      <w:r w:rsidR="00BF590E" w:rsidRPr="00195EB3">
        <w:rPr>
          <w:rFonts w:ascii="Arial" w:eastAsia="SimSun" w:hAnsi="Arial" w:cs="Arial"/>
          <w:color w:val="000000" w:themeColor="text1"/>
          <w:sz w:val="22"/>
          <w:szCs w:val="22"/>
          <w:lang w:val="en-US"/>
        </w:rPr>
        <w:t xml:space="preserve">at the same session </w:t>
      </w:r>
      <w:r w:rsidR="005C5990" w:rsidRPr="00195EB3">
        <w:rPr>
          <w:rFonts w:ascii="Arial" w:eastAsia="SimSun" w:hAnsi="Arial" w:cs="Arial"/>
          <w:color w:val="000000" w:themeColor="text1"/>
          <w:sz w:val="22"/>
          <w:szCs w:val="22"/>
          <w:lang w:val="en-US"/>
        </w:rPr>
        <w:t xml:space="preserve">(Decision </w:t>
      </w:r>
      <w:hyperlink r:id="rId32" w:history="1">
        <w:r w:rsidR="005C5990" w:rsidRPr="00195EB3">
          <w:rPr>
            <w:rStyle w:val="Hyperlink"/>
            <w:rFonts w:ascii="Arial" w:eastAsia="SimSun" w:hAnsi="Arial" w:cs="Arial"/>
            <w:sz w:val="22"/>
            <w:szCs w:val="22"/>
            <w:lang w:val="en-US"/>
          </w:rPr>
          <w:t>20.COM 6.c</w:t>
        </w:r>
      </w:hyperlink>
      <w:r w:rsidR="005C5990" w:rsidRPr="00195EB3">
        <w:rPr>
          <w:rFonts w:ascii="Arial" w:eastAsia="SimSun" w:hAnsi="Arial" w:cs="Arial"/>
          <w:color w:val="000000" w:themeColor="text1"/>
          <w:sz w:val="22"/>
          <w:szCs w:val="22"/>
          <w:lang w:val="en-US"/>
        </w:rPr>
        <w:t>) to support the move towards the single global submission system of periodic reporting</w:t>
      </w:r>
      <w:r w:rsidR="00163C55" w:rsidRPr="00195EB3">
        <w:rPr>
          <w:rFonts w:ascii="Arial" w:eastAsia="SimSun" w:hAnsi="Arial" w:cs="Arial"/>
          <w:color w:val="000000" w:themeColor="text1"/>
          <w:sz w:val="22"/>
          <w:szCs w:val="22"/>
          <w:lang w:val="en-US"/>
        </w:rPr>
        <w:t>.</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46"/>
        <w:gridCol w:w="6492"/>
        <w:gridCol w:w="777"/>
        <w:gridCol w:w="6113"/>
      </w:tblGrid>
      <w:tr w:rsidR="00123D82" w:rsidRPr="00195EB3" w14:paraId="4D0A4DEC" w14:textId="77777777" w:rsidTr="00CB1FCD">
        <w:trPr>
          <w:trHeight w:val="22"/>
        </w:trPr>
        <w:tc>
          <w:tcPr>
            <w:tcW w:w="2544" w:type="pct"/>
            <w:gridSpan w:val="2"/>
            <w:shd w:val="clear" w:color="auto" w:fill="C6D9F1"/>
          </w:tcPr>
          <w:p w14:paraId="5DA4CBC0" w14:textId="77777777" w:rsidR="00FC22D5" w:rsidRPr="00195EB3" w:rsidRDefault="00FC22D5" w:rsidP="005F773B">
            <w:pPr>
              <w:keepLines/>
              <w:spacing w:before="60" w:after="60"/>
              <w:jc w:val="center"/>
              <w:rPr>
                <w:rFonts w:ascii="Arial" w:hAnsi="Arial" w:cs="Arial"/>
                <w:b/>
                <w:bCs/>
                <w:sz w:val="22"/>
                <w:szCs w:val="22"/>
                <w:lang w:val="en-GB"/>
              </w:rPr>
            </w:pPr>
            <w:r w:rsidRPr="00195EB3">
              <w:rPr>
                <w:rFonts w:ascii="Arial" w:hAnsi="Arial" w:cs="Arial"/>
                <w:b/>
                <w:bCs/>
                <w:sz w:val="22"/>
                <w:szCs w:val="22"/>
                <w:lang w:val="en-GB"/>
              </w:rPr>
              <w:t>Operational Directives (2024 edition)</w:t>
            </w:r>
          </w:p>
        </w:tc>
        <w:tc>
          <w:tcPr>
            <w:tcW w:w="2456" w:type="pct"/>
            <w:gridSpan w:val="2"/>
            <w:shd w:val="clear" w:color="auto" w:fill="8DB3E2"/>
          </w:tcPr>
          <w:p w14:paraId="162964BC" w14:textId="77777777" w:rsidR="00FC22D5" w:rsidRPr="00195EB3" w:rsidRDefault="00FC22D5" w:rsidP="005F773B">
            <w:pPr>
              <w:keepLines/>
              <w:spacing w:before="60" w:after="60"/>
              <w:jc w:val="center"/>
              <w:rPr>
                <w:rFonts w:ascii="Arial" w:hAnsi="Arial" w:cs="Arial"/>
                <w:sz w:val="22"/>
                <w:szCs w:val="22"/>
                <w:lang w:val="en-GB"/>
              </w:rPr>
            </w:pPr>
            <w:r w:rsidRPr="00195EB3">
              <w:rPr>
                <w:rFonts w:ascii="Arial" w:hAnsi="Arial" w:cs="Arial"/>
                <w:b/>
                <w:bCs/>
                <w:sz w:val="22"/>
                <w:szCs w:val="22"/>
                <w:lang w:val="en-GB"/>
              </w:rPr>
              <w:t>Proposed amendments</w:t>
            </w:r>
          </w:p>
        </w:tc>
      </w:tr>
      <w:tr w:rsidR="00DC3239" w:rsidRPr="00195EB3" w14:paraId="6E04252C" w14:textId="77777777" w:rsidTr="00DF7E48">
        <w:tc>
          <w:tcPr>
            <w:tcW w:w="230" w:type="pct"/>
          </w:tcPr>
          <w:p w14:paraId="65D9EBBC" w14:textId="70B58E12" w:rsidR="00F74C9E" w:rsidRPr="00195EB3" w:rsidRDefault="00F74C9E" w:rsidP="005F773B">
            <w:pPr>
              <w:keepLines/>
              <w:spacing w:before="60" w:after="60"/>
              <w:rPr>
                <w:rFonts w:ascii="Arial" w:hAnsi="Arial" w:cs="Arial"/>
                <w:b/>
                <w:bCs/>
                <w:color w:val="4F81BD" w:themeColor="accent1"/>
                <w:sz w:val="22"/>
                <w:szCs w:val="22"/>
                <w:lang w:val="en-GB"/>
              </w:rPr>
            </w:pPr>
            <w:r w:rsidRPr="00195EB3">
              <w:rPr>
                <w:rFonts w:ascii="Arial" w:hAnsi="Arial" w:cs="Arial"/>
                <w:b/>
                <w:bCs/>
                <w:color w:val="4F81BD" w:themeColor="accent1"/>
                <w:sz w:val="22"/>
                <w:szCs w:val="22"/>
                <w:lang w:val="en-GB"/>
              </w:rPr>
              <w:t>I.7</w:t>
            </w:r>
          </w:p>
        </w:tc>
        <w:tc>
          <w:tcPr>
            <w:tcW w:w="2314" w:type="pct"/>
          </w:tcPr>
          <w:p w14:paraId="74358B92" w14:textId="7E9F3040" w:rsidR="00F74C9E" w:rsidRPr="00195EB3" w:rsidRDefault="00F74C9E" w:rsidP="005F773B">
            <w:pPr>
              <w:keepLines/>
              <w:spacing w:before="60" w:after="60"/>
              <w:jc w:val="both"/>
              <w:rPr>
                <w:rFonts w:ascii="Arial" w:hAnsi="Arial" w:cs="Arial"/>
                <w:b/>
                <w:bCs/>
                <w:color w:val="4F81BD" w:themeColor="accent1"/>
                <w:sz w:val="22"/>
                <w:szCs w:val="22"/>
                <w:lang w:val="en-GB"/>
              </w:rPr>
            </w:pPr>
            <w:r w:rsidRPr="00195EB3">
              <w:rPr>
                <w:rFonts w:ascii="Arial" w:hAnsi="Arial" w:cs="Arial"/>
                <w:b/>
                <w:bCs/>
                <w:color w:val="4F81BD" w:themeColor="accent1"/>
                <w:sz w:val="22"/>
                <w:szCs w:val="22"/>
                <w:lang w:val="en-GB"/>
              </w:rPr>
              <w:t>Submission of files</w:t>
            </w:r>
          </w:p>
        </w:tc>
        <w:tc>
          <w:tcPr>
            <w:tcW w:w="277" w:type="pct"/>
          </w:tcPr>
          <w:p w14:paraId="45385F0B" w14:textId="3C0AF4DF" w:rsidR="00F74C9E" w:rsidRPr="00195EB3" w:rsidRDefault="00F74C9E" w:rsidP="005F773B">
            <w:pPr>
              <w:keepLines/>
              <w:spacing w:before="60" w:after="60"/>
              <w:jc w:val="both"/>
              <w:rPr>
                <w:rFonts w:ascii="Arial" w:hAnsi="Arial" w:cs="Arial"/>
                <w:b/>
                <w:bCs/>
                <w:color w:val="4F81BD" w:themeColor="accent1"/>
                <w:sz w:val="22"/>
                <w:szCs w:val="22"/>
                <w:lang w:val="en-GB"/>
              </w:rPr>
            </w:pPr>
            <w:r w:rsidRPr="00195EB3">
              <w:rPr>
                <w:rFonts w:ascii="Arial" w:hAnsi="Arial" w:cs="Arial"/>
                <w:b/>
                <w:bCs/>
                <w:color w:val="4F81BD" w:themeColor="accent1"/>
                <w:sz w:val="22"/>
                <w:szCs w:val="22"/>
                <w:lang w:val="en-GB"/>
              </w:rPr>
              <w:t>I.7</w:t>
            </w:r>
          </w:p>
        </w:tc>
        <w:tc>
          <w:tcPr>
            <w:tcW w:w="2179" w:type="pct"/>
          </w:tcPr>
          <w:p w14:paraId="1EA2FE57" w14:textId="0B60DEF7" w:rsidR="00F74C9E" w:rsidRPr="00195EB3" w:rsidRDefault="00F74C9E"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DC3239" w:rsidRPr="00195EB3" w14:paraId="7ED2A8C5" w14:textId="77777777" w:rsidTr="00DF7E48">
        <w:tc>
          <w:tcPr>
            <w:tcW w:w="230" w:type="pct"/>
          </w:tcPr>
          <w:p w14:paraId="5A851F2C" w14:textId="7E05E1EA" w:rsidR="00F74C9E" w:rsidRPr="00195EB3" w:rsidRDefault="00F74C9E" w:rsidP="005F773B">
            <w:pPr>
              <w:keepLines/>
              <w:spacing w:before="60" w:after="60"/>
              <w:rPr>
                <w:rFonts w:ascii="Arial" w:hAnsi="Arial" w:cs="Arial"/>
                <w:b/>
                <w:bCs/>
                <w:color w:val="4F81BD" w:themeColor="accent1"/>
                <w:sz w:val="22"/>
                <w:szCs w:val="22"/>
                <w:lang w:val="en-GB"/>
              </w:rPr>
            </w:pPr>
            <w:r w:rsidRPr="00195EB3">
              <w:rPr>
                <w:rFonts w:ascii="Arial" w:hAnsi="Arial" w:cs="Arial"/>
                <w:sz w:val="22"/>
                <w:szCs w:val="22"/>
                <w:lang w:val="en-GB"/>
              </w:rPr>
              <w:t>20.2</w:t>
            </w:r>
          </w:p>
        </w:tc>
        <w:tc>
          <w:tcPr>
            <w:tcW w:w="2314" w:type="pct"/>
          </w:tcPr>
          <w:p w14:paraId="42B8B961" w14:textId="77777777" w:rsidR="00F74C9E" w:rsidRPr="00195EB3" w:rsidRDefault="00F74C9E"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Form ICH-01 RL to USL is used for the transfer of an element from the Representative List of the Intangible Cultural Heritage of Humanity to the List of Intangible Cultural Heritage in Need of Urgent Safeguarding and includes an option for simultaneously requesting International Assistance.</w:t>
            </w:r>
          </w:p>
          <w:p w14:paraId="4009D14C" w14:textId="43ACA351" w:rsidR="00F74C9E" w:rsidRPr="00195EB3" w:rsidRDefault="00F74C9E" w:rsidP="005F773B">
            <w:pPr>
              <w:keepLines/>
              <w:spacing w:before="60" w:after="60"/>
              <w:jc w:val="both"/>
              <w:rPr>
                <w:rFonts w:ascii="Arial" w:hAnsi="Arial" w:cs="Arial"/>
                <w:b/>
                <w:bCs/>
                <w:color w:val="4F81BD" w:themeColor="accent1"/>
                <w:sz w:val="22"/>
                <w:szCs w:val="22"/>
                <w:lang w:val="en-GB"/>
              </w:rPr>
            </w:pPr>
            <w:r w:rsidRPr="00195EB3">
              <w:rPr>
                <w:rFonts w:ascii="Arial" w:hAnsi="Arial" w:cs="Arial"/>
                <w:sz w:val="22"/>
                <w:szCs w:val="22"/>
                <w:lang w:val="en-GB"/>
              </w:rPr>
              <w:t>Form ICH-02 USL to RL, attached to the periodic reporting Form ICH-11, is used for the transfer of an element from the List of Intangible Cultural Heritage in Need of Urgent Safeguarding to the Representative List of the Intangible Cultural Heritage of Humanity.</w:t>
            </w:r>
          </w:p>
        </w:tc>
        <w:tc>
          <w:tcPr>
            <w:tcW w:w="277" w:type="pct"/>
          </w:tcPr>
          <w:p w14:paraId="53AF232E" w14:textId="5102358A" w:rsidR="00F74C9E" w:rsidRPr="00195EB3" w:rsidRDefault="00F74C9E" w:rsidP="005F773B">
            <w:pPr>
              <w:keepLines/>
              <w:spacing w:before="60" w:after="60"/>
              <w:jc w:val="both"/>
              <w:rPr>
                <w:rFonts w:ascii="Arial" w:hAnsi="Arial" w:cs="Arial"/>
                <w:b/>
                <w:bCs/>
                <w:color w:val="4F81BD" w:themeColor="accent1"/>
                <w:sz w:val="22"/>
                <w:szCs w:val="22"/>
                <w:lang w:val="en-GB"/>
              </w:rPr>
            </w:pPr>
            <w:r w:rsidRPr="00195EB3">
              <w:rPr>
                <w:rFonts w:ascii="Arial" w:hAnsi="Arial" w:cs="Arial"/>
                <w:sz w:val="22"/>
                <w:szCs w:val="22"/>
                <w:lang w:val="en-GB"/>
              </w:rPr>
              <w:t>20.2</w:t>
            </w:r>
          </w:p>
        </w:tc>
        <w:tc>
          <w:tcPr>
            <w:tcW w:w="2179" w:type="pct"/>
          </w:tcPr>
          <w:p w14:paraId="00E57BFF" w14:textId="5CCCC42D" w:rsidR="00F74C9E" w:rsidRPr="00195EB3" w:rsidRDefault="00F74C9E"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DC3239" w:rsidRPr="00195EB3" w14:paraId="57D081A8" w14:textId="77777777" w:rsidTr="00DF7E48">
        <w:tc>
          <w:tcPr>
            <w:tcW w:w="230" w:type="pct"/>
          </w:tcPr>
          <w:p w14:paraId="1F5C3778" w14:textId="77777777" w:rsidR="00FC22D5" w:rsidRPr="00195EB3" w:rsidRDefault="00FC22D5" w:rsidP="005F773B">
            <w:pPr>
              <w:keepLines/>
              <w:spacing w:before="60" w:after="60"/>
              <w:rPr>
                <w:rFonts w:ascii="Arial" w:hAnsi="Arial" w:cs="Arial"/>
                <w:b/>
                <w:bCs/>
                <w:color w:val="4F81BD" w:themeColor="accent1"/>
                <w:sz w:val="22"/>
                <w:szCs w:val="22"/>
                <w:lang w:val="en-GB"/>
              </w:rPr>
            </w:pPr>
            <w:r w:rsidRPr="00195EB3">
              <w:rPr>
                <w:rFonts w:ascii="Arial" w:hAnsi="Arial" w:cs="Arial"/>
                <w:b/>
                <w:bCs/>
                <w:color w:val="4F81BD" w:themeColor="accent1"/>
                <w:sz w:val="22"/>
                <w:szCs w:val="22"/>
                <w:lang w:val="en-GB"/>
              </w:rPr>
              <w:t>I.15</w:t>
            </w:r>
          </w:p>
        </w:tc>
        <w:tc>
          <w:tcPr>
            <w:tcW w:w="2314" w:type="pct"/>
          </w:tcPr>
          <w:p w14:paraId="2FC8BD2D" w14:textId="77777777" w:rsidR="00FC22D5" w:rsidRPr="00195EB3" w:rsidRDefault="00FC22D5" w:rsidP="005F773B">
            <w:pPr>
              <w:keepLines/>
              <w:spacing w:before="60" w:after="60"/>
              <w:jc w:val="both"/>
              <w:rPr>
                <w:rFonts w:ascii="Arial" w:hAnsi="Arial" w:cs="Arial"/>
                <w:b/>
                <w:bCs/>
                <w:color w:val="4F81BD" w:themeColor="accent1"/>
                <w:sz w:val="22"/>
                <w:szCs w:val="22"/>
                <w:lang w:val="en-GB"/>
              </w:rPr>
            </w:pPr>
            <w:r w:rsidRPr="00195EB3">
              <w:rPr>
                <w:rFonts w:ascii="Arial" w:hAnsi="Arial" w:cs="Arial"/>
                <w:b/>
                <w:bCs/>
                <w:color w:val="4F81BD" w:themeColor="accent1"/>
                <w:sz w:val="22"/>
                <w:szCs w:val="22"/>
                <w:lang w:val="en-GB"/>
              </w:rPr>
              <w:t>Timetable – Overview of procedures</w:t>
            </w:r>
          </w:p>
        </w:tc>
        <w:tc>
          <w:tcPr>
            <w:tcW w:w="277" w:type="pct"/>
          </w:tcPr>
          <w:p w14:paraId="430E453C" w14:textId="77777777" w:rsidR="00FC22D5" w:rsidRPr="00195EB3" w:rsidRDefault="00FC22D5" w:rsidP="005F773B">
            <w:pPr>
              <w:keepLines/>
              <w:spacing w:before="60" w:after="60"/>
              <w:jc w:val="both"/>
              <w:rPr>
                <w:rFonts w:ascii="Arial" w:hAnsi="Arial" w:cs="Arial"/>
                <w:b/>
                <w:bCs/>
                <w:color w:val="4F81BD" w:themeColor="accent1"/>
                <w:sz w:val="22"/>
                <w:szCs w:val="22"/>
                <w:lang w:val="en-GB"/>
              </w:rPr>
            </w:pPr>
            <w:r w:rsidRPr="00195EB3">
              <w:rPr>
                <w:rFonts w:ascii="Arial" w:hAnsi="Arial" w:cs="Arial"/>
                <w:b/>
                <w:bCs/>
                <w:color w:val="4F81BD" w:themeColor="accent1"/>
                <w:sz w:val="22"/>
                <w:szCs w:val="22"/>
                <w:lang w:val="en-GB"/>
              </w:rPr>
              <w:t>I.15</w:t>
            </w:r>
          </w:p>
        </w:tc>
        <w:tc>
          <w:tcPr>
            <w:tcW w:w="2179" w:type="pct"/>
          </w:tcPr>
          <w:p w14:paraId="1582D921" w14:textId="1EAE41E3"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0B47CF" w:rsidRPr="00DF7E48" w14:paraId="6C7A1AB8" w14:textId="77777777" w:rsidTr="00DF7E48">
        <w:tc>
          <w:tcPr>
            <w:tcW w:w="230" w:type="pct"/>
          </w:tcPr>
          <w:p w14:paraId="58B167D3" w14:textId="07CED4CD" w:rsidR="007E459F" w:rsidRPr="00195EB3" w:rsidRDefault="007E459F" w:rsidP="005F773B">
            <w:pPr>
              <w:keepLines/>
              <w:spacing w:before="60" w:after="60"/>
              <w:rPr>
                <w:rFonts w:ascii="Arial" w:hAnsi="Arial" w:cs="Arial"/>
                <w:color w:val="000000" w:themeColor="text1"/>
                <w:sz w:val="22"/>
                <w:szCs w:val="22"/>
                <w:lang w:val="en-GB"/>
              </w:rPr>
            </w:pPr>
            <w:r w:rsidRPr="00195EB3">
              <w:rPr>
                <w:rFonts w:ascii="Arial" w:hAnsi="Arial" w:cs="Arial"/>
                <w:color w:val="000000" w:themeColor="text1"/>
                <w:sz w:val="22"/>
                <w:szCs w:val="22"/>
                <w:lang w:val="en-GB"/>
              </w:rPr>
              <w:t>54</w:t>
            </w:r>
            <w:r w:rsidR="001021F2" w:rsidRPr="00195EB3">
              <w:rPr>
                <w:rFonts w:ascii="Arial" w:hAnsi="Arial" w:cs="Arial"/>
                <w:color w:val="000000" w:themeColor="text1"/>
                <w:sz w:val="22"/>
                <w:szCs w:val="22"/>
                <w:lang w:val="en-GB"/>
              </w:rPr>
              <w:t>.</w:t>
            </w:r>
          </w:p>
        </w:tc>
        <w:tc>
          <w:tcPr>
            <w:tcW w:w="2314"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0"/>
              <w:gridCol w:w="4426"/>
            </w:tblGrid>
            <w:tr w:rsidR="007E459F" w:rsidRPr="00195EB3" w14:paraId="7108EC22" w14:textId="77777777" w:rsidTr="00120A07">
              <w:tc>
                <w:tcPr>
                  <w:tcW w:w="1474" w:type="pct"/>
                </w:tcPr>
                <w:p w14:paraId="41E06405" w14:textId="0B2323DE" w:rsidR="007E459F" w:rsidRPr="00195EB3" w:rsidRDefault="007E459F" w:rsidP="007E459F">
                  <w:pPr>
                    <w:keepLines/>
                    <w:spacing w:before="60" w:after="60"/>
                    <w:jc w:val="right"/>
                    <w:rPr>
                      <w:rFonts w:ascii="Arial" w:hAnsi="Arial" w:cs="Arial"/>
                      <w:color w:val="000000" w:themeColor="text1"/>
                      <w:sz w:val="22"/>
                      <w:szCs w:val="22"/>
                      <w:lang w:val="en-GB"/>
                    </w:rPr>
                  </w:pPr>
                  <w:r w:rsidRPr="00195EB3">
                    <w:rPr>
                      <w:rFonts w:ascii="Arial" w:hAnsi="Arial" w:cs="Arial"/>
                      <w:sz w:val="22"/>
                      <w:szCs w:val="22"/>
                      <w:lang w:val="en-GB"/>
                    </w:rPr>
                    <w:t>Phase 1:</w:t>
                  </w:r>
                </w:p>
              </w:tc>
              <w:tc>
                <w:tcPr>
                  <w:tcW w:w="3526" w:type="pct"/>
                </w:tcPr>
                <w:p w14:paraId="5869E1D1" w14:textId="5E23AF63" w:rsidR="007E459F" w:rsidRPr="00195EB3" w:rsidRDefault="007E459F" w:rsidP="007E459F">
                  <w:pPr>
                    <w:keepLines/>
                    <w:spacing w:before="60" w:after="60"/>
                    <w:jc w:val="both"/>
                    <w:rPr>
                      <w:rFonts w:ascii="Arial" w:hAnsi="Arial" w:cs="Arial"/>
                      <w:color w:val="000000" w:themeColor="text1"/>
                      <w:sz w:val="22"/>
                      <w:szCs w:val="22"/>
                      <w:lang w:val="en-GB"/>
                    </w:rPr>
                  </w:pPr>
                  <w:r w:rsidRPr="00195EB3">
                    <w:rPr>
                      <w:rFonts w:ascii="Arial" w:hAnsi="Arial" w:cs="Arial"/>
                      <w:sz w:val="22"/>
                      <w:szCs w:val="22"/>
                      <w:lang w:val="en-GB"/>
                    </w:rPr>
                    <w:t xml:space="preserve">Preparation and submission </w:t>
                  </w:r>
                </w:p>
              </w:tc>
            </w:tr>
            <w:tr w:rsidR="007E459F" w:rsidRPr="00DF7E48" w14:paraId="1F2BE080" w14:textId="77777777" w:rsidTr="00120A07">
              <w:tc>
                <w:tcPr>
                  <w:tcW w:w="1474" w:type="pct"/>
                </w:tcPr>
                <w:p w14:paraId="18D8D70F" w14:textId="77777777" w:rsidR="007E459F" w:rsidRPr="00195EB3" w:rsidRDefault="007E459F" w:rsidP="007E459F">
                  <w:pPr>
                    <w:keepLines/>
                    <w:spacing w:before="60" w:after="60"/>
                    <w:jc w:val="right"/>
                    <w:rPr>
                      <w:rFonts w:ascii="Arial" w:hAnsi="Arial" w:cs="Arial"/>
                      <w:sz w:val="22"/>
                      <w:szCs w:val="22"/>
                      <w:lang w:val="en-GB"/>
                    </w:rPr>
                  </w:pPr>
                  <w:r w:rsidRPr="00195EB3">
                    <w:rPr>
                      <w:rFonts w:ascii="Arial" w:hAnsi="Arial" w:cs="Arial"/>
                      <w:sz w:val="22"/>
                      <w:szCs w:val="22"/>
                      <w:lang w:val="en-GB"/>
                    </w:rPr>
                    <w:t>31 March</w:t>
                  </w:r>
                </w:p>
                <w:p w14:paraId="7E57D30D" w14:textId="51BF0EF9" w:rsidR="007E459F" w:rsidRPr="00195EB3" w:rsidRDefault="007E459F" w:rsidP="007E459F">
                  <w:pPr>
                    <w:keepLines/>
                    <w:spacing w:before="60" w:after="60"/>
                    <w:jc w:val="right"/>
                    <w:rPr>
                      <w:rFonts w:ascii="Arial" w:hAnsi="Arial" w:cs="Arial"/>
                      <w:sz w:val="22"/>
                      <w:szCs w:val="22"/>
                      <w:lang w:val="en-GB"/>
                    </w:rPr>
                  </w:pPr>
                  <w:r w:rsidRPr="00195EB3">
                    <w:rPr>
                      <w:rFonts w:ascii="Arial" w:hAnsi="Arial" w:cs="Arial"/>
                      <w:sz w:val="22"/>
                      <w:szCs w:val="22"/>
                      <w:lang w:val="en-GB"/>
                    </w:rPr>
                    <w:t>Year 0</w:t>
                  </w:r>
                </w:p>
              </w:tc>
              <w:tc>
                <w:tcPr>
                  <w:tcW w:w="3526" w:type="pct"/>
                </w:tcPr>
                <w:p w14:paraId="0A489FEC" w14:textId="29AE4CF6" w:rsidR="007E459F" w:rsidRPr="00195EB3" w:rsidRDefault="007E459F" w:rsidP="007E459F">
                  <w:pPr>
                    <w:keepLines/>
                    <w:spacing w:before="60" w:after="60"/>
                    <w:jc w:val="both"/>
                    <w:rPr>
                      <w:rFonts w:ascii="Arial" w:hAnsi="Arial" w:cs="Arial"/>
                      <w:color w:val="000000" w:themeColor="text1"/>
                      <w:sz w:val="22"/>
                      <w:szCs w:val="22"/>
                      <w:lang w:val="en-GB"/>
                    </w:rPr>
                  </w:pPr>
                  <w:r w:rsidRPr="00195EB3">
                    <w:rPr>
                      <w:rFonts w:ascii="Arial" w:hAnsi="Arial" w:cs="Arial"/>
                      <w:sz w:val="22"/>
                      <w:szCs w:val="22"/>
                      <w:lang w:val="en-GB"/>
                    </w:rPr>
                    <w:t>Deadline for preparatory assistance requests.</w:t>
                  </w:r>
                </w:p>
              </w:tc>
            </w:tr>
            <w:tr w:rsidR="007E459F" w:rsidRPr="00DF7E48" w14:paraId="3D37F1FC" w14:textId="77777777" w:rsidTr="00120A07">
              <w:tc>
                <w:tcPr>
                  <w:tcW w:w="1474" w:type="pct"/>
                </w:tcPr>
                <w:p w14:paraId="271B10A0" w14:textId="77777777" w:rsidR="007E459F" w:rsidRPr="00195EB3" w:rsidRDefault="007E459F" w:rsidP="007E459F">
                  <w:pPr>
                    <w:keepLines/>
                    <w:spacing w:before="60" w:after="60"/>
                    <w:jc w:val="right"/>
                    <w:rPr>
                      <w:rFonts w:ascii="Arial" w:hAnsi="Arial" w:cs="Arial"/>
                      <w:sz w:val="22"/>
                      <w:szCs w:val="22"/>
                      <w:lang w:val="en-GB"/>
                    </w:rPr>
                  </w:pPr>
                  <w:r w:rsidRPr="00195EB3">
                    <w:rPr>
                      <w:rFonts w:ascii="Arial" w:hAnsi="Arial" w:cs="Arial"/>
                      <w:sz w:val="22"/>
                      <w:szCs w:val="22"/>
                      <w:lang w:val="en-GB"/>
                    </w:rPr>
                    <w:t>15 December</w:t>
                  </w:r>
                </w:p>
                <w:p w14:paraId="71505814" w14:textId="54599AD2" w:rsidR="007E459F" w:rsidRPr="00195EB3" w:rsidRDefault="007E459F" w:rsidP="007E459F">
                  <w:pPr>
                    <w:keepLines/>
                    <w:spacing w:before="60" w:after="60"/>
                    <w:jc w:val="right"/>
                    <w:rPr>
                      <w:rFonts w:ascii="Arial" w:hAnsi="Arial" w:cs="Arial"/>
                      <w:sz w:val="22"/>
                      <w:szCs w:val="22"/>
                      <w:lang w:val="en-GB"/>
                    </w:rPr>
                  </w:pPr>
                  <w:r w:rsidRPr="00195EB3">
                    <w:rPr>
                      <w:rFonts w:ascii="Arial" w:hAnsi="Arial" w:cs="Arial"/>
                      <w:sz w:val="22"/>
                      <w:szCs w:val="22"/>
                      <w:lang w:val="en-GB"/>
                    </w:rPr>
                    <w:t>Year 0</w:t>
                  </w:r>
                </w:p>
              </w:tc>
              <w:tc>
                <w:tcPr>
                  <w:tcW w:w="3526" w:type="pct"/>
                </w:tcPr>
                <w:p w14:paraId="324FDF58" w14:textId="0C955C2F" w:rsidR="007E459F" w:rsidRPr="00195EB3" w:rsidRDefault="007E459F" w:rsidP="007E459F">
                  <w:pPr>
                    <w:keepLines/>
                    <w:spacing w:before="60" w:after="60"/>
                    <w:jc w:val="both"/>
                    <w:rPr>
                      <w:rFonts w:ascii="Arial" w:hAnsi="Arial" w:cs="Arial"/>
                      <w:color w:val="000000" w:themeColor="text1"/>
                      <w:sz w:val="22"/>
                      <w:szCs w:val="22"/>
                      <w:lang w:val="en-GB"/>
                    </w:rPr>
                  </w:pPr>
                  <w:r w:rsidRPr="00195EB3">
                    <w:rPr>
                      <w:rFonts w:ascii="Arial" w:hAnsi="Arial" w:cs="Arial"/>
                      <w:sz w:val="22"/>
                      <w:szCs w:val="22"/>
                      <w:lang w:val="en-GB"/>
                    </w:rPr>
                    <w:t>Deadline for submission of transfer requests from the List of Intangible Cultural Heritage in Need of Urgent Safeguarding to the Representative List of the Intangible Cultural Heritage of Humanity.</w:t>
                  </w:r>
                </w:p>
              </w:tc>
            </w:tr>
          </w:tbl>
          <w:p w14:paraId="28E90031" w14:textId="77777777" w:rsidR="007E459F" w:rsidRPr="00195EB3" w:rsidRDefault="007E459F" w:rsidP="005F773B">
            <w:pPr>
              <w:keepLines/>
              <w:spacing w:before="60" w:after="60"/>
              <w:jc w:val="both"/>
              <w:rPr>
                <w:rFonts w:ascii="Arial" w:hAnsi="Arial" w:cs="Arial"/>
                <w:color w:val="000000" w:themeColor="text1"/>
                <w:sz w:val="22"/>
                <w:szCs w:val="22"/>
                <w:lang w:val="en-GB"/>
              </w:rPr>
            </w:pPr>
          </w:p>
        </w:tc>
        <w:tc>
          <w:tcPr>
            <w:tcW w:w="277" w:type="pct"/>
          </w:tcPr>
          <w:p w14:paraId="0DB918EB" w14:textId="24C67532" w:rsidR="007E459F" w:rsidRPr="00195EB3" w:rsidRDefault="007E459F" w:rsidP="005F773B">
            <w:pPr>
              <w:keepLines/>
              <w:spacing w:before="60" w:after="60"/>
              <w:jc w:val="both"/>
              <w:rPr>
                <w:rFonts w:ascii="Arial" w:hAnsi="Arial" w:cs="Arial"/>
                <w:color w:val="000000" w:themeColor="text1"/>
                <w:sz w:val="22"/>
                <w:szCs w:val="22"/>
                <w:lang w:val="en-GB"/>
              </w:rPr>
            </w:pPr>
            <w:r w:rsidRPr="00195EB3">
              <w:rPr>
                <w:rFonts w:ascii="Arial" w:hAnsi="Arial" w:cs="Arial"/>
                <w:color w:val="000000" w:themeColor="text1"/>
                <w:sz w:val="22"/>
                <w:szCs w:val="22"/>
                <w:lang w:val="en-GB"/>
              </w:rPr>
              <w:t>54</w:t>
            </w:r>
            <w:r w:rsidR="001021F2" w:rsidRPr="00195EB3">
              <w:rPr>
                <w:rFonts w:ascii="Arial" w:hAnsi="Arial" w:cs="Arial"/>
                <w:color w:val="000000" w:themeColor="text1"/>
                <w:sz w:val="22"/>
                <w:szCs w:val="22"/>
                <w:lang w:val="en-GB"/>
              </w:rPr>
              <w:t>.</w:t>
            </w:r>
          </w:p>
        </w:tc>
        <w:tc>
          <w:tcPr>
            <w:tcW w:w="2179"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6"/>
              <w:gridCol w:w="4648"/>
            </w:tblGrid>
            <w:tr w:rsidR="007E459F" w:rsidRPr="00195EB3" w14:paraId="00625149" w14:textId="77777777" w:rsidTr="00120A07">
              <w:tc>
                <w:tcPr>
                  <w:tcW w:w="1626" w:type="dxa"/>
                </w:tcPr>
                <w:p w14:paraId="6FE957A0" w14:textId="77777777" w:rsidR="007E459F" w:rsidRPr="00195EB3" w:rsidRDefault="007E459F" w:rsidP="007E459F">
                  <w:pPr>
                    <w:keepLines/>
                    <w:spacing w:before="60" w:after="60"/>
                    <w:jc w:val="right"/>
                    <w:rPr>
                      <w:rFonts w:ascii="Arial" w:hAnsi="Arial" w:cs="Arial"/>
                      <w:color w:val="000000" w:themeColor="text1"/>
                      <w:sz w:val="22"/>
                      <w:szCs w:val="22"/>
                      <w:lang w:val="en-GB"/>
                    </w:rPr>
                  </w:pPr>
                  <w:r w:rsidRPr="00195EB3">
                    <w:rPr>
                      <w:rFonts w:ascii="Arial" w:hAnsi="Arial" w:cs="Arial"/>
                      <w:sz w:val="22"/>
                      <w:szCs w:val="22"/>
                      <w:lang w:val="en-GB"/>
                    </w:rPr>
                    <w:t>Phase 1:</w:t>
                  </w:r>
                </w:p>
              </w:tc>
              <w:tc>
                <w:tcPr>
                  <w:tcW w:w="4648" w:type="dxa"/>
                </w:tcPr>
                <w:p w14:paraId="65D390AE" w14:textId="457E644B" w:rsidR="007E459F" w:rsidRPr="00195EB3" w:rsidRDefault="007E459F" w:rsidP="007E459F">
                  <w:pPr>
                    <w:keepLines/>
                    <w:spacing w:before="60" w:after="60"/>
                    <w:jc w:val="both"/>
                    <w:rPr>
                      <w:rFonts w:ascii="Arial" w:hAnsi="Arial" w:cs="Arial"/>
                      <w:color w:val="000000" w:themeColor="text1"/>
                      <w:sz w:val="22"/>
                      <w:szCs w:val="22"/>
                      <w:lang w:val="en-GB"/>
                    </w:rPr>
                  </w:pPr>
                  <w:r w:rsidRPr="00195EB3">
                    <w:rPr>
                      <w:rFonts w:ascii="Arial" w:hAnsi="Arial" w:cs="Arial"/>
                      <w:sz w:val="22"/>
                      <w:szCs w:val="22"/>
                      <w:lang w:val="en-GB"/>
                    </w:rPr>
                    <w:t>No change</w:t>
                  </w:r>
                </w:p>
              </w:tc>
            </w:tr>
            <w:tr w:rsidR="007E459F" w:rsidRPr="00195EB3" w14:paraId="57036E1C" w14:textId="77777777" w:rsidTr="00120A07">
              <w:tc>
                <w:tcPr>
                  <w:tcW w:w="1626" w:type="dxa"/>
                </w:tcPr>
                <w:p w14:paraId="56D50A7A" w14:textId="77777777" w:rsidR="007E459F" w:rsidRPr="00195EB3" w:rsidRDefault="007E459F" w:rsidP="007E459F">
                  <w:pPr>
                    <w:keepLines/>
                    <w:spacing w:before="60" w:after="60"/>
                    <w:jc w:val="right"/>
                    <w:rPr>
                      <w:rFonts w:ascii="Arial" w:hAnsi="Arial" w:cs="Arial"/>
                      <w:sz w:val="22"/>
                      <w:szCs w:val="22"/>
                      <w:lang w:val="en-GB"/>
                    </w:rPr>
                  </w:pPr>
                  <w:r w:rsidRPr="00195EB3">
                    <w:rPr>
                      <w:rFonts w:ascii="Arial" w:hAnsi="Arial" w:cs="Arial"/>
                      <w:sz w:val="22"/>
                      <w:szCs w:val="22"/>
                      <w:lang w:val="en-GB"/>
                    </w:rPr>
                    <w:t>31 March</w:t>
                  </w:r>
                </w:p>
                <w:p w14:paraId="45FFC390" w14:textId="77777777" w:rsidR="007E459F" w:rsidRPr="00195EB3" w:rsidRDefault="007E459F" w:rsidP="007E459F">
                  <w:pPr>
                    <w:keepLines/>
                    <w:spacing w:before="60" w:after="60"/>
                    <w:jc w:val="right"/>
                    <w:rPr>
                      <w:rFonts w:ascii="Arial" w:hAnsi="Arial" w:cs="Arial"/>
                      <w:sz w:val="22"/>
                      <w:szCs w:val="22"/>
                      <w:lang w:val="en-GB"/>
                    </w:rPr>
                  </w:pPr>
                  <w:r w:rsidRPr="00195EB3">
                    <w:rPr>
                      <w:rFonts w:ascii="Arial" w:hAnsi="Arial" w:cs="Arial"/>
                      <w:sz w:val="22"/>
                      <w:szCs w:val="22"/>
                      <w:lang w:val="en-GB"/>
                    </w:rPr>
                    <w:t>Year 0</w:t>
                  </w:r>
                </w:p>
              </w:tc>
              <w:tc>
                <w:tcPr>
                  <w:tcW w:w="4648" w:type="dxa"/>
                </w:tcPr>
                <w:p w14:paraId="7FFE39FC" w14:textId="22B40F56" w:rsidR="007E459F" w:rsidRPr="00195EB3" w:rsidRDefault="007E459F" w:rsidP="007E459F">
                  <w:pPr>
                    <w:keepLines/>
                    <w:spacing w:before="60" w:after="60"/>
                    <w:jc w:val="both"/>
                    <w:rPr>
                      <w:rFonts w:ascii="Arial" w:hAnsi="Arial" w:cs="Arial"/>
                      <w:color w:val="000000" w:themeColor="text1"/>
                      <w:sz w:val="22"/>
                      <w:szCs w:val="22"/>
                      <w:lang w:val="en-GB"/>
                    </w:rPr>
                  </w:pPr>
                  <w:r w:rsidRPr="00195EB3">
                    <w:rPr>
                      <w:rFonts w:ascii="Arial" w:hAnsi="Arial" w:cs="Arial"/>
                      <w:sz w:val="22"/>
                      <w:szCs w:val="22"/>
                      <w:lang w:val="en-GB"/>
                    </w:rPr>
                    <w:t>No change</w:t>
                  </w:r>
                </w:p>
              </w:tc>
            </w:tr>
            <w:tr w:rsidR="007E459F" w:rsidRPr="00DF7E48" w14:paraId="5DD3FD40" w14:textId="77777777" w:rsidTr="00120A07">
              <w:tc>
                <w:tcPr>
                  <w:tcW w:w="1626" w:type="dxa"/>
                  <w:shd w:val="clear" w:color="auto" w:fill="DBE5F1" w:themeFill="accent1" w:themeFillTint="33"/>
                </w:tcPr>
                <w:p w14:paraId="0A1EE18F" w14:textId="77777777" w:rsidR="007E459F" w:rsidRPr="00195EB3" w:rsidRDefault="007E459F" w:rsidP="007E459F">
                  <w:pPr>
                    <w:keepLines/>
                    <w:spacing w:before="60" w:after="60"/>
                    <w:jc w:val="right"/>
                    <w:rPr>
                      <w:rFonts w:ascii="Arial" w:hAnsi="Arial" w:cs="Arial"/>
                      <w:strike/>
                      <w:sz w:val="22"/>
                      <w:szCs w:val="22"/>
                      <w:lang w:val="en-GB"/>
                    </w:rPr>
                  </w:pPr>
                  <w:r w:rsidRPr="00195EB3">
                    <w:rPr>
                      <w:rFonts w:ascii="Arial" w:hAnsi="Arial" w:cs="Arial"/>
                      <w:strike/>
                      <w:sz w:val="22"/>
                      <w:szCs w:val="22"/>
                      <w:lang w:val="en-GB"/>
                    </w:rPr>
                    <w:t>15 December</w:t>
                  </w:r>
                </w:p>
                <w:p w14:paraId="63E83F05" w14:textId="5DBFEDC9" w:rsidR="007E459F" w:rsidRPr="00195EB3" w:rsidRDefault="007E459F" w:rsidP="007E459F">
                  <w:pPr>
                    <w:keepLines/>
                    <w:spacing w:before="60" w:after="60"/>
                    <w:jc w:val="right"/>
                    <w:rPr>
                      <w:rFonts w:ascii="Arial" w:hAnsi="Arial" w:cs="Arial"/>
                      <w:sz w:val="22"/>
                      <w:szCs w:val="22"/>
                      <w:lang w:val="en-GB"/>
                    </w:rPr>
                  </w:pPr>
                  <w:r w:rsidRPr="00195EB3">
                    <w:rPr>
                      <w:rFonts w:ascii="Arial" w:hAnsi="Arial" w:cs="Arial"/>
                      <w:strike/>
                      <w:sz w:val="22"/>
                      <w:szCs w:val="22"/>
                      <w:lang w:val="en-GB"/>
                    </w:rPr>
                    <w:t>Year 0</w:t>
                  </w:r>
                </w:p>
              </w:tc>
              <w:tc>
                <w:tcPr>
                  <w:tcW w:w="4648" w:type="dxa"/>
                  <w:shd w:val="clear" w:color="auto" w:fill="DBE5F1" w:themeFill="accent1" w:themeFillTint="33"/>
                </w:tcPr>
                <w:p w14:paraId="5FC68472" w14:textId="7B66750A" w:rsidR="007E459F" w:rsidRPr="00195EB3" w:rsidRDefault="007E459F" w:rsidP="00DF7E48">
                  <w:pPr>
                    <w:keepLines/>
                    <w:spacing w:before="60" w:after="60"/>
                    <w:ind w:right="315"/>
                    <w:jc w:val="both"/>
                    <w:rPr>
                      <w:rFonts w:ascii="Arial" w:hAnsi="Arial" w:cs="Arial"/>
                      <w:color w:val="000000" w:themeColor="text1"/>
                      <w:sz w:val="22"/>
                      <w:szCs w:val="22"/>
                      <w:lang w:val="en-GB"/>
                    </w:rPr>
                  </w:pPr>
                  <w:r w:rsidRPr="00195EB3">
                    <w:rPr>
                      <w:rFonts w:ascii="Arial" w:hAnsi="Arial" w:cs="Arial"/>
                      <w:strike/>
                      <w:sz w:val="22"/>
                      <w:szCs w:val="22"/>
                      <w:lang w:val="en-GB"/>
                    </w:rPr>
                    <w:t>Deadline for submission of transfer requests from the List of Intangible Cultural Heritage in Need of Urgent Safeguarding to the Representative List of the Intangible Cultural Heritage of Humanity.</w:t>
                  </w:r>
                </w:p>
              </w:tc>
            </w:tr>
          </w:tbl>
          <w:p w14:paraId="10FD9CEE" w14:textId="77777777" w:rsidR="007E459F" w:rsidRPr="00195EB3" w:rsidRDefault="007E459F" w:rsidP="005F773B">
            <w:pPr>
              <w:keepLines/>
              <w:spacing w:before="60" w:after="60"/>
              <w:jc w:val="both"/>
              <w:rPr>
                <w:rFonts w:ascii="Arial" w:hAnsi="Arial" w:cs="Arial"/>
                <w:color w:val="000000" w:themeColor="text1"/>
                <w:sz w:val="22"/>
                <w:szCs w:val="22"/>
                <w:lang w:val="en-GB"/>
              </w:rPr>
            </w:pPr>
          </w:p>
        </w:tc>
      </w:tr>
      <w:tr w:rsidR="00DC3239" w:rsidRPr="00195EB3" w14:paraId="0977745E" w14:textId="77777777" w:rsidTr="00DF7E48">
        <w:trPr>
          <w:trHeight w:val="1904"/>
        </w:trPr>
        <w:tc>
          <w:tcPr>
            <w:tcW w:w="230" w:type="pct"/>
          </w:tcPr>
          <w:p w14:paraId="750AEC7C" w14:textId="355E01BD" w:rsidR="00FC22D5" w:rsidRPr="00195EB3" w:rsidRDefault="00FC22D5" w:rsidP="005F773B">
            <w:pPr>
              <w:keepLines/>
              <w:spacing w:before="60" w:after="60"/>
              <w:rPr>
                <w:rFonts w:ascii="Arial" w:hAnsi="Arial" w:cs="Arial"/>
                <w:sz w:val="22"/>
                <w:szCs w:val="22"/>
                <w:lang w:val="en-GB"/>
              </w:rPr>
            </w:pPr>
          </w:p>
        </w:tc>
        <w:tc>
          <w:tcPr>
            <w:tcW w:w="2314" w:type="pct"/>
            <w:tcBorders>
              <w:bottom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4586"/>
            </w:tblGrid>
            <w:tr w:rsidR="00FC22D5" w:rsidRPr="00DF7E48" w14:paraId="7449C7C7" w14:textId="77777777" w:rsidTr="00120A07">
              <w:trPr>
                <w:cantSplit/>
              </w:trPr>
              <w:tc>
                <w:tcPr>
                  <w:tcW w:w="1352" w:type="pct"/>
                </w:tcPr>
                <w:p w14:paraId="6E48C024"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31 March</w:t>
                  </w:r>
                </w:p>
                <w:p w14:paraId="78001697"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1</w:t>
                  </w:r>
                </w:p>
              </w:tc>
              <w:tc>
                <w:tcPr>
                  <w:tcW w:w="3648" w:type="pct"/>
                </w:tcPr>
                <w:p w14:paraId="366FA640" w14:textId="77777777" w:rsidR="00FC22D5" w:rsidRPr="00195EB3" w:rsidRDefault="00FC22D5" w:rsidP="005F773B">
                  <w:pPr>
                    <w:keepLines/>
                    <w:spacing w:before="60" w:after="60"/>
                    <w:ind w:right="69"/>
                    <w:jc w:val="both"/>
                    <w:rPr>
                      <w:rFonts w:ascii="Arial" w:hAnsi="Arial" w:cs="Arial"/>
                      <w:sz w:val="22"/>
                      <w:szCs w:val="22"/>
                      <w:lang w:val="en-GB"/>
                    </w:rPr>
                  </w:pPr>
                  <w:r w:rsidRPr="00195EB3">
                    <w:rPr>
                      <w:rFonts w:ascii="Arial" w:hAnsi="Arial" w:cs="Arial"/>
                      <w:sz w:val="22"/>
                      <w:szCs w:val="22"/>
                      <w:lang w:val="en-GB"/>
                    </w:rPr>
                    <w:t>Deadline by which nominations for the List of Intangible Cultural Heritage in Need of Urgent Safeguarding (including those submitted simultaneously with International Assistance requests) and the Representative List of the Intangible Cultural Heritage of Humanity, as well as proposals for programmes, projects and activities that best reflect the principles and objectives of the Convention must be received by the Secretariat. Files received after this date will be examined in the next cycle. The Secretariat posts on the website of the Convention, in their original language, files as received.</w:t>
                  </w:r>
                </w:p>
              </w:tc>
            </w:tr>
            <w:tr w:rsidR="00FC22D5" w:rsidRPr="00DF7E48" w14:paraId="5FE52225" w14:textId="77777777" w:rsidTr="00120A07">
              <w:trPr>
                <w:cantSplit/>
                <w:trHeight w:val="95"/>
              </w:trPr>
              <w:tc>
                <w:tcPr>
                  <w:tcW w:w="1352" w:type="pct"/>
                </w:tcPr>
                <w:p w14:paraId="4D821806" w14:textId="77777777" w:rsidR="00FC22D5" w:rsidRPr="00195EB3" w:rsidRDefault="00FC22D5" w:rsidP="005F773B">
                  <w:pPr>
                    <w:keepLines/>
                    <w:spacing w:before="60" w:after="60"/>
                    <w:jc w:val="right"/>
                    <w:rPr>
                      <w:rFonts w:ascii="Arial" w:hAnsi="Arial" w:cs="Arial"/>
                      <w:sz w:val="22"/>
                      <w:szCs w:val="22"/>
                      <w:highlight w:val="yellow"/>
                      <w:lang w:val="en-GB"/>
                    </w:rPr>
                  </w:pPr>
                </w:p>
                <w:p w14:paraId="12E08C67" w14:textId="77777777" w:rsidR="00FC22D5" w:rsidRPr="00195EB3" w:rsidRDefault="00FC22D5" w:rsidP="005F773B">
                  <w:pPr>
                    <w:keepLines/>
                    <w:spacing w:before="60" w:after="60"/>
                    <w:jc w:val="right"/>
                    <w:rPr>
                      <w:rFonts w:ascii="Arial" w:hAnsi="Arial" w:cs="Arial"/>
                      <w:sz w:val="22"/>
                      <w:szCs w:val="22"/>
                      <w:highlight w:val="yellow"/>
                      <w:lang w:val="en-GB"/>
                    </w:rPr>
                  </w:pPr>
                </w:p>
                <w:p w14:paraId="4B770650" w14:textId="77777777" w:rsidR="00FC22D5" w:rsidRPr="00195EB3" w:rsidRDefault="00FC22D5" w:rsidP="005F773B">
                  <w:pPr>
                    <w:keepLines/>
                    <w:spacing w:before="60" w:after="60"/>
                    <w:jc w:val="right"/>
                    <w:rPr>
                      <w:rFonts w:ascii="Arial" w:hAnsi="Arial" w:cs="Arial"/>
                      <w:sz w:val="22"/>
                      <w:szCs w:val="22"/>
                      <w:highlight w:val="yellow"/>
                      <w:lang w:val="en-GB"/>
                    </w:rPr>
                  </w:pPr>
                </w:p>
                <w:p w14:paraId="3039FC10" w14:textId="77777777" w:rsidR="00FC22D5" w:rsidRPr="00195EB3" w:rsidRDefault="00FC22D5" w:rsidP="005F773B">
                  <w:pPr>
                    <w:keepLines/>
                    <w:spacing w:before="60" w:after="60"/>
                    <w:jc w:val="right"/>
                    <w:rPr>
                      <w:rFonts w:ascii="Arial" w:hAnsi="Arial" w:cs="Arial"/>
                      <w:sz w:val="22"/>
                      <w:szCs w:val="22"/>
                      <w:highlight w:val="yellow"/>
                      <w:lang w:val="en-GB"/>
                    </w:rPr>
                  </w:pPr>
                </w:p>
              </w:tc>
              <w:tc>
                <w:tcPr>
                  <w:tcW w:w="3648" w:type="pct"/>
                </w:tcPr>
                <w:p w14:paraId="2611B5B3" w14:textId="77777777" w:rsidR="00FC22D5" w:rsidRPr="00195EB3" w:rsidRDefault="00FC22D5" w:rsidP="005F773B">
                  <w:pPr>
                    <w:keepLines/>
                    <w:spacing w:before="60" w:after="60"/>
                    <w:jc w:val="both"/>
                    <w:rPr>
                      <w:rFonts w:ascii="Arial" w:hAnsi="Arial" w:cs="Arial"/>
                      <w:sz w:val="22"/>
                      <w:szCs w:val="22"/>
                      <w:lang w:val="en-GB"/>
                    </w:rPr>
                  </w:pPr>
                </w:p>
                <w:p w14:paraId="4E712A04" w14:textId="77777777" w:rsidR="00870AD7" w:rsidRPr="00195EB3" w:rsidRDefault="00870AD7" w:rsidP="005F773B">
                  <w:pPr>
                    <w:keepLines/>
                    <w:spacing w:before="60" w:after="60"/>
                    <w:jc w:val="both"/>
                    <w:rPr>
                      <w:rFonts w:ascii="Arial" w:hAnsi="Arial" w:cs="Arial"/>
                      <w:sz w:val="22"/>
                      <w:szCs w:val="22"/>
                      <w:lang w:val="en-GB"/>
                    </w:rPr>
                  </w:pPr>
                </w:p>
                <w:p w14:paraId="70D419CC" w14:textId="77777777" w:rsidR="00870AD7" w:rsidRPr="00195EB3" w:rsidRDefault="00870AD7" w:rsidP="005F773B">
                  <w:pPr>
                    <w:keepLines/>
                    <w:spacing w:before="60" w:after="60"/>
                    <w:jc w:val="both"/>
                    <w:rPr>
                      <w:rFonts w:ascii="Arial" w:hAnsi="Arial" w:cs="Arial"/>
                      <w:sz w:val="22"/>
                      <w:szCs w:val="22"/>
                      <w:lang w:val="en-GB"/>
                    </w:rPr>
                  </w:pPr>
                </w:p>
                <w:p w14:paraId="1E96519E" w14:textId="77777777" w:rsidR="00870AD7" w:rsidRPr="00195EB3" w:rsidRDefault="00870AD7" w:rsidP="005F773B">
                  <w:pPr>
                    <w:keepLines/>
                    <w:spacing w:before="60" w:after="60"/>
                    <w:jc w:val="both"/>
                    <w:rPr>
                      <w:rFonts w:ascii="Arial" w:hAnsi="Arial" w:cs="Arial"/>
                      <w:sz w:val="22"/>
                      <w:szCs w:val="22"/>
                      <w:lang w:val="en-GB"/>
                    </w:rPr>
                  </w:pPr>
                </w:p>
                <w:p w14:paraId="3B87B2DA" w14:textId="60E4E61A" w:rsidR="00870AD7" w:rsidRPr="00195EB3" w:rsidRDefault="00870AD7" w:rsidP="005F773B">
                  <w:pPr>
                    <w:keepLines/>
                    <w:spacing w:before="60" w:after="60"/>
                    <w:jc w:val="both"/>
                    <w:rPr>
                      <w:rFonts w:ascii="Arial" w:hAnsi="Arial" w:cs="Arial"/>
                      <w:sz w:val="22"/>
                      <w:szCs w:val="22"/>
                      <w:lang w:val="en-GB"/>
                    </w:rPr>
                  </w:pPr>
                </w:p>
              </w:tc>
            </w:tr>
            <w:tr w:rsidR="00FC22D5" w:rsidRPr="00DF7E48" w14:paraId="69EE8073" w14:textId="77777777" w:rsidTr="00120A07">
              <w:trPr>
                <w:cantSplit/>
              </w:trPr>
              <w:tc>
                <w:tcPr>
                  <w:tcW w:w="1352" w:type="pct"/>
                </w:tcPr>
                <w:p w14:paraId="745BD42F"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30 June</w:t>
                  </w:r>
                </w:p>
                <w:p w14:paraId="01E7FAC0"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1</w:t>
                  </w:r>
                </w:p>
              </w:tc>
              <w:tc>
                <w:tcPr>
                  <w:tcW w:w="3648" w:type="pct"/>
                </w:tcPr>
                <w:p w14:paraId="3B8B4BFA" w14:textId="77777777" w:rsidR="00FC22D5" w:rsidRPr="00195EB3" w:rsidRDefault="00FC22D5" w:rsidP="005F773B">
                  <w:pPr>
                    <w:keepLines/>
                    <w:spacing w:before="60" w:after="60"/>
                    <w:ind w:right="69"/>
                    <w:jc w:val="both"/>
                    <w:rPr>
                      <w:rFonts w:ascii="Arial" w:hAnsi="Arial" w:cs="Arial"/>
                      <w:sz w:val="22"/>
                      <w:szCs w:val="22"/>
                      <w:lang w:val="en-GB"/>
                    </w:rPr>
                  </w:pPr>
                  <w:r w:rsidRPr="00195EB3">
                    <w:rPr>
                      <w:rFonts w:ascii="Arial" w:hAnsi="Arial" w:cs="Arial"/>
                      <w:sz w:val="22"/>
                      <w:szCs w:val="22"/>
                      <w:lang w:val="en-GB"/>
                    </w:rPr>
                    <w:t>Deadline by which the Secretariat will have processed the files, including registration and acknowledgement of receipt. If a file is found incomplete, the State Party is invited to complete the file.</w:t>
                  </w:r>
                </w:p>
              </w:tc>
            </w:tr>
            <w:tr w:rsidR="00FC22D5" w:rsidRPr="00DF7E48" w14:paraId="6C80DCE2" w14:textId="77777777" w:rsidTr="00120A07">
              <w:trPr>
                <w:cantSplit/>
              </w:trPr>
              <w:tc>
                <w:tcPr>
                  <w:tcW w:w="1352" w:type="pct"/>
                </w:tcPr>
                <w:p w14:paraId="7DC2A952"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lastRenderedPageBreak/>
                    <w:t>30 September</w:t>
                  </w:r>
                </w:p>
                <w:p w14:paraId="2FE69E0F"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1</w:t>
                  </w:r>
                </w:p>
              </w:tc>
              <w:tc>
                <w:tcPr>
                  <w:tcW w:w="3648" w:type="pct"/>
                </w:tcPr>
                <w:p w14:paraId="2BD1A080" w14:textId="77777777" w:rsidR="00FC22D5" w:rsidRPr="00195EB3" w:rsidRDefault="00FC22D5" w:rsidP="005F773B">
                  <w:pPr>
                    <w:keepLines/>
                    <w:spacing w:before="60" w:after="60"/>
                    <w:ind w:right="69"/>
                    <w:jc w:val="both"/>
                    <w:rPr>
                      <w:rFonts w:ascii="Arial" w:hAnsi="Arial" w:cs="Arial"/>
                      <w:sz w:val="22"/>
                      <w:szCs w:val="22"/>
                      <w:lang w:val="en-GB"/>
                    </w:rPr>
                  </w:pPr>
                  <w:r w:rsidRPr="00195EB3">
                    <w:rPr>
                      <w:rFonts w:ascii="Arial" w:hAnsi="Arial" w:cs="Arial"/>
                      <w:sz w:val="22"/>
                      <w:szCs w:val="22"/>
                      <w:lang w:val="en-GB"/>
                    </w:rPr>
                    <w:t>Deadline by which missing information required to complete the files, if any, shall be submitted by the State Party to the Secretariat. Files that remain incomplete are returned to the States Parties that may complete them for a subsequent cycle. As files revised by submitting States reach the Secretariat following its requests for additional information, they are posted online and replace the original files received. Their translations into English or French are also posted online as they become available.</w:t>
                  </w:r>
                </w:p>
                <w:p w14:paraId="3D4A7540" w14:textId="77777777" w:rsidR="00870AD7" w:rsidRPr="00195EB3" w:rsidRDefault="00870AD7" w:rsidP="005F773B">
                  <w:pPr>
                    <w:keepLines/>
                    <w:spacing w:before="60" w:after="60"/>
                    <w:ind w:right="69"/>
                    <w:jc w:val="both"/>
                    <w:rPr>
                      <w:rFonts w:ascii="Arial" w:hAnsi="Arial" w:cs="Arial"/>
                      <w:sz w:val="22"/>
                      <w:szCs w:val="22"/>
                      <w:lang w:val="en-GB"/>
                    </w:rPr>
                  </w:pPr>
                </w:p>
              </w:tc>
            </w:tr>
            <w:tr w:rsidR="00FC22D5" w:rsidRPr="00DF7E48" w14:paraId="27D988F1" w14:textId="77777777" w:rsidTr="00120A07">
              <w:trPr>
                <w:cantSplit/>
              </w:trPr>
              <w:tc>
                <w:tcPr>
                  <w:tcW w:w="1352" w:type="pct"/>
                </w:tcPr>
                <w:p w14:paraId="26A6B2A1"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31 January</w:t>
                  </w:r>
                </w:p>
                <w:p w14:paraId="641F8CF3"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2</w:t>
                  </w:r>
                </w:p>
              </w:tc>
              <w:tc>
                <w:tcPr>
                  <w:tcW w:w="3648" w:type="pct"/>
                </w:tcPr>
                <w:p w14:paraId="296F248A" w14:textId="77777777" w:rsidR="00FC22D5" w:rsidRPr="00195EB3" w:rsidRDefault="00FC22D5" w:rsidP="005F773B">
                  <w:pPr>
                    <w:keepLines/>
                    <w:spacing w:before="60" w:after="60"/>
                    <w:ind w:right="69"/>
                    <w:jc w:val="both"/>
                    <w:rPr>
                      <w:rFonts w:ascii="Arial" w:hAnsi="Arial" w:cs="Arial"/>
                      <w:sz w:val="22"/>
                      <w:szCs w:val="22"/>
                      <w:lang w:val="en-GB"/>
                    </w:rPr>
                  </w:pPr>
                  <w:r w:rsidRPr="00195EB3">
                    <w:rPr>
                      <w:rFonts w:ascii="Arial" w:hAnsi="Arial" w:cs="Arial"/>
                      <w:sz w:val="22"/>
                      <w:szCs w:val="22"/>
                      <w:lang w:val="en-GB"/>
                    </w:rPr>
                    <w:t>Deadline by which transfer requests from the Representative List of the Intangible Cultural Heritage of Humanity to the List of Intangible Cultural Heritage in Need of Urgent Safeguarding must be received by the Secretariat. The Secretariat registers the requests. The requests are transmitted to the Evaluation Body on the same year of their submission, without checking whether a file is complete.</w:t>
                  </w:r>
                </w:p>
              </w:tc>
            </w:tr>
          </w:tbl>
          <w:p w14:paraId="5F6751FA" w14:textId="77777777" w:rsidR="00FC22D5" w:rsidRPr="00195EB3" w:rsidRDefault="00FC22D5" w:rsidP="005F773B">
            <w:pPr>
              <w:keepLines/>
              <w:spacing w:before="60" w:after="60"/>
              <w:jc w:val="both"/>
              <w:rPr>
                <w:rFonts w:ascii="Arial" w:hAnsi="Arial" w:cs="Arial"/>
                <w:sz w:val="22"/>
                <w:szCs w:val="22"/>
                <w:lang w:val="en-US"/>
              </w:rPr>
            </w:pPr>
          </w:p>
        </w:tc>
        <w:tc>
          <w:tcPr>
            <w:tcW w:w="277" w:type="pct"/>
            <w:tcBorders>
              <w:bottom w:val="single" w:sz="4" w:space="0" w:color="auto"/>
            </w:tcBorders>
          </w:tcPr>
          <w:p w14:paraId="19C0C827" w14:textId="5DBC0727" w:rsidR="00FC22D5" w:rsidRPr="00195EB3" w:rsidRDefault="00FC22D5" w:rsidP="005F773B">
            <w:pPr>
              <w:keepLines/>
              <w:spacing w:before="60" w:after="60"/>
              <w:jc w:val="both"/>
              <w:rPr>
                <w:rFonts w:ascii="Arial" w:hAnsi="Arial" w:cs="Arial"/>
                <w:sz w:val="22"/>
                <w:szCs w:val="22"/>
                <w:lang w:val="en-GB"/>
              </w:rPr>
            </w:pPr>
          </w:p>
        </w:tc>
        <w:tc>
          <w:tcPr>
            <w:tcW w:w="2179" w:type="pct"/>
            <w:tcBorders>
              <w:bottom w:val="single" w:sz="4" w:space="0" w:color="auto"/>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5"/>
              <w:gridCol w:w="4392"/>
            </w:tblGrid>
            <w:tr w:rsidR="000114FD" w:rsidRPr="00195EB3" w14:paraId="46E834A3" w14:textId="77777777" w:rsidTr="00120A07">
              <w:trPr>
                <w:cantSplit/>
                <w:trHeight w:val="3627"/>
              </w:trPr>
              <w:tc>
                <w:tcPr>
                  <w:tcW w:w="1276" w:type="pct"/>
                </w:tcPr>
                <w:p w14:paraId="6196523A"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31 March</w:t>
                  </w:r>
                </w:p>
                <w:p w14:paraId="5EDD6BD6"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1</w:t>
                  </w:r>
                </w:p>
              </w:tc>
              <w:tc>
                <w:tcPr>
                  <w:tcW w:w="3724" w:type="pct"/>
                </w:tcPr>
                <w:p w14:paraId="6F7ED8BD" w14:textId="77777777"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p w14:paraId="704DCF5B" w14:textId="77777777" w:rsidR="00FC22D5" w:rsidRPr="00195EB3" w:rsidRDefault="00FC22D5" w:rsidP="005F773B">
                  <w:pPr>
                    <w:keepLines/>
                    <w:spacing w:before="60" w:after="60"/>
                    <w:jc w:val="both"/>
                    <w:rPr>
                      <w:rFonts w:ascii="Arial" w:hAnsi="Arial" w:cs="Arial"/>
                      <w:sz w:val="22"/>
                      <w:szCs w:val="22"/>
                      <w:lang w:val="en-GB"/>
                    </w:rPr>
                  </w:pPr>
                </w:p>
                <w:p w14:paraId="7418CA45" w14:textId="77777777" w:rsidR="00FC22D5" w:rsidRPr="00195EB3" w:rsidRDefault="00FC22D5" w:rsidP="005F773B">
                  <w:pPr>
                    <w:keepLines/>
                    <w:spacing w:before="60" w:after="60"/>
                    <w:jc w:val="both"/>
                    <w:rPr>
                      <w:rFonts w:ascii="Arial" w:hAnsi="Arial" w:cs="Arial"/>
                      <w:sz w:val="22"/>
                      <w:szCs w:val="22"/>
                      <w:lang w:val="en-GB"/>
                    </w:rPr>
                  </w:pPr>
                </w:p>
                <w:p w14:paraId="7614AEC7" w14:textId="77777777" w:rsidR="00FC22D5" w:rsidRPr="00195EB3" w:rsidRDefault="00FC22D5" w:rsidP="005F773B">
                  <w:pPr>
                    <w:keepLines/>
                    <w:spacing w:before="60" w:after="60"/>
                    <w:jc w:val="both"/>
                    <w:rPr>
                      <w:rFonts w:ascii="Arial" w:hAnsi="Arial" w:cs="Arial"/>
                      <w:sz w:val="22"/>
                      <w:szCs w:val="22"/>
                      <w:lang w:val="en-GB"/>
                    </w:rPr>
                  </w:pPr>
                </w:p>
                <w:p w14:paraId="1281EFEC" w14:textId="77777777" w:rsidR="00FC22D5" w:rsidRPr="00195EB3" w:rsidRDefault="00FC22D5" w:rsidP="005F773B">
                  <w:pPr>
                    <w:keepLines/>
                    <w:spacing w:before="60" w:after="60"/>
                    <w:jc w:val="both"/>
                    <w:rPr>
                      <w:rFonts w:ascii="Arial" w:hAnsi="Arial" w:cs="Arial"/>
                      <w:sz w:val="22"/>
                      <w:szCs w:val="22"/>
                      <w:lang w:val="en-GB"/>
                    </w:rPr>
                  </w:pPr>
                </w:p>
                <w:p w14:paraId="1DDDEC4E" w14:textId="77777777" w:rsidR="00FC22D5" w:rsidRPr="00195EB3" w:rsidRDefault="00FC22D5" w:rsidP="005F773B">
                  <w:pPr>
                    <w:keepLines/>
                    <w:spacing w:before="60" w:after="60"/>
                    <w:jc w:val="both"/>
                    <w:rPr>
                      <w:rFonts w:ascii="Arial" w:hAnsi="Arial" w:cs="Arial"/>
                      <w:sz w:val="22"/>
                      <w:szCs w:val="22"/>
                      <w:lang w:val="en-GB"/>
                    </w:rPr>
                  </w:pPr>
                </w:p>
                <w:p w14:paraId="65BF2F52" w14:textId="77777777" w:rsidR="00FC22D5" w:rsidRPr="00195EB3" w:rsidRDefault="00FC22D5" w:rsidP="005F773B">
                  <w:pPr>
                    <w:keepLines/>
                    <w:spacing w:before="60" w:after="60"/>
                    <w:jc w:val="both"/>
                    <w:rPr>
                      <w:rFonts w:ascii="Arial" w:hAnsi="Arial" w:cs="Arial"/>
                      <w:sz w:val="22"/>
                      <w:szCs w:val="22"/>
                      <w:lang w:val="en-GB"/>
                    </w:rPr>
                  </w:pPr>
                </w:p>
                <w:p w14:paraId="72874576" w14:textId="77777777" w:rsidR="00FC22D5" w:rsidRPr="00195EB3" w:rsidRDefault="00FC22D5" w:rsidP="005F773B">
                  <w:pPr>
                    <w:keepLines/>
                    <w:spacing w:before="60" w:after="60"/>
                    <w:jc w:val="both"/>
                    <w:rPr>
                      <w:rFonts w:ascii="Arial" w:hAnsi="Arial" w:cs="Arial"/>
                      <w:sz w:val="22"/>
                      <w:szCs w:val="22"/>
                      <w:lang w:val="en-GB"/>
                    </w:rPr>
                  </w:pPr>
                </w:p>
                <w:p w14:paraId="47ABB552" w14:textId="77777777" w:rsidR="00623E61" w:rsidRPr="00195EB3" w:rsidRDefault="00623E61" w:rsidP="005F773B">
                  <w:pPr>
                    <w:keepLines/>
                    <w:spacing w:before="60" w:after="60"/>
                    <w:jc w:val="both"/>
                    <w:rPr>
                      <w:rFonts w:ascii="Arial" w:hAnsi="Arial" w:cs="Arial"/>
                      <w:sz w:val="22"/>
                      <w:szCs w:val="22"/>
                      <w:lang w:val="en-GB"/>
                    </w:rPr>
                  </w:pPr>
                </w:p>
                <w:p w14:paraId="02FB67E0" w14:textId="77777777" w:rsidR="00623E61" w:rsidRPr="00195EB3" w:rsidRDefault="00623E61" w:rsidP="005F773B">
                  <w:pPr>
                    <w:keepLines/>
                    <w:spacing w:before="60" w:after="60"/>
                    <w:jc w:val="both"/>
                    <w:rPr>
                      <w:rFonts w:ascii="Arial" w:hAnsi="Arial" w:cs="Arial"/>
                      <w:sz w:val="22"/>
                      <w:szCs w:val="22"/>
                      <w:lang w:val="en-GB"/>
                    </w:rPr>
                  </w:pPr>
                </w:p>
                <w:p w14:paraId="5669C1B7" w14:textId="77777777" w:rsidR="00623E61" w:rsidRPr="00195EB3" w:rsidRDefault="00623E61" w:rsidP="005F773B">
                  <w:pPr>
                    <w:keepLines/>
                    <w:spacing w:before="60" w:after="60"/>
                    <w:jc w:val="both"/>
                    <w:rPr>
                      <w:rFonts w:ascii="Arial" w:hAnsi="Arial" w:cs="Arial"/>
                      <w:sz w:val="22"/>
                      <w:szCs w:val="22"/>
                      <w:lang w:val="en-GB"/>
                    </w:rPr>
                  </w:pPr>
                </w:p>
                <w:p w14:paraId="4A80B68E" w14:textId="77777777" w:rsidR="00FC22D5" w:rsidRPr="00195EB3" w:rsidRDefault="00FC22D5" w:rsidP="005F773B">
                  <w:pPr>
                    <w:keepLines/>
                    <w:spacing w:before="60" w:after="60"/>
                    <w:jc w:val="both"/>
                    <w:rPr>
                      <w:rFonts w:ascii="Arial" w:hAnsi="Arial" w:cs="Arial"/>
                      <w:sz w:val="22"/>
                      <w:szCs w:val="22"/>
                      <w:lang w:val="en-GB"/>
                    </w:rPr>
                  </w:pPr>
                </w:p>
              </w:tc>
            </w:tr>
            <w:tr w:rsidR="000114FD" w:rsidRPr="00DF7E48" w14:paraId="5FFEB3A6" w14:textId="77777777" w:rsidTr="00120A07">
              <w:trPr>
                <w:cantSplit/>
                <w:trHeight w:val="1347"/>
              </w:trPr>
              <w:tc>
                <w:tcPr>
                  <w:tcW w:w="1276" w:type="pct"/>
                  <w:shd w:val="clear" w:color="auto" w:fill="DBE5F1" w:themeFill="accent1" w:themeFillTint="33"/>
                </w:tcPr>
                <w:p w14:paraId="55381CE4" w14:textId="77777777" w:rsidR="00FC22D5" w:rsidRPr="00195EB3" w:rsidRDefault="00FC22D5" w:rsidP="005F773B">
                  <w:pPr>
                    <w:keepLines/>
                    <w:spacing w:before="60" w:after="60"/>
                    <w:jc w:val="right"/>
                    <w:rPr>
                      <w:rFonts w:ascii="Arial" w:hAnsi="Arial" w:cs="Arial"/>
                      <w:b/>
                      <w:bCs/>
                      <w:sz w:val="22"/>
                      <w:szCs w:val="22"/>
                      <w:u w:val="single"/>
                      <w:lang w:val="en-GB"/>
                    </w:rPr>
                  </w:pPr>
                  <w:r w:rsidRPr="00195EB3">
                    <w:rPr>
                      <w:rFonts w:ascii="Arial" w:hAnsi="Arial" w:cs="Arial"/>
                      <w:b/>
                      <w:bCs/>
                      <w:sz w:val="22"/>
                      <w:szCs w:val="22"/>
                      <w:u w:val="single"/>
                      <w:lang w:val="en-GB"/>
                    </w:rPr>
                    <w:t>30 June</w:t>
                  </w:r>
                </w:p>
                <w:p w14:paraId="64B94233" w14:textId="77777777" w:rsidR="00FC22D5" w:rsidRPr="00195EB3" w:rsidRDefault="00FC22D5" w:rsidP="005F773B">
                  <w:pPr>
                    <w:keepLines/>
                    <w:spacing w:before="60" w:after="60"/>
                    <w:jc w:val="right"/>
                    <w:rPr>
                      <w:rFonts w:ascii="Arial" w:hAnsi="Arial" w:cs="Arial"/>
                      <w:b/>
                      <w:bCs/>
                      <w:sz w:val="22"/>
                      <w:szCs w:val="22"/>
                      <w:u w:val="single"/>
                      <w:lang w:val="en-GB"/>
                    </w:rPr>
                  </w:pPr>
                  <w:r w:rsidRPr="00195EB3">
                    <w:rPr>
                      <w:rFonts w:ascii="Arial" w:hAnsi="Arial" w:cs="Arial"/>
                      <w:b/>
                      <w:bCs/>
                      <w:sz w:val="22"/>
                      <w:szCs w:val="22"/>
                      <w:u w:val="single"/>
                      <w:lang w:val="en-GB"/>
                    </w:rPr>
                    <w:t>Year 1</w:t>
                  </w:r>
                </w:p>
                <w:p w14:paraId="322D8388" w14:textId="77777777" w:rsidR="00FC22D5" w:rsidRPr="00195EB3" w:rsidRDefault="00FC22D5" w:rsidP="005F773B">
                  <w:pPr>
                    <w:keepLines/>
                    <w:spacing w:before="60" w:after="60"/>
                    <w:jc w:val="right"/>
                    <w:rPr>
                      <w:rFonts w:ascii="Arial" w:hAnsi="Arial" w:cs="Arial"/>
                      <w:sz w:val="22"/>
                      <w:szCs w:val="22"/>
                      <w:lang w:val="en-GB"/>
                    </w:rPr>
                  </w:pPr>
                </w:p>
                <w:p w14:paraId="171BCC8E" w14:textId="77777777" w:rsidR="00FC22D5" w:rsidRPr="00195EB3" w:rsidRDefault="00FC22D5" w:rsidP="005F773B">
                  <w:pPr>
                    <w:keepLines/>
                    <w:spacing w:before="60" w:after="60"/>
                    <w:jc w:val="right"/>
                    <w:rPr>
                      <w:rFonts w:ascii="Arial" w:hAnsi="Arial" w:cs="Arial"/>
                      <w:sz w:val="22"/>
                      <w:szCs w:val="22"/>
                      <w:lang w:val="en-GB"/>
                    </w:rPr>
                  </w:pPr>
                </w:p>
              </w:tc>
              <w:tc>
                <w:tcPr>
                  <w:tcW w:w="3724" w:type="pct"/>
                  <w:shd w:val="clear" w:color="auto" w:fill="DBE5F1" w:themeFill="accent1" w:themeFillTint="33"/>
                </w:tcPr>
                <w:p w14:paraId="20831664" w14:textId="77777777" w:rsidR="00FC22D5" w:rsidRPr="00195EB3" w:rsidRDefault="00FC22D5" w:rsidP="005F773B">
                  <w:pPr>
                    <w:keepLines/>
                    <w:spacing w:before="60" w:after="60"/>
                    <w:jc w:val="both"/>
                    <w:rPr>
                      <w:rFonts w:ascii="Arial" w:hAnsi="Arial" w:cs="Arial"/>
                      <w:b/>
                      <w:bCs/>
                      <w:sz w:val="22"/>
                      <w:szCs w:val="22"/>
                      <w:u w:val="single"/>
                      <w:lang w:val="en-GB"/>
                    </w:rPr>
                  </w:pPr>
                  <w:r w:rsidRPr="00195EB3">
                    <w:rPr>
                      <w:rFonts w:ascii="Arial" w:hAnsi="Arial" w:cs="Arial"/>
                      <w:b/>
                      <w:bCs/>
                      <w:sz w:val="22"/>
                      <w:szCs w:val="22"/>
                      <w:u w:val="single"/>
                      <w:lang w:val="en-GB"/>
                    </w:rPr>
                    <w:t>Deadline for submission of transfer requests from the List of Intangible Cultural Heritage in Need of Urgent Safeguarding to the Representative List of the Intangible Cultural Heritage of Humanity.</w:t>
                  </w:r>
                </w:p>
              </w:tc>
            </w:tr>
            <w:tr w:rsidR="000114FD" w:rsidRPr="00DF7E48" w14:paraId="42F2876B" w14:textId="77777777" w:rsidTr="00120A07">
              <w:trPr>
                <w:cantSplit/>
              </w:trPr>
              <w:tc>
                <w:tcPr>
                  <w:tcW w:w="1276" w:type="pct"/>
                  <w:shd w:val="clear" w:color="auto" w:fill="EAF1DD" w:themeFill="accent3" w:themeFillTint="33"/>
                </w:tcPr>
                <w:p w14:paraId="493EBF6C" w14:textId="77777777" w:rsidR="00FC22D5" w:rsidRPr="00195EB3" w:rsidRDefault="00FC22D5" w:rsidP="005F773B">
                  <w:pPr>
                    <w:keepLines/>
                    <w:spacing w:before="60" w:after="60"/>
                    <w:jc w:val="right"/>
                    <w:rPr>
                      <w:rFonts w:ascii="Arial" w:hAnsi="Arial" w:cs="Arial"/>
                      <w:strike/>
                      <w:sz w:val="22"/>
                      <w:szCs w:val="22"/>
                      <w:lang w:val="en-GB"/>
                    </w:rPr>
                  </w:pPr>
                  <w:r w:rsidRPr="00195EB3">
                    <w:rPr>
                      <w:rFonts w:ascii="Arial" w:hAnsi="Arial" w:cs="Arial"/>
                      <w:strike/>
                      <w:sz w:val="22"/>
                      <w:szCs w:val="22"/>
                      <w:lang w:val="en-GB"/>
                    </w:rPr>
                    <w:t>30 June</w:t>
                  </w:r>
                </w:p>
                <w:p w14:paraId="07425D17" w14:textId="77777777" w:rsidR="00FC22D5" w:rsidRPr="00195EB3" w:rsidRDefault="00FC22D5" w:rsidP="005F773B">
                  <w:pPr>
                    <w:keepLines/>
                    <w:spacing w:before="60" w:after="60"/>
                    <w:jc w:val="right"/>
                    <w:rPr>
                      <w:rFonts w:ascii="Arial" w:hAnsi="Arial" w:cs="Arial"/>
                      <w:b/>
                      <w:bCs/>
                      <w:sz w:val="22"/>
                      <w:szCs w:val="22"/>
                      <w:u w:val="single"/>
                      <w:lang w:val="en-GB"/>
                    </w:rPr>
                  </w:pPr>
                  <w:r w:rsidRPr="00195EB3">
                    <w:rPr>
                      <w:rFonts w:ascii="Arial" w:hAnsi="Arial" w:cs="Arial"/>
                      <w:b/>
                      <w:bCs/>
                      <w:sz w:val="22"/>
                      <w:szCs w:val="22"/>
                      <w:u w:val="single"/>
                      <w:lang w:val="en-GB"/>
                    </w:rPr>
                    <w:t>31 August</w:t>
                  </w:r>
                </w:p>
                <w:p w14:paraId="17FA0071"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1</w:t>
                  </w:r>
                </w:p>
              </w:tc>
              <w:tc>
                <w:tcPr>
                  <w:tcW w:w="3724" w:type="pct"/>
                  <w:shd w:val="clear" w:color="auto" w:fill="EAF1DD" w:themeFill="accent3" w:themeFillTint="33"/>
                </w:tcPr>
                <w:p w14:paraId="6CEFB4A8" w14:textId="77777777"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Deadline by which the Secretariat will have processed the files, including registration and acknowledgement of receipt. If a file is found incomplete, the State Party is invited to complete the file.</w:t>
                  </w:r>
                </w:p>
              </w:tc>
            </w:tr>
            <w:tr w:rsidR="000114FD" w:rsidRPr="00DF7E48" w14:paraId="3D9510BD" w14:textId="77777777" w:rsidTr="00195EB3">
              <w:trPr>
                <w:cantSplit/>
                <w:trHeight w:val="3447"/>
              </w:trPr>
              <w:tc>
                <w:tcPr>
                  <w:tcW w:w="1276" w:type="pct"/>
                  <w:shd w:val="clear" w:color="auto" w:fill="EAF1DD" w:themeFill="accent3" w:themeFillTint="33"/>
                </w:tcPr>
                <w:p w14:paraId="6D41ED68" w14:textId="77777777" w:rsidR="00FC22D5" w:rsidRPr="00195EB3" w:rsidRDefault="00FC22D5" w:rsidP="005F773B">
                  <w:pPr>
                    <w:keepLines/>
                    <w:spacing w:before="60" w:after="60"/>
                    <w:jc w:val="right"/>
                    <w:rPr>
                      <w:rFonts w:ascii="Arial" w:hAnsi="Arial" w:cs="Arial"/>
                      <w:strike/>
                      <w:sz w:val="22"/>
                      <w:szCs w:val="22"/>
                      <w:lang w:val="en-GB"/>
                    </w:rPr>
                  </w:pPr>
                  <w:r w:rsidRPr="00195EB3">
                    <w:rPr>
                      <w:rFonts w:ascii="Arial" w:hAnsi="Arial" w:cs="Arial"/>
                      <w:strike/>
                      <w:sz w:val="22"/>
                      <w:szCs w:val="22"/>
                      <w:lang w:val="en-GB"/>
                    </w:rPr>
                    <w:lastRenderedPageBreak/>
                    <w:t>30 September</w:t>
                  </w:r>
                </w:p>
                <w:p w14:paraId="153DB14F" w14:textId="77777777" w:rsidR="00FC22D5" w:rsidRPr="00195EB3" w:rsidRDefault="00FC22D5" w:rsidP="005F773B">
                  <w:pPr>
                    <w:keepLines/>
                    <w:spacing w:before="60" w:after="60"/>
                    <w:jc w:val="right"/>
                    <w:rPr>
                      <w:rFonts w:ascii="Arial" w:hAnsi="Arial" w:cs="Arial"/>
                      <w:b/>
                      <w:bCs/>
                      <w:sz w:val="22"/>
                      <w:szCs w:val="22"/>
                      <w:u w:val="single"/>
                      <w:lang w:val="en-GB"/>
                    </w:rPr>
                  </w:pPr>
                  <w:r w:rsidRPr="00195EB3">
                    <w:rPr>
                      <w:rFonts w:ascii="Arial" w:hAnsi="Arial" w:cs="Arial"/>
                      <w:b/>
                      <w:bCs/>
                      <w:sz w:val="22"/>
                      <w:szCs w:val="22"/>
                      <w:u w:val="single"/>
                      <w:lang w:val="en-GB"/>
                    </w:rPr>
                    <w:t>30 November</w:t>
                  </w:r>
                </w:p>
                <w:p w14:paraId="7AC7E75B"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1</w:t>
                  </w:r>
                </w:p>
              </w:tc>
              <w:tc>
                <w:tcPr>
                  <w:tcW w:w="3724" w:type="pct"/>
                  <w:shd w:val="clear" w:color="auto" w:fill="EAF1DD" w:themeFill="accent3" w:themeFillTint="33"/>
                </w:tcPr>
                <w:p w14:paraId="62038F15" w14:textId="77777777"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Deadline by which missing information required to complete the files, if any, shall be submitted by the State Party to the Secretariat. Files that remain incomplete are returned to the States Parties that may complete them for a subsequent cycle. As files revised by submitting States reach the Secretariat following its requests for additional information, they are posted online and replace the original files received. Their translations into English or French are also posted online as they become available.</w:t>
                  </w:r>
                </w:p>
              </w:tc>
            </w:tr>
            <w:tr w:rsidR="000B47CF" w:rsidRPr="00195EB3" w14:paraId="15506BBE" w14:textId="77777777" w:rsidTr="00120A07">
              <w:trPr>
                <w:cantSplit/>
              </w:trPr>
              <w:tc>
                <w:tcPr>
                  <w:tcW w:w="1276" w:type="pct"/>
                </w:tcPr>
                <w:p w14:paraId="1AB00305"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31 January</w:t>
                  </w:r>
                </w:p>
                <w:p w14:paraId="6D70A0EB"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2</w:t>
                  </w:r>
                </w:p>
              </w:tc>
              <w:tc>
                <w:tcPr>
                  <w:tcW w:w="3724" w:type="pct"/>
                </w:tcPr>
                <w:p w14:paraId="14DA49DD" w14:textId="06E7DBE4" w:rsidR="00FC22D5" w:rsidRPr="00195EB3" w:rsidRDefault="00666D10"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bl>
          <w:p w14:paraId="4942244D" w14:textId="77777777" w:rsidR="00FC22D5" w:rsidRPr="00195EB3" w:rsidRDefault="00FC22D5" w:rsidP="005F773B">
            <w:pPr>
              <w:keepLines/>
              <w:spacing w:before="60" w:after="60"/>
              <w:jc w:val="both"/>
              <w:rPr>
                <w:rFonts w:ascii="Arial" w:hAnsi="Arial" w:cs="Arial"/>
                <w:sz w:val="22"/>
                <w:szCs w:val="22"/>
                <w:lang w:val="en-US"/>
              </w:rPr>
            </w:pPr>
          </w:p>
        </w:tc>
      </w:tr>
      <w:tr w:rsidR="00DC3239" w:rsidRPr="00195EB3" w14:paraId="351E2BD4" w14:textId="77777777" w:rsidTr="00DF7E48">
        <w:tc>
          <w:tcPr>
            <w:tcW w:w="230" w:type="pct"/>
            <w:tcBorders>
              <w:right w:val="single" w:sz="4" w:space="0" w:color="auto"/>
            </w:tcBorders>
          </w:tcPr>
          <w:p w14:paraId="46B7FE2F" w14:textId="7E37C3BC" w:rsidR="00FC22D5" w:rsidRPr="00195EB3" w:rsidRDefault="00FC22D5" w:rsidP="005F773B">
            <w:pPr>
              <w:keepLines/>
              <w:spacing w:before="60" w:after="60"/>
              <w:rPr>
                <w:rFonts w:ascii="Arial" w:hAnsi="Arial" w:cs="Arial"/>
                <w:sz w:val="22"/>
                <w:szCs w:val="22"/>
                <w:lang w:val="en-GB"/>
              </w:rPr>
            </w:pPr>
            <w:r w:rsidRPr="00195EB3">
              <w:rPr>
                <w:rFonts w:ascii="Arial" w:hAnsi="Arial" w:cs="Arial"/>
                <w:sz w:val="22"/>
                <w:szCs w:val="22"/>
                <w:lang w:val="en-GB"/>
              </w:rPr>
              <w:lastRenderedPageBreak/>
              <w:t>55</w:t>
            </w:r>
            <w:r w:rsidR="00EB3F70" w:rsidRPr="00195EB3">
              <w:rPr>
                <w:rFonts w:ascii="Arial" w:hAnsi="Arial" w:cs="Arial"/>
                <w:sz w:val="22"/>
                <w:szCs w:val="22"/>
                <w:lang w:val="en-GB"/>
              </w:rPr>
              <w:t>.</w:t>
            </w:r>
          </w:p>
        </w:tc>
        <w:tc>
          <w:tcPr>
            <w:tcW w:w="2314" w:type="pct"/>
            <w:tcBorders>
              <w:top w:val="single" w:sz="4" w:space="0" w:color="auto"/>
              <w:left w:val="single" w:sz="4" w:space="0" w:color="auto"/>
              <w:bottom w:val="single" w:sz="4" w:space="0" w:color="auto"/>
              <w:right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8"/>
              <w:gridCol w:w="4707"/>
            </w:tblGrid>
            <w:tr w:rsidR="005D7F98" w:rsidRPr="00195EB3" w14:paraId="1D2B1C8A" w14:textId="77777777" w:rsidTr="005D7F98">
              <w:trPr>
                <w:cantSplit/>
              </w:trPr>
              <w:tc>
                <w:tcPr>
                  <w:tcW w:w="1255" w:type="pct"/>
                </w:tcPr>
                <w:p w14:paraId="1B9F2838"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Phase 2:</w:t>
                  </w:r>
                </w:p>
              </w:tc>
              <w:tc>
                <w:tcPr>
                  <w:tcW w:w="3745" w:type="pct"/>
                </w:tcPr>
                <w:p w14:paraId="43D6A956" w14:textId="77777777" w:rsidR="00FC22D5" w:rsidRPr="00195EB3" w:rsidRDefault="00FC22D5" w:rsidP="005F773B">
                  <w:pPr>
                    <w:keepLines/>
                    <w:spacing w:before="60" w:after="60"/>
                    <w:ind w:right="176"/>
                    <w:jc w:val="both"/>
                    <w:rPr>
                      <w:rFonts w:ascii="Arial" w:hAnsi="Arial" w:cs="Arial"/>
                      <w:sz w:val="22"/>
                      <w:szCs w:val="22"/>
                      <w:lang w:val="en-GB"/>
                    </w:rPr>
                  </w:pPr>
                  <w:r w:rsidRPr="00195EB3">
                    <w:rPr>
                      <w:rFonts w:ascii="Arial" w:hAnsi="Arial" w:cs="Arial"/>
                      <w:sz w:val="22"/>
                      <w:szCs w:val="22"/>
                      <w:lang w:val="en-GB"/>
                    </w:rPr>
                    <w:t>Evaluation</w:t>
                  </w:r>
                </w:p>
              </w:tc>
            </w:tr>
            <w:tr w:rsidR="005D7F98" w:rsidRPr="00DF7E48" w14:paraId="1D08975F" w14:textId="77777777" w:rsidTr="005D7F98">
              <w:trPr>
                <w:cantSplit/>
                <w:trHeight w:val="1098"/>
              </w:trPr>
              <w:tc>
                <w:tcPr>
                  <w:tcW w:w="1255" w:type="pct"/>
                </w:tcPr>
                <w:p w14:paraId="19F29AE0"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December Year 1 to May Year 2</w:t>
                  </w:r>
                </w:p>
              </w:tc>
              <w:tc>
                <w:tcPr>
                  <w:tcW w:w="3745" w:type="pct"/>
                </w:tcPr>
                <w:p w14:paraId="0B2C3475" w14:textId="77777777"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Individual evaluation of the files by the Evaluation Body members.</w:t>
                  </w:r>
                </w:p>
                <w:p w14:paraId="25E3538A" w14:textId="77777777" w:rsidR="00F60DC1" w:rsidRPr="00195EB3" w:rsidRDefault="00F60DC1" w:rsidP="005F773B">
                  <w:pPr>
                    <w:keepLines/>
                    <w:spacing w:before="60" w:after="60"/>
                    <w:ind w:right="69"/>
                    <w:jc w:val="both"/>
                    <w:rPr>
                      <w:rFonts w:ascii="Arial" w:hAnsi="Arial" w:cs="Arial"/>
                      <w:sz w:val="22"/>
                      <w:szCs w:val="22"/>
                      <w:lang w:val="en-GB"/>
                    </w:rPr>
                  </w:pPr>
                </w:p>
              </w:tc>
            </w:tr>
            <w:tr w:rsidR="005D7F98" w:rsidRPr="00DF7E48" w14:paraId="0BDB4DC8" w14:textId="77777777" w:rsidTr="005D7F98">
              <w:trPr>
                <w:cantSplit/>
              </w:trPr>
              <w:tc>
                <w:tcPr>
                  <w:tcW w:w="1255" w:type="pct"/>
                </w:tcPr>
                <w:p w14:paraId="6DA3E0DD"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lastRenderedPageBreak/>
                    <w:t xml:space="preserve">June </w:t>
                  </w:r>
                </w:p>
                <w:p w14:paraId="42F677D2"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2</w:t>
                  </w:r>
                </w:p>
              </w:tc>
              <w:tc>
                <w:tcPr>
                  <w:tcW w:w="3745" w:type="pct"/>
                </w:tcPr>
                <w:p w14:paraId="045F7EBF" w14:textId="7AFD7B36"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Meeting at which the Evaluation Body collectively finalizes its evaluation of the files and decides which files will be included in the dialogue process. Only the evaluation of those files included in the dialogue process will still be pending until the final meeting of the Evaluation Body.</w:t>
                  </w:r>
                </w:p>
                <w:p w14:paraId="5E8E157D" w14:textId="77777777" w:rsidR="00FC22D5" w:rsidRPr="00195EB3" w:rsidRDefault="00FC22D5" w:rsidP="005F773B">
                  <w:pPr>
                    <w:keepLines/>
                    <w:spacing w:before="60" w:after="60"/>
                    <w:ind w:right="69"/>
                    <w:jc w:val="both"/>
                    <w:rPr>
                      <w:rFonts w:ascii="Arial" w:hAnsi="Arial" w:cs="Arial"/>
                      <w:sz w:val="22"/>
                      <w:szCs w:val="22"/>
                      <w:lang w:val="en-GB"/>
                    </w:rPr>
                  </w:pPr>
                  <w:r w:rsidRPr="00195EB3">
                    <w:rPr>
                      <w:rFonts w:ascii="Arial" w:hAnsi="Arial" w:cs="Arial"/>
                      <w:sz w:val="22"/>
                      <w:szCs w:val="22"/>
                      <w:lang w:val="en-GB"/>
                    </w:rPr>
                    <w:t>The dialogue process is initiated when the Evaluation Body considers that a short question and answer process with the submitting State(s), conducted in writing through the Secretariat, could influence the result of its evaluation.</w:t>
                  </w:r>
                </w:p>
              </w:tc>
            </w:tr>
            <w:tr w:rsidR="005D7F98" w:rsidRPr="00DF7E48" w14:paraId="0A6A62C3" w14:textId="77777777" w:rsidTr="005D7F98">
              <w:trPr>
                <w:cantSplit/>
                <w:trHeight w:val="2583"/>
              </w:trPr>
              <w:tc>
                <w:tcPr>
                  <w:tcW w:w="1255" w:type="pct"/>
                </w:tcPr>
                <w:p w14:paraId="1A72E93D" w14:textId="77777777" w:rsidR="00271ED9"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Two weeks after the June meeting</w:t>
                  </w:r>
                </w:p>
                <w:p w14:paraId="77439E4F" w14:textId="1E8CCBCB" w:rsidR="00FC22D5" w:rsidRPr="00195EB3" w:rsidRDefault="00FC22D5" w:rsidP="005F773B">
                  <w:pPr>
                    <w:keepLines/>
                    <w:spacing w:before="60" w:after="60"/>
                    <w:jc w:val="right"/>
                    <w:rPr>
                      <w:rFonts w:ascii="Arial" w:hAnsi="Arial" w:cs="Arial"/>
                      <w:sz w:val="22"/>
                      <w:szCs w:val="22"/>
                      <w:highlight w:val="yellow"/>
                      <w:lang w:val="en-GB"/>
                    </w:rPr>
                  </w:pPr>
                  <w:r w:rsidRPr="00195EB3">
                    <w:rPr>
                      <w:rFonts w:ascii="Arial" w:hAnsi="Arial" w:cs="Arial"/>
                      <w:sz w:val="22"/>
                      <w:szCs w:val="22"/>
                      <w:lang w:val="en-GB"/>
                    </w:rPr>
                    <w:t>Year 2</w:t>
                  </w:r>
                </w:p>
              </w:tc>
              <w:tc>
                <w:tcPr>
                  <w:tcW w:w="3745" w:type="pct"/>
                </w:tcPr>
                <w:p w14:paraId="781D46CA" w14:textId="19731F28"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Deadline by which the Evaluation Body shall transmit, through the Secretariat, its questions to the States Parties concerned by the dialogue process, in one of the two working languages of the Convention.</w:t>
                  </w:r>
                </w:p>
                <w:p w14:paraId="1631AA99" w14:textId="77777777"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States Parties shall respond to the requests of the Evaluation Body, through the Secretariat, within four weeks following the receipt of the letter, in the two working languages of the Convention.</w:t>
                  </w:r>
                </w:p>
              </w:tc>
            </w:tr>
            <w:tr w:rsidR="005D7F98" w:rsidRPr="00DF7E48" w14:paraId="73D0A214" w14:textId="77777777" w:rsidTr="005D7F98">
              <w:trPr>
                <w:cantSplit/>
                <w:trHeight w:val="774"/>
              </w:trPr>
              <w:tc>
                <w:tcPr>
                  <w:tcW w:w="1255" w:type="pct"/>
                </w:tcPr>
                <w:p w14:paraId="2E5B88A4"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Latest by September Year 2</w:t>
                  </w:r>
                </w:p>
              </w:tc>
              <w:tc>
                <w:tcPr>
                  <w:tcW w:w="3745" w:type="pct"/>
                </w:tcPr>
                <w:p w14:paraId="0895BF18" w14:textId="77777777"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Meeting at which the Evaluation Body finalizes its evaluation of the files concerned by the dialogue process and its report on the evaluation of all files.</w:t>
                  </w:r>
                </w:p>
              </w:tc>
            </w:tr>
            <w:tr w:rsidR="005D7F98" w:rsidRPr="00DF7E48" w14:paraId="1F2DC3F7" w14:textId="77777777" w:rsidTr="005D7F98">
              <w:trPr>
                <w:cantSplit/>
                <w:trHeight w:val="1214"/>
              </w:trPr>
              <w:tc>
                <w:tcPr>
                  <w:tcW w:w="1255" w:type="pct"/>
                </w:tcPr>
                <w:p w14:paraId="25E6D978"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Four weeks prior to the session of the Committee</w:t>
                  </w:r>
                </w:p>
              </w:tc>
              <w:tc>
                <w:tcPr>
                  <w:tcW w:w="3745" w:type="pct"/>
                </w:tcPr>
                <w:p w14:paraId="2431A258" w14:textId="77777777" w:rsidR="00FC22D5" w:rsidRPr="00195EB3" w:rsidRDefault="00FC22D5" w:rsidP="005F773B">
                  <w:pPr>
                    <w:keepLines/>
                    <w:spacing w:before="60" w:after="60"/>
                    <w:ind w:right="69"/>
                    <w:jc w:val="both"/>
                    <w:rPr>
                      <w:rFonts w:ascii="Arial" w:hAnsi="Arial" w:cs="Arial"/>
                      <w:sz w:val="22"/>
                      <w:szCs w:val="22"/>
                      <w:lang w:val="en-GB"/>
                    </w:rPr>
                  </w:pPr>
                  <w:r w:rsidRPr="00195EB3">
                    <w:rPr>
                      <w:rFonts w:ascii="Arial" w:hAnsi="Arial" w:cs="Arial"/>
                      <w:sz w:val="22"/>
                      <w:szCs w:val="22"/>
                      <w:lang w:val="en-GB"/>
                    </w:rPr>
                    <w:t>The Secretariat transmits the evaluation reports to the members of the Committee and makes them available online for consultation.</w:t>
                  </w:r>
                </w:p>
              </w:tc>
            </w:tr>
          </w:tbl>
          <w:p w14:paraId="39C3A4D6" w14:textId="77777777" w:rsidR="00FC22D5" w:rsidRPr="00195EB3" w:rsidRDefault="00FC22D5" w:rsidP="005F773B">
            <w:pPr>
              <w:keepLines/>
              <w:spacing w:before="60" w:after="60"/>
              <w:jc w:val="both"/>
              <w:rPr>
                <w:rFonts w:ascii="Arial" w:hAnsi="Arial" w:cs="Arial"/>
                <w:sz w:val="22"/>
                <w:szCs w:val="22"/>
                <w:lang w:val="en-US"/>
              </w:rPr>
            </w:pPr>
          </w:p>
        </w:tc>
        <w:tc>
          <w:tcPr>
            <w:tcW w:w="277" w:type="pct"/>
            <w:tcBorders>
              <w:top w:val="single" w:sz="4" w:space="0" w:color="auto"/>
              <w:left w:val="single" w:sz="4" w:space="0" w:color="auto"/>
              <w:bottom w:val="single" w:sz="4" w:space="0" w:color="auto"/>
              <w:right w:val="single" w:sz="4" w:space="0" w:color="auto"/>
            </w:tcBorders>
          </w:tcPr>
          <w:p w14:paraId="219771DF" w14:textId="3C5D1170"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lastRenderedPageBreak/>
              <w:t>55</w:t>
            </w:r>
            <w:r w:rsidR="00EB3F70" w:rsidRPr="00195EB3">
              <w:rPr>
                <w:rFonts w:ascii="Arial" w:hAnsi="Arial" w:cs="Arial"/>
                <w:sz w:val="22"/>
                <w:szCs w:val="22"/>
                <w:lang w:val="en-GB"/>
              </w:rPr>
              <w:t>.</w:t>
            </w:r>
          </w:p>
        </w:tc>
        <w:tc>
          <w:tcPr>
            <w:tcW w:w="2179" w:type="pct"/>
            <w:tcBorders>
              <w:top w:val="single" w:sz="4" w:space="0" w:color="auto"/>
              <w:left w:val="single" w:sz="4" w:space="0" w:color="auto"/>
              <w:bottom w:val="single" w:sz="4" w:space="0" w:color="auto"/>
              <w:right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1"/>
              <w:gridCol w:w="4684"/>
            </w:tblGrid>
            <w:tr w:rsidR="00FC22D5" w:rsidRPr="00195EB3" w14:paraId="2210CC68" w14:textId="77777777" w:rsidTr="005D7F98">
              <w:trPr>
                <w:cantSplit/>
              </w:trPr>
              <w:tc>
                <w:tcPr>
                  <w:tcW w:w="1274" w:type="pct"/>
                </w:tcPr>
                <w:p w14:paraId="49F84078"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Phase 2:</w:t>
                  </w:r>
                </w:p>
              </w:tc>
              <w:tc>
                <w:tcPr>
                  <w:tcW w:w="3726" w:type="pct"/>
                </w:tcPr>
                <w:p w14:paraId="53CE07DF" w14:textId="77777777" w:rsidR="00FC22D5" w:rsidRPr="00195EB3" w:rsidRDefault="00FC22D5" w:rsidP="005F773B">
                  <w:pPr>
                    <w:keepLines/>
                    <w:spacing w:before="60" w:after="60"/>
                    <w:ind w:right="176"/>
                    <w:jc w:val="both"/>
                    <w:rPr>
                      <w:rFonts w:ascii="Arial" w:hAnsi="Arial" w:cs="Arial"/>
                      <w:sz w:val="22"/>
                      <w:szCs w:val="22"/>
                      <w:lang w:val="en-GB"/>
                    </w:rPr>
                  </w:pPr>
                  <w:r w:rsidRPr="00195EB3">
                    <w:rPr>
                      <w:rFonts w:ascii="Arial" w:hAnsi="Arial" w:cs="Arial"/>
                      <w:sz w:val="22"/>
                      <w:szCs w:val="22"/>
                      <w:lang w:val="en-GB"/>
                    </w:rPr>
                    <w:t>No change</w:t>
                  </w:r>
                </w:p>
              </w:tc>
            </w:tr>
            <w:tr w:rsidR="00FC22D5" w:rsidRPr="00DF7E48" w14:paraId="36454532" w14:textId="77777777" w:rsidTr="005D7F98">
              <w:trPr>
                <w:cantSplit/>
                <w:trHeight w:val="828"/>
              </w:trPr>
              <w:tc>
                <w:tcPr>
                  <w:tcW w:w="1274" w:type="pct"/>
                  <w:shd w:val="clear" w:color="auto" w:fill="EAF1DD" w:themeFill="accent3" w:themeFillTint="33"/>
                </w:tcPr>
                <w:p w14:paraId="797E75D0"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 xml:space="preserve">December Year 1 to </w:t>
                  </w:r>
                  <w:r w:rsidRPr="00195EB3">
                    <w:rPr>
                      <w:rFonts w:ascii="Arial" w:hAnsi="Arial" w:cs="Arial"/>
                      <w:strike/>
                      <w:sz w:val="22"/>
                      <w:szCs w:val="22"/>
                      <w:lang w:val="en-GB"/>
                    </w:rPr>
                    <w:t>May</w:t>
                  </w:r>
                  <w:r w:rsidRPr="00195EB3">
                    <w:rPr>
                      <w:rFonts w:ascii="Arial" w:hAnsi="Arial" w:cs="Arial"/>
                      <w:sz w:val="22"/>
                      <w:szCs w:val="22"/>
                      <w:lang w:val="en-GB"/>
                    </w:rPr>
                    <w:t xml:space="preserve"> </w:t>
                  </w:r>
                  <w:r w:rsidRPr="00195EB3">
                    <w:rPr>
                      <w:rFonts w:ascii="Arial" w:hAnsi="Arial" w:cs="Arial"/>
                      <w:b/>
                      <w:bCs/>
                      <w:sz w:val="22"/>
                      <w:szCs w:val="22"/>
                      <w:u w:val="single"/>
                      <w:lang w:val="en-GB"/>
                    </w:rPr>
                    <w:t>June</w:t>
                  </w:r>
                  <w:r w:rsidRPr="00195EB3">
                    <w:rPr>
                      <w:rFonts w:ascii="Arial" w:hAnsi="Arial" w:cs="Arial"/>
                      <w:sz w:val="22"/>
                      <w:szCs w:val="22"/>
                      <w:lang w:val="en-GB"/>
                    </w:rPr>
                    <w:t xml:space="preserve"> Year 2</w:t>
                  </w:r>
                </w:p>
              </w:tc>
              <w:tc>
                <w:tcPr>
                  <w:tcW w:w="3726" w:type="pct"/>
                  <w:shd w:val="clear" w:color="auto" w:fill="EAF1DD" w:themeFill="accent3" w:themeFillTint="33"/>
                </w:tcPr>
                <w:p w14:paraId="422C3DA2" w14:textId="7BE3D778" w:rsidR="00FC22D5" w:rsidRPr="00195EB3" w:rsidRDefault="00FC22D5" w:rsidP="00DF7E48">
                  <w:pPr>
                    <w:keepLines/>
                    <w:tabs>
                      <w:tab w:val="left" w:pos="3851"/>
                    </w:tabs>
                    <w:spacing w:before="60" w:after="60"/>
                    <w:ind w:right="315"/>
                    <w:jc w:val="both"/>
                    <w:rPr>
                      <w:rFonts w:ascii="Arial" w:hAnsi="Arial" w:cs="Arial"/>
                      <w:sz w:val="22"/>
                      <w:szCs w:val="22"/>
                      <w:lang w:val="en-GB"/>
                    </w:rPr>
                  </w:pPr>
                  <w:r w:rsidRPr="00195EB3">
                    <w:rPr>
                      <w:rFonts w:ascii="Arial" w:hAnsi="Arial" w:cs="Arial"/>
                      <w:sz w:val="22"/>
                      <w:szCs w:val="22"/>
                      <w:lang w:val="en-GB"/>
                    </w:rPr>
                    <w:t>Individual evaluation of the files by the Evaluation Body members.</w:t>
                  </w:r>
                </w:p>
              </w:tc>
            </w:tr>
            <w:tr w:rsidR="00FC22D5" w:rsidRPr="00195EB3" w14:paraId="040DA86A" w14:textId="77777777" w:rsidTr="005D7F98">
              <w:trPr>
                <w:cantSplit/>
                <w:trHeight w:val="3420"/>
              </w:trPr>
              <w:tc>
                <w:tcPr>
                  <w:tcW w:w="1274" w:type="pct"/>
                </w:tcPr>
                <w:p w14:paraId="1A7C64BC"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lastRenderedPageBreak/>
                    <w:t xml:space="preserve">June </w:t>
                  </w:r>
                </w:p>
                <w:p w14:paraId="31314468"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2</w:t>
                  </w:r>
                </w:p>
              </w:tc>
              <w:tc>
                <w:tcPr>
                  <w:tcW w:w="3726" w:type="pct"/>
                </w:tcPr>
                <w:p w14:paraId="4A1A27E4" w14:textId="77777777"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p w14:paraId="6879350F" w14:textId="77777777" w:rsidR="00FC22D5" w:rsidRPr="00195EB3" w:rsidRDefault="00FC22D5" w:rsidP="005F773B">
                  <w:pPr>
                    <w:keepLines/>
                    <w:spacing w:before="60" w:after="60"/>
                    <w:ind w:right="69"/>
                    <w:jc w:val="both"/>
                    <w:rPr>
                      <w:rFonts w:ascii="Arial" w:hAnsi="Arial" w:cs="Arial"/>
                      <w:sz w:val="22"/>
                      <w:szCs w:val="22"/>
                      <w:lang w:val="en-GB"/>
                    </w:rPr>
                  </w:pPr>
                </w:p>
                <w:p w14:paraId="0CF57B7C" w14:textId="77777777" w:rsidR="00FC22D5" w:rsidRPr="00195EB3" w:rsidRDefault="00FC22D5" w:rsidP="005F773B">
                  <w:pPr>
                    <w:keepLines/>
                    <w:spacing w:before="60" w:after="60"/>
                    <w:ind w:right="69"/>
                    <w:jc w:val="both"/>
                    <w:rPr>
                      <w:rFonts w:ascii="Arial" w:hAnsi="Arial" w:cs="Arial"/>
                      <w:sz w:val="22"/>
                      <w:szCs w:val="22"/>
                      <w:lang w:val="en-GB"/>
                    </w:rPr>
                  </w:pPr>
                </w:p>
                <w:p w14:paraId="408F0143" w14:textId="77777777" w:rsidR="00FC22D5" w:rsidRPr="00195EB3" w:rsidRDefault="00FC22D5" w:rsidP="005F773B">
                  <w:pPr>
                    <w:keepLines/>
                    <w:spacing w:before="60" w:after="60"/>
                    <w:ind w:right="69"/>
                    <w:jc w:val="both"/>
                    <w:rPr>
                      <w:rFonts w:ascii="Arial" w:hAnsi="Arial" w:cs="Arial"/>
                      <w:sz w:val="22"/>
                      <w:szCs w:val="22"/>
                      <w:lang w:val="en-GB"/>
                    </w:rPr>
                  </w:pPr>
                </w:p>
                <w:p w14:paraId="4930508A" w14:textId="77777777" w:rsidR="00FC22D5" w:rsidRPr="00195EB3" w:rsidRDefault="00FC22D5" w:rsidP="005F773B">
                  <w:pPr>
                    <w:keepLines/>
                    <w:spacing w:before="60" w:after="60"/>
                    <w:ind w:right="69"/>
                    <w:jc w:val="both"/>
                    <w:rPr>
                      <w:rFonts w:ascii="Arial" w:hAnsi="Arial" w:cs="Arial"/>
                      <w:sz w:val="22"/>
                      <w:szCs w:val="22"/>
                      <w:lang w:val="en-GB"/>
                    </w:rPr>
                  </w:pPr>
                </w:p>
                <w:p w14:paraId="5D8E98DF" w14:textId="77777777" w:rsidR="00FC22D5" w:rsidRPr="00195EB3" w:rsidRDefault="00FC22D5" w:rsidP="005F773B">
                  <w:pPr>
                    <w:keepLines/>
                    <w:spacing w:before="60" w:after="60"/>
                    <w:ind w:right="69"/>
                    <w:jc w:val="both"/>
                    <w:rPr>
                      <w:rFonts w:ascii="Arial" w:hAnsi="Arial" w:cs="Arial"/>
                      <w:sz w:val="22"/>
                      <w:szCs w:val="22"/>
                      <w:lang w:val="en-GB"/>
                    </w:rPr>
                  </w:pPr>
                </w:p>
                <w:p w14:paraId="428B7B94" w14:textId="77777777" w:rsidR="00FC22D5" w:rsidRPr="00195EB3" w:rsidRDefault="00FC22D5" w:rsidP="005F773B">
                  <w:pPr>
                    <w:keepLines/>
                    <w:spacing w:before="60" w:after="60"/>
                    <w:ind w:right="69"/>
                    <w:jc w:val="both"/>
                    <w:rPr>
                      <w:rFonts w:ascii="Arial" w:hAnsi="Arial" w:cs="Arial"/>
                      <w:sz w:val="22"/>
                      <w:szCs w:val="22"/>
                      <w:lang w:val="en-GB"/>
                    </w:rPr>
                  </w:pPr>
                </w:p>
                <w:p w14:paraId="7C10AB10" w14:textId="77777777" w:rsidR="00FC22D5" w:rsidRPr="00195EB3" w:rsidRDefault="00FC22D5" w:rsidP="005F773B">
                  <w:pPr>
                    <w:keepLines/>
                    <w:spacing w:before="60" w:after="60"/>
                    <w:ind w:right="69"/>
                    <w:jc w:val="both"/>
                    <w:rPr>
                      <w:rFonts w:ascii="Arial" w:hAnsi="Arial" w:cs="Arial"/>
                      <w:sz w:val="22"/>
                      <w:szCs w:val="22"/>
                      <w:lang w:val="en-GB"/>
                    </w:rPr>
                  </w:pPr>
                </w:p>
                <w:p w14:paraId="267F7DE6" w14:textId="77777777" w:rsidR="00FC22D5" w:rsidRPr="00195EB3" w:rsidRDefault="00FC22D5" w:rsidP="005F773B">
                  <w:pPr>
                    <w:keepLines/>
                    <w:spacing w:before="60" w:after="60"/>
                    <w:ind w:right="69"/>
                    <w:jc w:val="both"/>
                    <w:rPr>
                      <w:rFonts w:ascii="Arial" w:hAnsi="Arial" w:cs="Arial"/>
                      <w:sz w:val="22"/>
                      <w:szCs w:val="22"/>
                      <w:lang w:val="en-GB"/>
                    </w:rPr>
                  </w:pPr>
                </w:p>
              </w:tc>
            </w:tr>
            <w:tr w:rsidR="00FC22D5" w:rsidRPr="00195EB3" w14:paraId="7C859DF7" w14:textId="77777777" w:rsidTr="005D7F98">
              <w:trPr>
                <w:cantSplit/>
                <w:trHeight w:val="2727"/>
              </w:trPr>
              <w:tc>
                <w:tcPr>
                  <w:tcW w:w="1274" w:type="pct"/>
                </w:tcPr>
                <w:p w14:paraId="51D52885" w14:textId="77777777" w:rsidR="00271ED9"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Two weeks after the June meeting</w:t>
                  </w:r>
                </w:p>
                <w:p w14:paraId="1B02A567" w14:textId="240AEA8F"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2</w:t>
                  </w:r>
                </w:p>
              </w:tc>
              <w:tc>
                <w:tcPr>
                  <w:tcW w:w="3726" w:type="pct"/>
                </w:tcPr>
                <w:p w14:paraId="4F90316A" w14:textId="77777777" w:rsidR="00FC22D5" w:rsidRPr="00195EB3" w:rsidRDefault="00FC22D5" w:rsidP="005F773B">
                  <w:pPr>
                    <w:keepLines/>
                    <w:spacing w:before="60" w:after="60"/>
                    <w:ind w:right="69"/>
                    <w:jc w:val="both"/>
                    <w:rPr>
                      <w:rFonts w:ascii="Arial" w:hAnsi="Arial" w:cs="Arial"/>
                      <w:sz w:val="22"/>
                      <w:szCs w:val="22"/>
                      <w:lang w:val="en-GB"/>
                    </w:rPr>
                  </w:pPr>
                  <w:r w:rsidRPr="00195EB3">
                    <w:rPr>
                      <w:rFonts w:ascii="Arial" w:hAnsi="Arial" w:cs="Arial"/>
                      <w:sz w:val="22"/>
                      <w:szCs w:val="22"/>
                      <w:lang w:val="en-GB"/>
                    </w:rPr>
                    <w:t>No change</w:t>
                  </w:r>
                </w:p>
                <w:p w14:paraId="69C496E8" w14:textId="77777777" w:rsidR="00FC22D5" w:rsidRPr="00195EB3" w:rsidRDefault="00FC22D5" w:rsidP="005F773B">
                  <w:pPr>
                    <w:keepLines/>
                    <w:spacing w:before="60" w:after="60"/>
                    <w:ind w:right="69"/>
                    <w:jc w:val="both"/>
                    <w:rPr>
                      <w:rFonts w:ascii="Arial" w:hAnsi="Arial" w:cs="Arial"/>
                      <w:sz w:val="22"/>
                      <w:szCs w:val="22"/>
                      <w:lang w:val="en-GB"/>
                    </w:rPr>
                  </w:pPr>
                </w:p>
                <w:p w14:paraId="35DE3599" w14:textId="77777777" w:rsidR="00FC22D5" w:rsidRPr="00195EB3" w:rsidRDefault="00FC22D5" w:rsidP="005F773B">
                  <w:pPr>
                    <w:keepLines/>
                    <w:spacing w:before="60" w:after="60"/>
                    <w:ind w:right="69"/>
                    <w:jc w:val="both"/>
                    <w:rPr>
                      <w:rFonts w:ascii="Arial" w:hAnsi="Arial" w:cs="Arial"/>
                      <w:sz w:val="22"/>
                      <w:szCs w:val="22"/>
                      <w:lang w:val="en-GB"/>
                    </w:rPr>
                  </w:pPr>
                </w:p>
                <w:p w14:paraId="28BAF6F7" w14:textId="77777777" w:rsidR="00FC22D5" w:rsidRPr="00195EB3" w:rsidRDefault="00FC22D5" w:rsidP="005F773B">
                  <w:pPr>
                    <w:keepLines/>
                    <w:spacing w:before="60" w:after="60"/>
                    <w:ind w:right="69"/>
                    <w:jc w:val="both"/>
                    <w:rPr>
                      <w:rFonts w:ascii="Arial" w:hAnsi="Arial" w:cs="Arial"/>
                      <w:sz w:val="22"/>
                      <w:szCs w:val="22"/>
                      <w:lang w:val="en-GB"/>
                    </w:rPr>
                  </w:pPr>
                </w:p>
                <w:p w14:paraId="27A1270A" w14:textId="77777777" w:rsidR="00FC22D5" w:rsidRPr="00195EB3" w:rsidRDefault="00FC22D5" w:rsidP="005F773B">
                  <w:pPr>
                    <w:keepLines/>
                    <w:spacing w:before="60" w:after="60"/>
                    <w:ind w:right="69"/>
                    <w:jc w:val="both"/>
                    <w:rPr>
                      <w:rFonts w:ascii="Arial" w:hAnsi="Arial" w:cs="Arial"/>
                      <w:sz w:val="22"/>
                      <w:szCs w:val="22"/>
                      <w:lang w:val="en-GB"/>
                    </w:rPr>
                  </w:pPr>
                </w:p>
                <w:p w14:paraId="6C638525" w14:textId="77777777" w:rsidR="00FC22D5" w:rsidRPr="00195EB3" w:rsidRDefault="00FC22D5" w:rsidP="005F773B">
                  <w:pPr>
                    <w:keepLines/>
                    <w:spacing w:before="60" w:after="60"/>
                    <w:ind w:right="69"/>
                    <w:jc w:val="both"/>
                    <w:rPr>
                      <w:rFonts w:ascii="Arial" w:hAnsi="Arial" w:cs="Arial"/>
                      <w:sz w:val="22"/>
                      <w:szCs w:val="22"/>
                      <w:lang w:val="en-GB"/>
                    </w:rPr>
                  </w:pPr>
                </w:p>
                <w:p w14:paraId="40F7C677" w14:textId="77777777" w:rsidR="00FC22D5" w:rsidRPr="00195EB3" w:rsidRDefault="00FC22D5" w:rsidP="005F773B">
                  <w:pPr>
                    <w:keepLines/>
                    <w:spacing w:before="60" w:after="60"/>
                    <w:ind w:right="69"/>
                    <w:jc w:val="both"/>
                    <w:rPr>
                      <w:rFonts w:ascii="Arial" w:hAnsi="Arial" w:cs="Arial"/>
                      <w:sz w:val="22"/>
                      <w:szCs w:val="22"/>
                      <w:lang w:val="en-GB"/>
                    </w:rPr>
                  </w:pPr>
                </w:p>
              </w:tc>
            </w:tr>
            <w:tr w:rsidR="00FC22D5" w:rsidRPr="00195EB3" w14:paraId="1CEEDF21" w14:textId="77777777" w:rsidTr="005D7F98">
              <w:trPr>
                <w:cantSplit/>
                <w:trHeight w:val="1161"/>
              </w:trPr>
              <w:tc>
                <w:tcPr>
                  <w:tcW w:w="1274" w:type="pct"/>
                </w:tcPr>
                <w:p w14:paraId="2D0A0BA9" w14:textId="77777777" w:rsidR="00FC22D5" w:rsidRPr="00195EB3" w:rsidRDefault="00FC22D5" w:rsidP="005F773B">
                  <w:pPr>
                    <w:keepLines/>
                    <w:spacing w:before="60" w:after="60"/>
                    <w:jc w:val="right"/>
                    <w:rPr>
                      <w:rFonts w:ascii="Arial" w:hAnsi="Arial" w:cs="Arial"/>
                      <w:sz w:val="22"/>
                      <w:szCs w:val="22"/>
                      <w:highlight w:val="yellow"/>
                      <w:lang w:val="en-GB"/>
                    </w:rPr>
                  </w:pPr>
                  <w:r w:rsidRPr="00195EB3">
                    <w:rPr>
                      <w:rFonts w:ascii="Arial" w:hAnsi="Arial" w:cs="Arial"/>
                      <w:sz w:val="22"/>
                      <w:szCs w:val="22"/>
                      <w:lang w:val="en-GB"/>
                    </w:rPr>
                    <w:t>Latest by September Year 2</w:t>
                  </w:r>
                </w:p>
              </w:tc>
              <w:tc>
                <w:tcPr>
                  <w:tcW w:w="3726" w:type="pct"/>
                </w:tcPr>
                <w:p w14:paraId="756E20D7" w14:textId="77777777"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FC22D5" w:rsidRPr="00195EB3" w14:paraId="537FDF2D" w14:textId="77777777" w:rsidTr="005D7F98">
              <w:trPr>
                <w:cantSplit/>
                <w:trHeight w:val="1269"/>
              </w:trPr>
              <w:tc>
                <w:tcPr>
                  <w:tcW w:w="1274" w:type="pct"/>
                </w:tcPr>
                <w:p w14:paraId="12F2B4C1"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Four weeks prior to the session of the Committee</w:t>
                  </w:r>
                </w:p>
              </w:tc>
              <w:tc>
                <w:tcPr>
                  <w:tcW w:w="3726" w:type="pct"/>
                </w:tcPr>
                <w:p w14:paraId="040D19B2" w14:textId="77777777" w:rsidR="00FC22D5" w:rsidRPr="00195EB3" w:rsidRDefault="00FC22D5" w:rsidP="005F773B">
                  <w:pPr>
                    <w:keepLines/>
                    <w:spacing w:before="60" w:after="60"/>
                    <w:ind w:right="69"/>
                    <w:jc w:val="both"/>
                    <w:rPr>
                      <w:rFonts w:ascii="Arial" w:hAnsi="Arial" w:cs="Arial"/>
                      <w:sz w:val="22"/>
                      <w:szCs w:val="22"/>
                      <w:lang w:val="en-GB"/>
                    </w:rPr>
                  </w:pPr>
                  <w:r w:rsidRPr="00195EB3">
                    <w:rPr>
                      <w:rFonts w:ascii="Arial" w:hAnsi="Arial" w:cs="Arial"/>
                      <w:sz w:val="22"/>
                      <w:szCs w:val="22"/>
                      <w:lang w:val="en-GB"/>
                    </w:rPr>
                    <w:t>No change</w:t>
                  </w:r>
                </w:p>
                <w:p w14:paraId="059F8361" w14:textId="77777777" w:rsidR="00FC22D5" w:rsidRPr="00195EB3" w:rsidRDefault="00FC22D5" w:rsidP="005F773B">
                  <w:pPr>
                    <w:keepLines/>
                    <w:spacing w:before="60" w:after="60"/>
                    <w:ind w:right="69"/>
                    <w:jc w:val="both"/>
                    <w:rPr>
                      <w:rFonts w:ascii="Arial" w:hAnsi="Arial" w:cs="Arial"/>
                      <w:sz w:val="22"/>
                      <w:szCs w:val="22"/>
                      <w:lang w:val="en-GB"/>
                    </w:rPr>
                  </w:pPr>
                </w:p>
              </w:tc>
            </w:tr>
          </w:tbl>
          <w:p w14:paraId="6BA1B15D" w14:textId="77777777" w:rsidR="00FC22D5" w:rsidRPr="00195EB3" w:rsidRDefault="00FC22D5" w:rsidP="005F773B">
            <w:pPr>
              <w:keepLines/>
              <w:spacing w:before="60" w:after="60"/>
              <w:jc w:val="both"/>
              <w:rPr>
                <w:rFonts w:ascii="Arial" w:hAnsi="Arial" w:cs="Arial"/>
                <w:sz w:val="22"/>
                <w:szCs w:val="22"/>
                <w:lang w:val="en-US"/>
              </w:rPr>
            </w:pPr>
          </w:p>
        </w:tc>
      </w:tr>
      <w:tr w:rsidR="00DC3239" w:rsidRPr="00195EB3" w14:paraId="3C551ABA" w14:textId="77777777" w:rsidTr="00DF7E48">
        <w:trPr>
          <w:trHeight w:val="13"/>
        </w:trPr>
        <w:tc>
          <w:tcPr>
            <w:tcW w:w="230" w:type="pct"/>
          </w:tcPr>
          <w:p w14:paraId="61844559" w14:textId="5972BF31" w:rsidR="00FC22D5" w:rsidRPr="00195EB3" w:rsidRDefault="00FC22D5" w:rsidP="005F773B">
            <w:pPr>
              <w:keepLines/>
              <w:spacing w:before="60" w:after="60"/>
              <w:rPr>
                <w:rFonts w:ascii="Arial" w:hAnsi="Arial" w:cs="Arial"/>
                <w:sz w:val="22"/>
                <w:szCs w:val="22"/>
                <w:lang w:val="en-GB"/>
              </w:rPr>
            </w:pPr>
            <w:r w:rsidRPr="00195EB3">
              <w:rPr>
                <w:rFonts w:ascii="Arial" w:hAnsi="Arial" w:cs="Arial"/>
                <w:sz w:val="22"/>
                <w:szCs w:val="22"/>
                <w:lang w:val="en-GB"/>
              </w:rPr>
              <w:lastRenderedPageBreak/>
              <w:t>56</w:t>
            </w:r>
            <w:r w:rsidR="00EB3F70" w:rsidRPr="00195EB3">
              <w:rPr>
                <w:rFonts w:ascii="Arial" w:hAnsi="Arial" w:cs="Arial"/>
                <w:sz w:val="22"/>
                <w:szCs w:val="22"/>
                <w:lang w:val="en-GB"/>
              </w:rPr>
              <w:t>.</w:t>
            </w:r>
          </w:p>
        </w:tc>
        <w:tc>
          <w:tcPr>
            <w:tcW w:w="2314" w:type="pct"/>
            <w:tcBorders>
              <w:top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3"/>
              <w:gridCol w:w="4922"/>
            </w:tblGrid>
            <w:tr w:rsidR="00FC22D5" w:rsidRPr="00195EB3" w14:paraId="1765DD28" w14:textId="77777777" w:rsidTr="00120A07">
              <w:trPr>
                <w:cantSplit/>
              </w:trPr>
              <w:tc>
                <w:tcPr>
                  <w:tcW w:w="1084" w:type="pct"/>
                </w:tcPr>
                <w:p w14:paraId="2A653F4D"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Phase 3:</w:t>
                  </w:r>
                </w:p>
              </w:tc>
              <w:tc>
                <w:tcPr>
                  <w:tcW w:w="3916" w:type="pct"/>
                </w:tcPr>
                <w:p w14:paraId="093A29E5" w14:textId="77777777" w:rsidR="00FC22D5" w:rsidRPr="00195EB3" w:rsidRDefault="00FC22D5" w:rsidP="005F773B">
                  <w:pPr>
                    <w:keepLines/>
                    <w:spacing w:before="60" w:after="60"/>
                    <w:ind w:right="176"/>
                    <w:jc w:val="both"/>
                    <w:rPr>
                      <w:rFonts w:ascii="Arial" w:hAnsi="Arial" w:cs="Arial"/>
                      <w:sz w:val="22"/>
                      <w:szCs w:val="22"/>
                      <w:lang w:val="en-GB"/>
                    </w:rPr>
                  </w:pPr>
                  <w:r w:rsidRPr="00195EB3">
                    <w:rPr>
                      <w:rFonts w:ascii="Arial" w:hAnsi="Arial" w:cs="Arial"/>
                      <w:sz w:val="22"/>
                      <w:szCs w:val="22"/>
                      <w:lang w:val="en-GB"/>
                    </w:rPr>
                    <w:t>Examination</w:t>
                  </w:r>
                </w:p>
              </w:tc>
            </w:tr>
            <w:tr w:rsidR="00FC22D5" w:rsidRPr="00DF7E48" w14:paraId="7B7F61AD" w14:textId="77777777" w:rsidTr="00120A07">
              <w:trPr>
                <w:cantSplit/>
              </w:trPr>
              <w:tc>
                <w:tcPr>
                  <w:tcW w:w="1084" w:type="pct"/>
                </w:tcPr>
                <w:p w14:paraId="39E20C64"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lastRenderedPageBreak/>
                    <w:t>November</w:t>
                  </w:r>
                </w:p>
                <w:p w14:paraId="30022F65"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2</w:t>
                  </w:r>
                </w:p>
              </w:tc>
              <w:tc>
                <w:tcPr>
                  <w:tcW w:w="3916" w:type="pct"/>
                </w:tcPr>
                <w:p w14:paraId="5EE11214" w14:textId="77777777"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The Committee examines the nominations, proposals and requests and makes its decisions.</w:t>
                  </w:r>
                </w:p>
              </w:tc>
            </w:tr>
          </w:tbl>
          <w:p w14:paraId="60D336F0" w14:textId="77777777" w:rsidR="00FC22D5" w:rsidRPr="00195EB3" w:rsidRDefault="00FC22D5" w:rsidP="005F773B">
            <w:pPr>
              <w:keepLines/>
              <w:spacing w:before="60" w:after="60"/>
              <w:jc w:val="both"/>
              <w:rPr>
                <w:rFonts w:ascii="Arial" w:hAnsi="Arial" w:cs="Arial"/>
                <w:sz w:val="22"/>
                <w:szCs w:val="22"/>
                <w:lang w:val="en-US"/>
              </w:rPr>
            </w:pPr>
          </w:p>
        </w:tc>
        <w:tc>
          <w:tcPr>
            <w:tcW w:w="277" w:type="pct"/>
            <w:tcBorders>
              <w:top w:val="single" w:sz="4" w:space="0" w:color="auto"/>
            </w:tcBorders>
          </w:tcPr>
          <w:p w14:paraId="21EF703A" w14:textId="221D9BE9"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lastRenderedPageBreak/>
              <w:t>56</w:t>
            </w:r>
            <w:r w:rsidR="00EB3F70" w:rsidRPr="00195EB3">
              <w:rPr>
                <w:rFonts w:ascii="Arial" w:hAnsi="Arial" w:cs="Arial"/>
                <w:sz w:val="22"/>
                <w:szCs w:val="22"/>
                <w:lang w:val="en-GB"/>
              </w:rPr>
              <w:t>.</w:t>
            </w:r>
          </w:p>
        </w:tc>
        <w:tc>
          <w:tcPr>
            <w:tcW w:w="2179" w:type="pct"/>
            <w:tcBorders>
              <w:top w:val="single" w:sz="4" w:space="0" w:color="auto"/>
            </w:tcBorders>
          </w:tcPr>
          <w:tbl>
            <w:tblPr>
              <w:tblStyle w:val="TableGrid"/>
              <w:tblW w:w="6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3"/>
              <w:gridCol w:w="4922"/>
            </w:tblGrid>
            <w:tr w:rsidR="00FC22D5" w:rsidRPr="00195EB3" w14:paraId="1A21E20F" w14:textId="77777777" w:rsidTr="00120A07">
              <w:trPr>
                <w:cantSplit/>
              </w:trPr>
              <w:tc>
                <w:tcPr>
                  <w:tcW w:w="1084" w:type="pct"/>
                </w:tcPr>
                <w:p w14:paraId="79B12F24"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Phase 3:</w:t>
                  </w:r>
                </w:p>
              </w:tc>
              <w:tc>
                <w:tcPr>
                  <w:tcW w:w="3916" w:type="pct"/>
                </w:tcPr>
                <w:p w14:paraId="1D6A829F" w14:textId="77777777" w:rsidR="00FC22D5" w:rsidRPr="00195EB3" w:rsidRDefault="00FC22D5" w:rsidP="005F773B">
                  <w:pPr>
                    <w:keepLines/>
                    <w:spacing w:before="60" w:after="60"/>
                    <w:ind w:right="176"/>
                    <w:jc w:val="both"/>
                    <w:rPr>
                      <w:rFonts w:ascii="Arial" w:hAnsi="Arial" w:cs="Arial"/>
                      <w:sz w:val="22"/>
                      <w:szCs w:val="22"/>
                      <w:lang w:val="en-GB"/>
                    </w:rPr>
                  </w:pPr>
                  <w:r w:rsidRPr="00195EB3">
                    <w:rPr>
                      <w:rFonts w:ascii="Arial" w:hAnsi="Arial" w:cs="Arial"/>
                      <w:sz w:val="22"/>
                      <w:szCs w:val="22"/>
                      <w:lang w:val="en-GB"/>
                    </w:rPr>
                    <w:t>No change</w:t>
                  </w:r>
                </w:p>
              </w:tc>
            </w:tr>
            <w:tr w:rsidR="00FC22D5" w:rsidRPr="00195EB3" w14:paraId="5FF3181E" w14:textId="77777777" w:rsidTr="00120A07">
              <w:trPr>
                <w:cantSplit/>
                <w:trHeight w:val="836"/>
              </w:trPr>
              <w:tc>
                <w:tcPr>
                  <w:tcW w:w="1084" w:type="pct"/>
                </w:tcPr>
                <w:p w14:paraId="20EA1A31"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lastRenderedPageBreak/>
                    <w:t>November</w:t>
                  </w:r>
                </w:p>
                <w:p w14:paraId="4FFB7AE1" w14:textId="77777777" w:rsidR="00FC22D5" w:rsidRPr="00195EB3" w:rsidRDefault="00FC22D5" w:rsidP="005F773B">
                  <w:pPr>
                    <w:keepLines/>
                    <w:spacing w:before="60" w:after="60"/>
                    <w:jc w:val="right"/>
                    <w:rPr>
                      <w:rFonts w:ascii="Arial" w:hAnsi="Arial" w:cs="Arial"/>
                      <w:sz w:val="22"/>
                      <w:szCs w:val="22"/>
                      <w:lang w:val="en-GB"/>
                    </w:rPr>
                  </w:pPr>
                  <w:r w:rsidRPr="00195EB3">
                    <w:rPr>
                      <w:rFonts w:ascii="Arial" w:hAnsi="Arial" w:cs="Arial"/>
                      <w:sz w:val="22"/>
                      <w:szCs w:val="22"/>
                      <w:lang w:val="en-GB"/>
                    </w:rPr>
                    <w:t>Year 2</w:t>
                  </w:r>
                </w:p>
              </w:tc>
              <w:tc>
                <w:tcPr>
                  <w:tcW w:w="3916" w:type="pct"/>
                </w:tcPr>
                <w:p w14:paraId="7DA5E29A" w14:textId="77777777" w:rsidR="00FC22D5" w:rsidRPr="00195EB3" w:rsidRDefault="00FC22D5"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bl>
          <w:p w14:paraId="0BF11F94" w14:textId="77777777" w:rsidR="00FC22D5" w:rsidRPr="00195EB3" w:rsidRDefault="00FC22D5" w:rsidP="005F773B">
            <w:pPr>
              <w:keepLines/>
              <w:spacing w:before="60" w:after="60"/>
              <w:jc w:val="both"/>
              <w:rPr>
                <w:rFonts w:ascii="Arial" w:hAnsi="Arial" w:cs="Arial"/>
                <w:sz w:val="22"/>
                <w:szCs w:val="22"/>
                <w:lang w:val="en-US"/>
              </w:rPr>
            </w:pPr>
          </w:p>
        </w:tc>
      </w:tr>
      <w:tr w:rsidR="00123D82" w:rsidRPr="00195EB3" w14:paraId="2489A9B7" w14:textId="77777777" w:rsidTr="00DF7E48">
        <w:tc>
          <w:tcPr>
            <w:tcW w:w="230" w:type="pct"/>
          </w:tcPr>
          <w:p w14:paraId="43A45377" w14:textId="77777777" w:rsidR="00866DC7" w:rsidRPr="00195EB3" w:rsidRDefault="00866DC7" w:rsidP="005F773B">
            <w:pPr>
              <w:keepLines/>
              <w:spacing w:before="60" w:after="60"/>
              <w:rPr>
                <w:rFonts w:ascii="Arial" w:hAnsi="Arial" w:cs="Arial"/>
                <w:color w:val="4F81BD" w:themeColor="accent1"/>
                <w:sz w:val="22"/>
                <w:szCs w:val="22"/>
                <w:lang w:val="en-GB"/>
              </w:rPr>
            </w:pPr>
            <w:r w:rsidRPr="00195EB3">
              <w:rPr>
                <w:rFonts w:ascii="Arial" w:hAnsi="Arial" w:cs="Arial"/>
                <w:b/>
                <w:bCs/>
                <w:color w:val="4F81BD" w:themeColor="accent1"/>
                <w:sz w:val="22"/>
                <w:szCs w:val="22"/>
                <w:lang w:val="en-GB"/>
              </w:rPr>
              <w:lastRenderedPageBreak/>
              <w:t>V.1</w:t>
            </w:r>
          </w:p>
        </w:tc>
        <w:tc>
          <w:tcPr>
            <w:tcW w:w="2314" w:type="pct"/>
          </w:tcPr>
          <w:p w14:paraId="1222CA29" w14:textId="77777777" w:rsidR="00866DC7" w:rsidRPr="00195EB3" w:rsidRDefault="00866DC7" w:rsidP="005F773B">
            <w:pPr>
              <w:keepLines/>
              <w:spacing w:before="60" w:after="60"/>
              <w:jc w:val="both"/>
              <w:rPr>
                <w:rFonts w:ascii="Arial" w:hAnsi="Arial" w:cs="Arial"/>
                <w:color w:val="4F81BD" w:themeColor="accent1"/>
                <w:sz w:val="22"/>
                <w:szCs w:val="22"/>
                <w:lang w:val="en-GB"/>
              </w:rPr>
            </w:pPr>
            <w:r w:rsidRPr="00195EB3">
              <w:rPr>
                <w:rFonts w:ascii="Arial" w:hAnsi="Arial" w:cs="Arial"/>
                <w:b/>
                <w:bCs/>
                <w:color w:val="4F81BD" w:themeColor="accent1"/>
                <w:sz w:val="22"/>
                <w:szCs w:val="22"/>
                <w:lang w:val="en-GB"/>
              </w:rPr>
              <w:t>Reports by States Parties on the implementation of the Convention</w:t>
            </w:r>
          </w:p>
        </w:tc>
        <w:tc>
          <w:tcPr>
            <w:tcW w:w="277" w:type="pct"/>
          </w:tcPr>
          <w:p w14:paraId="5BB236C6" w14:textId="77777777" w:rsidR="00866DC7" w:rsidRPr="00195EB3" w:rsidRDefault="00866DC7" w:rsidP="005F773B">
            <w:pPr>
              <w:keepLines/>
              <w:spacing w:before="60" w:after="60"/>
              <w:jc w:val="both"/>
              <w:rPr>
                <w:rFonts w:ascii="Arial" w:hAnsi="Arial" w:cs="Arial"/>
                <w:color w:val="4F81BD" w:themeColor="accent1"/>
                <w:sz w:val="22"/>
                <w:szCs w:val="22"/>
                <w:lang w:val="en-GB"/>
              </w:rPr>
            </w:pPr>
            <w:r w:rsidRPr="00195EB3">
              <w:rPr>
                <w:rFonts w:ascii="Arial" w:hAnsi="Arial" w:cs="Arial"/>
                <w:b/>
                <w:bCs/>
                <w:color w:val="4F81BD" w:themeColor="accent1"/>
                <w:sz w:val="22"/>
                <w:szCs w:val="22"/>
                <w:lang w:val="en-GB"/>
              </w:rPr>
              <w:t>V.1</w:t>
            </w:r>
          </w:p>
        </w:tc>
        <w:tc>
          <w:tcPr>
            <w:tcW w:w="2179" w:type="pct"/>
          </w:tcPr>
          <w:p w14:paraId="5EEC2664" w14:textId="381DBAAD"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195EB3" w14:paraId="3321DBE4" w14:textId="77777777" w:rsidTr="00DF7E48">
        <w:tc>
          <w:tcPr>
            <w:tcW w:w="230" w:type="pct"/>
          </w:tcPr>
          <w:p w14:paraId="50408DB9" w14:textId="4A87DB81"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151</w:t>
            </w:r>
            <w:r w:rsidR="000B47CF" w:rsidRPr="00195EB3">
              <w:rPr>
                <w:rFonts w:ascii="Arial" w:hAnsi="Arial" w:cs="Arial"/>
                <w:sz w:val="22"/>
                <w:szCs w:val="22"/>
                <w:lang w:val="en-GB"/>
              </w:rPr>
              <w:t>.</w:t>
            </w:r>
          </w:p>
        </w:tc>
        <w:tc>
          <w:tcPr>
            <w:tcW w:w="2314" w:type="pct"/>
          </w:tcPr>
          <w:p w14:paraId="5789CD8B"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Each State Party to the Convention periodically submits to the Committee reports on the legislative, regulatory and other measures taken for the implementation of the Convention. States Parties are encouraged to complement the data gathered on the implementation of the Convention with information provided by relevant non-governmental organizations.</w:t>
            </w:r>
          </w:p>
        </w:tc>
        <w:tc>
          <w:tcPr>
            <w:tcW w:w="277" w:type="pct"/>
          </w:tcPr>
          <w:p w14:paraId="5C9F3771" w14:textId="2E80E885"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15</w:t>
            </w:r>
            <w:r w:rsidR="00FB1727" w:rsidRPr="00195EB3">
              <w:rPr>
                <w:rFonts w:ascii="Arial" w:hAnsi="Arial" w:cs="Arial"/>
                <w:sz w:val="22"/>
                <w:szCs w:val="22"/>
                <w:lang w:val="en-GB"/>
              </w:rPr>
              <w:t>1.</w:t>
            </w:r>
          </w:p>
        </w:tc>
        <w:tc>
          <w:tcPr>
            <w:tcW w:w="2179" w:type="pct"/>
          </w:tcPr>
          <w:p w14:paraId="631EE41B" w14:textId="678F5BD5" w:rsidR="00866DC7" w:rsidRPr="00195EB3" w:rsidRDefault="00866DC7" w:rsidP="005F773B">
            <w:pPr>
              <w:keepLines/>
              <w:spacing w:before="60" w:after="60"/>
              <w:ind w:right="175"/>
              <w:jc w:val="both"/>
              <w:rPr>
                <w:rFonts w:ascii="Arial" w:hAnsi="Arial" w:cs="Arial"/>
                <w:sz w:val="22"/>
                <w:szCs w:val="22"/>
                <w:lang w:val="en-GB"/>
              </w:rPr>
            </w:pPr>
            <w:r w:rsidRPr="00195EB3">
              <w:rPr>
                <w:rFonts w:ascii="Arial" w:hAnsi="Arial" w:cs="Arial"/>
                <w:sz w:val="22"/>
                <w:szCs w:val="22"/>
                <w:lang w:val="en-GB"/>
              </w:rPr>
              <w:t>No change</w:t>
            </w:r>
          </w:p>
        </w:tc>
      </w:tr>
      <w:tr w:rsidR="00123D82" w:rsidRPr="00DF7E48" w14:paraId="0B4F0BCD" w14:textId="77777777" w:rsidTr="00DF7E48">
        <w:tc>
          <w:tcPr>
            <w:tcW w:w="230" w:type="pct"/>
          </w:tcPr>
          <w:p w14:paraId="34FD8BE0"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152.</w:t>
            </w:r>
          </w:p>
        </w:tc>
        <w:tc>
          <w:tcPr>
            <w:tcW w:w="2314" w:type="pct"/>
          </w:tcPr>
          <w:p w14:paraId="7DEBE63D" w14:textId="77777777" w:rsidR="00866DC7" w:rsidRPr="00195EB3" w:rsidRDefault="00866DC7" w:rsidP="005F773B">
            <w:pPr>
              <w:keepLines/>
              <w:spacing w:before="60" w:after="60"/>
              <w:jc w:val="both"/>
              <w:rPr>
                <w:rFonts w:ascii="Arial" w:hAnsi="Arial" w:cs="Arial"/>
                <w:color w:val="000000"/>
                <w:sz w:val="22"/>
                <w:szCs w:val="22"/>
                <w:lang w:val="en-GB"/>
              </w:rPr>
            </w:pPr>
            <w:r w:rsidRPr="00195EB3">
              <w:rPr>
                <w:rFonts w:ascii="Arial" w:hAnsi="Arial" w:cs="Arial"/>
                <w:color w:val="000000"/>
                <w:sz w:val="22"/>
                <w:szCs w:val="22"/>
                <w:lang w:val="en-GB"/>
              </w:rPr>
              <w:t>States Parties submit their periodic reports to the Committee by 15 December every six years on the basis of a rotation region by region. The order of such rotation is established by the Committee at the beginning of the six-year periodic reporting cycle. States Parties use the periodic reporting process to enhance the monitoring measures, as well as active regional exchange and cooperation to ensure efficient safeguarding of the intangible cultural heritage. Form ICH-10 is used for such reports; it may be completed online by each State Party (</w:t>
            </w:r>
            <w:hyperlink r:id="rId33" w:history="1">
              <w:r w:rsidRPr="00195EB3">
                <w:rPr>
                  <w:rStyle w:val="Hyperlink"/>
                  <w:rFonts w:ascii="Arial" w:hAnsi="Arial" w:cs="Arial"/>
                  <w:b/>
                  <w:bCs/>
                  <w:sz w:val="22"/>
                  <w:szCs w:val="22"/>
                  <w:lang w:val="en-GB"/>
                </w:rPr>
                <w:t>https://ich.unesco.org</w:t>
              </w:r>
            </w:hyperlink>
            <w:r w:rsidRPr="00195EB3">
              <w:rPr>
                <w:rFonts w:ascii="Arial" w:hAnsi="Arial" w:cs="Arial"/>
                <w:color w:val="000000"/>
                <w:sz w:val="22"/>
                <w:szCs w:val="22"/>
                <w:lang w:val="en-GB"/>
              </w:rPr>
              <w:t>), and is revised at appropriate intervals by the Secretariat.</w:t>
            </w:r>
          </w:p>
        </w:tc>
        <w:tc>
          <w:tcPr>
            <w:tcW w:w="277" w:type="pct"/>
          </w:tcPr>
          <w:p w14:paraId="5DECB881" w14:textId="77777777" w:rsidR="00866DC7" w:rsidRPr="00195EB3" w:rsidRDefault="00866DC7" w:rsidP="005F773B">
            <w:pPr>
              <w:keepLines/>
              <w:spacing w:before="60" w:after="60"/>
              <w:jc w:val="both"/>
              <w:rPr>
                <w:rFonts w:ascii="Arial" w:hAnsi="Arial" w:cs="Arial"/>
                <w:color w:val="000000"/>
                <w:sz w:val="22"/>
                <w:szCs w:val="22"/>
                <w:lang w:val="en-GB"/>
              </w:rPr>
            </w:pPr>
            <w:r w:rsidRPr="00195EB3">
              <w:rPr>
                <w:rFonts w:ascii="Arial" w:hAnsi="Arial" w:cs="Arial"/>
                <w:sz w:val="22"/>
                <w:szCs w:val="22"/>
                <w:lang w:val="en-GB"/>
              </w:rPr>
              <w:t>152.</w:t>
            </w:r>
          </w:p>
        </w:tc>
        <w:tc>
          <w:tcPr>
            <w:tcW w:w="2179" w:type="pct"/>
            <w:shd w:val="clear" w:color="auto" w:fill="DBE5F1" w:themeFill="accent1" w:themeFillTint="33"/>
          </w:tcPr>
          <w:p w14:paraId="5D6F20ED" w14:textId="2FF6B755" w:rsidR="00866DC7" w:rsidRPr="00195EB3" w:rsidRDefault="00866DC7" w:rsidP="005F773B">
            <w:pPr>
              <w:keepLines/>
              <w:spacing w:before="60" w:after="60"/>
              <w:jc w:val="both"/>
              <w:rPr>
                <w:rFonts w:ascii="Arial" w:hAnsi="Arial" w:cs="Arial"/>
                <w:strike/>
                <w:color w:val="000000"/>
                <w:sz w:val="22"/>
                <w:szCs w:val="22"/>
                <w:lang w:val="en-GB"/>
              </w:rPr>
            </w:pPr>
            <w:r w:rsidRPr="00195EB3">
              <w:rPr>
                <w:rFonts w:ascii="Arial" w:hAnsi="Arial" w:cs="Arial"/>
                <w:color w:val="000000"/>
                <w:sz w:val="22"/>
                <w:szCs w:val="22"/>
                <w:lang w:val="en-GB"/>
              </w:rPr>
              <w:t xml:space="preserve">States Parties submit their periodic reports to the Committee by </w:t>
            </w:r>
            <w:r w:rsidRPr="00195EB3">
              <w:rPr>
                <w:rFonts w:ascii="Arial" w:hAnsi="Arial" w:cs="Arial"/>
                <w:strike/>
                <w:color w:val="000000"/>
                <w:sz w:val="22"/>
                <w:szCs w:val="22"/>
                <w:lang w:val="en-GB"/>
              </w:rPr>
              <w:t>15 December every six years on the basis of a rotation region by region</w:t>
            </w:r>
            <w:r w:rsidRPr="00195EB3">
              <w:rPr>
                <w:rFonts w:ascii="Arial" w:hAnsi="Arial" w:cs="Arial"/>
                <w:color w:val="000000"/>
                <w:sz w:val="22"/>
                <w:szCs w:val="22"/>
                <w:lang w:val="en-GB"/>
              </w:rPr>
              <w:t xml:space="preserve"> </w:t>
            </w:r>
            <w:r w:rsidRPr="00195EB3">
              <w:rPr>
                <w:rFonts w:ascii="Arial" w:hAnsi="Arial" w:cs="Arial"/>
                <w:b/>
                <w:bCs/>
                <w:color w:val="000000"/>
                <w:sz w:val="22"/>
                <w:szCs w:val="22"/>
                <w:u w:val="single"/>
                <w:lang w:val="en-GB"/>
              </w:rPr>
              <w:t>30 June every four years on the basis of a calendar established by the Committee</w:t>
            </w:r>
            <w:r w:rsidRPr="00195EB3">
              <w:rPr>
                <w:rFonts w:ascii="Arial" w:hAnsi="Arial" w:cs="Arial"/>
                <w:color w:val="000000"/>
                <w:sz w:val="22"/>
                <w:szCs w:val="22"/>
                <w:lang w:val="en-GB"/>
              </w:rPr>
              <w:t xml:space="preserve">. </w:t>
            </w:r>
            <w:r w:rsidRPr="00195EB3">
              <w:rPr>
                <w:rFonts w:ascii="Arial" w:hAnsi="Arial" w:cs="Arial"/>
                <w:strike/>
                <w:color w:val="000000"/>
                <w:sz w:val="22"/>
                <w:szCs w:val="22"/>
                <w:lang w:val="en-GB"/>
              </w:rPr>
              <w:t>The order of such rotation is established by the Committee at the beginning of the six-year periodic reporting cycle.</w:t>
            </w:r>
            <w:r w:rsidRPr="00195EB3">
              <w:rPr>
                <w:rFonts w:ascii="Arial" w:hAnsi="Arial" w:cs="Arial"/>
                <w:color w:val="000000"/>
                <w:sz w:val="22"/>
                <w:szCs w:val="22"/>
                <w:lang w:val="en-GB"/>
              </w:rPr>
              <w:t xml:space="preserve"> States Parties use the periodic reporting process to enhance the monitoring measures, as well as active regional exchange and cooperation to ensure efficient safeguarding of the intangible cultural heritage. Form ICH-10 is used for such reports; it may be completed online by each State Party (</w:t>
            </w:r>
            <w:hyperlink r:id="rId34" w:history="1">
              <w:r w:rsidRPr="00195EB3">
                <w:rPr>
                  <w:rStyle w:val="Hyperlink"/>
                  <w:rFonts w:ascii="Arial" w:hAnsi="Arial" w:cs="Arial"/>
                  <w:b/>
                  <w:bCs/>
                  <w:sz w:val="22"/>
                  <w:szCs w:val="22"/>
                  <w:lang w:val="en-GB"/>
                </w:rPr>
                <w:t>https://ich.unesco.org</w:t>
              </w:r>
            </w:hyperlink>
            <w:r w:rsidRPr="00195EB3">
              <w:rPr>
                <w:rFonts w:ascii="Arial" w:hAnsi="Arial" w:cs="Arial"/>
                <w:color w:val="000000"/>
                <w:sz w:val="22"/>
                <w:szCs w:val="22"/>
                <w:lang w:val="en-GB"/>
              </w:rPr>
              <w:t>),</w:t>
            </w:r>
            <w:r w:rsidR="00195EB3" w:rsidRPr="00195EB3">
              <w:rPr>
                <w:rFonts w:ascii="Arial" w:hAnsi="Arial" w:cs="Arial"/>
                <w:color w:val="000000"/>
                <w:sz w:val="22"/>
                <w:szCs w:val="22"/>
                <w:lang w:val="en-GB"/>
              </w:rPr>
              <w:t xml:space="preserve"> </w:t>
            </w:r>
            <w:r w:rsidRPr="00195EB3">
              <w:rPr>
                <w:rFonts w:ascii="Arial" w:hAnsi="Arial" w:cs="Arial"/>
                <w:color w:val="000000"/>
                <w:sz w:val="22"/>
                <w:szCs w:val="22"/>
                <w:lang w:val="en-GB"/>
              </w:rPr>
              <w:t>and is revised at appropriate intervals by the Secretariat.</w:t>
            </w:r>
          </w:p>
        </w:tc>
      </w:tr>
      <w:tr w:rsidR="00123D82" w:rsidRPr="00195EB3" w14:paraId="3BCEEE42" w14:textId="77777777" w:rsidTr="00DF7E48">
        <w:tc>
          <w:tcPr>
            <w:tcW w:w="230" w:type="pct"/>
          </w:tcPr>
          <w:p w14:paraId="728479EE"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153.</w:t>
            </w:r>
          </w:p>
        </w:tc>
        <w:tc>
          <w:tcPr>
            <w:tcW w:w="2314" w:type="pct"/>
          </w:tcPr>
          <w:p w14:paraId="5F46A415" w14:textId="77777777" w:rsidR="00866DC7" w:rsidRPr="00195EB3" w:rsidRDefault="00866DC7" w:rsidP="005F773B">
            <w:pPr>
              <w:keepLines/>
              <w:spacing w:before="60" w:after="60"/>
              <w:jc w:val="both"/>
              <w:rPr>
                <w:rFonts w:ascii="Arial" w:hAnsi="Arial" w:cs="Arial"/>
                <w:color w:val="000000"/>
                <w:sz w:val="22"/>
                <w:szCs w:val="22"/>
                <w:lang w:val="en-GB"/>
              </w:rPr>
            </w:pPr>
            <w:r w:rsidRPr="00195EB3">
              <w:rPr>
                <w:rFonts w:ascii="Arial" w:hAnsi="Arial" w:cs="Arial"/>
                <w:color w:val="000000"/>
                <w:sz w:val="22"/>
                <w:szCs w:val="22"/>
                <w:lang w:val="en-GB"/>
              </w:rPr>
              <w:t>The State Party reports on the legislative, regulatory and other measures taken for implementation of the Convention at the national level, including:</w:t>
            </w:r>
          </w:p>
          <w:p w14:paraId="3411A6F3" w14:textId="77777777" w:rsidR="00866DC7" w:rsidRPr="00195EB3" w:rsidRDefault="00866DC7" w:rsidP="005F773B">
            <w:pPr>
              <w:pStyle w:val="U1"/>
              <w:keepLines/>
              <w:widowControl/>
              <w:numPr>
                <w:ilvl w:val="0"/>
                <w:numId w:val="26"/>
              </w:numPr>
              <w:spacing w:before="60" w:after="60"/>
              <w:jc w:val="both"/>
              <w:rPr>
                <w:lang w:val="en-GB"/>
              </w:rPr>
            </w:pPr>
            <w:r w:rsidRPr="00195EB3">
              <w:rPr>
                <w:lang w:val="en-GB"/>
              </w:rPr>
              <w:t>drawing up of inventories of the intangible cultural heritage present in its territory, as described in Articles 11 and 12 of the Convention;</w:t>
            </w:r>
          </w:p>
          <w:p w14:paraId="243E92A5" w14:textId="77777777" w:rsidR="00866DC7" w:rsidRPr="00195EB3" w:rsidRDefault="00866DC7" w:rsidP="005F773B">
            <w:pPr>
              <w:pStyle w:val="U1"/>
              <w:keepLines/>
              <w:widowControl/>
              <w:numPr>
                <w:ilvl w:val="0"/>
                <w:numId w:val="26"/>
              </w:numPr>
              <w:spacing w:before="60" w:after="60"/>
              <w:jc w:val="both"/>
              <w:rPr>
                <w:lang w:val="en-GB"/>
              </w:rPr>
            </w:pPr>
            <w:r w:rsidRPr="00195EB3">
              <w:rPr>
                <w:lang w:val="en-GB"/>
              </w:rPr>
              <w:t>other safeguarding measures as referred to in Articles 11 and 13 of the Convention, including:</w:t>
            </w:r>
          </w:p>
          <w:p w14:paraId="0F8C79AB" w14:textId="77777777" w:rsidR="00866DC7" w:rsidRPr="00195EB3" w:rsidRDefault="00866DC7" w:rsidP="005F773B">
            <w:pPr>
              <w:pStyle w:val="i"/>
              <w:keepLines/>
              <w:spacing w:before="60" w:after="60"/>
              <w:ind w:left="799"/>
              <w:rPr>
                <w:w w:val="100"/>
                <w:lang w:val="en-GB"/>
              </w:rPr>
            </w:pPr>
            <w:r w:rsidRPr="00195EB3">
              <w:rPr>
                <w:w w:val="100"/>
                <w:lang w:val="en-GB"/>
              </w:rPr>
              <w:lastRenderedPageBreak/>
              <w:t>adopting a general policy aimed at promoting the function of intangible cultural heritage in society and integrating its safeguarding into planning programmes;</w:t>
            </w:r>
          </w:p>
          <w:p w14:paraId="1B2451AA" w14:textId="77777777" w:rsidR="00866DC7" w:rsidRPr="00195EB3" w:rsidRDefault="00866DC7" w:rsidP="005F773B">
            <w:pPr>
              <w:pStyle w:val="i"/>
              <w:keepLines/>
              <w:spacing w:before="60" w:after="60"/>
              <w:ind w:left="799"/>
              <w:rPr>
                <w:w w:val="100"/>
                <w:lang w:val="en-GB"/>
              </w:rPr>
            </w:pPr>
            <w:r w:rsidRPr="00195EB3">
              <w:rPr>
                <w:w w:val="100"/>
                <w:lang w:val="en-GB"/>
              </w:rPr>
              <w:t>fostering scientific, technical and artistic studies with a view to effective safeguarding;</w:t>
            </w:r>
          </w:p>
          <w:p w14:paraId="5B5DB79B" w14:textId="77777777" w:rsidR="00866DC7" w:rsidRPr="00195EB3" w:rsidRDefault="00866DC7" w:rsidP="005F773B">
            <w:pPr>
              <w:pStyle w:val="i"/>
              <w:keepLines/>
              <w:spacing w:before="60" w:after="60"/>
              <w:ind w:left="799"/>
              <w:rPr>
                <w:color w:val="000000"/>
                <w:lang w:val="en-GB"/>
              </w:rPr>
            </w:pPr>
            <w:r w:rsidRPr="00195EB3">
              <w:rPr>
                <w:w w:val="100"/>
                <w:lang w:val="en-GB"/>
              </w:rPr>
              <w:t>facilitating, to the extent possible, access to information relating to intangible cultural heritage while respecting customary practices governing access to specific aspects of it.</w:t>
            </w:r>
          </w:p>
        </w:tc>
        <w:tc>
          <w:tcPr>
            <w:tcW w:w="277" w:type="pct"/>
          </w:tcPr>
          <w:p w14:paraId="35598EC6"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lastRenderedPageBreak/>
              <w:t>153.</w:t>
            </w:r>
          </w:p>
        </w:tc>
        <w:tc>
          <w:tcPr>
            <w:tcW w:w="2179" w:type="pct"/>
          </w:tcPr>
          <w:p w14:paraId="47C7171F" w14:textId="01C2E42F" w:rsidR="00866DC7" w:rsidRPr="00195EB3" w:rsidRDefault="00866DC7" w:rsidP="005F773B">
            <w:pPr>
              <w:keepLines/>
              <w:spacing w:before="60" w:after="60"/>
              <w:ind w:right="175"/>
              <w:jc w:val="both"/>
              <w:rPr>
                <w:rFonts w:ascii="Arial" w:hAnsi="Arial" w:cs="Arial"/>
                <w:sz w:val="22"/>
                <w:szCs w:val="22"/>
                <w:lang w:val="en-GB"/>
              </w:rPr>
            </w:pPr>
            <w:r w:rsidRPr="00195EB3">
              <w:rPr>
                <w:rFonts w:ascii="Arial" w:hAnsi="Arial" w:cs="Arial"/>
                <w:sz w:val="22"/>
                <w:szCs w:val="22"/>
                <w:lang w:val="en-GB"/>
              </w:rPr>
              <w:t>No change</w:t>
            </w:r>
          </w:p>
        </w:tc>
      </w:tr>
      <w:tr w:rsidR="00123D82" w:rsidRPr="00195EB3" w14:paraId="25CF5678" w14:textId="77777777" w:rsidTr="00DF7E48">
        <w:tc>
          <w:tcPr>
            <w:tcW w:w="230" w:type="pct"/>
          </w:tcPr>
          <w:p w14:paraId="0C972655"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154.</w:t>
            </w:r>
          </w:p>
        </w:tc>
        <w:tc>
          <w:tcPr>
            <w:tcW w:w="2314" w:type="pct"/>
          </w:tcPr>
          <w:p w14:paraId="1DA641E1"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The State Party reports on the legislative, regulatory and other measures taken at the national level to strengthen institutional capacities for safeguarding intangible cultural heritage, as described in Article 13 of the Convention, including:</w:t>
            </w:r>
          </w:p>
          <w:p w14:paraId="0E3A14A8" w14:textId="77777777" w:rsidR="00866DC7" w:rsidRPr="00195EB3" w:rsidRDefault="00866DC7" w:rsidP="005F773B">
            <w:pPr>
              <w:pStyle w:val="U1"/>
              <w:keepLines/>
              <w:widowControl/>
              <w:numPr>
                <w:ilvl w:val="0"/>
                <w:numId w:val="25"/>
              </w:numPr>
              <w:tabs>
                <w:tab w:val="clear" w:pos="1701"/>
              </w:tabs>
              <w:spacing w:before="60" w:after="60"/>
              <w:ind w:left="656" w:hanging="656"/>
              <w:jc w:val="both"/>
              <w:rPr>
                <w:lang w:val="en-GB"/>
              </w:rPr>
            </w:pPr>
            <w:r w:rsidRPr="00195EB3">
              <w:rPr>
                <w:lang w:val="en-GB"/>
              </w:rPr>
              <w:t>designating or establishing one or more competent bodies for safeguarding its intangible cultural heritage;</w:t>
            </w:r>
          </w:p>
          <w:p w14:paraId="6537222F" w14:textId="77777777" w:rsidR="00866DC7" w:rsidRPr="00195EB3" w:rsidRDefault="00866DC7" w:rsidP="005F773B">
            <w:pPr>
              <w:pStyle w:val="U1"/>
              <w:keepLines/>
              <w:widowControl/>
              <w:numPr>
                <w:ilvl w:val="0"/>
                <w:numId w:val="25"/>
              </w:numPr>
              <w:tabs>
                <w:tab w:val="clear" w:pos="1701"/>
              </w:tabs>
              <w:spacing w:before="60" w:after="60"/>
              <w:ind w:left="656" w:hanging="656"/>
              <w:jc w:val="both"/>
              <w:rPr>
                <w:lang w:val="en-GB"/>
              </w:rPr>
            </w:pPr>
            <w:r w:rsidRPr="00195EB3">
              <w:rPr>
                <w:lang w:val="en-GB"/>
              </w:rPr>
              <w:t>strengthening institutions for training in intangible cultural heritage management and transmission of this heritage;</w:t>
            </w:r>
          </w:p>
          <w:p w14:paraId="0F2744E9" w14:textId="77777777" w:rsidR="00866DC7" w:rsidRPr="00195EB3" w:rsidRDefault="00866DC7" w:rsidP="005F773B">
            <w:pPr>
              <w:pStyle w:val="U1"/>
              <w:keepLines/>
              <w:widowControl/>
              <w:numPr>
                <w:ilvl w:val="0"/>
                <w:numId w:val="25"/>
              </w:numPr>
              <w:tabs>
                <w:tab w:val="clear" w:pos="1701"/>
              </w:tabs>
              <w:spacing w:before="60" w:after="60"/>
              <w:ind w:left="656" w:hanging="656"/>
              <w:jc w:val="both"/>
              <w:rPr>
                <w:lang w:val="en-GB"/>
              </w:rPr>
            </w:pPr>
            <w:r w:rsidRPr="00195EB3">
              <w:rPr>
                <w:lang w:val="en-GB"/>
              </w:rPr>
              <w:t>establishing documentation institutions for intangible cultural heritage and, to the extent possible, facilitating access to them.</w:t>
            </w:r>
          </w:p>
        </w:tc>
        <w:tc>
          <w:tcPr>
            <w:tcW w:w="277" w:type="pct"/>
          </w:tcPr>
          <w:p w14:paraId="708B5E55"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154.</w:t>
            </w:r>
          </w:p>
        </w:tc>
        <w:tc>
          <w:tcPr>
            <w:tcW w:w="2179" w:type="pct"/>
          </w:tcPr>
          <w:p w14:paraId="2DAECBDB" w14:textId="2CB87E78" w:rsidR="00866DC7" w:rsidRPr="00195EB3" w:rsidRDefault="00866DC7" w:rsidP="005F773B">
            <w:pPr>
              <w:keepLines/>
              <w:spacing w:before="60" w:after="60"/>
              <w:jc w:val="both"/>
              <w:rPr>
                <w:rFonts w:ascii="Arial" w:hAnsi="Arial" w:cs="Arial"/>
                <w:sz w:val="22"/>
                <w:szCs w:val="22"/>
                <w:u w:val="single"/>
                <w:lang w:val="en-GB"/>
              </w:rPr>
            </w:pPr>
            <w:r w:rsidRPr="00195EB3">
              <w:rPr>
                <w:rFonts w:ascii="Arial" w:hAnsi="Arial" w:cs="Arial"/>
                <w:sz w:val="22"/>
                <w:szCs w:val="22"/>
                <w:lang w:val="en-GB"/>
              </w:rPr>
              <w:t>No change</w:t>
            </w:r>
          </w:p>
        </w:tc>
      </w:tr>
      <w:tr w:rsidR="00123D82" w:rsidRPr="00195EB3" w14:paraId="1213C55A" w14:textId="77777777" w:rsidTr="00DF7E48">
        <w:tc>
          <w:tcPr>
            <w:tcW w:w="230" w:type="pct"/>
          </w:tcPr>
          <w:p w14:paraId="1E34FF21"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155.</w:t>
            </w:r>
          </w:p>
        </w:tc>
        <w:tc>
          <w:tcPr>
            <w:tcW w:w="2314" w:type="pct"/>
          </w:tcPr>
          <w:p w14:paraId="722C5E0A"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 xml:space="preserve">The State Party reports on the legislative, regulatory and other measures taken at the national level to ensure greater recognition </w:t>
            </w:r>
            <w:proofErr w:type="gramStart"/>
            <w:r w:rsidRPr="00195EB3">
              <w:rPr>
                <w:rFonts w:ascii="Arial" w:hAnsi="Arial" w:cs="Arial"/>
                <w:sz w:val="22"/>
                <w:szCs w:val="22"/>
                <w:lang w:val="en-GB"/>
              </w:rPr>
              <w:t>of,</w:t>
            </w:r>
            <w:proofErr w:type="gramEnd"/>
            <w:r w:rsidRPr="00195EB3">
              <w:rPr>
                <w:rFonts w:ascii="Arial" w:hAnsi="Arial" w:cs="Arial"/>
                <w:sz w:val="22"/>
                <w:szCs w:val="22"/>
                <w:lang w:val="en-GB"/>
              </w:rPr>
              <w:t xml:space="preserve"> respect for and enhancement of intangible cultural heritage, in particular those referred to in Article 14 of the Convention:</w:t>
            </w:r>
          </w:p>
          <w:p w14:paraId="2B20A9A8" w14:textId="77777777" w:rsidR="00866DC7" w:rsidRPr="00195EB3" w:rsidRDefault="00866DC7" w:rsidP="005F773B">
            <w:pPr>
              <w:pStyle w:val="U1"/>
              <w:keepLines/>
              <w:widowControl/>
              <w:numPr>
                <w:ilvl w:val="0"/>
                <w:numId w:val="28"/>
              </w:numPr>
              <w:tabs>
                <w:tab w:val="clear" w:pos="1701"/>
              </w:tabs>
              <w:spacing w:before="60" w:after="60"/>
              <w:ind w:left="656" w:hanging="656"/>
              <w:jc w:val="both"/>
              <w:rPr>
                <w:lang w:val="en-GB"/>
              </w:rPr>
            </w:pPr>
            <w:r w:rsidRPr="00195EB3">
              <w:rPr>
                <w:lang w:val="en-GB"/>
              </w:rPr>
              <w:t>educational, awareness-raising and information programmes;</w:t>
            </w:r>
          </w:p>
          <w:p w14:paraId="1F196DF8" w14:textId="77777777" w:rsidR="00866DC7" w:rsidRPr="00195EB3" w:rsidRDefault="00866DC7" w:rsidP="005F773B">
            <w:pPr>
              <w:pStyle w:val="U1"/>
              <w:keepLines/>
              <w:widowControl/>
              <w:numPr>
                <w:ilvl w:val="0"/>
                <w:numId w:val="28"/>
              </w:numPr>
              <w:tabs>
                <w:tab w:val="clear" w:pos="1701"/>
              </w:tabs>
              <w:spacing w:before="60" w:after="60"/>
              <w:ind w:left="656" w:hanging="656"/>
              <w:jc w:val="both"/>
              <w:rPr>
                <w:lang w:val="en-GB"/>
              </w:rPr>
            </w:pPr>
            <w:r w:rsidRPr="00195EB3">
              <w:rPr>
                <w:lang w:val="en-GB"/>
              </w:rPr>
              <w:t>educational and training programmes within the communities and groups concerned;</w:t>
            </w:r>
          </w:p>
          <w:p w14:paraId="2D9C9810" w14:textId="3DAE7E27" w:rsidR="00866DC7" w:rsidRPr="00195EB3" w:rsidRDefault="00866DC7" w:rsidP="005F773B">
            <w:pPr>
              <w:pStyle w:val="U1"/>
              <w:keepLines/>
              <w:widowControl/>
              <w:numPr>
                <w:ilvl w:val="0"/>
                <w:numId w:val="28"/>
              </w:numPr>
              <w:tabs>
                <w:tab w:val="clear" w:pos="1701"/>
              </w:tabs>
              <w:spacing w:before="60" w:after="60"/>
              <w:ind w:left="656" w:hanging="656"/>
              <w:jc w:val="both"/>
              <w:rPr>
                <w:lang w:val="en-GB"/>
              </w:rPr>
            </w:pPr>
            <w:r w:rsidRPr="00195EB3">
              <w:rPr>
                <w:lang w:val="en-GB"/>
              </w:rPr>
              <w:t>capacity-building activities for the safeguarding of the intangible cultural heritage;</w:t>
            </w:r>
          </w:p>
          <w:p w14:paraId="6B8276E6" w14:textId="77777777" w:rsidR="00866DC7" w:rsidRPr="00195EB3" w:rsidRDefault="00866DC7" w:rsidP="005F773B">
            <w:pPr>
              <w:pStyle w:val="U1"/>
              <w:keepLines/>
              <w:widowControl/>
              <w:numPr>
                <w:ilvl w:val="0"/>
                <w:numId w:val="28"/>
              </w:numPr>
              <w:tabs>
                <w:tab w:val="clear" w:pos="1701"/>
              </w:tabs>
              <w:spacing w:before="60" w:after="60"/>
              <w:ind w:left="656" w:hanging="656"/>
              <w:jc w:val="both"/>
              <w:rPr>
                <w:lang w:val="en-GB"/>
              </w:rPr>
            </w:pPr>
            <w:r w:rsidRPr="00195EB3">
              <w:rPr>
                <w:lang w:val="en-GB"/>
              </w:rPr>
              <w:t>non-formal means of transmitting knowledge;</w:t>
            </w:r>
          </w:p>
          <w:p w14:paraId="071854A3" w14:textId="77777777" w:rsidR="00866DC7" w:rsidRPr="00195EB3" w:rsidRDefault="00866DC7" w:rsidP="005F773B">
            <w:pPr>
              <w:pStyle w:val="U1"/>
              <w:keepLines/>
              <w:widowControl/>
              <w:numPr>
                <w:ilvl w:val="0"/>
                <w:numId w:val="28"/>
              </w:numPr>
              <w:tabs>
                <w:tab w:val="clear" w:pos="1701"/>
              </w:tabs>
              <w:spacing w:before="60" w:after="60"/>
              <w:ind w:left="656" w:hanging="656"/>
              <w:jc w:val="both"/>
              <w:rPr>
                <w:lang w:val="en-GB"/>
              </w:rPr>
            </w:pPr>
            <w:r w:rsidRPr="00195EB3">
              <w:rPr>
                <w:lang w:val="en-GB"/>
              </w:rPr>
              <w:lastRenderedPageBreak/>
              <w:t>education for the protection of natural spaces and places of memory.</w:t>
            </w:r>
          </w:p>
        </w:tc>
        <w:tc>
          <w:tcPr>
            <w:tcW w:w="277" w:type="pct"/>
          </w:tcPr>
          <w:p w14:paraId="4B73A717"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lastRenderedPageBreak/>
              <w:t>155.</w:t>
            </w:r>
          </w:p>
        </w:tc>
        <w:tc>
          <w:tcPr>
            <w:tcW w:w="2179" w:type="pct"/>
          </w:tcPr>
          <w:p w14:paraId="2EDDE7D6" w14:textId="3CD89F8F"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195EB3" w14:paraId="4DB4EC77" w14:textId="77777777" w:rsidTr="00DF7E48">
        <w:tc>
          <w:tcPr>
            <w:tcW w:w="230" w:type="pct"/>
          </w:tcPr>
          <w:p w14:paraId="1B86C18C"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156.</w:t>
            </w:r>
          </w:p>
        </w:tc>
        <w:tc>
          <w:tcPr>
            <w:tcW w:w="2314" w:type="pct"/>
          </w:tcPr>
          <w:p w14:paraId="1BBBE603"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The State Party reports on the measures taken by it at the bilateral, subregional, regional and international levels for the implementation of the Convention, including measures of international cooperation such as the exchange of information and experience, and other joint initiatives, as referred to in Article 19 of the Convention.</w:t>
            </w:r>
          </w:p>
        </w:tc>
        <w:tc>
          <w:tcPr>
            <w:tcW w:w="277" w:type="pct"/>
          </w:tcPr>
          <w:p w14:paraId="1273C5E1"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156.</w:t>
            </w:r>
          </w:p>
        </w:tc>
        <w:tc>
          <w:tcPr>
            <w:tcW w:w="2179" w:type="pct"/>
          </w:tcPr>
          <w:p w14:paraId="7E7AF278" w14:textId="5D6DF2E2"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195EB3" w14:paraId="46368AF2" w14:textId="77777777" w:rsidTr="00DF7E48">
        <w:tc>
          <w:tcPr>
            <w:tcW w:w="230" w:type="pct"/>
          </w:tcPr>
          <w:p w14:paraId="30E06946"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157.</w:t>
            </w:r>
          </w:p>
        </w:tc>
        <w:tc>
          <w:tcPr>
            <w:tcW w:w="2314" w:type="pct"/>
          </w:tcPr>
          <w:p w14:paraId="2C336651"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The State Party reports on the current status of all elements of intangible cultural heritage present in its territory that have been inscribed on the Representative List of the Intangible Cultural Heritage of Humanity. The State Party shall pay special attention to the role of gender and shall endeavour to ensure the widest possible participation of the communities, groups, and, where applicable, individuals concerned as well as relevant non-governmental organizations during the process of preparation of such reports, which shall address, for each element concerned:</w:t>
            </w:r>
          </w:p>
          <w:p w14:paraId="4AE8FAA1" w14:textId="77777777" w:rsidR="00866DC7" w:rsidRPr="00195EB3" w:rsidRDefault="00866DC7" w:rsidP="005F773B">
            <w:pPr>
              <w:keepLines/>
              <w:numPr>
                <w:ilvl w:val="0"/>
                <w:numId w:val="24"/>
              </w:numPr>
              <w:spacing w:before="60" w:after="60"/>
              <w:ind w:left="656" w:hanging="656"/>
              <w:jc w:val="both"/>
              <w:rPr>
                <w:rFonts w:ascii="Arial" w:hAnsi="Arial" w:cs="Arial"/>
                <w:sz w:val="22"/>
                <w:szCs w:val="22"/>
                <w:lang w:val="en-GB"/>
              </w:rPr>
            </w:pPr>
            <w:r w:rsidRPr="00195EB3">
              <w:rPr>
                <w:rFonts w:ascii="Arial" w:hAnsi="Arial" w:cs="Arial"/>
                <w:sz w:val="22"/>
                <w:szCs w:val="22"/>
                <w:lang w:val="en-GB"/>
              </w:rPr>
              <w:t>the element’s social and cultural functions;</w:t>
            </w:r>
          </w:p>
          <w:p w14:paraId="66E3DE15" w14:textId="77777777" w:rsidR="00866DC7" w:rsidRPr="00195EB3" w:rsidRDefault="00866DC7" w:rsidP="005F773B">
            <w:pPr>
              <w:keepLines/>
              <w:numPr>
                <w:ilvl w:val="0"/>
                <w:numId w:val="24"/>
              </w:numPr>
              <w:spacing w:before="60" w:after="60"/>
              <w:ind w:left="656" w:hanging="656"/>
              <w:jc w:val="both"/>
              <w:rPr>
                <w:rFonts w:ascii="Arial" w:hAnsi="Arial" w:cs="Arial"/>
                <w:sz w:val="22"/>
                <w:szCs w:val="22"/>
                <w:lang w:val="en-GB"/>
              </w:rPr>
            </w:pPr>
            <w:r w:rsidRPr="00195EB3">
              <w:rPr>
                <w:rFonts w:ascii="Arial" w:hAnsi="Arial" w:cs="Arial"/>
                <w:sz w:val="22"/>
                <w:szCs w:val="22"/>
                <w:lang w:val="en-GB"/>
              </w:rPr>
              <w:t>an assessment of its viability and the current risks it faces, if any;</w:t>
            </w:r>
          </w:p>
          <w:p w14:paraId="4ECBC589" w14:textId="77777777" w:rsidR="00866DC7" w:rsidRPr="00195EB3" w:rsidRDefault="00866DC7" w:rsidP="005F773B">
            <w:pPr>
              <w:keepLines/>
              <w:numPr>
                <w:ilvl w:val="0"/>
                <w:numId w:val="24"/>
              </w:numPr>
              <w:spacing w:before="60" w:after="60"/>
              <w:ind w:left="656" w:hanging="656"/>
              <w:jc w:val="both"/>
              <w:rPr>
                <w:rFonts w:ascii="Arial" w:hAnsi="Arial" w:cs="Arial"/>
                <w:sz w:val="22"/>
                <w:szCs w:val="22"/>
                <w:lang w:val="en-GB"/>
              </w:rPr>
            </w:pPr>
            <w:r w:rsidRPr="00195EB3">
              <w:rPr>
                <w:rFonts w:ascii="Arial" w:hAnsi="Arial" w:cs="Arial"/>
                <w:sz w:val="22"/>
                <w:szCs w:val="22"/>
                <w:lang w:val="en-GB"/>
              </w:rPr>
              <w:t>its contribution to the goals of the List;</w:t>
            </w:r>
          </w:p>
          <w:p w14:paraId="7A6606E9" w14:textId="77777777" w:rsidR="00866DC7" w:rsidRPr="00195EB3" w:rsidRDefault="00866DC7" w:rsidP="005F773B">
            <w:pPr>
              <w:keepLines/>
              <w:numPr>
                <w:ilvl w:val="0"/>
                <w:numId w:val="24"/>
              </w:numPr>
              <w:spacing w:before="60" w:after="60"/>
              <w:ind w:left="656" w:hanging="656"/>
              <w:jc w:val="both"/>
              <w:rPr>
                <w:rFonts w:ascii="Arial" w:hAnsi="Arial" w:cs="Arial"/>
                <w:sz w:val="22"/>
                <w:szCs w:val="22"/>
                <w:lang w:val="en-GB"/>
              </w:rPr>
            </w:pPr>
            <w:r w:rsidRPr="00195EB3">
              <w:rPr>
                <w:rFonts w:ascii="Arial" w:hAnsi="Arial" w:cs="Arial"/>
                <w:sz w:val="22"/>
                <w:szCs w:val="22"/>
                <w:lang w:val="en-GB"/>
              </w:rPr>
              <w:t>the efforts to promote or reinforce the element, particularly the implementation of any measures that might have been necessary as a consequence of its inscription;</w:t>
            </w:r>
          </w:p>
          <w:p w14:paraId="3724194C" w14:textId="77777777" w:rsidR="00866DC7" w:rsidRPr="00195EB3" w:rsidRDefault="00866DC7" w:rsidP="005F773B">
            <w:pPr>
              <w:keepLines/>
              <w:numPr>
                <w:ilvl w:val="0"/>
                <w:numId w:val="24"/>
              </w:numPr>
              <w:spacing w:before="60" w:after="60"/>
              <w:ind w:left="656" w:hanging="656"/>
              <w:jc w:val="both"/>
              <w:rPr>
                <w:rFonts w:ascii="Arial" w:hAnsi="Arial" w:cs="Arial"/>
                <w:sz w:val="22"/>
                <w:szCs w:val="22"/>
                <w:lang w:val="en-GB"/>
              </w:rPr>
            </w:pPr>
            <w:r w:rsidRPr="00195EB3">
              <w:rPr>
                <w:rFonts w:ascii="Arial" w:hAnsi="Arial" w:cs="Arial"/>
                <w:sz w:val="22"/>
                <w:szCs w:val="22"/>
                <w:lang w:val="en-GB"/>
              </w:rPr>
              <w:t>the participation of communities, groups and individuals as well as relevant non-governmental organizations in safeguarding the element and their continued commitment to its further safeguarding.</w:t>
            </w:r>
          </w:p>
        </w:tc>
        <w:tc>
          <w:tcPr>
            <w:tcW w:w="277" w:type="pct"/>
          </w:tcPr>
          <w:p w14:paraId="7EEB4DCD"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157.</w:t>
            </w:r>
          </w:p>
        </w:tc>
        <w:tc>
          <w:tcPr>
            <w:tcW w:w="2179" w:type="pct"/>
          </w:tcPr>
          <w:p w14:paraId="24149F78" w14:textId="5E0BC24F"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195EB3" w14:paraId="2CF51918" w14:textId="77777777" w:rsidTr="00DF7E48">
        <w:tc>
          <w:tcPr>
            <w:tcW w:w="230" w:type="pct"/>
          </w:tcPr>
          <w:p w14:paraId="357D4347" w14:textId="77777777" w:rsidR="00866DC7" w:rsidRPr="00195EB3" w:rsidRDefault="00866DC7" w:rsidP="00CB1FCD">
            <w:pPr>
              <w:keepNext/>
              <w:keepLines/>
              <w:spacing w:before="60" w:after="60"/>
              <w:rPr>
                <w:rFonts w:ascii="Arial" w:hAnsi="Arial" w:cs="Arial"/>
                <w:sz w:val="22"/>
                <w:szCs w:val="22"/>
                <w:lang w:val="en-GB"/>
              </w:rPr>
            </w:pPr>
            <w:r w:rsidRPr="00195EB3">
              <w:rPr>
                <w:rFonts w:ascii="Arial" w:hAnsi="Arial" w:cs="Arial"/>
                <w:sz w:val="22"/>
                <w:szCs w:val="22"/>
                <w:lang w:val="en-GB"/>
              </w:rPr>
              <w:lastRenderedPageBreak/>
              <w:t>158.</w:t>
            </w:r>
          </w:p>
        </w:tc>
        <w:tc>
          <w:tcPr>
            <w:tcW w:w="2314" w:type="pct"/>
          </w:tcPr>
          <w:p w14:paraId="218ABAB6" w14:textId="77777777" w:rsidR="00866DC7" w:rsidRPr="00195EB3" w:rsidRDefault="00866DC7" w:rsidP="00CB1FCD">
            <w:pPr>
              <w:keepNext/>
              <w:keepLines/>
              <w:spacing w:before="60" w:after="60"/>
              <w:jc w:val="both"/>
              <w:rPr>
                <w:rFonts w:ascii="Arial" w:hAnsi="Arial" w:cs="Arial"/>
                <w:sz w:val="22"/>
                <w:szCs w:val="22"/>
                <w:lang w:val="en-GB"/>
              </w:rPr>
            </w:pPr>
            <w:r w:rsidRPr="00195EB3">
              <w:rPr>
                <w:rFonts w:ascii="Arial" w:hAnsi="Arial" w:cs="Arial"/>
                <w:sz w:val="22"/>
                <w:szCs w:val="22"/>
                <w:lang w:val="en-GB"/>
              </w:rPr>
              <w:t>The State Party reports on the institutional context for the element inscribed on the Representative List of the Intangible Cultural Heritage of Humanity, including:</w:t>
            </w:r>
          </w:p>
          <w:p w14:paraId="62298945" w14:textId="77777777" w:rsidR="00866DC7" w:rsidRPr="00195EB3" w:rsidRDefault="00866DC7" w:rsidP="00CB1FCD">
            <w:pPr>
              <w:keepNext/>
              <w:keepLines/>
              <w:numPr>
                <w:ilvl w:val="0"/>
                <w:numId w:val="29"/>
              </w:numPr>
              <w:spacing w:before="60" w:after="60"/>
              <w:ind w:left="656" w:hanging="656"/>
              <w:jc w:val="both"/>
              <w:rPr>
                <w:rFonts w:ascii="Arial" w:hAnsi="Arial" w:cs="Arial"/>
                <w:sz w:val="22"/>
                <w:szCs w:val="22"/>
                <w:lang w:val="en-GB"/>
              </w:rPr>
            </w:pPr>
            <w:r w:rsidRPr="00195EB3">
              <w:rPr>
                <w:rFonts w:ascii="Arial" w:hAnsi="Arial" w:cs="Arial"/>
                <w:sz w:val="22"/>
                <w:szCs w:val="22"/>
                <w:lang w:val="en-GB"/>
              </w:rPr>
              <w:t>the competent body(</w:t>
            </w:r>
            <w:proofErr w:type="spellStart"/>
            <w:r w:rsidRPr="00195EB3">
              <w:rPr>
                <w:rFonts w:ascii="Arial" w:hAnsi="Arial" w:cs="Arial"/>
                <w:sz w:val="22"/>
                <w:szCs w:val="22"/>
                <w:lang w:val="en-GB"/>
              </w:rPr>
              <w:t>ies</w:t>
            </w:r>
            <w:proofErr w:type="spellEnd"/>
            <w:r w:rsidRPr="00195EB3">
              <w:rPr>
                <w:rFonts w:ascii="Arial" w:hAnsi="Arial" w:cs="Arial"/>
                <w:sz w:val="22"/>
                <w:szCs w:val="22"/>
                <w:lang w:val="en-GB"/>
              </w:rPr>
              <w:t>) involved in its management and/or safeguarding;</w:t>
            </w:r>
          </w:p>
          <w:p w14:paraId="6E83FBE6" w14:textId="77777777" w:rsidR="00866DC7" w:rsidRPr="00195EB3" w:rsidRDefault="00866DC7" w:rsidP="00CB1FCD">
            <w:pPr>
              <w:keepNext/>
              <w:keepLines/>
              <w:numPr>
                <w:ilvl w:val="0"/>
                <w:numId w:val="29"/>
              </w:numPr>
              <w:spacing w:before="60" w:after="60"/>
              <w:ind w:left="656" w:hanging="656"/>
              <w:jc w:val="both"/>
              <w:rPr>
                <w:rFonts w:ascii="Arial" w:hAnsi="Arial" w:cs="Arial"/>
                <w:sz w:val="22"/>
                <w:szCs w:val="22"/>
                <w:lang w:val="en-GB"/>
              </w:rPr>
            </w:pPr>
            <w:r w:rsidRPr="00195EB3">
              <w:rPr>
                <w:rFonts w:ascii="Arial" w:hAnsi="Arial" w:cs="Arial"/>
                <w:sz w:val="22"/>
                <w:szCs w:val="22"/>
                <w:lang w:val="en-GB"/>
              </w:rPr>
              <w:t>the organization(s) of the community or group concerned with the element and its safeguarding.</w:t>
            </w:r>
          </w:p>
        </w:tc>
        <w:tc>
          <w:tcPr>
            <w:tcW w:w="277" w:type="pct"/>
          </w:tcPr>
          <w:p w14:paraId="58638C9B" w14:textId="77777777" w:rsidR="00866DC7" w:rsidRPr="00195EB3" w:rsidRDefault="00866DC7" w:rsidP="00CB1FCD">
            <w:pPr>
              <w:keepNext/>
              <w:keepLines/>
              <w:spacing w:before="60" w:after="60"/>
              <w:jc w:val="both"/>
              <w:rPr>
                <w:rFonts w:ascii="Arial" w:hAnsi="Arial" w:cs="Arial"/>
                <w:sz w:val="22"/>
                <w:szCs w:val="22"/>
                <w:lang w:val="en-GB"/>
              </w:rPr>
            </w:pPr>
            <w:r w:rsidRPr="00195EB3">
              <w:rPr>
                <w:rFonts w:ascii="Arial" w:hAnsi="Arial" w:cs="Arial"/>
                <w:sz w:val="22"/>
                <w:szCs w:val="22"/>
                <w:lang w:val="en-GB"/>
              </w:rPr>
              <w:t>158.</w:t>
            </w:r>
          </w:p>
        </w:tc>
        <w:tc>
          <w:tcPr>
            <w:tcW w:w="2179" w:type="pct"/>
          </w:tcPr>
          <w:p w14:paraId="7E15FF6E" w14:textId="042A345C" w:rsidR="00866DC7" w:rsidRPr="00195EB3" w:rsidRDefault="00866DC7" w:rsidP="00CB1FCD">
            <w:pPr>
              <w:keepNext/>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DF7E48" w14:paraId="7C9F2A33" w14:textId="77777777" w:rsidTr="00DF7E48">
        <w:tc>
          <w:tcPr>
            <w:tcW w:w="230" w:type="pct"/>
          </w:tcPr>
          <w:p w14:paraId="51D08A8E"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159.</w:t>
            </w:r>
          </w:p>
        </w:tc>
        <w:tc>
          <w:tcPr>
            <w:tcW w:w="2314" w:type="pct"/>
          </w:tcPr>
          <w:p w14:paraId="48604573"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States Parties shall respond, in a timely manner, to specific requests addressed to them by the Committee for additional information, if needed and independently of the regional cycle set out by the Committee, in compliance with paragraph 152 above.</w:t>
            </w:r>
          </w:p>
        </w:tc>
        <w:tc>
          <w:tcPr>
            <w:tcW w:w="277" w:type="pct"/>
          </w:tcPr>
          <w:p w14:paraId="30551AC7"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159.</w:t>
            </w:r>
          </w:p>
        </w:tc>
        <w:tc>
          <w:tcPr>
            <w:tcW w:w="2179" w:type="pct"/>
            <w:shd w:val="clear" w:color="auto" w:fill="DBE5F1" w:themeFill="accent1" w:themeFillTint="33"/>
          </w:tcPr>
          <w:p w14:paraId="4BF12181"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 xml:space="preserve">States Parties shall respond, in a timely manner, to specific requests addressed to them by the Committee for additional information, if needed and independently of the </w:t>
            </w:r>
            <w:r w:rsidRPr="00195EB3">
              <w:rPr>
                <w:rFonts w:ascii="Arial" w:hAnsi="Arial" w:cs="Arial"/>
                <w:strike/>
                <w:sz w:val="22"/>
                <w:szCs w:val="22"/>
                <w:lang w:val="en-GB"/>
              </w:rPr>
              <w:t>regional cycle</w:t>
            </w:r>
            <w:r w:rsidRPr="00195EB3">
              <w:rPr>
                <w:rFonts w:ascii="Arial" w:hAnsi="Arial" w:cs="Arial"/>
                <w:sz w:val="22"/>
                <w:szCs w:val="22"/>
                <w:lang w:val="en-GB"/>
              </w:rPr>
              <w:t xml:space="preserve"> </w:t>
            </w:r>
            <w:r w:rsidRPr="00195EB3">
              <w:rPr>
                <w:rFonts w:ascii="Arial" w:hAnsi="Arial" w:cs="Arial"/>
                <w:b/>
                <w:bCs/>
                <w:sz w:val="22"/>
                <w:szCs w:val="22"/>
                <w:u w:val="single"/>
                <w:lang w:val="en-GB"/>
              </w:rPr>
              <w:t>regular reporting cycle</w:t>
            </w:r>
            <w:r w:rsidRPr="00195EB3">
              <w:rPr>
                <w:rFonts w:ascii="Arial" w:hAnsi="Arial" w:cs="Arial"/>
                <w:sz w:val="22"/>
                <w:szCs w:val="22"/>
                <w:lang w:val="en-GB"/>
              </w:rPr>
              <w:t xml:space="preserve"> set out by the Committee, in compliance with paragraph 152 above.</w:t>
            </w:r>
          </w:p>
        </w:tc>
      </w:tr>
      <w:tr w:rsidR="00123D82" w:rsidRPr="00195EB3" w14:paraId="697C3D1B" w14:textId="77777777" w:rsidTr="00DF7E48">
        <w:tc>
          <w:tcPr>
            <w:tcW w:w="230" w:type="pct"/>
          </w:tcPr>
          <w:p w14:paraId="0122ECA7" w14:textId="77777777" w:rsidR="00866DC7" w:rsidRPr="00195EB3" w:rsidRDefault="00866DC7" w:rsidP="005F773B">
            <w:pPr>
              <w:keepLines/>
              <w:spacing w:before="60" w:after="60"/>
              <w:rPr>
                <w:rFonts w:ascii="Arial" w:hAnsi="Arial" w:cs="Arial"/>
                <w:color w:val="4F81BD" w:themeColor="accent1"/>
                <w:sz w:val="22"/>
                <w:szCs w:val="22"/>
                <w:lang w:val="en-GB"/>
              </w:rPr>
            </w:pPr>
            <w:r w:rsidRPr="00195EB3">
              <w:rPr>
                <w:rFonts w:ascii="Arial" w:hAnsi="Arial" w:cs="Arial"/>
                <w:b/>
                <w:bCs/>
                <w:color w:val="4F81BD" w:themeColor="accent1"/>
                <w:sz w:val="22"/>
                <w:szCs w:val="22"/>
                <w:lang w:val="en-GB"/>
              </w:rPr>
              <w:t>V.2</w:t>
            </w:r>
          </w:p>
        </w:tc>
        <w:tc>
          <w:tcPr>
            <w:tcW w:w="2314" w:type="pct"/>
          </w:tcPr>
          <w:p w14:paraId="33DD7B8A" w14:textId="77777777" w:rsidR="00866DC7" w:rsidRPr="00195EB3" w:rsidRDefault="00866DC7" w:rsidP="005F773B">
            <w:pPr>
              <w:keepLines/>
              <w:spacing w:before="60" w:after="60"/>
              <w:jc w:val="both"/>
              <w:rPr>
                <w:rFonts w:ascii="Arial" w:hAnsi="Arial" w:cs="Arial"/>
                <w:color w:val="4F81BD" w:themeColor="accent1"/>
                <w:sz w:val="22"/>
                <w:szCs w:val="22"/>
                <w:lang w:val="en-GB"/>
              </w:rPr>
            </w:pPr>
            <w:r w:rsidRPr="00195EB3">
              <w:rPr>
                <w:rFonts w:ascii="Arial" w:hAnsi="Arial" w:cs="Arial"/>
                <w:b/>
                <w:bCs/>
                <w:color w:val="4F81BD" w:themeColor="accent1"/>
                <w:sz w:val="22"/>
                <w:szCs w:val="22"/>
                <w:lang w:val="en-GB"/>
              </w:rPr>
              <w:t>Reports by States Parties on elements inscribed on the List of Intangible Cultural Heritage in Need of Urgent Safeguarding</w:t>
            </w:r>
          </w:p>
        </w:tc>
        <w:tc>
          <w:tcPr>
            <w:tcW w:w="277" w:type="pct"/>
          </w:tcPr>
          <w:p w14:paraId="52D931CD" w14:textId="77777777" w:rsidR="00866DC7" w:rsidRPr="00195EB3" w:rsidRDefault="00866DC7" w:rsidP="005F773B">
            <w:pPr>
              <w:keepLines/>
              <w:spacing w:before="60" w:after="60"/>
              <w:jc w:val="both"/>
              <w:rPr>
                <w:rFonts w:ascii="Arial" w:hAnsi="Arial" w:cs="Arial"/>
                <w:color w:val="4F81BD" w:themeColor="accent1"/>
                <w:sz w:val="22"/>
                <w:szCs w:val="22"/>
                <w:lang w:val="en-GB"/>
              </w:rPr>
            </w:pPr>
            <w:r w:rsidRPr="00195EB3">
              <w:rPr>
                <w:rFonts w:ascii="Arial" w:hAnsi="Arial" w:cs="Arial"/>
                <w:b/>
                <w:bCs/>
                <w:color w:val="4F81BD" w:themeColor="accent1"/>
                <w:sz w:val="22"/>
                <w:szCs w:val="22"/>
                <w:lang w:val="en-GB"/>
              </w:rPr>
              <w:t>V.2</w:t>
            </w:r>
          </w:p>
        </w:tc>
        <w:tc>
          <w:tcPr>
            <w:tcW w:w="2179" w:type="pct"/>
          </w:tcPr>
          <w:p w14:paraId="7158748D" w14:textId="622750DC"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195EB3" w14:paraId="4123444D" w14:textId="77777777" w:rsidTr="00DF7E48">
        <w:tc>
          <w:tcPr>
            <w:tcW w:w="230" w:type="pct"/>
          </w:tcPr>
          <w:p w14:paraId="5E4126A0"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160.</w:t>
            </w:r>
          </w:p>
        </w:tc>
        <w:tc>
          <w:tcPr>
            <w:tcW w:w="2314" w:type="pct"/>
          </w:tcPr>
          <w:p w14:paraId="04739E99"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Each State Party shall submit to the Committee reports on the status of elements of intangible cultural heritage present in its territory that have been inscribed on the List of Intangible Cultural Heritage in Need of Urgent Safeguarding at its request or, in cases of extreme urgency, after consultation with it. The State Party shall endeavour to involve as broadly as possible the communities, groups and, where applicable, individuals concerned as well as relevant non-governmental organizations during the process of preparation of such reports.</w:t>
            </w:r>
          </w:p>
        </w:tc>
        <w:tc>
          <w:tcPr>
            <w:tcW w:w="277" w:type="pct"/>
          </w:tcPr>
          <w:p w14:paraId="6297F838"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160.</w:t>
            </w:r>
          </w:p>
        </w:tc>
        <w:tc>
          <w:tcPr>
            <w:tcW w:w="2179" w:type="pct"/>
          </w:tcPr>
          <w:p w14:paraId="7B1A75B9" w14:textId="195604E8"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DF7E48" w14:paraId="4355072F" w14:textId="77777777" w:rsidTr="00DF7E48">
        <w:tc>
          <w:tcPr>
            <w:tcW w:w="230" w:type="pct"/>
          </w:tcPr>
          <w:p w14:paraId="01000ED3"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lastRenderedPageBreak/>
              <w:t>161.</w:t>
            </w:r>
          </w:p>
        </w:tc>
        <w:tc>
          <w:tcPr>
            <w:tcW w:w="2314" w:type="pct"/>
          </w:tcPr>
          <w:p w14:paraId="7A4567C0"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Such reports shall normally be submitted to the Committee by 15 December of the fourth year following the year in which the element was inscribed, and every fourth year thereafter. Form ICH-11 is used for such reports; it may be completed online by each State Party (</w:t>
            </w:r>
            <w:hyperlink r:id="rId35" w:history="1">
              <w:r w:rsidRPr="00195EB3">
                <w:rPr>
                  <w:rStyle w:val="Hyperlink"/>
                  <w:rFonts w:ascii="Arial" w:hAnsi="Arial" w:cs="Arial"/>
                  <w:b/>
                  <w:bCs/>
                  <w:sz w:val="22"/>
                  <w:szCs w:val="22"/>
                  <w:lang w:val="en-GB"/>
                </w:rPr>
                <w:t>https://ich.unesco.org</w:t>
              </w:r>
            </w:hyperlink>
            <w:r w:rsidRPr="00195EB3">
              <w:rPr>
                <w:rFonts w:ascii="Arial" w:hAnsi="Arial" w:cs="Arial"/>
                <w:sz w:val="22"/>
                <w:szCs w:val="22"/>
                <w:lang w:val="en-GB"/>
              </w:rPr>
              <w:t>), and is revised at appropriate intervals by the Secretariat. At the time of inscription, the Committee may establish a specific timetable for reporting on a case-by-case basis, which will take precedence over the normal four-year cycle.</w:t>
            </w:r>
          </w:p>
        </w:tc>
        <w:tc>
          <w:tcPr>
            <w:tcW w:w="277" w:type="pct"/>
          </w:tcPr>
          <w:p w14:paraId="53AA2C4F"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161.</w:t>
            </w:r>
          </w:p>
        </w:tc>
        <w:tc>
          <w:tcPr>
            <w:tcW w:w="2179" w:type="pct"/>
            <w:shd w:val="clear" w:color="auto" w:fill="DBE5F1" w:themeFill="accent1" w:themeFillTint="33"/>
          </w:tcPr>
          <w:p w14:paraId="4272A5F2"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 xml:space="preserve">Such reports shall normally be submitted to the Committee by </w:t>
            </w:r>
            <w:r w:rsidRPr="00195EB3">
              <w:rPr>
                <w:rFonts w:ascii="Arial" w:hAnsi="Arial" w:cs="Arial"/>
                <w:strike/>
                <w:sz w:val="22"/>
                <w:szCs w:val="22"/>
                <w:lang w:val="en-GB"/>
              </w:rPr>
              <w:t>15 December of the fourth year following the year in which the element was inscribed, and every fourth year thereafter</w:t>
            </w:r>
            <w:r w:rsidRPr="00195EB3">
              <w:rPr>
                <w:rFonts w:ascii="Arial" w:hAnsi="Arial" w:cs="Arial"/>
                <w:sz w:val="22"/>
                <w:szCs w:val="22"/>
                <w:lang w:val="en-GB"/>
              </w:rPr>
              <w:t xml:space="preserve"> </w:t>
            </w:r>
            <w:r w:rsidRPr="00195EB3">
              <w:rPr>
                <w:rFonts w:ascii="Arial" w:hAnsi="Arial" w:cs="Arial"/>
                <w:b/>
                <w:bCs/>
                <w:color w:val="000000"/>
                <w:sz w:val="22"/>
                <w:szCs w:val="22"/>
                <w:u w:val="single"/>
                <w:lang w:val="en-GB"/>
              </w:rPr>
              <w:t>30 June every four years on the basis of a calendar established by the Committee</w:t>
            </w:r>
            <w:r w:rsidRPr="00195EB3">
              <w:rPr>
                <w:rFonts w:ascii="Arial" w:hAnsi="Arial" w:cs="Arial"/>
                <w:sz w:val="22"/>
                <w:szCs w:val="22"/>
                <w:lang w:val="en-GB"/>
              </w:rPr>
              <w:t xml:space="preserve">. Form ICH-11 is used for such reports; it </w:t>
            </w:r>
            <w:r w:rsidRPr="00195EB3">
              <w:rPr>
                <w:rFonts w:ascii="Arial" w:hAnsi="Arial" w:cs="Arial"/>
                <w:color w:val="000000"/>
                <w:sz w:val="22"/>
                <w:szCs w:val="22"/>
                <w:lang w:val="en-GB"/>
              </w:rPr>
              <w:t xml:space="preserve">may </w:t>
            </w:r>
            <w:r w:rsidRPr="00195EB3">
              <w:rPr>
                <w:rFonts w:ascii="Arial" w:hAnsi="Arial" w:cs="Arial"/>
                <w:sz w:val="22"/>
                <w:szCs w:val="22"/>
                <w:lang w:val="en-GB"/>
              </w:rPr>
              <w:t>be completed online by each State Party (</w:t>
            </w:r>
            <w:hyperlink r:id="rId36" w:history="1">
              <w:r w:rsidRPr="00195EB3">
                <w:rPr>
                  <w:rStyle w:val="Hyperlink"/>
                  <w:rFonts w:ascii="Arial" w:hAnsi="Arial" w:cs="Arial"/>
                  <w:b/>
                  <w:bCs/>
                  <w:sz w:val="22"/>
                  <w:szCs w:val="22"/>
                  <w:lang w:val="en-GB"/>
                </w:rPr>
                <w:t>https://ich.unesco.org</w:t>
              </w:r>
            </w:hyperlink>
            <w:r w:rsidRPr="00195EB3">
              <w:rPr>
                <w:rFonts w:ascii="Arial" w:hAnsi="Arial" w:cs="Arial"/>
                <w:sz w:val="22"/>
                <w:szCs w:val="22"/>
                <w:lang w:val="en-GB"/>
              </w:rPr>
              <w:t>), and is revised at appropriate intervals by the Secretariat. At the time of inscription, the Committee may establish a specific timetable for reporting on a case-by-case basis, which will take precedence over the normal four-year cycle.</w:t>
            </w:r>
          </w:p>
        </w:tc>
      </w:tr>
      <w:tr w:rsidR="00123D82" w:rsidRPr="00195EB3" w14:paraId="137857B6" w14:textId="77777777" w:rsidTr="00DF7E48">
        <w:tc>
          <w:tcPr>
            <w:tcW w:w="230" w:type="pct"/>
          </w:tcPr>
          <w:p w14:paraId="300180D9"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162.</w:t>
            </w:r>
          </w:p>
        </w:tc>
        <w:tc>
          <w:tcPr>
            <w:tcW w:w="2314" w:type="pct"/>
          </w:tcPr>
          <w:p w14:paraId="44B8D874"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The State Party shall pay special attention to the role of gender and shall report on the current status of the element, including:</w:t>
            </w:r>
          </w:p>
          <w:p w14:paraId="0254A8E5" w14:textId="77777777" w:rsidR="00866DC7" w:rsidRPr="00195EB3" w:rsidRDefault="00866DC7" w:rsidP="005F773B">
            <w:pPr>
              <w:keepLines/>
              <w:numPr>
                <w:ilvl w:val="0"/>
                <w:numId w:val="30"/>
              </w:numPr>
              <w:spacing w:before="60" w:after="60"/>
              <w:ind w:left="493" w:hanging="493"/>
              <w:jc w:val="both"/>
              <w:rPr>
                <w:rFonts w:ascii="Arial" w:hAnsi="Arial" w:cs="Arial"/>
                <w:sz w:val="22"/>
                <w:szCs w:val="22"/>
                <w:lang w:val="en-GB"/>
              </w:rPr>
            </w:pPr>
            <w:r w:rsidRPr="00195EB3">
              <w:rPr>
                <w:rFonts w:ascii="Arial" w:hAnsi="Arial" w:cs="Arial"/>
                <w:sz w:val="22"/>
                <w:szCs w:val="22"/>
                <w:lang w:val="en-GB"/>
              </w:rPr>
              <w:t>its social and cultural functions;</w:t>
            </w:r>
          </w:p>
          <w:p w14:paraId="04E00900" w14:textId="77777777" w:rsidR="00866DC7" w:rsidRPr="00195EB3" w:rsidRDefault="00866DC7" w:rsidP="005F773B">
            <w:pPr>
              <w:keepLines/>
              <w:numPr>
                <w:ilvl w:val="0"/>
                <w:numId w:val="30"/>
              </w:numPr>
              <w:spacing w:before="60" w:after="60"/>
              <w:ind w:left="493" w:hanging="493"/>
              <w:jc w:val="both"/>
              <w:rPr>
                <w:rFonts w:ascii="Arial" w:hAnsi="Arial" w:cs="Arial"/>
                <w:sz w:val="22"/>
                <w:szCs w:val="22"/>
                <w:lang w:val="en-GB"/>
              </w:rPr>
            </w:pPr>
            <w:r w:rsidRPr="00195EB3">
              <w:rPr>
                <w:rFonts w:ascii="Arial" w:hAnsi="Arial" w:cs="Arial"/>
                <w:sz w:val="22"/>
                <w:szCs w:val="22"/>
                <w:lang w:val="en-GB"/>
              </w:rPr>
              <w:t>an assessment of its viability and the current risks it faces;</w:t>
            </w:r>
          </w:p>
          <w:p w14:paraId="21C5F422" w14:textId="77777777" w:rsidR="00866DC7" w:rsidRPr="00195EB3" w:rsidRDefault="00866DC7" w:rsidP="005F773B">
            <w:pPr>
              <w:keepLines/>
              <w:numPr>
                <w:ilvl w:val="0"/>
                <w:numId w:val="30"/>
              </w:numPr>
              <w:spacing w:before="60" w:after="60"/>
              <w:ind w:left="493" w:hanging="493"/>
              <w:jc w:val="both"/>
              <w:rPr>
                <w:rFonts w:ascii="Arial" w:hAnsi="Arial" w:cs="Arial"/>
                <w:sz w:val="22"/>
                <w:szCs w:val="22"/>
                <w:lang w:val="en-GB"/>
              </w:rPr>
            </w:pPr>
            <w:r w:rsidRPr="00195EB3">
              <w:rPr>
                <w:rFonts w:ascii="Arial" w:hAnsi="Arial" w:cs="Arial"/>
                <w:sz w:val="22"/>
                <w:szCs w:val="22"/>
                <w:lang w:val="en-GB"/>
              </w:rPr>
              <w:t>the impacts of the efforts to safeguard the element, particularly the implementation of the safeguarding plan that was submitted at the time of nomination;</w:t>
            </w:r>
          </w:p>
          <w:p w14:paraId="4233907D" w14:textId="77777777" w:rsidR="00866DC7" w:rsidRPr="00195EB3" w:rsidRDefault="00866DC7" w:rsidP="005F773B">
            <w:pPr>
              <w:keepLines/>
              <w:numPr>
                <w:ilvl w:val="0"/>
                <w:numId w:val="30"/>
              </w:numPr>
              <w:spacing w:before="60" w:after="60"/>
              <w:ind w:left="493" w:hanging="493"/>
              <w:jc w:val="both"/>
              <w:rPr>
                <w:rFonts w:ascii="Arial" w:hAnsi="Arial" w:cs="Arial"/>
                <w:sz w:val="22"/>
                <w:szCs w:val="22"/>
                <w:lang w:val="en-GB"/>
              </w:rPr>
            </w:pPr>
            <w:r w:rsidRPr="00195EB3">
              <w:rPr>
                <w:rFonts w:ascii="Arial" w:hAnsi="Arial" w:cs="Arial"/>
                <w:sz w:val="22"/>
                <w:szCs w:val="22"/>
                <w:lang w:val="en-GB"/>
              </w:rPr>
              <w:t>an update of the safeguarding plan included in the nomination file or in the previous report;</w:t>
            </w:r>
          </w:p>
          <w:p w14:paraId="4F3AD554" w14:textId="77777777" w:rsidR="00866DC7" w:rsidRPr="00195EB3" w:rsidRDefault="00866DC7" w:rsidP="005F773B">
            <w:pPr>
              <w:keepLines/>
              <w:numPr>
                <w:ilvl w:val="0"/>
                <w:numId w:val="30"/>
              </w:numPr>
              <w:spacing w:before="60" w:after="60"/>
              <w:ind w:left="493" w:hanging="493"/>
              <w:jc w:val="both"/>
              <w:rPr>
                <w:rFonts w:ascii="Arial" w:hAnsi="Arial" w:cs="Arial"/>
                <w:sz w:val="22"/>
                <w:szCs w:val="22"/>
                <w:lang w:val="en-GB"/>
              </w:rPr>
            </w:pPr>
            <w:r w:rsidRPr="00195EB3">
              <w:rPr>
                <w:rFonts w:ascii="Arial" w:hAnsi="Arial" w:cs="Arial"/>
                <w:sz w:val="22"/>
                <w:szCs w:val="22"/>
                <w:lang w:val="en-GB"/>
              </w:rPr>
              <w:t>the participation of communities, groups and individuals as well as relevant non-governmental organizations in safeguarding the element and their continued commitment to its further safeguarding.</w:t>
            </w:r>
          </w:p>
        </w:tc>
        <w:tc>
          <w:tcPr>
            <w:tcW w:w="277" w:type="pct"/>
          </w:tcPr>
          <w:p w14:paraId="1F16C572"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162.</w:t>
            </w:r>
          </w:p>
        </w:tc>
        <w:tc>
          <w:tcPr>
            <w:tcW w:w="2179" w:type="pct"/>
          </w:tcPr>
          <w:p w14:paraId="47A1564B" w14:textId="1406EADC"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195EB3" w14:paraId="6C81E6B8" w14:textId="77777777" w:rsidTr="00DF7E48">
        <w:tc>
          <w:tcPr>
            <w:tcW w:w="230" w:type="pct"/>
          </w:tcPr>
          <w:p w14:paraId="0AC99A24"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163.</w:t>
            </w:r>
          </w:p>
        </w:tc>
        <w:tc>
          <w:tcPr>
            <w:tcW w:w="2314" w:type="pct"/>
          </w:tcPr>
          <w:p w14:paraId="732B1351"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The State Party shall report on the institutional context for safeguarding the element inscribed on the List, including:</w:t>
            </w:r>
          </w:p>
          <w:p w14:paraId="56910C20" w14:textId="77777777" w:rsidR="00866DC7" w:rsidRPr="00195EB3" w:rsidRDefault="00866DC7" w:rsidP="005F773B">
            <w:pPr>
              <w:keepLines/>
              <w:numPr>
                <w:ilvl w:val="0"/>
                <w:numId w:val="31"/>
              </w:numPr>
              <w:spacing w:before="60" w:after="60"/>
              <w:ind w:left="656" w:hanging="656"/>
              <w:jc w:val="both"/>
              <w:rPr>
                <w:rFonts w:ascii="Arial" w:hAnsi="Arial" w:cs="Arial"/>
                <w:sz w:val="22"/>
                <w:szCs w:val="22"/>
                <w:lang w:val="en-GB"/>
              </w:rPr>
            </w:pPr>
            <w:r w:rsidRPr="00195EB3">
              <w:rPr>
                <w:rFonts w:ascii="Arial" w:hAnsi="Arial" w:cs="Arial"/>
                <w:sz w:val="22"/>
                <w:szCs w:val="22"/>
                <w:lang w:val="en-GB"/>
              </w:rPr>
              <w:t>the competent body(</w:t>
            </w:r>
            <w:proofErr w:type="spellStart"/>
            <w:r w:rsidRPr="00195EB3">
              <w:rPr>
                <w:rFonts w:ascii="Arial" w:hAnsi="Arial" w:cs="Arial"/>
                <w:sz w:val="22"/>
                <w:szCs w:val="22"/>
                <w:lang w:val="en-GB"/>
              </w:rPr>
              <w:t>ies</w:t>
            </w:r>
            <w:proofErr w:type="spellEnd"/>
            <w:r w:rsidRPr="00195EB3">
              <w:rPr>
                <w:rFonts w:ascii="Arial" w:hAnsi="Arial" w:cs="Arial"/>
                <w:sz w:val="22"/>
                <w:szCs w:val="22"/>
                <w:lang w:val="en-GB"/>
              </w:rPr>
              <w:t>) involved in its safeguarding;</w:t>
            </w:r>
          </w:p>
          <w:p w14:paraId="158B11A7" w14:textId="77777777" w:rsidR="00866DC7" w:rsidRPr="00195EB3" w:rsidRDefault="00866DC7" w:rsidP="005F773B">
            <w:pPr>
              <w:keepLines/>
              <w:numPr>
                <w:ilvl w:val="0"/>
                <w:numId w:val="31"/>
              </w:numPr>
              <w:spacing w:before="60" w:after="60"/>
              <w:ind w:left="656" w:hanging="656"/>
              <w:jc w:val="both"/>
              <w:rPr>
                <w:rFonts w:ascii="Arial" w:hAnsi="Arial" w:cs="Arial"/>
                <w:sz w:val="22"/>
                <w:szCs w:val="22"/>
                <w:lang w:val="en-GB"/>
              </w:rPr>
            </w:pPr>
            <w:r w:rsidRPr="00195EB3">
              <w:rPr>
                <w:rFonts w:ascii="Arial" w:hAnsi="Arial" w:cs="Arial"/>
                <w:sz w:val="22"/>
                <w:szCs w:val="22"/>
                <w:lang w:val="en-GB"/>
              </w:rPr>
              <w:t>the organization(s) of the community or group concerned with the element and its safeguarding.</w:t>
            </w:r>
          </w:p>
        </w:tc>
        <w:tc>
          <w:tcPr>
            <w:tcW w:w="277" w:type="pct"/>
          </w:tcPr>
          <w:p w14:paraId="1330E7F9"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163.</w:t>
            </w:r>
          </w:p>
        </w:tc>
        <w:tc>
          <w:tcPr>
            <w:tcW w:w="2179" w:type="pct"/>
          </w:tcPr>
          <w:p w14:paraId="563FE6B1" w14:textId="686CC4B3"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195EB3" w14:paraId="40C04CCC" w14:textId="77777777" w:rsidTr="00DF7E48">
        <w:tc>
          <w:tcPr>
            <w:tcW w:w="230" w:type="pct"/>
          </w:tcPr>
          <w:p w14:paraId="4E7D198D"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lastRenderedPageBreak/>
              <w:t>164.</w:t>
            </w:r>
          </w:p>
        </w:tc>
        <w:tc>
          <w:tcPr>
            <w:tcW w:w="2314" w:type="pct"/>
          </w:tcPr>
          <w:p w14:paraId="304A280A"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States Parties shall respond, in a timely manner, to specific requests addressed to them by the Committee for additional information, if needed between the deadlines set out in paragraph 161 above.</w:t>
            </w:r>
          </w:p>
        </w:tc>
        <w:tc>
          <w:tcPr>
            <w:tcW w:w="277" w:type="pct"/>
          </w:tcPr>
          <w:p w14:paraId="27EEDE1A"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164.</w:t>
            </w:r>
          </w:p>
        </w:tc>
        <w:tc>
          <w:tcPr>
            <w:tcW w:w="2179" w:type="pct"/>
          </w:tcPr>
          <w:p w14:paraId="11CB5674" w14:textId="2FC2EB82"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195EB3" w14:paraId="43DE7DAA" w14:textId="77777777" w:rsidTr="00DF7E48">
        <w:tc>
          <w:tcPr>
            <w:tcW w:w="230" w:type="pct"/>
          </w:tcPr>
          <w:p w14:paraId="2C4F11D7" w14:textId="77777777" w:rsidR="00866DC7" w:rsidRPr="00195EB3" w:rsidRDefault="00866DC7" w:rsidP="005F773B">
            <w:pPr>
              <w:keepLines/>
              <w:spacing w:before="60" w:after="60"/>
              <w:rPr>
                <w:rFonts w:ascii="Arial" w:hAnsi="Arial" w:cs="Arial"/>
                <w:color w:val="4F81BD" w:themeColor="accent1"/>
                <w:sz w:val="22"/>
                <w:szCs w:val="22"/>
                <w:lang w:val="en-GB"/>
              </w:rPr>
            </w:pPr>
            <w:r w:rsidRPr="00195EB3">
              <w:rPr>
                <w:rFonts w:ascii="Arial" w:hAnsi="Arial" w:cs="Arial"/>
                <w:b/>
                <w:bCs/>
                <w:color w:val="4F81BD" w:themeColor="accent1"/>
                <w:sz w:val="22"/>
                <w:szCs w:val="22"/>
                <w:lang w:val="en-GB"/>
              </w:rPr>
              <w:t>V.3</w:t>
            </w:r>
          </w:p>
        </w:tc>
        <w:tc>
          <w:tcPr>
            <w:tcW w:w="2314" w:type="pct"/>
          </w:tcPr>
          <w:p w14:paraId="706C35E0" w14:textId="77777777" w:rsidR="00866DC7" w:rsidRPr="00195EB3" w:rsidRDefault="00866DC7" w:rsidP="005F773B">
            <w:pPr>
              <w:keepLines/>
              <w:spacing w:before="60" w:after="60"/>
              <w:jc w:val="both"/>
              <w:rPr>
                <w:rFonts w:ascii="Arial" w:hAnsi="Arial" w:cs="Arial"/>
                <w:color w:val="4F81BD" w:themeColor="accent1"/>
                <w:sz w:val="22"/>
                <w:szCs w:val="22"/>
                <w:lang w:val="en-GB"/>
              </w:rPr>
            </w:pPr>
            <w:r w:rsidRPr="00195EB3">
              <w:rPr>
                <w:rFonts w:ascii="Arial" w:hAnsi="Arial" w:cs="Arial"/>
                <w:b/>
                <w:bCs/>
                <w:color w:val="4F81BD" w:themeColor="accent1"/>
                <w:sz w:val="22"/>
                <w:szCs w:val="22"/>
                <w:lang w:val="en-GB"/>
              </w:rPr>
              <w:t>Receipt and processing of reports</w:t>
            </w:r>
          </w:p>
        </w:tc>
        <w:tc>
          <w:tcPr>
            <w:tcW w:w="277" w:type="pct"/>
          </w:tcPr>
          <w:p w14:paraId="025BCB3D" w14:textId="77777777" w:rsidR="00866DC7" w:rsidRPr="00195EB3" w:rsidRDefault="00866DC7" w:rsidP="005F773B">
            <w:pPr>
              <w:keepLines/>
              <w:spacing w:before="60" w:after="60"/>
              <w:jc w:val="both"/>
              <w:rPr>
                <w:rFonts w:ascii="Arial" w:hAnsi="Arial" w:cs="Arial"/>
                <w:color w:val="4F81BD" w:themeColor="accent1"/>
                <w:sz w:val="22"/>
                <w:szCs w:val="22"/>
                <w:lang w:val="en-GB"/>
              </w:rPr>
            </w:pPr>
            <w:r w:rsidRPr="00195EB3">
              <w:rPr>
                <w:rFonts w:ascii="Arial" w:hAnsi="Arial" w:cs="Arial"/>
                <w:b/>
                <w:bCs/>
                <w:color w:val="4F81BD" w:themeColor="accent1"/>
                <w:sz w:val="22"/>
                <w:szCs w:val="22"/>
                <w:lang w:val="en-GB"/>
              </w:rPr>
              <w:t>V.3</w:t>
            </w:r>
          </w:p>
        </w:tc>
        <w:tc>
          <w:tcPr>
            <w:tcW w:w="2179" w:type="pct"/>
          </w:tcPr>
          <w:p w14:paraId="16909630" w14:textId="63D1A3F4"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195EB3" w14:paraId="116AF386" w14:textId="77777777" w:rsidTr="00DF7E48">
        <w:tc>
          <w:tcPr>
            <w:tcW w:w="230" w:type="pct"/>
          </w:tcPr>
          <w:p w14:paraId="4987C583"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165.</w:t>
            </w:r>
          </w:p>
        </w:tc>
        <w:tc>
          <w:tcPr>
            <w:tcW w:w="2314" w:type="pct"/>
          </w:tcPr>
          <w:p w14:paraId="78B11BDC"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Upon receipt of reports from States Parties, the Secretariat shall register them and acknowledge receipt. If a report is incomplete, the State Party will be advised how to complete it.</w:t>
            </w:r>
          </w:p>
        </w:tc>
        <w:tc>
          <w:tcPr>
            <w:tcW w:w="277" w:type="pct"/>
          </w:tcPr>
          <w:p w14:paraId="3D86CEFE"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165.</w:t>
            </w:r>
          </w:p>
        </w:tc>
        <w:tc>
          <w:tcPr>
            <w:tcW w:w="2179" w:type="pct"/>
          </w:tcPr>
          <w:p w14:paraId="77BFBAB7" w14:textId="7C8BBDA6"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DF7E48" w14:paraId="0420FEB3" w14:textId="77777777" w:rsidTr="00DF7E48">
        <w:tc>
          <w:tcPr>
            <w:tcW w:w="230" w:type="pct"/>
          </w:tcPr>
          <w:p w14:paraId="4F0D04AA" w14:textId="77777777" w:rsidR="00866DC7" w:rsidRPr="00195EB3" w:rsidRDefault="00866DC7" w:rsidP="005F773B">
            <w:pPr>
              <w:keepLines/>
              <w:spacing w:before="60" w:after="60"/>
              <w:rPr>
                <w:rFonts w:ascii="Arial" w:hAnsi="Arial" w:cs="Arial"/>
                <w:sz w:val="22"/>
                <w:szCs w:val="22"/>
                <w:lang w:val="en-GB"/>
              </w:rPr>
            </w:pPr>
            <w:bookmarkStart w:id="3" w:name="_Hlk208236816"/>
            <w:r w:rsidRPr="00195EB3">
              <w:rPr>
                <w:rFonts w:ascii="Arial" w:hAnsi="Arial" w:cs="Arial"/>
                <w:sz w:val="22"/>
                <w:szCs w:val="22"/>
                <w:lang w:val="en-GB"/>
              </w:rPr>
              <w:t>166.</w:t>
            </w:r>
          </w:p>
        </w:tc>
        <w:tc>
          <w:tcPr>
            <w:tcW w:w="2314" w:type="pct"/>
          </w:tcPr>
          <w:p w14:paraId="4178D54F"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The Secretariat transmits to the Committee an overview of all reports received in compliance with paragraph 152 four weeks prior to its session. The overview is also made available online for public consultation, together with the reports received in compliance with paragraphs 152 and 161, in the language in which they were submitted by the States Parties, unless the Committee decides otherwise in exceptional cases.</w:t>
            </w:r>
          </w:p>
        </w:tc>
        <w:tc>
          <w:tcPr>
            <w:tcW w:w="277" w:type="pct"/>
          </w:tcPr>
          <w:p w14:paraId="539C1296"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166.</w:t>
            </w:r>
          </w:p>
        </w:tc>
        <w:tc>
          <w:tcPr>
            <w:tcW w:w="2179" w:type="pct"/>
            <w:shd w:val="clear" w:color="auto" w:fill="DBE5F1" w:themeFill="accent1" w:themeFillTint="33"/>
          </w:tcPr>
          <w:p w14:paraId="2581EAFF"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The Secretariat transmits to the Committee an overview of all reports received in compliance with</w:t>
            </w:r>
            <w:r w:rsidRPr="00195EB3">
              <w:rPr>
                <w:rFonts w:ascii="Arial" w:hAnsi="Arial" w:cs="Arial"/>
                <w:strike/>
                <w:sz w:val="22"/>
                <w:szCs w:val="22"/>
                <w:lang w:val="en-GB"/>
              </w:rPr>
              <w:t xml:space="preserve"> paragraph</w:t>
            </w:r>
            <w:r w:rsidRPr="00195EB3">
              <w:rPr>
                <w:rFonts w:ascii="Arial" w:hAnsi="Arial" w:cs="Arial"/>
                <w:sz w:val="22"/>
                <w:szCs w:val="22"/>
                <w:lang w:val="en-GB"/>
              </w:rPr>
              <w:t xml:space="preserve"> </w:t>
            </w:r>
            <w:r w:rsidRPr="00195EB3">
              <w:rPr>
                <w:rFonts w:ascii="Arial" w:hAnsi="Arial" w:cs="Arial"/>
                <w:b/>
                <w:bCs/>
                <w:sz w:val="22"/>
                <w:szCs w:val="22"/>
                <w:u w:val="single"/>
                <w:lang w:val="en-GB"/>
              </w:rPr>
              <w:t>paragraphs</w:t>
            </w:r>
            <w:r w:rsidRPr="00195EB3">
              <w:rPr>
                <w:rFonts w:ascii="Arial" w:hAnsi="Arial" w:cs="Arial"/>
                <w:sz w:val="22"/>
                <w:szCs w:val="22"/>
                <w:lang w:val="en-GB"/>
              </w:rPr>
              <w:t xml:space="preserve"> 152 </w:t>
            </w:r>
            <w:r w:rsidRPr="00195EB3">
              <w:rPr>
                <w:rFonts w:ascii="Arial" w:hAnsi="Arial" w:cs="Arial"/>
                <w:b/>
                <w:bCs/>
                <w:sz w:val="22"/>
                <w:szCs w:val="22"/>
                <w:u w:val="single"/>
                <w:lang w:val="en-GB"/>
              </w:rPr>
              <w:t>and 161</w:t>
            </w:r>
            <w:r w:rsidRPr="00195EB3">
              <w:rPr>
                <w:rFonts w:ascii="Arial" w:hAnsi="Arial" w:cs="Arial"/>
                <w:sz w:val="22"/>
                <w:szCs w:val="22"/>
                <w:lang w:val="en-GB"/>
              </w:rPr>
              <w:t xml:space="preserve"> four weeks prior to its session, </w:t>
            </w:r>
            <w:r w:rsidRPr="00195EB3">
              <w:rPr>
                <w:rFonts w:ascii="Arial" w:hAnsi="Arial" w:cs="Arial"/>
                <w:b/>
                <w:bCs/>
                <w:sz w:val="22"/>
                <w:szCs w:val="22"/>
                <w:u w:val="single"/>
                <w:lang w:val="en-GB"/>
              </w:rPr>
              <w:t xml:space="preserve">in line with </w:t>
            </w:r>
            <w:r w:rsidRPr="00195EB3">
              <w:rPr>
                <w:rFonts w:ascii="Arial" w:hAnsi="Arial" w:cs="Arial"/>
                <w:b/>
                <w:bCs/>
                <w:color w:val="000000"/>
                <w:sz w:val="22"/>
                <w:szCs w:val="22"/>
                <w:u w:val="single"/>
                <w:lang w:val="en-GB"/>
              </w:rPr>
              <w:t>a calendar established by the Committee</w:t>
            </w:r>
            <w:r w:rsidRPr="00195EB3">
              <w:rPr>
                <w:rFonts w:ascii="Arial" w:hAnsi="Arial" w:cs="Arial"/>
                <w:sz w:val="22"/>
                <w:szCs w:val="22"/>
                <w:lang w:val="en-GB"/>
              </w:rPr>
              <w:t>. The overview is also made available online for public consultation, together with the reports received in compliance with paragraphs 152 and 161, in the language in which they were submitted by the States Parties, unless the Committee decides otherwise in exceptional cases.</w:t>
            </w:r>
          </w:p>
        </w:tc>
      </w:tr>
      <w:tr w:rsidR="00123D82" w:rsidRPr="00195EB3" w14:paraId="5ABD54BB" w14:textId="77777777" w:rsidTr="00DF7E48">
        <w:tc>
          <w:tcPr>
            <w:tcW w:w="230" w:type="pct"/>
          </w:tcPr>
          <w:p w14:paraId="00D7C623"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167.</w:t>
            </w:r>
          </w:p>
        </w:tc>
        <w:tc>
          <w:tcPr>
            <w:tcW w:w="2314" w:type="pct"/>
          </w:tcPr>
          <w:p w14:paraId="70D8ED86"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Deleted.</w:t>
            </w:r>
          </w:p>
        </w:tc>
        <w:tc>
          <w:tcPr>
            <w:tcW w:w="277" w:type="pct"/>
          </w:tcPr>
          <w:p w14:paraId="4D1D3274"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167.</w:t>
            </w:r>
          </w:p>
        </w:tc>
        <w:tc>
          <w:tcPr>
            <w:tcW w:w="2179" w:type="pct"/>
          </w:tcPr>
          <w:p w14:paraId="74256C6C" w14:textId="17F78CBB"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bookmarkEnd w:id="3"/>
      <w:tr w:rsidR="00123D82" w:rsidRPr="00195EB3" w14:paraId="3EB57B0A" w14:textId="77777777" w:rsidTr="00DF7E48">
        <w:tc>
          <w:tcPr>
            <w:tcW w:w="230" w:type="pct"/>
          </w:tcPr>
          <w:p w14:paraId="2C68808C" w14:textId="77777777" w:rsidR="00866DC7" w:rsidRPr="00195EB3" w:rsidRDefault="00866DC7" w:rsidP="005F773B">
            <w:pPr>
              <w:keepLines/>
              <w:spacing w:before="60" w:after="60"/>
              <w:rPr>
                <w:rFonts w:ascii="Arial" w:hAnsi="Arial" w:cs="Arial"/>
                <w:b/>
                <w:color w:val="4F81BD" w:themeColor="accent1"/>
                <w:sz w:val="22"/>
                <w:szCs w:val="22"/>
                <w:lang w:val="en-GB"/>
              </w:rPr>
            </w:pPr>
            <w:r w:rsidRPr="00195EB3">
              <w:rPr>
                <w:rFonts w:ascii="Arial" w:hAnsi="Arial" w:cs="Arial"/>
                <w:b/>
                <w:color w:val="4F81BD" w:themeColor="accent1"/>
                <w:sz w:val="22"/>
                <w:szCs w:val="22"/>
                <w:lang w:val="en-GB"/>
              </w:rPr>
              <w:t>V.4</w:t>
            </w:r>
          </w:p>
        </w:tc>
        <w:tc>
          <w:tcPr>
            <w:tcW w:w="2314" w:type="pct"/>
          </w:tcPr>
          <w:p w14:paraId="401842F1" w14:textId="77777777" w:rsidR="00866DC7" w:rsidRPr="00195EB3" w:rsidRDefault="00866DC7" w:rsidP="005F773B">
            <w:pPr>
              <w:keepLines/>
              <w:spacing w:before="60" w:after="60"/>
              <w:jc w:val="both"/>
              <w:rPr>
                <w:rFonts w:ascii="Arial" w:hAnsi="Arial" w:cs="Arial"/>
                <w:b/>
                <w:color w:val="4F81BD" w:themeColor="accent1"/>
                <w:sz w:val="22"/>
                <w:szCs w:val="22"/>
                <w:lang w:val="en-GB"/>
              </w:rPr>
            </w:pPr>
            <w:r w:rsidRPr="00195EB3">
              <w:rPr>
                <w:rFonts w:ascii="Arial" w:hAnsi="Arial" w:cs="Arial"/>
                <w:b/>
                <w:color w:val="4F81BD" w:themeColor="accent1"/>
                <w:sz w:val="22"/>
                <w:szCs w:val="22"/>
                <w:lang w:val="en-GB"/>
              </w:rPr>
              <w:t>Reports by States non party to the Convention on elements inscribed on the Representative List of the Intangible Cultural Heritage of Humanity</w:t>
            </w:r>
          </w:p>
        </w:tc>
        <w:tc>
          <w:tcPr>
            <w:tcW w:w="277" w:type="pct"/>
          </w:tcPr>
          <w:p w14:paraId="7DCCE759" w14:textId="77777777" w:rsidR="00866DC7" w:rsidRPr="00195EB3" w:rsidRDefault="00866DC7" w:rsidP="005F773B">
            <w:pPr>
              <w:keepLines/>
              <w:spacing w:before="60" w:after="60"/>
              <w:jc w:val="both"/>
              <w:rPr>
                <w:rFonts w:ascii="Arial" w:hAnsi="Arial" w:cs="Arial"/>
                <w:color w:val="4F81BD" w:themeColor="accent1"/>
                <w:sz w:val="22"/>
                <w:szCs w:val="22"/>
                <w:lang w:val="en-GB"/>
              </w:rPr>
            </w:pPr>
            <w:r w:rsidRPr="00195EB3">
              <w:rPr>
                <w:rFonts w:ascii="Arial" w:hAnsi="Arial" w:cs="Arial"/>
                <w:b/>
                <w:color w:val="4F81BD" w:themeColor="accent1"/>
                <w:sz w:val="22"/>
                <w:szCs w:val="22"/>
                <w:lang w:val="en-GB"/>
              </w:rPr>
              <w:t>V.4</w:t>
            </w:r>
          </w:p>
        </w:tc>
        <w:tc>
          <w:tcPr>
            <w:tcW w:w="2179" w:type="pct"/>
          </w:tcPr>
          <w:p w14:paraId="38D42C55" w14:textId="0EDEAC7E"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195EB3" w14:paraId="560952E9" w14:textId="77777777" w:rsidTr="00DF7E48">
        <w:tc>
          <w:tcPr>
            <w:tcW w:w="230" w:type="pct"/>
          </w:tcPr>
          <w:p w14:paraId="533E1762"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t>168.</w:t>
            </w:r>
          </w:p>
        </w:tc>
        <w:tc>
          <w:tcPr>
            <w:tcW w:w="2314" w:type="pct"/>
          </w:tcPr>
          <w:p w14:paraId="1013E1E5"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Paragraphs 157–159 and 165–166 of these directives shall apply fully to States non party to the Convention that have in their territories items proclaimed as Masterpieces incorporated on the Representative List of the Intangible Cultural Heritage of Humanity, and that have consented to accept the rights and obligations attendant thereon.</w:t>
            </w:r>
          </w:p>
        </w:tc>
        <w:tc>
          <w:tcPr>
            <w:tcW w:w="277" w:type="pct"/>
          </w:tcPr>
          <w:p w14:paraId="65CDD91E"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168.</w:t>
            </w:r>
          </w:p>
        </w:tc>
        <w:tc>
          <w:tcPr>
            <w:tcW w:w="2179" w:type="pct"/>
          </w:tcPr>
          <w:p w14:paraId="250F4651" w14:textId="0F8C06FD"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No change</w:t>
            </w:r>
          </w:p>
        </w:tc>
      </w:tr>
      <w:tr w:rsidR="00123D82" w:rsidRPr="00DF7E48" w14:paraId="313F425E" w14:textId="77777777" w:rsidTr="00DF7E48">
        <w:tc>
          <w:tcPr>
            <w:tcW w:w="230" w:type="pct"/>
          </w:tcPr>
          <w:p w14:paraId="3EBEAB68" w14:textId="77777777" w:rsidR="00866DC7" w:rsidRPr="00195EB3" w:rsidRDefault="00866DC7" w:rsidP="005F773B">
            <w:pPr>
              <w:keepLines/>
              <w:spacing w:before="60" w:after="60"/>
              <w:rPr>
                <w:rFonts w:ascii="Arial" w:hAnsi="Arial" w:cs="Arial"/>
                <w:sz w:val="22"/>
                <w:szCs w:val="22"/>
                <w:lang w:val="en-GB"/>
              </w:rPr>
            </w:pPr>
            <w:r w:rsidRPr="00195EB3">
              <w:rPr>
                <w:rFonts w:ascii="Arial" w:hAnsi="Arial" w:cs="Arial"/>
                <w:sz w:val="22"/>
                <w:szCs w:val="22"/>
                <w:lang w:val="en-GB"/>
              </w:rPr>
              <w:lastRenderedPageBreak/>
              <w:t>169.</w:t>
            </w:r>
          </w:p>
        </w:tc>
        <w:tc>
          <w:tcPr>
            <w:tcW w:w="2314" w:type="pct"/>
          </w:tcPr>
          <w:p w14:paraId="33C28ACD"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Such reports shall be submitted to the Committee by States non party by 15 December 2014, and every sixth year thereafter. Form ICH-10 is used for such reports; it may be completed online by each State concerned (</w:t>
            </w:r>
            <w:hyperlink r:id="rId37" w:history="1">
              <w:r w:rsidRPr="00195EB3">
                <w:rPr>
                  <w:rStyle w:val="Hyperlink"/>
                  <w:rFonts w:ascii="Arial" w:hAnsi="Arial" w:cs="Arial"/>
                  <w:b/>
                  <w:bCs/>
                  <w:sz w:val="22"/>
                  <w:szCs w:val="22"/>
                  <w:lang w:val="en-GB"/>
                </w:rPr>
                <w:t>https://ich.unesco.org</w:t>
              </w:r>
            </w:hyperlink>
            <w:r w:rsidRPr="00195EB3">
              <w:rPr>
                <w:rFonts w:ascii="Arial" w:hAnsi="Arial" w:cs="Arial"/>
                <w:sz w:val="22"/>
                <w:szCs w:val="22"/>
                <w:lang w:val="en-GB"/>
              </w:rPr>
              <w:t>), and is revised at appropriate intervals by the Secretariat.</w:t>
            </w:r>
          </w:p>
        </w:tc>
        <w:tc>
          <w:tcPr>
            <w:tcW w:w="277" w:type="pct"/>
          </w:tcPr>
          <w:p w14:paraId="4953A207" w14:textId="77777777"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169.</w:t>
            </w:r>
          </w:p>
        </w:tc>
        <w:tc>
          <w:tcPr>
            <w:tcW w:w="2179" w:type="pct"/>
            <w:shd w:val="clear" w:color="auto" w:fill="DBE5F1" w:themeFill="accent1" w:themeFillTint="33"/>
          </w:tcPr>
          <w:p w14:paraId="287BD24B" w14:textId="496F3023" w:rsidR="00866DC7" w:rsidRPr="00195EB3" w:rsidRDefault="00866DC7" w:rsidP="005F773B">
            <w:pPr>
              <w:keepLines/>
              <w:spacing w:before="60" w:after="60"/>
              <w:jc w:val="both"/>
              <w:rPr>
                <w:rFonts w:ascii="Arial" w:hAnsi="Arial" w:cs="Arial"/>
                <w:sz w:val="22"/>
                <w:szCs w:val="22"/>
                <w:lang w:val="en-GB"/>
              </w:rPr>
            </w:pPr>
            <w:r w:rsidRPr="00195EB3">
              <w:rPr>
                <w:rFonts w:ascii="Arial" w:hAnsi="Arial" w:cs="Arial"/>
                <w:sz w:val="22"/>
                <w:szCs w:val="22"/>
                <w:lang w:val="en-GB"/>
              </w:rPr>
              <w:t>Such reports shall be submitted to the Committee by States non</w:t>
            </w:r>
            <w:r w:rsidR="00AE6857" w:rsidRPr="00195EB3">
              <w:rPr>
                <w:rFonts w:ascii="Arial" w:hAnsi="Arial" w:cs="Arial"/>
                <w:sz w:val="22"/>
                <w:szCs w:val="22"/>
                <w:lang w:val="en-GB"/>
              </w:rPr>
              <w:t xml:space="preserve"> </w:t>
            </w:r>
            <w:r w:rsidRPr="00195EB3">
              <w:rPr>
                <w:rFonts w:ascii="Arial" w:hAnsi="Arial" w:cs="Arial"/>
                <w:sz w:val="22"/>
                <w:szCs w:val="22"/>
                <w:lang w:val="en-GB"/>
              </w:rPr>
              <w:t xml:space="preserve">party by </w:t>
            </w:r>
            <w:r w:rsidRPr="00195EB3">
              <w:rPr>
                <w:rFonts w:ascii="Arial" w:hAnsi="Arial" w:cs="Arial"/>
                <w:strike/>
                <w:sz w:val="22"/>
                <w:szCs w:val="22"/>
                <w:lang w:val="en-GB"/>
              </w:rPr>
              <w:t>15 December 2014, and every sixth year thereafter</w:t>
            </w:r>
            <w:r w:rsidRPr="00195EB3">
              <w:rPr>
                <w:rFonts w:ascii="Arial" w:hAnsi="Arial" w:cs="Arial"/>
                <w:sz w:val="22"/>
                <w:szCs w:val="22"/>
                <w:lang w:val="en-GB"/>
              </w:rPr>
              <w:t xml:space="preserve"> </w:t>
            </w:r>
            <w:r w:rsidRPr="00195EB3">
              <w:rPr>
                <w:rFonts w:ascii="Arial" w:hAnsi="Arial" w:cs="Arial"/>
                <w:b/>
                <w:bCs/>
                <w:sz w:val="22"/>
                <w:szCs w:val="22"/>
                <w:u w:val="single"/>
                <w:lang w:val="en-GB"/>
              </w:rPr>
              <w:t>3</w:t>
            </w:r>
            <w:r w:rsidRPr="00195EB3">
              <w:rPr>
                <w:rFonts w:ascii="Arial" w:hAnsi="Arial" w:cs="Arial"/>
                <w:b/>
                <w:bCs/>
                <w:color w:val="000000"/>
                <w:sz w:val="22"/>
                <w:szCs w:val="22"/>
                <w:u w:val="single"/>
                <w:lang w:val="en-GB"/>
              </w:rPr>
              <w:t>0 June every four years on the basis of a calendar established by the Committee</w:t>
            </w:r>
            <w:r w:rsidRPr="00195EB3">
              <w:rPr>
                <w:rFonts w:ascii="Arial" w:hAnsi="Arial" w:cs="Arial"/>
                <w:sz w:val="22"/>
                <w:szCs w:val="22"/>
                <w:lang w:val="en-GB"/>
              </w:rPr>
              <w:t>. Form ICH-10 is used for such reports; it may be completed online by each State concerned (</w:t>
            </w:r>
            <w:hyperlink r:id="rId38" w:history="1">
              <w:r w:rsidRPr="00195EB3">
                <w:rPr>
                  <w:rStyle w:val="Hyperlink"/>
                  <w:rFonts w:ascii="Arial" w:hAnsi="Arial" w:cs="Arial"/>
                  <w:b/>
                  <w:bCs/>
                  <w:sz w:val="22"/>
                  <w:szCs w:val="22"/>
                  <w:lang w:val="en-GB"/>
                </w:rPr>
                <w:t>https://ich.unesco.org</w:t>
              </w:r>
            </w:hyperlink>
            <w:r w:rsidRPr="00195EB3">
              <w:rPr>
                <w:rFonts w:ascii="Arial" w:hAnsi="Arial" w:cs="Arial"/>
                <w:sz w:val="22"/>
                <w:szCs w:val="22"/>
                <w:lang w:val="en-GB"/>
              </w:rPr>
              <w:t>), and is revised at appropriate intervals by the Secretariat.</w:t>
            </w:r>
          </w:p>
        </w:tc>
      </w:tr>
    </w:tbl>
    <w:p w14:paraId="056D515D" w14:textId="77777777" w:rsidR="005B1129" w:rsidRPr="00195EB3" w:rsidRDefault="005B1129" w:rsidP="00CB2EC7">
      <w:pPr>
        <w:spacing w:before="240" w:after="120"/>
        <w:rPr>
          <w:rFonts w:ascii="Arial" w:eastAsia="SimSun" w:hAnsi="Arial" w:cs="Arial"/>
          <w:b/>
          <w:bCs/>
          <w:sz w:val="22"/>
          <w:szCs w:val="22"/>
          <w:lang w:val="en-GB"/>
        </w:rPr>
      </w:pPr>
    </w:p>
    <w:sectPr w:rsidR="005B1129" w:rsidRPr="00195EB3" w:rsidSect="00F409F9">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AE69" w14:textId="77777777" w:rsidR="0011656D" w:rsidRDefault="0011656D" w:rsidP="00655736">
      <w:r>
        <w:separator/>
      </w:r>
    </w:p>
  </w:endnote>
  <w:endnote w:type="continuationSeparator" w:id="0">
    <w:p w14:paraId="6157E683" w14:textId="77777777" w:rsidR="0011656D" w:rsidRDefault="0011656D"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EE5CF" w14:textId="77777777" w:rsidR="0011656D" w:rsidRDefault="0011656D" w:rsidP="00655736">
      <w:r>
        <w:separator/>
      </w:r>
    </w:p>
  </w:footnote>
  <w:footnote w:type="continuationSeparator" w:id="0">
    <w:p w14:paraId="07BD69D8" w14:textId="77777777" w:rsidR="0011656D" w:rsidRDefault="0011656D" w:rsidP="00655736">
      <w:r>
        <w:continuationSeparator/>
      </w:r>
    </w:p>
  </w:footnote>
  <w:footnote w:id="1">
    <w:p w14:paraId="02894421" w14:textId="70C875AC" w:rsidR="00DC7D3C" w:rsidRPr="00263C49" w:rsidRDefault="00DC7D3C" w:rsidP="00195EB3">
      <w:pPr>
        <w:pStyle w:val="FootnoteText"/>
        <w:ind w:left="567" w:hanging="567"/>
        <w:jc w:val="both"/>
        <w:rPr>
          <w:rFonts w:ascii="Arial" w:hAnsi="Arial" w:cs="Arial"/>
          <w:sz w:val="18"/>
          <w:szCs w:val="18"/>
          <w:lang w:val="en-US"/>
        </w:rPr>
      </w:pPr>
      <w:bookmarkStart w:id="1" w:name="_Hlk124351068"/>
      <w:r w:rsidRPr="00263C49">
        <w:rPr>
          <w:rStyle w:val="FootnoteReference"/>
          <w:rFonts w:ascii="Arial" w:hAnsi="Arial" w:cs="Arial"/>
          <w:sz w:val="18"/>
          <w:szCs w:val="18"/>
        </w:rPr>
        <w:footnoteRef/>
      </w:r>
      <w:r w:rsidR="00195EB3">
        <w:rPr>
          <w:rFonts w:ascii="Arial" w:hAnsi="Arial" w:cs="Arial"/>
          <w:sz w:val="18"/>
          <w:szCs w:val="18"/>
          <w:lang w:val="en-US"/>
        </w:rPr>
        <w:t xml:space="preserve"> </w:t>
      </w:r>
      <w:r w:rsidR="00195EB3">
        <w:rPr>
          <w:rFonts w:ascii="Arial" w:hAnsi="Arial" w:cs="Arial"/>
          <w:sz w:val="18"/>
          <w:szCs w:val="18"/>
          <w:lang w:val="en-US"/>
        </w:rPr>
        <w:tab/>
      </w:r>
      <w:r>
        <w:rPr>
          <w:rFonts w:ascii="Arial" w:hAnsi="Arial" w:cs="Arial"/>
          <w:sz w:val="18"/>
          <w:szCs w:val="18"/>
          <w:lang w:val="en-US"/>
        </w:rPr>
        <w:t xml:space="preserve">Latin America and the Caribbean (2021 cycle): 87.5%, Europe (2022 cycle): 100%, Arab States (2023 cycle): 100%, Africa (2024 cycle): 100% and Asia and the Pacific (2025 cycle): 90.4% - see </w:t>
      </w:r>
      <w:r w:rsidR="00370890">
        <w:rPr>
          <w:rFonts w:ascii="Arial" w:hAnsi="Arial" w:cs="Arial"/>
          <w:sz w:val="18"/>
          <w:szCs w:val="18"/>
          <w:lang w:val="en-US"/>
        </w:rPr>
        <w:t>d</w:t>
      </w:r>
      <w:r>
        <w:rPr>
          <w:rFonts w:ascii="Arial" w:hAnsi="Arial" w:cs="Arial"/>
          <w:sz w:val="18"/>
          <w:szCs w:val="18"/>
          <w:lang w:val="en-US"/>
        </w:rPr>
        <w:t xml:space="preserve">ocument </w:t>
      </w:r>
      <w:hyperlink r:id="rId1" w:history="1">
        <w:r w:rsidRPr="003A50D3">
          <w:rPr>
            <w:rStyle w:val="Hyperlink"/>
            <w:rFonts w:ascii="Arial" w:hAnsi="Arial" w:cs="Arial"/>
            <w:sz w:val="18"/>
            <w:szCs w:val="18"/>
            <w:lang w:val="en-US"/>
          </w:rPr>
          <w:t>LHE/25/20.COM/6.c</w:t>
        </w:r>
      </w:hyperlink>
      <w:r>
        <w:rPr>
          <w:rFonts w:ascii="Arial" w:hAnsi="Arial" w:cs="Arial"/>
          <w:sz w:val="18"/>
          <w:szCs w:val="18"/>
          <w:lang w:val="en-US"/>
        </w:rPr>
        <w:t>.</w:t>
      </w:r>
      <w:r w:rsidRPr="00263C49">
        <w:rPr>
          <w:rFonts w:ascii="Arial" w:hAnsi="Arial" w:cs="Arial"/>
          <w:sz w:val="18"/>
          <w:szCs w:val="18"/>
          <w:lang w:val="en-US"/>
        </w:rPr>
        <w:t xml:space="preserve"> </w:t>
      </w:r>
    </w:p>
    <w:bookmarkEnd w:id="1"/>
  </w:footnote>
  <w:footnote w:id="2">
    <w:p w14:paraId="778B18CA" w14:textId="11FD279B" w:rsidR="00C92AB8" w:rsidRPr="00011933" w:rsidRDefault="00C92AB8" w:rsidP="00195EB3">
      <w:pPr>
        <w:pStyle w:val="FootnoteText"/>
        <w:ind w:left="567" w:hanging="567"/>
        <w:jc w:val="both"/>
        <w:rPr>
          <w:rFonts w:ascii="Arial" w:hAnsi="Arial" w:cs="Arial"/>
          <w:sz w:val="18"/>
          <w:szCs w:val="18"/>
          <w:lang w:val="en-US"/>
        </w:rPr>
      </w:pPr>
      <w:r w:rsidRPr="00011933">
        <w:rPr>
          <w:rStyle w:val="FootnoteReference"/>
          <w:rFonts w:ascii="Arial" w:hAnsi="Arial" w:cs="Arial"/>
          <w:sz w:val="18"/>
          <w:szCs w:val="18"/>
        </w:rPr>
        <w:footnoteRef/>
      </w:r>
      <w:r w:rsidRPr="00011933">
        <w:rPr>
          <w:rFonts w:ascii="Arial" w:hAnsi="Arial" w:cs="Arial"/>
          <w:sz w:val="18"/>
          <w:szCs w:val="18"/>
          <w:lang w:val="en-US"/>
        </w:rPr>
        <w:t xml:space="preserve"> </w:t>
      </w:r>
      <w:r w:rsidR="00195EB3">
        <w:rPr>
          <w:rFonts w:ascii="Arial" w:hAnsi="Arial" w:cs="Arial"/>
          <w:sz w:val="18"/>
          <w:szCs w:val="18"/>
          <w:lang w:val="en-US"/>
        </w:rPr>
        <w:tab/>
      </w:r>
      <w:r w:rsidRPr="00011933">
        <w:rPr>
          <w:rFonts w:ascii="Arial" w:hAnsi="Arial" w:cs="Arial"/>
          <w:sz w:val="18"/>
          <w:szCs w:val="18"/>
          <w:lang w:val="en-US"/>
        </w:rPr>
        <w:t>At present, this concerns only one State, the Russian Federation, which so far has been reporting on a six-year cycle based on the year of incorporation of its two Masterpieces into the Representative List (2008)</w:t>
      </w:r>
      <w:r>
        <w:rPr>
          <w:rFonts w:ascii="Arial" w:hAnsi="Arial" w:cs="Arial"/>
          <w:sz w:val="18"/>
          <w:szCs w:val="18"/>
          <w:lang w:val="en-US"/>
        </w:rPr>
        <w:t xml:space="preserve">. </w:t>
      </w:r>
      <w:r w:rsidRPr="00946BAF">
        <w:rPr>
          <w:rFonts w:ascii="Arial" w:hAnsi="Arial" w:cs="Arial"/>
          <w:sz w:val="18"/>
          <w:szCs w:val="18"/>
          <w:lang w:val="en-US"/>
        </w:rPr>
        <w:t xml:space="preserve">Therefore, the two reports expected by 15 December 2026 </w:t>
      </w:r>
      <w:r w:rsidR="00986AFE">
        <w:rPr>
          <w:rFonts w:ascii="Arial" w:hAnsi="Arial" w:cs="Arial"/>
          <w:sz w:val="18"/>
          <w:szCs w:val="18"/>
          <w:lang w:val="en-US"/>
        </w:rPr>
        <w:t>are to be</w:t>
      </w:r>
      <w:r w:rsidRPr="00946BAF">
        <w:rPr>
          <w:rFonts w:ascii="Arial" w:hAnsi="Arial" w:cs="Arial"/>
          <w:sz w:val="18"/>
          <w:szCs w:val="18"/>
          <w:lang w:val="en-US"/>
        </w:rPr>
        <w:t xml:space="preserve"> submitted by 30 June 2027</w:t>
      </w:r>
      <w:r w:rsidR="00986AFE">
        <w:rPr>
          <w:rFonts w:ascii="Arial" w:hAnsi="Arial" w:cs="Arial"/>
          <w:sz w:val="18"/>
          <w:szCs w:val="18"/>
          <w:lang w:val="en-US"/>
        </w:rPr>
        <w:t>,</w:t>
      </w:r>
      <w:r w:rsidRPr="00946BAF">
        <w:rPr>
          <w:rFonts w:ascii="Arial" w:hAnsi="Arial" w:cs="Arial"/>
          <w:sz w:val="18"/>
          <w:szCs w:val="18"/>
          <w:lang w:val="en-US"/>
        </w:rPr>
        <w:t xml:space="preserve"> instead</w:t>
      </w:r>
      <w:r>
        <w:rPr>
          <w:rFonts w:ascii="Arial" w:hAnsi="Arial" w:cs="Arial"/>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5BCFC150"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6085B">
      <w:rPr>
        <w:rFonts w:ascii="Arial" w:hAnsi="Arial" w:cs="Arial"/>
        <w:sz w:val="20"/>
        <w:szCs w:val="20"/>
        <w:lang w:val="en-GB"/>
      </w:rPr>
      <w:t>6</w:t>
    </w:r>
    <w:r w:rsidR="00CB0542">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D95C4C" w:rsidRPr="00C23A97">
      <w:rPr>
        <w:rFonts w:ascii="Arial" w:hAnsi="Arial" w:cs="Arial"/>
        <w:sz w:val="20"/>
        <w:szCs w:val="20"/>
        <w:lang w:val="en-GB"/>
      </w:rPr>
      <w:t>/</w:t>
    </w:r>
    <w:r w:rsidR="007C1C86">
      <w:rPr>
        <w:rFonts w:ascii="Arial" w:hAnsi="Arial" w:cs="Arial"/>
        <w:sz w:val="20"/>
        <w:szCs w:val="20"/>
        <w:lang w:val="en-GB"/>
      </w:rPr>
      <w:t>7</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1B5DC208"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6085B">
      <w:rPr>
        <w:rFonts w:ascii="Arial" w:hAnsi="Arial" w:cs="Arial"/>
        <w:sz w:val="20"/>
        <w:szCs w:val="20"/>
        <w:lang w:val="en-GB"/>
      </w:rPr>
      <w:t>6</w:t>
    </w:r>
    <w:r w:rsidR="0053318C">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4A34A0" w:rsidRPr="0063300C">
      <w:rPr>
        <w:rFonts w:ascii="Arial" w:hAnsi="Arial" w:cs="Arial"/>
        <w:sz w:val="20"/>
        <w:szCs w:val="20"/>
        <w:lang w:val="en-GB"/>
      </w:rPr>
      <w:t>/</w:t>
    </w:r>
    <w:r w:rsidR="007C1C86">
      <w:rPr>
        <w:rFonts w:ascii="Arial" w:hAnsi="Arial" w:cs="Arial"/>
        <w:sz w:val="20"/>
        <w:szCs w:val="20"/>
        <w:lang w:val="en-GB"/>
      </w:rPr>
      <w:t>7</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1" locked="0" layoutInCell="1" allowOverlap="1" wp14:anchorId="7E484C05" wp14:editId="66A6B4AD">
          <wp:simplePos x="0" y="0"/>
          <wp:positionH relativeFrom="margin">
            <wp:align>left</wp:align>
          </wp:positionH>
          <wp:positionV relativeFrom="paragraph">
            <wp:posOffset>97155</wp:posOffset>
          </wp:positionV>
          <wp:extent cx="1711325" cy="1296035"/>
          <wp:effectExtent l="0" t="0" r="3175" b="0"/>
          <wp:wrapTight wrapText="bothSides">
            <wp:wrapPolygon edited="0">
              <wp:start x="0" y="0"/>
              <wp:lineTo x="0" y="21272"/>
              <wp:lineTo x="3366" y="21272"/>
              <wp:lineTo x="21400" y="21272"/>
              <wp:lineTo x="21400" y="0"/>
              <wp:lineTo x="0" y="0"/>
            </wp:wrapPolygon>
          </wp:wrapTight>
          <wp:docPr id="575323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3DF77E6D" w:rsidR="00D95C4C" w:rsidRPr="00D7105A" w:rsidRDefault="005C792B" w:rsidP="00C5776D">
    <w:pPr>
      <w:pStyle w:val="Header"/>
      <w:spacing w:after="520"/>
      <w:jc w:val="right"/>
      <w:rPr>
        <w:rFonts w:ascii="Arial" w:hAnsi="Arial" w:cs="Arial"/>
        <w:b/>
        <w:sz w:val="44"/>
        <w:szCs w:val="44"/>
        <w:lang w:val="pt-PT"/>
      </w:rPr>
    </w:pPr>
    <w:r>
      <w:rPr>
        <w:rFonts w:ascii="Arial" w:hAnsi="Arial" w:cs="Arial"/>
        <w:b/>
        <w:sz w:val="44"/>
        <w:szCs w:val="44"/>
        <w:lang w:val="pt-PT"/>
      </w:rPr>
      <w:t>1</w:t>
    </w:r>
    <w:r w:rsidR="0026085B">
      <w:rPr>
        <w:rFonts w:ascii="Arial" w:hAnsi="Arial" w:cs="Arial"/>
        <w:b/>
        <w:sz w:val="44"/>
        <w:szCs w:val="44"/>
        <w:lang w:val="pt-PT"/>
      </w:rPr>
      <w:t>1</w:t>
    </w:r>
    <w:r w:rsidR="00EC6F8D" w:rsidRPr="00D7105A">
      <w:rPr>
        <w:rFonts w:ascii="Arial" w:hAnsi="Arial" w:cs="Arial"/>
        <w:b/>
        <w:sz w:val="44"/>
        <w:szCs w:val="44"/>
        <w:lang w:val="pt-PT"/>
      </w:rPr>
      <w:t xml:space="preserve"> </w:t>
    </w:r>
    <w:r>
      <w:rPr>
        <w:rFonts w:ascii="Arial" w:hAnsi="Arial" w:cs="Arial"/>
        <w:b/>
        <w:sz w:val="44"/>
        <w:szCs w:val="44"/>
        <w:lang w:val="pt-PT"/>
      </w:rPr>
      <w:t>GA</w:t>
    </w:r>
  </w:p>
  <w:p w14:paraId="306484B8" w14:textId="1F1B681D"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6085B">
      <w:rPr>
        <w:rFonts w:ascii="Arial" w:hAnsi="Arial" w:cs="Arial"/>
        <w:b/>
        <w:sz w:val="22"/>
        <w:szCs w:val="22"/>
        <w:lang w:val="pt-PT"/>
      </w:rPr>
      <w:t>6</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6085B">
      <w:rPr>
        <w:rFonts w:ascii="Arial" w:hAnsi="Arial" w:cs="Arial"/>
        <w:b/>
        <w:sz w:val="22"/>
        <w:szCs w:val="22"/>
        <w:lang w:val="pt-PT"/>
      </w:rPr>
      <w:t>1</w:t>
    </w:r>
    <w:r w:rsidR="00D95C4C" w:rsidRPr="00D7105A">
      <w:rPr>
        <w:rFonts w:ascii="Arial" w:hAnsi="Arial" w:cs="Arial"/>
        <w:b/>
        <w:sz w:val="22"/>
        <w:szCs w:val="22"/>
        <w:lang w:val="pt-PT"/>
      </w:rPr>
      <w:t>.</w:t>
    </w:r>
    <w:r w:rsidR="005C792B">
      <w:rPr>
        <w:rFonts w:ascii="Arial" w:hAnsi="Arial" w:cs="Arial"/>
        <w:b/>
        <w:sz w:val="22"/>
        <w:szCs w:val="22"/>
        <w:lang w:val="pt-PT"/>
      </w:rPr>
      <w:t>GA</w:t>
    </w:r>
    <w:r w:rsidR="00D95C4C" w:rsidRPr="00D7105A">
      <w:rPr>
        <w:rFonts w:ascii="Arial" w:hAnsi="Arial" w:cs="Arial"/>
        <w:b/>
        <w:sz w:val="22"/>
        <w:szCs w:val="22"/>
        <w:lang w:val="pt-PT"/>
      </w:rPr>
      <w:t>/</w:t>
    </w:r>
    <w:r w:rsidR="00622FA4">
      <w:rPr>
        <w:rFonts w:ascii="Arial" w:hAnsi="Arial" w:cs="Arial"/>
        <w:b/>
        <w:sz w:val="22"/>
        <w:szCs w:val="22"/>
        <w:lang w:val="pt-PT"/>
      </w:rPr>
      <w:t>7</w:t>
    </w:r>
  </w:p>
  <w:p w14:paraId="1B4446C3" w14:textId="2B05BC31" w:rsidR="00D95C4C" w:rsidRPr="00D7105A" w:rsidRDefault="00D95C4C" w:rsidP="00655736">
    <w:pPr>
      <w:jc w:val="right"/>
      <w:rPr>
        <w:rFonts w:ascii="Arial" w:eastAsiaTheme="minorEastAsia" w:hAnsi="Arial" w:cs="Arial"/>
        <w:b/>
        <w:sz w:val="22"/>
        <w:szCs w:val="22"/>
        <w:lang w:val="pt-PT" w:eastAsia="ko-KR"/>
      </w:rPr>
    </w:pPr>
    <w:r w:rsidRPr="00622FA4">
      <w:rPr>
        <w:rFonts w:ascii="Arial" w:hAnsi="Arial" w:cs="Arial"/>
        <w:b/>
        <w:sz w:val="22"/>
        <w:szCs w:val="22"/>
        <w:lang w:val="pt-PT"/>
      </w:rPr>
      <w:t xml:space="preserve">Paris, </w:t>
    </w:r>
    <w:r w:rsidR="00622FA4" w:rsidRPr="00622FA4">
      <w:rPr>
        <w:rFonts w:ascii="Arial" w:hAnsi="Arial" w:cs="Arial"/>
        <w:b/>
        <w:sz w:val="22"/>
        <w:szCs w:val="22"/>
        <w:lang w:val="pt-PT"/>
      </w:rPr>
      <w:t>18 May</w:t>
    </w:r>
    <w:r w:rsidRPr="00622FA4">
      <w:rPr>
        <w:rFonts w:ascii="Arial" w:hAnsi="Arial" w:cs="Arial"/>
        <w:b/>
        <w:sz w:val="22"/>
        <w:szCs w:val="22"/>
        <w:lang w:val="pt-PT"/>
      </w:rPr>
      <w:t xml:space="preserve"> </w:t>
    </w:r>
    <w:r w:rsidR="00337CEB" w:rsidRPr="00622FA4">
      <w:rPr>
        <w:rFonts w:ascii="Arial" w:hAnsi="Arial" w:cs="Arial"/>
        <w:b/>
        <w:sz w:val="22"/>
        <w:szCs w:val="22"/>
        <w:lang w:val="pt-PT"/>
      </w:rPr>
      <w:t>20</w:t>
    </w:r>
    <w:r w:rsidR="00D7105A" w:rsidRPr="00622FA4">
      <w:rPr>
        <w:rFonts w:ascii="Arial" w:hAnsi="Arial" w:cs="Arial"/>
        <w:b/>
        <w:sz w:val="22"/>
        <w:szCs w:val="22"/>
        <w:lang w:val="pt-PT"/>
      </w:rPr>
      <w:t>2</w:t>
    </w:r>
    <w:r w:rsidR="0026085B" w:rsidRPr="00622FA4">
      <w:rPr>
        <w:rFonts w:ascii="Arial" w:hAnsi="Arial" w:cs="Arial"/>
        <w:b/>
        <w:sz w:val="22"/>
        <w:szCs w:val="22"/>
        <w:lang w:val="pt-PT"/>
      </w:rPr>
      <w:t>6</w:t>
    </w:r>
  </w:p>
  <w:p w14:paraId="255B57FF" w14:textId="7A9F60F1"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622FA4">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481"/>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 w15:restartNumberingAfterBreak="0">
    <w:nsid w:val="08351306"/>
    <w:multiLevelType w:val="hybridMultilevel"/>
    <w:tmpl w:val="21E6CB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C166C6B"/>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1C047D"/>
    <w:multiLevelType w:val="hybridMultilevel"/>
    <w:tmpl w:val="B34C039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28013DF"/>
    <w:multiLevelType w:val="hybridMultilevel"/>
    <w:tmpl w:val="24927B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5F07BFE"/>
    <w:multiLevelType w:val="hybridMultilevel"/>
    <w:tmpl w:val="59CC8118"/>
    <w:lvl w:ilvl="0" w:tplc="D55CD000">
      <w:start w:val="1"/>
      <w:numFmt w:val="decimal"/>
      <w:pStyle w:val="COMPara"/>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95B111E"/>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2C379B"/>
    <w:multiLevelType w:val="hybridMultilevel"/>
    <w:tmpl w:val="E7426B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BB43821"/>
    <w:multiLevelType w:val="hybridMultilevel"/>
    <w:tmpl w:val="35CE7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14154"/>
    <w:multiLevelType w:val="hybridMultilevel"/>
    <w:tmpl w:val="DEBC8C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1422FCB"/>
    <w:multiLevelType w:val="hybridMultilevel"/>
    <w:tmpl w:val="7B3E8C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2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1" w15:restartNumberingAfterBreak="0">
    <w:nsid w:val="47C22FB2"/>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2" w15:restartNumberingAfterBreak="0">
    <w:nsid w:val="4A5854D7"/>
    <w:multiLevelType w:val="hybridMultilevel"/>
    <w:tmpl w:val="7B3E8CD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CD5C83"/>
    <w:multiLevelType w:val="hybridMultilevel"/>
    <w:tmpl w:val="E7A649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C13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431ADA"/>
    <w:multiLevelType w:val="hybridMultilevel"/>
    <w:tmpl w:val="601A2D6C"/>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7" w15:restartNumberingAfterBreak="0">
    <w:nsid w:val="65844D09"/>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1F87C04"/>
    <w:multiLevelType w:val="hybridMultilevel"/>
    <w:tmpl w:val="EDBE55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0" w15:restartNumberingAfterBreak="0">
    <w:nsid w:val="72655861"/>
    <w:multiLevelType w:val="hybridMultilevel"/>
    <w:tmpl w:val="A236807A"/>
    <w:lvl w:ilvl="0" w:tplc="5B146A64">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3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3" w15:restartNumberingAfterBreak="0">
    <w:nsid w:val="7E26587C"/>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num w:numId="1" w16cid:durableId="822628298">
    <w:abstractNumId w:val="26"/>
  </w:num>
  <w:num w:numId="2" w16cid:durableId="699629408">
    <w:abstractNumId w:val="11"/>
  </w:num>
  <w:num w:numId="3" w16cid:durableId="164177712">
    <w:abstractNumId w:val="5"/>
  </w:num>
  <w:num w:numId="4" w16cid:durableId="1416590798">
    <w:abstractNumId w:val="31"/>
  </w:num>
  <w:num w:numId="5" w16cid:durableId="1762608160">
    <w:abstractNumId w:val="28"/>
  </w:num>
  <w:num w:numId="6" w16cid:durableId="2146270374">
    <w:abstractNumId w:val="3"/>
  </w:num>
  <w:num w:numId="7" w16cid:durableId="1113592211">
    <w:abstractNumId w:val="6"/>
  </w:num>
  <w:num w:numId="8" w16cid:durableId="1920598164">
    <w:abstractNumId w:val="20"/>
  </w:num>
  <w:num w:numId="9" w16cid:durableId="1533764642">
    <w:abstractNumId w:val="10"/>
  </w:num>
  <w:num w:numId="10" w16cid:durableId="1246129">
    <w:abstractNumId w:val="13"/>
  </w:num>
  <w:num w:numId="11" w16cid:durableId="111829808">
    <w:abstractNumId w:val="19"/>
  </w:num>
  <w:num w:numId="12" w16cid:durableId="1088770206">
    <w:abstractNumId w:val="14"/>
  </w:num>
  <w:num w:numId="13" w16cid:durableId="1263951029">
    <w:abstractNumId w:val="32"/>
  </w:num>
  <w:num w:numId="14" w16cid:durableId="395903570">
    <w:abstractNumId w:val="8"/>
  </w:num>
  <w:num w:numId="15" w16cid:durableId="1857570918">
    <w:abstractNumId w:val="10"/>
  </w:num>
  <w:num w:numId="16" w16cid:durableId="248199808">
    <w:abstractNumId w:val="10"/>
  </w:num>
  <w:num w:numId="17" w16cid:durableId="350380342">
    <w:abstractNumId w:val="10"/>
  </w:num>
  <w:num w:numId="18" w16cid:durableId="944581980">
    <w:abstractNumId w:val="10"/>
  </w:num>
  <w:num w:numId="19" w16cid:durableId="772675100">
    <w:abstractNumId w:val="10"/>
  </w:num>
  <w:num w:numId="20" w16cid:durableId="1253010311">
    <w:abstractNumId w:val="10"/>
  </w:num>
  <w:num w:numId="21" w16cid:durableId="540821319">
    <w:abstractNumId w:val="4"/>
  </w:num>
  <w:num w:numId="22" w16cid:durableId="2046514942">
    <w:abstractNumId w:val="10"/>
  </w:num>
  <w:num w:numId="23" w16cid:durableId="788285082">
    <w:abstractNumId w:val="18"/>
  </w:num>
  <w:num w:numId="24" w16cid:durableId="1916472009">
    <w:abstractNumId w:val="27"/>
  </w:num>
  <w:num w:numId="25" w16cid:durableId="864561576">
    <w:abstractNumId w:val="33"/>
  </w:num>
  <w:num w:numId="26" w16cid:durableId="1838305019">
    <w:abstractNumId w:val="21"/>
  </w:num>
  <w:num w:numId="27" w16cid:durableId="1971208763">
    <w:abstractNumId w:val="30"/>
  </w:num>
  <w:num w:numId="28" w16cid:durableId="167334897">
    <w:abstractNumId w:val="0"/>
  </w:num>
  <w:num w:numId="29" w16cid:durableId="604074785">
    <w:abstractNumId w:val="12"/>
  </w:num>
  <w:num w:numId="30" w16cid:durableId="1422723053">
    <w:abstractNumId w:val="24"/>
  </w:num>
  <w:num w:numId="31" w16cid:durableId="1916621543">
    <w:abstractNumId w:val="2"/>
  </w:num>
  <w:num w:numId="32" w16cid:durableId="129442094">
    <w:abstractNumId w:val="22"/>
  </w:num>
  <w:num w:numId="33" w16cid:durableId="1257641221">
    <w:abstractNumId w:val="1"/>
  </w:num>
  <w:num w:numId="34" w16cid:durableId="209417718">
    <w:abstractNumId w:val="17"/>
  </w:num>
  <w:num w:numId="35" w16cid:durableId="28923453">
    <w:abstractNumId w:val="9"/>
  </w:num>
  <w:num w:numId="36" w16cid:durableId="1977297749">
    <w:abstractNumId w:val="10"/>
  </w:num>
  <w:num w:numId="37" w16cid:durableId="1934437580">
    <w:abstractNumId w:val="10"/>
  </w:num>
  <w:num w:numId="38" w16cid:durableId="1497570329">
    <w:abstractNumId w:val="29"/>
  </w:num>
  <w:num w:numId="39" w16cid:durableId="1285113166">
    <w:abstractNumId w:val="7"/>
  </w:num>
  <w:num w:numId="40" w16cid:durableId="154221411">
    <w:abstractNumId w:val="10"/>
  </w:num>
  <w:num w:numId="41" w16cid:durableId="942107534">
    <w:abstractNumId w:val="23"/>
  </w:num>
  <w:num w:numId="42" w16cid:durableId="1949577460">
    <w:abstractNumId w:val="10"/>
  </w:num>
  <w:num w:numId="43" w16cid:durableId="440809013">
    <w:abstractNumId w:val="15"/>
  </w:num>
  <w:num w:numId="44" w16cid:durableId="1720786319">
    <w:abstractNumId w:val="25"/>
  </w:num>
  <w:num w:numId="45" w16cid:durableId="1256205909">
    <w:abstractNumId w:val="16"/>
  </w:num>
  <w:num w:numId="46" w16cid:durableId="767238335">
    <w:abstractNumId w:val="10"/>
  </w:num>
  <w:num w:numId="47" w16cid:durableId="570508171">
    <w:abstractNumId w:val="10"/>
  </w:num>
  <w:num w:numId="48" w16cid:durableId="81612051">
    <w:abstractNumId w:val="10"/>
  </w:num>
  <w:num w:numId="49" w16cid:durableId="823737887">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14FD"/>
    <w:rsid w:val="00011933"/>
    <w:rsid w:val="00014915"/>
    <w:rsid w:val="000237EF"/>
    <w:rsid w:val="00027464"/>
    <w:rsid w:val="00033259"/>
    <w:rsid w:val="00035E19"/>
    <w:rsid w:val="00037148"/>
    <w:rsid w:val="00041A66"/>
    <w:rsid w:val="00042D88"/>
    <w:rsid w:val="0004448A"/>
    <w:rsid w:val="0004715D"/>
    <w:rsid w:val="0005039A"/>
    <w:rsid w:val="0005176E"/>
    <w:rsid w:val="00051D25"/>
    <w:rsid w:val="00056628"/>
    <w:rsid w:val="0006281D"/>
    <w:rsid w:val="00064F0B"/>
    <w:rsid w:val="000765F7"/>
    <w:rsid w:val="0007725F"/>
    <w:rsid w:val="000778CD"/>
    <w:rsid w:val="00077AB7"/>
    <w:rsid w:val="00081CD8"/>
    <w:rsid w:val="00090551"/>
    <w:rsid w:val="000925FD"/>
    <w:rsid w:val="000A3AB3"/>
    <w:rsid w:val="000A7117"/>
    <w:rsid w:val="000A7F0E"/>
    <w:rsid w:val="000B1C8F"/>
    <w:rsid w:val="000B47CF"/>
    <w:rsid w:val="000B5B8D"/>
    <w:rsid w:val="000C0D61"/>
    <w:rsid w:val="000C4A04"/>
    <w:rsid w:val="000E3A54"/>
    <w:rsid w:val="000E5F46"/>
    <w:rsid w:val="000F1B71"/>
    <w:rsid w:val="000F3A3F"/>
    <w:rsid w:val="001021F2"/>
    <w:rsid w:val="00102557"/>
    <w:rsid w:val="0011656D"/>
    <w:rsid w:val="00120A07"/>
    <w:rsid w:val="00123D82"/>
    <w:rsid w:val="00126F31"/>
    <w:rsid w:val="00147A38"/>
    <w:rsid w:val="00151B11"/>
    <w:rsid w:val="0015767D"/>
    <w:rsid w:val="001607BF"/>
    <w:rsid w:val="00163C55"/>
    <w:rsid w:val="00164D56"/>
    <w:rsid w:val="00167B10"/>
    <w:rsid w:val="0017402F"/>
    <w:rsid w:val="001767A8"/>
    <w:rsid w:val="00180959"/>
    <w:rsid w:val="00182D0D"/>
    <w:rsid w:val="001835D0"/>
    <w:rsid w:val="00184297"/>
    <w:rsid w:val="00190205"/>
    <w:rsid w:val="00192C2B"/>
    <w:rsid w:val="001948F2"/>
    <w:rsid w:val="0019526D"/>
    <w:rsid w:val="00195EB3"/>
    <w:rsid w:val="00196957"/>
    <w:rsid w:val="00196C1B"/>
    <w:rsid w:val="0019782B"/>
    <w:rsid w:val="001A46F8"/>
    <w:rsid w:val="001B0403"/>
    <w:rsid w:val="001B0F73"/>
    <w:rsid w:val="001C2DB7"/>
    <w:rsid w:val="001C586F"/>
    <w:rsid w:val="001D07F1"/>
    <w:rsid w:val="001D14FE"/>
    <w:rsid w:val="001D5C04"/>
    <w:rsid w:val="001D5CB0"/>
    <w:rsid w:val="001E2AA0"/>
    <w:rsid w:val="001E7D4C"/>
    <w:rsid w:val="001F26CF"/>
    <w:rsid w:val="00200FFE"/>
    <w:rsid w:val="00211C2C"/>
    <w:rsid w:val="0022052F"/>
    <w:rsid w:val="00222A2D"/>
    <w:rsid w:val="00223029"/>
    <w:rsid w:val="00227074"/>
    <w:rsid w:val="00234745"/>
    <w:rsid w:val="002351A6"/>
    <w:rsid w:val="00235203"/>
    <w:rsid w:val="002407AF"/>
    <w:rsid w:val="00245501"/>
    <w:rsid w:val="00250EE1"/>
    <w:rsid w:val="00252FB5"/>
    <w:rsid w:val="00253F23"/>
    <w:rsid w:val="00254B26"/>
    <w:rsid w:val="0026085B"/>
    <w:rsid w:val="0026221A"/>
    <w:rsid w:val="0026340B"/>
    <w:rsid w:val="00263AAE"/>
    <w:rsid w:val="00263C49"/>
    <w:rsid w:val="00271ED9"/>
    <w:rsid w:val="0027466B"/>
    <w:rsid w:val="002814F6"/>
    <w:rsid w:val="002838A5"/>
    <w:rsid w:val="00285BB4"/>
    <w:rsid w:val="00291723"/>
    <w:rsid w:val="00296438"/>
    <w:rsid w:val="002A1169"/>
    <w:rsid w:val="002A7A0F"/>
    <w:rsid w:val="002B4422"/>
    <w:rsid w:val="002B5308"/>
    <w:rsid w:val="002C030B"/>
    <w:rsid w:val="002C09E3"/>
    <w:rsid w:val="002C6A2C"/>
    <w:rsid w:val="002D1244"/>
    <w:rsid w:val="002D4793"/>
    <w:rsid w:val="002E3493"/>
    <w:rsid w:val="002E6442"/>
    <w:rsid w:val="002F6998"/>
    <w:rsid w:val="00303888"/>
    <w:rsid w:val="00324115"/>
    <w:rsid w:val="0032618F"/>
    <w:rsid w:val="00337CEB"/>
    <w:rsid w:val="00344473"/>
    <w:rsid w:val="00344844"/>
    <w:rsid w:val="00344B58"/>
    <w:rsid w:val="0034539A"/>
    <w:rsid w:val="00345CB4"/>
    <w:rsid w:val="00353A2A"/>
    <w:rsid w:val="00370890"/>
    <w:rsid w:val="0037171B"/>
    <w:rsid w:val="00371F4E"/>
    <w:rsid w:val="00372A64"/>
    <w:rsid w:val="00375D42"/>
    <w:rsid w:val="00376B34"/>
    <w:rsid w:val="00382504"/>
    <w:rsid w:val="0038490E"/>
    <w:rsid w:val="003927AA"/>
    <w:rsid w:val="003A50D3"/>
    <w:rsid w:val="003B0A16"/>
    <w:rsid w:val="003B198F"/>
    <w:rsid w:val="003C1D59"/>
    <w:rsid w:val="003D069C"/>
    <w:rsid w:val="003D1145"/>
    <w:rsid w:val="003D7646"/>
    <w:rsid w:val="003D77C5"/>
    <w:rsid w:val="003F113A"/>
    <w:rsid w:val="003F3600"/>
    <w:rsid w:val="003F3E63"/>
    <w:rsid w:val="003F50BC"/>
    <w:rsid w:val="00403A70"/>
    <w:rsid w:val="00407480"/>
    <w:rsid w:val="00414643"/>
    <w:rsid w:val="004176DE"/>
    <w:rsid w:val="00420CDD"/>
    <w:rsid w:val="00421077"/>
    <w:rsid w:val="00424B0B"/>
    <w:rsid w:val="004313C4"/>
    <w:rsid w:val="00431D77"/>
    <w:rsid w:val="0043659C"/>
    <w:rsid w:val="004421E5"/>
    <w:rsid w:val="00452284"/>
    <w:rsid w:val="00453D7E"/>
    <w:rsid w:val="00455810"/>
    <w:rsid w:val="00457C8E"/>
    <w:rsid w:val="00464F1E"/>
    <w:rsid w:val="0047198C"/>
    <w:rsid w:val="00475817"/>
    <w:rsid w:val="00480175"/>
    <w:rsid w:val="004856CA"/>
    <w:rsid w:val="00487E67"/>
    <w:rsid w:val="004906B7"/>
    <w:rsid w:val="004925D2"/>
    <w:rsid w:val="00494FAC"/>
    <w:rsid w:val="0049705E"/>
    <w:rsid w:val="004A2875"/>
    <w:rsid w:val="004A34A0"/>
    <w:rsid w:val="004A67C0"/>
    <w:rsid w:val="004B18C7"/>
    <w:rsid w:val="004B700B"/>
    <w:rsid w:val="004B7B8B"/>
    <w:rsid w:val="004C7C82"/>
    <w:rsid w:val="004E06C1"/>
    <w:rsid w:val="004E66F2"/>
    <w:rsid w:val="004E6E46"/>
    <w:rsid w:val="004F5CB4"/>
    <w:rsid w:val="005008A8"/>
    <w:rsid w:val="00504B9E"/>
    <w:rsid w:val="00515050"/>
    <w:rsid w:val="00517FD8"/>
    <w:rsid w:val="005242C0"/>
    <w:rsid w:val="00526B7B"/>
    <w:rsid w:val="005274D2"/>
    <w:rsid w:val="00527BEE"/>
    <w:rsid w:val="005308CE"/>
    <w:rsid w:val="0053318C"/>
    <w:rsid w:val="00541F2A"/>
    <w:rsid w:val="00544C93"/>
    <w:rsid w:val="0054535F"/>
    <w:rsid w:val="00554E57"/>
    <w:rsid w:val="00555102"/>
    <w:rsid w:val="00561114"/>
    <w:rsid w:val="005637B2"/>
    <w:rsid w:val="0057205D"/>
    <w:rsid w:val="00573D28"/>
    <w:rsid w:val="0057439C"/>
    <w:rsid w:val="00582895"/>
    <w:rsid w:val="00585426"/>
    <w:rsid w:val="00590976"/>
    <w:rsid w:val="00593832"/>
    <w:rsid w:val="005960FA"/>
    <w:rsid w:val="005B0127"/>
    <w:rsid w:val="005B1129"/>
    <w:rsid w:val="005B3355"/>
    <w:rsid w:val="005B7A35"/>
    <w:rsid w:val="005C4B73"/>
    <w:rsid w:val="005C5990"/>
    <w:rsid w:val="005C792B"/>
    <w:rsid w:val="005D28DA"/>
    <w:rsid w:val="005D39F8"/>
    <w:rsid w:val="005D7F98"/>
    <w:rsid w:val="005E1D2B"/>
    <w:rsid w:val="005E7074"/>
    <w:rsid w:val="005E77EC"/>
    <w:rsid w:val="005F2BAF"/>
    <w:rsid w:val="005F773B"/>
    <w:rsid w:val="00600D93"/>
    <w:rsid w:val="00604A16"/>
    <w:rsid w:val="0061208E"/>
    <w:rsid w:val="0062122E"/>
    <w:rsid w:val="00622FA4"/>
    <w:rsid w:val="00623E61"/>
    <w:rsid w:val="00626BEA"/>
    <w:rsid w:val="0063300C"/>
    <w:rsid w:val="006361C5"/>
    <w:rsid w:val="00651A5B"/>
    <w:rsid w:val="00655736"/>
    <w:rsid w:val="00663B8D"/>
    <w:rsid w:val="00666D10"/>
    <w:rsid w:val="0067233C"/>
    <w:rsid w:val="00676103"/>
    <w:rsid w:val="0068042E"/>
    <w:rsid w:val="0068488F"/>
    <w:rsid w:val="00695845"/>
    <w:rsid w:val="00696C8D"/>
    <w:rsid w:val="006A2AC2"/>
    <w:rsid w:val="006A3617"/>
    <w:rsid w:val="006B4452"/>
    <w:rsid w:val="006B7456"/>
    <w:rsid w:val="006C0BC3"/>
    <w:rsid w:val="006D6C7E"/>
    <w:rsid w:val="006E0A8B"/>
    <w:rsid w:val="006E46E4"/>
    <w:rsid w:val="006E75EB"/>
    <w:rsid w:val="007037AB"/>
    <w:rsid w:val="007066FC"/>
    <w:rsid w:val="00717DA5"/>
    <w:rsid w:val="00722E2C"/>
    <w:rsid w:val="007333D0"/>
    <w:rsid w:val="00744162"/>
    <w:rsid w:val="00744484"/>
    <w:rsid w:val="00747566"/>
    <w:rsid w:val="007558FF"/>
    <w:rsid w:val="0076778A"/>
    <w:rsid w:val="00773188"/>
    <w:rsid w:val="007775AC"/>
    <w:rsid w:val="00783782"/>
    <w:rsid w:val="00784B8C"/>
    <w:rsid w:val="007879E1"/>
    <w:rsid w:val="007B2943"/>
    <w:rsid w:val="007B6550"/>
    <w:rsid w:val="007C1C86"/>
    <w:rsid w:val="007C21A3"/>
    <w:rsid w:val="007E459F"/>
    <w:rsid w:val="007E57AA"/>
    <w:rsid w:val="00801558"/>
    <w:rsid w:val="00801CF3"/>
    <w:rsid w:val="00820971"/>
    <w:rsid w:val="008213AC"/>
    <w:rsid w:val="0082337A"/>
    <w:rsid w:val="00823A11"/>
    <w:rsid w:val="00826C84"/>
    <w:rsid w:val="008334F7"/>
    <w:rsid w:val="00833E50"/>
    <w:rsid w:val="00845AEF"/>
    <w:rsid w:val="008510B0"/>
    <w:rsid w:val="0085405E"/>
    <w:rsid w:val="0085414A"/>
    <w:rsid w:val="00857565"/>
    <w:rsid w:val="00857EB9"/>
    <w:rsid w:val="0086269D"/>
    <w:rsid w:val="0086543A"/>
    <w:rsid w:val="00866DC7"/>
    <w:rsid w:val="00870AD7"/>
    <w:rsid w:val="00870C7F"/>
    <w:rsid w:val="008724E5"/>
    <w:rsid w:val="008765C9"/>
    <w:rsid w:val="00884A9D"/>
    <w:rsid w:val="0088512B"/>
    <w:rsid w:val="0089087A"/>
    <w:rsid w:val="008A2B2D"/>
    <w:rsid w:val="008A4E1E"/>
    <w:rsid w:val="008A575E"/>
    <w:rsid w:val="008A6458"/>
    <w:rsid w:val="008B6268"/>
    <w:rsid w:val="008C296C"/>
    <w:rsid w:val="008C488B"/>
    <w:rsid w:val="008D4305"/>
    <w:rsid w:val="008E1A85"/>
    <w:rsid w:val="008E344F"/>
    <w:rsid w:val="008E37E7"/>
    <w:rsid w:val="008F19D9"/>
    <w:rsid w:val="009009F5"/>
    <w:rsid w:val="00903A44"/>
    <w:rsid w:val="009163A7"/>
    <w:rsid w:val="009214F5"/>
    <w:rsid w:val="009329D6"/>
    <w:rsid w:val="00932F72"/>
    <w:rsid w:val="00937014"/>
    <w:rsid w:val="00937D53"/>
    <w:rsid w:val="00945319"/>
    <w:rsid w:val="00946BAF"/>
    <w:rsid w:val="00946D0B"/>
    <w:rsid w:val="00952573"/>
    <w:rsid w:val="0095436D"/>
    <w:rsid w:val="00955877"/>
    <w:rsid w:val="00962034"/>
    <w:rsid w:val="00970594"/>
    <w:rsid w:val="0097321D"/>
    <w:rsid w:val="00983270"/>
    <w:rsid w:val="00985598"/>
    <w:rsid w:val="00986AFE"/>
    <w:rsid w:val="0099273E"/>
    <w:rsid w:val="009A18CD"/>
    <w:rsid w:val="009A5488"/>
    <w:rsid w:val="009B0DCF"/>
    <w:rsid w:val="009D5215"/>
    <w:rsid w:val="009D5428"/>
    <w:rsid w:val="009D77AB"/>
    <w:rsid w:val="009D7CDD"/>
    <w:rsid w:val="009E5295"/>
    <w:rsid w:val="009F2DF1"/>
    <w:rsid w:val="009F7B59"/>
    <w:rsid w:val="00A06C2A"/>
    <w:rsid w:val="00A10EC1"/>
    <w:rsid w:val="00A12558"/>
    <w:rsid w:val="00A13903"/>
    <w:rsid w:val="00A15922"/>
    <w:rsid w:val="00A266AC"/>
    <w:rsid w:val="00A348BB"/>
    <w:rsid w:val="00A34ED5"/>
    <w:rsid w:val="00A361B9"/>
    <w:rsid w:val="00A37950"/>
    <w:rsid w:val="00A44888"/>
    <w:rsid w:val="00A45DBF"/>
    <w:rsid w:val="00A50236"/>
    <w:rsid w:val="00A5749E"/>
    <w:rsid w:val="00A70204"/>
    <w:rsid w:val="00A725CF"/>
    <w:rsid w:val="00A755A2"/>
    <w:rsid w:val="00A8153B"/>
    <w:rsid w:val="00A83049"/>
    <w:rsid w:val="00A8308D"/>
    <w:rsid w:val="00A8416A"/>
    <w:rsid w:val="00A86DD6"/>
    <w:rsid w:val="00A90E5C"/>
    <w:rsid w:val="00A91430"/>
    <w:rsid w:val="00AA3C8D"/>
    <w:rsid w:val="00AA590D"/>
    <w:rsid w:val="00AA6660"/>
    <w:rsid w:val="00AB2C36"/>
    <w:rsid w:val="00AB6DDE"/>
    <w:rsid w:val="00AB70B6"/>
    <w:rsid w:val="00AC18C1"/>
    <w:rsid w:val="00AC1B9E"/>
    <w:rsid w:val="00AC1F9D"/>
    <w:rsid w:val="00AD1A86"/>
    <w:rsid w:val="00AD58BD"/>
    <w:rsid w:val="00AD5C46"/>
    <w:rsid w:val="00AD7CA3"/>
    <w:rsid w:val="00AE103E"/>
    <w:rsid w:val="00AE3884"/>
    <w:rsid w:val="00AE6857"/>
    <w:rsid w:val="00AF0A07"/>
    <w:rsid w:val="00AF4AEC"/>
    <w:rsid w:val="00AF625E"/>
    <w:rsid w:val="00B00BCE"/>
    <w:rsid w:val="00B02D4F"/>
    <w:rsid w:val="00B03046"/>
    <w:rsid w:val="00B03BCF"/>
    <w:rsid w:val="00B11841"/>
    <w:rsid w:val="00B139BE"/>
    <w:rsid w:val="00B17EF8"/>
    <w:rsid w:val="00B2172B"/>
    <w:rsid w:val="00B24FC3"/>
    <w:rsid w:val="00B25613"/>
    <w:rsid w:val="00B25DE6"/>
    <w:rsid w:val="00B26DA8"/>
    <w:rsid w:val="00B34428"/>
    <w:rsid w:val="00B5202F"/>
    <w:rsid w:val="00B73602"/>
    <w:rsid w:val="00B76C42"/>
    <w:rsid w:val="00B84546"/>
    <w:rsid w:val="00B85074"/>
    <w:rsid w:val="00B864BD"/>
    <w:rsid w:val="00B917D2"/>
    <w:rsid w:val="00B97EB3"/>
    <w:rsid w:val="00BA001B"/>
    <w:rsid w:val="00BA198A"/>
    <w:rsid w:val="00BA241A"/>
    <w:rsid w:val="00BA5BE9"/>
    <w:rsid w:val="00BB04AF"/>
    <w:rsid w:val="00BB6EEC"/>
    <w:rsid w:val="00BB6FBC"/>
    <w:rsid w:val="00BB792E"/>
    <w:rsid w:val="00BC78D6"/>
    <w:rsid w:val="00BD52C9"/>
    <w:rsid w:val="00BE3ADB"/>
    <w:rsid w:val="00BE6354"/>
    <w:rsid w:val="00BE6E70"/>
    <w:rsid w:val="00BF0277"/>
    <w:rsid w:val="00BF0F53"/>
    <w:rsid w:val="00BF590E"/>
    <w:rsid w:val="00C062E0"/>
    <w:rsid w:val="00C138B7"/>
    <w:rsid w:val="00C138D1"/>
    <w:rsid w:val="00C16E8C"/>
    <w:rsid w:val="00C20B88"/>
    <w:rsid w:val="00C2225F"/>
    <w:rsid w:val="00C23A97"/>
    <w:rsid w:val="00C26EBD"/>
    <w:rsid w:val="00C3123A"/>
    <w:rsid w:val="00C3573D"/>
    <w:rsid w:val="00C4067B"/>
    <w:rsid w:val="00C52EBE"/>
    <w:rsid w:val="00C5776D"/>
    <w:rsid w:val="00C64855"/>
    <w:rsid w:val="00C70EA7"/>
    <w:rsid w:val="00C72CE4"/>
    <w:rsid w:val="00C7433F"/>
    <w:rsid w:val="00C7516E"/>
    <w:rsid w:val="00C75770"/>
    <w:rsid w:val="00C81E8E"/>
    <w:rsid w:val="00C91969"/>
    <w:rsid w:val="00C92AB8"/>
    <w:rsid w:val="00C958C5"/>
    <w:rsid w:val="00C96970"/>
    <w:rsid w:val="00CA56BB"/>
    <w:rsid w:val="00CA64E2"/>
    <w:rsid w:val="00CB0542"/>
    <w:rsid w:val="00CB1FCD"/>
    <w:rsid w:val="00CB2EC7"/>
    <w:rsid w:val="00CB3AF8"/>
    <w:rsid w:val="00CB4A86"/>
    <w:rsid w:val="00CB5711"/>
    <w:rsid w:val="00CC2666"/>
    <w:rsid w:val="00CD24E3"/>
    <w:rsid w:val="00CE2198"/>
    <w:rsid w:val="00CE257F"/>
    <w:rsid w:val="00CE2B4C"/>
    <w:rsid w:val="00CF32BA"/>
    <w:rsid w:val="00CF3A7D"/>
    <w:rsid w:val="00D00B2B"/>
    <w:rsid w:val="00D165AC"/>
    <w:rsid w:val="00D214C8"/>
    <w:rsid w:val="00D24877"/>
    <w:rsid w:val="00D27CE0"/>
    <w:rsid w:val="00D5040A"/>
    <w:rsid w:val="00D54950"/>
    <w:rsid w:val="00D57946"/>
    <w:rsid w:val="00D63318"/>
    <w:rsid w:val="00D7105A"/>
    <w:rsid w:val="00D8250F"/>
    <w:rsid w:val="00D86BB3"/>
    <w:rsid w:val="00D87BE2"/>
    <w:rsid w:val="00D93898"/>
    <w:rsid w:val="00D95C4C"/>
    <w:rsid w:val="00D9719F"/>
    <w:rsid w:val="00DA36ED"/>
    <w:rsid w:val="00DB6758"/>
    <w:rsid w:val="00DC3239"/>
    <w:rsid w:val="00DC49CB"/>
    <w:rsid w:val="00DC7D3C"/>
    <w:rsid w:val="00DE309F"/>
    <w:rsid w:val="00DE34F1"/>
    <w:rsid w:val="00DE6160"/>
    <w:rsid w:val="00DE69A9"/>
    <w:rsid w:val="00DF2255"/>
    <w:rsid w:val="00DF4942"/>
    <w:rsid w:val="00DF7E48"/>
    <w:rsid w:val="00E2125F"/>
    <w:rsid w:val="00E244E1"/>
    <w:rsid w:val="00E27D90"/>
    <w:rsid w:val="00E3320C"/>
    <w:rsid w:val="00E36EBF"/>
    <w:rsid w:val="00E4150C"/>
    <w:rsid w:val="00E523AE"/>
    <w:rsid w:val="00E627B1"/>
    <w:rsid w:val="00E70169"/>
    <w:rsid w:val="00E715DB"/>
    <w:rsid w:val="00E761F1"/>
    <w:rsid w:val="00E8041B"/>
    <w:rsid w:val="00E87883"/>
    <w:rsid w:val="00E9376C"/>
    <w:rsid w:val="00E95AE2"/>
    <w:rsid w:val="00E9747E"/>
    <w:rsid w:val="00EA335E"/>
    <w:rsid w:val="00EA528C"/>
    <w:rsid w:val="00EA580C"/>
    <w:rsid w:val="00EB0BA5"/>
    <w:rsid w:val="00EB3AC9"/>
    <w:rsid w:val="00EB3F70"/>
    <w:rsid w:val="00EC6F8D"/>
    <w:rsid w:val="00ED01A9"/>
    <w:rsid w:val="00ED39B2"/>
    <w:rsid w:val="00EE49F4"/>
    <w:rsid w:val="00EE4EF6"/>
    <w:rsid w:val="00EF34E2"/>
    <w:rsid w:val="00F1585E"/>
    <w:rsid w:val="00F30DC6"/>
    <w:rsid w:val="00F312BC"/>
    <w:rsid w:val="00F31F96"/>
    <w:rsid w:val="00F32C23"/>
    <w:rsid w:val="00F409F9"/>
    <w:rsid w:val="00F525F6"/>
    <w:rsid w:val="00F53DE9"/>
    <w:rsid w:val="00F56B17"/>
    <w:rsid w:val="00F576CB"/>
    <w:rsid w:val="00F60DC1"/>
    <w:rsid w:val="00F650C6"/>
    <w:rsid w:val="00F7035D"/>
    <w:rsid w:val="00F70CC5"/>
    <w:rsid w:val="00F71A02"/>
    <w:rsid w:val="00F742B5"/>
    <w:rsid w:val="00F74C9E"/>
    <w:rsid w:val="00F770CE"/>
    <w:rsid w:val="00FA0D63"/>
    <w:rsid w:val="00FA1A77"/>
    <w:rsid w:val="00FA472D"/>
    <w:rsid w:val="00FA5F89"/>
    <w:rsid w:val="00FB1727"/>
    <w:rsid w:val="00FB36DF"/>
    <w:rsid w:val="00FB5AA1"/>
    <w:rsid w:val="00FB6801"/>
    <w:rsid w:val="00FC22D5"/>
    <w:rsid w:val="00FD1226"/>
    <w:rsid w:val="00FD4BC8"/>
    <w:rsid w:val="00FE2EE9"/>
    <w:rsid w:val="00FE311B"/>
    <w:rsid w:val="00FE5E36"/>
    <w:rsid w:val="00FF09B6"/>
    <w:rsid w:val="00FF4830"/>
    <w:rsid w:val="00FF5131"/>
    <w:rsid w:val="00FF6A0C"/>
    <w:rsid w:val="00FF7A12"/>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lang w:val="en-GB"/>
    </w:rPr>
  </w:style>
  <w:style w:type="character" w:styleId="Hyperlink">
    <w:name w:val="Hyperlink"/>
    <w:aliases w:val=" Car Car3 Char, Car Car3 Char Char Char Char"/>
    <w:basedOn w:val="DefaultParagraphFont"/>
    <w:link w:val="CarCar3"/>
    <w:uiPriority w:val="99"/>
    <w:unhideWhenUsed/>
    <w:rsid w:val="005B1129"/>
    <w:rPr>
      <w:color w:val="0000FF" w:themeColor="hyperlink"/>
      <w:u w:val="single"/>
    </w:rPr>
  </w:style>
  <w:style w:type="paragraph" w:customStyle="1" w:styleId="U1">
    <w:name w:val="U.1"/>
    <w:basedOn w:val="Normal"/>
    <w:qFormat/>
    <w:rsid w:val="005B1129"/>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5B1129"/>
    <w:pPr>
      <w:numPr>
        <w:numId w:val="27"/>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5B1129"/>
    <w:rPr>
      <w:rFonts w:ascii="Arial" w:hAnsi="Arial" w:cs="Arial"/>
      <w:w w:val="90"/>
      <w:sz w:val="22"/>
      <w:szCs w:val="22"/>
      <w:lang w:val="en-US"/>
    </w:rPr>
  </w:style>
  <w:style w:type="character" w:styleId="UnresolvedMention">
    <w:name w:val="Unresolved Mention"/>
    <w:basedOn w:val="DefaultParagraphFont"/>
    <w:uiPriority w:val="99"/>
    <w:semiHidden/>
    <w:unhideWhenUsed/>
    <w:rsid w:val="00420CDD"/>
    <w:rPr>
      <w:color w:val="605E5C"/>
      <w:shd w:val="clear" w:color="auto" w:fill="E1DFDD"/>
    </w:rPr>
  </w:style>
  <w:style w:type="paragraph" w:customStyle="1" w:styleId="GAPara">
    <w:name w:val="GA Para"/>
    <w:qFormat/>
    <w:rsid w:val="00504B9E"/>
    <w:pPr>
      <w:spacing w:after="120"/>
      <w:ind w:left="720" w:hanging="360"/>
    </w:pPr>
    <w:rPr>
      <w:rFonts w:ascii="Arial" w:eastAsia="Times New Roman" w:hAnsi="Arial" w:cs="Arial"/>
      <w:snapToGrid w:val="0"/>
      <w:sz w:val="22"/>
      <w:szCs w:val="22"/>
      <w:lang w:val="en-GB" w:eastAsia="en-US"/>
    </w:rPr>
  </w:style>
  <w:style w:type="paragraph" w:customStyle="1" w:styleId="CarCar3">
    <w:name w:val="Car Car3"/>
    <w:aliases w:val=" Car Car3 Char Char"/>
    <w:basedOn w:val="Normal"/>
    <w:link w:val="Hyperlink"/>
    <w:uiPriority w:val="99"/>
    <w:rsid w:val="00504B9E"/>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themeColor="hyperlink"/>
      <w:sz w:val="20"/>
      <w:szCs w:val="20"/>
      <w:u w:val="single"/>
    </w:rPr>
  </w:style>
  <w:style w:type="character" w:styleId="FollowedHyperlink">
    <w:name w:val="FollowedHyperlink"/>
    <w:basedOn w:val="DefaultParagraphFont"/>
    <w:uiPriority w:val="99"/>
    <w:semiHidden/>
    <w:unhideWhenUsed/>
    <w:rsid w:val="00BF590E"/>
    <w:rPr>
      <w:color w:val="800080" w:themeColor="followedHyperlink"/>
      <w:u w:val="single"/>
    </w:rPr>
  </w:style>
  <w:style w:type="paragraph" w:styleId="Revision">
    <w:name w:val="Revision"/>
    <w:hidden/>
    <w:uiPriority w:val="99"/>
    <w:semiHidden/>
    <w:rsid w:val="00BF590E"/>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D24E3"/>
    <w:rPr>
      <w:sz w:val="16"/>
      <w:szCs w:val="16"/>
    </w:rPr>
  </w:style>
  <w:style w:type="paragraph" w:styleId="CommentText">
    <w:name w:val="annotation text"/>
    <w:basedOn w:val="Normal"/>
    <w:link w:val="CommentTextChar"/>
    <w:uiPriority w:val="99"/>
    <w:unhideWhenUsed/>
    <w:rsid w:val="00CD24E3"/>
    <w:rPr>
      <w:sz w:val="20"/>
      <w:szCs w:val="20"/>
    </w:rPr>
  </w:style>
  <w:style w:type="character" w:customStyle="1" w:styleId="CommentTextChar">
    <w:name w:val="Comment Text Char"/>
    <w:basedOn w:val="DefaultParagraphFont"/>
    <w:link w:val="CommentText"/>
    <w:uiPriority w:val="99"/>
    <w:rsid w:val="00CD24E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D24E3"/>
    <w:rPr>
      <w:b/>
      <w:bCs/>
    </w:rPr>
  </w:style>
  <w:style w:type="character" w:customStyle="1" w:styleId="CommentSubjectChar">
    <w:name w:val="Comment Subject Char"/>
    <w:basedOn w:val="CommentTextChar"/>
    <w:link w:val="CommentSubject"/>
    <w:uiPriority w:val="99"/>
    <w:semiHidden/>
    <w:rsid w:val="00CD24E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20.COM/8" TargetMode="External"/><Relationship Id="rId13" Type="http://schemas.openxmlformats.org/officeDocument/2006/relationships/hyperlink" Target="https://ich.unesco.org/en/decisions/19.COM/15" TargetMode="External"/><Relationship Id="rId18" Type="http://schemas.openxmlformats.org/officeDocument/2006/relationships/hyperlink" Target="https://ich.unesco.org/en/Decisions/14.COM/8" TargetMode="External"/><Relationship Id="rId26" Type="http://schemas.openxmlformats.org/officeDocument/2006/relationships/hyperlink" Target="https://ich.unesco.org/en/decisions/20.COM/6.C"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ch.unesco.org/en/decisions/19.COM/6.C" TargetMode="External"/><Relationship Id="rId34" Type="http://schemas.openxmlformats.org/officeDocument/2006/relationships/hyperlink" Target="https://ich.unesco.org" TargetMode="External"/><Relationship Id="rId7" Type="http://schemas.openxmlformats.org/officeDocument/2006/relationships/endnotes" Target="endnotes.xml"/><Relationship Id="rId12" Type="http://schemas.openxmlformats.org/officeDocument/2006/relationships/hyperlink" Target="https://ich.unesco.org/en/decisions/17.COM/15" TargetMode="External"/><Relationship Id="rId17" Type="http://schemas.openxmlformats.org/officeDocument/2006/relationships/hyperlink" Target="https://ich.unesco.org/en/Decisions/13.COM/8" TargetMode="External"/><Relationship Id="rId25" Type="http://schemas.openxmlformats.org/officeDocument/2006/relationships/hyperlink" Target="https://ich.unesco.org/en/decisions/20.COM/6.C" TargetMode="External"/><Relationship Id="rId33" Type="http://schemas.openxmlformats.org/officeDocument/2006/relationships/hyperlink" Target="https://ich.unesco.org" TargetMode="External"/><Relationship Id="rId38" Type="http://schemas.openxmlformats.org/officeDocument/2006/relationships/hyperlink" Target="https://ich.unesco.org" TargetMode="External"/><Relationship Id="rId2" Type="http://schemas.openxmlformats.org/officeDocument/2006/relationships/numbering" Target="numbering.xml"/><Relationship Id="rId16" Type="http://schemas.openxmlformats.org/officeDocument/2006/relationships/hyperlink" Target="https://ich.unesco.org/doc/src/ITH-18-7.GA-Resolutions-EN.docx?v=1532091840" TargetMode="External"/><Relationship Id="rId20" Type="http://schemas.openxmlformats.org/officeDocument/2006/relationships/hyperlink" Target="https://unesdoc.unesco.org/ark:/48223/pf0000395504/PDF/395504eng.pdf.multi"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9.COM/15" TargetMode="External"/><Relationship Id="rId24" Type="http://schemas.openxmlformats.org/officeDocument/2006/relationships/hyperlink" Target="https://ich.unesco.org/en/decisions/20.COM/8" TargetMode="External"/><Relationship Id="rId32" Type="http://schemas.openxmlformats.org/officeDocument/2006/relationships/hyperlink" Target="https://ich.unesco.org/en/decisions/20.COM/6.C" TargetMode="External"/><Relationship Id="rId37" Type="http://schemas.openxmlformats.org/officeDocument/2006/relationships/hyperlink" Target="https://ich.unesco.or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en/overall-results-framework-00984" TargetMode="External"/><Relationship Id="rId23" Type="http://schemas.openxmlformats.org/officeDocument/2006/relationships/hyperlink" Target="https://ich.unesco.org/en/events/global-reflection-meeting-on-the-periodic-reporting-mechanisms-of-the-2003-convention-01058" TargetMode="External"/><Relationship Id="rId28" Type="http://schemas.openxmlformats.org/officeDocument/2006/relationships/header" Target="header1.xml"/><Relationship Id="rId36" Type="http://schemas.openxmlformats.org/officeDocument/2006/relationships/hyperlink" Target="https://ich.unesco.org" TargetMode="External"/><Relationship Id="rId10" Type="http://schemas.openxmlformats.org/officeDocument/2006/relationships/hyperlink" Target="https://ich.unesco.org/en/decisions/20.COM/8" TargetMode="External"/><Relationship Id="rId19" Type="http://schemas.openxmlformats.org/officeDocument/2006/relationships/hyperlink" Target="https://www.unesco.org/sites/default/files/medias/fichiers/2022/10/6.MONDIACULT_EN_DRAFT%20FINAL%20DECLARATION_FINAL_1.pdf" TargetMode="External"/><Relationship Id="rId31" Type="http://schemas.openxmlformats.org/officeDocument/2006/relationships/hyperlink" Target="https://ich.unesco.org/en/decisions/20.COM/8" TargetMode="External"/><Relationship Id="rId4" Type="http://schemas.openxmlformats.org/officeDocument/2006/relationships/settings" Target="settings.xml"/><Relationship Id="rId9" Type="http://schemas.openxmlformats.org/officeDocument/2006/relationships/hyperlink" Target="https://ich.unesco.org/doc/src/LHE-25-20.COM-8_EN.docx?t=1764184365" TargetMode="External"/><Relationship Id="rId14" Type="http://schemas.openxmlformats.org/officeDocument/2006/relationships/hyperlink" Target="https://ich.unesco.org/en/Decisions/12.COM/10" TargetMode="External"/><Relationship Id="rId22" Type="http://schemas.openxmlformats.org/officeDocument/2006/relationships/hyperlink" Target="https://ich.unesco.org/en/decisions/20.COM/6.C" TargetMode="External"/><Relationship Id="rId27" Type="http://schemas.openxmlformats.org/officeDocument/2006/relationships/hyperlink" Target="https://ich.unesco.org/en/decisions/20.COM/8" TargetMode="External"/><Relationship Id="rId30" Type="http://schemas.openxmlformats.org/officeDocument/2006/relationships/header" Target="header3.xml"/><Relationship Id="rId35" Type="http://schemas.openxmlformats.org/officeDocument/2006/relationships/hyperlink" Target="https://ich.unesco.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LHE-25-20.COM-6.c_EN.docx?v=176418565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6200</Words>
  <Characters>34106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2026-05-18T15:13:00Z</dcterms:created>
  <dcterms:modified xsi:type="dcterms:W3CDTF">2026-05-18T17:42:00Z</dcterms:modified>
</cp:coreProperties>
</file>