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E36E" w14:textId="2C143DE3" w:rsidR="00EC6F8D" w:rsidRPr="004C1C87" w:rsidRDefault="00EC6F8D" w:rsidP="00736C63">
      <w:pPr>
        <w:bidi/>
        <w:spacing w:before="1440" w:line="288" w:lineRule="auto"/>
        <w:jc w:val="center"/>
        <w:rPr>
          <w:rFonts w:ascii="Arial" w:hAnsi="Arial"/>
          <w:b/>
          <w:sz w:val="22"/>
          <w:szCs w:val="22"/>
          <w:rtl/>
        </w:rPr>
      </w:pPr>
      <w:r w:rsidRPr="004C1C87">
        <w:rPr>
          <w:rFonts w:ascii="Arial" w:hAnsi="Arial"/>
          <w:b/>
          <w:bCs/>
          <w:sz w:val="22"/>
          <w:szCs w:val="22"/>
          <w:rtl/>
        </w:rPr>
        <w:t>اتفاقية صون التراث الثقافي غير المادي</w:t>
      </w:r>
    </w:p>
    <w:p w14:paraId="3F72B1D3" w14:textId="37133200" w:rsidR="00EC6F8D" w:rsidRPr="004C1C87" w:rsidRDefault="005C792B" w:rsidP="00736C63">
      <w:pPr>
        <w:bidi/>
        <w:spacing w:before="1200" w:line="288" w:lineRule="auto"/>
        <w:jc w:val="center"/>
        <w:rPr>
          <w:rFonts w:ascii="Arial" w:hAnsi="Arial"/>
          <w:b/>
          <w:sz w:val="22"/>
          <w:szCs w:val="22"/>
          <w:rtl/>
        </w:rPr>
      </w:pPr>
      <w:r w:rsidRPr="004C1C87">
        <w:rPr>
          <w:rFonts w:ascii="Arial" w:hAnsi="Arial"/>
          <w:b/>
          <w:bCs/>
          <w:sz w:val="22"/>
          <w:szCs w:val="22"/>
          <w:rtl/>
        </w:rPr>
        <w:t>الجمعية العامة للدول الأطراف في الاتفاقية</w:t>
      </w:r>
    </w:p>
    <w:p w14:paraId="2E1CD4B4" w14:textId="762C97E8" w:rsidR="00EC6F8D" w:rsidRPr="004C1C87" w:rsidRDefault="0026085B" w:rsidP="00736C63">
      <w:pPr>
        <w:bidi/>
        <w:spacing w:before="840" w:line="288" w:lineRule="auto"/>
        <w:jc w:val="center"/>
        <w:rPr>
          <w:rFonts w:ascii="Arial" w:hAnsi="Arial"/>
          <w:b/>
          <w:sz w:val="22"/>
          <w:szCs w:val="22"/>
          <w:rtl/>
        </w:rPr>
      </w:pPr>
      <w:r w:rsidRPr="004C1C87">
        <w:rPr>
          <w:rFonts w:ascii="Arial" w:hAnsi="Arial"/>
          <w:b/>
          <w:bCs/>
          <w:sz w:val="22"/>
          <w:szCs w:val="22"/>
          <w:rtl/>
        </w:rPr>
        <w:t>الدورة الحادية عشرة</w:t>
      </w:r>
    </w:p>
    <w:p w14:paraId="1FD89575" w14:textId="05D2C62D" w:rsidR="00B2172B" w:rsidRPr="004C1C87" w:rsidRDefault="005C792B" w:rsidP="00736C63">
      <w:pPr>
        <w:bidi/>
        <w:spacing w:line="288" w:lineRule="auto"/>
        <w:jc w:val="center"/>
        <w:rPr>
          <w:rFonts w:ascii="Arial" w:hAnsi="Arial"/>
          <w:b/>
          <w:sz w:val="22"/>
          <w:szCs w:val="22"/>
          <w:rtl/>
        </w:rPr>
      </w:pPr>
      <w:r w:rsidRPr="004C1C87">
        <w:rPr>
          <w:rFonts w:ascii="Arial" w:hAnsi="Arial"/>
          <w:b/>
          <w:bCs/>
          <w:sz w:val="22"/>
          <w:szCs w:val="22"/>
          <w:rtl/>
        </w:rPr>
        <w:t>مقر اليونسكو، القاعة 1</w:t>
      </w:r>
    </w:p>
    <w:p w14:paraId="52EA6D50" w14:textId="46BCF87A" w:rsidR="00B2172B" w:rsidRPr="004C1C87" w:rsidRDefault="00544C93" w:rsidP="00736C63">
      <w:pPr>
        <w:bidi/>
        <w:spacing w:line="288" w:lineRule="auto"/>
        <w:jc w:val="center"/>
        <w:rPr>
          <w:rFonts w:ascii="Arial" w:hAnsi="Arial"/>
          <w:b/>
          <w:sz w:val="22"/>
          <w:szCs w:val="22"/>
          <w:rtl/>
        </w:rPr>
      </w:pPr>
      <w:r w:rsidRPr="004C1C87">
        <w:rPr>
          <w:rFonts w:ascii="Arial" w:hAnsi="Arial"/>
          <w:b/>
          <w:bCs/>
          <w:sz w:val="22"/>
          <w:szCs w:val="22"/>
          <w:rtl/>
        </w:rPr>
        <w:t>17 إلى 18 حزيران/يونيو 2026</w:t>
      </w:r>
    </w:p>
    <w:p w14:paraId="0365203A" w14:textId="7AC0409C" w:rsidR="00EC6F8D" w:rsidRPr="004C1C87" w:rsidRDefault="00EC6F8D" w:rsidP="00736C63">
      <w:pPr>
        <w:pStyle w:val="Sansinterligne2"/>
        <w:bidi/>
        <w:spacing w:before="1200" w:line="288" w:lineRule="auto"/>
        <w:jc w:val="center"/>
        <w:rPr>
          <w:rFonts w:ascii="Arial" w:hAnsi="Arial"/>
          <w:b/>
          <w:sz w:val="22"/>
          <w:szCs w:val="22"/>
          <w:rtl/>
        </w:rPr>
      </w:pPr>
      <w:r w:rsidRPr="004C1C87">
        <w:rPr>
          <w:rFonts w:ascii="Arial" w:hAnsi="Arial"/>
          <w:b/>
          <w:bCs/>
          <w:sz w:val="22"/>
          <w:szCs w:val="22"/>
          <w:u w:val="single"/>
          <w:rtl/>
        </w:rPr>
        <w:t>البند 7 من جدول الأعمال المؤقت</w:t>
      </w:r>
      <w:r w:rsidRPr="004C1C87">
        <w:rPr>
          <w:rFonts w:ascii="Arial" w:hAnsi="Arial"/>
          <w:b/>
          <w:bCs/>
          <w:sz w:val="22"/>
          <w:szCs w:val="22"/>
          <w:rtl/>
        </w:rPr>
        <w:t>:</w:t>
      </w:r>
    </w:p>
    <w:p w14:paraId="59920478" w14:textId="3C7BA718" w:rsidR="004A2875" w:rsidRPr="004C1C87" w:rsidRDefault="00590B83" w:rsidP="00736C63">
      <w:pPr>
        <w:pStyle w:val="Sansinterligne2"/>
        <w:bidi/>
        <w:spacing w:after="960" w:line="288" w:lineRule="auto"/>
        <w:jc w:val="center"/>
        <w:rPr>
          <w:rFonts w:ascii="Arial" w:hAnsi="Arial"/>
          <w:bCs/>
          <w:sz w:val="22"/>
          <w:szCs w:val="22"/>
          <w:rtl/>
        </w:rPr>
      </w:pPr>
      <w:r w:rsidRPr="004C1C87">
        <w:rPr>
          <w:rFonts w:ascii="Arial" w:hAnsi="Arial"/>
          <w:b/>
          <w:bCs/>
          <w:sz w:val="22"/>
          <w:szCs w:val="22"/>
          <w:rtl/>
        </w:rPr>
        <w:t>التعديلات</w:t>
      </w:r>
      <w:r w:rsidR="00945319" w:rsidRPr="004C1C87">
        <w:rPr>
          <w:rFonts w:ascii="Arial" w:hAnsi="Arial"/>
          <w:b/>
          <w:bCs/>
          <w:sz w:val="22"/>
          <w:szCs w:val="22"/>
          <w:rtl/>
        </w:rPr>
        <w:t xml:space="preserve"> المقترحة على التوجيهات التنفيذية لتنفيذ الاتفاقية</w:t>
      </w:r>
    </w:p>
    <w:tbl>
      <w:tblPr>
        <w:bidiVisual/>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4C1C87" w14:paraId="75AC6221" w14:textId="77777777" w:rsidTr="00EC6F8D">
        <w:trPr>
          <w:jc w:val="center"/>
        </w:trPr>
        <w:tc>
          <w:tcPr>
            <w:tcW w:w="5670" w:type="dxa"/>
            <w:vAlign w:val="center"/>
          </w:tcPr>
          <w:p w14:paraId="51C260A9" w14:textId="77777777" w:rsidR="00EC6F8D" w:rsidRPr="004C1C87" w:rsidRDefault="00EC6F8D" w:rsidP="00736C63">
            <w:pPr>
              <w:pStyle w:val="Sansinterligne1"/>
              <w:bidi/>
              <w:spacing w:before="200" w:after="200" w:line="288" w:lineRule="auto"/>
              <w:jc w:val="center"/>
              <w:rPr>
                <w:rFonts w:ascii="Arial" w:hAnsi="Arial"/>
                <w:b/>
                <w:sz w:val="22"/>
                <w:szCs w:val="22"/>
                <w:rtl/>
              </w:rPr>
            </w:pPr>
            <w:r w:rsidRPr="004C1C87">
              <w:rPr>
                <w:rFonts w:ascii="Arial" w:hAnsi="Arial"/>
                <w:b/>
                <w:bCs/>
                <w:sz w:val="22"/>
                <w:szCs w:val="22"/>
                <w:rtl/>
              </w:rPr>
              <w:t>الملخص</w:t>
            </w:r>
          </w:p>
          <w:p w14:paraId="612E5DE6" w14:textId="40A5516A" w:rsidR="00BB6EEC" w:rsidRPr="004C1C87" w:rsidRDefault="00FA5F89" w:rsidP="00736C63">
            <w:pPr>
              <w:pStyle w:val="Sansinterligne1"/>
              <w:bidi/>
              <w:spacing w:line="288" w:lineRule="auto"/>
              <w:jc w:val="both"/>
              <w:rPr>
                <w:rFonts w:ascii="Arial" w:hAnsi="Arial"/>
                <w:bCs/>
                <w:sz w:val="22"/>
                <w:szCs w:val="22"/>
                <w:rtl/>
              </w:rPr>
            </w:pPr>
            <w:r w:rsidRPr="004C1C87">
              <w:rPr>
                <w:rFonts w:ascii="Arial" w:hAnsi="Arial"/>
                <w:sz w:val="22"/>
                <w:szCs w:val="22"/>
                <w:rtl/>
              </w:rPr>
              <w:t xml:space="preserve">يُطلب من الجمعية العامة في دورتها الحالية الموافقة على </w:t>
            </w:r>
            <w:r w:rsidR="00590B83" w:rsidRPr="004C1C87">
              <w:rPr>
                <w:rFonts w:ascii="Arial" w:hAnsi="Arial"/>
                <w:sz w:val="22"/>
                <w:szCs w:val="22"/>
                <w:rtl/>
              </w:rPr>
              <w:t>التعديلات</w:t>
            </w:r>
            <w:r w:rsidRPr="004C1C87">
              <w:rPr>
                <w:rFonts w:ascii="Arial" w:hAnsi="Arial"/>
                <w:sz w:val="22"/>
                <w:szCs w:val="22"/>
                <w:rtl/>
              </w:rPr>
              <w:t xml:space="preserve"> المقترحة على التوجيهات </w:t>
            </w:r>
            <w:r w:rsidR="00590B83" w:rsidRPr="004C1C87">
              <w:rPr>
                <w:rFonts w:ascii="Arial" w:hAnsi="Arial"/>
                <w:rtl/>
              </w:rPr>
              <w:t>التنفيذية</w:t>
            </w:r>
            <w:r w:rsidRPr="004C1C87">
              <w:rPr>
                <w:rFonts w:ascii="Arial" w:hAnsi="Arial"/>
                <w:sz w:val="22"/>
                <w:szCs w:val="22"/>
                <w:rtl/>
              </w:rPr>
              <w:t>، وذلك بغرض تخصيص جدول زمني ممدد لمعالجة ملفات الترشيح، فضلاً عن دعم التحوّل نحو نظام عالمي موحد لتقديم التقارير الدورية.</w:t>
            </w:r>
          </w:p>
          <w:p w14:paraId="290310E8" w14:textId="48FB9EA8" w:rsidR="00EC6F8D" w:rsidRPr="004C1C87" w:rsidRDefault="00EC6F8D" w:rsidP="00736C63">
            <w:pPr>
              <w:pStyle w:val="Sansinterligne2"/>
              <w:bidi/>
              <w:spacing w:before="200" w:after="200" w:line="288" w:lineRule="auto"/>
              <w:jc w:val="both"/>
              <w:rPr>
                <w:rFonts w:ascii="Arial" w:hAnsi="Arial"/>
                <w:b/>
                <w:sz w:val="22"/>
                <w:szCs w:val="22"/>
                <w:rtl/>
              </w:rPr>
            </w:pPr>
            <w:r w:rsidRPr="004C1C87">
              <w:rPr>
                <w:rFonts w:ascii="Arial" w:hAnsi="Arial"/>
                <w:b/>
                <w:bCs/>
                <w:sz w:val="22"/>
                <w:szCs w:val="22"/>
                <w:rtl/>
              </w:rPr>
              <w:t>القرار المطلوب</w:t>
            </w:r>
            <w:r w:rsidRPr="004C1C87">
              <w:rPr>
                <w:rFonts w:ascii="Arial" w:hAnsi="Arial"/>
                <w:sz w:val="22"/>
                <w:szCs w:val="22"/>
                <w:rtl/>
              </w:rPr>
              <w:t>: الفقرة 24</w:t>
            </w:r>
          </w:p>
        </w:tc>
      </w:tr>
    </w:tbl>
    <w:p w14:paraId="713D819F" w14:textId="77777777" w:rsidR="004A2875" w:rsidRPr="004C1C87" w:rsidRDefault="00655736" w:rsidP="00736C63">
      <w:pPr>
        <w:pStyle w:val="ListParagraph"/>
        <w:keepLines/>
        <w:numPr>
          <w:ilvl w:val="0"/>
          <w:numId w:val="13"/>
        </w:numPr>
        <w:bidi/>
        <w:spacing w:after="240" w:line="288" w:lineRule="auto"/>
        <w:ind w:left="567" w:hanging="567"/>
        <w:contextualSpacing w:val="0"/>
        <w:rPr>
          <w:rFonts w:ascii="Arial" w:hAnsi="Arial"/>
          <w:b/>
          <w:snapToGrid w:val="0"/>
          <w:sz w:val="22"/>
          <w:szCs w:val="22"/>
          <w:rtl/>
        </w:rPr>
      </w:pPr>
      <w:r w:rsidRPr="004C1C87">
        <w:rPr>
          <w:rFonts w:ascii="Arial" w:hAnsi="Arial"/>
          <w:rtl/>
        </w:rPr>
        <w:br w:type="page"/>
      </w:r>
    </w:p>
    <w:p w14:paraId="6C62585F" w14:textId="4823E187" w:rsidR="00F70CC5" w:rsidRPr="004C1C87" w:rsidRDefault="00D9719F" w:rsidP="007A5EBF">
      <w:pPr>
        <w:pStyle w:val="COMPara"/>
        <w:numPr>
          <w:ilvl w:val="0"/>
          <w:numId w:val="0"/>
        </w:numPr>
        <w:bidi/>
        <w:spacing w:before="240" w:line="305" w:lineRule="auto"/>
        <w:jc w:val="both"/>
        <w:rPr>
          <w:b/>
          <w:bCs/>
          <w:rtl/>
        </w:rPr>
      </w:pPr>
      <w:bookmarkStart w:id="0" w:name="_Hlk124351255"/>
      <w:r w:rsidRPr="004C1C87">
        <w:rPr>
          <w:b/>
          <w:bCs/>
          <w:rtl/>
        </w:rPr>
        <w:lastRenderedPageBreak/>
        <w:t>مقدمة</w:t>
      </w:r>
    </w:p>
    <w:bookmarkEnd w:id="0"/>
    <w:p w14:paraId="68870AAB" w14:textId="5A13C99E" w:rsidR="001E7D4C" w:rsidRPr="004C1C87" w:rsidRDefault="00D9719F" w:rsidP="00B17BBA">
      <w:pPr>
        <w:pStyle w:val="COMPara"/>
        <w:bidi/>
        <w:spacing w:line="305" w:lineRule="auto"/>
        <w:ind w:left="567" w:hanging="567"/>
        <w:jc w:val="both"/>
        <w:rPr>
          <w:rtl/>
        </w:rPr>
      </w:pPr>
      <w:r w:rsidRPr="004C1C87">
        <w:rPr>
          <w:rtl/>
        </w:rPr>
        <w:t xml:space="preserve">تُدعى الجمعية العامة في دورتها الحالية إلى الموافقة على </w:t>
      </w:r>
      <w:r w:rsidR="00590B83" w:rsidRPr="004C1C87">
        <w:rPr>
          <w:rtl/>
        </w:rPr>
        <w:t>التعديلات</w:t>
      </w:r>
      <w:r w:rsidRPr="004C1C87">
        <w:rPr>
          <w:rtl/>
        </w:rPr>
        <w:t xml:space="preserve"> المقترحة على التوجيهات </w:t>
      </w:r>
      <w:r w:rsidR="00590B83" w:rsidRPr="004C1C87">
        <w:rPr>
          <w:rtl/>
        </w:rPr>
        <w:t>التنفيذية</w:t>
      </w:r>
      <w:r w:rsidRPr="004C1C87">
        <w:rPr>
          <w:rtl/>
        </w:rPr>
        <w:t xml:space="preserve"> </w:t>
      </w:r>
      <w:r w:rsidR="00B17BBA" w:rsidRPr="004C1C87">
        <w:rPr>
          <w:rtl/>
        </w:rPr>
        <w:t>لتنفيذ</w:t>
      </w:r>
      <w:r w:rsidR="00B17BBA" w:rsidRPr="004C1C87" w:rsidDel="00B17BBA">
        <w:rPr>
          <w:rtl/>
        </w:rPr>
        <w:t xml:space="preserve"> </w:t>
      </w:r>
      <w:r w:rsidRPr="004C1C87">
        <w:rPr>
          <w:rtl/>
        </w:rPr>
        <w:t xml:space="preserve">اتفاقية عام 2003، والتي أوصت اللجنة الدولية الحكومية بالموافقة عليها في دورتها العشرين، وذلك بهدف تعزيز الإجراءات المرتبطة بآليتي التعاون الدولي التاليتين للاتفاقية، ولا سيما معالجة ملفات الترشيح </w:t>
      </w:r>
      <w:r w:rsidR="00B75DEA" w:rsidRPr="004C1C87">
        <w:rPr>
          <w:rtl/>
        </w:rPr>
        <w:t>بآليات الإدراج في الاتفاقية</w:t>
      </w:r>
      <w:r w:rsidRPr="004C1C87">
        <w:rPr>
          <w:rtl/>
        </w:rPr>
        <w:t xml:space="preserve">، </w:t>
      </w:r>
      <w:r w:rsidR="00D57915" w:rsidRPr="004C1C87">
        <w:rPr>
          <w:rtl/>
        </w:rPr>
        <w:t>فضلاً</w:t>
      </w:r>
      <w:r w:rsidRPr="004C1C87">
        <w:rPr>
          <w:rtl/>
        </w:rPr>
        <w:t xml:space="preserve"> </w:t>
      </w:r>
      <w:r w:rsidR="00D57915" w:rsidRPr="004C1C87">
        <w:rPr>
          <w:rtl/>
        </w:rPr>
        <w:t>عن التوجّه</w:t>
      </w:r>
      <w:r w:rsidRPr="004C1C87">
        <w:rPr>
          <w:rtl/>
        </w:rPr>
        <w:t xml:space="preserve"> نحو نظام عالمي موحد لتقديم التقارير الدورية.</w:t>
      </w:r>
    </w:p>
    <w:p w14:paraId="5A07F7A4" w14:textId="442A8C63" w:rsidR="001E7D4C" w:rsidRPr="004C1C87" w:rsidRDefault="001E7D4C" w:rsidP="007A5EBF">
      <w:pPr>
        <w:pStyle w:val="COMPara"/>
        <w:numPr>
          <w:ilvl w:val="0"/>
          <w:numId w:val="41"/>
        </w:numPr>
        <w:bidi/>
        <w:spacing w:before="240" w:line="305" w:lineRule="auto"/>
        <w:ind w:left="567" w:hanging="567"/>
        <w:jc w:val="both"/>
        <w:rPr>
          <w:b/>
          <w:bCs/>
          <w:color w:val="000000" w:themeColor="text1"/>
          <w:rtl/>
        </w:rPr>
      </w:pPr>
      <w:r w:rsidRPr="004C1C87">
        <w:rPr>
          <w:b/>
          <w:bCs/>
          <w:color w:val="000000" w:themeColor="text1"/>
          <w:rtl/>
        </w:rPr>
        <w:t xml:space="preserve">معالجة ملفات الترشيح الخاصة بآليات الإدراج </w:t>
      </w:r>
      <w:r w:rsidR="00B75DEA" w:rsidRPr="004C1C87">
        <w:rPr>
          <w:b/>
          <w:bCs/>
          <w:color w:val="000000" w:themeColor="text1"/>
          <w:rtl/>
        </w:rPr>
        <w:t xml:space="preserve">في </w:t>
      </w:r>
      <w:r w:rsidRPr="004C1C87">
        <w:rPr>
          <w:b/>
          <w:bCs/>
          <w:color w:val="000000" w:themeColor="text1"/>
          <w:rtl/>
        </w:rPr>
        <w:t>الاتفاقية</w:t>
      </w:r>
      <w:r w:rsidR="00D57915" w:rsidRPr="004C1C87">
        <w:rPr>
          <w:b/>
          <w:bCs/>
          <w:rtl/>
        </w:rPr>
        <w:t xml:space="preserve"> </w:t>
      </w:r>
    </w:p>
    <w:p w14:paraId="7D455BB9" w14:textId="58FCE92D" w:rsidR="00372A64" w:rsidRPr="004C1C87" w:rsidRDefault="00372A64" w:rsidP="00A62BEC">
      <w:pPr>
        <w:pStyle w:val="COMPara"/>
        <w:bidi/>
        <w:spacing w:line="305" w:lineRule="auto"/>
        <w:ind w:left="567" w:hanging="567"/>
        <w:jc w:val="both"/>
        <w:rPr>
          <w:rtl/>
        </w:rPr>
      </w:pPr>
      <w:r w:rsidRPr="004C1C87">
        <w:rPr>
          <w:rtl/>
        </w:rPr>
        <w:t xml:space="preserve">يتضمن الفصل الفرعي </w:t>
      </w:r>
      <w:r w:rsidR="00C62CB1" w:rsidRPr="004C1C87">
        <w:t>I.15</w:t>
      </w:r>
      <w:r w:rsidRPr="004C1C87">
        <w:rPr>
          <w:rtl/>
        </w:rPr>
        <w:t xml:space="preserve"> من التوجيهات </w:t>
      </w:r>
      <w:r w:rsidR="00C62CB1" w:rsidRPr="004C1C87">
        <w:rPr>
          <w:rtl/>
        </w:rPr>
        <w:t>التنفيذية</w:t>
      </w:r>
      <w:r w:rsidRPr="004C1C87">
        <w:rPr>
          <w:rtl/>
        </w:rPr>
        <w:t xml:space="preserve"> الأحكام المتعلقة بالإجراءات المرتبطة بمعالجة ملفات آليات الإدراج </w:t>
      </w:r>
      <w:r w:rsidR="00C62CB1" w:rsidRPr="004C1C87">
        <w:rPr>
          <w:rtl/>
        </w:rPr>
        <w:t>في الاتفاقية</w:t>
      </w:r>
      <w:r w:rsidRPr="004C1C87">
        <w:rPr>
          <w:rtl/>
        </w:rPr>
        <w:t xml:space="preserve">، والتي تنقسم إلى ثلاث مراحل: الإعداد والتقديم (الفقرة 54)، والتقييم (الفقرة 55)، والفحص (الفقرة 56). تنص الفقرة 54 من التوجيهات </w:t>
      </w:r>
      <w:r w:rsidR="00C62CB1" w:rsidRPr="004C1C87">
        <w:rPr>
          <w:rtl/>
        </w:rPr>
        <w:t>التنفيذية</w:t>
      </w:r>
      <w:r w:rsidRPr="004C1C87">
        <w:rPr>
          <w:rtl/>
        </w:rPr>
        <w:t xml:space="preserve"> على أن الأمانة تقوم، في أعقاب تقديم الترشيحات وال</w:t>
      </w:r>
      <w:r w:rsidR="00A62BEC" w:rsidRPr="004C1C87">
        <w:rPr>
          <w:rtl/>
        </w:rPr>
        <w:t>اقتراحات</w:t>
      </w:r>
      <w:r w:rsidRPr="004C1C87">
        <w:rPr>
          <w:rtl/>
        </w:rPr>
        <w:t xml:space="preserve"> والطلبات بحلول الموعد القانوني النهائي في 31 </w:t>
      </w:r>
      <w:r w:rsidR="00C62CB1" w:rsidRPr="004C1C87">
        <w:rPr>
          <w:rtl/>
        </w:rPr>
        <w:t>آذار/مارس</w:t>
      </w:r>
      <w:r w:rsidRPr="004C1C87">
        <w:rPr>
          <w:rtl/>
        </w:rPr>
        <w:t xml:space="preserve">، </w:t>
      </w:r>
      <w:r w:rsidR="00366D96" w:rsidRPr="004C1C87">
        <w:rPr>
          <w:rtl/>
        </w:rPr>
        <w:t>"</w:t>
      </w:r>
      <w:r w:rsidRPr="004C1C87">
        <w:rPr>
          <w:rtl/>
        </w:rPr>
        <w:t xml:space="preserve">بمعالجة الملفات، بما في ذلك تسجيلها والإقرار بتسلّمها. وإذا تبين أن أحد الملفات غير كامل، </w:t>
      </w:r>
      <w:r w:rsidR="00A62BEC" w:rsidRPr="004C1C87">
        <w:rPr>
          <w:rtl/>
        </w:rPr>
        <w:t>يطلب من</w:t>
      </w:r>
      <w:r w:rsidRPr="004C1C87">
        <w:rPr>
          <w:rtl/>
        </w:rPr>
        <w:t xml:space="preserve"> الدولة الطرف استكماله". وتُمنح الدولة الطرف بعد ذلك مهلة ثلاثة أشهر لتقديم "المعلومات الناقصة المطلوبة لاستكمال الملفات، </w:t>
      </w:r>
      <w:r w:rsidR="00A62BEC" w:rsidRPr="004C1C87">
        <w:rPr>
          <w:rtl/>
        </w:rPr>
        <w:t>عند الاقتضاء</w:t>
      </w:r>
      <w:r w:rsidR="00366D96" w:rsidRPr="004C1C87">
        <w:rPr>
          <w:rtl/>
        </w:rPr>
        <w:t>،</w:t>
      </w:r>
      <w:r w:rsidR="003C25DB" w:rsidRPr="004C1C87">
        <w:t xml:space="preserve"> </w:t>
      </w:r>
      <w:r w:rsidRPr="004C1C87">
        <w:rPr>
          <w:rtl/>
        </w:rPr>
        <w:t>إلى الأمانة</w:t>
      </w:r>
      <w:r w:rsidR="00A62BEC" w:rsidRPr="004C1C87">
        <w:rPr>
          <w:rtl/>
        </w:rPr>
        <w:t>"</w:t>
      </w:r>
      <w:r w:rsidRPr="004C1C87">
        <w:rPr>
          <w:rtl/>
        </w:rPr>
        <w:t>. ويُعد هذا الجزء من العملية بمثابة مرحلة "التحقق من الاكتمال الفني".</w:t>
      </w:r>
    </w:p>
    <w:p w14:paraId="0CAE1729" w14:textId="60C9448A" w:rsidR="000F1B71" w:rsidRPr="004C1C87" w:rsidRDefault="001835D0" w:rsidP="007A5EBF">
      <w:pPr>
        <w:pStyle w:val="COMPara"/>
        <w:bidi/>
        <w:spacing w:line="305" w:lineRule="auto"/>
        <w:ind w:left="567" w:hanging="567"/>
        <w:jc w:val="both"/>
        <w:rPr>
          <w:rtl/>
        </w:rPr>
      </w:pPr>
      <w:r w:rsidRPr="004C1C87">
        <w:rPr>
          <w:rtl/>
        </w:rPr>
        <w:t xml:space="preserve">وفي أعقاب عملية </w:t>
      </w:r>
      <w:r w:rsidR="00A82FD5" w:rsidRPr="004C1C87">
        <w:rPr>
          <w:rtl/>
        </w:rPr>
        <w:t>التفكير الشامل بشأن آليات الإدراج في الاتفاقية</w:t>
      </w:r>
      <w:r w:rsidR="00A82FD5" w:rsidRPr="004C1C87" w:rsidDel="00A82FD5">
        <w:rPr>
          <w:rtl/>
        </w:rPr>
        <w:t xml:space="preserve"> </w:t>
      </w:r>
      <w:r w:rsidRPr="004C1C87">
        <w:rPr>
          <w:rtl/>
        </w:rPr>
        <w:t xml:space="preserve">(2018-2022)، جرى تبسيط العديد من الإجراءات والنماذج الخاصة بتقديم الترشيحات. وبالمثل، جرى تعديل المتطلبات </w:t>
      </w:r>
      <w:r w:rsidR="004C41CC" w:rsidRPr="004C1C87">
        <w:rPr>
          <w:rtl/>
        </w:rPr>
        <w:t>التقنية</w:t>
      </w:r>
      <w:r w:rsidRPr="004C1C87">
        <w:rPr>
          <w:rtl/>
        </w:rPr>
        <w:t xml:space="preserve"> ذات الصلة وفقاً لذلك لتعكس تبسيط هذه الإجراءات وتنوع المواد المراد النظر فيها، بما في ذلك إدراج مواد اختيارية وملفات سمعية بصرية مقدمة من الدول والجماعات. وفي حين ضَمِنت عمليةُ التحقق من الاكتمال الفني، وبشكل متزايد على مر السنين، امتثالَ ملفات الترشيح للمتطلبات الفنية اللازمة، فقد أتاحت أيضاً للدول الفرصةَ لتحسين جودة ترشيحاتها. وبذلك، يسرت هذه العمليةُ تقييمَ الهيئة الاستشارية للملفات وفحصَ اللجنة لها، مع ضمان إبراز العناصر وعرضها على الجمهور بالشكل الملائم.</w:t>
      </w:r>
    </w:p>
    <w:p w14:paraId="326482FA" w14:textId="23C789CB" w:rsidR="009F2DF1" w:rsidRPr="004C1C87" w:rsidRDefault="00235203" w:rsidP="007A5EBF">
      <w:pPr>
        <w:pStyle w:val="COMPara"/>
        <w:bidi/>
        <w:spacing w:line="305" w:lineRule="auto"/>
        <w:ind w:left="567" w:hanging="567"/>
        <w:jc w:val="both"/>
        <w:rPr>
          <w:rtl/>
        </w:rPr>
      </w:pPr>
      <w:r w:rsidRPr="004C1C87">
        <w:rPr>
          <w:rtl/>
        </w:rPr>
        <w:t xml:space="preserve">ونظراً للعدد الكبير الملحوظ من الترشيحات المقدمة في إطار دورتي 2024 و2025 عندما بدأت نتائج </w:t>
      </w:r>
      <w:r w:rsidR="00A82FD5" w:rsidRPr="004C1C87">
        <w:rPr>
          <w:rtl/>
        </w:rPr>
        <w:t xml:space="preserve">التفكير الشامل </w:t>
      </w:r>
      <w:r w:rsidRPr="004C1C87">
        <w:rPr>
          <w:rtl/>
        </w:rPr>
        <w:t xml:space="preserve">بشأن آليات الإدراج تؤتي ثمارها كاملةً، فضلاً عن تزايد المتطلبات الفنية والعناصر المقابلة لها التي يتعين مراجعتها طوال عملية التحقق من الاكتمال الفني، فقد أوصت اللجنة في دورتها العشرين الجمعية العامة </w:t>
      </w:r>
      <w:r w:rsidR="009E30D4" w:rsidRPr="004C1C87">
        <w:rPr>
          <w:rtl/>
        </w:rPr>
        <w:t>بتعديل التوجيهات التنفيذية</w:t>
      </w:r>
      <w:r w:rsidRPr="004C1C87">
        <w:rPr>
          <w:rtl/>
        </w:rPr>
        <w:t xml:space="preserve"> (</w:t>
      </w:r>
      <w:r w:rsidR="009E30D4" w:rsidRPr="004C1C87">
        <w:rPr>
          <w:rtl/>
        </w:rPr>
        <w:t>القرار</w:t>
      </w:r>
      <w:r w:rsidRPr="004C1C87">
        <w:rPr>
          <w:rtl/>
        </w:rPr>
        <w:t xml:space="preserve"> </w:t>
      </w:r>
      <w:hyperlink r:id="rId8" w:history="1">
        <w:r w:rsidR="00736C63" w:rsidRPr="004C1C87">
          <w:rPr>
            <w:rStyle w:val="Hyperlink"/>
          </w:rPr>
          <w:t>20.COM 8</w:t>
        </w:r>
      </w:hyperlink>
      <w:r w:rsidRPr="004C1C87">
        <w:rPr>
          <w:rtl/>
        </w:rPr>
        <w:t xml:space="preserve"> والوثيقة </w:t>
      </w:r>
      <w:hyperlink r:id="rId9" w:history="1">
        <w:r w:rsidRPr="004C1C87">
          <w:rPr>
            <w:rStyle w:val="Hyperlink"/>
          </w:rPr>
          <w:t>LHE/25/20.COM/8</w:t>
        </w:r>
      </w:hyperlink>
      <w:r w:rsidRPr="004C1C87">
        <w:rPr>
          <w:rtl/>
        </w:rPr>
        <w:t>)، وذلك لتمكين تخصيص وقت إضافي لعملية التحقق من الاكتمال الفني لملفات الترشيح، مع مراعاة الجوانب المتعددة المنطوية في هذه العملية، والعدد المتزايد من الترشيحات المستفيدة منها، وأهميتها لمرحلة التقييم اللاحقة.</w:t>
      </w:r>
    </w:p>
    <w:p w14:paraId="4D11F301" w14:textId="77777777" w:rsidR="008B6268" w:rsidRPr="004C1C87" w:rsidRDefault="008B6268" w:rsidP="007A5EBF">
      <w:pPr>
        <w:pStyle w:val="COMPara"/>
        <w:numPr>
          <w:ilvl w:val="0"/>
          <w:numId w:val="0"/>
        </w:numPr>
        <w:bidi/>
        <w:spacing w:line="305" w:lineRule="auto"/>
        <w:ind w:left="567"/>
        <w:jc w:val="both"/>
        <w:rPr>
          <w:u w:val="single"/>
          <w:rtl/>
        </w:rPr>
      </w:pPr>
      <w:r w:rsidRPr="004C1C87">
        <w:rPr>
          <w:u w:val="single"/>
          <w:rtl/>
        </w:rPr>
        <w:t>نطاق فحص الاكتمال التقني</w:t>
      </w:r>
    </w:p>
    <w:p w14:paraId="44A448B3" w14:textId="00C800D5" w:rsidR="008B6268" w:rsidRPr="004C1C87" w:rsidRDefault="008B6268" w:rsidP="007A5EBF">
      <w:pPr>
        <w:pStyle w:val="COMPara"/>
        <w:bidi/>
        <w:spacing w:line="305" w:lineRule="auto"/>
        <w:ind w:left="567" w:hanging="567"/>
        <w:jc w:val="both"/>
        <w:rPr>
          <w:rtl/>
        </w:rPr>
      </w:pPr>
      <w:r w:rsidRPr="004C1C87">
        <w:rPr>
          <w:rtl/>
        </w:rPr>
        <w:t>إلى جانب تحديد المستندات والمواد المفقودة في ملفات الترشيح، يتمثل التحقق من الاكتمال في ضمان امتثال الملف للمتطلبات الفنية، وذلك بالهدف الأسمى المتمثل في تسهيل تقييمه من قبل هيئة التقييم وفحصه من قبل اللجنة، مع ضمان إجراء التقييم على أساس من الشفافية والمساواة. علاوةً على ذلك، تتيح هذه العمليةُ إعطاءَ العناصرِ القدرَ الكافي من الإبراز والعرض أمام الجمهور، من خلال مواد الترشيح المصاحبة المنشورة على الموقع الإلكتروني للاتفاقية أثناء عملية الترشيح وبعد الإدراج.</w:t>
      </w:r>
    </w:p>
    <w:p w14:paraId="6D85E4F9" w14:textId="01739600" w:rsidR="008B6268" w:rsidRPr="004C1C87" w:rsidRDefault="008B6268" w:rsidP="007A5EBF">
      <w:pPr>
        <w:pStyle w:val="COMPara"/>
        <w:bidi/>
        <w:spacing w:line="305" w:lineRule="auto"/>
        <w:ind w:left="567" w:hanging="567"/>
        <w:jc w:val="both"/>
        <w:rPr>
          <w:rtl/>
        </w:rPr>
      </w:pPr>
      <w:r w:rsidRPr="004C1C87">
        <w:rPr>
          <w:rtl/>
        </w:rPr>
        <w:t>ويتسع نطاق القضايا التي يتم تناولها من خلال التحقق من الاكتمال الفني ليشمل جوانب شتى؛ بدءاً من وجود الإجابات في نماذج الترشيح (</w:t>
      </w:r>
      <w:r w:rsidRPr="004C1C87">
        <w:t>ICH-0x</w:t>
      </w:r>
      <w:r w:rsidRPr="004C1C87">
        <w:rPr>
          <w:rtl/>
        </w:rPr>
        <w:t>) مع مراعاة الحدود القصوى للكلمات، وتقديم العدد المحدد من الصور ومقاطع الفيديو المرفقة بترجمة نصية وبتنسيق ومدة مناسبين، وصولاً إلى تقديم وثائق الموافقة أو مستخرج من الحصر باللغة الأصلية وبالإنجليزية أو الفرنسية، من بين أمور أخرى. وقد ازدادت المتطلبات الفنية، ومن ثَمَّ الجوانب التي يتعين فحصها، في أعقاب عملية</w:t>
      </w:r>
      <w:r w:rsidR="00123DEE" w:rsidRPr="004C1C87">
        <w:rPr>
          <w:rtl/>
        </w:rPr>
        <w:t xml:space="preserve"> التفكير الشامل </w:t>
      </w:r>
      <w:r w:rsidRPr="004C1C87">
        <w:rPr>
          <w:rtl/>
        </w:rPr>
        <w:t>بشأن آليات الإدراج؛ لا سيما مع إدراج المواد الاختيارية، وزيادة الملفات السمعية والبصرية، والوثائق المحددة لطلبات التمديد والنقل. وتجدر الإشارة إلى أنه في تلك المرحلة، لا يتم التحقق من محتوى مواد الترشيح المقدمة، بل يقتصر الأمر على التحقق من مدى استيفائها للمتطلبات الفنية.</w:t>
      </w:r>
    </w:p>
    <w:p w14:paraId="44AE1E84" w14:textId="353A2214" w:rsidR="008B6268" w:rsidRPr="004C1C87" w:rsidRDefault="008B6268" w:rsidP="007A5EBF">
      <w:pPr>
        <w:pStyle w:val="COMPara"/>
        <w:bidi/>
        <w:spacing w:line="305" w:lineRule="auto"/>
        <w:ind w:left="567" w:hanging="567"/>
        <w:jc w:val="both"/>
        <w:rPr>
          <w:rtl/>
        </w:rPr>
      </w:pPr>
      <w:r w:rsidRPr="004C1C87">
        <w:rPr>
          <w:rtl/>
        </w:rPr>
        <w:t>وعلى مر السنين، تطورت الممارسات وأصبح النهج أكثر مرونة؛ لا سيما بعد أن أصبح من الضروري للدول التي تخرج ملفاتها من فئة "</w:t>
      </w:r>
      <w:r w:rsidR="00123DEE" w:rsidRPr="004C1C87">
        <w:rPr>
          <w:rtl/>
        </w:rPr>
        <w:t>الملفات المتراكمة قيد المعالجة"</w:t>
      </w:r>
      <w:r w:rsidRPr="004C1C87">
        <w:rPr>
          <w:rtl/>
        </w:rPr>
        <w:t xml:space="preserve"> بعد عدة سنوات أن تكون قادرةً على تقديم وثائق محدثة. وقد أتاحت هذه العملية للدول المقدمة للطلبات فرصة الاستفادة من فحص الاكتمال الفني لمراجعة ملف الترشيح مراجعةً فعالةً، وذلك عبر تقديم معلومات محدثة إضافية تتجاوز مجرد المعلومات المشار إليها بوصفها معلومات ناقصة في طلبات الأمانة للحصول على معلومات إضافية. وتغتنم الغالبية العظمى من الدول المقدمة للطلبات حالياً هذه المرحلة لاستكمال ملفاتها ومراجعتها. وغالباً ما تتضمن المعلومات الإضافية، ضمن جملة أمور أخرى،</w:t>
      </w:r>
      <w:r w:rsidRPr="004C1C87">
        <w:rPr>
          <w:i/>
          <w:iCs/>
          <w:rtl/>
        </w:rPr>
        <w:t xml:space="preserve"> </w:t>
      </w:r>
      <w:r w:rsidRPr="004C1C87">
        <w:rPr>
          <w:rtl/>
        </w:rPr>
        <w:t xml:space="preserve">توضيحاً بشأن تقديم المواد الاختيارية، ووثائق موافقة إضافية، ومستخرجات محدثة من سجلات الحصر، ومعلومات </w:t>
      </w:r>
      <w:r w:rsidRPr="004C1C87">
        <w:rPr>
          <w:rtl/>
        </w:rPr>
        <w:lastRenderedPageBreak/>
        <w:t>إضافية ترغب الجماعات في نقلها في ضوء السياقات المحلية المتغيرة. وفي الترشيحات متعددة الجنسيات، يمكن أن تتعلق هذه القضايا بدولة واحدة أو أكثر من الدول المقدمة للترشيح.</w:t>
      </w:r>
    </w:p>
    <w:p w14:paraId="66D583BE" w14:textId="77777777" w:rsidR="008B6268" w:rsidRPr="004C1C87" w:rsidRDefault="008B6268" w:rsidP="007A5EBF">
      <w:pPr>
        <w:pStyle w:val="COMPara"/>
        <w:bidi/>
        <w:spacing w:line="305" w:lineRule="auto"/>
        <w:ind w:left="567" w:hanging="567"/>
        <w:jc w:val="both"/>
        <w:rPr>
          <w:rtl/>
        </w:rPr>
      </w:pPr>
      <w:r w:rsidRPr="004C1C87">
        <w:rPr>
          <w:rtl/>
        </w:rPr>
        <w:t>وعلى الرغم من أن هذا النهج المرن يمثل عبئاً أكبر على الأمانة، فقد مُنح للدول المقدمة للطلبات مراعاةً لمصلحة الدول والجماعات، وذلك لإتاحة الفرصة لتحسين جودة ملفات الترشيح، مع الالتزام بمبدأ الشفافية من خلال نشر النسخ المختلفة من وثائق الترشيح على الموقع الإلكتروني للاتفاقية مشفوعةً بتاريخ تقديمها. وعلاوةً على ذلك، لا يمكن تعديل وثائق الترشيح بمبادرة من الدول المقدمة للطلبات بعد إحالة الترشيحات إلى هيئة التقييم.</w:t>
      </w:r>
    </w:p>
    <w:p w14:paraId="282C0F67" w14:textId="00480A99" w:rsidR="008B6268" w:rsidRPr="004C1C87" w:rsidRDefault="008B6268" w:rsidP="007A5EBF">
      <w:pPr>
        <w:pStyle w:val="COMPara"/>
        <w:bidi/>
        <w:spacing w:line="305" w:lineRule="auto"/>
        <w:ind w:left="567" w:hanging="567"/>
        <w:jc w:val="both"/>
        <w:rPr>
          <w:rtl/>
        </w:rPr>
      </w:pPr>
      <w:r w:rsidRPr="004C1C87">
        <w:rPr>
          <w:rtl/>
        </w:rPr>
        <w:t>وفي حين أن تعزيز قدرات الدول والجماعات وإدراج عملية الحوار يفسران إلى حد كبير نجاح الترشيحات في السنوات الأخيرة، إلا أنه يمكن اعتبار أن النهج المرن المتبع في مرحلة "التحقق من الاكتمال الفني" قد ساهم أيضاً في دعم هذا الاتجاه الإيجابي؛ حيث ارتفع معدل التوصيات الإيجابية الصادرة عن هيئة التقييم (ليتراوح بين 98% و100% بين عامي 2023 و2025)، مع تحسن التوازن الجغرافي للترشيحات المفحوصة في دورات 2023 و2024 و2025 (المجموعة الأولى: 12%، المجموعة الثانية: 13%، المجموعة الثالثة: 15%، المجموعة الرابعة: 22%، المجموعة الخامسة (أ): 14%، المجموعة الخامسة (ب): 16% وملفات تتضمن مجموعات متعددة: 8% من أصل 190 ملفاً</w:t>
      </w:r>
      <w:r w:rsidR="007808C9" w:rsidRPr="004C1C87">
        <w:t xml:space="preserve"> </w:t>
      </w:r>
      <w:r w:rsidR="007808C9" w:rsidRPr="004C1C87">
        <w:rPr>
          <w:rtl/>
        </w:rPr>
        <w:t>التي تم تقديمها</w:t>
      </w:r>
      <w:r w:rsidRPr="004C1C87">
        <w:rPr>
          <w:rtl/>
        </w:rPr>
        <w:t xml:space="preserve"> من 134 </w:t>
      </w:r>
      <w:r w:rsidR="007808C9" w:rsidRPr="004C1C87">
        <w:rPr>
          <w:rtl/>
        </w:rPr>
        <w:t>دول</w:t>
      </w:r>
      <w:r w:rsidR="004C41CC" w:rsidRPr="004C1C87">
        <w:rPr>
          <w:rtl/>
        </w:rPr>
        <w:t>ة</w:t>
      </w:r>
      <w:r w:rsidRPr="004C1C87">
        <w:rPr>
          <w:rtl/>
        </w:rPr>
        <w:t>).</w:t>
      </w:r>
    </w:p>
    <w:p w14:paraId="2689A428" w14:textId="66CB386A" w:rsidR="008B6268" w:rsidRPr="004C1C87" w:rsidRDefault="008B6268" w:rsidP="007A5EBF">
      <w:pPr>
        <w:pStyle w:val="COMPara"/>
        <w:bidi/>
        <w:spacing w:line="305" w:lineRule="auto"/>
        <w:ind w:left="567" w:hanging="567"/>
        <w:jc w:val="both"/>
        <w:rPr>
          <w:rtl/>
        </w:rPr>
      </w:pPr>
      <w:r w:rsidRPr="004C1C87">
        <w:rPr>
          <w:rtl/>
        </w:rPr>
        <w:t>وبعد أن أحيطت اللجنة في دورتها العشرين (</w:t>
      </w:r>
      <w:r w:rsidR="007808C9" w:rsidRPr="004C1C87">
        <w:rPr>
          <w:rtl/>
        </w:rPr>
        <w:t>القرار</w:t>
      </w:r>
      <w:r w:rsidRPr="004C1C87">
        <w:rPr>
          <w:rtl/>
        </w:rPr>
        <w:t xml:space="preserve"> </w:t>
      </w:r>
      <w:hyperlink r:id="rId10" w:history="1">
        <w:r w:rsidRPr="004C1C87">
          <w:rPr>
            <w:rStyle w:val="Hyperlink"/>
            <w:cs/>
          </w:rPr>
          <w:t>‎</w:t>
        </w:r>
        <w:hyperlink r:id="rId11" w:history="1">
          <w:r w:rsidR="00736C63" w:rsidRPr="004C1C87">
            <w:rPr>
              <w:rStyle w:val="Hyperlink"/>
            </w:rPr>
            <w:t>20.COM 8</w:t>
          </w:r>
        </w:hyperlink>
      </w:hyperlink>
      <w:r w:rsidRPr="004C1C87">
        <w:rPr>
          <w:rtl/>
        </w:rPr>
        <w:t>) علماً بالقضايا المذكورة أعلاه، أعربت عن تقديرها للآثار الإيجابية للنهج المرن الحالي في دعم جهود الدول، مؤكدةً أن الأحكام الواردة في الفقرة 54، ولا سيما فيما يتعلق بالموعد النهائي في 30 أيلول/سبتمبر من العام الأول، تسمح بتقديم مواد ترشيح منقحة كجزء من عملية التحقق من الاكتمال الفني (بدلاً من اتباع نهج "صارم" للتحقق من الاكتمال الفني كان من شأنه أن يمنع الدول المقدمة للطلبات من تعديل الترشيح بما يتجاوز ما أشارت إليه الأمانة بوصفه نقصاً). ومع ذلك، دعت اللجنة الدول الأطراف إلى الامتناع عن إجراء تغييرات جوهرية من خلال عملية التحقق من الاكتمال الفني، وفي الوقت نفسه، طلبت من الأمانة استكشاف سبل لتزويد هيئة التقييم واللجنة بالمعلومات المتعلقة بالتغييرات التي أُجريت أثناء تلك العملية. وبالنسبة لدورة عام 2026، تعكس تواريخ نشر مواد الترشيح المتاحة عبر صفحة الويب المخصصة التغييرات التي أُجريت أثناء عملية التحقق من الاكتمال الفني. وفي وقت كتابة هذا التقرير، تعكف الأمانة على استكشاف خيارات لإيجاد طريقة أوضح لعرض هذه التغييرات بصرياً، استجابةً لطلب اللجنة في سياق دورة ترشيحات عام 2027.</w:t>
      </w:r>
    </w:p>
    <w:p w14:paraId="3EE0F2D2" w14:textId="77777777" w:rsidR="00C958C5" w:rsidRPr="004C1C87" w:rsidRDefault="00C958C5" w:rsidP="007A5EBF">
      <w:pPr>
        <w:pStyle w:val="COMPara"/>
        <w:numPr>
          <w:ilvl w:val="0"/>
          <w:numId w:val="0"/>
        </w:numPr>
        <w:bidi/>
        <w:spacing w:line="305" w:lineRule="auto"/>
        <w:ind w:left="567"/>
        <w:jc w:val="both"/>
        <w:rPr>
          <w:u w:val="single"/>
          <w:rtl/>
        </w:rPr>
      </w:pPr>
      <w:r w:rsidRPr="004C1C87">
        <w:rPr>
          <w:u w:val="single"/>
          <w:rtl/>
        </w:rPr>
        <w:t>الجدول الزمني لمعالجة الترشيحات</w:t>
      </w:r>
    </w:p>
    <w:p w14:paraId="56D02546" w14:textId="2D390B8E" w:rsidR="00C958C5" w:rsidRPr="004C1C87" w:rsidRDefault="00C958C5" w:rsidP="007A5EBF">
      <w:pPr>
        <w:pStyle w:val="COMPara"/>
        <w:bidi/>
        <w:spacing w:line="305" w:lineRule="auto"/>
        <w:ind w:left="567" w:hanging="567"/>
        <w:jc w:val="both"/>
        <w:rPr>
          <w:rtl/>
        </w:rPr>
      </w:pPr>
      <w:r w:rsidRPr="004C1C87">
        <w:rPr>
          <w:rtl/>
        </w:rPr>
        <w:t xml:space="preserve">تُعد دورتا عامي 2024 و2025 أولى دورات الترشيح التي دخلت فيها نتائج عملية </w:t>
      </w:r>
      <w:r w:rsidR="00B524D6" w:rsidRPr="004C1C87">
        <w:rPr>
          <w:rtl/>
        </w:rPr>
        <w:t xml:space="preserve">التفكير الشامل </w:t>
      </w:r>
      <w:r w:rsidRPr="004C1C87">
        <w:rPr>
          <w:rtl/>
        </w:rPr>
        <w:t xml:space="preserve">بشأن آليات الإدراج </w:t>
      </w:r>
      <w:r w:rsidR="00BE2DB4" w:rsidRPr="004C1C87">
        <w:rPr>
          <w:rtl/>
        </w:rPr>
        <w:t>في</w:t>
      </w:r>
      <w:r w:rsidR="00BE2DB4" w:rsidRPr="004C1C87">
        <w:t xml:space="preserve"> </w:t>
      </w:r>
      <w:r w:rsidRPr="004C1C87">
        <w:rPr>
          <w:rtl/>
        </w:rPr>
        <w:t>الاتفاقية (2018-2022) حيز النفاذ الكامل. وبينما سيُعرض تقرير أكثر تفصيلاً على اللجنة في دورتها القادمة عام 2026 استجابةً ل</w:t>
      </w:r>
      <w:r w:rsidR="00B524D6" w:rsidRPr="004C1C87">
        <w:rPr>
          <w:rtl/>
        </w:rPr>
        <w:t>لقرار</w:t>
      </w:r>
      <w:r w:rsidRPr="004C1C87">
        <w:rPr>
          <w:rtl/>
        </w:rPr>
        <w:t xml:space="preserve"> </w:t>
      </w:r>
      <w:hyperlink r:id="rId12" w:history="1">
        <w:r w:rsidR="00736C63" w:rsidRPr="004C1C87">
          <w:rPr>
            <w:rStyle w:val="Hyperlink"/>
          </w:rPr>
          <w:t>19.COM 15</w:t>
        </w:r>
      </w:hyperlink>
      <w:r w:rsidRPr="004C1C87">
        <w:rPr>
          <w:rtl/>
        </w:rPr>
        <w:t>، فإنه يمكن بالفعل ملاحظة أن عدد الملفات التي تمت معالجتها قد ازداد بشكل كبير (بإجمالي 140 ملفاً على مدار الدورتين، مقابل 121 ملفاً في دورتي 2022 و2023 مجتمعتين)، وذلك مع مراعاة السقف السنوي البالغ ستين ملفاً، ومختلف فئات الملفات التي تقرر معالجتها خارج السقف السنوي بدءاً من دورة عام 2024 (</w:t>
      </w:r>
      <w:r w:rsidR="00C44A52" w:rsidRPr="004C1C87">
        <w:rPr>
          <w:rtl/>
        </w:rPr>
        <w:t>القرار</w:t>
      </w:r>
      <w:r w:rsidRPr="004C1C87">
        <w:rPr>
          <w:rtl/>
        </w:rPr>
        <w:t xml:space="preserve"> </w:t>
      </w:r>
      <w:hyperlink r:id="rId13" w:history="1">
        <w:r w:rsidRPr="004C1C87">
          <w:rPr>
            <w:rStyle w:val="Hyperlink"/>
            <w:cs/>
          </w:rPr>
          <w:t>‎</w:t>
        </w:r>
        <w:hyperlink r:id="rId14" w:history="1">
          <w:r w:rsidR="00736C63" w:rsidRPr="004C1C87">
            <w:rPr>
              <w:rStyle w:val="Hyperlink"/>
            </w:rPr>
            <w:t>17.COM 15</w:t>
          </w:r>
        </w:hyperlink>
      </w:hyperlink>
      <w:r w:rsidRPr="004C1C87">
        <w:rPr>
          <w:rtl/>
        </w:rPr>
        <w:t xml:space="preserve"> و</w:t>
      </w:r>
      <w:hyperlink r:id="rId15" w:history="1">
        <w:r w:rsidRPr="004C1C87">
          <w:rPr>
            <w:rStyle w:val="Hyperlink"/>
            <w:cs/>
          </w:rPr>
          <w:t>‎</w:t>
        </w:r>
        <w:hyperlink r:id="rId16" w:history="1">
          <w:r w:rsidR="00736C63" w:rsidRPr="004C1C87">
            <w:rPr>
              <w:rStyle w:val="Hyperlink"/>
            </w:rPr>
            <w:t>19.COM 15</w:t>
          </w:r>
        </w:hyperlink>
      </w:hyperlink>
      <w:r w:rsidR="00736C63" w:rsidRPr="004C1C87">
        <w:rPr>
          <w:rtl/>
        </w:rPr>
        <w:t>)</w:t>
      </w:r>
      <w:r w:rsidRPr="004C1C87">
        <w:t>.</w:t>
      </w:r>
      <w:r w:rsidRPr="004C1C87">
        <w:rPr>
          <w:rtl/>
        </w:rPr>
        <w:t xml:space="preserve"> ويؤثر هذا الارتفاع على عبء العمل الملقى على عاتق اللجنة وهيئة التقييم والأمانة، وقد يكون موضوعاً للمناقشات في الدورة الحادية والعشرين للجنة.</w:t>
      </w:r>
    </w:p>
    <w:p w14:paraId="0A32D71C" w14:textId="007D181D" w:rsidR="00C958C5" w:rsidRPr="004C1C87" w:rsidRDefault="00C958C5" w:rsidP="007A5EBF">
      <w:pPr>
        <w:pStyle w:val="COMPara"/>
        <w:bidi/>
        <w:spacing w:line="305" w:lineRule="auto"/>
        <w:ind w:left="567" w:hanging="567"/>
        <w:jc w:val="both"/>
        <w:rPr>
          <w:rtl/>
        </w:rPr>
      </w:pPr>
      <w:r w:rsidRPr="004C1C87">
        <w:rPr>
          <w:rtl/>
        </w:rPr>
        <w:t xml:space="preserve">في أعقاب عملية </w:t>
      </w:r>
      <w:r w:rsidR="00F06EC6" w:rsidRPr="004C1C87">
        <w:rPr>
          <w:rtl/>
        </w:rPr>
        <w:t xml:space="preserve">التفكير الشامل </w:t>
      </w:r>
      <w:r w:rsidRPr="004C1C87">
        <w:rPr>
          <w:rtl/>
        </w:rPr>
        <w:t>بشأن آليات الإدراج، جرى تبسيط العديد من الإجراءات والنماذج الخاصة بتقديم الترشيحات، مع تعديل المتطلبات الفنية لتتوافق مع هذه الإجراءات المبسطة، وكذا مع تنوع مواد الترشيح التي يتعين النظر فيها، ولا سيما فيما يتعلق بنقل العناصر من قائمة إلى أخرى والترشيحات المقدمة على أساس موسع. وفي إطار دورتي عامي 2024 و2025، استفاد 106 ملفات، من أصل 140 ملفاً جرت معالجتها في البداية، من طلبات الحصول على معلومات إضافية بناءً على عملية التحقق من الاكتمال الفني وباستخدام النهج المرن المذكور آنفاً.</w:t>
      </w:r>
    </w:p>
    <w:p w14:paraId="5B72F721" w14:textId="1F999695" w:rsidR="00C958C5" w:rsidRPr="004C1C87" w:rsidRDefault="00C958C5" w:rsidP="007A5EBF">
      <w:pPr>
        <w:pStyle w:val="COMPara"/>
        <w:bidi/>
        <w:spacing w:line="305" w:lineRule="auto"/>
        <w:ind w:left="567" w:hanging="567"/>
        <w:jc w:val="both"/>
        <w:rPr>
          <w:rtl/>
        </w:rPr>
      </w:pPr>
      <w:r w:rsidRPr="004C1C87">
        <w:rPr>
          <w:rtl/>
        </w:rPr>
        <w:t>وبالنظر إلى الجوانب المتعددة التي يتعين معالجتها من خلال عملية التحقق من الاكتمال الفني، والحجم الكبير للترشيحات التي تستفيد من هذه العملية وأهميتها لمرحلة التقييم، فإنه من المرغوب فيه تخصيص المزيد من الوقت لإجراء عملية التحقق من الاكتمال. وفي ضوء هذه الجوانب، يُقترح إتاحة وقت إضافي لمرحلة التحقق من الاكتمال الفني، بحيث يمكن تمديد موعدها النهائي إلى 31 آب/أغسطس من العام الأول (بدلاً من 30 حزيران/يونيو). وبدورها، ستُمنح الدول المقدمة للطلبات مهلة ثلاثة أشهر، كما هو الحال حالياً، لتقديم المعلومات، وذلك في موعد أقصاه 30 تشرين الثاني/نوفمبر من العام الأول (بدلاً من 30 أيلول/سبتمبر). ومن الناحية العملية، ستُعدل المواعيد النهائية لمنح فترة زمنية متساوية (ثلاثة أشهر) لاستكمال الترشيحات في حال صدور طلبات للحصول على معلومات إضافية قبل 31 آب/أغسطس.</w:t>
      </w:r>
    </w:p>
    <w:p w14:paraId="647FA266" w14:textId="47C936A5" w:rsidR="00C958C5" w:rsidRPr="004C1C87" w:rsidRDefault="00C958C5" w:rsidP="007A5EBF">
      <w:pPr>
        <w:pStyle w:val="COMPara"/>
        <w:bidi/>
        <w:spacing w:line="305" w:lineRule="auto"/>
        <w:ind w:left="567" w:hanging="567"/>
        <w:jc w:val="both"/>
        <w:rPr>
          <w:rtl/>
        </w:rPr>
      </w:pPr>
      <w:r w:rsidRPr="004C1C87">
        <w:rPr>
          <w:rtl/>
        </w:rPr>
        <w:lastRenderedPageBreak/>
        <w:t>ويُعد هذا الجدول الزمني الممدد مبرراً بشكل أكبر فيما يتعلق بالإجراء الجديد الخاص بطلبات النقل، والذي تُقترح بشأنها تعديلات على التوجيهات العملياتية أدناه. ومن المفهوم أن طلبات النقل التي تُستلم بحلول الموعد النهائي في 30 حزيران/يونيو ستكون جزءاً من دورة الترشيحات التي تُستلم بحلول الموعد النهائي في 31 آذار/مارس من العام نفسه. وسيتم إجراء التحقق من الاكتمال الفني لطلبات النقل بحلول الموعد النهائي الممدد في 31 آب/أغسطس، على أن تقوم الدول المقدمة للطلبات باستكمال</w:t>
      </w:r>
      <w:r w:rsidR="005A604F" w:rsidRPr="004C1C87">
        <w:rPr>
          <w:rtl/>
        </w:rPr>
        <w:t xml:space="preserve"> المعلومات</w:t>
      </w:r>
      <w:r w:rsidRPr="004C1C87">
        <w:rPr>
          <w:rtl/>
        </w:rPr>
        <w:t xml:space="preserve"> المطلوب</w:t>
      </w:r>
      <w:r w:rsidR="004C0F7F" w:rsidRPr="004C1C87">
        <w:rPr>
          <w:rtl/>
        </w:rPr>
        <w:t>ة</w:t>
      </w:r>
      <w:r w:rsidRPr="004C1C87">
        <w:rPr>
          <w:rtl/>
        </w:rPr>
        <w:t xml:space="preserve"> بحلول الموعد النهائي الممدد في 30 تشرين الثاني/نوفمبر.</w:t>
      </w:r>
    </w:p>
    <w:p w14:paraId="0F861519" w14:textId="5A12B5A0" w:rsidR="00C958C5" w:rsidRPr="004C1C87" w:rsidRDefault="00C958C5" w:rsidP="007A5EBF">
      <w:pPr>
        <w:pStyle w:val="COMPara"/>
        <w:bidi/>
        <w:spacing w:line="305" w:lineRule="auto"/>
        <w:ind w:left="567" w:hanging="567"/>
        <w:jc w:val="both"/>
        <w:rPr>
          <w:rtl/>
        </w:rPr>
      </w:pPr>
      <w:r w:rsidRPr="004C1C87">
        <w:rPr>
          <w:rtl/>
        </w:rPr>
        <w:t xml:space="preserve">وبالإضافة إلى </w:t>
      </w:r>
      <w:r w:rsidR="00390AC3" w:rsidRPr="004C1C87">
        <w:rPr>
          <w:rtl/>
        </w:rPr>
        <w:t>التعديلات</w:t>
      </w:r>
      <w:r w:rsidRPr="004C1C87">
        <w:rPr>
          <w:rtl/>
        </w:rPr>
        <w:t xml:space="preserve"> الموصوفة أعلاه، يُقترح إجراء تنقيح إضافي ليعكس أن التقييم الفردي للملفات تضطلع به هيئة التقييم في الفترة من كانون الأول/ديسمبر من العام الأول إلى حزيران/يونيو من العام الثاني.</w:t>
      </w:r>
    </w:p>
    <w:p w14:paraId="431A466E" w14:textId="3F7F3B91" w:rsidR="009F2DF1" w:rsidRPr="004C1C87" w:rsidRDefault="009F2DF1" w:rsidP="007A5EBF">
      <w:pPr>
        <w:pStyle w:val="COMPara"/>
        <w:numPr>
          <w:ilvl w:val="0"/>
          <w:numId w:val="41"/>
        </w:numPr>
        <w:bidi/>
        <w:spacing w:before="240" w:line="305" w:lineRule="auto"/>
        <w:ind w:left="567" w:hanging="567"/>
        <w:jc w:val="both"/>
        <w:rPr>
          <w:b/>
          <w:bCs/>
          <w:rtl/>
        </w:rPr>
      </w:pPr>
      <w:r w:rsidRPr="004C1C87">
        <w:rPr>
          <w:b/>
          <w:bCs/>
          <w:rtl/>
        </w:rPr>
        <w:t>نظام عالمي موحد لتقديم التقارير الدورية</w:t>
      </w:r>
    </w:p>
    <w:p w14:paraId="262DDACC" w14:textId="6FD74C92" w:rsidR="00820971" w:rsidRPr="004C1C87" w:rsidRDefault="00820971" w:rsidP="007A5EBF">
      <w:pPr>
        <w:pStyle w:val="COMPara"/>
        <w:bidi/>
        <w:spacing w:line="305" w:lineRule="auto"/>
        <w:ind w:left="567" w:hanging="567"/>
        <w:jc w:val="both"/>
        <w:rPr>
          <w:rStyle w:val="Hyperlink"/>
          <w:color w:val="auto"/>
          <w:u w:val="none"/>
          <w:rtl/>
        </w:rPr>
      </w:pPr>
      <w:r w:rsidRPr="004C1C87">
        <w:rPr>
          <w:rtl/>
        </w:rPr>
        <w:t>جرى إصلاح آلية تقديم التقارير الدورية الخاصة باتفاقية عام 2003 في عام 2017، وذلك لتعزيز جودتها وجدواها وتوقيتها، فضلاً عن معالجة انخفاض معدلات تقديم التقارير التي لوحظت حتى ذلك الحين (</w:t>
      </w:r>
      <w:r w:rsidR="00EE2D4F" w:rsidRPr="004C1C87">
        <w:rPr>
          <w:rtl/>
        </w:rPr>
        <w:t>القرار</w:t>
      </w:r>
      <w:r w:rsidR="00EE2D4F" w:rsidRPr="004C1C87" w:rsidDel="00EE2D4F">
        <w:rPr>
          <w:rtl/>
        </w:rPr>
        <w:t xml:space="preserve"> </w:t>
      </w:r>
      <w:hyperlink r:id="rId17" w:history="1">
        <w:r w:rsidRPr="004C1C87">
          <w:rPr>
            <w:rStyle w:val="Hyperlink"/>
            <w:cs/>
          </w:rPr>
          <w:t>‎</w:t>
        </w:r>
        <w:hyperlink r:id="rId18" w:history="1">
          <w:r w:rsidR="00736C63" w:rsidRPr="004C1C87">
            <w:rPr>
              <w:rStyle w:val="Hyperlink"/>
            </w:rPr>
            <w:t>12.COM 10</w:t>
          </w:r>
        </w:hyperlink>
      </w:hyperlink>
      <w:r w:rsidR="00736C63" w:rsidRPr="004C1C87">
        <w:rPr>
          <w:rtl/>
        </w:rPr>
        <w:t>)</w:t>
      </w:r>
      <w:r w:rsidRPr="004C1C87">
        <w:t>.</w:t>
      </w:r>
      <w:r w:rsidRPr="004C1C87">
        <w:rPr>
          <w:rtl/>
        </w:rPr>
        <w:t xml:space="preserve"> وقد جرت مواءمة نموذج تقرير الأداء مع </w:t>
      </w:r>
      <w:hyperlink r:id="rId19" w:history="1">
        <w:r w:rsidRPr="004C1C87">
          <w:rPr>
            <w:rStyle w:val="Hyperlink"/>
            <w:rtl/>
          </w:rPr>
          <w:t>إطار النتائج الشامل</w:t>
        </w:r>
      </w:hyperlink>
      <w:r w:rsidRPr="004C1C87">
        <w:rPr>
          <w:rtl/>
        </w:rPr>
        <w:t xml:space="preserve"> للاتفاقية لضمان اتساق العملية مع الأهداف العامة للاتفاقية، وللسماح برصد أكثر فعالية لتحقيق هذه الأهداف (القرار </w:t>
      </w:r>
      <w:hyperlink r:id="rId20" w:history="1">
        <w:r w:rsidR="00736C63" w:rsidRPr="004C1C87">
          <w:rPr>
            <w:rStyle w:val="Hyperlink"/>
          </w:rPr>
          <w:t>7.GA 9</w:t>
        </w:r>
      </w:hyperlink>
      <w:r w:rsidR="00736C63" w:rsidRPr="004C1C87">
        <w:rPr>
          <w:rtl/>
        </w:rPr>
        <w:t>)</w:t>
      </w:r>
      <w:r w:rsidRPr="004C1C87">
        <w:t>.</w:t>
      </w:r>
      <w:r w:rsidRPr="004C1C87">
        <w:rPr>
          <w:rtl/>
        </w:rPr>
        <w:t xml:space="preserve"> تم إجراء تعديلات إضافية في عام 2018 للسماح بتقديم التقارير على أساس إقليمي كل ست سنوات (</w:t>
      </w:r>
      <w:r w:rsidR="00A97D7C" w:rsidRPr="004C1C87">
        <w:rPr>
          <w:rtl/>
        </w:rPr>
        <w:t>القرار</w:t>
      </w:r>
      <w:r w:rsidRPr="004C1C87">
        <w:rPr>
          <w:rtl/>
        </w:rPr>
        <w:t xml:space="preserve"> </w:t>
      </w:r>
      <w:r w:rsidRPr="004C1C87">
        <w:rPr>
          <w:cs/>
        </w:rPr>
        <w:t>‎</w:t>
      </w:r>
      <w:hyperlink r:id="rId21" w:history="1">
        <w:r w:rsidRPr="004C1C87">
          <w:rPr>
            <w:rStyle w:val="Hyperlink"/>
            <w:cs/>
          </w:rPr>
          <w:t>‎</w:t>
        </w:r>
        <w:hyperlink r:id="rId22" w:history="1">
          <w:r w:rsidR="00736C63" w:rsidRPr="004C1C87">
            <w:rPr>
              <w:rStyle w:val="Hyperlink"/>
            </w:rPr>
            <w:t>13.COM 8</w:t>
          </w:r>
        </w:hyperlink>
      </w:hyperlink>
      <w:r w:rsidRPr="004C1C87">
        <w:rPr>
          <w:rtl/>
        </w:rPr>
        <w:t>) وفي عام 2019 لإطلاق الدورة الإقليمية الأولى لتقديم التقارير (</w:t>
      </w:r>
      <w:r w:rsidR="00A97D7C" w:rsidRPr="004C1C87">
        <w:rPr>
          <w:rtl/>
        </w:rPr>
        <w:t>القرار</w:t>
      </w:r>
      <w:r w:rsidRPr="004C1C87">
        <w:rPr>
          <w:rtl/>
        </w:rPr>
        <w:t xml:space="preserve"> </w:t>
      </w:r>
      <w:r w:rsidRPr="004C1C87">
        <w:rPr>
          <w:cs/>
        </w:rPr>
        <w:t>‎</w:t>
      </w:r>
      <w:hyperlink r:id="rId23" w:history="1">
        <w:r w:rsidR="00736C63" w:rsidRPr="004C1C87">
          <w:rPr>
            <w:rStyle w:val="Hyperlink"/>
          </w:rPr>
          <w:t>14.COM 8</w:t>
        </w:r>
      </w:hyperlink>
      <w:r w:rsidR="00736C63" w:rsidRPr="004C1C87">
        <w:rPr>
          <w:rStyle w:val="Hyperlink"/>
          <w:color w:val="000000" w:themeColor="text1"/>
          <w:u w:val="none"/>
          <w:rtl/>
        </w:rPr>
        <w:t>)</w:t>
      </w:r>
      <w:r w:rsidRPr="004C1C87">
        <w:t>.</w:t>
      </w:r>
      <w:r w:rsidRPr="004C1C87">
        <w:rPr>
          <w:rStyle w:val="Hyperlink"/>
          <w:color w:val="000000" w:themeColor="text1"/>
          <w:u w:val="none"/>
          <w:rtl/>
        </w:rPr>
        <w:t xml:space="preserve"> وبين عامي 2020 و2025، خضعت جميع المناطق لهذه العملية، مما أدى إلى تحسن كبير في معدلات تقديم التقارير عبر مختلف المناطق</w:t>
      </w:r>
      <w:r w:rsidR="00DC7D3C" w:rsidRPr="004C1C87">
        <w:rPr>
          <w:rStyle w:val="FootnoteReference"/>
          <w:color w:val="000000" w:themeColor="text1"/>
        </w:rPr>
        <w:footnoteReference w:id="1"/>
      </w:r>
      <w:r w:rsidRPr="004C1C87">
        <w:rPr>
          <w:rStyle w:val="Hyperlink"/>
          <w:color w:val="000000" w:themeColor="text1"/>
          <w:u w:val="none"/>
          <w:rtl/>
        </w:rPr>
        <w:t>:</w:t>
      </w:r>
    </w:p>
    <w:p w14:paraId="4B3068B6" w14:textId="1A7F8E96" w:rsidR="00FA5F89" w:rsidRPr="004C1C87" w:rsidRDefault="00F1585E" w:rsidP="007A5EBF">
      <w:pPr>
        <w:pStyle w:val="COMPara"/>
        <w:bidi/>
        <w:spacing w:line="305" w:lineRule="auto"/>
        <w:ind w:left="567" w:hanging="567"/>
        <w:jc w:val="both"/>
        <w:rPr>
          <w:rtl/>
        </w:rPr>
      </w:pPr>
      <w:r w:rsidRPr="004C1C87">
        <w:rPr>
          <w:rtl/>
        </w:rPr>
        <w:t xml:space="preserve">وفي الوقت ذاته، دعا </w:t>
      </w:r>
      <w:hyperlink r:id="rId24" w:history="1">
        <w:r w:rsidRPr="004C1C87">
          <w:rPr>
            <w:rStyle w:val="Hyperlink"/>
            <w:rtl/>
          </w:rPr>
          <w:t>إعلان</w:t>
        </w:r>
      </w:hyperlink>
      <w:r w:rsidRPr="004C1C87">
        <w:rPr>
          <w:rtl/>
        </w:rPr>
        <w:t xml:space="preserve"> مونديكولت 2022، الذي اعتُمِد في مؤتمر اليونسكو العالمي للسياسات الثقافية والتنمية المستدامة (مونديكولت 2022)، منظمة اليونسكو إلى إصدار تقرير عالمي عن السياسات الثقافية على رأس كل أربع سنوات، استناداً إلى المعلومات والبيانات والمؤشرات التي تقدمها الدول الأعضاء فيها. وقد صَدرت </w:t>
      </w:r>
      <w:hyperlink r:id="rId25" w:history="1">
        <w:r w:rsidRPr="004C1C87">
          <w:rPr>
            <w:rStyle w:val="Hyperlink"/>
            <w:rtl/>
          </w:rPr>
          <w:t>الطبعة الأولى</w:t>
        </w:r>
      </w:hyperlink>
      <w:r w:rsidRPr="004C1C87">
        <w:rPr>
          <w:rtl/>
        </w:rPr>
        <w:t xml:space="preserve"> من هذا التقرير العالمي في عام 2025، ومن المقرر إصدار الطبعة الثانية في عام 2029، على أن تتوالى الإصدارات اللاحقة بصفة دورية كل أربع سنوات. وفي حين تظل آليات تقديم التقارير الدورية الخاصة بكل اتفاقية وتوصية ثقافية هي المصدر الأساس للمعلومات اللازمة للتقرير العالمي، فإن إعداده يتطلب إجراء تعديلات في كيفية تقديم التقارير الدورية وتحليلها وعرضها بصرياً لتقديم نظرة عامة شاملة عن مساهمة الثقافة في التنمية المستدامة عبر كافة المناطق والمجالات الثقافية.</w:t>
      </w:r>
    </w:p>
    <w:p w14:paraId="4314289A" w14:textId="2A8DC04C" w:rsidR="00211C2C" w:rsidRPr="004C1C87" w:rsidRDefault="00FA5F89" w:rsidP="007A5EBF">
      <w:pPr>
        <w:pStyle w:val="COMPara"/>
        <w:bidi/>
        <w:spacing w:line="305" w:lineRule="auto"/>
        <w:ind w:left="567" w:hanging="567"/>
        <w:jc w:val="both"/>
        <w:rPr>
          <w:rtl/>
        </w:rPr>
      </w:pPr>
      <w:r w:rsidRPr="004C1C87">
        <w:rPr>
          <w:rtl/>
        </w:rPr>
        <w:t>واستجابةً لذلك، اعتمدت اللجنة في دورتها التاسعة عشرة عام 2024 خارطة طريق نحو نظام عالمي موحد لتقديم التقارير (</w:t>
      </w:r>
      <w:r w:rsidR="003F5197" w:rsidRPr="004C1C87">
        <w:rPr>
          <w:rtl/>
        </w:rPr>
        <w:t>القرار</w:t>
      </w:r>
      <w:r w:rsidR="003F5197" w:rsidRPr="004C1C87" w:rsidDel="003F5197">
        <w:rPr>
          <w:rtl/>
        </w:rPr>
        <w:t xml:space="preserve"> </w:t>
      </w:r>
      <w:hyperlink r:id="rId26" w:history="1">
        <w:r w:rsidRPr="004C1C87">
          <w:rPr>
            <w:rStyle w:val="Hyperlink"/>
            <w:cs/>
          </w:rPr>
          <w:t>‎</w:t>
        </w:r>
        <w:hyperlink r:id="rId27" w:history="1">
          <w:r w:rsidR="000D0F36" w:rsidRPr="004C1C87">
            <w:rPr>
              <w:rStyle w:val="Hyperlink"/>
              <w:lang w:val="en-US"/>
            </w:rPr>
            <w:t>19.COM 6.c</w:t>
          </w:r>
        </w:hyperlink>
      </w:hyperlink>
      <w:r w:rsidR="000D0F36" w:rsidRPr="004C1C87">
        <w:rPr>
          <w:rtl/>
        </w:rPr>
        <w:t>)</w:t>
      </w:r>
      <w:r w:rsidRPr="004C1C87">
        <w:t>.</w:t>
      </w:r>
      <w:r w:rsidRPr="004C1C87">
        <w:rPr>
          <w:rtl/>
        </w:rPr>
        <w:t xml:space="preserve"> وفيما يتعلق باتفاقية عام 2003، ستنطوي هذه الخطوة على ما يلي:</w:t>
      </w:r>
    </w:p>
    <w:p w14:paraId="77668178" w14:textId="5C22B754" w:rsidR="00211C2C" w:rsidRPr="004C1C87" w:rsidRDefault="00211C2C" w:rsidP="007A5EBF">
      <w:pPr>
        <w:pStyle w:val="COMPara"/>
        <w:numPr>
          <w:ilvl w:val="0"/>
          <w:numId w:val="44"/>
        </w:numPr>
        <w:bidi/>
        <w:spacing w:line="305" w:lineRule="auto"/>
        <w:ind w:left="1134" w:hanging="567"/>
        <w:jc w:val="both"/>
        <w:rPr>
          <w:rtl/>
        </w:rPr>
      </w:pPr>
      <w:r w:rsidRPr="004C1C87">
        <w:rPr>
          <w:u w:val="single"/>
          <w:rtl/>
        </w:rPr>
        <w:t>جداول تقديم التقارير</w:t>
      </w:r>
      <w:r w:rsidRPr="004C1C87">
        <w:rPr>
          <w:rtl/>
        </w:rPr>
        <w:t>: ستتم مواءمة الجداول الزمنية لآليات تقديم التقارير الدورية الثلاث الخاصة بالاتفاقية، والتي تُقدَّم حالياً وفقاً لمواعيد مختلفة، لتتوافق مع تاريخ تقديم واحد يتكرر كل أربع سنوات. وهذا يعني أن جميع الدول الأطراف ستقدم تقاريرها بشكل متزامن بشأن: (أ) تنفيذ الاتفاقية والوضع الحالي للعناصر المدرجة في القائمة التمثيلية؛ و(ب) الوضع الحالي للعناصر المدرجة في قائمة التراث الثقافي غير المادي الذي يحتاج إلى صون عاجل (المشار إليها فيما يلي باسم "قائمة الصون العاجل"). وعلاوةً على ذلك، (ج) يتعين على الدول غير الأطراف في الاتفاقية</w:t>
      </w:r>
      <w:r w:rsidR="00C92AB8" w:rsidRPr="004C1C87">
        <w:rPr>
          <w:rStyle w:val="FootnoteReference"/>
          <w:lang w:val="en-US"/>
        </w:rPr>
        <w:footnoteReference w:id="2"/>
      </w:r>
      <w:r w:rsidRPr="004C1C87">
        <w:rPr>
          <w:rtl/>
        </w:rPr>
        <w:t xml:space="preserve"> تقديم تقارير عن العناصر المدرجة في القائمة التمثيلية.</w:t>
      </w:r>
    </w:p>
    <w:p w14:paraId="3281DD85" w14:textId="7D418F9A" w:rsidR="00211C2C" w:rsidRPr="004C1C87" w:rsidRDefault="00211C2C" w:rsidP="007A5EBF">
      <w:pPr>
        <w:pStyle w:val="COMPara"/>
        <w:numPr>
          <w:ilvl w:val="0"/>
          <w:numId w:val="44"/>
        </w:numPr>
        <w:bidi/>
        <w:spacing w:line="305" w:lineRule="auto"/>
        <w:ind w:left="1134" w:hanging="567"/>
        <w:jc w:val="both"/>
        <w:rPr>
          <w:rtl/>
        </w:rPr>
      </w:pPr>
      <w:r w:rsidRPr="004C1C87">
        <w:rPr>
          <w:u w:val="single"/>
          <w:rtl/>
        </w:rPr>
        <w:t>نماذج تقديم التقارير</w:t>
      </w:r>
      <w:r w:rsidRPr="004C1C87">
        <w:rPr>
          <w:rtl/>
        </w:rPr>
        <w:t xml:space="preserve">: سيجري تبسيط نماذج تقديم التقارير (النموذج </w:t>
      </w:r>
      <w:r w:rsidRPr="004C1C87">
        <w:t>ICH-10</w:t>
      </w:r>
      <w:r w:rsidRPr="004C1C87">
        <w:rPr>
          <w:rtl/>
        </w:rPr>
        <w:t xml:space="preserve"> والنموذج </w:t>
      </w:r>
      <w:r w:rsidRPr="004C1C87">
        <w:t>ICH-11</w:t>
      </w:r>
      <w:r w:rsidRPr="004C1C87">
        <w:rPr>
          <w:rtl/>
        </w:rPr>
        <w:t>) لتخفيف العبء عن كاهل الدول الأعضاء. ويجب أن تتوخى عملية التبسيط توازناً دقيقاً بين تقليص بنية النماذج وبين الحفاظ على سلامة المحتوى التحليلي. والهدف من ذلك هو خفض عدد الأسئلة خفضاً ملموساً، من خلال حذف بعض العناصر أو دمجها أو إعادة صياغتها وإعادة تجميعها، مع الحفاظ على اتساق واضح مع إطار النتائج الشامل.</w:t>
      </w:r>
    </w:p>
    <w:p w14:paraId="3B1BF3C9" w14:textId="7A7FFEBE" w:rsidR="00211C2C" w:rsidRPr="004C1C87" w:rsidRDefault="00211C2C" w:rsidP="007A5EBF">
      <w:pPr>
        <w:pStyle w:val="COMPara"/>
        <w:numPr>
          <w:ilvl w:val="0"/>
          <w:numId w:val="44"/>
        </w:numPr>
        <w:bidi/>
        <w:spacing w:line="305" w:lineRule="auto"/>
        <w:ind w:left="1134" w:hanging="567"/>
        <w:jc w:val="both"/>
        <w:rPr>
          <w:rtl/>
        </w:rPr>
      </w:pPr>
      <w:r w:rsidRPr="004C1C87">
        <w:rPr>
          <w:u w:val="single"/>
          <w:rtl/>
        </w:rPr>
        <w:t>نهج بناء القدرات:</w:t>
      </w:r>
      <w:r w:rsidRPr="004C1C87">
        <w:rPr>
          <w:rtl/>
        </w:rPr>
        <w:t xml:space="preserve"> هناك حاجة إلى تخطيط دقيق لنهج بناء القدرات، مع مراعاة الموارد المالية والبشرية المطلوبة في ضوء الجدول الزمني الجديد لتقديم التقارير، مع الحفاظ في الوقت ذاته على البُعد الإقليمي والتركيز على التعلم بين الأقران. وفي هذا الإطار، يمكن أن تستفيد أنشطة بناء القدرات من تعزيز التعاون والتنسيق مع مراكز الفئة 2، التي أدت دوراً محورياً في </w:t>
      </w:r>
      <w:r w:rsidRPr="004C1C87">
        <w:rPr>
          <w:rtl/>
        </w:rPr>
        <w:lastRenderedPageBreak/>
        <w:t>تنظيم واستضافة الأنشطة التدريبية خلال الدورة الإقليمية الأولى لتقديم التقارير، وأبدت استعدادها لمشاركة أوسع في ظل النظام العالمي الموحد لتقديم التقارير.</w:t>
      </w:r>
    </w:p>
    <w:p w14:paraId="62C4122D" w14:textId="267BBF9C" w:rsidR="002F6998" w:rsidRPr="004C1C87" w:rsidRDefault="004A67C0" w:rsidP="007A5EBF">
      <w:pPr>
        <w:pStyle w:val="COMPara"/>
        <w:bidi/>
        <w:spacing w:line="305" w:lineRule="auto"/>
        <w:ind w:left="567" w:hanging="567"/>
        <w:jc w:val="both"/>
        <w:rPr>
          <w:rtl/>
        </w:rPr>
      </w:pPr>
      <w:r w:rsidRPr="004C1C87">
        <w:rPr>
          <w:rtl/>
        </w:rPr>
        <w:t>وعند الانتقال إلى النظام الجديد، يمكن أيضاً تقديم طلبات نقل العناصر من قائمة الصون العاجل إلى القائمة التمثيلية بحلول تاريخ التقديم الموحد في 30 حزيران/يونيو 2027، وبعد ذلك بصفة دورية كل أربع سنوات. تجدر الإشارة إلى أنه من غير المتوقع أن تتأثر عملية نقل عنصر من القائمة التمثيلية إلى قائمة الصون العاجل بالانتحال إلى نظام تقديم التقارير الجديد.</w:t>
      </w:r>
    </w:p>
    <w:p w14:paraId="47AE00BE" w14:textId="4D5AACE3" w:rsidR="00126F31" w:rsidRPr="004C1C87" w:rsidRDefault="00C26EBD" w:rsidP="007A5EBF">
      <w:pPr>
        <w:pStyle w:val="COMPara"/>
        <w:bidi/>
        <w:spacing w:line="305" w:lineRule="auto"/>
        <w:ind w:left="567" w:hanging="567"/>
        <w:jc w:val="both"/>
        <w:rPr>
          <w:rtl/>
        </w:rPr>
      </w:pPr>
      <w:r w:rsidRPr="004C1C87">
        <w:rPr>
          <w:rtl/>
        </w:rPr>
        <w:t>وستواصل اللجنة فحص التقارير الدورية التي تقدمها الدول الأطراف بشأن تنفيذ الاتفاقية (امتثالاً للمادة 29 من الاتفاقية) وبشأن حالة العناصر المدرجة في قائمة الصون العاجل. وبالمثل، ستواصل اللجنة تقديم التقارير الدورية إلى الجمعية العامة، كما ستُعرض على المؤتمر العام لليونسكو (امتثالاً للمادة 30 من الاتفاقية).</w:t>
      </w:r>
    </w:p>
    <w:p w14:paraId="707C8FAD" w14:textId="5B5F3DF3" w:rsidR="009E5295" w:rsidRPr="004C1C87" w:rsidRDefault="004A67C0" w:rsidP="007A5EBF">
      <w:pPr>
        <w:pStyle w:val="COMPara"/>
        <w:bidi/>
        <w:spacing w:line="305" w:lineRule="auto"/>
        <w:ind w:left="567" w:hanging="567"/>
        <w:jc w:val="both"/>
        <w:rPr>
          <w:rtl/>
        </w:rPr>
      </w:pPr>
      <w:r w:rsidRPr="004C1C87">
        <w:rPr>
          <w:rtl/>
        </w:rPr>
        <w:t xml:space="preserve">وقد أيدت اللجنة في دورتها العشرين هذا النهج المقترح للمضي قدماً، وأوصت الجمعية العامة بتنقيح التوجيهات </w:t>
      </w:r>
      <w:r w:rsidR="00B13894" w:rsidRPr="004C1C87">
        <w:rPr>
          <w:rtl/>
        </w:rPr>
        <w:t>التنفيذية</w:t>
      </w:r>
      <w:r w:rsidRPr="004C1C87">
        <w:rPr>
          <w:rtl/>
        </w:rPr>
        <w:t xml:space="preserve"> لدعم هذه الخطوة (</w:t>
      </w:r>
      <w:r w:rsidR="0062306D" w:rsidRPr="004C1C87">
        <w:rPr>
          <w:rtl/>
        </w:rPr>
        <w:t>القرار</w:t>
      </w:r>
      <w:r w:rsidRPr="004C1C87">
        <w:rPr>
          <w:rtl/>
        </w:rPr>
        <w:t xml:space="preserve"> </w:t>
      </w:r>
      <w:hyperlink r:id="rId28" w:history="1">
        <w:r w:rsidRPr="004C1C87">
          <w:rPr>
            <w:rStyle w:val="Hyperlink"/>
            <w:cs/>
          </w:rPr>
          <w:t>‎</w:t>
        </w:r>
        <w:hyperlink r:id="rId29" w:history="1">
          <w:r w:rsidR="004C2941" w:rsidRPr="004C1C87">
            <w:rPr>
              <w:rStyle w:val="Hyperlink"/>
              <w:lang w:val="en-US"/>
            </w:rPr>
            <w:t>20.COM 6.c</w:t>
          </w:r>
        </w:hyperlink>
      </w:hyperlink>
      <w:r w:rsidR="004C2941" w:rsidRPr="004C1C87">
        <w:rPr>
          <w:rtl/>
        </w:rPr>
        <w:t>)</w:t>
      </w:r>
      <w:r w:rsidRPr="004C1C87">
        <w:t>.</w:t>
      </w:r>
      <w:r w:rsidRPr="004C1C87">
        <w:rPr>
          <w:rtl/>
        </w:rPr>
        <w:t xml:space="preserve"> وبمجرد الموافقة على التعديلات المقترحة، فمن المفهوم أن تقديم التقارير الدورية بموجب آليات تقديم التقارير الثلاث سيُعلّق بالنسبة للموعد النهائي في 15 كانون الأول/ديسمبر 2026، بما في ذلك التقارير المتأخرة.</w:t>
      </w:r>
    </w:p>
    <w:p w14:paraId="6638387D" w14:textId="4997834C" w:rsidR="005D39F8" w:rsidRPr="004C1C87" w:rsidRDefault="00B864BD" w:rsidP="007A5EBF">
      <w:pPr>
        <w:pStyle w:val="COMPara"/>
        <w:bidi/>
        <w:spacing w:line="305" w:lineRule="auto"/>
        <w:ind w:left="567" w:hanging="567"/>
        <w:jc w:val="both"/>
        <w:rPr>
          <w:rtl/>
        </w:rPr>
      </w:pPr>
      <w:r w:rsidRPr="004C1C87">
        <w:rPr>
          <w:rtl/>
        </w:rPr>
        <w:t xml:space="preserve">وكجزء من سنة </w:t>
      </w:r>
      <w:r w:rsidR="001272BF" w:rsidRPr="004C1C87">
        <w:rPr>
          <w:rtl/>
        </w:rPr>
        <w:t>التفكير</w:t>
      </w:r>
      <w:r w:rsidRPr="004C1C87">
        <w:rPr>
          <w:rtl/>
        </w:rPr>
        <w:t xml:space="preserve"> المقررة في نهاية الدورة الإقليمية الأولى لتقديم التقارير، نوقشت جوانب مختلفة من الانتقال إلى نظام التقديم العالمي الموحد بشكل مستفيض من جانب أصحاب المصلحة في الاتفاقية. وقد انصبَّ التأمل بشكل خاصّ على الجداول الزمنية، وتبسيط نماذج تقديم التقارير، ونهج بناء القدرات. وتضمنت العملية سلسلةً من خمس مشاورات إقليمية جرت في نيسان/أبريل وأيار/مايو 2025، بالإضافة إلى </w:t>
      </w:r>
      <w:hyperlink r:id="rId30" w:history="1">
        <w:r w:rsidRPr="004C1C87">
          <w:rPr>
            <w:rStyle w:val="Hyperlink"/>
            <w:rtl/>
          </w:rPr>
          <w:t xml:space="preserve">اجتماع </w:t>
        </w:r>
        <w:r w:rsidR="00C90F37" w:rsidRPr="004C1C87">
          <w:rPr>
            <w:rStyle w:val="Hyperlink"/>
            <w:rtl/>
          </w:rPr>
          <w:t>التفكير الشامل</w:t>
        </w:r>
      </w:hyperlink>
      <w:r w:rsidR="00C90F37" w:rsidRPr="004C1C87">
        <w:rPr>
          <w:rtl/>
        </w:rPr>
        <w:t xml:space="preserve"> </w:t>
      </w:r>
      <w:r w:rsidRPr="004C1C87">
        <w:rPr>
          <w:rtl/>
        </w:rPr>
        <w:t>بشأن آليات تقديم التقارير الدورية لاتفاقية عام 2003، الذي عُقِد عبر الإنترنت في الفترة من 28 إلى 30 نيسان/أبريل 2026.</w:t>
      </w:r>
    </w:p>
    <w:p w14:paraId="49FD0FBC" w14:textId="4F61B6ED" w:rsidR="0068042E" w:rsidRPr="004C1C87" w:rsidRDefault="0068042E" w:rsidP="007A5EBF">
      <w:pPr>
        <w:pStyle w:val="COMPara"/>
        <w:numPr>
          <w:ilvl w:val="0"/>
          <w:numId w:val="0"/>
        </w:numPr>
        <w:bidi/>
        <w:spacing w:line="305" w:lineRule="auto"/>
        <w:ind w:left="567"/>
        <w:jc w:val="center"/>
        <w:rPr>
          <w:rtl/>
        </w:rPr>
      </w:pPr>
      <w:r w:rsidRPr="004C1C87">
        <w:rPr>
          <w:rtl/>
        </w:rPr>
        <w:t>***</w:t>
      </w:r>
    </w:p>
    <w:p w14:paraId="31C23A47" w14:textId="15059012" w:rsidR="00504B9E" w:rsidRPr="004C1C87" w:rsidRDefault="00504B9E" w:rsidP="007A5EBF">
      <w:pPr>
        <w:pStyle w:val="COMPara"/>
        <w:bidi/>
        <w:spacing w:line="305" w:lineRule="auto"/>
        <w:ind w:left="567" w:hanging="567"/>
        <w:jc w:val="both"/>
        <w:rPr>
          <w:rtl/>
        </w:rPr>
      </w:pPr>
      <w:r w:rsidRPr="004C1C87">
        <w:rPr>
          <w:rtl/>
        </w:rPr>
        <w:t xml:space="preserve">وترد </w:t>
      </w:r>
      <w:r w:rsidR="001814CB" w:rsidRPr="004C1C87">
        <w:rPr>
          <w:rtl/>
        </w:rPr>
        <w:t>التعديلات</w:t>
      </w:r>
      <w:r w:rsidR="001814CB" w:rsidRPr="004C1C87" w:rsidDel="001814CB">
        <w:rPr>
          <w:rtl/>
        </w:rPr>
        <w:t xml:space="preserve"> </w:t>
      </w:r>
      <w:r w:rsidRPr="004C1C87">
        <w:rPr>
          <w:rtl/>
        </w:rPr>
        <w:t xml:space="preserve">المذكورة آنفاً على التوجيهات </w:t>
      </w:r>
      <w:r w:rsidR="00B13894" w:rsidRPr="004C1C87">
        <w:rPr>
          <w:rtl/>
        </w:rPr>
        <w:t>التنفيذية</w:t>
      </w:r>
      <w:r w:rsidRPr="004C1C87">
        <w:rPr>
          <w:rtl/>
        </w:rPr>
        <w:t xml:space="preserve"> في </w:t>
      </w:r>
      <w:r w:rsidR="009533F0" w:rsidRPr="004C1C87">
        <w:rPr>
          <w:rtl/>
        </w:rPr>
        <w:t>المرفق</w:t>
      </w:r>
      <w:r w:rsidRPr="004C1C87">
        <w:rPr>
          <w:rtl/>
        </w:rPr>
        <w:t xml:space="preserve"> للاطلاع عليها في الدورة الحالية للجمعية العامة.</w:t>
      </w:r>
    </w:p>
    <w:p w14:paraId="0342793C" w14:textId="1B891635" w:rsidR="00504B9E" w:rsidRPr="004C1C87" w:rsidRDefault="00903A44" w:rsidP="004C1C87">
      <w:pPr>
        <w:pStyle w:val="GAPara"/>
        <w:numPr>
          <w:ilvl w:val="0"/>
          <w:numId w:val="39"/>
        </w:numPr>
        <w:bidi/>
        <w:spacing w:line="305" w:lineRule="auto"/>
        <w:ind w:left="1133" w:hanging="567"/>
        <w:jc w:val="both"/>
        <w:rPr>
          <w:rtl/>
        </w:rPr>
      </w:pPr>
      <w:r w:rsidRPr="004C1C87">
        <w:rPr>
          <w:rtl/>
        </w:rPr>
        <w:t>وتتعلق النصوص المظللة باللون الأخضر ب</w:t>
      </w:r>
      <w:r w:rsidR="001814CB" w:rsidRPr="004C1C87">
        <w:rPr>
          <w:rtl/>
        </w:rPr>
        <w:t>التعديلات</w:t>
      </w:r>
      <w:r w:rsidRPr="004C1C87">
        <w:rPr>
          <w:rtl/>
        </w:rPr>
        <w:t xml:space="preserve"> التي أوصت بها اللجنة في دورتها العشرين (</w:t>
      </w:r>
      <w:r w:rsidR="001814CB" w:rsidRPr="004C1C87">
        <w:rPr>
          <w:rtl/>
        </w:rPr>
        <w:t>القرار</w:t>
      </w:r>
      <w:hyperlink r:id="rId31" w:history="1">
        <w:r w:rsidRPr="004C1C87">
          <w:rPr>
            <w:rtl/>
          </w:rPr>
          <w:t xml:space="preserve"> </w:t>
        </w:r>
        <w:r w:rsidRPr="004C1C87">
          <w:rPr>
            <w:rStyle w:val="Hyperlink"/>
            <w:cs/>
          </w:rPr>
          <w:t>‎</w:t>
        </w:r>
        <w:hyperlink r:id="rId32" w:history="1">
          <w:r w:rsidR="007A5EBF" w:rsidRPr="004C1C87">
            <w:rPr>
              <w:rStyle w:val="Hyperlink"/>
              <w:rFonts w:eastAsia="SimSun"/>
              <w:lang w:val="en-US"/>
            </w:rPr>
            <w:t>20.COM 8</w:t>
          </w:r>
        </w:hyperlink>
      </w:hyperlink>
      <w:r w:rsidRPr="004C1C87">
        <w:rPr>
          <w:color w:val="000000" w:themeColor="text1"/>
          <w:rtl/>
        </w:rPr>
        <w:t xml:space="preserve">) بشأن معالجة ملفات آليات الإدراج </w:t>
      </w:r>
      <w:r w:rsidR="003B7A37" w:rsidRPr="004C1C87">
        <w:rPr>
          <w:rtl/>
        </w:rPr>
        <w:t>في</w:t>
      </w:r>
      <w:r w:rsidR="003B7A37" w:rsidRPr="004C1C87" w:rsidDel="003B7A37">
        <w:rPr>
          <w:color w:val="000000" w:themeColor="text1"/>
          <w:rtl/>
        </w:rPr>
        <w:t xml:space="preserve"> </w:t>
      </w:r>
      <w:r w:rsidRPr="004C1C87">
        <w:rPr>
          <w:color w:val="000000" w:themeColor="text1"/>
          <w:rtl/>
        </w:rPr>
        <w:t>الاتفاقية.</w:t>
      </w:r>
    </w:p>
    <w:p w14:paraId="1BB67E70" w14:textId="44335FD1" w:rsidR="0022052F" w:rsidRPr="004C1C87" w:rsidRDefault="00903A44" w:rsidP="004C1C87">
      <w:pPr>
        <w:pStyle w:val="GAPara"/>
        <w:numPr>
          <w:ilvl w:val="0"/>
          <w:numId w:val="39"/>
        </w:numPr>
        <w:bidi/>
        <w:spacing w:line="305" w:lineRule="auto"/>
        <w:ind w:left="1133" w:hanging="567"/>
        <w:jc w:val="both"/>
        <w:rPr>
          <w:rtl/>
        </w:rPr>
      </w:pPr>
      <w:r w:rsidRPr="004C1C87">
        <w:rPr>
          <w:color w:val="000000" w:themeColor="text1"/>
          <w:spacing w:val="-4"/>
          <w:rtl/>
        </w:rPr>
        <w:t xml:space="preserve">أما النصوص المظللة باللون الأزرق، فتتعلق </w:t>
      </w:r>
      <w:r w:rsidR="001814CB" w:rsidRPr="004C1C87">
        <w:rPr>
          <w:rtl/>
        </w:rPr>
        <w:t>بالتعديلات</w:t>
      </w:r>
      <w:r w:rsidRPr="004C1C87">
        <w:rPr>
          <w:color w:val="000000" w:themeColor="text1"/>
          <w:spacing w:val="-4"/>
          <w:rtl/>
        </w:rPr>
        <w:t xml:space="preserve"> التي أوصت بها اللجنة في دورتها العشرين (</w:t>
      </w:r>
      <w:r w:rsidR="001814CB" w:rsidRPr="004C1C87">
        <w:rPr>
          <w:rtl/>
        </w:rPr>
        <w:t>القرار</w:t>
      </w:r>
      <w:r w:rsidRPr="004C1C87">
        <w:rPr>
          <w:color w:val="000000" w:themeColor="text1"/>
          <w:spacing w:val="-4"/>
          <w:rtl/>
        </w:rPr>
        <w:t xml:space="preserve"> </w:t>
      </w:r>
      <w:hyperlink r:id="rId33" w:history="1">
        <w:r w:rsidR="007A5EBF" w:rsidRPr="004C1C87">
          <w:rPr>
            <w:rStyle w:val="Hyperlink"/>
            <w:rFonts w:eastAsia="SimSun"/>
            <w:spacing w:val="-4"/>
            <w:lang w:val="en-US"/>
          </w:rPr>
          <w:t>20.COM 6.c</w:t>
        </w:r>
      </w:hyperlink>
      <w:r w:rsidRPr="004C1C87">
        <w:rPr>
          <w:color w:val="000000" w:themeColor="text1"/>
          <w:spacing w:val="-4"/>
          <w:rtl/>
        </w:rPr>
        <w:t>)</w:t>
      </w:r>
      <w:r w:rsidRPr="004C1C87">
        <w:rPr>
          <w:color w:val="000000" w:themeColor="text1"/>
          <w:rtl/>
        </w:rPr>
        <w:t xml:space="preserve"> لدعم التحول نحو نظام عالمي موحد لتقديم التقارير الدورية</w:t>
      </w:r>
      <w:r w:rsidRPr="004C1C87">
        <w:rPr>
          <w:rtl/>
        </w:rPr>
        <w:t>.</w:t>
      </w:r>
    </w:p>
    <w:p w14:paraId="062AF213" w14:textId="01EFA0AF" w:rsidR="00CE257F" w:rsidRPr="004C1C87" w:rsidRDefault="005C792B" w:rsidP="007A5EBF">
      <w:pPr>
        <w:pStyle w:val="COMPara"/>
        <w:bidi/>
        <w:spacing w:line="305" w:lineRule="auto"/>
        <w:ind w:left="567" w:hanging="567"/>
        <w:rPr>
          <w:rtl/>
        </w:rPr>
      </w:pPr>
      <w:r w:rsidRPr="004C1C87">
        <w:rPr>
          <w:rtl/>
        </w:rPr>
        <w:t xml:space="preserve">قد ترغب </w:t>
      </w:r>
      <w:r w:rsidR="004A266F" w:rsidRPr="004C1C87">
        <w:rPr>
          <w:rtl/>
        </w:rPr>
        <w:t>الجمعية العامة</w:t>
      </w:r>
      <w:r w:rsidR="004A266F" w:rsidRPr="004C1C87" w:rsidDel="004A266F">
        <w:rPr>
          <w:rtl/>
        </w:rPr>
        <w:t xml:space="preserve"> </w:t>
      </w:r>
      <w:r w:rsidRPr="004C1C87">
        <w:rPr>
          <w:rtl/>
        </w:rPr>
        <w:t>في اعتماد القرار التالي:</w:t>
      </w:r>
    </w:p>
    <w:p w14:paraId="6CEB1E9D" w14:textId="4102B902" w:rsidR="00D95C4C" w:rsidRPr="004C1C87" w:rsidRDefault="004A34A0" w:rsidP="007A5EBF">
      <w:pPr>
        <w:pStyle w:val="COMTitleDecision"/>
        <w:bidi/>
        <w:spacing w:line="305" w:lineRule="auto"/>
        <w:rPr>
          <w:rFonts w:eastAsia="SimSun"/>
          <w:bCs/>
          <w:rtl/>
        </w:rPr>
      </w:pPr>
      <w:r w:rsidRPr="004C1C87">
        <w:rPr>
          <w:bCs/>
          <w:rtl/>
        </w:rPr>
        <w:t xml:space="preserve">مشروع القرار </w:t>
      </w:r>
      <w:r w:rsidR="007A5EBF" w:rsidRPr="004C1C87">
        <w:rPr>
          <w:bCs/>
        </w:rPr>
        <w:t>11.GA 7</w:t>
      </w:r>
    </w:p>
    <w:p w14:paraId="13024F0B" w14:textId="5181E164" w:rsidR="00D95C4C" w:rsidRPr="004C1C87" w:rsidRDefault="005C792B" w:rsidP="007A5EBF">
      <w:pPr>
        <w:pStyle w:val="COMPreambulaDecisions"/>
        <w:bidi/>
        <w:spacing w:line="305" w:lineRule="auto"/>
        <w:rPr>
          <w:rFonts w:eastAsia="SimSun"/>
          <w:rtl/>
        </w:rPr>
      </w:pPr>
      <w:r w:rsidRPr="004C1C87">
        <w:rPr>
          <w:rtl/>
        </w:rPr>
        <w:t>إن الجمعية العامة،</w:t>
      </w:r>
    </w:p>
    <w:p w14:paraId="5A9F22F3" w14:textId="5824F734" w:rsidR="0057439C" w:rsidRPr="004C1C87" w:rsidRDefault="00D95C4C" w:rsidP="007A5EBF">
      <w:pPr>
        <w:pStyle w:val="COMParaDecision"/>
        <w:bidi/>
        <w:spacing w:line="305" w:lineRule="auto"/>
        <w:rPr>
          <w:rtl/>
        </w:rPr>
      </w:pPr>
      <w:r w:rsidRPr="004C1C87">
        <w:rPr>
          <w:rtl/>
        </w:rPr>
        <w:t>وقد درست</w:t>
      </w:r>
      <w:r w:rsidRPr="004C1C87">
        <w:rPr>
          <w:u w:val="none"/>
          <w:rtl/>
        </w:rPr>
        <w:t xml:space="preserve"> الوثيقة </w:t>
      </w:r>
      <w:r w:rsidRPr="004C1C87">
        <w:rPr>
          <w:u w:val="none"/>
        </w:rPr>
        <w:t>LHE/26/11.GA/7</w:t>
      </w:r>
      <w:r w:rsidRPr="004C1C87">
        <w:rPr>
          <w:u w:val="none"/>
          <w:rtl/>
        </w:rPr>
        <w:t xml:space="preserve"> وملحقها،</w:t>
      </w:r>
    </w:p>
    <w:p w14:paraId="260CA8D5" w14:textId="60F3FF30" w:rsidR="0057439C" w:rsidRPr="004C1C87" w:rsidRDefault="0057439C" w:rsidP="007A5EBF">
      <w:pPr>
        <w:pStyle w:val="COMParaDecision"/>
        <w:bidi/>
        <w:spacing w:line="305" w:lineRule="auto"/>
        <w:rPr>
          <w:rtl/>
        </w:rPr>
      </w:pPr>
      <w:r w:rsidRPr="004C1C87">
        <w:rPr>
          <w:rtl/>
        </w:rPr>
        <w:t>وإذ تذكّر</w:t>
      </w:r>
      <w:r w:rsidRPr="004C1C87">
        <w:rPr>
          <w:u w:val="none"/>
          <w:rtl/>
        </w:rPr>
        <w:t xml:space="preserve"> ب</w:t>
      </w:r>
      <w:r w:rsidR="004A266F" w:rsidRPr="004C1C87">
        <w:rPr>
          <w:u w:val="none"/>
          <w:rtl/>
        </w:rPr>
        <w:t>القرارت</w:t>
      </w:r>
      <w:r w:rsidRPr="004C1C87">
        <w:rPr>
          <w:u w:val="none"/>
          <w:rtl/>
        </w:rPr>
        <w:t xml:space="preserve"> </w:t>
      </w:r>
      <w:hyperlink r:id="rId34" w:history="1">
        <w:r w:rsidR="007A5EBF" w:rsidRPr="004C1C87">
          <w:rPr>
            <w:rStyle w:val="Hyperlink"/>
          </w:rPr>
          <w:t>20.COM 6.c</w:t>
        </w:r>
      </w:hyperlink>
      <w:r w:rsidRPr="004C1C87">
        <w:rPr>
          <w:u w:val="none"/>
          <w:rtl/>
        </w:rPr>
        <w:t xml:space="preserve"> و</w:t>
      </w:r>
      <w:hyperlink r:id="rId35" w:history="1">
        <w:r w:rsidR="007A5EBF" w:rsidRPr="004C1C87">
          <w:rPr>
            <w:rStyle w:val="Hyperlink"/>
          </w:rPr>
          <w:t>20.COM 8</w:t>
        </w:r>
      </w:hyperlink>
      <w:r w:rsidRPr="004C1C87">
        <w:rPr>
          <w:u w:val="none"/>
          <w:rtl/>
        </w:rPr>
        <w:t>،</w:t>
      </w:r>
    </w:p>
    <w:p w14:paraId="101D6B2B" w14:textId="0B91B553" w:rsidR="00A37950" w:rsidRPr="004C1C87" w:rsidRDefault="00A37950" w:rsidP="007A5EBF">
      <w:pPr>
        <w:pStyle w:val="COMParaDecision"/>
        <w:numPr>
          <w:ilvl w:val="0"/>
          <w:numId w:val="0"/>
        </w:numPr>
        <w:bidi/>
        <w:spacing w:before="240" w:line="305" w:lineRule="auto"/>
        <w:ind w:left="1134"/>
        <w:rPr>
          <w:b/>
          <w:bCs/>
          <w:u w:val="none"/>
          <w:rtl/>
        </w:rPr>
      </w:pPr>
      <w:r w:rsidRPr="004C1C87">
        <w:rPr>
          <w:b/>
          <w:bCs/>
          <w:u w:val="none"/>
          <w:rtl/>
        </w:rPr>
        <w:t xml:space="preserve">معالجة ملفات الترشيح الخاصة بآليات الإدراج </w:t>
      </w:r>
      <w:r w:rsidR="00AA3D9D" w:rsidRPr="004C1C87">
        <w:rPr>
          <w:b/>
          <w:bCs/>
          <w:u w:val="none"/>
          <w:rtl/>
        </w:rPr>
        <w:t>في</w:t>
      </w:r>
      <w:r w:rsidR="00AA3D9D" w:rsidRPr="004C1C87" w:rsidDel="00AA3D9D">
        <w:rPr>
          <w:b/>
          <w:bCs/>
          <w:u w:val="none"/>
          <w:rtl/>
        </w:rPr>
        <w:t xml:space="preserve"> </w:t>
      </w:r>
      <w:r w:rsidRPr="004C1C87">
        <w:rPr>
          <w:b/>
          <w:bCs/>
          <w:u w:val="none"/>
          <w:rtl/>
        </w:rPr>
        <w:t>الاتفاقية</w:t>
      </w:r>
    </w:p>
    <w:p w14:paraId="26AA27DD" w14:textId="4D288AA1" w:rsidR="005C792B" w:rsidRPr="004C1C87" w:rsidRDefault="00BA5BE9" w:rsidP="007A5EBF">
      <w:pPr>
        <w:pStyle w:val="COMParaDecision"/>
        <w:bidi/>
        <w:spacing w:line="305" w:lineRule="auto"/>
        <w:rPr>
          <w:rtl/>
        </w:rPr>
      </w:pPr>
      <w:r w:rsidRPr="004C1C87">
        <w:rPr>
          <w:rtl/>
        </w:rPr>
        <w:t>تحيط علماً</w:t>
      </w:r>
      <w:r w:rsidRPr="004C1C87">
        <w:rPr>
          <w:u w:val="none"/>
          <w:rtl/>
        </w:rPr>
        <w:t xml:space="preserve"> </w:t>
      </w:r>
      <w:r w:rsidR="004A266F" w:rsidRPr="004C1C87">
        <w:rPr>
          <w:u w:val="none"/>
          <w:rtl/>
        </w:rPr>
        <w:t>بالتعديلات</w:t>
      </w:r>
      <w:r w:rsidRPr="004C1C87">
        <w:rPr>
          <w:u w:val="none"/>
          <w:rtl/>
        </w:rPr>
        <w:t xml:space="preserve"> المقترحة على التوجيهات </w:t>
      </w:r>
      <w:r w:rsidR="004A266F" w:rsidRPr="004C1C87">
        <w:rPr>
          <w:u w:val="none"/>
          <w:rtl/>
        </w:rPr>
        <w:t>التنفيذية</w:t>
      </w:r>
      <w:r w:rsidRPr="004C1C87">
        <w:rPr>
          <w:u w:val="none"/>
          <w:rtl/>
        </w:rPr>
        <w:t xml:space="preserve"> التي أقرتها اللجنة في دورتها العشرين بشأن معالجة ملفات الترشيح الخاصة بآليات الإدراج </w:t>
      </w:r>
      <w:r w:rsidR="003B7A37" w:rsidRPr="004C1C87">
        <w:rPr>
          <w:u w:val="none"/>
          <w:rtl/>
        </w:rPr>
        <w:t>في</w:t>
      </w:r>
      <w:r w:rsidR="003B7A37" w:rsidRPr="004C1C87" w:rsidDel="003B7A37">
        <w:rPr>
          <w:u w:val="none"/>
          <w:rtl/>
        </w:rPr>
        <w:t xml:space="preserve"> </w:t>
      </w:r>
      <w:r w:rsidRPr="004C1C87">
        <w:rPr>
          <w:u w:val="none"/>
          <w:rtl/>
        </w:rPr>
        <w:t>الاتفاقية؛</w:t>
      </w:r>
    </w:p>
    <w:p w14:paraId="460DBB0E" w14:textId="3DE74990" w:rsidR="0015767D" w:rsidRPr="004C1C87" w:rsidRDefault="0015767D" w:rsidP="007A5EBF">
      <w:pPr>
        <w:pStyle w:val="COMParaDecision"/>
        <w:bidi/>
        <w:spacing w:line="305" w:lineRule="auto"/>
        <w:rPr>
          <w:u w:val="none"/>
          <w:rtl/>
        </w:rPr>
      </w:pPr>
      <w:r w:rsidRPr="004C1C87">
        <w:rPr>
          <w:rtl/>
        </w:rPr>
        <w:t>تعرب عن تقديرها</w:t>
      </w:r>
      <w:r w:rsidRPr="004C1C87">
        <w:rPr>
          <w:u w:val="none"/>
          <w:rtl/>
        </w:rPr>
        <w:t xml:space="preserve"> للآثار الإيجابية للنهج الحالي المطبق في مرحلة التحقق من الاكتمال الفني لمعالجة الترشيحات، وذلك في سبيل دعم جهود الدول والجماعات؛ </w:t>
      </w:r>
      <w:r w:rsidRPr="004C1C87">
        <w:rPr>
          <w:rtl/>
        </w:rPr>
        <w:t>وتدعو</w:t>
      </w:r>
      <w:r w:rsidRPr="004C1C87">
        <w:rPr>
          <w:u w:val="none"/>
          <w:rtl/>
        </w:rPr>
        <w:t xml:space="preserve"> في الوقت ذاته الدول الأطراف إلى الامتناع عن إجراء تغييرات جوهرية خلال هذه المرحلة؛</w:t>
      </w:r>
    </w:p>
    <w:p w14:paraId="4E98E4B0" w14:textId="54632861" w:rsidR="0037171B" w:rsidRPr="004C1C87" w:rsidRDefault="0037171B" w:rsidP="007A5EBF">
      <w:pPr>
        <w:pStyle w:val="COMParaDecision"/>
        <w:bidi/>
        <w:spacing w:line="305" w:lineRule="auto"/>
        <w:rPr>
          <w:u w:val="none"/>
          <w:rtl/>
        </w:rPr>
      </w:pPr>
      <w:r w:rsidRPr="004C1C87">
        <w:rPr>
          <w:rtl/>
        </w:rPr>
        <w:t xml:space="preserve">توافق </w:t>
      </w:r>
      <w:r w:rsidRPr="004C1C87">
        <w:rPr>
          <w:u w:val="none"/>
          <w:rtl/>
        </w:rPr>
        <w:t xml:space="preserve">على </w:t>
      </w:r>
      <w:r w:rsidR="004A266F" w:rsidRPr="004C1C87">
        <w:rPr>
          <w:u w:val="none"/>
          <w:rtl/>
        </w:rPr>
        <w:t>التعديلات</w:t>
      </w:r>
      <w:r w:rsidR="004A266F" w:rsidRPr="004C1C87">
        <w:rPr>
          <w:u w:val="none"/>
        </w:rPr>
        <w:t xml:space="preserve"> </w:t>
      </w:r>
      <w:r w:rsidRPr="004C1C87">
        <w:rPr>
          <w:u w:val="none"/>
          <w:rtl/>
        </w:rPr>
        <w:t xml:space="preserve">التي أُجريت على التوجيهات </w:t>
      </w:r>
      <w:r w:rsidR="004A266F" w:rsidRPr="004C1C87">
        <w:rPr>
          <w:u w:val="none"/>
          <w:rtl/>
        </w:rPr>
        <w:t>التنفيذية</w:t>
      </w:r>
      <w:r w:rsidRPr="004C1C87">
        <w:rPr>
          <w:u w:val="none"/>
          <w:rtl/>
        </w:rPr>
        <w:t xml:space="preserve"> والواردة في ملحق هذا القرار (بشأن معالجة ملفات الترشيح الخاصة بآليات الإدراج </w:t>
      </w:r>
      <w:r w:rsidR="003B7A37" w:rsidRPr="004C1C87">
        <w:rPr>
          <w:u w:val="none"/>
          <w:rtl/>
        </w:rPr>
        <w:t>في</w:t>
      </w:r>
      <w:r w:rsidR="003B7A37" w:rsidRPr="004C1C87" w:rsidDel="003B7A37">
        <w:rPr>
          <w:u w:val="none"/>
          <w:rtl/>
        </w:rPr>
        <w:t xml:space="preserve"> </w:t>
      </w:r>
      <w:r w:rsidRPr="004C1C87">
        <w:rPr>
          <w:u w:val="none"/>
          <w:rtl/>
        </w:rPr>
        <w:t xml:space="preserve">الاتفاقية)؛ </w:t>
      </w:r>
      <w:r w:rsidRPr="004C1C87">
        <w:rPr>
          <w:rtl/>
        </w:rPr>
        <w:t>وتدرك</w:t>
      </w:r>
      <w:r w:rsidRPr="004C1C87">
        <w:rPr>
          <w:u w:val="none"/>
          <w:rtl/>
        </w:rPr>
        <w:t xml:space="preserve"> أن الجدول الزمني المعدل الوارد فيها سيُطبق بدءاً من دورة ترشيحات عام 2027 فصاعداً.</w:t>
      </w:r>
    </w:p>
    <w:p w14:paraId="0DE86411" w14:textId="77777777" w:rsidR="00E87883" w:rsidRPr="004C1C87" w:rsidRDefault="00E87883" w:rsidP="007A5EBF">
      <w:pPr>
        <w:pStyle w:val="COMParaDecision"/>
        <w:numPr>
          <w:ilvl w:val="0"/>
          <w:numId w:val="0"/>
        </w:numPr>
        <w:bidi/>
        <w:spacing w:before="240" w:line="305" w:lineRule="auto"/>
        <w:ind w:left="1134"/>
        <w:rPr>
          <w:b/>
          <w:bCs/>
          <w:u w:val="none"/>
          <w:rtl/>
        </w:rPr>
      </w:pPr>
      <w:r w:rsidRPr="004C1C87">
        <w:rPr>
          <w:b/>
          <w:bCs/>
          <w:u w:val="none"/>
          <w:rtl/>
        </w:rPr>
        <w:lastRenderedPageBreak/>
        <w:t>نظام عالمي موحد لتقديم التقارير الدورية</w:t>
      </w:r>
    </w:p>
    <w:p w14:paraId="4EB5C413" w14:textId="56198D47" w:rsidR="00D95C4C" w:rsidRPr="004C1C87" w:rsidRDefault="00C20B88" w:rsidP="007A5EBF">
      <w:pPr>
        <w:pStyle w:val="COMParaDecision"/>
        <w:bidi/>
        <w:spacing w:line="305" w:lineRule="auto"/>
        <w:rPr>
          <w:rtl/>
        </w:rPr>
      </w:pPr>
      <w:r w:rsidRPr="004C1C87">
        <w:rPr>
          <w:rtl/>
        </w:rPr>
        <w:t>تحيط علماً كذلك</w:t>
      </w:r>
      <w:r w:rsidRPr="004C1C87">
        <w:rPr>
          <w:u w:val="none"/>
          <w:rtl/>
        </w:rPr>
        <w:t xml:space="preserve"> ب</w:t>
      </w:r>
      <w:r w:rsidR="0074387F" w:rsidRPr="004C1C87">
        <w:rPr>
          <w:u w:val="none"/>
          <w:rtl/>
        </w:rPr>
        <w:t>التعديلات</w:t>
      </w:r>
      <w:r w:rsidRPr="004C1C87">
        <w:rPr>
          <w:u w:val="none"/>
          <w:rtl/>
        </w:rPr>
        <w:t xml:space="preserve"> المقترحة على التوجيهات </w:t>
      </w:r>
      <w:r w:rsidR="0074387F" w:rsidRPr="004C1C87">
        <w:rPr>
          <w:u w:val="none"/>
          <w:rtl/>
        </w:rPr>
        <w:t>التنفيذية</w:t>
      </w:r>
      <w:r w:rsidRPr="004C1C87">
        <w:rPr>
          <w:u w:val="none"/>
          <w:rtl/>
        </w:rPr>
        <w:t xml:space="preserve"> التي أقرتها اللجنة في دورتها العشرين بشأن التحول نحو نظام عالمي موحد لتقديم التقارير الدورية؛</w:t>
      </w:r>
    </w:p>
    <w:p w14:paraId="41D9D0FE" w14:textId="012790B4" w:rsidR="00417DE5" w:rsidRPr="004C1C87" w:rsidRDefault="00C20B88" w:rsidP="007A5EBF">
      <w:pPr>
        <w:pStyle w:val="COMParaDecision"/>
        <w:bidi/>
        <w:spacing w:line="305" w:lineRule="auto"/>
        <w:rPr>
          <w:u w:val="none"/>
          <w:rtl/>
        </w:rPr>
      </w:pPr>
      <w:r w:rsidRPr="004C1C87">
        <w:rPr>
          <w:rtl/>
        </w:rPr>
        <w:t>توافق</w:t>
      </w:r>
      <w:r w:rsidRPr="004C1C87">
        <w:rPr>
          <w:u w:val="none"/>
          <w:rtl/>
        </w:rPr>
        <w:t xml:space="preserve"> على </w:t>
      </w:r>
      <w:r w:rsidR="00ED688F" w:rsidRPr="004C1C87">
        <w:rPr>
          <w:u w:val="none"/>
          <w:rtl/>
        </w:rPr>
        <w:t>التعديلات</w:t>
      </w:r>
      <w:r w:rsidR="00945863" w:rsidRPr="004C1C87">
        <w:rPr>
          <w:u w:val="none"/>
        </w:rPr>
        <w:t xml:space="preserve"> </w:t>
      </w:r>
      <w:r w:rsidRPr="004C1C87">
        <w:rPr>
          <w:u w:val="none"/>
          <w:rtl/>
        </w:rPr>
        <w:t>التي أُجريت على</w:t>
      </w:r>
      <w:r w:rsidR="00945863" w:rsidRPr="004C1C87">
        <w:rPr>
          <w:u w:val="none"/>
        </w:rPr>
        <w:t xml:space="preserve"> </w:t>
      </w:r>
      <w:r w:rsidRPr="004C1C87">
        <w:rPr>
          <w:u w:val="none"/>
          <w:rtl/>
        </w:rPr>
        <w:t xml:space="preserve">التوجيهات </w:t>
      </w:r>
      <w:r w:rsidR="0074387F" w:rsidRPr="004C1C87">
        <w:rPr>
          <w:u w:val="none"/>
          <w:rtl/>
        </w:rPr>
        <w:t>التنفيذية</w:t>
      </w:r>
      <w:r w:rsidRPr="004C1C87">
        <w:rPr>
          <w:u w:val="none"/>
          <w:rtl/>
        </w:rPr>
        <w:t xml:space="preserve"> والواردة في ملحق هذا القرار (والمطلوبة لدعم التحول نحو نظام عالمي موحد لتقديم التقارير الدورية).</w:t>
      </w:r>
    </w:p>
    <w:p w14:paraId="6D381528" w14:textId="77777777" w:rsidR="00417DE5" w:rsidRPr="004C1C87" w:rsidRDefault="00417DE5" w:rsidP="007A5EBF">
      <w:pPr>
        <w:bidi/>
        <w:spacing w:line="305" w:lineRule="auto"/>
        <w:rPr>
          <w:rFonts w:ascii="Arial" w:eastAsia="SimSun" w:hAnsi="Arial"/>
          <w:sz w:val="22"/>
          <w:szCs w:val="22"/>
          <w:rtl/>
        </w:rPr>
      </w:pPr>
      <w:r w:rsidRPr="004C1C87">
        <w:rPr>
          <w:rFonts w:ascii="Arial" w:hAnsi="Arial"/>
          <w:rtl/>
        </w:rPr>
        <w:br w:type="page"/>
      </w:r>
    </w:p>
    <w:p w14:paraId="30186463" w14:textId="77777777" w:rsidR="00F409F9" w:rsidRPr="004C1C87" w:rsidRDefault="00F409F9" w:rsidP="007A5EBF">
      <w:pPr>
        <w:pStyle w:val="COMParaDecision"/>
        <w:numPr>
          <w:ilvl w:val="0"/>
          <w:numId w:val="0"/>
        </w:numPr>
        <w:spacing w:line="305" w:lineRule="auto"/>
        <w:ind w:left="1134" w:hanging="567"/>
        <w:sectPr w:rsidR="00F409F9" w:rsidRPr="004C1C87" w:rsidSect="00655736">
          <w:headerReference w:type="even" r:id="rId36"/>
          <w:headerReference w:type="default" r:id="rId37"/>
          <w:headerReference w:type="first" r:id="rId38"/>
          <w:pgSz w:w="11906" w:h="16838" w:code="9"/>
          <w:pgMar w:top="1418" w:right="1134" w:bottom="1134" w:left="1134" w:header="397" w:footer="284" w:gutter="0"/>
          <w:cols w:space="708"/>
          <w:titlePg/>
          <w:docGrid w:linePitch="360"/>
        </w:sectPr>
      </w:pPr>
    </w:p>
    <w:p w14:paraId="430FD528" w14:textId="77777777" w:rsidR="00561904" w:rsidRPr="004C1C87" w:rsidRDefault="00561904" w:rsidP="00561904">
      <w:pPr>
        <w:pStyle w:val="Heading4"/>
        <w:numPr>
          <w:ilvl w:val="0"/>
          <w:numId w:val="0"/>
        </w:numPr>
        <w:bidi/>
        <w:ind w:left="567" w:hanging="567"/>
        <w:jc w:val="center"/>
        <w:rPr>
          <w:rFonts w:eastAsia="SimSun"/>
          <w:rtl/>
        </w:rPr>
      </w:pPr>
      <w:bookmarkStart w:id="2" w:name="_ANNEX"/>
      <w:bookmarkEnd w:id="2"/>
      <w:r w:rsidRPr="004C1C87">
        <w:rPr>
          <w:rtl/>
        </w:rPr>
        <w:lastRenderedPageBreak/>
        <w:t>ملحق</w:t>
      </w:r>
    </w:p>
    <w:p w14:paraId="1516BD93" w14:textId="77777777" w:rsidR="00D74347" w:rsidRPr="004C1C87" w:rsidRDefault="00D74347" w:rsidP="00F409F9">
      <w:pPr>
        <w:bidi/>
        <w:spacing w:after="240"/>
        <w:jc w:val="center"/>
        <w:rPr>
          <w:rFonts w:ascii="Arial" w:eastAsia="DengXian" w:hAnsi="Arial"/>
          <w:b/>
          <w:bCs/>
          <w:kern w:val="2"/>
          <w:sz w:val="22"/>
          <w:szCs w:val="22"/>
          <w:rtl/>
          <w14:ligatures w14:val="standardContextual"/>
        </w:rPr>
      </w:pPr>
      <w:r w:rsidRPr="004C1C87">
        <w:rPr>
          <w:rFonts w:ascii="Arial" w:hAnsi="Arial"/>
          <w:b/>
          <w:bCs/>
          <w:sz w:val="22"/>
          <w:szCs w:val="22"/>
          <w:rtl/>
        </w:rPr>
        <w:t>التعديلات المقترحة على التوجيهات التنفيذية لتنفيذ الاتفاقية</w:t>
      </w:r>
    </w:p>
    <w:p w14:paraId="247371E4" w14:textId="391D5A58" w:rsidR="00D74347" w:rsidRPr="004C1C87" w:rsidRDefault="00D74347" w:rsidP="00684433">
      <w:pPr>
        <w:bidi/>
        <w:spacing w:before="120" w:after="120"/>
        <w:jc w:val="both"/>
        <w:rPr>
          <w:rFonts w:ascii="Arial" w:eastAsia="SimSun" w:hAnsi="Arial"/>
          <w:color w:val="000000" w:themeColor="text1"/>
          <w:sz w:val="22"/>
          <w:szCs w:val="22"/>
          <w:rtl/>
        </w:rPr>
      </w:pPr>
      <w:r w:rsidRPr="004C1C87">
        <w:rPr>
          <w:rFonts w:ascii="Arial" w:hAnsi="Arial"/>
          <w:b/>
          <w:bCs/>
          <w:color w:val="000000" w:themeColor="text1"/>
          <w:sz w:val="22"/>
          <w:szCs w:val="22"/>
          <w:rtl/>
        </w:rPr>
        <w:t>ملاحظة</w:t>
      </w:r>
      <w:r w:rsidRPr="004C1C87">
        <w:rPr>
          <w:rFonts w:ascii="Arial" w:hAnsi="Arial"/>
          <w:color w:val="000000" w:themeColor="text1"/>
          <w:sz w:val="22"/>
          <w:szCs w:val="22"/>
          <w:rtl/>
        </w:rPr>
        <w:t xml:space="preserve">: تعكس التعديلات المقترحة على التوجيهات التنفيذية، والمظللة باللون الأخضر في العمود الأيمن، التعديلات التي أقرتها اللجنة في دورتها العشرين (القرار </w:t>
      </w:r>
      <w:hyperlink r:id="rId39" w:history="1">
        <w:r w:rsidRPr="004C1C87">
          <w:rPr>
            <w:rStyle w:val="Hyperlink"/>
            <w:rFonts w:ascii="Arial" w:hAnsi="Arial"/>
            <w:sz w:val="22"/>
            <w:szCs w:val="22"/>
            <w:cs/>
          </w:rPr>
          <w:t>‎</w:t>
        </w:r>
        <w:hyperlink r:id="rId40" w:history="1">
          <w:r w:rsidRPr="004C1C87">
            <w:rPr>
              <w:rStyle w:val="Hyperlink"/>
              <w:rFonts w:ascii="Arial" w:eastAsia="SimSun" w:hAnsi="Arial"/>
              <w:sz w:val="22"/>
              <w:szCs w:val="22"/>
              <w:lang w:val="en-US"/>
            </w:rPr>
            <w:t>20.COM 8</w:t>
          </w:r>
        </w:hyperlink>
      </w:hyperlink>
      <w:r w:rsidRPr="004C1C87">
        <w:rPr>
          <w:rFonts w:ascii="Arial" w:hAnsi="Arial"/>
          <w:color w:val="000000" w:themeColor="text1"/>
          <w:sz w:val="22"/>
          <w:szCs w:val="22"/>
          <w:rtl/>
        </w:rPr>
        <w:t xml:space="preserve">) بشأن معالجة الملفات الخاصة بآليات الإدراج في الاتفاقية. أما التعديلات المظللة باللون الأزرق، فتعكس التعديلات التي أقرتها اللجنة في الدورة ذاتها (القرار </w:t>
      </w:r>
      <w:hyperlink r:id="rId41" w:history="1">
        <w:r w:rsidRPr="004C1C87">
          <w:rPr>
            <w:rStyle w:val="Hyperlink"/>
            <w:rFonts w:ascii="Arial" w:eastAsia="SimSun" w:hAnsi="Arial"/>
            <w:sz w:val="22"/>
            <w:szCs w:val="22"/>
            <w:lang w:val="en-US"/>
          </w:rPr>
          <w:t>20.COM 6.c</w:t>
        </w:r>
      </w:hyperlink>
      <w:r w:rsidRPr="004C1C87">
        <w:rPr>
          <w:rFonts w:ascii="Arial" w:hAnsi="Arial"/>
          <w:color w:val="000000" w:themeColor="text1"/>
          <w:sz w:val="22"/>
          <w:szCs w:val="22"/>
          <w:rtl/>
        </w:rPr>
        <w:t>) لدعم الانتقال نحو النظام العالمي الموحد لتقديم التقارير الدورية.</w:t>
      </w:r>
    </w:p>
    <w:tbl>
      <w:tblPr>
        <w:bidiVisual/>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645"/>
        <w:gridCol w:w="6493"/>
        <w:gridCol w:w="777"/>
        <w:gridCol w:w="6255"/>
      </w:tblGrid>
      <w:tr w:rsidR="00D74347" w:rsidRPr="004C1C87" w14:paraId="79A78CE9" w14:textId="77777777" w:rsidTr="00772187">
        <w:trPr>
          <w:trHeight w:val="22"/>
        </w:trPr>
        <w:tc>
          <w:tcPr>
            <w:tcW w:w="2519" w:type="pct"/>
            <w:gridSpan w:val="2"/>
            <w:shd w:val="clear" w:color="auto" w:fill="C6D9F1" w:themeFill="text2" w:themeFillTint="33"/>
          </w:tcPr>
          <w:p w14:paraId="7BE50839" w14:textId="77777777" w:rsidR="00D74347" w:rsidRPr="004C1C87" w:rsidRDefault="00D74347" w:rsidP="005F773B">
            <w:pPr>
              <w:keepLines/>
              <w:bidi/>
              <w:spacing w:before="60" w:after="60"/>
              <w:jc w:val="center"/>
              <w:rPr>
                <w:rFonts w:ascii="Arial" w:hAnsi="Arial"/>
                <w:b/>
                <w:bCs/>
                <w:sz w:val="22"/>
                <w:szCs w:val="22"/>
                <w:rtl/>
              </w:rPr>
            </w:pPr>
            <w:r w:rsidRPr="004C1C87">
              <w:rPr>
                <w:rFonts w:ascii="Arial" w:hAnsi="Arial"/>
                <w:b/>
                <w:bCs/>
                <w:sz w:val="22"/>
                <w:szCs w:val="22"/>
                <w:rtl/>
              </w:rPr>
              <w:t>التوجيهات التنفيذية (طبعة 2024)</w:t>
            </w:r>
          </w:p>
        </w:tc>
        <w:tc>
          <w:tcPr>
            <w:tcW w:w="2481" w:type="pct"/>
            <w:gridSpan w:val="2"/>
            <w:shd w:val="clear" w:color="auto" w:fill="8DB3E2" w:themeFill="text2" w:themeFillTint="66"/>
          </w:tcPr>
          <w:p w14:paraId="1C796F17" w14:textId="77777777" w:rsidR="00D74347" w:rsidRPr="004C1C87" w:rsidRDefault="00D74347" w:rsidP="005F773B">
            <w:pPr>
              <w:keepLines/>
              <w:bidi/>
              <w:spacing w:before="60" w:after="60"/>
              <w:jc w:val="center"/>
              <w:rPr>
                <w:rFonts w:ascii="Arial" w:hAnsi="Arial"/>
                <w:sz w:val="22"/>
                <w:szCs w:val="22"/>
                <w:rtl/>
              </w:rPr>
            </w:pPr>
            <w:r w:rsidRPr="004C1C87">
              <w:rPr>
                <w:rFonts w:ascii="Arial" w:hAnsi="Arial"/>
                <w:b/>
                <w:bCs/>
                <w:sz w:val="22"/>
                <w:szCs w:val="22"/>
                <w:rtl/>
              </w:rPr>
              <w:t>التعديلات المقترحة</w:t>
            </w:r>
          </w:p>
        </w:tc>
      </w:tr>
      <w:tr w:rsidR="00D74347" w:rsidRPr="004C1C87" w14:paraId="018FE988" w14:textId="77777777" w:rsidTr="00772187">
        <w:tc>
          <w:tcPr>
            <w:tcW w:w="228" w:type="pct"/>
          </w:tcPr>
          <w:p w14:paraId="2BD5B265" w14:textId="361FAFF8" w:rsidR="00D74347" w:rsidRPr="004C1C87" w:rsidRDefault="00D74347" w:rsidP="005F773B">
            <w:pPr>
              <w:keepLines/>
              <w:bidi/>
              <w:spacing w:before="60" w:after="60"/>
              <w:rPr>
                <w:rFonts w:ascii="Arial" w:hAnsi="Arial"/>
                <w:sz w:val="22"/>
                <w:szCs w:val="22"/>
                <w:rtl/>
              </w:rPr>
            </w:pPr>
            <w:r w:rsidRPr="004C1C87">
              <w:rPr>
                <w:rFonts w:ascii="Arial" w:hAnsi="Arial"/>
                <w:sz w:val="22"/>
                <w:szCs w:val="22"/>
              </w:rPr>
              <w:t>I.7</w:t>
            </w:r>
          </w:p>
        </w:tc>
        <w:tc>
          <w:tcPr>
            <w:tcW w:w="2291" w:type="pct"/>
          </w:tcPr>
          <w:p w14:paraId="402987F6" w14:textId="77777777" w:rsidR="00D74347" w:rsidRPr="004C1C87" w:rsidRDefault="00D74347" w:rsidP="005F773B">
            <w:pPr>
              <w:keepLines/>
              <w:bidi/>
              <w:spacing w:before="60" w:after="60"/>
              <w:jc w:val="both"/>
              <w:rPr>
                <w:rFonts w:ascii="Arial" w:hAnsi="Arial"/>
                <w:b/>
                <w:bCs/>
                <w:color w:val="4F81BD" w:themeColor="accent1"/>
                <w:sz w:val="22"/>
                <w:szCs w:val="22"/>
                <w:rtl/>
              </w:rPr>
            </w:pPr>
            <w:r w:rsidRPr="004C1C87">
              <w:rPr>
                <w:rFonts w:ascii="Arial" w:hAnsi="Arial"/>
                <w:b/>
                <w:bCs/>
                <w:color w:val="4F81BD" w:themeColor="accent1"/>
                <w:sz w:val="22"/>
                <w:szCs w:val="22"/>
                <w:rtl/>
              </w:rPr>
              <w:t>تقديم الملفات</w:t>
            </w:r>
          </w:p>
        </w:tc>
        <w:tc>
          <w:tcPr>
            <w:tcW w:w="274" w:type="pct"/>
          </w:tcPr>
          <w:p w14:paraId="1451B5D9" w14:textId="77777777" w:rsidR="00D74347" w:rsidRPr="004C1C87" w:rsidRDefault="00D74347" w:rsidP="005F773B">
            <w:pPr>
              <w:keepLines/>
              <w:bidi/>
              <w:spacing w:before="60" w:after="60"/>
              <w:jc w:val="both"/>
              <w:rPr>
                <w:rFonts w:ascii="Arial" w:hAnsi="Arial"/>
                <w:b/>
                <w:bCs/>
                <w:color w:val="4F81BD" w:themeColor="accent1"/>
                <w:sz w:val="22"/>
                <w:szCs w:val="22"/>
                <w:rtl/>
              </w:rPr>
            </w:pPr>
            <w:r w:rsidRPr="004C1C87">
              <w:rPr>
                <w:rFonts w:ascii="Arial" w:hAnsi="Arial"/>
                <w:b/>
                <w:bCs/>
                <w:color w:val="4F81BD" w:themeColor="accent1"/>
                <w:sz w:val="22"/>
                <w:szCs w:val="22"/>
              </w:rPr>
              <w:t>I.7</w:t>
            </w:r>
          </w:p>
        </w:tc>
        <w:tc>
          <w:tcPr>
            <w:tcW w:w="2207" w:type="pct"/>
          </w:tcPr>
          <w:p w14:paraId="1DB9F244"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لا يوجد تغيير</w:t>
            </w:r>
          </w:p>
        </w:tc>
      </w:tr>
      <w:tr w:rsidR="00D74347" w:rsidRPr="004C1C87" w14:paraId="2721B135" w14:textId="77777777" w:rsidTr="00772187">
        <w:tc>
          <w:tcPr>
            <w:tcW w:w="228" w:type="pct"/>
          </w:tcPr>
          <w:p w14:paraId="08FEBD2F" w14:textId="77777777" w:rsidR="00D74347" w:rsidRPr="004C1C87" w:rsidRDefault="00D74347" w:rsidP="005F773B">
            <w:pPr>
              <w:keepLines/>
              <w:bidi/>
              <w:spacing w:before="60" w:after="60"/>
              <w:rPr>
                <w:rFonts w:ascii="Arial" w:hAnsi="Arial"/>
                <w:b/>
                <w:bCs/>
                <w:color w:val="4F81BD" w:themeColor="accent1"/>
                <w:sz w:val="22"/>
                <w:szCs w:val="22"/>
                <w:rtl/>
              </w:rPr>
            </w:pPr>
            <w:r w:rsidRPr="004C1C87">
              <w:rPr>
                <w:rFonts w:ascii="Arial" w:hAnsi="Arial"/>
                <w:sz w:val="22"/>
                <w:szCs w:val="22"/>
                <w:rtl/>
              </w:rPr>
              <w:t>20.2</w:t>
            </w:r>
          </w:p>
        </w:tc>
        <w:tc>
          <w:tcPr>
            <w:tcW w:w="2291" w:type="pct"/>
          </w:tcPr>
          <w:p w14:paraId="2FAC5F16"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 xml:space="preserve">يستخدم النموذج </w:t>
            </w:r>
            <w:r w:rsidRPr="004C1C87">
              <w:rPr>
                <w:rFonts w:ascii="Arial" w:hAnsi="Arial"/>
                <w:sz w:val="22"/>
                <w:szCs w:val="22"/>
              </w:rPr>
              <w:t>ICH-01 RL to USL</w:t>
            </w:r>
            <w:r w:rsidRPr="004C1C87">
              <w:rPr>
                <w:rFonts w:ascii="Arial" w:hAnsi="Arial"/>
                <w:sz w:val="22"/>
                <w:szCs w:val="22"/>
                <w:rtl/>
              </w:rPr>
              <w:t xml:space="preserve"> لنقل عنصر من القائمة التمثيلية للتراث الثقافي غير المادي للبشرية إلى قائمة التراث الثقافي غير المادي الذي يحتاج إلى صون عاجل، ويشمل خيارًا لالتماس المساعدة الدولية في وقت واحد.</w:t>
            </w:r>
          </w:p>
          <w:p w14:paraId="02C89804" w14:textId="77777777" w:rsidR="00D74347" w:rsidRPr="004C1C87" w:rsidRDefault="00D74347" w:rsidP="005F773B">
            <w:pPr>
              <w:keepLines/>
              <w:bidi/>
              <w:spacing w:before="60" w:after="60"/>
              <w:jc w:val="both"/>
              <w:rPr>
                <w:rFonts w:ascii="Arial" w:hAnsi="Arial"/>
                <w:b/>
                <w:bCs/>
                <w:color w:val="4F81BD" w:themeColor="accent1"/>
                <w:sz w:val="22"/>
                <w:szCs w:val="22"/>
                <w:rtl/>
              </w:rPr>
            </w:pPr>
            <w:r w:rsidRPr="004C1C87">
              <w:rPr>
                <w:rFonts w:ascii="Arial" w:hAnsi="Arial"/>
                <w:sz w:val="22"/>
                <w:szCs w:val="22"/>
                <w:rtl/>
              </w:rPr>
              <w:t xml:space="preserve">ويُُستخدم النموذج </w:t>
            </w:r>
            <w:r w:rsidRPr="004C1C87">
              <w:rPr>
                <w:rFonts w:ascii="Arial" w:hAnsi="Arial"/>
                <w:sz w:val="22"/>
                <w:szCs w:val="22"/>
              </w:rPr>
              <w:t>ICH-02 USL to RL</w:t>
            </w:r>
            <w:r w:rsidRPr="004C1C87">
              <w:rPr>
                <w:rFonts w:ascii="Arial" w:hAnsi="Arial"/>
                <w:sz w:val="22"/>
                <w:szCs w:val="22"/>
                <w:rtl/>
              </w:rPr>
              <w:t xml:space="preserve"> المُُرفق بنموذج رفع التقارير الدورية </w:t>
            </w:r>
            <w:r w:rsidRPr="004C1C87">
              <w:rPr>
                <w:rFonts w:ascii="Arial" w:hAnsi="Arial"/>
                <w:sz w:val="22"/>
                <w:szCs w:val="22"/>
              </w:rPr>
              <w:t>ICH-11</w:t>
            </w:r>
            <w:r w:rsidRPr="004C1C87">
              <w:rPr>
                <w:rFonts w:ascii="Arial" w:hAnsi="Arial"/>
                <w:sz w:val="22"/>
                <w:szCs w:val="22"/>
                <w:rtl/>
              </w:rPr>
              <w:t xml:space="preserve"> لنقل عنصر من قائمة التراث الثقافي غير المادي الذي يحتاج إلى صون عاجل إلى القائمة التمثيلية للتراث الثقافي غير المادي للبشرية.</w:t>
            </w:r>
          </w:p>
        </w:tc>
        <w:tc>
          <w:tcPr>
            <w:tcW w:w="274" w:type="pct"/>
          </w:tcPr>
          <w:p w14:paraId="647C7215" w14:textId="77777777" w:rsidR="00D74347" w:rsidRPr="004C1C87" w:rsidRDefault="00D74347" w:rsidP="005F773B">
            <w:pPr>
              <w:keepLines/>
              <w:bidi/>
              <w:spacing w:before="60" w:after="60"/>
              <w:jc w:val="both"/>
              <w:rPr>
                <w:rFonts w:ascii="Arial" w:hAnsi="Arial"/>
                <w:b/>
                <w:bCs/>
                <w:color w:val="4F81BD" w:themeColor="accent1"/>
                <w:sz w:val="22"/>
                <w:szCs w:val="22"/>
                <w:rtl/>
              </w:rPr>
            </w:pPr>
            <w:r w:rsidRPr="004C1C87">
              <w:rPr>
                <w:rFonts w:ascii="Arial" w:hAnsi="Arial"/>
                <w:sz w:val="22"/>
                <w:szCs w:val="22"/>
                <w:rtl/>
              </w:rPr>
              <w:t>20.2</w:t>
            </w:r>
          </w:p>
        </w:tc>
        <w:tc>
          <w:tcPr>
            <w:tcW w:w="2207" w:type="pct"/>
          </w:tcPr>
          <w:p w14:paraId="153180AA"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لا يوجد تغيير</w:t>
            </w:r>
          </w:p>
        </w:tc>
      </w:tr>
      <w:tr w:rsidR="00D74347" w:rsidRPr="004C1C87" w14:paraId="4AB53F98" w14:textId="77777777" w:rsidTr="00772187">
        <w:tc>
          <w:tcPr>
            <w:tcW w:w="228" w:type="pct"/>
          </w:tcPr>
          <w:p w14:paraId="5298019D" w14:textId="77777777" w:rsidR="00D74347" w:rsidRPr="004C1C87" w:rsidRDefault="00D74347" w:rsidP="005F773B">
            <w:pPr>
              <w:keepLines/>
              <w:bidi/>
              <w:spacing w:before="60" w:after="60"/>
              <w:rPr>
                <w:rFonts w:ascii="Arial" w:hAnsi="Arial"/>
                <w:b/>
                <w:bCs/>
                <w:color w:val="4F81BD" w:themeColor="accent1"/>
                <w:sz w:val="22"/>
                <w:szCs w:val="22"/>
                <w:rtl/>
              </w:rPr>
            </w:pPr>
            <w:r w:rsidRPr="004C1C87">
              <w:rPr>
                <w:rFonts w:ascii="Arial" w:hAnsi="Arial"/>
                <w:b/>
                <w:bCs/>
                <w:color w:val="4F81BD" w:themeColor="accent1"/>
                <w:sz w:val="22"/>
                <w:szCs w:val="22"/>
              </w:rPr>
              <w:t>I.15</w:t>
            </w:r>
          </w:p>
        </w:tc>
        <w:tc>
          <w:tcPr>
            <w:tcW w:w="2291" w:type="pct"/>
          </w:tcPr>
          <w:p w14:paraId="2C82C931" w14:textId="77777777" w:rsidR="00D74347" w:rsidRPr="004C1C87" w:rsidRDefault="00D74347" w:rsidP="005F773B">
            <w:pPr>
              <w:keepLines/>
              <w:bidi/>
              <w:spacing w:before="60" w:after="60"/>
              <w:jc w:val="both"/>
              <w:rPr>
                <w:rFonts w:ascii="Arial" w:hAnsi="Arial"/>
                <w:b/>
                <w:bCs/>
                <w:color w:val="4F81BD" w:themeColor="accent1"/>
                <w:sz w:val="22"/>
                <w:szCs w:val="22"/>
                <w:rtl/>
              </w:rPr>
            </w:pPr>
            <w:r w:rsidRPr="004C1C87">
              <w:rPr>
                <w:rFonts w:ascii="Arial" w:hAnsi="Arial"/>
                <w:b/>
                <w:bCs/>
                <w:color w:val="4F81BD" w:themeColor="accent1"/>
                <w:sz w:val="22"/>
                <w:szCs w:val="22"/>
                <w:rtl/>
              </w:rPr>
              <w:t>الجدول الزمني - عرض عام للإجراءات</w:t>
            </w:r>
          </w:p>
        </w:tc>
        <w:tc>
          <w:tcPr>
            <w:tcW w:w="274" w:type="pct"/>
          </w:tcPr>
          <w:p w14:paraId="306D1885" w14:textId="77777777" w:rsidR="00D74347" w:rsidRPr="004C1C87" w:rsidRDefault="00D74347" w:rsidP="005F773B">
            <w:pPr>
              <w:keepLines/>
              <w:bidi/>
              <w:spacing w:before="60" w:after="60"/>
              <w:jc w:val="both"/>
              <w:rPr>
                <w:rFonts w:ascii="Arial" w:hAnsi="Arial"/>
                <w:b/>
                <w:bCs/>
                <w:color w:val="4F81BD" w:themeColor="accent1"/>
                <w:sz w:val="22"/>
                <w:szCs w:val="22"/>
                <w:rtl/>
              </w:rPr>
            </w:pPr>
            <w:r w:rsidRPr="004C1C87">
              <w:rPr>
                <w:rFonts w:ascii="Arial" w:hAnsi="Arial"/>
                <w:b/>
                <w:bCs/>
                <w:color w:val="4F81BD" w:themeColor="accent1"/>
                <w:sz w:val="22"/>
                <w:szCs w:val="22"/>
              </w:rPr>
              <w:t>I.15</w:t>
            </w:r>
          </w:p>
        </w:tc>
        <w:tc>
          <w:tcPr>
            <w:tcW w:w="2207" w:type="pct"/>
          </w:tcPr>
          <w:p w14:paraId="6452773D"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لا يوجد تغيير</w:t>
            </w:r>
          </w:p>
        </w:tc>
      </w:tr>
      <w:tr w:rsidR="00D74347" w:rsidRPr="004C1C87" w14:paraId="6C65727C" w14:textId="77777777" w:rsidTr="00772187">
        <w:tc>
          <w:tcPr>
            <w:tcW w:w="228" w:type="pct"/>
          </w:tcPr>
          <w:p w14:paraId="26557B4B" w14:textId="77777777" w:rsidR="00D74347" w:rsidRPr="004C1C87" w:rsidRDefault="00D74347" w:rsidP="005F773B">
            <w:pPr>
              <w:keepLines/>
              <w:bidi/>
              <w:spacing w:before="60" w:after="60"/>
              <w:rPr>
                <w:rFonts w:ascii="Arial" w:hAnsi="Arial"/>
                <w:color w:val="000000" w:themeColor="text1"/>
                <w:sz w:val="22"/>
                <w:szCs w:val="22"/>
                <w:rtl/>
              </w:rPr>
            </w:pPr>
            <w:r w:rsidRPr="004C1C87">
              <w:rPr>
                <w:rFonts w:ascii="Arial" w:hAnsi="Arial"/>
                <w:color w:val="000000" w:themeColor="text1"/>
                <w:sz w:val="22"/>
                <w:szCs w:val="22"/>
                <w:rtl/>
              </w:rPr>
              <w:t>54.</w:t>
            </w:r>
          </w:p>
        </w:tc>
        <w:tc>
          <w:tcPr>
            <w:tcW w:w="2291" w:type="pct"/>
          </w:tcPr>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0"/>
              <w:gridCol w:w="4427"/>
            </w:tblGrid>
            <w:tr w:rsidR="00D74347" w:rsidRPr="004C1C87" w14:paraId="6F80E02B" w14:textId="77777777" w:rsidTr="00120A07">
              <w:tc>
                <w:tcPr>
                  <w:tcW w:w="1474" w:type="pct"/>
                </w:tcPr>
                <w:p w14:paraId="3867B441" w14:textId="78AE9A4D" w:rsidR="00D74347" w:rsidRPr="004C1C87" w:rsidRDefault="00D74347" w:rsidP="000D637E">
                  <w:pPr>
                    <w:keepLines/>
                    <w:bidi/>
                    <w:spacing w:before="60" w:after="60"/>
                    <w:jc w:val="right"/>
                    <w:rPr>
                      <w:rFonts w:ascii="Arial" w:hAnsi="Arial"/>
                      <w:color w:val="000000" w:themeColor="text1"/>
                      <w:sz w:val="22"/>
                      <w:szCs w:val="22"/>
                      <w:rtl/>
                    </w:rPr>
                  </w:pPr>
                  <w:r w:rsidRPr="004C1C87">
                    <w:rPr>
                      <w:rFonts w:ascii="Arial" w:hAnsi="Arial"/>
                      <w:sz w:val="22"/>
                      <w:szCs w:val="22"/>
                      <w:rtl/>
                    </w:rPr>
                    <w:t>المرحلة الأولى:</w:t>
                  </w:r>
                </w:p>
              </w:tc>
              <w:tc>
                <w:tcPr>
                  <w:tcW w:w="3526" w:type="pct"/>
                </w:tcPr>
                <w:p w14:paraId="7D7AEA71" w14:textId="77777777" w:rsidR="00D74347" w:rsidRPr="004C1C87" w:rsidRDefault="00D74347" w:rsidP="007E459F">
                  <w:pPr>
                    <w:keepLines/>
                    <w:bidi/>
                    <w:spacing w:before="60" w:after="60"/>
                    <w:jc w:val="both"/>
                    <w:rPr>
                      <w:rFonts w:ascii="Arial" w:hAnsi="Arial"/>
                      <w:color w:val="000000" w:themeColor="text1"/>
                      <w:sz w:val="22"/>
                      <w:szCs w:val="22"/>
                      <w:rtl/>
                    </w:rPr>
                  </w:pPr>
                  <w:r w:rsidRPr="004C1C87">
                    <w:rPr>
                      <w:rFonts w:ascii="Arial" w:hAnsi="Arial"/>
                      <w:sz w:val="22"/>
                      <w:szCs w:val="22"/>
                      <w:rtl/>
                    </w:rPr>
                    <w:t>الإعداد والتقديم</w:t>
                  </w:r>
                </w:p>
              </w:tc>
            </w:tr>
            <w:tr w:rsidR="00D74347" w:rsidRPr="004C1C87" w14:paraId="749D55B9" w14:textId="77777777" w:rsidTr="00120A07">
              <w:tc>
                <w:tcPr>
                  <w:tcW w:w="1474" w:type="pct"/>
                </w:tcPr>
                <w:p w14:paraId="3E24B9D9" w14:textId="5D627AAD" w:rsidR="00D74347" w:rsidRPr="004C1C87" w:rsidRDefault="00D74347" w:rsidP="000D637E">
                  <w:pPr>
                    <w:keepLines/>
                    <w:bidi/>
                    <w:spacing w:before="60" w:after="60"/>
                    <w:jc w:val="right"/>
                    <w:rPr>
                      <w:rFonts w:ascii="Arial" w:hAnsi="Arial"/>
                      <w:sz w:val="22"/>
                      <w:szCs w:val="22"/>
                      <w:rtl/>
                    </w:rPr>
                  </w:pPr>
                  <w:r w:rsidRPr="004C1C87">
                    <w:rPr>
                      <w:rFonts w:ascii="Arial" w:hAnsi="Arial"/>
                      <w:sz w:val="22"/>
                      <w:szCs w:val="22"/>
                      <w:rtl/>
                    </w:rPr>
                    <w:t xml:space="preserve"> </w:t>
                  </w:r>
                  <w:r w:rsidRPr="004C1C87">
                    <w:rPr>
                      <w:rFonts w:ascii="Arial" w:hAnsi="Arial"/>
                      <w:sz w:val="22"/>
                      <w:szCs w:val="22"/>
                    </w:rPr>
                    <w:t>31</w:t>
                  </w:r>
                  <w:r w:rsidRPr="004C1C87">
                    <w:rPr>
                      <w:rFonts w:ascii="Arial" w:hAnsi="Arial"/>
                      <w:sz w:val="22"/>
                      <w:szCs w:val="22"/>
                      <w:rtl/>
                    </w:rPr>
                    <w:t xml:space="preserve"> آذار/مارس</w:t>
                  </w:r>
                </w:p>
                <w:p w14:paraId="21FA86C9" w14:textId="26091EAF" w:rsidR="00D74347" w:rsidRPr="004C1C87" w:rsidRDefault="00D74347" w:rsidP="000D637E">
                  <w:pPr>
                    <w:keepLines/>
                    <w:bidi/>
                    <w:spacing w:before="60" w:after="60"/>
                    <w:jc w:val="right"/>
                    <w:rPr>
                      <w:rFonts w:ascii="Arial" w:hAnsi="Arial"/>
                      <w:sz w:val="22"/>
                      <w:szCs w:val="22"/>
                      <w:rtl/>
                    </w:rPr>
                  </w:pPr>
                  <w:r w:rsidRPr="004C1C87">
                    <w:rPr>
                      <w:rFonts w:ascii="Arial" w:hAnsi="Arial"/>
                      <w:sz w:val="22"/>
                      <w:szCs w:val="22"/>
                      <w:rtl/>
                    </w:rPr>
                    <w:t>من العام صفر</w:t>
                  </w:r>
                </w:p>
              </w:tc>
              <w:tc>
                <w:tcPr>
                  <w:tcW w:w="3526" w:type="pct"/>
                </w:tcPr>
                <w:p w14:paraId="23119567" w14:textId="77777777" w:rsidR="00D74347" w:rsidRPr="004C1C87" w:rsidRDefault="00D74347" w:rsidP="007E459F">
                  <w:pPr>
                    <w:keepLines/>
                    <w:bidi/>
                    <w:spacing w:before="60" w:after="60"/>
                    <w:jc w:val="both"/>
                    <w:rPr>
                      <w:rFonts w:ascii="Arial" w:hAnsi="Arial"/>
                      <w:color w:val="000000" w:themeColor="text1"/>
                      <w:sz w:val="22"/>
                      <w:szCs w:val="22"/>
                      <w:rtl/>
                    </w:rPr>
                  </w:pPr>
                  <w:r w:rsidRPr="004C1C87">
                    <w:rPr>
                      <w:rFonts w:ascii="Arial" w:hAnsi="Arial"/>
                      <w:sz w:val="22"/>
                      <w:szCs w:val="22"/>
                      <w:rtl/>
                    </w:rPr>
                    <w:t>الموعد النهائي لتقديم طلبات المساعدة التمهيدية.</w:t>
                  </w:r>
                </w:p>
              </w:tc>
            </w:tr>
            <w:tr w:rsidR="00D74347" w:rsidRPr="004C1C87" w14:paraId="2BB2197A" w14:textId="77777777" w:rsidTr="00120A07">
              <w:tc>
                <w:tcPr>
                  <w:tcW w:w="1474" w:type="pct"/>
                </w:tcPr>
                <w:p w14:paraId="52EE9B15" w14:textId="77777777" w:rsidR="00D74347" w:rsidRPr="004C1C87" w:rsidRDefault="00D74347" w:rsidP="007E459F">
                  <w:pPr>
                    <w:keepLines/>
                    <w:bidi/>
                    <w:spacing w:before="60" w:after="60"/>
                    <w:jc w:val="right"/>
                    <w:rPr>
                      <w:rFonts w:ascii="Arial" w:hAnsi="Arial"/>
                      <w:sz w:val="22"/>
                      <w:szCs w:val="22"/>
                      <w:rtl/>
                    </w:rPr>
                  </w:pPr>
                  <w:r w:rsidRPr="004C1C87">
                    <w:rPr>
                      <w:rFonts w:ascii="Arial" w:hAnsi="Arial"/>
                      <w:sz w:val="22"/>
                      <w:szCs w:val="22"/>
                      <w:rtl/>
                    </w:rPr>
                    <w:t>15 كانون الأول/ديسمبر</w:t>
                  </w:r>
                </w:p>
                <w:p w14:paraId="26C05EA8" w14:textId="46EADF43" w:rsidR="00D74347" w:rsidRPr="004C1C87" w:rsidRDefault="00D74347" w:rsidP="000D637E">
                  <w:pPr>
                    <w:keepLines/>
                    <w:bidi/>
                    <w:spacing w:before="60" w:after="60"/>
                    <w:jc w:val="right"/>
                    <w:rPr>
                      <w:rFonts w:ascii="Arial" w:hAnsi="Arial"/>
                      <w:sz w:val="22"/>
                      <w:szCs w:val="22"/>
                      <w:rtl/>
                    </w:rPr>
                  </w:pPr>
                  <w:r w:rsidRPr="004C1C87">
                    <w:rPr>
                      <w:rFonts w:ascii="Arial" w:hAnsi="Arial"/>
                      <w:sz w:val="22"/>
                      <w:szCs w:val="22"/>
                      <w:rtl/>
                    </w:rPr>
                    <w:t>من العام صفر</w:t>
                  </w:r>
                </w:p>
              </w:tc>
              <w:tc>
                <w:tcPr>
                  <w:tcW w:w="3526" w:type="pct"/>
                </w:tcPr>
                <w:p w14:paraId="3CFC0755" w14:textId="77777777" w:rsidR="00D74347" w:rsidRPr="004C1C87" w:rsidRDefault="00D74347" w:rsidP="007E459F">
                  <w:pPr>
                    <w:keepLines/>
                    <w:bidi/>
                    <w:spacing w:before="60" w:after="60"/>
                    <w:jc w:val="both"/>
                    <w:rPr>
                      <w:rFonts w:ascii="Arial" w:hAnsi="Arial"/>
                      <w:color w:val="000000" w:themeColor="text1"/>
                      <w:sz w:val="22"/>
                      <w:szCs w:val="22"/>
                      <w:rtl/>
                    </w:rPr>
                  </w:pPr>
                  <w:r w:rsidRPr="004C1C87">
                    <w:rPr>
                      <w:rFonts w:ascii="Arial" w:hAnsi="Arial"/>
                      <w:sz w:val="22"/>
                      <w:szCs w:val="22"/>
                      <w:rtl/>
                    </w:rPr>
                    <w:t>الموعد النهائي لتقديم طلبات النقل من قائمة التراث الثقافي غير المادي الذي يحتاج إلى صون عاجل إلى القائمة التمثيلية للتراث الثقافي غير المادي للبشرية.</w:t>
                  </w:r>
                </w:p>
              </w:tc>
            </w:tr>
          </w:tbl>
          <w:p w14:paraId="6A882FBD" w14:textId="77777777" w:rsidR="00D74347" w:rsidRPr="004C1C87" w:rsidRDefault="00D74347" w:rsidP="005F773B">
            <w:pPr>
              <w:keepLines/>
              <w:spacing w:before="60" w:after="60"/>
              <w:jc w:val="both"/>
              <w:rPr>
                <w:rFonts w:ascii="Arial" w:hAnsi="Arial"/>
                <w:color w:val="000000" w:themeColor="text1"/>
                <w:sz w:val="22"/>
                <w:szCs w:val="22"/>
                <w:lang w:val="en-GB"/>
              </w:rPr>
            </w:pPr>
          </w:p>
        </w:tc>
        <w:tc>
          <w:tcPr>
            <w:tcW w:w="274" w:type="pct"/>
          </w:tcPr>
          <w:p w14:paraId="059C5E60" w14:textId="77777777" w:rsidR="00D74347" w:rsidRPr="004C1C87" w:rsidRDefault="00D74347" w:rsidP="005F773B">
            <w:pPr>
              <w:keepLines/>
              <w:bidi/>
              <w:spacing w:before="60" w:after="60"/>
              <w:jc w:val="both"/>
              <w:rPr>
                <w:rFonts w:ascii="Arial" w:hAnsi="Arial"/>
                <w:color w:val="000000" w:themeColor="text1"/>
                <w:sz w:val="22"/>
                <w:szCs w:val="22"/>
                <w:rtl/>
              </w:rPr>
            </w:pPr>
            <w:r w:rsidRPr="004C1C87">
              <w:rPr>
                <w:rFonts w:ascii="Arial" w:hAnsi="Arial"/>
                <w:color w:val="000000" w:themeColor="text1"/>
                <w:sz w:val="22"/>
                <w:szCs w:val="22"/>
                <w:rtl/>
              </w:rPr>
              <w:t>54.</w:t>
            </w:r>
          </w:p>
        </w:tc>
        <w:tc>
          <w:tcPr>
            <w:tcW w:w="2207" w:type="pct"/>
          </w:tcPr>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6"/>
              <w:gridCol w:w="4648"/>
            </w:tblGrid>
            <w:tr w:rsidR="00D74347" w:rsidRPr="004C1C87" w14:paraId="29278CA4" w14:textId="77777777" w:rsidTr="00120A07">
              <w:tc>
                <w:tcPr>
                  <w:tcW w:w="1626" w:type="dxa"/>
                </w:tcPr>
                <w:p w14:paraId="5ADD2DE3" w14:textId="3B83F651" w:rsidR="00D74347" w:rsidRPr="004C1C87" w:rsidRDefault="00D74347" w:rsidP="007E459F">
                  <w:pPr>
                    <w:keepLines/>
                    <w:bidi/>
                    <w:spacing w:before="60" w:after="60"/>
                    <w:jc w:val="right"/>
                    <w:rPr>
                      <w:rFonts w:ascii="Arial" w:hAnsi="Arial"/>
                      <w:color w:val="000000" w:themeColor="text1"/>
                      <w:sz w:val="22"/>
                      <w:szCs w:val="22"/>
                      <w:rtl/>
                    </w:rPr>
                  </w:pPr>
                  <w:r w:rsidRPr="004C1C87">
                    <w:rPr>
                      <w:rFonts w:ascii="Arial" w:hAnsi="Arial"/>
                      <w:sz w:val="22"/>
                      <w:szCs w:val="22"/>
                      <w:rtl/>
                    </w:rPr>
                    <w:t>المرحلة الأولى:</w:t>
                  </w:r>
                </w:p>
              </w:tc>
              <w:tc>
                <w:tcPr>
                  <w:tcW w:w="4648" w:type="dxa"/>
                </w:tcPr>
                <w:p w14:paraId="72365353" w14:textId="77777777" w:rsidR="00D74347" w:rsidRPr="004C1C87" w:rsidRDefault="00D74347" w:rsidP="007E459F">
                  <w:pPr>
                    <w:keepLines/>
                    <w:bidi/>
                    <w:spacing w:before="60" w:after="60"/>
                    <w:jc w:val="both"/>
                    <w:rPr>
                      <w:rFonts w:ascii="Arial" w:hAnsi="Arial"/>
                      <w:color w:val="000000" w:themeColor="text1"/>
                      <w:sz w:val="22"/>
                      <w:szCs w:val="22"/>
                      <w:rtl/>
                    </w:rPr>
                  </w:pPr>
                  <w:r w:rsidRPr="004C1C87">
                    <w:rPr>
                      <w:rFonts w:ascii="Arial" w:hAnsi="Arial"/>
                      <w:sz w:val="22"/>
                      <w:szCs w:val="22"/>
                      <w:rtl/>
                    </w:rPr>
                    <w:t>لا يوجد تغيير</w:t>
                  </w:r>
                </w:p>
              </w:tc>
            </w:tr>
            <w:tr w:rsidR="00D74347" w:rsidRPr="004C1C87" w14:paraId="1499EF0B" w14:textId="77777777" w:rsidTr="00120A07">
              <w:tc>
                <w:tcPr>
                  <w:tcW w:w="1626" w:type="dxa"/>
                </w:tcPr>
                <w:p w14:paraId="6D4B4239" w14:textId="77777777" w:rsidR="00D74347" w:rsidRPr="004C1C87" w:rsidRDefault="00D74347" w:rsidP="007E459F">
                  <w:pPr>
                    <w:keepLines/>
                    <w:bidi/>
                    <w:spacing w:before="60" w:after="60"/>
                    <w:jc w:val="right"/>
                    <w:rPr>
                      <w:rFonts w:ascii="Arial" w:hAnsi="Arial"/>
                      <w:sz w:val="22"/>
                      <w:szCs w:val="22"/>
                      <w:rtl/>
                    </w:rPr>
                  </w:pPr>
                  <w:r w:rsidRPr="004C1C87">
                    <w:rPr>
                      <w:rFonts w:ascii="Arial" w:hAnsi="Arial"/>
                      <w:sz w:val="22"/>
                      <w:szCs w:val="22"/>
                      <w:rtl/>
                    </w:rPr>
                    <w:t>31 آذار/مارس</w:t>
                  </w:r>
                </w:p>
                <w:p w14:paraId="7B386BF4" w14:textId="508D4742" w:rsidR="00D74347" w:rsidRPr="004C1C87" w:rsidRDefault="00D74347" w:rsidP="000D637E">
                  <w:pPr>
                    <w:keepLines/>
                    <w:bidi/>
                    <w:spacing w:before="60" w:after="60"/>
                    <w:jc w:val="right"/>
                    <w:rPr>
                      <w:rFonts w:ascii="Arial" w:hAnsi="Arial"/>
                      <w:sz w:val="22"/>
                      <w:szCs w:val="22"/>
                      <w:rtl/>
                    </w:rPr>
                  </w:pPr>
                  <w:r w:rsidRPr="004C1C87">
                    <w:rPr>
                      <w:rFonts w:ascii="Arial" w:hAnsi="Arial"/>
                      <w:sz w:val="22"/>
                      <w:szCs w:val="22"/>
                      <w:rtl/>
                    </w:rPr>
                    <w:t>من العام صفر</w:t>
                  </w:r>
                </w:p>
              </w:tc>
              <w:tc>
                <w:tcPr>
                  <w:tcW w:w="4648" w:type="dxa"/>
                </w:tcPr>
                <w:p w14:paraId="3E927B88" w14:textId="77777777" w:rsidR="00D74347" w:rsidRPr="004C1C87" w:rsidRDefault="00D74347" w:rsidP="007E459F">
                  <w:pPr>
                    <w:keepLines/>
                    <w:bidi/>
                    <w:spacing w:before="60" w:after="60"/>
                    <w:jc w:val="both"/>
                    <w:rPr>
                      <w:rFonts w:ascii="Arial" w:hAnsi="Arial"/>
                      <w:color w:val="000000" w:themeColor="text1"/>
                      <w:sz w:val="22"/>
                      <w:szCs w:val="22"/>
                      <w:rtl/>
                    </w:rPr>
                  </w:pPr>
                  <w:r w:rsidRPr="004C1C87">
                    <w:rPr>
                      <w:rFonts w:ascii="Arial" w:hAnsi="Arial"/>
                      <w:sz w:val="22"/>
                      <w:szCs w:val="22"/>
                      <w:rtl/>
                    </w:rPr>
                    <w:t>لا يوجد تغيير</w:t>
                  </w:r>
                </w:p>
              </w:tc>
            </w:tr>
            <w:tr w:rsidR="00D74347" w:rsidRPr="004C1C87" w14:paraId="56D49C9E" w14:textId="77777777" w:rsidTr="00120A07">
              <w:tc>
                <w:tcPr>
                  <w:tcW w:w="1626" w:type="dxa"/>
                  <w:shd w:val="clear" w:color="auto" w:fill="DBE5F1" w:themeFill="accent1" w:themeFillTint="33"/>
                </w:tcPr>
                <w:p w14:paraId="70743C47" w14:textId="77777777" w:rsidR="00D74347" w:rsidRPr="004C1C87" w:rsidRDefault="00D74347" w:rsidP="007E459F">
                  <w:pPr>
                    <w:keepLines/>
                    <w:bidi/>
                    <w:spacing w:before="60" w:after="60"/>
                    <w:jc w:val="right"/>
                    <w:rPr>
                      <w:rFonts w:ascii="Arial" w:hAnsi="Arial"/>
                      <w:strike/>
                      <w:sz w:val="22"/>
                      <w:szCs w:val="22"/>
                      <w:rtl/>
                    </w:rPr>
                  </w:pPr>
                  <w:r w:rsidRPr="004C1C87">
                    <w:rPr>
                      <w:rFonts w:ascii="Arial" w:hAnsi="Arial"/>
                      <w:strike/>
                      <w:sz w:val="22"/>
                      <w:szCs w:val="22"/>
                      <w:rtl/>
                    </w:rPr>
                    <w:t>15 كانون الأول/ديسمبر</w:t>
                  </w:r>
                </w:p>
                <w:p w14:paraId="36397458" w14:textId="56F393E7" w:rsidR="00D74347" w:rsidRPr="004C1C87" w:rsidRDefault="00D74347" w:rsidP="000D637E">
                  <w:pPr>
                    <w:keepLines/>
                    <w:bidi/>
                    <w:spacing w:before="60" w:after="60"/>
                    <w:jc w:val="right"/>
                    <w:rPr>
                      <w:rFonts w:ascii="Arial" w:hAnsi="Arial"/>
                      <w:sz w:val="22"/>
                      <w:szCs w:val="22"/>
                      <w:rtl/>
                    </w:rPr>
                  </w:pPr>
                  <w:r w:rsidRPr="004C1C87">
                    <w:rPr>
                      <w:rFonts w:ascii="Arial" w:hAnsi="Arial"/>
                      <w:strike/>
                      <w:sz w:val="22"/>
                      <w:szCs w:val="22"/>
                      <w:rtl/>
                    </w:rPr>
                    <w:t>من العام صفر</w:t>
                  </w:r>
                </w:p>
              </w:tc>
              <w:tc>
                <w:tcPr>
                  <w:tcW w:w="4648" w:type="dxa"/>
                  <w:shd w:val="clear" w:color="auto" w:fill="DBE5F1" w:themeFill="accent1" w:themeFillTint="33"/>
                </w:tcPr>
                <w:p w14:paraId="553113E2" w14:textId="77777777" w:rsidR="00D74347" w:rsidRPr="004C1C87" w:rsidRDefault="00D74347" w:rsidP="00DD3F2A">
                  <w:pPr>
                    <w:keepLines/>
                    <w:bidi/>
                    <w:spacing w:before="60" w:after="60"/>
                    <w:ind w:right="161"/>
                    <w:jc w:val="both"/>
                    <w:rPr>
                      <w:rFonts w:ascii="Arial" w:hAnsi="Arial"/>
                      <w:color w:val="000000" w:themeColor="text1"/>
                      <w:sz w:val="22"/>
                      <w:szCs w:val="22"/>
                      <w:rtl/>
                    </w:rPr>
                  </w:pPr>
                  <w:r w:rsidRPr="004C1C87">
                    <w:rPr>
                      <w:rFonts w:ascii="Arial" w:hAnsi="Arial"/>
                      <w:strike/>
                      <w:sz w:val="22"/>
                      <w:szCs w:val="22"/>
                      <w:rtl/>
                    </w:rPr>
                    <w:t>الموعد النهائي لتقديم طلبات النقل من قائمة التراث الثقافي غير المادي الذي يحتاج إلى صون عاجل إلى القائمة التمثيلية للتراث الثقافي غير المادي للبشرية.</w:t>
                  </w:r>
                </w:p>
              </w:tc>
            </w:tr>
          </w:tbl>
          <w:p w14:paraId="3589393C" w14:textId="77777777" w:rsidR="00D74347" w:rsidRPr="004C1C87" w:rsidRDefault="00D74347" w:rsidP="005F773B">
            <w:pPr>
              <w:keepLines/>
              <w:spacing w:before="60" w:after="60"/>
              <w:jc w:val="both"/>
              <w:rPr>
                <w:rFonts w:ascii="Arial" w:hAnsi="Arial"/>
                <w:color w:val="000000" w:themeColor="text1"/>
                <w:sz w:val="22"/>
                <w:szCs w:val="22"/>
                <w:lang w:val="en-GB"/>
              </w:rPr>
            </w:pPr>
          </w:p>
        </w:tc>
      </w:tr>
      <w:tr w:rsidR="00D74347" w:rsidRPr="004C1C87" w14:paraId="70A0FFE0" w14:textId="77777777" w:rsidTr="00F75D53">
        <w:trPr>
          <w:trHeight w:val="925"/>
        </w:trPr>
        <w:tc>
          <w:tcPr>
            <w:tcW w:w="228" w:type="pct"/>
          </w:tcPr>
          <w:p w14:paraId="0AE5E806" w14:textId="77777777" w:rsidR="00D74347" w:rsidRPr="004C1C87" w:rsidRDefault="00D74347" w:rsidP="005F773B">
            <w:pPr>
              <w:keepLines/>
              <w:spacing w:before="60" w:after="60"/>
              <w:rPr>
                <w:rFonts w:ascii="Arial" w:hAnsi="Arial"/>
                <w:sz w:val="22"/>
                <w:szCs w:val="22"/>
                <w:lang w:val="en-GB"/>
              </w:rPr>
            </w:pPr>
          </w:p>
        </w:tc>
        <w:tc>
          <w:tcPr>
            <w:tcW w:w="2291" w:type="pct"/>
            <w:tcBorders>
              <w:bottom w:val="single" w:sz="4" w:space="0" w:color="auto"/>
            </w:tcBorders>
          </w:tcPr>
          <w:tbl>
            <w:tblPr>
              <w:tblStyle w:val="TableGrid"/>
              <w:bidiVisual/>
              <w:tblW w:w="6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9"/>
              <w:gridCol w:w="4586"/>
            </w:tblGrid>
            <w:tr w:rsidR="00D74347" w:rsidRPr="004C1C87" w14:paraId="1453F5C4" w14:textId="77777777" w:rsidTr="004C1C87">
              <w:trPr>
                <w:cantSplit/>
                <w:trHeight w:val="2585"/>
              </w:trPr>
              <w:tc>
                <w:tcPr>
                  <w:tcW w:w="1352" w:type="pct"/>
                </w:tcPr>
                <w:p w14:paraId="3102F417" w14:textId="77777777" w:rsidR="00D74347" w:rsidRPr="004C1C87" w:rsidRDefault="00D74347" w:rsidP="005F773B">
                  <w:pPr>
                    <w:keepLines/>
                    <w:bidi/>
                    <w:spacing w:before="60" w:after="60"/>
                    <w:jc w:val="right"/>
                    <w:rPr>
                      <w:rFonts w:ascii="Arial" w:hAnsi="Arial"/>
                      <w:sz w:val="22"/>
                      <w:szCs w:val="22"/>
                      <w:rtl/>
                    </w:rPr>
                  </w:pPr>
                  <w:r w:rsidRPr="004C1C87">
                    <w:rPr>
                      <w:rFonts w:ascii="Arial" w:hAnsi="Arial"/>
                      <w:sz w:val="22"/>
                      <w:szCs w:val="22"/>
                      <w:rtl/>
                    </w:rPr>
                    <w:t>31 آذار/مارس</w:t>
                  </w:r>
                </w:p>
                <w:p w14:paraId="595ADBE3" w14:textId="597DF875" w:rsidR="00D74347" w:rsidRPr="004C1C87" w:rsidRDefault="00D74347" w:rsidP="000D637E">
                  <w:pPr>
                    <w:keepLines/>
                    <w:bidi/>
                    <w:spacing w:before="60" w:after="60"/>
                    <w:jc w:val="right"/>
                    <w:rPr>
                      <w:rFonts w:ascii="Arial" w:hAnsi="Arial"/>
                      <w:sz w:val="22"/>
                      <w:szCs w:val="22"/>
                      <w:rtl/>
                    </w:rPr>
                  </w:pPr>
                  <w:r w:rsidRPr="004C1C87">
                    <w:rPr>
                      <w:rFonts w:ascii="Arial" w:hAnsi="Arial"/>
                      <w:sz w:val="22"/>
                      <w:szCs w:val="22"/>
                      <w:rtl/>
                    </w:rPr>
                    <w:t>من العام الأول</w:t>
                  </w:r>
                </w:p>
              </w:tc>
              <w:tc>
                <w:tcPr>
                  <w:tcW w:w="3648" w:type="pct"/>
                </w:tcPr>
                <w:p w14:paraId="0DB282E3" w14:textId="77777777" w:rsidR="00D74347" w:rsidRPr="004C1C87" w:rsidRDefault="00D74347" w:rsidP="005F773B">
                  <w:pPr>
                    <w:keepLines/>
                    <w:bidi/>
                    <w:spacing w:before="60" w:after="60"/>
                    <w:ind w:right="69"/>
                    <w:jc w:val="both"/>
                    <w:rPr>
                      <w:rFonts w:ascii="Arial" w:hAnsi="Arial"/>
                      <w:sz w:val="22"/>
                      <w:szCs w:val="22"/>
                      <w:rtl/>
                    </w:rPr>
                  </w:pPr>
                  <w:r w:rsidRPr="004C1C87">
                    <w:rPr>
                      <w:rFonts w:ascii="Arial" w:hAnsi="Arial"/>
                      <w:sz w:val="22"/>
                      <w:szCs w:val="22"/>
                      <w:rtl/>
                    </w:rPr>
                    <w:t>الموعد النهائي الذي لا بد أن تتسلم فيه الأمانة الترشيحات للإدراج في قائمة التراث الثقافي غير المادي الذي يحتاج إلى صون عاجل (بما في ذلك تلك المقدمة بالتزامن مع طلبات المساعدة الدولية) والقائمة التمثيلية للتراث الثقافي غير المادي للبشرية واقتراحات البرامج والمشروعات والأنشطة التي تجسد على أفضل نحو مبادئ الاتفاقية وأهدافها وتفحص الملفات التي ترد بعد هذا التاريخ في الدورة التالية. وتنشر الأمانة على الموقع الشبكي للاتفاقية الملفات التي تتلقاها بلغاتها الأصلية.</w:t>
                  </w:r>
                </w:p>
              </w:tc>
            </w:tr>
            <w:tr w:rsidR="00D74347" w:rsidRPr="004C1C87" w14:paraId="63F02137" w14:textId="77777777" w:rsidTr="00120A07">
              <w:trPr>
                <w:cantSplit/>
                <w:trHeight w:val="95"/>
              </w:trPr>
              <w:tc>
                <w:tcPr>
                  <w:tcW w:w="1352" w:type="pct"/>
                </w:tcPr>
                <w:p w14:paraId="740815A0" w14:textId="77777777" w:rsidR="00D74347" w:rsidRPr="004C1C87" w:rsidRDefault="00D74347" w:rsidP="005F773B">
                  <w:pPr>
                    <w:keepLines/>
                    <w:spacing w:before="60" w:after="60"/>
                    <w:jc w:val="right"/>
                    <w:rPr>
                      <w:rFonts w:ascii="Arial" w:hAnsi="Arial"/>
                      <w:sz w:val="22"/>
                      <w:szCs w:val="22"/>
                      <w:highlight w:val="yellow"/>
                      <w:lang w:val="en-GB"/>
                    </w:rPr>
                  </w:pPr>
                </w:p>
              </w:tc>
              <w:tc>
                <w:tcPr>
                  <w:tcW w:w="3648" w:type="pct"/>
                </w:tcPr>
                <w:p w14:paraId="75328884" w14:textId="77777777" w:rsidR="00D74347" w:rsidRPr="004C1C87" w:rsidRDefault="00D74347" w:rsidP="005F773B">
                  <w:pPr>
                    <w:keepLines/>
                    <w:spacing w:before="60" w:after="60"/>
                    <w:jc w:val="both"/>
                    <w:rPr>
                      <w:rFonts w:ascii="Arial" w:hAnsi="Arial"/>
                      <w:sz w:val="22"/>
                      <w:szCs w:val="22"/>
                      <w:lang w:val="en-GB"/>
                    </w:rPr>
                  </w:pPr>
                </w:p>
                <w:p w14:paraId="2EAC37A6" w14:textId="77777777" w:rsidR="00D74347" w:rsidRPr="004C1C87" w:rsidRDefault="00D74347" w:rsidP="005F773B">
                  <w:pPr>
                    <w:keepLines/>
                    <w:spacing w:before="60" w:after="60"/>
                    <w:jc w:val="both"/>
                    <w:rPr>
                      <w:rFonts w:ascii="Arial" w:hAnsi="Arial"/>
                      <w:sz w:val="22"/>
                      <w:szCs w:val="22"/>
                      <w:lang w:val="en-GB"/>
                    </w:rPr>
                  </w:pPr>
                </w:p>
                <w:p w14:paraId="1FDFB359" w14:textId="77777777" w:rsidR="00D74347" w:rsidRPr="004C1C87" w:rsidRDefault="00D74347" w:rsidP="005F773B">
                  <w:pPr>
                    <w:keepLines/>
                    <w:bidi/>
                    <w:spacing w:before="60" w:after="60"/>
                    <w:jc w:val="both"/>
                    <w:rPr>
                      <w:rFonts w:ascii="Arial" w:hAnsi="Arial"/>
                      <w:sz w:val="22"/>
                      <w:szCs w:val="22"/>
                      <w:rtl/>
                    </w:rPr>
                  </w:pPr>
                </w:p>
              </w:tc>
            </w:tr>
            <w:tr w:rsidR="00D74347" w:rsidRPr="004C1C87" w14:paraId="630D8E94" w14:textId="77777777" w:rsidTr="00120A07">
              <w:trPr>
                <w:cantSplit/>
              </w:trPr>
              <w:tc>
                <w:tcPr>
                  <w:tcW w:w="1352" w:type="pct"/>
                </w:tcPr>
                <w:p w14:paraId="0E372A8D" w14:textId="77777777" w:rsidR="00D74347" w:rsidRPr="004C1C87" w:rsidRDefault="00D74347" w:rsidP="005F773B">
                  <w:pPr>
                    <w:keepLines/>
                    <w:bidi/>
                    <w:spacing w:before="60" w:after="60"/>
                    <w:jc w:val="right"/>
                    <w:rPr>
                      <w:rFonts w:ascii="Arial" w:hAnsi="Arial"/>
                      <w:sz w:val="22"/>
                      <w:szCs w:val="22"/>
                      <w:rtl/>
                    </w:rPr>
                  </w:pPr>
                  <w:r w:rsidRPr="004C1C87">
                    <w:rPr>
                      <w:rFonts w:ascii="Arial" w:hAnsi="Arial"/>
                      <w:sz w:val="22"/>
                      <w:szCs w:val="22"/>
                      <w:rtl/>
                    </w:rPr>
                    <w:t xml:space="preserve"> 30 حزيران/يونيو</w:t>
                  </w:r>
                </w:p>
                <w:p w14:paraId="75682874" w14:textId="50B17DCA" w:rsidR="00D74347" w:rsidRPr="004C1C87" w:rsidRDefault="00D74347" w:rsidP="000D637E">
                  <w:pPr>
                    <w:keepLines/>
                    <w:bidi/>
                    <w:spacing w:before="60" w:after="60"/>
                    <w:jc w:val="right"/>
                    <w:rPr>
                      <w:rFonts w:ascii="Arial" w:hAnsi="Arial"/>
                      <w:sz w:val="22"/>
                      <w:szCs w:val="22"/>
                      <w:rtl/>
                    </w:rPr>
                  </w:pPr>
                  <w:r w:rsidRPr="004C1C87">
                    <w:rPr>
                      <w:rFonts w:ascii="Arial" w:hAnsi="Arial"/>
                      <w:sz w:val="22"/>
                      <w:szCs w:val="22"/>
                      <w:rtl/>
                    </w:rPr>
                    <w:t>من العام الأول</w:t>
                  </w:r>
                </w:p>
              </w:tc>
              <w:tc>
                <w:tcPr>
                  <w:tcW w:w="3648" w:type="pct"/>
                </w:tcPr>
                <w:p w14:paraId="37E4E40D" w14:textId="77777777" w:rsidR="00D74347" w:rsidRPr="004C1C87" w:rsidRDefault="00D74347" w:rsidP="005F773B">
                  <w:pPr>
                    <w:keepLines/>
                    <w:bidi/>
                    <w:spacing w:before="60" w:after="60"/>
                    <w:ind w:right="69"/>
                    <w:jc w:val="both"/>
                    <w:rPr>
                      <w:rFonts w:ascii="Arial" w:hAnsi="Arial"/>
                      <w:sz w:val="22"/>
                      <w:szCs w:val="22"/>
                      <w:rtl/>
                    </w:rPr>
                  </w:pPr>
                  <w:r w:rsidRPr="004C1C87">
                    <w:rPr>
                      <w:rFonts w:ascii="Arial" w:hAnsi="Arial"/>
                      <w:sz w:val="22"/>
                      <w:szCs w:val="22"/>
                      <w:rtl/>
                    </w:rPr>
                    <w:t>الموعد النهائي لاضطلاع الأمانة بمعالجة الملفات، بما في ذلك تسجيلها والإقرار بتسلمها. وإذا تبين أن أحد الملفات غير كامل، يطلب من الدولة الطرف استكماله.</w:t>
                  </w:r>
                </w:p>
              </w:tc>
            </w:tr>
            <w:tr w:rsidR="00D74347" w:rsidRPr="004C1C87" w14:paraId="64E4A0C5" w14:textId="77777777" w:rsidTr="00120A07">
              <w:trPr>
                <w:cantSplit/>
              </w:trPr>
              <w:tc>
                <w:tcPr>
                  <w:tcW w:w="1352" w:type="pct"/>
                </w:tcPr>
                <w:p w14:paraId="1A23A506" w14:textId="77777777" w:rsidR="00D74347" w:rsidRPr="004C1C87" w:rsidRDefault="00D74347" w:rsidP="005F773B">
                  <w:pPr>
                    <w:keepLines/>
                    <w:bidi/>
                    <w:spacing w:before="60" w:after="60"/>
                    <w:jc w:val="right"/>
                    <w:rPr>
                      <w:rFonts w:ascii="Arial" w:hAnsi="Arial"/>
                      <w:sz w:val="22"/>
                      <w:szCs w:val="22"/>
                      <w:rtl/>
                    </w:rPr>
                  </w:pPr>
                  <w:r w:rsidRPr="004C1C87">
                    <w:rPr>
                      <w:rFonts w:ascii="Arial" w:hAnsi="Arial"/>
                      <w:sz w:val="22"/>
                      <w:szCs w:val="22"/>
                      <w:rtl/>
                    </w:rPr>
                    <w:t>30 أيلول/ سبتمبر</w:t>
                  </w:r>
                </w:p>
                <w:p w14:paraId="647EA82D" w14:textId="44338DB1" w:rsidR="00D74347" w:rsidRPr="004C1C87" w:rsidRDefault="00D74347" w:rsidP="000D637E">
                  <w:pPr>
                    <w:keepLines/>
                    <w:bidi/>
                    <w:spacing w:before="60" w:after="60"/>
                    <w:jc w:val="right"/>
                    <w:rPr>
                      <w:rFonts w:ascii="Arial" w:hAnsi="Arial"/>
                      <w:sz w:val="22"/>
                      <w:szCs w:val="22"/>
                      <w:rtl/>
                    </w:rPr>
                  </w:pPr>
                  <w:r w:rsidRPr="004C1C87">
                    <w:rPr>
                      <w:rFonts w:ascii="Arial" w:hAnsi="Arial"/>
                      <w:sz w:val="22"/>
                      <w:szCs w:val="22"/>
                      <w:rtl/>
                    </w:rPr>
                    <w:t>من العام الأول</w:t>
                  </w:r>
                </w:p>
              </w:tc>
              <w:tc>
                <w:tcPr>
                  <w:tcW w:w="3648" w:type="pct"/>
                </w:tcPr>
                <w:p w14:paraId="6A06ADBF" w14:textId="77777777" w:rsidR="00D74347" w:rsidRPr="004C1C87" w:rsidRDefault="00D74347" w:rsidP="005F773B">
                  <w:pPr>
                    <w:keepLines/>
                    <w:bidi/>
                    <w:spacing w:before="60" w:after="60"/>
                    <w:ind w:right="69"/>
                    <w:jc w:val="both"/>
                    <w:rPr>
                      <w:rFonts w:ascii="Arial" w:hAnsi="Arial"/>
                      <w:sz w:val="22"/>
                      <w:szCs w:val="22"/>
                      <w:rtl/>
                    </w:rPr>
                  </w:pPr>
                  <w:r w:rsidRPr="004C1C87">
                    <w:rPr>
                      <w:rFonts w:ascii="Arial" w:hAnsi="Arial"/>
                      <w:sz w:val="22"/>
                      <w:szCs w:val="22"/>
                      <w:rtl/>
                    </w:rPr>
                    <w:t>الموعد النهائي لتقدم الدولة الطرف المعلومات الناقصة المطلوبة لاستكمال الملفات، عند الاقتضاء، إلى الأمانة. أما الملفات التي تبقى غير كاملة فتعاد إلى الدول الأطراف التي يجوز لها استكمالها توطئة لفحصها في دورة لاحقة. وعندما تصل الملفات المنقحة، التي تقدمها الدول إلى الأمانة تلبية لطلبها تقديم معلومات إضافية، فإنها تُنشر على الموقع الشبكي وتحل محل الملفات الأصلية. وتُنشر كذلك ترجمة هذه الملفات إلى الإنجليزية أو الفرنسية على الموقع الشبكي لدى توافرها.</w:t>
                  </w:r>
                </w:p>
                <w:p w14:paraId="1D446BB4" w14:textId="77777777" w:rsidR="00D74347" w:rsidRPr="004C1C87" w:rsidRDefault="00D74347" w:rsidP="005F773B">
                  <w:pPr>
                    <w:keepLines/>
                    <w:spacing w:before="60" w:after="60"/>
                    <w:ind w:right="69"/>
                    <w:jc w:val="both"/>
                    <w:rPr>
                      <w:rFonts w:ascii="Arial" w:hAnsi="Arial"/>
                      <w:sz w:val="22"/>
                      <w:szCs w:val="22"/>
                      <w:lang w:val="en-GB"/>
                    </w:rPr>
                  </w:pPr>
                </w:p>
              </w:tc>
            </w:tr>
            <w:tr w:rsidR="00D74347" w:rsidRPr="004C1C87" w14:paraId="673B88E3" w14:textId="77777777" w:rsidTr="00120A07">
              <w:trPr>
                <w:cantSplit/>
              </w:trPr>
              <w:tc>
                <w:tcPr>
                  <w:tcW w:w="1352" w:type="pct"/>
                </w:tcPr>
                <w:p w14:paraId="31F8913D" w14:textId="77777777" w:rsidR="00D74347" w:rsidRPr="004C1C87" w:rsidRDefault="00D74347" w:rsidP="005F773B">
                  <w:pPr>
                    <w:keepLines/>
                    <w:bidi/>
                    <w:spacing w:before="60" w:after="60"/>
                    <w:jc w:val="right"/>
                    <w:rPr>
                      <w:rFonts w:ascii="Arial" w:hAnsi="Arial"/>
                      <w:sz w:val="22"/>
                      <w:szCs w:val="22"/>
                      <w:rtl/>
                    </w:rPr>
                  </w:pPr>
                  <w:r w:rsidRPr="004C1C87">
                    <w:rPr>
                      <w:rFonts w:ascii="Arial" w:hAnsi="Arial"/>
                      <w:sz w:val="22"/>
                      <w:szCs w:val="22"/>
                      <w:rtl/>
                    </w:rPr>
                    <w:t>31 كانون الثاني/يناير</w:t>
                  </w:r>
                </w:p>
                <w:p w14:paraId="27E8ABAD" w14:textId="08CF9AF1" w:rsidR="00D74347" w:rsidRPr="004C1C87" w:rsidRDefault="00D74347" w:rsidP="000D637E">
                  <w:pPr>
                    <w:keepLines/>
                    <w:bidi/>
                    <w:spacing w:before="60" w:after="60"/>
                    <w:jc w:val="right"/>
                    <w:rPr>
                      <w:rFonts w:ascii="Arial" w:hAnsi="Arial"/>
                      <w:sz w:val="22"/>
                      <w:szCs w:val="22"/>
                      <w:rtl/>
                    </w:rPr>
                  </w:pPr>
                  <w:r w:rsidRPr="004C1C87">
                    <w:rPr>
                      <w:rFonts w:ascii="Arial" w:hAnsi="Arial"/>
                      <w:sz w:val="22"/>
                      <w:szCs w:val="22"/>
                      <w:rtl/>
                    </w:rPr>
                    <w:t>من العام الثاني</w:t>
                  </w:r>
                </w:p>
              </w:tc>
              <w:tc>
                <w:tcPr>
                  <w:tcW w:w="3648" w:type="pct"/>
                </w:tcPr>
                <w:p w14:paraId="240ECF83" w14:textId="77777777" w:rsidR="00D74347" w:rsidRPr="004C1C87" w:rsidRDefault="00D74347" w:rsidP="005F773B">
                  <w:pPr>
                    <w:keepLines/>
                    <w:bidi/>
                    <w:spacing w:before="60" w:after="60"/>
                    <w:ind w:right="69"/>
                    <w:jc w:val="both"/>
                    <w:rPr>
                      <w:rFonts w:ascii="Arial" w:hAnsi="Arial"/>
                      <w:sz w:val="22"/>
                      <w:szCs w:val="22"/>
                      <w:rtl/>
                    </w:rPr>
                  </w:pPr>
                  <w:r w:rsidRPr="004C1C87">
                    <w:rPr>
                      <w:rFonts w:ascii="Arial" w:hAnsi="Arial"/>
                      <w:sz w:val="22"/>
                      <w:szCs w:val="22"/>
                      <w:rtl/>
                    </w:rPr>
                    <w:t>الموعد النهائي المحدد لتلقي الأمانة طلبات النقل من القائمة التمثيلية للتراث الثقافي غير المادي للبشرية إلى قائمة التراث الثقافي غير المادي الذي يحتاج إلى صون عاجل. تسجل الأمانة هذه الطلبات، وتحال إلى هيئة التقييم في نفس السنة التي قُدمت فيها، دون التحقق من اكتمال الملف.</w:t>
                  </w:r>
                </w:p>
              </w:tc>
            </w:tr>
          </w:tbl>
          <w:p w14:paraId="71FF646C" w14:textId="77777777" w:rsidR="00D74347" w:rsidRPr="004C1C87" w:rsidRDefault="00D74347" w:rsidP="005F773B">
            <w:pPr>
              <w:keepLines/>
              <w:spacing w:before="60" w:after="60"/>
              <w:jc w:val="both"/>
              <w:rPr>
                <w:rFonts w:ascii="Arial" w:hAnsi="Arial"/>
                <w:sz w:val="22"/>
                <w:szCs w:val="22"/>
                <w:lang w:val="en-US"/>
              </w:rPr>
            </w:pPr>
          </w:p>
        </w:tc>
        <w:tc>
          <w:tcPr>
            <w:tcW w:w="274" w:type="pct"/>
            <w:tcBorders>
              <w:bottom w:val="single" w:sz="4" w:space="0" w:color="auto"/>
            </w:tcBorders>
          </w:tcPr>
          <w:p w14:paraId="6DBC7C04" w14:textId="77777777" w:rsidR="00D74347" w:rsidRPr="004C1C87" w:rsidRDefault="00D74347" w:rsidP="005F773B">
            <w:pPr>
              <w:keepLines/>
              <w:spacing w:before="60" w:after="60"/>
              <w:jc w:val="both"/>
              <w:rPr>
                <w:rFonts w:ascii="Arial" w:hAnsi="Arial"/>
                <w:sz w:val="22"/>
                <w:szCs w:val="22"/>
                <w:lang w:val="en-GB"/>
              </w:rPr>
            </w:pPr>
          </w:p>
        </w:tc>
        <w:tc>
          <w:tcPr>
            <w:tcW w:w="2207" w:type="pct"/>
            <w:tcBorders>
              <w:bottom w:val="single" w:sz="4" w:space="0" w:color="auto"/>
            </w:tcBorders>
          </w:tcPr>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1"/>
              <w:gridCol w:w="4498"/>
            </w:tblGrid>
            <w:tr w:rsidR="00D74347" w:rsidRPr="004C1C87" w14:paraId="443A762F" w14:textId="77777777" w:rsidTr="004C1C87">
              <w:trPr>
                <w:cantSplit/>
                <w:trHeight w:val="2198"/>
              </w:trPr>
              <w:tc>
                <w:tcPr>
                  <w:tcW w:w="1276" w:type="pct"/>
                </w:tcPr>
                <w:p w14:paraId="72EE9E29" w14:textId="77777777" w:rsidR="00D74347" w:rsidRPr="004C1C87" w:rsidRDefault="00D74347" w:rsidP="005F773B">
                  <w:pPr>
                    <w:keepLines/>
                    <w:bidi/>
                    <w:spacing w:before="60" w:after="60"/>
                    <w:jc w:val="right"/>
                    <w:rPr>
                      <w:rFonts w:ascii="Arial" w:hAnsi="Arial"/>
                      <w:sz w:val="22"/>
                      <w:szCs w:val="22"/>
                      <w:rtl/>
                    </w:rPr>
                  </w:pPr>
                  <w:r w:rsidRPr="004C1C87">
                    <w:rPr>
                      <w:rFonts w:ascii="Arial" w:hAnsi="Arial"/>
                      <w:sz w:val="22"/>
                      <w:szCs w:val="22"/>
                      <w:rtl/>
                    </w:rPr>
                    <w:t>31 آذار/مارس</w:t>
                  </w:r>
                </w:p>
                <w:p w14:paraId="47367CB6" w14:textId="1F77C8A6" w:rsidR="00D74347" w:rsidRPr="004C1C87" w:rsidRDefault="00D74347" w:rsidP="000D637E">
                  <w:pPr>
                    <w:keepLines/>
                    <w:bidi/>
                    <w:spacing w:before="60" w:after="60"/>
                    <w:jc w:val="right"/>
                    <w:rPr>
                      <w:rFonts w:ascii="Arial" w:hAnsi="Arial"/>
                      <w:sz w:val="22"/>
                      <w:szCs w:val="22"/>
                      <w:rtl/>
                    </w:rPr>
                  </w:pPr>
                  <w:r w:rsidRPr="004C1C87">
                    <w:rPr>
                      <w:rFonts w:ascii="Arial" w:hAnsi="Arial"/>
                      <w:sz w:val="22"/>
                      <w:szCs w:val="22"/>
                      <w:rtl/>
                    </w:rPr>
                    <w:t>من العام الأول</w:t>
                  </w:r>
                </w:p>
              </w:tc>
              <w:tc>
                <w:tcPr>
                  <w:tcW w:w="3724" w:type="pct"/>
                </w:tcPr>
                <w:p w14:paraId="105B28AA"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لا يوجد تغيير</w:t>
                  </w:r>
                </w:p>
                <w:p w14:paraId="1433AD5E" w14:textId="77777777" w:rsidR="00D74347" w:rsidRPr="004C1C87" w:rsidRDefault="00D74347" w:rsidP="005F773B">
                  <w:pPr>
                    <w:keepLines/>
                    <w:spacing w:before="60" w:after="60"/>
                    <w:jc w:val="both"/>
                    <w:rPr>
                      <w:rFonts w:ascii="Arial" w:hAnsi="Arial"/>
                      <w:sz w:val="22"/>
                      <w:szCs w:val="22"/>
                      <w:lang w:val="en-GB"/>
                    </w:rPr>
                  </w:pPr>
                </w:p>
                <w:p w14:paraId="1D8EBE0D" w14:textId="77777777" w:rsidR="00D74347" w:rsidRPr="004C1C87" w:rsidRDefault="00D74347" w:rsidP="005F773B">
                  <w:pPr>
                    <w:keepLines/>
                    <w:spacing w:before="60" w:after="60"/>
                    <w:jc w:val="both"/>
                    <w:rPr>
                      <w:rFonts w:ascii="Arial" w:hAnsi="Arial"/>
                      <w:sz w:val="22"/>
                      <w:szCs w:val="22"/>
                      <w:lang w:val="en-GB"/>
                    </w:rPr>
                  </w:pPr>
                </w:p>
                <w:p w14:paraId="081DB678" w14:textId="77777777" w:rsidR="00D74347" w:rsidRPr="004C1C87" w:rsidRDefault="00D74347" w:rsidP="005F773B">
                  <w:pPr>
                    <w:keepLines/>
                    <w:spacing w:before="60" w:after="60"/>
                    <w:jc w:val="both"/>
                    <w:rPr>
                      <w:rFonts w:ascii="Arial" w:hAnsi="Arial"/>
                      <w:sz w:val="22"/>
                      <w:szCs w:val="22"/>
                      <w:lang w:val="en-GB"/>
                    </w:rPr>
                  </w:pPr>
                </w:p>
                <w:p w14:paraId="76EDC07A" w14:textId="77777777" w:rsidR="00D74347" w:rsidRPr="004C1C87" w:rsidRDefault="00D74347" w:rsidP="005F773B">
                  <w:pPr>
                    <w:keepLines/>
                    <w:spacing w:before="60" w:after="60"/>
                    <w:jc w:val="both"/>
                    <w:rPr>
                      <w:rFonts w:ascii="Arial" w:hAnsi="Arial"/>
                      <w:sz w:val="22"/>
                      <w:szCs w:val="22"/>
                      <w:lang w:val="en-GB"/>
                    </w:rPr>
                  </w:pPr>
                </w:p>
                <w:p w14:paraId="19FE12F1" w14:textId="77777777" w:rsidR="00D74347" w:rsidRPr="004C1C87" w:rsidRDefault="00D74347" w:rsidP="005F773B">
                  <w:pPr>
                    <w:keepLines/>
                    <w:spacing w:before="60" w:after="60"/>
                    <w:jc w:val="both"/>
                    <w:rPr>
                      <w:rFonts w:ascii="Arial" w:hAnsi="Arial"/>
                      <w:sz w:val="22"/>
                      <w:szCs w:val="22"/>
                      <w:lang w:val="en-GB"/>
                    </w:rPr>
                  </w:pPr>
                </w:p>
                <w:p w14:paraId="43295C86" w14:textId="77777777" w:rsidR="00D74347" w:rsidRPr="004C1C87" w:rsidRDefault="00D74347" w:rsidP="005F773B">
                  <w:pPr>
                    <w:keepLines/>
                    <w:spacing w:before="60" w:after="60"/>
                    <w:jc w:val="both"/>
                    <w:rPr>
                      <w:rFonts w:ascii="Arial" w:hAnsi="Arial"/>
                      <w:sz w:val="22"/>
                      <w:szCs w:val="22"/>
                      <w:lang w:val="en-GB"/>
                    </w:rPr>
                  </w:pPr>
                </w:p>
                <w:p w14:paraId="24CF6AA1" w14:textId="77777777" w:rsidR="00D74347" w:rsidRPr="004C1C87" w:rsidRDefault="00D74347" w:rsidP="005F773B">
                  <w:pPr>
                    <w:keepLines/>
                    <w:spacing w:before="60" w:after="60"/>
                    <w:jc w:val="both"/>
                    <w:rPr>
                      <w:rFonts w:ascii="Arial" w:hAnsi="Arial"/>
                      <w:sz w:val="22"/>
                      <w:szCs w:val="22"/>
                      <w:lang w:val="en-GB"/>
                    </w:rPr>
                  </w:pPr>
                </w:p>
              </w:tc>
            </w:tr>
            <w:tr w:rsidR="00D74347" w:rsidRPr="004C1C87" w14:paraId="758BDFC8" w14:textId="77777777" w:rsidTr="004C1C87">
              <w:trPr>
                <w:cantSplit/>
                <w:trHeight w:val="772"/>
              </w:trPr>
              <w:tc>
                <w:tcPr>
                  <w:tcW w:w="1276" w:type="pct"/>
                  <w:shd w:val="clear" w:color="auto" w:fill="DBE5F1" w:themeFill="accent1" w:themeFillTint="33"/>
                </w:tcPr>
                <w:p w14:paraId="11D4BECC" w14:textId="77777777" w:rsidR="00D74347" w:rsidRPr="004C1C87" w:rsidRDefault="00D74347" w:rsidP="005F773B">
                  <w:pPr>
                    <w:keepLines/>
                    <w:bidi/>
                    <w:spacing w:before="60" w:after="60"/>
                    <w:jc w:val="right"/>
                    <w:rPr>
                      <w:rFonts w:ascii="Arial" w:hAnsi="Arial"/>
                      <w:b/>
                      <w:bCs/>
                      <w:sz w:val="22"/>
                      <w:szCs w:val="22"/>
                      <w:u w:val="single"/>
                      <w:rtl/>
                    </w:rPr>
                  </w:pPr>
                  <w:r w:rsidRPr="004C1C87">
                    <w:rPr>
                      <w:rFonts w:ascii="Arial" w:hAnsi="Arial"/>
                      <w:b/>
                      <w:bCs/>
                      <w:sz w:val="22"/>
                      <w:szCs w:val="22"/>
                      <w:u w:val="single"/>
                      <w:rtl/>
                    </w:rPr>
                    <w:t>30 حزيران/يونيو</w:t>
                  </w:r>
                </w:p>
                <w:p w14:paraId="29A843CB" w14:textId="51594B84" w:rsidR="00D74347" w:rsidRPr="004C1C87" w:rsidRDefault="00D74347" w:rsidP="000D637E">
                  <w:pPr>
                    <w:keepLines/>
                    <w:bidi/>
                    <w:spacing w:before="60" w:after="60"/>
                    <w:jc w:val="right"/>
                    <w:rPr>
                      <w:rFonts w:ascii="Arial" w:hAnsi="Arial"/>
                      <w:b/>
                      <w:bCs/>
                      <w:sz w:val="22"/>
                      <w:szCs w:val="22"/>
                      <w:u w:val="single"/>
                      <w:rtl/>
                    </w:rPr>
                  </w:pPr>
                  <w:r w:rsidRPr="004C1C87">
                    <w:rPr>
                      <w:rFonts w:ascii="Arial" w:hAnsi="Arial"/>
                      <w:b/>
                      <w:bCs/>
                      <w:sz w:val="22"/>
                      <w:szCs w:val="22"/>
                      <w:u w:val="single"/>
                      <w:rtl/>
                    </w:rPr>
                    <w:t>من العام الأول</w:t>
                  </w:r>
                </w:p>
                <w:p w14:paraId="51149F05" w14:textId="77777777" w:rsidR="00D74347" w:rsidRPr="004C1C87" w:rsidRDefault="00D74347" w:rsidP="005F773B">
                  <w:pPr>
                    <w:keepLines/>
                    <w:spacing w:before="60" w:after="60"/>
                    <w:jc w:val="right"/>
                    <w:rPr>
                      <w:rFonts w:ascii="Arial" w:hAnsi="Arial"/>
                      <w:sz w:val="22"/>
                      <w:szCs w:val="22"/>
                    </w:rPr>
                  </w:pPr>
                </w:p>
              </w:tc>
              <w:tc>
                <w:tcPr>
                  <w:tcW w:w="3724" w:type="pct"/>
                  <w:shd w:val="clear" w:color="auto" w:fill="DBE5F1" w:themeFill="accent1" w:themeFillTint="33"/>
                </w:tcPr>
                <w:p w14:paraId="1F255072" w14:textId="77777777" w:rsidR="00D74347" w:rsidRPr="004C1C87" w:rsidRDefault="00D74347" w:rsidP="005F773B">
                  <w:pPr>
                    <w:keepLines/>
                    <w:bidi/>
                    <w:spacing w:before="60" w:after="60"/>
                    <w:jc w:val="both"/>
                    <w:rPr>
                      <w:rFonts w:ascii="Arial" w:hAnsi="Arial"/>
                      <w:b/>
                      <w:bCs/>
                      <w:sz w:val="22"/>
                      <w:szCs w:val="22"/>
                      <w:u w:val="single"/>
                      <w:rtl/>
                    </w:rPr>
                  </w:pPr>
                  <w:r w:rsidRPr="004C1C87">
                    <w:rPr>
                      <w:rFonts w:ascii="Arial" w:hAnsi="Arial"/>
                      <w:b/>
                      <w:bCs/>
                      <w:sz w:val="22"/>
                      <w:szCs w:val="22"/>
                      <w:u w:val="single"/>
                      <w:rtl/>
                    </w:rPr>
                    <w:t>الموعد النهائي لتقديم طلبات النقل من قائمة التراث الثقافي غير المادي الذي يحتاج إلى صون عاجل إلى القائمة التمثيلية للتراث الثقافي غير المادي للبشرية.</w:t>
                  </w:r>
                </w:p>
              </w:tc>
            </w:tr>
            <w:tr w:rsidR="00D74347" w:rsidRPr="004C1C87" w14:paraId="3D6BDBE2" w14:textId="77777777" w:rsidTr="00120A07">
              <w:trPr>
                <w:cantSplit/>
              </w:trPr>
              <w:tc>
                <w:tcPr>
                  <w:tcW w:w="1276" w:type="pct"/>
                  <w:shd w:val="clear" w:color="auto" w:fill="EAF1DD" w:themeFill="accent3" w:themeFillTint="33"/>
                </w:tcPr>
                <w:p w14:paraId="1214E89B" w14:textId="77777777" w:rsidR="00D74347" w:rsidRPr="004C1C87" w:rsidRDefault="00D74347" w:rsidP="005F773B">
                  <w:pPr>
                    <w:keepLines/>
                    <w:bidi/>
                    <w:spacing w:before="60" w:after="60"/>
                    <w:jc w:val="right"/>
                    <w:rPr>
                      <w:rFonts w:ascii="Arial" w:hAnsi="Arial"/>
                      <w:strike/>
                      <w:sz w:val="22"/>
                      <w:szCs w:val="22"/>
                      <w:rtl/>
                    </w:rPr>
                  </w:pPr>
                  <w:r w:rsidRPr="004C1C87">
                    <w:rPr>
                      <w:rFonts w:ascii="Arial" w:hAnsi="Arial"/>
                      <w:strike/>
                      <w:sz w:val="22"/>
                      <w:szCs w:val="22"/>
                      <w:rtl/>
                    </w:rPr>
                    <w:t>30 حزيران/يونيو</w:t>
                  </w:r>
                </w:p>
                <w:p w14:paraId="472C39FB" w14:textId="77777777" w:rsidR="00D74347" w:rsidRPr="004C1C87" w:rsidRDefault="00D74347" w:rsidP="005F773B">
                  <w:pPr>
                    <w:keepLines/>
                    <w:bidi/>
                    <w:spacing w:before="60" w:after="60"/>
                    <w:jc w:val="right"/>
                    <w:rPr>
                      <w:rFonts w:ascii="Arial" w:hAnsi="Arial"/>
                      <w:b/>
                      <w:bCs/>
                      <w:sz w:val="22"/>
                      <w:szCs w:val="22"/>
                      <w:u w:val="single"/>
                      <w:rtl/>
                    </w:rPr>
                  </w:pPr>
                  <w:r w:rsidRPr="004C1C87">
                    <w:rPr>
                      <w:rFonts w:ascii="Arial" w:hAnsi="Arial"/>
                      <w:b/>
                      <w:bCs/>
                      <w:sz w:val="22"/>
                      <w:szCs w:val="22"/>
                      <w:u w:val="single"/>
                      <w:rtl/>
                    </w:rPr>
                    <w:t>31 آب/أغسطس</w:t>
                  </w:r>
                </w:p>
                <w:p w14:paraId="06B92A74" w14:textId="69B2DE2B" w:rsidR="00D74347" w:rsidRPr="004C1C87" w:rsidRDefault="00D74347" w:rsidP="000D637E">
                  <w:pPr>
                    <w:keepLines/>
                    <w:bidi/>
                    <w:spacing w:before="60" w:after="60"/>
                    <w:jc w:val="right"/>
                    <w:rPr>
                      <w:rFonts w:ascii="Arial" w:hAnsi="Arial"/>
                      <w:sz w:val="22"/>
                      <w:szCs w:val="22"/>
                      <w:rtl/>
                    </w:rPr>
                  </w:pPr>
                  <w:r w:rsidRPr="004C1C87">
                    <w:rPr>
                      <w:rFonts w:ascii="Arial" w:hAnsi="Arial"/>
                      <w:sz w:val="22"/>
                      <w:szCs w:val="22"/>
                      <w:rtl/>
                    </w:rPr>
                    <w:t>من العام الأول</w:t>
                  </w:r>
                </w:p>
              </w:tc>
              <w:tc>
                <w:tcPr>
                  <w:tcW w:w="3724" w:type="pct"/>
                  <w:shd w:val="clear" w:color="auto" w:fill="EAF1DD" w:themeFill="accent3" w:themeFillTint="33"/>
                </w:tcPr>
                <w:p w14:paraId="089E5692"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الموعد النهائي لاضطلاع الأمانة بمعالجة الملفات، بما في ذلك تسجيلها والإقرار بتسلمها. وإذا تبين أن أحد الملفات غير كامل، يطلب من الدولة الطرف استكماله.</w:t>
                  </w:r>
                </w:p>
              </w:tc>
            </w:tr>
            <w:tr w:rsidR="00D74347" w:rsidRPr="004C1C87" w14:paraId="38FA484C" w14:textId="77777777" w:rsidTr="00F75D53">
              <w:trPr>
                <w:cantSplit/>
                <w:trHeight w:val="2224"/>
              </w:trPr>
              <w:tc>
                <w:tcPr>
                  <w:tcW w:w="1276" w:type="pct"/>
                  <w:shd w:val="clear" w:color="auto" w:fill="EAF1DD" w:themeFill="accent3" w:themeFillTint="33"/>
                </w:tcPr>
                <w:p w14:paraId="6DDF3375" w14:textId="77777777" w:rsidR="00D74347" w:rsidRPr="004C1C87" w:rsidRDefault="00D74347" w:rsidP="005F773B">
                  <w:pPr>
                    <w:keepLines/>
                    <w:bidi/>
                    <w:spacing w:before="60" w:after="60"/>
                    <w:jc w:val="right"/>
                    <w:rPr>
                      <w:rFonts w:ascii="Arial" w:hAnsi="Arial"/>
                      <w:strike/>
                      <w:sz w:val="22"/>
                      <w:szCs w:val="22"/>
                      <w:rtl/>
                    </w:rPr>
                  </w:pPr>
                  <w:r w:rsidRPr="004C1C87">
                    <w:rPr>
                      <w:rFonts w:ascii="Arial" w:hAnsi="Arial"/>
                      <w:strike/>
                      <w:sz w:val="22"/>
                      <w:szCs w:val="22"/>
                      <w:rtl/>
                    </w:rPr>
                    <w:t>30 أيلول/ سبتمبر</w:t>
                  </w:r>
                </w:p>
                <w:p w14:paraId="26C5FED9" w14:textId="77777777" w:rsidR="00D74347" w:rsidRPr="004C1C87" w:rsidRDefault="00D74347" w:rsidP="005F773B">
                  <w:pPr>
                    <w:keepLines/>
                    <w:bidi/>
                    <w:spacing w:before="60" w:after="60"/>
                    <w:jc w:val="right"/>
                    <w:rPr>
                      <w:rFonts w:ascii="Arial" w:hAnsi="Arial"/>
                      <w:b/>
                      <w:bCs/>
                      <w:sz w:val="22"/>
                      <w:szCs w:val="22"/>
                      <w:u w:val="single"/>
                      <w:rtl/>
                    </w:rPr>
                  </w:pPr>
                  <w:r w:rsidRPr="004C1C87">
                    <w:rPr>
                      <w:rFonts w:ascii="Arial" w:hAnsi="Arial"/>
                      <w:b/>
                      <w:bCs/>
                      <w:sz w:val="22"/>
                      <w:szCs w:val="22"/>
                      <w:u w:val="single"/>
                      <w:rtl/>
                    </w:rPr>
                    <w:t>30 تشرين الثاني/نوفمبر</w:t>
                  </w:r>
                </w:p>
                <w:p w14:paraId="14CEA1AD" w14:textId="0E0201F3" w:rsidR="00D74347" w:rsidRPr="004C1C87" w:rsidRDefault="00D74347" w:rsidP="000D637E">
                  <w:pPr>
                    <w:keepLines/>
                    <w:bidi/>
                    <w:spacing w:before="60" w:after="60"/>
                    <w:jc w:val="right"/>
                    <w:rPr>
                      <w:rFonts w:ascii="Arial" w:hAnsi="Arial"/>
                      <w:sz w:val="22"/>
                      <w:szCs w:val="22"/>
                      <w:rtl/>
                    </w:rPr>
                  </w:pPr>
                  <w:r w:rsidRPr="004C1C87">
                    <w:rPr>
                      <w:rFonts w:ascii="Arial" w:hAnsi="Arial"/>
                      <w:sz w:val="22"/>
                      <w:szCs w:val="22"/>
                      <w:rtl/>
                    </w:rPr>
                    <w:t>من العام الأول</w:t>
                  </w:r>
                </w:p>
              </w:tc>
              <w:tc>
                <w:tcPr>
                  <w:tcW w:w="3724" w:type="pct"/>
                  <w:shd w:val="clear" w:color="auto" w:fill="EAF1DD" w:themeFill="accent3" w:themeFillTint="33"/>
                </w:tcPr>
                <w:p w14:paraId="561D3154"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الموعد النهائي لتقدم الدولة الطرف المعلومات الناقصة المطلوبة لاستكمال الملفات، عند الاقتضاء، إلى الأمانة. أما الملفات التي تبقى غير كاملة فتعاد إلى الدول الأطراف التي يجوز لها استكمالها توطئة لفحصها في دورة لاحقة. وعندما تصل الملفات المنقحة، التي تقدمها الدول إلى الأمانة تلبية لطلبها تقديم معلومات إضافية، فإنها تُنشر على الموقع الشبكي وتحل محل الملفات الأصلية. وتُنشر كذلك ترجمة هذه الملفات إلى الإنجليزية أو الفرنسية على الموقع الشبكي لدى توافرها.</w:t>
                  </w:r>
                </w:p>
              </w:tc>
            </w:tr>
            <w:tr w:rsidR="00D74347" w:rsidRPr="004C1C87" w14:paraId="557AA0E2" w14:textId="77777777" w:rsidTr="00120A07">
              <w:trPr>
                <w:cantSplit/>
              </w:trPr>
              <w:tc>
                <w:tcPr>
                  <w:tcW w:w="1276" w:type="pct"/>
                </w:tcPr>
                <w:p w14:paraId="74B44AD9" w14:textId="77777777" w:rsidR="00D74347" w:rsidRPr="004C1C87" w:rsidRDefault="00D74347" w:rsidP="005F773B">
                  <w:pPr>
                    <w:keepLines/>
                    <w:bidi/>
                    <w:spacing w:before="60" w:after="60"/>
                    <w:jc w:val="right"/>
                    <w:rPr>
                      <w:rFonts w:ascii="Arial" w:hAnsi="Arial"/>
                      <w:sz w:val="22"/>
                      <w:szCs w:val="22"/>
                      <w:rtl/>
                    </w:rPr>
                  </w:pPr>
                  <w:r w:rsidRPr="004C1C87">
                    <w:rPr>
                      <w:rFonts w:ascii="Arial" w:hAnsi="Arial"/>
                      <w:sz w:val="22"/>
                      <w:szCs w:val="22"/>
                      <w:rtl/>
                    </w:rPr>
                    <w:t>31 كانون الثاني/يناير</w:t>
                  </w:r>
                </w:p>
                <w:p w14:paraId="43A84C5C" w14:textId="7E117115" w:rsidR="00D74347" w:rsidRPr="004C1C87" w:rsidRDefault="00D74347" w:rsidP="000D637E">
                  <w:pPr>
                    <w:keepLines/>
                    <w:bidi/>
                    <w:spacing w:before="60" w:after="60"/>
                    <w:jc w:val="right"/>
                    <w:rPr>
                      <w:rFonts w:ascii="Arial" w:hAnsi="Arial"/>
                      <w:sz w:val="22"/>
                      <w:szCs w:val="22"/>
                    </w:rPr>
                  </w:pPr>
                  <w:r w:rsidRPr="004C1C87">
                    <w:rPr>
                      <w:rFonts w:ascii="Arial" w:hAnsi="Arial"/>
                      <w:sz w:val="22"/>
                      <w:szCs w:val="22"/>
                      <w:rtl/>
                    </w:rPr>
                    <w:t>من العام الثاني</w:t>
                  </w:r>
                </w:p>
                <w:p w14:paraId="7BEDB6BB" w14:textId="77777777" w:rsidR="00D74347" w:rsidRPr="004C1C87" w:rsidRDefault="00D74347" w:rsidP="004C1C87">
                  <w:pPr>
                    <w:keepLines/>
                    <w:spacing w:before="60" w:after="60"/>
                    <w:ind w:right="440"/>
                    <w:rPr>
                      <w:rFonts w:ascii="Arial" w:hAnsi="Arial"/>
                      <w:sz w:val="22"/>
                      <w:szCs w:val="22"/>
                    </w:rPr>
                  </w:pPr>
                </w:p>
                <w:p w14:paraId="6988287B" w14:textId="77777777" w:rsidR="00D74347" w:rsidRPr="004C1C87" w:rsidRDefault="00D74347" w:rsidP="00F75D53">
                  <w:pPr>
                    <w:keepLines/>
                    <w:bidi/>
                    <w:spacing w:before="60" w:after="60"/>
                    <w:jc w:val="right"/>
                    <w:rPr>
                      <w:rFonts w:ascii="Arial" w:hAnsi="Arial"/>
                      <w:sz w:val="22"/>
                      <w:szCs w:val="22"/>
                    </w:rPr>
                  </w:pPr>
                </w:p>
              </w:tc>
              <w:tc>
                <w:tcPr>
                  <w:tcW w:w="3724" w:type="pct"/>
                </w:tcPr>
                <w:p w14:paraId="2785DCF6"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لا يوجد تغيير</w:t>
                  </w:r>
                </w:p>
              </w:tc>
            </w:tr>
          </w:tbl>
          <w:p w14:paraId="5C7ADDEF" w14:textId="77777777" w:rsidR="00D74347" w:rsidRPr="004C1C87" w:rsidRDefault="00D74347" w:rsidP="005F773B">
            <w:pPr>
              <w:keepLines/>
              <w:spacing w:before="60" w:after="60"/>
              <w:jc w:val="both"/>
              <w:rPr>
                <w:rFonts w:ascii="Arial" w:hAnsi="Arial"/>
                <w:sz w:val="22"/>
                <w:szCs w:val="22"/>
                <w:lang w:val="en-US"/>
              </w:rPr>
            </w:pPr>
          </w:p>
        </w:tc>
      </w:tr>
      <w:tr w:rsidR="00D74347" w:rsidRPr="004C1C87" w14:paraId="69CFF070" w14:textId="77777777" w:rsidTr="00772187">
        <w:tc>
          <w:tcPr>
            <w:tcW w:w="228" w:type="pct"/>
            <w:tcBorders>
              <w:right w:val="single" w:sz="4" w:space="0" w:color="auto"/>
            </w:tcBorders>
          </w:tcPr>
          <w:p w14:paraId="6B851D59" w14:textId="77777777" w:rsidR="00D74347" w:rsidRPr="004C1C87" w:rsidRDefault="00D74347" w:rsidP="005F773B">
            <w:pPr>
              <w:keepLines/>
              <w:bidi/>
              <w:spacing w:before="60" w:after="60"/>
              <w:rPr>
                <w:rFonts w:ascii="Arial" w:hAnsi="Arial"/>
                <w:sz w:val="22"/>
                <w:szCs w:val="22"/>
                <w:rtl/>
              </w:rPr>
            </w:pPr>
            <w:r w:rsidRPr="004C1C87">
              <w:rPr>
                <w:rFonts w:ascii="Arial" w:hAnsi="Arial"/>
                <w:sz w:val="22"/>
                <w:szCs w:val="22"/>
                <w:rtl/>
              </w:rPr>
              <w:t>55.</w:t>
            </w:r>
          </w:p>
        </w:tc>
        <w:tc>
          <w:tcPr>
            <w:tcW w:w="2291" w:type="pct"/>
            <w:tcBorders>
              <w:top w:val="single" w:sz="4" w:space="0" w:color="auto"/>
              <w:left w:val="single" w:sz="4" w:space="0" w:color="auto"/>
              <w:bottom w:val="single" w:sz="4" w:space="0" w:color="auto"/>
              <w:right w:val="single" w:sz="4" w:space="0" w:color="auto"/>
            </w:tcBorders>
          </w:tcPr>
          <w:tbl>
            <w:tblPr>
              <w:tblStyle w:val="TableGrid"/>
              <w:bidiVisual/>
              <w:tblW w:w="6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78"/>
              <w:gridCol w:w="4707"/>
            </w:tblGrid>
            <w:tr w:rsidR="00D74347" w:rsidRPr="004C1C87" w14:paraId="36B70D78" w14:textId="77777777" w:rsidTr="005D7F98">
              <w:trPr>
                <w:cantSplit/>
              </w:trPr>
              <w:tc>
                <w:tcPr>
                  <w:tcW w:w="1255" w:type="pct"/>
                </w:tcPr>
                <w:p w14:paraId="6CC3CB9A" w14:textId="7E2C4077" w:rsidR="00D74347" w:rsidRPr="004C1C87" w:rsidRDefault="00D74347" w:rsidP="00280559">
                  <w:pPr>
                    <w:keepLines/>
                    <w:bidi/>
                    <w:spacing w:before="60" w:after="60"/>
                    <w:jc w:val="right"/>
                    <w:rPr>
                      <w:rFonts w:ascii="Arial" w:hAnsi="Arial"/>
                      <w:sz w:val="22"/>
                      <w:szCs w:val="22"/>
                      <w:rtl/>
                    </w:rPr>
                  </w:pPr>
                  <w:r w:rsidRPr="004C1C87">
                    <w:rPr>
                      <w:rFonts w:ascii="Arial" w:hAnsi="Arial"/>
                      <w:sz w:val="22"/>
                      <w:szCs w:val="22"/>
                      <w:rtl/>
                    </w:rPr>
                    <w:t>المرحلة الثانية:</w:t>
                  </w:r>
                </w:p>
              </w:tc>
              <w:tc>
                <w:tcPr>
                  <w:tcW w:w="3745" w:type="pct"/>
                </w:tcPr>
                <w:p w14:paraId="2E66BEEB" w14:textId="77777777" w:rsidR="00D74347" w:rsidRPr="004C1C87" w:rsidRDefault="00D74347" w:rsidP="005F773B">
                  <w:pPr>
                    <w:keepLines/>
                    <w:bidi/>
                    <w:spacing w:before="60" w:after="60"/>
                    <w:ind w:right="176"/>
                    <w:jc w:val="both"/>
                    <w:rPr>
                      <w:rFonts w:ascii="Arial" w:hAnsi="Arial"/>
                      <w:sz w:val="22"/>
                      <w:szCs w:val="22"/>
                      <w:rtl/>
                    </w:rPr>
                  </w:pPr>
                  <w:r w:rsidRPr="004C1C87">
                    <w:rPr>
                      <w:rFonts w:ascii="Arial" w:hAnsi="Arial"/>
                      <w:sz w:val="22"/>
                      <w:szCs w:val="22"/>
                      <w:rtl/>
                    </w:rPr>
                    <w:t>التقييم</w:t>
                  </w:r>
                </w:p>
              </w:tc>
            </w:tr>
            <w:tr w:rsidR="00D74347" w:rsidRPr="004C1C87" w14:paraId="2A379DD1" w14:textId="77777777" w:rsidTr="005D7F98">
              <w:trPr>
                <w:cantSplit/>
                <w:trHeight w:val="1098"/>
              </w:trPr>
              <w:tc>
                <w:tcPr>
                  <w:tcW w:w="1255" w:type="pct"/>
                </w:tcPr>
                <w:p w14:paraId="278C951A" w14:textId="040CDF2A" w:rsidR="00D74347" w:rsidRPr="004C1C87" w:rsidRDefault="00D74347" w:rsidP="00280559">
                  <w:pPr>
                    <w:keepLines/>
                    <w:bidi/>
                    <w:spacing w:before="60" w:after="60"/>
                    <w:jc w:val="right"/>
                    <w:rPr>
                      <w:rFonts w:ascii="Arial" w:hAnsi="Arial"/>
                      <w:sz w:val="22"/>
                      <w:szCs w:val="22"/>
                      <w:rtl/>
                    </w:rPr>
                  </w:pPr>
                  <w:r w:rsidRPr="004C1C87">
                    <w:rPr>
                      <w:rFonts w:ascii="Arial" w:hAnsi="Arial"/>
                      <w:sz w:val="22"/>
                      <w:szCs w:val="22"/>
                      <w:rtl/>
                    </w:rPr>
                    <w:lastRenderedPageBreak/>
                    <w:t>كانون الأول/ديسمبر من العام الأول إلى أيار/مايو من العام الثاني</w:t>
                  </w:r>
                </w:p>
              </w:tc>
              <w:tc>
                <w:tcPr>
                  <w:tcW w:w="3745" w:type="pct"/>
                </w:tcPr>
                <w:p w14:paraId="5740DE7C"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تقييم فردي للملفات من جانب أعضاء هيئة التقييم.</w:t>
                  </w:r>
                </w:p>
                <w:p w14:paraId="6EA4254B" w14:textId="77777777" w:rsidR="00D74347" w:rsidRPr="004C1C87" w:rsidRDefault="00D74347" w:rsidP="005F773B">
                  <w:pPr>
                    <w:keepLines/>
                    <w:spacing w:before="60" w:after="60"/>
                    <w:ind w:right="69"/>
                    <w:jc w:val="both"/>
                    <w:rPr>
                      <w:rFonts w:ascii="Arial" w:hAnsi="Arial"/>
                      <w:sz w:val="22"/>
                      <w:szCs w:val="22"/>
                      <w:lang w:val="en-GB"/>
                    </w:rPr>
                  </w:pPr>
                </w:p>
              </w:tc>
            </w:tr>
            <w:tr w:rsidR="00D74347" w:rsidRPr="004C1C87" w14:paraId="5A21BB9B" w14:textId="77777777" w:rsidTr="005D7F98">
              <w:trPr>
                <w:cantSplit/>
              </w:trPr>
              <w:tc>
                <w:tcPr>
                  <w:tcW w:w="1255" w:type="pct"/>
                </w:tcPr>
                <w:p w14:paraId="32AE203C" w14:textId="77777777" w:rsidR="00D74347" w:rsidRPr="004C1C87" w:rsidRDefault="00D74347" w:rsidP="005F773B">
                  <w:pPr>
                    <w:keepLines/>
                    <w:bidi/>
                    <w:spacing w:before="60" w:after="60"/>
                    <w:jc w:val="right"/>
                    <w:rPr>
                      <w:rFonts w:ascii="Arial" w:hAnsi="Arial"/>
                      <w:sz w:val="22"/>
                      <w:szCs w:val="22"/>
                      <w:rtl/>
                    </w:rPr>
                  </w:pPr>
                  <w:r w:rsidRPr="004C1C87">
                    <w:rPr>
                      <w:rFonts w:ascii="Arial" w:hAnsi="Arial"/>
                      <w:sz w:val="22"/>
                      <w:szCs w:val="22"/>
                      <w:rtl/>
                    </w:rPr>
                    <w:t>حزيران/يونيو</w:t>
                  </w:r>
                </w:p>
                <w:p w14:paraId="5D17784F" w14:textId="7CD9F06D" w:rsidR="00D74347" w:rsidRPr="004C1C87" w:rsidRDefault="00D74347" w:rsidP="00280559">
                  <w:pPr>
                    <w:keepLines/>
                    <w:bidi/>
                    <w:spacing w:before="60" w:after="60"/>
                    <w:jc w:val="right"/>
                    <w:rPr>
                      <w:rFonts w:ascii="Arial" w:hAnsi="Arial"/>
                      <w:sz w:val="22"/>
                      <w:szCs w:val="22"/>
                      <w:rtl/>
                    </w:rPr>
                  </w:pPr>
                  <w:r w:rsidRPr="004C1C87">
                    <w:rPr>
                      <w:rFonts w:ascii="Arial" w:hAnsi="Arial"/>
                      <w:sz w:val="22"/>
                      <w:szCs w:val="22"/>
                      <w:rtl/>
                    </w:rPr>
                    <w:t>من العام الثاني</w:t>
                  </w:r>
                </w:p>
              </w:tc>
              <w:tc>
                <w:tcPr>
                  <w:tcW w:w="3745" w:type="pct"/>
                </w:tcPr>
                <w:p w14:paraId="686F58B8"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اجتماع ينتهي فيه أعضاء هيئة التقييم من تقييمهم الملفات ويحددون الملفات التي ستدرج في عملية الحوار. وسيتم تعليق تقييم هذه الملفات حتى انعقاد الاجتماع النهائي لهيئة التقييم.</w:t>
                  </w:r>
                </w:p>
                <w:p w14:paraId="12AB8BE0" w14:textId="77777777" w:rsidR="00D74347" w:rsidRPr="004C1C87" w:rsidRDefault="00D74347" w:rsidP="005F773B">
                  <w:pPr>
                    <w:keepLines/>
                    <w:bidi/>
                    <w:spacing w:before="60" w:after="60"/>
                    <w:ind w:right="69"/>
                    <w:jc w:val="both"/>
                    <w:rPr>
                      <w:rFonts w:ascii="Arial" w:hAnsi="Arial"/>
                      <w:sz w:val="22"/>
                      <w:szCs w:val="22"/>
                      <w:rtl/>
                    </w:rPr>
                  </w:pPr>
                  <w:r w:rsidRPr="004C1C87">
                    <w:rPr>
                      <w:rFonts w:ascii="Arial" w:hAnsi="Arial"/>
                      <w:sz w:val="22"/>
                      <w:szCs w:val="22"/>
                      <w:rtl/>
                    </w:rPr>
                    <w:t>تبدأ عملية الحوار عندما ترى هيئة التقييم أن عملية طرح الأسئلة وتلقي أجوبة مع الدولة (الدول) المقدمة للملفات، والتي تتم كتابياً عن طريق الأمانة، يمكن أن تؤثر على نتيجة تقييمها.</w:t>
                  </w:r>
                </w:p>
              </w:tc>
            </w:tr>
            <w:tr w:rsidR="00D74347" w:rsidRPr="004C1C87" w14:paraId="7D97B78A" w14:textId="77777777" w:rsidTr="00F75D53">
              <w:trPr>
                <w:cantSplit/>
                <w:trHeight w:val="1807"/>
              </w:trPr>
              <w:tc>
                <w:tcPr>
                  <w:tcW w:w="1255" w:type="pct"/>
                </w:tcPr>
                <w:p w14:paraId="5B272217" w14:textId="77777777" w:rsidR="00D74347" w:rsidRPr="004C1C87" w:rsidRDefault="00D74347" w:rsidP="005F773B">
                  <w:pPr>
                    <w:keepLines/>
                    <w:bidi/>
                    <w:spacing w:before="60" w:after="60"/>
                    <w:jc w:val="right"/>
                    <w:rPr>
                      <w:rFonts w:ascii="Arial" w:hAnsi="Arial"/>
                      <w:sz w:val="22"/>
                      <w:szCs w:val="22"/>
                      <w:rtl/>
                    </w:rPr>
                  </w:pPr>
                  <w:r w:rsidRPr="004C1C87">
                    <w:rPr>
                      <w:rFonts w:ascii="Arial" w:hAnsi="Arial"/>
                      <w:sz w:val="22"/>
                      <w:szCs w:val="22"/>
                      <w:rtl/>
                    </w:rPr>
                    <w:t>أسبوعان بعد اجتماع حزيران/يونيو</w:t>
                  </w:r>
                </w:p>
                <w:p w14:paraId="0753C512" w14:textId="4FE96FD6" w:rsidR="00D74347" w:rsidRPr="004C1C87" w:rsidRDefault="00D74347" w:rsidP="00280559">
                  <w:pPr>
                    <w:keepLines/>
                    <w:bidi/>
                    <w:spacing w:before="60" w:after="60"/>
                    <w:jc w:val="right"/>
                    <w:rPr>
                      <w:rFonts w:ascii="Arial" w:hAnsi="Arial"/>
                      <w:sz w:val="22"/>
                      <w:szCs w:val="22"/>
                      <w:highlight w:val="yellow"/>
                      <w:rtl/>
                    </w:rPr>
                  </w:pPr>
                  <w:r w:rsidRPr="004C1C87">
                    <w:rPr>
                      <w:rFonts w:ascii="Arial" w:hAnsi="Arial"/>
                      <w:sz w:val="22"/>
                      <w:szCs w:val="22"/>
                      <w:rtl/>
                    </w:rPr>
                    <w:t>من العام الثاني</w:t>
                  </w:r>
                </w:p>
              </w:tc>
              <w:tc>
                <w:tcPr>
                  <w:tcW w:w="3745" w:type="pct"/>
                </w:tcPr>
                <w:p w14:paraId="33BBE88E"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الموعد النهائي الذي ستقوم فيه هيئة التقييم بتقديم الأسئلة للدول الأطراف المعنية بعملية الحوار عن طريق الأمانة، بإحدى لغتي العمل الرسمية للاتفاقية.</w:t>
                  </w:r>
                </w:p>
                <w:p w14:paraId="4AD55F16" w14:textId="77777777" w:rsidR="00D74347" w:rsidRPr="004C1C87" w:rsidRDefault="00D74347" w:rsidP="005F773B">
                  <w:pPr>
                    <w:keepLines/>
                    <w:bidi/>
                    <w:spacing w:before="60" w:after="60"/>
                    <w:jc w:val="both"/>
                    <w:rPr>
                      <w:rFonts w:ascii="Arial" w:hAnsi="Arial"/>
                      <w:sz w:val="22"/>
                      <w:szCs w:val="22"/>
                    </w:rPr>
                  </w:pPr>
                  <w:r w:rsidRPr="004C1C87">
                    <w:rPr>
                      <w:rFonts w:ascii="Arial" w:hAnsi="Arial"/>
                      <w:sz w:val="22"/>
                      <w:szCs w:val="22"/>
                      <w:rtl/>
                    </w:rPr>
                    <w:t>تقوم الدول الأطراف بالرد على طلبات هيئة التقييم من خلال الأمانة، في غضون أربعة أسابيع من تلقي الخطاب، بلغتي العمل الرسمية للاتفاقية.</w:t>
                  </w:r>
                </w:p>
                <w:p w14:paraId="76AD9E1D" w14:textId="77777777" w:rsidR="00D74347" w:rsidRPr="004C1C87" w:rsidRDefault="00D74347" w:rsidP="00F75D53">
                  <w:pPr>
                    <w:keepLines/>
                    <w:bidi/>
                    <w:spacing w:before="60" w:after="60"/>
                    <w:jc w:val="both"/>
                    <w:rPr>
                      <w:rFonts w:ascii="Arial" w:hAnsi="Arial"/>
                      <w:sz w:val="22"/>
                      <w:szCs w:val="22"/>
                    </w:rPr>
                  </w:pPr>
                </w:p>
              </w:tc>
            </w:tr>
            <w:tr w:rsidR="00D74347" w:rsidRPr="004C1C87" w14:paraId="1A99D397" w14:textId="77777777" w:rsidTr="005D7F98">
              <w:trPr>
                <w:cantSplit/>
                <w:trHeight w:val="774"/>
              </w:trPr>
              <w:tc>
                <w:tcPr>
                  <w:tcW w:w="1255" w:type="pct"/>
                </w:tcPr>
                <w:p w14:paraId="406936D3" w14:textId="4974452D" w:rsidR="00D74347" w:rsidRPr="004C1C87" w:rsidRDefault="00D74347" w:rsidP="00280559">
                  <w:pPr>
                    <w:keepLines/>
                    <w:bidi/>
                    <w:spacing w:before="60" w:after="60"/>
                    <w:jc w:val="right"/>
                    <w:rPr>
                      <w:rFonts w:ascii="Arial" w:hAnsi="Arial"/>
                      <w:sz w:val="22"/>
                      <w:szCs w:val="22"/>
                      <w:rtl/>
                    </w:rPr>
                  </w:pPr>
                  <w:r w:rsidRPr="004C1C87">
                    <w:rPr>
                      <w:rFonts w:ascii="Arial" w:hAnsi="Arial"/>
                      <w:sz w:val="22"/>
                      <w:szCs w:val="22"/>
                      <w:rtl/>
                    </w:rPr>
                    <w:t>موعد أقصاه أيلول/سبتمبر من العام الثاني</w:t>
                  </w:r>
                </w:p>
              </w:tc>
              <w:tc>
                <w:tcPr>
                  <w:tcW w:w="3745" w:type="pct"/>
                </w:tcPr>
                <w:p w14:paraId="1F6902B6"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اجتماع تنتهي فيه هيئة التقييم من تقييمها للملفات المعنية بعملية الحوار، وإعداد تقرير بشأن تقييم جميع الملفات.</w:t>
                  </w:r>
                </w:p>
              </w:tc>
            </w:tr>
            <w:tr w:rsidR="00D74347" w:rsidRPr="004C1C87" w14:paraId="160E4427" w14:textId="77777777" w:rsidTr="005D7F98">
              <w:trPr>
                <w:cantSplit/>
                <w:trHeight w:val="1214"/>
              </w:trPr>
              <w:tc>
                <w:tcPr>
                  <w:tcW w:w="1255" w:type="pct"/>
                </w:tcPr>
                <w:p w14:paraId="1A5708AC" w14:textId="77777777" w:rsidR="00D74347" w:rsidRPr="004C1C87" w:rsidRDefault="00D74347" w:rsidP="005F773B">
                  <w:pPr>
                    <w:keepLines/>
                    <w:bidi/>
                    <w:spacing w:before="60" w:after="60"/>
                    <w:jc w:val="right"/>
                    <w:rPr>
                      <w:rFonts w:ascii="Arial" w:hAnsi="Arial"/>
                      <w:sz w:val="22"/>
                      <w:szCs w:val="22"/>
                      <w:rtl/>
                    </w:rPr>
                  </w:pPr>
                  <w:r w:rsidRPr="004C1C87">
                    <w:rPr>
                      <w:rFonts w:ascii="Arial" w:hAnsi="Arial"/>
                      <w:sz w:val="22"/>
                      <w:szCs w:val="22"/>
                      <w:rtl/>
                    </w:rPr>
                    <w:t>قبل عقد دورة اللجنة بأربعة أسابيع</w:t>
                  </w:r>
                </w:p>
              </w:tc>
              <w:tc>
                <w:tcPr>
                  <w:tcW w:w="3745" w:type="pct"/>
                </w:tcPr>
                <w:p w14:paraId="17F46689" w14:textId="77777777" w:rsidR="00D74347" w:rsidRPr="004C1C87" w:rsidRDefault="00D74347" w:rsidP="005F773B">
                  <w:pPr>
                    <w:keepLines/>
                    <w:bidi/>
                    <w:spacing w:before="60" w:after="60"/>
                    <w:ind w:right="69"/>
                    <w:jc w:val="both"/>
                    <w:rPr>
                      <w:rFonts w:ascii="Arial" w:hAnsi="Arial"/>
                      <w:sz w:val="22"/>
                      <w:szCs w:val="22"/>
                      <w:rtl/>
                    </w:rPr>
                  </w:pPr>
                  <w:r w:rsidRPr="004C1C87">
                    <w:rPr>
                      <w:rFonts w:ascii="Arial" w:hAnsi="Arial"/>
                      <w:sz w:val="22"/>
                      <w:szCs w:val="22"/>
                      <w:rtl/>
                    </w:rPr>
                    <w:t>تنقل الأمانة تقارير التقييم إلى أعضاء اللجنة وتنشرها على الموقع الشبكي أيضاً لكي يتسنى الرجوع إليها.</w:t>
                  </w:r>
                </w:p>
              </w:tc>
            </w:tr>
          </w:tbl>
          <w:p w14:paraId="3C59505A" w14:textId="77777777" w:rsidR="00D74347" w:rsidRPr="004C1C87" w:rsidRDefault="00D74347" w:rsidP="005F773B">
            <w:pPr>
              <w:keepLines/>
              <w:spacing w:before="60" w:after="60"/>
              <w:jc w:val="both"/>
              <w:rPr>
                <w:rFonts w:ascii="Arial" w:hAnsi="Arial"/>
                <w:sz w:val="22"/>
                <w:szCs w:val="22"/>
                <w:lang w:val="en-US"/>
              </w:rPr>
            </w:pPr>
          </w:p>
        </w:tc>
        <w:tc>
          <w:tcPr>
            <w:tcW w:w="274" w:type="pct"/>
            <w:tcBorders>
              <w:top w:val="single" w:sz="4" w:space="0" w:color="auto"/>
              <w:left w:val="single" w:sz="4" w:space="0" w:color="auto"/>
              <w:bottom w:val="single" w:sz="4" w:space="0" w:color="auto"/>
              <w:right w:val="single" w:sz="4" w:space="0" w:color="auto"/>
            </w:tcBorders>
          </w:tcPr>
          <w:p w14:paraId="496C71C6"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lastRenderedPageBreak/>
              <w:t>55.</w:t>
            </w:r>
          </w:p>
        </w:tc>
        <w:tc>
          <w:tcPr>
            <w:tcW w:w="2207" w:type="pct"/>
            <w:tcBorders>
              <w:top w:val="single" w:sz="4" w:space="0" w:color="auto"/>
              <w:left w:val="single" w:sz="4" w:space="0" w:color="auto"/>
              <w:bottom w:val="single" w:sz="4" w:space="0" w:color="auto"/>
              <w:right w:val="single" w:sz="4" w:space="0" w:color="auto"/>
            </w:tcBorders>
          </w:tcPr>
          <w:tbl>
            <w:tblPr>
              <w:tblStyle w:val="TableGrid"/>
              <w:bidiVisual/>
              <w:tblW w:w="6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01"/>
              <w:gridCol w:w="4684"/>
            </w:tblGrid>
            <w:tr w:rsidR="00D74347" w:rsidRPr="004C1C87" w14:paraId="530842B1" w14:textId="77777777" w:rsidTr="005D7F98">
              <w:trPr>
                <w:cantSplit/>
              </w:trPr>
              <w:tc>
                <w:tcPr>
                  <w:tcW w:w="1274" w:type="pct"/>
                </w:tcPr>
                <w:p w14:paraId="6055940A" w14:textId="0C8EA06C" w:rsidR="00D74347" w:rsidRPr="004C1C87" w:rsidRDefault="00D74347" w:rsidP="00280559">
                  <w:pPr>
                    <w:keepLines/>
                    <w:bidi/>
                    <w:spacing w:before="60" w:after="60"/>
                    <w:jc w:val="right"/>
                    <w:rPr>
                      <w:rFonts w:ascii="Arial" w:hAnsi="Arial"/>
                      <w:sz w:val="22"/>
                      <w:szCs w:val="22"/>
                      <w:rtl/>
                    </w:rPr>
                  </w:pPr>
                  <w:r w:rsidRPr="004C1C87">
                    <w:rPr>
                      <w:rFonts w:ascii="Arial" w:hAnsi="Arial"/>
                      <w:sz w:val="22"/>
                      <w:szCs w:val="22"/>
                      <w:rtl/>
                    </w:rPr>
                    <w:t>المرحلة الثانية:</w:t>
                  </w:r>
                </w:p>
              </w:tc>
              <w:tc>
                <w:tcPr>
                  <w:tcW w:w="3726" w:type="pct"/>
                </w:tcPr>
                <w:p w14:paraId="4E1D3F0A" w14:textId="77777777" w:rsidR="00D74347" w:rsidRPr="004C1C87" w:rsidRDefault="00D74347" w:rsidP="005F773B">
                  <w:pPr>
                    <w:keepLines/>
                    <w:bidi/>
                    <w:spacing w:before="60" w:after="60"/>
                    <w:ind w:right="176"/>
                    <w:jc w:val="both"/>
                    <w:rPr>
                      <w:rFonts w:ascii="Arial" w:hAnsi="Arial"/>
                      <w:sz w:val="22"/>
                      <w:szCs w:val="22"/>
                      <w:rtl/>
                    </w:rPr>
                  </w:pPr>
                  <w:r w:rsidRPr="004C1C87">
                    <w:rPr>
                      <w:rFonts w:ascii="Arial" w:hAnsi="Arial"/>
                      <w:sz w:val="22"/>
                      <w:szCs w:val="22"/>
                      <w:rtl/>
                    </w:rPr>
                    <w:t>لا يوجد تغيير</w:t>
                  </w:r>
                </w:p>
              </w:tc>
            </w:tr>
            <w:tr w:rsidR="00D74347" w:rsidRPr="004C1C87" w14:paraId="7A0DF2CA" w14:textId="77777777" w:rsidTr="005D7F98">
              <w:trPr>
                <w:cantSplit/>
                <w:trHeight w:val="828"/>
              </w:trPr>
              <w:tc>
                <w:tcPr>
                  <w:tcW w:w="1274" w:type="pct"/>
                  <w:shd w:val="clear" w:color="auto" w:fill="EAF1DD" w:themeFill="accent3" w:themeFillTint="33"/>
                </w:tcPr>
                <w:p w14:paraId="7EF354E4" w14:textId="49616E5A" w:rsidR="00D74347" w:rsidRPr="004C1C87" w:rsidRDefault="00D74347" w:rsidP="00280559">
                  <w:pPr>
                    <w:keepLines/>
                    <w:bidi/>
                    <w:spacing w:before="60" w:after="60"/>
                    <w:jc w:val="right"/>
                    <w:rPr>
                      <w:rFonts w:ascii="Arial" w:hAnsi="Arial"/>
                      <w:sz w:val="22"/>
                      <w:szCs w:val="22"/>
                      <w:rtl/>
                    </w:rPr>
                  </w:pPr>
                  <w:r w:rsidRPr="004C1C87">
                    <w:rPr>
                      <w:rFonts w:ascii="Arial" w:hAnsi="Arial"/>
                      <w:sz w:val="22"/>
                      <w:szCs w:val="22"/>
                      <w:rtl/>
                    </w:rPr>
                    <w:lastRenderedPageBreak/>
                    <w:t xml:space="preserve">كانون الأول/ ديسمبر من العام الأول إلى </w:t>
                  </w:r>
                  <w:r w:rsidRPr="004C1C87">
                    <w:rPr>
                      <w:rFonts w:ascii="Arial" w:hAnsi="Arial"/>
                      <w:strike/>
                      <w:sz w:val="22"/>
                      <w:szCs w:val="22"/>
                      <w:rtl/>
                    </w:rPr>
                    <w:t>أيار/مايو</w:t>
                  </w:r>
                  <w:r w:rsidRPr="004C1C87">
                    <w:rPr>
                      <w:rFonts w:ascii="Arial" w:hAnsi="Arial"/>
                      <w:sz w:val="22"/>
                      <w:szCs w:val="22"/>
                      <w:rtl/>
                    </w:rPr>
                    <w:t xml:space="preserve"> </w:t>
                  </w:r>
                  <w:r w:rsidRPr="004C1C87">
                    <w:rPr>
                      <w:rFonts w:ascii="Arial" w:hAnsi="Arial"/>
                      <w:b/>
                      <w:bCs/>
                      <w:sz w:val="22"/>
                      <w:szCs w:val="22"/>
                      <w:u w:val="single"/>
                      <w:rtl/>
                    </w:rPr>
                    <w:t>حزيران/يونيو</w:t>
                  </w:r>
                  <w:r w:rsidRPr="004C1C87">
                    <w:rPr>
                      <w:rFonts w:ascii="Arial" w:hAnsi="Arial"/>
                      <w:sz w:val="22"/>
                      <w:szCs w:val="22"/>
                      <w:rtl/>
                    </w:rPr>
                    <w:t xml:space="preserve"> من العام الثاني</w:t>
                  </w:r>
                </w:p>
              </w:tc>
              <w:tc>
                <w:tcPr>
                  <w:tcW w:w="3726" w:type="pct"/>
                  <w:shd w:val="clear" w:color="auto" w:fill="EAF1DD" w:themeFill="accent3" w:themeFillTint="33"/>
                </w:tcPr>
                <w:p w14:paraId="580CB1CD" w14:textId="77777777" w:rsidR="00D74347" w:rsidRPr="004C1C87" w:rsidRDefault="00D74347" w:rsidP="005F773B">
                  <w:pPr>
                    <w:keepLines/>
                    <w:bidi/>
                    <w:spacing w:before="60" w:after="60"/>
                    <w:ind w:right="69"/>
                    <w:jc w:val="both"/>
                    <w:rPr>
                      <w:rFonts w:ascii="Arial" w:hAnsi="Arial"/>
                      <w:sz w:val="22"/>
                      <w:szCs w:val="22"/>
                      <w:rtl/>
                    </w:rPr>
                  </w:pPr>
                  <w:r w:rsidRPr="004C1C87">
                    <w:rPr>
                      <w:rFonts w:ascii="Arial" w:hAnsi="Arial"/>
                      <w:sz w:val="22"/>
                      <w:szCs w:val="22"/>
                      <w:rtl/>
                    </w:rPr>
                    <w:t>تقييم فردي للملفات من جانب أعضاء هيئة التقييم.</w:t>
                  </w:r>
                </w:p>
              </w:tc>
            </w:tr>
            <w:tr w:rsidR="00D74347" w:rsidRPr="004C1C87" w14:paraId="2F83ADF5" w14:textId="77777777" w:rsidTr="00F75D53">
              <w:trPr>
                <w:cantSplit/>
                <w:trHeight w:val="1810"/>
              </w:trPr>
              <w:tc>
                <w:tcPr>
                  <w:tcW w:w="1274" w:type="pct"/>
                </w:tcPr>
                <w:p w14:paraId="0428301D" w14:textId="77777777" w:rsidR="00D74347" w:rsidRPr="004C1C87" w:rsidRDefault="00D74347" w:rsidP="005F773B">
                  <w:pPr>
                    <w:keepLines/>
                    <w:bidi/>
                    <w:spacing w:before="60" w:after="60"/>
                    <w:jc w:val="right"/>
                    <w:rPr>
                      <w:rFonts w:ascii="Arial" w:hAnsi="Arial"/>
                      <w:sz w:val="22"/>
                      <w:szCs w:val="22"/>
                      <w:rtl/>
                    </w:rPr>
                  </w:pPr>
                  <w:r w:rsidRPr="004C1C87">
                    <w:rPr>
                      <w:rFonts w:ascii="Arial" w:hAnsi="Arial"/>
                      <w:sz w:val="22"/>
                      <w:szCs w:val="22"/>
                      <w:rtl/>
                    </w:rPr>
                    <w:t>حزيران/يونيو</w:t>
                  </w:r>
                </w:p>
                <w:p w14:paraId="14CA7E69" w14:textId="39D361D1" w:rsidR="00D74347" w:rsidRPr="004C1C87" w:rsidRDefault="00D74347" w:rsidP="00280559">
                  <w:pPr>
                    <w:keepLines/>
                    <w:bidi/>
                    <w:spacing w:before="60" w:after="60"/>
                    <w:jc w:val="right"/>
                    <w:rPr>
                      <w:rFonts w:ascii="Arial" w:hAnsi="Arial"/>
                      <w:sz w:val="22"/>
                      <w:szCs w:val="22"/>
                      <w:rtl/>
                    </w:rPr>
                  </w:pPr>
                  <w:r w:rsidRPr="004C1C87">
                    <w:rPr>
                      <w:rFonts w:ascii="Arial" w:hAnsi="Arial"/>
                      <w:sz w:val="22"/>
                      <w:szCs w:val="22"/>
                      <w:rtl/>
                    </w:rPr>
                    <w:t xml:space="preserve"> من العام الثاني</w:t>
                  </w:r>
                </w:p>
              </w:tc>
              <w:tc>
                <w:tcPr>
                  <w:tcW w:w="3726" w:type="pct"/>
                </w:tcPr>
                <w:p w14:paraId="37604CA0"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لا يوجد تغيير</w:t>
                  </w:r>
                </w:p>
                <w:p w14:paraId="04685EBC" w14:textId="77777777" w:rsidR="00D74347" w:rsidRPr="004C1C87" w:rsidRDefault="00D74347" w:rsidP="005F773B">
                  <w:pPr>
                    <w:keepLines/>
                    <w:spacing w:before="60" w:after="60"/>
                    <w:ind w:right="69"/>
                    <w:jc w:val="both"/>
                    <w:rPr>
                      <w:rFonts w:ascii="Arial" w:hAnsi="Arial"/>
                      <w:sz w:val="22"/>
                      <w:szCs w:val="22"/>
                      <w:lang w:val="en-GB"/>
                    </w:rPr>
                  </w:pPr>
                </w:p>
                <w:p w14:paraId="33070626" w14:textId="77777777" w:rsidR="00D74347" w:rsidRPr="004C1C87" w:rsidRDefault="00D74347" w:rsidP="005F773B">
                  <w:pPr>
                    <w:keepLines/>
                    <w:spacing w:before="60" w:after="60"/>
                    <w:ind w:right="69"/>
                    <w:jc w:val="both"/>
                    <w:rPr>
                      <w:rFonts w:ascii="Arial" w:hAnsi="Arial"/>
                      <w:sz w:val="22"/>
                      <w:szCs w:val="22"/>
                      <w:lang w:val="en-GB"/>
                    </w:rPr>
                  </w:pPr>
                </w:p>
              </w:tc>
            </w:tr>
            <w:tr w:rsidR="00D74347" w:rsidRPr="004C1C87" w14:paraId="449A2143" w14:textId="77777777" w:rsidTr="00F75D53">
              <w:trPr>
                <w:cantSplit/>
                <w:trHeight w:val="1695"/>
              </w:trPr>
              <w:tc>
                <w:tcPr>
                  <w:tcW w:w="1274" w:type="pct"/>
                </w:tcPr>
                <w:p w14:paraId="69B554C9" w14:textId="77777777" w:rsidR="00D74347" w:rsidRPr="004C1C87" w:rsidRDefault="00D74347" w:rsidP="005F773B">
                  <w:pPr>
                    <w:keepLines/>
                    <w:bidi/>
                    <w:spacing w:before="60" w:after="60"/>
                    <w:jc w:val="right"/>
                    <w:rPr>
                      <w:rFonts w:ascii="Arial" w:hAnsi="Arial"/>
                      <w:sz w:val="22"/>
                      <w:szCs w:val="22"/>
                      <w:rtl/>
                    </w:rPr>
                  </w:pPr>
                  <w:r w:rsidRPr="004C1C87">
                    <w:rPr>
                      <w:rFonts w:ascii="Arial" w:hAnsi="Arial"/>
                      <w:sz w:val="22"/>
                      <w:szCs w:val="22"/>
                      <w:rtl/>
                    </w:rPr>
                    <w:t>أسبوعان بعد اجتماع حزيران/يونيو</w:t>
                  </w:r>
                </w:p>
                <w:p w14:paraId="6C82997B" w14:textId="59914263" w:rsidR="00D74347" w:rsidRPr="004C1C87" w:rsidRDefault="00D74347" w:rsidP="00280559">
                  <w:pPr>
                    <w:keepLines/>
                    <w:bidi/>
                    <w:spacing w:before="60" w:after="60"/>
                    <w:jc w:val="right"/>
                    <w:rPr>
                      <w:rFonts w:ascii="Arial" w:hAnsi="Arial"/>
                      <w:sz w:val="22"/>
                      <w:szCs w:val="22"/>
                      <w:rtl/>
                    </w:rPr>
                  </w:pPr>
                  <w:r w:rsidRPr="004C1C87">
                    <w:rPr>
                      <w:rFonts w:ascii="Arial" w:hAnsi="Arial"/>
                      <w:sz w:val="22"/>
                      <w:szCs w:val="22"/>
                      <w:rtl/>
                    </w:rPr>
                    <w:t>من العام الثاني</w:t>
                  </w:r>
                </w:p>
              </w:tc>
              <w:tc>
                <w:tcPr>
                  <w:tcW w:w="3726" w:type="pct"/>
                </w:tcPr>
                <w:p w14:paraId="6946E430" w14:textId="77777777" w:rsidR="00D74347" w:rsidRPr="004C1C87" w:rsidRDefault="00D74347" w:rsidP="005F773B">
                  <w:pPr>
                    <w:keepLines/>
                    <w:bidi/>
                    <w:spacing w:before="60" w:after="60"/>
                    <w:ind w:right="69"/>
                    <w:jc w:val="both"/>
                    <w:rPr>
                      <w:rFonts w:ascii="Arial" w:hAnsi="Arial"/>
                      <w:sz w:val="22"/>
                      <w:szCs w:val="22"/>
                      <w:rtl/>
                    </w:rPr>
                  </w:pPr>
                  <w:r w:rsidRPr="004C1C87">
                    <w:rPr>
                      <w:rFonts w:ascii="Arial" w:hAnsi="Arial"/>
                      <w:sz w:val="22"/>
                      <w:szCs w:val="22"/>
                      <w:rtl/>
                    </w:rPr>
                    <w:t>لا يوجد تغيير</w:t>
                  </w:r>
                </w:p>
                <w:p w14:paraId="5FAD03D7" w14:textId="77777777" w:rsidR="00D74347" w:rsidRPr="004C1C87" w:rsidRDefault="00D74347" w:rsidP="005F773B">
                  <w:pPr>
                    <w:keepLines/>
                    <w:spacing w:before="60" w:after="60"/>
                    <w:ind w:right="69"/>
                    <w:jc w:val="both"/>
                    <w:rPr>
                      <w:rFonts w:ascii="Arial" w:hAnsi="Arial"/>
                      <w:sz w:val="22"/>
                      <w:szCs w:val="22"/>
                      <w:lang w:val="en-GB"/>
                    </w:rPr>
                  </w:pPr>
                </w:p>
                <w:p w14:paraId="0B79395B" w14:textId="77777777" w:rsidR="00D74347" w:rsidRPr="004C1C87" w:rsidRDefault="00D74347" w:rsidP="005F773B">
                  <w:pPr>
                    <w:keepLines/>
                    <w:spacing w:before="60" w:after="60"/>
                    <w:ind w:right="69"/>
                    <w:jc w:val="both"/>
                    <w:rPr>
                      <w:rFonts w:ascii="Arial" w:hAnsi="Arial"/>
                      <w:sz w:val="22"/>
                      <w:szCs w:val="22"/>
                      <w:lang w:val="en-GB"/>
                    </w:rPr>
                  </w:pPr>
                </w:p>
              </w:tc>
            </w:tr>
            <w:tr w:rsidR="00D74347" w:rsidRPr="004C1C87" w14:paraId="30905814" w14:textId="77777777" w:rsidTr="005D7F98">
              <w:trPr>
                <w:cantSplit/>
                <w:trHeight w:val="1161"/>
              </w:trPr>
              <w:tc>
                <w:tcPr>
                  <w:tcW w:w="1274" w:type="pct"/>
                </w:tcPr>
                <w:p w14:paraId="67FAF2EF" w14:textId="34ACBBF0" w:rsidR="00D74347" w:rsidRPr="004C1C87" w:rsidRDefault="00D74347" w:rsidP="005F773B">
                  <w:pPr>
                    <w:keepLines/>
                    <w:bidi/>
                    <w:spacing w:before="60" w:after="60"/>
                    <w:jc w:val="right"/>
                    <w:rPr>
                      <w:rFonts w:ascii="Arial" w:hAnsi="Arial"/>
                      <w:sz w:val="22"/>
                      <w:szCs w:val="22"/>
                      <w:highlight w:val="yellow"/>
                      <w:rtl/>
                    </w:rPr>
                  </w:pPr>
                  <w:r w:rsidRPr="004C1C87">
                    <w:rPr>
                      <w:rFonts w:ascii="Arial" w:hAnsi="Arial"/>
                      <w:sz w:val="22"/>
                      <w:szCs w:val="22"/>
                      <w:rtl/>
                    </w:rPr>
                    <w:t>موعد أقصاه أيلول/سبتمبر من العام الثاني</w:t>
                  </w:r>
                </w:p>
              </w:tc>
              <w:tc>
                <w:tcPr>
                  <w:tcW w:w="3726" w:type="pct"/>
                </w:tcPr>
                <w:p w14:paraId="2146B4BC"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لا يوجد تغيير</w:t>
                  </w:r>
                </w:p>
              </w:tc>
            </w:tr>
            <w:tr w:rsidR="00D74347" w:rsidRPr="004C1C87" w14:paraId="41644A58" w14:textId="77777777" w:rsidTr="005D7F98">
              <w:trPr>
                <w:cantSplit/>
                <w:trHeight w:val="1269"/>
              </w:trPr>
              <w:tc>
                <w:tcPr>
                  <w:tcW w:w="1274" w:type="pct"/>
                </w:tcPr>
                <w:p w14:paraId="2C8FD18E" w14:textId="77777777" w:rsidR="00D74347" w:rsidRPr="004C1C87" w:rsidRDefault="00D74347" w:rsidP="005F773B">
                  <w:pPr>
                    <w:keepLines/>
                    <w:bidi/>
                    <w:spacing w:before="60" w:after="60"/>
                    <w:jc w:val="right"/>
                    <w:rPr>
                      <w:rFonts w:ascii="Arial" w:hAnsi="Arial"/>
                      <w:sz w:val="22"/>
                      <w:szCs w:val="22"/>
                      <w:rtl/>
                    </w:rPr>
                  </w:pPr>
                  <w:r w:rsidRPr="004C1C87">
                    <w:rPr>
                      <w:rFonts w:ascii="Arial" w:hAnsi="Arial"/>
                      <w:sz w:val="22"/>
                      <w:szCs w:val="22"/>
                      <w:rtl/>
                    </w:rPr>
                    <w:t>قبل عقد دورة اللجنة بأربعة أسابيع</w:t>
                  </w:r>
                </w:p>
              </w:tc>
              <w:tc>
                <w:tcPr>
                  <w:tcW w:w="3726" w:type="pct"/>
                </w:tcPr>
                <w:p w14:paraId="246709B5" w14:textId="77777777" w:rsidR="00D74347" w:rsidRPr="004C1C87" w:rsidRDefault="00D74347" w:rsidP="005F773B">
                  <w:pPr>
                    <w:keepLines/>
                    <w:bidi/>
                    <w:spacing w:before="60" w:after="60"/>
                    <w:ind w:right="69"/>
                    <w:jc w:val="both"/>
                    <w:rPr>
                      <w:rFonts w:ascii="Arial" w:hAnsi="Arial"/>
                      <w:sz w:val="22"/>
                      <w:szCs w:val="22"/>
                      <w:rtl/>
                    </w:rPr>
                  </w:pPr>
                  <w:r w:rsidRPr="004C1C87">
                    <w:rPr>
                      <w:rFonts w:ascii="Arial" w:hAnsi="Arial"/>
                      <w:sz w:val="22"/>
                      <w:szCs w:val="22"/>
                      <w:rtl/>
                    </w:rPr>
                    <w:t>لا يوجد تغيير</w:t>
                  </w:r>
                </w:p>
                <w:p w14:paraId="1FEC256B" w14:textId="77777777" w:rsidR="00D74347" w:rsidRPr="004C1C87" w:rsidRDefault="00D74347" w:rsidP="005F773B">
                  <w:pPr>
                    <w:keepLines/>
                    <w:spacing w:before="60" w:after="60"/>
                    <w:ind w:right="69"/>
                    <w:jc w:val="both"/>
                    <w:rPr>
                      <w:rFonts w:ascii="Arial" w:hAnsi="Arial"/>
                      <w:sz w:val="22"/>
                      <w:szCs w:val="22"/>
                      <w:lang w:val="en-GB"/>
                    </w:rPr>
                  </w:pPr>
                </w:p>
              </w:tc>
            </w:tr>
          </w:tbl>
          <w:p w14:paraId="3F84EEF5" w14:textId="77777777" w:rsidR="00D74347" w:rsidRPr="004C1C87" w:rsidRDefault="00D74347" w:rsidP="005F773B">
            <w:pPr>
              <w:keepLines/>
              <w:spacing w:before="60" w:after="60"/>
              <w:jc w:val="both"/>
              <w:rPr>
                <w:rFonts w:ascii="Arial" w:hAnsi="Arial"/>
                <w:sz w:val="22"/>
                <w:szCs w:val="22"/>
                <w:lang w:val="en-US"/>
              </w:rPr>
            </w:pPr>
          </w:p>
        </w:tc>
      </w:tr>
      <w:tr w:rsidR="00D74347" w:rsidRPr="004C1C87" w14:paraId="1A70EDE5" w14:textId="77777777" w:rsidTr="00772187">
        <w:trPr>
          <w:trHeight w:val="13"/>
        </w:trPr>
        <w:tc>
          <w:tcPr>
            <w:tcW w:w="228" w:type="pct"/>
          </w:tcPr>
          <w:p w14:paraId="6947E4CF" w14:textId="77777777" w:rsidR="00D74347" w:rsidRPr="004C1C87" w:rsidRDefault="00D74347" w:rsidP="005F773B">
            <w:pPr>
              <w:keepLines/>
              <w:bidi/>
              <w:spacing w:before="60" w:after="60"/>
              <w:rPr>
                <w:rFonts w:ascii="Arial" w:hAnsi="Arial"/>
                <w:sz w:val="22"/>
                <w:szCs w:val="22"/>
                <w:rtl/>
              </w:rPr>
            </w:pPr>
            <w:r w:rsidRPr="004C1C87">
              <w:rPr>
                <w:rFonts w:ascii="Arial" w:hAnsi="Arial"/>
                <w:sz w:val="22"/>
                <w:szCs w:val="22"/>
                <w:rtl/>
              </w:rPr>
              <w:lastRenderedPageBreak/>
              <w:t>56.</w:t>
            </w:r>
          </w:p>
        </w:tc>
        <w:tc>
          <w:tcPr>
            <w:tcW w:w="2291" w:type="pct"/>
            <w:tcBorders>
              <w:top w:val="single" w:sz="4" w:space="0" w:color="auto"/>
            </w:tcBorders>
          </w:tcPr>
          <w:tbl>
            <w:tblPr>
              <w:tblStyle w:val="TableGrid"/>
              <w:bidiVisual/>
              <w:tblW w:w="6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3"/>
              <w:gridCol w:w="4922"/>
            </w:tblGrid>
            <w:tr w:rsidR="00D74347" w:rsidRPr="004C1C87" w14:paraId="7F0F41B5" w14:textId="77777777" w:rsidTr="00120A07">
              <w:trPr>
                <w:cantSplit/>
              </w:trPr>
              <w:tc>
                <w:tcPr>
                  <w:tcW w:w="1084" w:type="pct"/>
                </w:tcPr>
                <w:p w14:paraId="0621B72A" w14:textId="61B2B636" w:rsidR="00D74347" w:rsidRPr="004C1C87" w:rsidRDefault="00D74347" w:rsidP="00A74779">
                  <w:pPr>
                    <w:keepLines/>
                    <w:bidi/>
                    <w:spacing w:before="60" w:after="60"/>
                    <w:jc w:val="right"/>
                    <w:rPr>
                      <w:rFonts w:ascii="Arial" w:hAnsi="Arial"/>
                      <w:sz w:val="22"/>
                      <w:szCs w:val="22"/>
                      <w:rtl/>
                    </w:rPr>
                  </w:pPr>
                  <w:r w:rsidRPr="004C1C87">
                    <w:rPr>
                      <w:rFonts w:ascii="Arial" w:hAnsi="Arial"/>
                      <w:sz w:val="22"/>
                      <w:szCs w:val="22"/>
                      <w:rtl/>
                    </w:rPr>
                    <w:t>المرحلة الثالثة:</w:t>
                  </w:r>
                </w:p>
              </w:tc>
              <w:tc>
                <w:tcPr>
                  <w:tcW w:w="3916" w:type="pct"/>
                </w:tcPr>
                <w:p w14:paraId="567C7131" w14:textId="77777777" w:rsidR="00D74347" w:rsidRPr="004C1C87" w:rsidRDefault="00D74347" w:rsidP="005F773B">
                  <w:pPr>
                    <w:keepLines/>
                    <w:bidi/>
                    <w:spacing w:before="60" w:after="60"/>
                    <w:ind w:right="176"/>
                    <w:jc w:val="both"/>
                    <w:rPr>
                      <w:rFonts w:ascii="Arial" w:hAnsi="Arial"/>
                      <w:sz w:val="22"/>
                      <w:szCs w:val="22"/>
                      <w:rtl/>
                    </w:rPr>
                  </w:pPr>
                  <w:r w:rsidRPr="004C1C87">
                    <w:rPr>
                      <w:rFonts w:ascii="Arial" w:hAnsi="Arial"/>
                      <w:sz w:val="22"/>
                      <w:szCs w:val="22"/>
                      <w:rtl/>
                    </w:rPr>
                    <w:t>الفحص</w:t>
                  </w:r>
                </w:p>
              </w:tc>
            </w:tr>
            <w:tr w:rsidR="00D74347" w:rsidRPr="004C1C87" w14:paraId="028356C3" w14:textId="77777777" w:rsidTr="00120A07">
              <w:trPr>
                <w:cantSplit/>
              </w:trPr>
              <w:tc>
                <w:tcPr>
                  <w:tcW w:w="1084" w:type="pct"/>
                </w:tcPr>
                <w:p w14:paraId="0758C5F4" w14:textId="77777777" w:rsidR="00D74347" w:rsidRPr="004C1C87" w:rsidRDefault="00D74347" w:rsidP="005F773B">
                  <w:pPr>
                    <w:keepLines/>
                    <w:bidi/>
                    <w:spacing w:before="60" w:after="60"/>
                    <w:jc w:val="right"/>
                    <w:rPr>
                      <w:rFonts w:ascii="Arial" w:hAnsi="Arial"/>
                      <w:sz w:val="22"/>
                      <w:szCs w:val="22"/>
                      <w:rtl/>
                    </w:rPr>
                  </w:pPr>
                  <w:r w:rsidRPr="004C1C87">
                    <w:rPr>
                      <w:rFonts w:ascii="Arial" w:hAnsi="Arial"/>
                      <w:sz w:val="22"/>
                      <w:szCs w:val="22"/>
                      <w:rtl/>
                    </w:rPr>
                    <w:t>تشرين الثاني/نوفمبر</w:t>
                  </w:r>
                </w:p>
                <w:p w14:paraId="73AEC53B" w14:textId="20050F29" w:rsidR="00D74347" w:rsidRPr="004C1C87" w:rsidRDefault="00D74347" w:rsidP="00A74779">
                  <w:pPr>
                    <w:keepLines/>
                    <w:bidi/>
                    <w:spacing w:before="60" w:after="60"/>
                    <w:jc w:val="right"/>
                    <w:rPr>
                      <w:rFonts w:ascii="Arial" w:hAnsi="Arial"/>
                      <w:sz w:val="22"/>
                      <w:szCs w:val="22"/>
                      <w:rtl/>
                    </w:rPr>
                  </w:pPr>
                  <w:r w:rsidRPr="004C1C87">
                    <w:rPr>
                      <w:rFonts w:ascii="Arial" w:hAnsi="Arial"/>
                      <w:sz w:val="22"/>
                      <w:szCs w:val="22"/>
                      <w:rtl/>
                    </w:rPr>
                    <w:t>العام الثاني</w:t>
                  </w:r>
                </w:p>
              </w:tc>
              <w:tc>
                <w:tcPr>
                  <w:tcW w:w="3916" w:type="pct"/>
                </w:tcPr>
                <w:p w14:paraId="12D14CFE"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تفحص اللجنة الترشيحات والاقتراحات والطلبات وتتخذ القرارات.</w:t>
                  </w:r>
                </w:p>
              </w:tc>
            </w:tr>
          </w:tbl>
          <w:p w14:paraId="03A429F2" w14:textId="77777777" w:rsidR="00D74347" w:rsidRPr="004C1C87" w:rsidRDefault="00D74347" w:rsidP="005F773B">
            <w:pPr>
              <w:keepLines/>
              <w:spacing w:before="60" w:after="60"/>
              <w:jc w:val="both"/>
              <w:rPr>
                <w:rFonts w:ascii="Arial" w:hAnsi="Arial"/>
                <w:sz w:val="22"/>
                <w:szCs w:val="22"/>
                <w:lang w:val="en-US"/>
              </w:rPr>
            </w:pPr>
          </w:p>
        </w:tc>
        <w:tc>
          <w:tcPr>
            <w:tcW w:w="274" w:type="pct"/>
            <w:tcBorders>
              <w:top w:val="single" w:sz="4" w:space="0" w:color="auto"/>
            </w:tcBorders>
          </w:tcPr>
          <w:p w14:paraId="4BE9D7BF"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56.</w:t>
            </w:r>
          </w:p>
        </w:tc>
        <w:tc>
          <w:tcPr>
            <w:tcW w:w="2207" w:type="pct"/>
            <w:tcBorders>
              <w:top w:val="single" w:sz="4" w:space="0" w:color="auto"/>
            </w:tcBorders>
          </w:tcPr>
          <w:tbl>
            <w:tblPr>
              <w:tblStyle w:val="TableGrid"/>
              <w:bidiVisual/>
              <w:tblW w:w="6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3"/>
              <w:gridCol w:w="4922"/>
            </w:tblGrid>
            <w:tr w:rsidR="00D74347" w:rsidRPr="004C1C87" w14:paraId="4084583A" w14:textId="77777777" w:rsidTr="00120A07">
              <w:trPr>
                <w:cantSplit/>
              </w:trPr>
              <w:tc>
                <w:tcPr>
                  <w:tcW w:w="1084" w:type="pct"/>
                </w:tcPr>
                <w:p w14:paraId="65069903" w14:textId="7D234DB1" w:rsidR="00D74347" w:rsidRPr="004C1C87" w:rsidRDefault="00D74347" w:rsidP="005F773B">
                  <w:pPr>
                    <w:keepLines/>
                    <w:bidi/>
                    <w:spacing w:before="60" w:after="60"/>
                    <w:jc w:val="right"/>
                    <w:rPr>
                      <w:rFonts w:ascii="Arial" w:hAnsi="Arial"/>
                      <w:sz w:val="22"/>
                      <w:szCs w:val="22"/>
                      <w:rtl/>
                    </w:rPr>
                  </w:pPr>
                  <w:r w:rsidRPr="004C1C87">
                    <w:rPr>
                      <w:rFonts w:ascii="Arial" w:hAnsi="Arial"/>
                      <w:sz w:val="22"/>
                      <w:szCs w:val="22"/>
                      <w:rtl/>
                    </w:rPr>
                    <w:t>المرحلة الثالثة:</w:t>
                  </w:r>
                </w:p>
              </w:tc>
              <w:tc>
                <w:tcPr>
                  <w:tcW w:w="3916" w:type="pct"/>
                </w:tcPr>
                <w:p w14:paraId="4928E274" w14:textId="77777777" w:rsidR="00D74347" w:rsidRPr="004C1C87" w:rsidRDefault="00D74347" w:rsidP="005F773B">
                  <w:pPr>
                    <w:keepLines/>
                    <w:bidi/>
                    <w:spacing w:before="60" w:after="60"/>
                    <w:ind w:right="176"/>
                    <w:jc w:val="both"/>
                    <w:rPr>
                      <w:rFonts w:ascii="Arial" w:hAnsi="Arial"/>
                      <w:sz w:val="22"/>
                      <w:szCs w:val="22"/>
                      <w:rtl/>
                    </w:rPr>
                  </w:pPr>
                  <w:r w:rsidRPr="004C1C87">
                    <w:rPr>
                      <w:rFonts w:ascii="Arial" w:hAnsi="Arial"/>
                      <w:sz w:val="22"/>
                      <w:szCs w:val="22"/>
                      <w:rtl/>
                    </w:rPr>
                    <w:t>لا يوجد تغيير</w:t>
                  </w:r>
                </w:p>
              </w:tc>
            </w:tr>
            <w:tr w:rsidR="00D74347" w:rsidRPr="004C1C87" w14:paraId="16AFBAB0" w14:textId="77777777" w:rsidTr="00120A07">
              <w:trPr>
                <w:cantSplit/>
                <w:trHeight w:val="836"/>
              </w:trPr>
              <w:tc>
                <w:tcPr>
                  <w:tcW w:w="1084" w:type="pct"/>
                </w:tcPr>
                <w:p w14:paraId="30398BFA" w14:textId="77777777" w:rsidR="00D74347" w:rsidRPr="004C1C87" w:rsidRDefault="00D74347" w:rsidP="005F773B">
                  <w:pPr>
                    <w:keepLines/>
                    <w:bidi/>
                    <w:spacing w:before="60" w:after="60"/>
                    <w:jc w:val="right"/>
                    <w:rPr>
                      <w:rFonts w:ascii="Arial" w:hAnsi="Arial"/>
                      <w:sz w:val="22"/>
                      <w:szCs w:val="22"/>
                      <w:rtl/>
                    </w:rPr>
                  </w:pPr>
                  <w:r w:rsidRPr="004C1C87">
                    <w:rPr>
                      <w:rFonts w:ascii="Arial" w:hAnsi="Arial"/>
                      <w:sz w:val="22"/>
                      <w:szCs w:val="22"/>
                      <w:rtl/>
                    </w:rPr>
                    <w:t>تشرين الثاني/نوفمبر</w:t>
                  </w:r>
                </w:p>
                <w:p w14:paraId="2ABBC6AB" w14:textId="77777777" w:rsidR="00D74347" w:rsidRPr="004C1C87" w:rsidRDefault="00D74347" w:rsidP="00A74779">
                  <w:pPr>
                    <w:keepLines/>
                    <w:bidi/>
                    <w:spacing w:before="60" w:after="60"/>
                    <w:jc w:val="right"/>
                    <w:rPr>
                      <w:rFonts w:ascii="Arial" w:hAnsi="Arial"/>
                      <w:sz w:val="22"/>
                      <w:szCs w:val="22"/>
                      <w:rtl/>
                    </w:rPr>
                  </w:pPr>
                  <w:r w:rsidRPr="004C1C87">
                    <w:rPr>
                      <w:rFonts w:ascii="Arial" w:hAnsi="Arial"/>
                      <w:sz w:val="22"/>
                      <w:szCs w:val="22"/>
                      <w:rtl/>
                    </w:rPr>
                    <w:t>العام 2</w:t>
                  </w:r>
                  <w:r w:rsidRPr="004C1C87">
                    <w:rPr>
                      <w:rFonts w:ascii="Arial" w:eastAsia="SimSun" w:hAnsi="Arial"/>
                      <w:rtl/>
                    </w:rPr>
                    <w:t xml:space="preserve"> </w:t>
                  </w:r>
                  <w:r w:rsidRPr="004C1C87">
                    <w:rPr>
                      <w:rFonts w:ascii="Arial" w:hAnsi="Arial"/>
                      <w:sz w:val="22"/>
                      <w:szCs w:val="22"/>
                      <w:rtl/>
                    </w:rPr>
                    <w:t>الثاني</w:t>
                  </w:r>
                </w:p>
              </w:tc>
              <w:tc>
                <w:tcPr>
                  <w:tcW w:w="3916" w:type="pct"/>
                </w:tcPr>
                <w:p w14:paraId="00C16797"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لا يوجد تغيير</w:t>
                  </w:r>
                </w:p>
              </w:tc>
            </w:tr>
          </w:tbl>
          <w:p w14:paraId="6E99B991" w14:textId="77777777" w:rsidR="00D74347" w:rsidRPr="004C1C87" w:rsidRDefault="00D74347" w:rsidP="005F773B">
            <w:pPr>
              <w:keepLines/>
              <w:spacing w:before="60" w:after="60"/>
              <w:jc w:val="both"/>
              <w:rPr>
                <w:rFonts w:ascii="Arial" w:hAnsi="Arial"/>
                <w:sz w:val="22"/>
                <w:szCs w:val="22"/>
                <w:lang w:val="en-US"/>
              </w:rPr>
            </w:pPr>
          </w:p>
        </w:tc>
      </w:tr>
      <w:tr w:rsidR="00D74347" w:rsidRPr="004C1C87" w14:paraId="5BEC4DFD" w14:textId="77777777" w:rsidTr="00772187">
        <w:tc>
          <w:tcPr>
            <w:tcW w:w="228" w:type="pct"/>
          </w:tcPr>
          <w:p w14:paraId="79632FF2" w14:textId="77777777" w:rsidR="00D74347" w:rsidRPr="004C1C87" w:rsidRDefault="00D74347" w:rsidP="005F773B">
            <w:pPr>
              <w:keepLines/>
              <w:bidi/>
              <w:spacing w:before="60" w:after="60"/>
              <w:rPr>
                <w:rFonts w:ascii="Arial" w:hAnsi="Arial"/>
                <w:color w:val="4F81BD" w:themeColor="accent1"/>
                <w:sz w:val="22"/>
                <w:szCs w:val="22"/>
                <w:rtl/>
              </w:rPr>
            </w:pPr>
            <w:r w:rsidRPr="004C1C87">
              <w:rPr>
                <w:rFonts w:ascii="Arial" w:hAnsi="Arial"/>
                <w:b/>
                <w:bCs/>
                <w:color w:val="4F81BD" w:themeColor="accent1"/>
                <w:sz w:val="22"/>
                <w:szCs w:val="22"/>
              </w:rPr>
              <w:t>V.1</w:t>
            </w:r>
          </w:p>
        </w:tc>
        <w:tc>
          <w:tcPr>
            <w:tcW w:w="2291" w:type="pct"/>
          </w:tcPr>
          <w:p w14:paraId="6D335B3C" w14:textId="77777777" w:rsidR="00D74347" w:rsidRPr="004C1C87" w:rsidRDefault="00D74347" w:rsidP="005F773B">
            <w:pPr>
              <w:keepLines/>
              <w:bidi/>
              <w:spacing w:before="60" w:after="60"/>
              <w:jc w:val="both"/>
              <w:rPr>
                <w:rFonts w:ascii="Arial" w:hAnsi="Arial"/>
                <w:color w:val="4F81BD" w:themeColor="accent1"/>
                <w:sz w:val="22"/>
                <w:szCs w:val="22"/>
                <w:rtl/>
              </w:rPr>
            </w:pPr>
            <w:r w:rsidRPr="004C1C87">
              <w:rPr>
                <w:rFonts w:ascii="Arial" w:hAnsi="Arial"/>
                <w:b/>
                <w:bCs/>
                <w:color w:val="4F81BD" w:themeColor="accent1"/>
                <w:sz w:val="22"/>
                <w:szCs w:val="22"/>
                <w:rtl/>
              </w:rPr>
              <w:t>تقارير الدول الأطراف عن تطبيق الاتفاقية</w:t>
            </w:r>
          </w:p>
        </w:tc>
        <w:tc>
          <w:tcPr>
            <w:tcW w:w="274" w:type="pct"/>
          </w:tcPr>
          <w:p w14:paraId="6640049B" w14:textId="77777777" w:rsidR="00D74347" w:rsidRPr="004C1C87" w:rsidRDefault="00D74347" w:rsidP="005F773B">
            <w:pPr>
              <w:keepLines/>
              <w:bidi/>
              <w:spacing w:before="60" w:after="60"/>
              <w:jc w:val="both"/>
              <w:rPr>
                <w:rFonts w:ascii="Arial" w:hAnsi="Arial"/>
                <w:color w:val="4F81BD" w:themeColor="accent1"/>
                <w:sz w:val="22"/>
                <w:szCs w:val="22"/>
                <w:rtl/>
              </w:rPr>
            </w:pPr>
            <w:r w:rsidRPr="004C1C87">
              <w:rPr>
                <w:rFonts w:ascii="Arial" w:hAnsi="Arial"/>
                <w:b/>
                <w:bCs/>
                <w:color w:val="4F81BD" w:themeColor="accent1"/>
                <w:sz w:val="22"/>
                <w:szCs w:val="22"/>
              </w:rPr>
              <w:t>V.1</w:t>
            </w:r>
          </w:p>
        </w:tc>
        <w:tc>
          <w:tcPr>
            <w:tcW w:w="2207" w:type="pct"/>
          </w:tcPr>
          <w:p w14:paraId="40FD993B"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لا يوجد تغيير</w:t>
            </w:r>
          </w:p>
        </w:tc>
      </w:tr>
      <w:tr w:rsidR="00D74347" w:rsidRPr="004C1C87" w14:paraId="256D572D" w14:textId="77777777" w:rsidTr="00772187">
        <w:tc>
          <w:tcPr>
            <w:tcW w:w="228" w:type="pct"/>
          </w:tcPr>
          <w:p w14:paraId="1378CFC9" w14:textId="77777777" w:rsidR="00D74347" w:rsidRPr="004C1C87" w:rsidRDefault="00D74347" w:rsidP="005F773B">
            <w:pPr>
              <w:keepLines/>
              <w:bidi/>
              <w:spacing w:before="60" w:after="60"/>
              <w:rPr>
                <w:rFonts w:ascii="Arial" w:hAnsi="Arial"/>
                <w:sz w:val="22"/>
                <w:szCs w:val="22"/>
                <w:rtl/>
              </w:rPr>
            </w:pPr>
            <w:r w:rsidRPr="004C1C87">
              <w:rPr>
                <w:rFonts w:ascii="Arial" w:hAnsi="Arial"/>
                <w:sz w:val="22"/>
                <w:szCs w:val="22"/>
                <w:rtl/>
              </w:rPr>
              <w:lastRenderedPageBreak/>
              <w:t>151.</w:t>
            </w:r>
          </w:p>
        </w:tc>
        <w:tc>
          <w:tcPr>
            <w:tcW w:w="2291" w:type="pct"/>
          </w:tcPr>
          <w:p w14:paraId="1CC80293"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تقدم كل دولة طرف في الاتفاقية تقارير إلى اللجنة بصفة دورية عن التدابير التشريعية والتنظيمية وغيرها، التي اتخذتها لتطبيق الاتفاقية. وتُشجع الدول الأطراف على استكمال البيانات التي تم جمعها عن تطبيق الاتفاقية بالمعلومات المقدمة من قبل المنظمات غير الحكومية المعنية.</w:t>
            </w:r>
          </w:p>
        </w:tc>
        <w:tc>
          <w:tcPr>
            <w:tcW w:w="274" w:type="pct"/>
          </w:tcPr>
          <w:p w14:paraId="40178FDA" w14:textId="77777777" w:rsidR="00D74347" w:rsidRPr="004C1C87" w:rsidRDefault="00D74347" w:rsidP="005F773B">
            <w:pPr>
              <w:keepLines/>
              <w:bidi/>
              <w:spacing w:before="60" w:after="60"/>
              <w:rPr>
                <w:rFonts w:ascii="Arial" w:hAnsi="Arial"/>
                <w:sz w:val="22"/>
                <w:szCs w:val="22"/>
                <w:rtl/>
              </w:rPr>
            </w:pPr>
            <w:r w:rsidRPr="004C1C87">
              <w:rPr>
                <w:rFonts w:ascii="Arial" w:hAnsi="Arial"/>
                <w:sz w:val="22"/>
                <w:szCs w:val="22"/>
                <w:rtl/>
              </w:rPr>
              <w:t>151.</w:t>
            </w:r>
          </w:p>
        </w:tc>
        <w:tc>
          <w:tcPr>
            <w:tcW w:w="2207" w:type="pct"/>
          </w:tcPr>
          <w:p w14:paraId="62F67EDA" w14:textId="77777777" w:rsidR="00D74347" w:rsidRPr="004C1C87" w:rsidRDefault="00D74347" w:rsidP="005F773B">
            <w:pPr>
              <w:keepLines/>
              <w:bidi/>
              <w:spacing w:before="60" w:after="60"/>
              <w:ind w:right="175"/>
              <w:jc w:val="both"/>
              <w:rPr>
                <w:rFonts w:ascii="Arial" w:hAnsi="Arial"/>
                <w:sz w:val="22"/>
                <w:szCs w:val="22"/>
                <w:rtl/>
              </w:rPr>
            </w:pPr>
            <w:r w:rsidRPr="004C1C87">
              <w:rPr>
                <w:rFonts w:ascii="Arial" w:hAnsi="Arial"/>
                <w:sz w:val="22"/>
                <w:szCs w:val="22"/>
                <w:rtl/>
              </w:rPr>
              <w:t>لا يوجد تغيير</w:t>
            </w:r>
          </w:p>
        </w:tc>
      </w:tr>
      <w:tr w:rsidR="00D74347" w:rsidRPr="004C1C87" w14:paraId="4EBFC912" w14:textId="77777777" w:rsidTr="00772187">
        <w:tc>
          <w:tcPr>
            <w:tcW w:w="228" w:type="pct"/>
          </w:tcPr>
          <w:p w14:paraId="6EB614FD" w14:textId="77777777" w:rsidR="00D74347" w:rsidRPr="004C1C87" w:rsidRDefault="00D74347" w:rsidP="005F773B">
            <w:pPr>
              <w:keepLines/>
              <w:bidi/>
              <w:spacing w:before="60" w:after="60"/>
              <w:rPr>
                <w:rFonts w:ascii="Arial" w:hAnsi="Arial"/>
                <w:sz w:val="22"/>
                <w:szCs w:val="22"/>
                <w:rtl/>
              </w:rPr>
            </w:pPr>
            <w:r w:rsidRPr="004C1C87">
              <w:rPr>
                <w:rFonts w:ascii="Arial" w:hAnsi="Arial"/>
                <w:sz w:val="22"/>
                <w:szCs w:val="22"/>
                <w:rtl/>
              </w:rPr>
              <w:t>152.</w:t>
            </w:r>
          </w:p>
        </w:tc>
        <w:tc>
          <w:tcPr>
            <w:tcW w:w="2291" w:type="pct"/>
          </w:tcPr>
          <w:p w14:paraId="5A501E3A" w14:textId="1697B027" w:rsidR="00D74347" w:rsidRPr="004C1C87" w:rsidRDefault="00D74347" w:rsidP="004F6662">
            <w:pPr>
              <w:keepLines/>
              <w:bidi/>
              <w:spacing w:before="60" w:after="60"/>
              <w:jc w:val="both"/>
              <w:rPr>
                <w:rFonts w:ascii="Arial" w:hAnsi="Arial"/>
                <w:color w:val="000000"/>
                <w:sz w:val="22"/>
                <w:szCs w:val="22"/>
                <w:rtl/>
              </w:rPr>
            </w:pPr>
            <w:r w:rsidRPr="004C1C87">
              <w:rPr>
                <w:rFonts w:ascii="Arial" w:hAnsi="Arial"/>
                <w:color w:val="000000"/>
                <w:sz w:val="22"/>
                <w:szCs w:val="22"/>
                <w:rtl/>
              </w:rPr>
              <w:t xml:space="preserve">تقدّم الدول الأطراف تقاريرها الدورية إلى اللجنة بحلول </w:t>
            </w:r>
            <w:r w:rsidRPr="004C1C87">
              <w:rPr>
                <w:rFonts w:ascii="Arial" w:hAnsi="Arial"/>
                <w:color w:val="000000"/>
                <w:sz w:val="22"/>
                <w:szCs w:val="22"/>
              </w:rPr>
              <w:t>15</w:t>
            </w:r>
            <w:r w:rsidRPr="004C1C87">
              <w:rPr>
                <w:rFonts w:ascii="Arial" w:hAnsi="Arial"/>
                <w:color w:val="000000"/>
                <w:sz w:val="22"/>
                <w:szCs w:val="22"/>
                <w:rtl/>
              </w:rPr>
              <w:t xml:space="preserve"> كانون الأول/ديسمبر كلّ ستّ</w:t>
            </w:r>
            <w:r w:rsidRPr="004C1C87">
              <w:rPr>
                <w:rFonts w:ascii="Arial" w:hAnsi="Arial"/>
                <w:color w:val="000000"/>
                <w:sz w:val="22"/>
                <w:szCs w:val="22"/>
              </w:rPr>
              <w:t xml:space="preserve"> </w:t>
            </w:r>
            <w:r w:rsidRPr="004C1C87">
              <w:rPr>
                <w:rFonts w:ascii="Arial" w:hAnsi="Arial"/>
                <w:color w:val="000000"/>
                <w:sz w:val="22"/>
                <w:szCs w:val="22"/>
                <w:rtl/>
              </w:rPr>
              <w:t xml:space="preserve">سنوات على أساس التناوب منطقة بعد منطقة. وتقرّر اللجنة ترتيب هذا التناوب في بداية دورة تقديم التقارير الدورية التي تستغرق ست سنوات. تستخدم الدول الأطراف عملية تقديم التقارير الدورية لتعزيز تدابير المتابعة والتبادل والتعاون الإقليمي النشطين لضمان الحماية الفعالة للتراث الثقافي غير المادي. يجوز على كلّ دولة طرف إكمال النموذج </w:t>
            </w:r>
            <w:r w:rsidRPr="004C1C87">
              <w:rPr>
                <w:rFonts w:ascii="Arial" w:hAnsi="Arial"/>
                <w:color w:val="000000"/>
                <w:sz w:val="22"/>
                <w:szCs w:val="22"/>
              </w:rPr>
              <w:t>ICH-10</w:t>
            </w:r>
            <w:r w:rsidRPr="004C1C87">
              <w:rPr>
                <w:rFonts w:ascii="Arial" w:hAnsi="Arial"/>
                <w:color w:val="000000"/>
                <w:sz w:val="22"/>
                <w:szCs w:val="22"/>
                <w:rtl/>
              </w:rPr>
              <w:t xml:space="preserve"> ويمكن إكماله على الانترنت (</w:t>
            </w:r>
            <w:hyperlink r:id="rId42" w:history="1">
              <w:r w:rsidRPr="004C1C87">
                <w:rPr>
                  <w:rStyle w:val="Hyperlink"/>
                  <w:rFonts w:ascii="Arial" w:hAnsi="Arial"/>
                  <w:b/>
                  <w:sz w:val="22"/>
                </w:rPr>
                <w:t>https://ich.unesco.org</w:t>
              </w:r>
            </w:hyperlink>
            <w:r w:rsidRPr="004C1C87">
              <w:rPr>
                <w:rFonts w:ascii="Arial" w:hAnsi="Arial"/>
                <w:color w:val="000000"/>
                <w:sz w:val="22"/>
                <w:szCs w:val="22"/>
                <w:rtl/>
              </w:rPr>
              <w:t>)، وتقوم الأمانة بمراجعته بصورة دورية.</w:t>
            </w:r>
          </w:p>
        </w:tc>
        <w:tc>
          <w:tcPr>
            <w:tcW w:w="274" w:type="pct"/>
          </w:tcPr>
          <w:p w14:paraId="4EA47BB3" w14:textId="77777777" w:rsidR="00D74347" w:rsidRPr="004C1C87" w:rsidRDefault="00D74347" w:rsidP="005F773B">
            <w:pPr>
              <w:keepLines/>
              <w:bidi/>
              <w:spacing w:before="60" w:after="60"/>
              <w:jc w:val="both"/>
              <w:rPr>
                <w:rFonts w:ascii="Arial" w:hAnsi="Arial"/>
                <w:color w:val="000000"/>
                <w:sz w:val="22"/>
                <w:szCs w:val="22"/>
                <w:rtl/>
              </w:rPr>
            </w:pPr>
            <w:r w:rsidRPr="004C1C87">
              <w:rPr>
                <w:rFonts w:ascii="Arial" w:hAnsi="Arial"/>
                <w:sz w:val="22"/>
                <w:szCs w:val="22"/>
                <w:rtl/>
              </w:rPr>
              <w:t>152.</w:t>
            </w:r>
          </w:p>
        </w:tc>
        <w:tc>
          <w:tcPr>
            <w:tcW w:w="2207" w:type="pct"/>
            <w:shd w:val="clear" w:color="auto" w:fill="DBE5F1" w:themeFill="accent1" w:themeFillTint="33"/>
          </w:tcPr>
          <w:p w14:paraId="172A59B2" w14:textId="3C988E96" w:rsidR="00D74347" w:rsidRPr="004C1C87" w:rsidRDefault="00D74347" w:rsidP="005F773B">
            <w:pPr>
              <w:keepLines/>
              <w:bidi/>
              <w:spacing w:before="60" w:after="60"/>
              <w:jc w:val="both"/>
              <w:rPr>
                <w:rFonts w:ascii="Arial" w:hAnsi="Arial"/>
                <w:strike/>
                <w:color w:val="000000"/>
                <w:sz w:val="22"/>
                <w:szCs w:val="22"/>
                <w:rtl/>
              </w:rPr>
            </w:pPr>
            <w:r w:rsidRPr="004C1C87">
              <w:rPr>
                <w:rFonts w:ascii="Arial" w:hAnsi="Arial"/>
                <w:color w:val="000000"/>
                <w:sz w:val="22"/>
                <w:szCs w:val="22"/>
                <w:rtl/>
              </w:rPr>
              <w:t xml:space="preserve">تقدم الدول الأطراف تقاريرها الدورية إلى اللجنة بحلول </w:t>
            </w:r>
            <w:r w:rsidRPr="004C1C87">
              <w:rPr>
                <w:rFonts w:ascii="Arial" w:hAnsi="Arial"/>
                <w:strike/>
                <w:color w:val="000000"/>
                <w:sz w:val="22"/>
                <w:szCs w:val="22"/>
                <w:rtl/>
              </w:rPr>
              <w:t>15 كانون الأول/ ديسمبر كل ست سنوات على أساس التناوب بين المناطق</w:t>
            </w:r>
            <w:r w:rsidRPr="004C1C87">
              <w:rPr>
                <w:rFonts w:ascii="Arial" w:hAnsi="Arial"/>
                <w:color w:val="000000"/>
                <w:sz w:val="22"/>
                <w:szCs w:val="22"/>
                <w:rtl/>
              </w:rPr>
              <w:t xml:space="preserve"> </w:t>
            </w:r>
            <w:r w:rsidRPr="004C1C87">
              <w:rPr>
                <w:rFonts w:ascii="Arial" w:hAnsi="Arial"/>
                <w:b/>
                <w:bCs/>
                <w:color w:val="000000"/>
                <w:sz w:val="22"/>
                <w:szCs w:val="22"/>
                <w:u w:val="single"/>
                <w:rtl/>
              </w:rPr>
              <w:t>30 حزيران/يونيو كل أربع سنوات على أساس جدول زمني تحدده اللجنة</w:t>
            </w:r>
            <w:r w:rsidRPr="004C1C87">
              <w:rPr>
                <w:rFonts w:ascii="Arial" w:hAnsi="Arial"/>
                <w:color w:val="000000"/>
                <w:sz w:val="22"/>
                <w:szCs w:val="22"/>
                <w:rtl/>
              </w:rPr>
              <w:t xml:space="preserve">. </w:t>
            </w:r>
            <w:r w:rsidRPr="004C1C87">
              <w:rPr>
                <w:rFonts w:ascii="Arial" w:hAnsi="Arial"/>
                <w:strike/>
                <w:color w:val="000000"/>
                <w:sz w:val="22"/>
                <w:szCs w:val="22"/>
                <w:rtl/>
              </w:rPr>
              <w:t>وتقرّر اللجنة ترتيب هذا التناوب في بداية دورة تقديم التقارير الدورية التي تستغرق ست سنوات.</w:t>
            </w:r>
            <w:r w:rsidRPr="004C1C87">
              <w:rPr>
                <w:rFonts w:ascii="Arial" w:hAnsi="Arial"/>
                <w:color w:val="000000"/>
                <w:sz w:val="22"/>
                <w:szCs w:val="22"/>
                <w:rtl/>
              </w:rPr>
              <w:t xml:space="preserve"> تستخدم الدول الأطراف عملية تقديم التقارير الدورية لتعزيز تدابير المتابعة والتبادل والتعاون الإقليمي النشطين لضمان الحماية الفعالة للتراث الثقافي غير المادي. يجوز على كلّ دولة طرف إكمال النموذج </w:t>
            </w:r>
            <w:r w:rsidRPr="004C1C87">
              <w:rPr>
                <w:rFonts w:ascii="Arial" w:hAnsi="Arial"/>
                <w:color w:val="000000"/>
                <w:sz w:val="22"/>
                <w:szCs w:val="22"/>
              </w:rPr>
              <w:t>ICH-10</w:t>
            </w:r>
            <w:r w:rsidRPr="004C1C87">
              <w:rPr>
                <w:rFonts w:ascii="Arial" w:hAnsi="Arial"/>
                <w:color w:val="000000"/>
                <w:sz w:val="22"/>
                <w:szCs w:val="22"/>
                <w:rtl/>
              </w:rPr>
              <w:t xml:space="preserve"> ويمكن إكماله على الانترنت (</w:t>
            </w:r>
            <w:hyperlink r:id="rId43" w:history="1">
              <w:r w:rsidRPr="004C1C87">
                <w:rPr>
                  <w:rStyle w:val="Hyperlink"/>
                  <w:rFonts w:ascii="Arial" w:hAnsi="Arial"/>
                  <w:b/>
                  <w:sz w:val="22"/>
                </w:rPr>
                <w:t>https://ich.unesco.org</w:t>
              </w:r>
            </w:hyperlink>
            <w:r w:rsidRPr="004C1C87">
              <w:rPr>
                <w:rFonts w:ascii="Arial" w:hAnsi="Arial"/>
                <w:color w:val="000000"/>
                <w:sz w:val="22"/>
                <w:szCs w:val="22"/>
                <w:rtl/>
              </w:rPr>
              <w:t>)، وتقوم الأمانة بمراجعته بصورة دورية.</w:t>
            </w:r>
          </w:p>
        </w:tc>
      </w:tr>
      <w:tr w:rsidR="00D74347" w:rsidRPr="004C1C87" w14:paraId="26F03E3D" w14:textId="77777777" w:rsidTr="00772187">
        <w:tc>
          <w:tcPr>
            <w:tcW w:w="228" w:type="pct"/>
          </w:tcPr>
          <w:p w14:paraId="2E91955A" w14:textId="77777777" w:rsidR="00D74347" w:rsidRPr="004C1C87" w:rsidRDefault="00D74347" w:rsidP="005F773B">
            <w:pPr>
              <w:keepLines/>
              <w:bidi/>
              <w:spacing w:before="60" w:after="60"/>
              <w:rPr>
                <w:rFonts w:ascii="Arial" w:hAnsi="Arial"/>
                <w:sz w:val="22"/>
                <w:szCs w:val="22"/>
                <w:rtl/>
              </w:rPr>
            </w:pPr>
            <w:r w:rsidRPr="004C1C87">
              <w:rPr>
                <w:rFonts w:ascii="Arial" w:hAnsi="Arial"/>
                <w:sz w:val="22"/>
                <w:szCs w:val="22"/>
                <w:rtl/>
              </w:rPr>
              <w:t>153.</w:t>
            </w:r>
          </w:p>
        </w:tc>
        <w:tc>
          <w:tcPr>
            <w:tcW w:w="2291" w:type="pct"/>
          </w:tcPr>
          <w:p w14:paraId="221B610F" w14:textId="77777777" w:rsidR="00D74347" w:rsidRPr="004C1C87" w:rsidRDefault="00D74347" w:rsidP="005F773B">
            <w:pPr>
              <w:keepLines/>
              <w:bidi/>
              <w:spacing w:before="60" w:after="60"/>
              <w:jc w:val="both"/>
              <w:rPr>
                <w:rFonts w:ascii="Arial" w:hAnsi="Arial"/>
                <w:color w:val="000000"/>
                <w:sz w:val="22"/>
                <w:szCs w:val="22"/>
                <w:rtl/>
              </w:rPr>
            </w:pPr>
            <w:r w:rsidRPr="004C1C87">
              <w:rPr>
                <w:rFonts w:ascii="Arial" w:hAnsi="Arial"/>
                <w:color w:val="000000"/>
                <w:sz w:val="22"/>
                <w:szCs w:val="22"/>
                <w:rtl/>
              </w:rPr>
              <w:t>تقدم الدولة الطرف معلومات عن التدابير التشريعية والتنظيمية والتدابير الأخرى التي اتخذتها لتطبيق الاتفاقية على الصعيد الوطني، بما في ذلك ما يلي:</w:t>
            </w:r>
          </w:p>
          <w:p w14:paraId="0F673B3E" w14:textId="43A2EA42" w:rsidR="00D74347" w:rsidRPr="004C1C87" w:rsidRDefault="00D74347" w:rsidP="00D74347">
            <w:pPr>
              <w:pStyle w:val="U1"/>
              <w:keepLines/>
              <w:widowControl/>
              <w:numPr>
                <w:ilvl w:val="0"/>
                <w:numId w:val="26"/>
              </w:numPr>
              <w:bidi/>
              <w:spacing w:before="60" w:after="60"/>
              <w:jc w:val="both"/>
              <w:rPr>
                <w:rtl/>
              </w:rPr>
            </w:pPr>
            <w:r w:rsidRPr="004C1C87">
              <w:rPr>
                <w:rtl/>
              </w:rPr>
              <w:t>إعداد قوائم حصر للتراث الثقافي غير المادي الموجود في أراضيها، حسبما جاء في المادتين 11 و12 من الاتفاقية؛</w:t>
            </w:r>
          </w:p>
          <w:p w14:paraId="0658753F" w14:textId="5C01B0AE" w:rsidR="00D74347" w:rsidRPr="004C1C87" w:rsidRDefault="00D74347" w:rsidP="00D74347">
            <w:pPr>
              <w:pStyle w:val="U1"/>
              <w:keepLines/>
              <w:widowControl/>
              <w:numPr>
                <w:ilvl w:val="0"/>
                <w:numId w:val="26"/>
              </w:numPr>
              <w:bidi/>
              <w:spacing w:before="60" w:after="60"/>
              <w:jc w:val="both"/>
              <w:rPr>
                <w:rtl/>
              </w:rPr>
            </w:pPr>
            <w:r w:rsidRPr="004C1C87">
              <w:rPr>
                <w:rtl/>
              </w:rPr>
              <w:t>تدابير أخرى للصون وفقاً لما جاء في المادتين 11 و13 من الاتفاقية، بما في ذلك ما يلي:</w:t>
            </w:r>
          </w:p>
          <w:p w14:paraId="0A969C73" w14:textId="77777777" w:rsidR="00D74347" w:rsidRPr="004C1C87" w:rsidRDefault="00D74347" w:rsidP="004B3C20">
            <w:pPr>
              <w:pStyle w:val="i"/>
              <w:keepLines/>
              <w:bidi/>
              <w:spacing w:before="60" w:after="60"/>
              <w:ind w:left="799"/>
              <w:rPr>
                <w:w w:val="100"/>
                <w:rtl/>
              </w:rPr>
            </w:pPr>
            <w:r w:rsidRPr="004C1C87">
              <w:rPr>
                <w:rtl/>
              </w:rPr>
              <w:t>اعتماد سياسة ترمي إلى تعزيز وظيفة التراث الثقافي غير المادي في المجتمع، وإدماج صونه في برامج التخطيط؛</w:t>
            </w:r>
          </w:p>
          <w:p w14:paraId="4EFCA1D9" w14:textId="77777777" w:rsidR="00D74347" w:rsidRPr="004C1C87" w:rsidRDefault="00D74347" w:rsidP="004B3C20">
            <w:pPr>
              <w:pStyle w:val="i"/>
              <w:keepLines/>
              <w:bidi/>
              <w:spacing w:before="60" w:after="60"/>
              <w:ind w:left="799"/>
              <w:rPr>
                <w:w w:val="100"/>
                <w:rtl/>
              </w:rPr>
            </w:pPr>
            <w:r w:rsidRPr="004C1C87">
              <w:rPr>
                <w:rtl/>
              </w:rPr>
              <w:t>تشجيع الدراسات العلمية والتقنية والفنية لتأمين الصون الفعّال؛</w:t>
            </w:r>
          </w:p>
          <w:p w14:paraId="4CD9D2E7" w14:textId="77777777" w:rsidR="00D74347" w:rsidRPr="004C1C87" w:rsidRDefault="00D74347" w:rsidP="004B3C20">
            <w:pPr>
              <w:pStyle w:val="i"/>
              <w:keepLines/>
              <w:bidi/>
              <w:spacing w:before="60" w:after="60"/>
              <w:ind w:left="799"/>
              <w:rPr>
                <w:color w:val="000000"/>
                <w:rtl/>
              </w:rPr>
            </w:pPr>
            <w:r w:rsidRPr="004C1C87">
              <w:rPr>
                <w:rtl/>
              </w:rPr>
              <w:t>تسهيل الحصول على المعلومات المتعلقة بالتراث الثقافي غير المادي قدر المستطاع، مع احترام الممارسات العرفية التي تحكم الانتفاع بجوانب معينة منه.</w:t>
            </w:r>
          </w:p>
        </w:tc>
        <w:tc>
          <w:tcPr>
            <w:tcW w:w="274" w:type="pct"/>
          </w:tcPr>
          <w:p w14:paraId="5B7CD649" w14:textId="77777777" w:rsidR="00D74347" w:rsidRPr="004C1C87" w:rsidRDefault="00D74347" w:rsidP="005F773B">
            <w:pPr>
              <w:keepLines/>
              <w:bidi/>
              <w:spacing w:before="60" w:after="60"/>
              <w:rPr>
                <w:rFonts w:ascii="Arial" w:hAnsi="Arial"/>
                <w:sz w:val="22"/>
                <w:szCs w:val="22"/>
                <w:rtl/>
              </w:rPr>
            </w:pPr>
            <w:r w:rsidRPr="004C1C87">
              <w:rPr>
                <w:rFonts w:ascii="Arial" w:hAnsi="Arial"/>
                <w:sz w:val="22"/>
                <w:szCs w:val="22"/>
                <w:rtl/>
              </w:rPr>
              <w:t>153.</w:t>
            </w:r>
          </w:p>
        </w:tc>
        <w:tc>
          <w:tcPr>
            <w:tcW w:w="2207" w:type="pct"/>
          </w:tcPr>
          <w:p w14:paraId="5F359DB6" w14:textId="77777777" w:rsidR="00D74347" w:rsidRPr="004C1C87" w:rsidRDefault="00D74347" w:rsidP="005F773B">
            <w:pPr>
              <w:keepLines/>
              <w:bidi/>
              <w:spacing w:before="60" w:after="60"/>
              <w:ind w:right="175"/>
              <w:jc w:val="both"/>
              <w:rPr>
                <w:rFonts w:ascii="Arial" w:hAnsi="Arial"/>
                <w:sz w:val="22"/>
                <w:szCs w:val="22"/>
                <w:rtl/>
              </w:rPr>
            </w:pPr>
            <w:r w:rsidRPr="004C1C87">
              <w:rPr>
                <w:rFonts w:ascii="Arial" w:hAnsi="Arial"/>
                <w:sz w:val="22"/>
                <w:szCs w:val="22"/>
                <w:rtl/>
              </w:rPr>
              <w:t>لا يوجد تغيير</w:t>
            </w:r>
          </w:p>
        </w:tc>
      </w:tr>
      <w:tr w:rsidR="00D74347" w:rsidRPr="004C1C87" w14:paraId="596C00DF" w14:textId="77777777" w:rsidTr="00772187">
        <w:tc>
          <w:tcPr>
            <w:tcW w:w="228" w:type="pct"/>
          </w:tcPr>
          <w:p w14:paraId="69906BF2" w14:textId="77777777" w:rsidR="00D74347" w:rsidRPr="004C1C87" w:rsidRDefault="00D74347" w:rsidP="005F773B">
            <w:pPr>
              <w:keepLines/>
              <w:bidi/>
              <w:spacing w:before="60" w:after="60"/>
              <w:rPr>
                <w:rFonts w:ascii="Arial" w:hAnsi="Arial"/>
                <w:sz w:val="22"/>
                <w:szCs w:val="22"/>
                <w:rtl/>
              </w:rPr>
            </w:pPr>
            <w:r w:rsidRPr="004C1C87">
              <w:rPr>
                <w:rFonts w:ascii="Arial" w:hAnsi="Arial"/>
                <w:sz w:val="22"/>
                <w:szCs w:val="22"/>
                <w:rtl/>
              </w:rPr>
              <w:t>154.</w:t>
            </w:r>
          </w:p>
        </w:tc>
        <w:tc>
          <w:tcPr>
            <w:tcW w:w="2291" w:type="pct"/>
          </w:tcPr>
          <w:p w14:paraId="648A0F2F"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تقدم الدولة الطرف معلومات عن التدابير التشريعية والتنظيمية والتدابير الأخرى التي اتخذتها على الصعيد الوطني لتقوية القدرات المؤسسية لصون التراث الثقافي غير المادي، حسبما جاء في المادة 13 من الاتفاقية، بما في ذلك ما يلي:</w:t>
            </w:r>
          </w:p>
          <w:p w14:paraId="1F7569F9" w14:textId="77777777" w:rsidR="00D74347" w:rsidRPr="004C1C87" w:rsidRDefault="00D74347" w:rsidP="00D74347">
            <w:pPr>
              <w:pStyle w:val="U1"/>
              <w:keepLines/>
              <w:widowControl/>
              <w:numPr>
                <w:ilvl w:val="0"/>
                <w:numId w:val="25"/>
              </w:numPr>
              <w:tabs>
                <w:tab w:val="clear" w:pos="1701"/>
              </w:tabs>
              <w:bidi/>
              <w:spacing w:before="60" w:after="60"/>
              <w:ind w:left="656" w:hanging="656"/>
              <w:jc w:val="both"/>
              <w:rPr>
                <w:rtl/>
              </w:rPr>
            </w:pPr>
            <w:r w:rsidRPr="004C1C87">
              <w:rPr>
                <w:rtl/>
              </w:rPr>
              <w:t>تسمية أو إنشاء هيئة مختصة أو أكثر لصون تراثها الثقافي غير المادي؛</w:t>
            </w:r>
          </w:p>
          <w:p w14:paraId="766F3E82" w14:textId="77777777" w:rsidR="00D74347" w:rsidRPr="004C1C87" w:rsidRDefault="00D74347" w:rsidP="00D74347">
            <w:pPr>
              <w:pStyle w:val="U1"/>
              <w:keepLines/>
              <w:widowControl/>
              <w:numPr>
                <w:ilvl w:val="0"/>
                <w:numId w:val="25"/>
              </w:numPr>
              <w:tabs>
                <w:tab w:val="clear" w:pos="1701"/>
              </w:tabs>
              <w:bidi/>
              <w:spacing w:before="60" w:after="60"/>
              <w:ind w:left="656" w:hanging="656"/>
              <w:jc w:val="both"/>
              <w:rPr>
                <w:rtl/>
              </w:rPr>
            </w:pPr>
            <w:r w:rsidRPr="004C1C87">
              <w:rPr>
                <w:rtl/>
              </w:rPr>
              <w:t>دعم مؤسسات التدريب في ميدان التراث الثقافي غير المادي، وإدارته ونقله إلى الآخرين؛</w:t>
            </w:r>
          </w:p>
          <w:p w14:paraId="24BE0541" w14:textId="77777777" w:rsidR="00D74347" w:rsidRPr="004C1C87" w:rsidRDefault="00D74347" w:rsidP="00D74347">
            <w:pPr>
              <w:pStyle w:val="U1"/>
              <w:keepLines/>
              <w:widowControl/>
              <w:numPr>
                <w:ilvl w:val="0"/>
                <w:numId w:val="25"/>
              </w:numPr>
              <w:tabs>
                <w:tab w:val="clear" w:pos="1701"/>
              </w:tabs>
              <w:bidi/>
              <w:spacing w:before="60" w:after="60"/>
              <w:ind w:left="656" w:hanging="656"/>
              <w:jc w:val="both"/>
              <w:rPr>
                <w:rtl/>
              </w:rPr>
            </w:pPr>
            <w:r w:rsidRPr="004C1C87">
              <w:rPr>
                <w:rtl/>
              </w:rPr>
              <w:t>إنشاء مؤسسات توثيقية للتراث الثقافي غير المادي، وتسهيل الانتفاع بخدماتها قدر المستطاع.</w:t>
            </w:r>
          </w:p>
        </w:tc>
        <w:tc>
          <w:tcPr>
            <w:tcW w:w="274" w:type="pct"/>
          </w:tcPr>
          <w:p w14:paraId="28DC4430"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154.</w:t>
            </w:r>
          </w:p>
        </w:tc>
        <w:tc>
          <w:tcPr>
            <w:tcW w:w="2207" w:type="pct"/>
          </w:tcPr>
          <w:p w14:paraId="2530BA68" w14:textId="77777777" w:rsidR="00D74347" w:rsidRPr="004C1C87" w:rsidRDefault="00D74347" w:rsidP="005F773B">
            <w:pPr>
              <w:keepLines/>
              <w:bidi/>
              <w:spacing w:before="60" w:after="60"/>
              <w:jc w:val="both"/>
              <w:rPr>
                <w:rFonts w:ascii="Arial" w:hAnsi="Arial"/>
                <w:sz w:val="22"/>
                <w:szCs w:val="22"/>
                <w:u w:val="single"/>
                <w:rtl/>
              </w:rPr>
            </w:pPr>
            <w:r w:rsidRPr="004C1C87">
              <w:rPr>
                <w:rFonts w:ascii="Arial" w:hAnsi="Arial"/>
                <w:sz w:val="22"/>
                <w:szCs w:val="22"/>
                <w:rtl/>
              </w:rPr>
              <w:t>لا يوجد تغيير</w:t>
            </w:r>
          </w:p>
        </w:tc>
      </w:tr>
      <w:tr w:rsidR="00D74347" w:rsidRPr="004C1C87" w14:paraId="26E067FE" w14:textId="77777777" w:rsidTr="00772187">
        <w:tc>
          <w:tcPr>
            <w:tcW w:w="228" w:type="pct"/>
          </w:tcPr>
          <w:p w14:paraId="1F6A43BB" w14:textId="77777777" w:rsidR="00D74347" w:rsidRPr="004C1C87" w:rsidRDefault="00D74347" w:rsidP="005F773B">
            <w:pPr>
              <w:keepLines/>
              <w:bidi/>
              <w:spacing w:before="60" w:after="60"/>
              <w:rPr>
                <w:rFonts w:ascii="Arial" w:hAnsi="Arial"/>
                <w:sz w:val="22"/>
                <w:szCs w:val="22"/>
                <w:rtl/>
              </w:rPr>
            </w:pPr>
            <w:r w:rsidRPr="004C1C87">
              <w:rPr>
                <w:rFonts w:ascii="Arial" w:hAnsi="Arial"/>
                <w:sz w:val="22"/>
                <w:szCs w:val="22"/>
                <w:rtl/>
              </w:rPr>
              <w:lastRenderedPageBreak/>
              <w:t>155.</w:t>
            </w:r>
          </w:p>
        </w:tc>
        <w:tc>
          <w:tcPr>
            <w:tcW w:w="2291" w:type="pct"/>
          </w:tcPr>
          <w:p w14:paraId="4AB512CF"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تقدم الدولة الطرف معلومات عن التدابير التشريعية والتنظيمية والتدابير الأخرى التي اتخذتها على الصعيد الوطني لضمان المزيد من الاعتراف بالتراث الثقافي غير المادي وتقديره واحترامه وتعزيزه، لا سيما التدابير المشار إليها في المادة 14 من الاتفاقية:</w:t>
            </w:r>
          </w:p>
          <w:p w14:paraId="1F9F59AE" w14:textId="77777777" w:rsidR="00D74347" w:rsidRPr="004C1C87" w:rsidRDefault="00D74347" w:rsidP="00D74347">
            <w:pPr>
              <w:pStyle w:val="U1"/>
              <w:keepLines/>
              <w:widowControl/>
              <w:numPr>
                <w:ilvl w:val="0"/>
                <w:numId w:val="28"/>
              </w:numPr>
              <w:tabs>
                <w:tab w:val="clear" w:pos="1701"/>
              </w:tabs>
              <w:bidi/>
              <w:spacing w:before="60" w:after="60"/>
              <w:ind w:left="656" w:hanging="656"/>
              <w:jc w:val="both"/>
              <w:rPr>
                <w:rtl/>
              </w:rPr>
            </w:pPr>
            <w:r w:rsidRPr="004C1C87">
              <w:rPr>
                <w:rtl/>
              </w:rPr>
              <w:t>برامج تثقيفية وبرامج لزيادة الوعي وتقديم المعلومات؛</w:t>
            </w:r>
          </w:p>
          <w:p w14:paraId="3F4030D1" w14:textId="77777777" w:rsidR="00D74347" w:rsidRPr="004C1C87" w:rsidRDefault="00D74347" w:rsidP="00D74347">
            <w:pPr>
              <w:pStyle w:val="U1"/>
              <w:keepLines/>
              <w:widowControl/>
              <w:numPr>
                <w:ilvl w:val="0"/>
                <w:numId w:val="28"/>
              </w:numPr>
              <w:tabs>
                <w:tab w:val="clear" w:pos="1701"/>
              </w:tabs>
              <w:bidi/>
              <w:spacing w:before="60" w:after="60"/>
              <w:ind w:left="656" w:hanging="656"/>
              <w:jc w:val="both"/>
              <w:rPr>
                <w:rtl/>
              </w:rPr>
            </w:pPr>
            <w:r w:rsidRPr="004C1C87">
              <w:rPr>
                <w:rtl/>
              </w:rPr>
              <w:t>برامج تثقيفية وتدريبية داخل الجماعات والمجموعات المعنية؛</w:t>
            </w:r>
          </w:p>
          <w:p w14:paraId="1C9D9C24" w14:textId="77777777" w:rsidR="00D74347" w:rsidRPr="004C1C87" w:rsidRDefault="00D74347" w:rsidP="00D74347">
            <w:pPr>
              <w:pStyle w:val="U1"/>
              <w:keepLines/>
              <w:widowControl/>
              <w:numPr>
                <w:ilvl w:val="0"/>
                <w:numId w:val="28"/>
              </w:numPr>
              <w:tabs>
                <w:tab w:val="clear" w:pos="1701"/>
              </w:tabs>
              <w:bidi/>
              <w:spacing w:before="60" w:after="60"/>
              <w:ind w:left="656" w:hanging="656"/>
              <w:jc w:val="both"/>
              <w:rPr>
                <w:rtl/>
              </w:rPr>
            </w:pPr>
            <w:r w:rsidRPr="004C1C87">
              <w:rPr>
                <w:rtl/>
              </w:rPr>
              <w:t>أنشطة لبناء القدرات من أجل صون التراث الثقافي غير المادي؛</w:t>
            </w:r>
          </w:p>
          <w:p w14:paraId="657BDF3A" w14:textId="77777777" w:rsidR="00D74347" w:rsidRPr="004C1C87" w:rsidRDefault="00D74347" w:rsidP="00D74347">
            <w:pPr>
              <w:pStyle w:val="U1"/>
              <w:keepLines/>
              <w:widowControl/>
              <w:numPr>
                <w:ilvl w:val="0"/>
                <w:numId w:val="28"/>
              </w:numPr>
              <w:tabs>
                <w:tab w:val="clear" w:pos="1701"/>
              </w:tabs>
              <w:bidi/>
              <w:spacing w:before="60" w:after="60"/>
              <w:ind w:left="656" w:hanging="656"/>
              <w:jc w:val="both"/>
              <w:rPr>
                <w:rtl/>
              </w:rPr>
            </w:pPr>
            <w:r w:rsidRPr="004C1C87">
              <w:rPr>
                <w:rtl/>
              </w:rPr>
              <w:t>وسائل غير رسمية لنقل المعرفة؛</w:t>
            </w:r>
          </w:p>
          <w:p w14:paraId="5C2F9F37" w14:textId="77777777" w:rsidR="00D74347" w:rsidRPr="004C1C87" w:rsidRDefault="00D74347" w:rsidP="00D74347">
            <w:pPr>
              <w:pStyle w:val="U1"/>
              <w:keepLines/>
              <w:widowControl/>
              <w:numPr>
                <w:ilvl w:val="0"/>
                <w:numId w:val="28"/>
              </w:numPr>
              <w:tabs>
                <w:tab w:val="clear" w:pos="1701"/>
              </w:tabs>
              <w:bidi/>
              <w:spacing w:before="60" w:after="60"/>
              <w:ind w:left="656" w:hanging="656"/>
              <w:jc w:val="both"/>
              <w:rPr>
                <w:rtl/>
              </w:rPr>
            </w:pPr>
            <w:r w:rsidRPr="004C1C87">
              <w:rPr>
                <w:rtl/>
              </w:rPr>
              <w:t>التثقيف لحماية الأماكن الطبيعية وأماكن الذاكرة.</w:t>
            </w:r>
          </w:p>
        </w:tc>
        <w:tc>
          <w:tcPr>
            <w:tcW w:w="274" w:type="pct"/>
          </w:tcPr>
          <w:p w14:paraId="29FBF772"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155.</w:t>
            </w:r>
          </w:p>
        </w:tc>
        <w:tc>
          <w:tcPr>
            <w:tcW w:w="2207" w:type="pct"/>
          </w:tcPr>
          <w:p w14:paraId="42508A8F"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لا يوجد تغيير</w:t>
            </w:r>
          </w:p>
        </w:tc>
      </w:tr>
      <w:tr w:rsidR="00D74347" w:rsidRPr="004C1C87" w14:paraId="1083F743" w14:textId="77777777" w:rsidTr="00772187">
        <w:tc>
          <w:tcPr>
            <w:tcW w:w="228" w:type="pct"/>
          </w:tcPr>
          <w:p w14:paraId="0A023F29" w14:textId="77777777" w:rsidR="00D74347" w:rsidRPr="004C1C87" w:rsidRDefault="00D74347" w:rsidP="005F773B">
            <w:pPr>
              <w:keepLines/>
              <w:bidi/>
              <w:spacing w:before="60" w:after="60"/>
              <w:rPr>
                <w:rFonts w:ascii="Arial" w:hAnsi="Arial"/>
                <w:sz w:val="22"/>
                <w:szCs w:val="22"/>
                <w:rtl/>
              </w:rPr>
            </w:pPr>
            <w:r w:rsidRPr="004C1C87">
              <w:rPr>
                <w:rFonts w:ascii="Arial" w:hAnsi="Arial"/>
                <w:sz w:val="22"/>
                <w:szCs w:val="22"/>
                <w:rtl/>
              </w:rPr>
              <w:t>156.</w:t>
            </w:r>
          </w:p>
        </w:tc>
        <w:tc>
          <w:tcPr>
            <w:tcW w:w="2291" w:type="pct"/>
          </w:tcPr>
          <w:p w14:paraId="133DD11A"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تقدم الدولة الطرف معلومات عن التدابير التي اتخذتها على المستوى الثنائي ودون الإقليمي والإقليمي والدولي لتطبيق الاتفاقية، بما في ذلك تدابير التعاون الدولي مثل تبادل المعلومات والخبرات، وغيرها من المبادرات المشتركة، حسبما ورد في المادة 19 من الاتفاقية.</w:t>
            </w:r>
          </w:p>
        </w:tc>
        <w:tc>
          <w:tcPr>
            <w:tcW w:w="274" w:type="pct"/>
          </w:tcPr>
          <w:p w14:paraId="458B97AE"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156.</w:t>
            </w:r>
          </w:p>
        </w:tc>
        <w:tc>
          <w:tcPr>
            <w:tcW w:w="2207" w:type="pct"/>
          </w:tcPr>
          <w:p w14:paraId="1746C1C2"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لا يوجد تغيير</w:t>
            </w:r>
          </w:p>
        </w:tc>
      </w:tr>
      <w:tr w:rsidR="00D74347" w:rsidRPr="004C1C87" w14:paraId="6C05BF66" w14:textId="77777777" w:rsidTr="00772187">
        <w:tc>
          <w:tcPr>
            <w:tcW w:w="228" w:type="pct"/>
          </w:tcPr>
          <w:p w14:paraId="31B17944" w14:textId="77777777" w:rsidR="00D74347" w:rsidRPr="004C1C87" w:rsidRDefault="00D74347" w:rsidP="005F773B">
            <w:pPr>
              <w:keepLines/>
              <w:bidi/>
              <w:spacing w:before="60" w:after="60"/>
              <w:rPr>
                <w:rFonts w:ascii="Arial" w:hAnsi="Arial"/>
                <w:sz w:val="22"/>
                <w:szCs w:val="22"/>
                <w:rtl/>
              </w:rPr>
            </w:pPr>
            <w:r w:rsidRPr="004C1C87">
              <w:rPr>
                <w:rFonts w:ascii="Arial" w:hAnsi="Arial"/>
                <w:sz w:val="22"/>
                <w:szCs w:val="22"/>
                <w:rtl/>
              </w:rPr>
              <w:t>157.</w:t>
            </w:r>
          </w:p>
        </w:tc>
        <w:tc>
          <w:tcPr>
            <w:tcW w:w="2291" w:type="pct"/>
          </w:tcPr>
          <w:p w14:paraId="0085FAD3"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تقدم الدولة الطرف معلومات عن الوضع الراهن لعناصر التراث الثقافي غير المادي الموجودة في أراضيها، والتي أدرجت في القائمة التمثيلية للتراث الثقافي غير المادي للبشرية. وتولي الدولة الطرف اهتماما خاصا بدور الجنسانية وتسعى إلى ضمان أوسع مشاركة ممكنة للجماعات والمجموعات وبحسب الحالة الأفراد المعنيين، بالإضافة إلى المنظمات غير الحكومية المعنية أثناء عملية إعداد هذه التقارير التي ستتناول ما يلي فيما يتعلق بكل عنصر:</w:t>
            </w:r>
          </w:p>
          <w:p w14:paraId="2EF43151" w14:textId="77777777" w:rsidR="00D74347" w:rsidRPr="004C1C87" w:rsidRDefault="00D74347" w:rsidP="00D74347">
            <w:pPr>
              <w:keepLines/>
              <w:numPr>
                <w:ilvl w:val="0"/>
                <w:numId w:val="24"/>
              </w:numPr>
              <w:bidi/>
              <w:spacing w:before="60" w:after="60"/>
              <w:ind w:left="656" w:hanging="656"/>
              <w:jc w:val="both"/>
              <w:rPr>
                <w:rFonts w:ascii="Arial" w:hAnsi="Arial"/>
                <w:sz w:val="22"/>
                <w:szCs w:val="22"/>
                <w:rtl/>
              </w:rPr>
            </w:pPr>
            <w:r w:rsidRPr="004C1C87">
              <w:rPr>
                <w:rFonts w:ascii="Arial" w:hAnsi="Arial"/>
                <w:sz w:val="22"/>
                <w:szCs w:val="22"/>
                <w:rtl/>
              </w:rPr>
              <w:t>الوظائف الاجتماعية والثقافية للعنصر؛</w:t>
            </w:r>
          </w:p>
          <w:p w14:paraId="6914C0E6" w14:textId="77777777" w:rsidR="00D74347" w:rsidRPr="004C1C87" w:rsidRDefault="00D74347" w:rsidP="00D74347">
            <w:pPr>
              <w:keepLines/>
              <w:numPr>
                <w:ilvl w:val="0"/>
                <w:numId w:val="24"/>
              </w:numPr>
              <w:bidi/>
              <w:spacing w:before="60" w:after="60"/>
              <w:ind w:left="656" w:hanging="656"/>
              <w:jc w:val="both"/>
              <w:rPr>
                <w:rFonts w:ascii="Arial" w:hAnsi="Arial"/>
                <w:sz w:val="22"/>
                <w:szCs w:val="22"/>
                <w:rtl/>
              </w:rPr>
            </w:pPr>
            <w:r w:rsidRPr="004C1C87">
              <w:rPr>
                <w:rFonts w:ascii="Arial" w:hAnsi="Arial"/>
                <w:sz w:val="22"/>
                <w:szCs w:val="22"/>
                <w:rtl/>
              </w:rPr>
              <w:t>تقييم مقومات بقائه والمخاطر الحالية التي تواجهه، في حال وجودها؛</w:t>
            </w:r>
          </w:p>
          <w:p w14:paraId="5C39200A" w14:textId="77777777" w:rsidR="00D74347" w:rsidRPr="004C1C87" w:rsidRDefault="00D74347" w:rsidP="00D74347">
            <w:pPr>
              <w:keepLines/>
              <w:numPr>
                <w:ilvl w:val="0"/>
                <w:numId w:val="24"/>
              </w:numPr>
              <w:bidi/>
              <w:spacing w:before="60" w:after="60"/>
              <w:ind w:left="656" w:hanging="656"/>
              <w:jc w:val="both"/>
              <w:rPr>
                <w:rFonts w:ascii="Arial" w:hAnsi="Arial"/>
                <w:sz w:val="22"/>
                <w:szCs w:val="22"/>
                <w:rtl/>
              </w:rPr>
            </w:pPr>
            <w:r w:rsidRPr="004C1C87">
              <w:rPr>
                <w:rFonts w:ascii="Arial" w:hAnsi="Arial"/>
                <w:sz w:val="22"/>
                <w:szCs w:val="22"/>
                <w:rtl/>
              </w:rPr>
              <w:t>مساهمته في أهداف القائمة؛</w:t>
            </w:r>
          </w:p>
          <w:p w14:paraId="168F181F" w14:textId="77777777" w:rsidR="00D74347" w:rsidRPr="004C1C87" w:rsidRDefault="00D74347" w:rsidP="00D74347">
            <w:pPr>
              <w:keepLines/>
              <w:numPr>
                <w:ilvl w:val="0"/>
                <w:numId w:val="24"/>
              </w:numPr>
              <w:bidi/>
              <w:spacing w:before="60" w:after="60"/>
              <w:ind w:left="656" w:hanging="656"/>
              <w:jc w:val="both"/>
              <w:rPr>
                <w:rFonts w:ascii="Arial" w:hAnsi="Arial"/>
                <w:sz w:val="22"/>
                <w:szCs w:val="22"/>
                <w:rtl/>
              </w:rPr>
            </w:pPr>
            <w:r w:rsidRPr="004C1C87">
              <w:rPr>
                <w:rFonts w:ascii="Arial" w:hAnsi="Arial"/>
                <w:sz w:val="22"/>
                <w:szCs w:val="22"/>
                <w:rtl/>
              </w:rPr>
              <w:t>الجهود المبذولة لتعزيز العنصر أو تدعيمه، لا سيما تنفيذ أي تدابير قد تكون ضرورية نتيجة لإدراج العنصر في القائمة؛</w:t>
            </w:r>
          </w:p>
          <w:p w14:paraId="0A9D13BD" w14:textId="77777777" w:rsidR="00D74347" w:rsidRPr="004C1C87" w:rsidRDefault="00D74347" w:rsidP="00D74347">
            <w:pPr>
              <w:keepLines/>
              <w:numPr>
                <w:ilvl w:val="0"/>
                <w:numId w:val="24"/>
              </w:numPr>
              <w:bidi/>
              <w:spacing w:before="60" w:after="60"/>
              <w:ind w:left="656" w:hanging="656"/>
              <w:jc w:val="both"/>
              <w:rPr>
                <w:rFonts w:ascii="Arial" w:hAnsi="Arial"/>
                <w:sz w:val="22"/>
                <w:szCs w:val="22"/>
                <w:rtl/>
              </w:rPr>
            </w:pPr>
            <w:r w:rsidRPr="004C1C87">
              <w:rPr>
                <w:rFonts w:ascii="Arial" w:hAnsi="Arial"/>
                <w:sz w:val="22"/>
                <w:szCs w:val="22"/>
                <w:rtl/>
              </w:rPr>
              <w:t>مشاركة الجماعات والمجموعات والأفراد في صون العنصر، بالإضافة إلى المنظمات غير الحكومية المعنية والتزامهم المستمر بتعزيز صونه.</w:t>
            </w:r>
          </w:p>
        </w:tc>
        <w:tc>
          <w:tcPr>
            <w:tcW w:w="274" w:type="pct"/>
          </w:tcPr>
          <w:p w14:paraId="470AEF29"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157.</w:t>
            </w:r>
          </w:p>
        </w:tc>
        <w:tc>
          <w:tcPr>
            <w:tcW w:w="2207" w:type="pct"/>
          </w:tcPr>
          <w:p w14:paraId="0985C5E6"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لا يوجد تغيير</w:t>
            </w:r>
          </w:p>
        </w:tc>
      </w:tr>
      <w:tr w:rsidR="00D74347" w:rsidRPr="004C1C87" w14:paraId="4196BA82" w14:textId="77777777" w:rsidTr="00772187">
        <w:tc>
          <w:tcPr>
            <w:tcW w:w="228" w:type="pct"/>
          </w:tcPr>
          <w:p w14:paraId="338CAAC2" w14:textId="77777777" w:rsidR="00D74347" w:rsidRPr="004C1C87" w:rsidRDefault="00D74347" w:rsidP="005F773B">
            <w:pPr>
              <w:keepLines/>
              <w:bidi/>
              <w:spacing w:before="60" w:after="60"/>
              <w:rPr>
                <w:rFonts w:ascii="Arial" w:hAnsi="Arial"/>
                <w:sz w:val="22"/>
                <w:szCs w:val="22"/>
                <w:rtl/>
              </w:rPr>
            </w:pPr>
            <w:r w:rsidRPr="004C1C87">
              <w:rPr>
                <w:rFonts w:ascii="Arial" w:hAnsi="Arial"/>
                <w:sz w:val="22"/>
                <w:szCs w:val="22"/>
                <w:rtl/>
              </w:rPr>
              <w:t>158.</w:t>
            </w:r>
          </w:p>
        </w:tc>
        <w:tc>
          <w:tcPr>
            <w:tcW w:w="2291" w:type="pct"/>
          </w:tcPr>
          <w:p w14:paraId="367FB450"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تقدم الدولة الطرف معلومات عن السياق المؤسسي للعنصر المدرج في القائمة التمثيلية للتراث الثقافي غير المادي للبشرية، بما في ذلك ما يلي:</w:t>
            </w:r>
          </w:p>
          <w:p w14:paraId="5C3520C0" w14:textId="77777777" w:rsidR="00D74347" w:rsidRPr="004C1C87" w:rsidRDefault="00D74347" w:rsidP="00D74347">
            <w:pPr>
              <w:keepLines/>
              <w:numPr>
                <w:ilvl w:val="0"/>
                <w:numId w:val="29"/>
              </w:numPr>
              <w:bidi/>
              <w:spacing w:before="60" w:after="60"/>
              <w:ind w:left="656" w:hanging="656"/>
              <w:jc w:val="both"/>
              <w:rPr>
                <w:rFonts w:ascii="Arial" w:hAnsi="Arial"/>
                <w:sz w:val="22"/>
                <w:szCs w:val="22"/>
                <w:rtl/>
              </w:rPr>
            </w:pPr>
            <w:r w:rsidRPr="004C1C87">
              <w:rPr>
                <w:rFonts w:ascii="Arial" w:hAnsi="Arial"/>
                <w:sz w:val="22"/>
                <w:szCs w:val="22"/>
                <w:rtl/>
              </w:rPr>
              <w:t>الهيئة (الهيئات) المختصة المشاركة في إدارته و/أو صونه؛</w:t>
            </w:r>
          </w:p>
          <w:p w14:paraId="7D364EB9" w14:textId="77777777" w:rsidR="00D74347" w:rsidRPr="004C1C87" w:rsidRDefault="00D74347" w:rsidP="00D74347">
            <w:pPr>
              <w:keepLines/>
              <w:numPr>
                <w:ilvl w:val="0"/>
                <w:numId w:val="29"/>
              </w:numPr>
              <w:bidi/>
              <w:spacing w:before="60" w:after="60"/>
              <w:ind w:left="656" w:hanging="656"/>
              <w:jc w:val="both"/>
              <w:rPr>
                <w:rFonts w:ascii="Arial" w:hAnsi="Arial"/>
                <w:sz w:val="22"/>
                <w:szCs w:val="22"/>
                <w:rtl/>
              </w:rPr>
            </w:pPr>
            <w:r w:rsidRPr="004C1C87">
              <w:rPr>
                <w:rFonts w:ascii="Arial" w:hAnsi="Arial"/>
                <w:sz w:val="22"/>
                <w:szCs w:val="22"/>
                <w:rtl/>
              </w:rPr>
              <w:t>المنظمة (المنظمات) في الجماعة أو المجموعة، المعنية بالعنصر وصونه.</w:t>
            </w:r>
          </w:p>
        </w:tc>
        <w:tc>
          <w:tcPr>
            <w:tcW w:w="274" w:type="pct"/>
          </w:tcPr>
          <w:p w14:paraId="2776FB68"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158.</w:t>
            </w:r>
          </w:p>
        </w:tc>
        <w:tc>
          <w:tcPr>
            <w:tcW w:w="2207" w:type="pct"/>
          </w:tcPr>
          <w:p w14:paraId="1A978359"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لا يوجد تغيير</w:t>
            </w:r>
          </w:p>
        </w:tc>
      </w:tr>
      <w:tr w:rsidR="00D74347" w:rsidRPr="004C1C87" w14:paraId="109C7DB4" w14:textId="77777777" w:rsidTr="00772187">
        <w:tc>
          <w:tcPr>
            <w:tcW w:w="228" w:type="pct"/>
          </w:tcPr>
          <w:p w14:paraId="4E7DEA83" w14:textId="77777777" w:rsidR="00D74347" w:rsidRPr="004C1C87" w:rsidRDefault="00D74347" w:rsidP="005F773B">
            <w:pPr>
              <w:keepLines/>
              <w:bidi/>
              <w:spacing w:before="60" w:after="60"/>
              <w:rPr>
                <w:rFonts w:ascii="Arial" w:hAnsi="Arial"/>
                <w:sz w:val="22"/>
                <w:szCs w:val="22"/>
                <w:rtl/>
              </w:rPr>
            </w:pPr>
            <w:r w:rsidRPr="004C1C87">
              <w:rPr>
                <w:rFonts w:ascii="Arial" w:hAnsi="Arial"/>
                <w:sz w:val="22"/>
                <w:szCs w:val="22"/>
                <w:rtl/>
              </w:rPr>
              <w:t>159.</w:t>
            </w:r>
          </w:p>
        </w:tc>
        <w:tc>
          <w:tcPr>
            <w:tcW w:w="2291" w:type="pct"/>
          </w:tcPr>
          <w:p w14:paraId="4F9A82E6"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تستجيب الدول الأطراف، في الوقت المناسب، لطلبات معينة توجهها إليها اللجنة للحصول على معلومات إضافية، عند الاقتضاء، وبشكل مستقل عن الدورة الإقليمية التي وضعتها اللجنة عملا بالفقرة 152 أعلاه.</w:t>
            </w:r>
          </w:p>
        </w:tc>
        <w:tc>
          <w:tcPr>
            <w:tcW w:w="274" w:type="pct"/>
          </w:tcPr>
          <w:p w14:paraId="759C8D30"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159.</w:t>
            </w:r>
          </w:p>
        </w:tc>
        <w:tc>
          <w:tcPr>
            <w:tcW w:w="2207" w:type="pct"/>
            <w:shd w:val="clear" w:color="auto" w:fill="DBE5F1" w:themeFill="accent1" w:themeFillTint="33"/>
          </w:tcPr>
          <w:p w14:paraId="11E17043" w14:textId="1F021F52"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تستجيب على الدول الأطراف، في الوقت المناسب، للطلبات معينة</w:t>
            </w:r>
            <w:r w:rsidRPr="004C1C87" w:rsidDel="001F0857">
              <w:rPr>
                <w:rFonts w:ascii="Arial" w:hAnsi="Arial"/>
                <w:sz w:val="22"/>
                <w:szCs w:val="22"/>
                <w:rtl/>
              </w:rPr>
              <w:t xml:space="preserve"> </w:t>
            </w:r>
            <w:r w:rsidRPr="004C1C87">
              <w:rPr>
                <w:rFonts w:ascii="Arial" w:hAnsi="Arial"/>
                <w:sz w:val="22"/>
                <w:szCs w:val="22"/>
                <w:rtl/>
              </w:rPr>
              <w:t xml:space="preserve">توجهها إليها اللجنة للحصول على معلومات إضافية، عند الاقتضاء، وبشكل مستقل عن </w:t>
            </w:r>
            <w:r w:rsidRPr="004C1C87">
              <w:rPr>
                <w:rFonts w:ascii="Arial" w:hAnsi="Arial"/>
                <w:strike/>
                <w:sz w:val="22"/>
                <w:szCs w:val="22"/>
                <w:rtl/>
              </w:rPr>
              <w:t>الدورة الإقليمية</w:t>
            </w:r>
            <w:r w:rsidRPr="004C1C87">
              <w:rPr>
                <w:rFonts w:ascii="Arial" w:hAnsi="Arial"/>
                <w:sz w:val="22"/>
                <w:szCs w:val="22"/>
                <w:rtl/>
              </w:rPr>
              <w:t xml:space="preserve"> </w:t>
            </w:r>
            <w:r w:rsidRPr="004C1C87">
              <w:rPr>
                <w:rFonts w:ascii="Arial" w:hAnsi="Arial"/>
                <w:b/>
                <w:bCs/>
                <w:sz w:val="22"/>
                <w:szCs w:val="22"/>
                <w:u w:val="single"/>
                <w:rtl/>
              </w:rPr>
              <w:t>دورة التقارير الدورية</w:t>
            </w:r>
            <w:r w:rsidRPr="004C1C87">
              <w:rPr>
                <w:rFonts w:ascii="Arial" w:hAnsi="Arial"/>
                <w:sz w:val="22"/>
                <w:szCs w:val="22"/>
                <w:rtl/>
              </w:rPr>
              <w:t xml:space="preserve"> التي وضعتها اللجنة</w:t>
            </w:r>
            <w:r w:rsidRPr="004C1C87">
              <w:rPr>
                <w:rFonts w:ascii="Arial" w:hAnsi="Arial"/>
                <w:sz w:val="22"/>
                <w:szCs w:val="22"/>
              </w:rPr>
              <w:t xml:space="preserve"> </w:t>
            </w:r>
            <w:r w:rsidRPr="004C1C87">
              <w:rPr>
                <w:rFonts w:ascii="Arial" w:hAnsi="Arial"/>
                <w:sz w:val="22"/>
                <w:szCs w:val="22"/>
                <w:rtl/>
              </w:rPr>
              <w:t>عملا بالفقرة 152 أعلاه.</w:t>
            </w:r>
          </w:p>
        </w:tc>
      </w:tr>
      <w:tr w:rsidR="00D74347" w:rsidRPr="004C1C87" w14:paraId="489083A8" w14:textId="77777777" w:rsidTr="00772187">
        <w:tc>
          <w:tcPr>
            <w:tcW w:w="228" w:type="pct"/>
          </w:tcPr>
          <w:p w14:paraId="5E8F212E" w14:textId="77777777" w:rsidR="00D74347" w:rsidRPr="004C1C87" w:rsidRDefault="00D74347" w:rsidP="005F773B">
            <w:pPr>
              <w:keepLines/>
              <w:bidi/>
              <w:spacing w:before="60" w:after="60"/>
              <w:rPr>
                <w:rFonts w:ascii="Arial" w:hAnsi="Arial"/>
                <w:color w:val="4F81BD" w:themeColor="accent1"/>
                <w:sz w:val="22"/>
                <w:szCs w:val="22"/>
                <w:rtl/>
              </w:rPr>
            </w:pPr>
            <w:r w:rsidRPr="004C1C87">
              <w:rPr>
                <w:rFonts w:ascii="Arial" w:hAnsi="Arial"/>
                <w:b/>
                <w:bCs/>
                <w:color w:val="4F81BD" w:themeColor="accent1"/>
                <w:sz w:val="22"/>
                <w:szCs w:val="22"/>
              </w:rPr>
              <w:lastRenderedPageBreak/>
              <w:t>V.2</w:t>
            </w:r>
          </w:p>
        </w:tc>
        <w:tc>
          <w:tcPr>
            <w:tcW w:w="2291" w:type="pct"/>
          </w:tcPr>
          <w:p w14:paraId="33F8C3CB" w14:textId="77777777" w:rsidR="00D74347" w:rsidRPr="004C1C87" w:rsidRDefault="00D74347" w:rsidP="005F773B">
            <w:pPr>
              <w:keepLines/>
              <w:bidi/>
              <w:spacing w:before="60" w:after="60"/>
              <w:jc w:val="both"/>
              <w:rPr>
                <w:rFonts w:ascii="Arial" w:hAnsi="Arial"/>
                <w:color w:val="4F81BD" w:themeColor="accent1"/>
                <w:sz w:val="22"/>
                <w:szCs w:val="22"/>
                <w:rtl/>
              </w:rPr>
            </w:pPr>
            <w:r w:rsidRPr="004C1C87">
              <w:rPr>
                <w:rFonts w:ascii="Arial" w:hAnsi="Arial"/>
                <w:b/>
                <w:bCs/>
                <w:color w:val="4F81BD" w:themeColor="accent1"/>
                <w:sz w:val="22"/>
                <w:szCs w:val="22"/>
                <w:rtl/>
              </w:rPr>
              <w:t>تقارير الدول الأطراف عن العناصر المدرجة في قائمة التراث الثقافي غير المادي الذي يحتاج إلى صون عاجل</w:t>
            </w:r>
          </w:p>
        </w:tc>
        <w:tc>
          <w:tcPr>
            <w:tcW w:w="274" w:type="pct"/>
          </w:tcPr>
          <w:p w14:paraId="697C13AB" w14:textId="77777777" w:rsidR="00D74347" w:rsidRPr="004C1C87" w:rsidRDefault="00D74347" w:rsidP="005F773B">
            <w:pPr>
              <w:keepLines/>
              <w:bidi/>
              <w:spacing w:before="60" w:after="60"/>
              <w:jc w:val="both"/>
              <w:rPr>
                <w:rFonts w:ascii="Arial" w:hAnsi="Arial"/>
                <w:color w:val="4F81BD" w:themeColor="accent1"/>
                <w:sz w:val="22"/>
                <w:szCs w:val="22"/>
                <w:rtl/>
              </w:rPr>
            </w:pPr>
            <w:r w:rsidRPr="004C1C87">
              <w:rPr>
                <w:rFonts w:ascii="Arial" w:hAnsi="Arial"/>
                <w:b/>
                <w:bCs/>
                <w:color w:val="4F81BD" w:themeColor="accent1"/>
                <w:sz w:val="22"/>
                <w:szCs w:val="22"/>
              </w:rPr>
              <w:t>V.2</w:t>
            </w:r>
          </w:p>
        </w:tc>
        <w:tc>
          <w:tcPr>
            <w:tcW w:w="2207" w:type="pct"/>
          </w:tcPr>
          <w:p w14:paraId="580B678D"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لا يوجد تغيير</w:t>
            </w:r>
          </w:p>
        </w:tc>
      </w:tr>
      <w:tr w:rsidR="00D74347" w:rsidRPr="004C1C87" w14:paraId="3AA76DDD" w14:textId="77777777" w:rsidTr="00772187">
        <w:tc>
          <w:tcPr>
            <w:tcW w:w="228" w:type="pct"/>
          </w:tcPr>
          <w:p w14:paraId="6B17B266" w14:textId="77777777" w:rsidR="00D74347" w:rsidRPr="004C1C87" w:rsidRDefault="00D74347" w:rsidP="005F773B">
            <w:pPr>
              <w:keepLines/>
              <w:bidi/>
              <w:spacing w:before="60" w:after="60"/>
              <w:rPr>
                <w:rFonts w:ascii="Arial" w:hAnsi="Arial"/>
                <w:sz w:val="22"/>
                <w:szCs w:val="22"/>
                <w:rtl/>
              </w:rPr>
            </w:pPr>
            <w:r w:rsidRPr="004C1C87">
              <w:rPr>
                <w:rFonts w:ascii="Arial" w:hAnsi="Arial"/>
                <w:sz w:val="22"/>
                <w:szCs w:val="22"/>
                <w:rtl/>
              </w:rPr>
              <w:t>160.</w:t>
            </w:r>
          </w:p>
        </w:tc>
        <w:tc>
          <w:tcPr>
            <w:tcW w:w="2291" w:type="pct"/>
          </w:tcPr>
          <w:p w14:paraId="0723E241"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تقدم كل دولة طرف إلى اللجنة تقارير عن حالة عناصر التراث الثقافي غير المادي الموجودة في أراضيها والتي أدرجت في قائمة التراث الثقافي غير المادي الذي يحتاج إلى صون عاجل بناء على طلبها، أو بعد التشاور معها في حالات الاستعجال القصوى. وتشرك الدولة الطرف على أوسع نطاق الجماعات والمجموعات وبحسب الحالة الأفراد المعنيين، بالإضافة إلى المنظمات غير الحكومية المعنية أثناء عملية إعداد هذه التقارير.</w:t>
            </w:r>
          </w:p>
        </w:tc>
        <w:tc>
          <w:tcPr>
            <w:tcW w:w="274" w:type="pct"/>
          </w:tcPr>
          <w:p w14:paraId="06AB7A02"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160.</w:t>
            </w:r>
          </w:p>
        </w:tc>
        <w:tc>
          <w:tcPr>
            <w:tcW w:w="2207" w:type="pct"/>
          </w:tcPr>
          <w:p w14:paraId="7B746083"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لا يوجد تغيير</w:t>
            </w:r>
          </w:p>
        </w:tc>
      </w:tr>
      <w:tr w:rsidR="00D74347" w:rsidRPr="004C1C87" w14:paraId="3D198432" w14:textId="77777777" w:rsidTr="00772187">
        <w:tc>
          <w:tcPr>
            <w:tcW w:w="228" w:type="pct"/>
          </w:tcPr>
          <w:p w14:paraId="442E7CE5" w14:textId="77777777" w:rsidR="00D74347" w:rsidRPr="004C1C87" w:rsidRDefault="00D74347" w:rsidP="005F773B">
            <w:pPr>
              <w:keepLines/>
              <w:bidi/>
              <w:spacing w:before="60" w:after="60"/>
              <w:rPr>
                <w:rFonts w:ascii="Arial" w:hAnsi="Arial"/>
                <w:sz w:val="22"/>
                <w:szCs w:val="22"/>
                <w:rtl/>
              </w:rPr>
            </w:pPr>
            <w:r w:rsidRPr="004C1C87">
              <w:rPr>
                <w:rFonts w:ascii="Arial" w:hAnsi="Arial"/>
                <w:sz w:val="22"/>
                <w:szCs w:val="22"/>
                <w:rtl/>
              </w:rPr>
              <w:t>161.</w:t>
            </w:r>
          </w:p>
        </w:tc>
        <w:tc>
          <w:tcPr>
            <w:tcW w:w="2291" w:type="pct"/>
          </w:tcPr>
          <w:p w14:paraId="467A2D37" w14:textId="2F78558C"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 xml:space="preserve">تقدم هذه التقارير إلى اللجنة عادة بحلول 15 كانون الأول/ديسمبر من العام الرابع التالي للعام الذي أدرج فيه العنصر، وكل أربع سنوات بعد ذلك. يجوز على كلّ دولة طرف إكمال النموذج </w:t>
            </w:r>
            <w:r w:rsidRPr="004C1C87">
              <w:rPr>
                <w:rFonts w:ascii="Arial" w:hAnsi="Arial"/>
                <w:sz w:val="22"/>
                <w:szCs w:val="22"/>
              </w:rPr>
              <w:t>ICH-11</w:t>
            </w:r>
            <w:r w:rsidRPr="004C1C87">
              <w:rPr>
                <w:rFonts w:ascii="Arial" w:hAnsi="Arial"/>
                <w:sz w:val="22"/>
                <w:szCs w:val="22"/>
                <w:rtl/>
              </w:rPr>
              <w:t xml:space="preserve"> ويمكن إكماله على الانترنت (</w:t>
            </w:r>
            <w:hyperlink r:id="rId44" w:history="1">
              <w:r w:rsidRPr="004C1C87">
                <w:rPr>
                  <w:rStyle w:val="Hyperlink"/>
                  <w:rFonts w:ascii="Arial" w:hAnsi="Arial"/>
                  <w:b/>
                  <w:sz w:val="22"/>
                </w:rPr>
                <w:t>https://ich.unesco.org</w:t>
              </w:r>
            </w:hyperlink>
            <w:r w:rsidRPr="004C1C87">
              <w:rPr>
                <w:rFonts w:ascii="Arial" w:hAnsi="Arial"/>
                <w:sz w:val="22"/>
                <w:szCs w:val="22"/>
                <w:rtl/>
              </w:rPr>
              <w:t>)، وتقوم الأمانة بمراجعته بصورة دورية. ويجوز للجنة عند الإدراج أن تضع جدولاً زمنياً محدداً، على أساس كل حالة على حدة، لتقديم التقارير وسيكون لهذا الجدول الزمني لتقديم التقارير الأسبقية على دورة السنوات الأربع العادية.</w:t>
            </w:r>
          </w:p>
        </w:tc>
        <w:tc>
          <w:tcPr>
            <w:tcW w:w="274" w:type="pct"/>
          </w:tcPr>
          <w:p w14:paraId="58257085"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161.</w:t>
            </w:r>
          </w:p>
        </w:tc>
        <w:tc>
          <w:tcPr>
            <w:tcW w:w="2207" w:type="pct"/>
            <w:shd w:val="clear" w:color="auto" w:fill="DBE5F1" w:themeFill="accent1" w:themeFillTint="33"/>
          </w:tcPr>
          <w:p w14:paraId="2F5A7A7B" w14:textId="3B4CF079"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 xml:space="preserve">تقدم هذه التقارير إلى اللجنة بحلول </w:t>
            </w:r>
            <w:r w:rsidRPr="004C1C87">
              <w:rPr>
                <w:rFonts w:ascii="Arial" w:hAnsi="Arial"/>
                <w:strike/>
                <w:sz w:val="22"/>
                <w:szCs w:val="22"/>
                <w:rtl/>
              </w:rPr>
              <w:t>15 كانون الأول/ديسمبر من السنة الرابعة التي تلي السنة التي تم فيها إدراج العنصر، وكل أربع سنوات بعد ذلك</w:t>
            </w:r>
            <w:r w:rsidRPr="004C1C87">
              <w:rPr>
                <w:rFonts w:ascii="Arial" w:hAnsi="Arial"/>
                <w:sz w:val="22"/>
                <w:szCs w:val="22"/>
                <w:rtl/>
              </w:rPr>
              <w:t xml:space="preserve"> </w:t>
            </w:r>
            <w:r w:rsidRPr="004C1C87">
              <w:rPr>
                <w:rFonts w:ascii="Arial" w:hAnsi="Arial"/>
                <w:b/>
                <w:bCs/>
                <w:color w:val="000000"/>
                <w:sz w:val="22"/>
                <w:szCs w:val="22"/>
                <w:u w:val="single"/>
                <w:rtl/>
              </w:rPr>
              <w:t>30 حزيران/يونيو كل أربع سنوات على أساس جدول زمني تحدده اللجنة</w:t>
            </w:r>
            <w:r w:rsidRPr="004C1C87">
              <w:rPr>
                <w:rFonts w:ascii="Arial" w:hAnsi="Arial"/>
                <w:sz w:val="22"/>
                <w:szCs w:val="22"/>
                <w:rtl/>
              </w:rPr>
              <w:t xml:space="preserve">. يجوز على كلّ دولة طرف إكمال النموذج </w:t>
            </w:r>
            <w:r w:rsidRPr="004C1C87">
              <w:rPr>
                <w:rFonts w:ascii="Arial" w:hAnsi="Arial"/>
                <w:sz w:val="22"/>
                <w:szCs w:val="22"/>
              </w:rPr>
              <w:t>ICH-11</w:t>
            </w:r>
            <w:r w:rsidRPr="004C1C87">
              <w:rPr>
                <w:rFonts w:ascii="Arial" w:hAnsi="Arial"/>
                <w:color w:val="000000"/>
                <w:rtl/>
              </w:rPr>
              <w:t xml:space="preserve"> </w:t>
            </w:r>
            <w:r w:rsidRPr="004C1C87">
              <w:rPr>
                <w:rFonts w:ascii="Arial" w:hAnsi="Arial"/>
                <w:sz w:val="22"/>
                <w:szCs w:val="22"/>
                <w:rtl/>
              </w:rPr>
              <w:t>ويمكن إكماله عبر الإنترنت</w:t>
            </w:r>
            <w:r w:rsidRPr="004C1C87">
              <w:rPr>
                <w:rFonts w:ascii="Arial" w:hAnsi="Arial"/>
                <w:color w:val="000000"/>
                <w:rtl/>
              </w:rPr>
              <w:t xml:space="preserve"> (</w:t>
            </w:r>
            <w:hyperlink r:id="rId45" w:history="1">
              <w:r w:rsidRPr="004C1C87">
                <w:rPr>
                  <w:rStyle w:val="Hyperlink"/>
                  <w:rFonts w:ascii="Arial" w:hAnsi="Arial"/>
                  <w:b/>
                  <w:sz w:val="22"/>
                </w:rPr>
                <w:t>https://ich.unesco.org</w:t>
              </w:r>
            </w:hyperlink>
            <w:r w:rsidRPr="004C1C87">
              <w:rPr>
                <w:rFonts w:ascii="Arial" w:hAnsi="Arial"/>
                <w:sz w:val="22"/>
                <w:szCs w:val="22"/>
                <w:rtl/>
              </w:rPr>
              <w:t>)، وتقوم الأمانة بمراجعته بصورة دورية. ويجوز للجنة عند الإدراج أن تضع جدولاً زمنياً محدداً، على أساس كل حالة على حدة، لتقديم التقارير وسيكون لهذا الجدول الزمني لتقديم التقارير الأسبقية على دورة السنوات الأربع العادية.</w:t>
            </w:r>
          </w:p>
        </w:tc>
      </w:tr>
      <w:tr w:rsidR="00D74347" w:rsidRPr="004C1C87" w14:paraId="09B08B3E" w14:textId="77777777" w:rsidTr="00772187">
        <w:tc>
          <w:tcPr>
            <w:tcW w:w="228" w:type="pct"/>
          </w:tcPr>
          <w:p w14:paraId="16F13EE5" w14:textId="77777777" w:rsidR="00D74347" w:rsidRPr="004C1C87" w:rsidRDefault="00D74347" w:rsidP="005F773B">
            <w:pPr>
              <w:keepLines/>
              <w:bidi/>
              <w:spacing w:before="60" w:after="60"/>
              <w:rPr>
                <w:rFonts w:ascii="Arial" w:hAnsi="Arial"/>
                <w:sz w:val="22"/>
                <w:szCs w:val="22"/>
                <w:rtl/>
              </w:rPr>
            </w:pPr>
            <w:r w:rsidRPr="004C1C87">
              <w:rPr>
                <w:rFonts w:ascii="Arial" w:hAnsi="Arial"/>
                <w:sz w:val="22"/>
                <w:szCs w:val="22"/>
                <w:rtl/>
              </w:rPr>
              <w:t>162.</w:t>
            </w:r>
          </w:p>
        </w:tc>
        <w:tc>
          <w:tcPr>
            <w:tcW w:w="2291" w:type="pct"/>
          </w:tcPr>
          <w:p w14:paraId="40068AAB"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تولي الدولة الطرف اهتماما خاصا بدور الجنسانية وتقدّم معلومات عن الوضع الراهن للعنصر، بما في ذلك ما يلي:</w:t>
            </w:r>
          </w:p>
          <w:p w14:paraId="560293CB" w14:textId="77777777" w:rsidR="00D74347" w:rsidRPr="004C1C87" w:rsidRDefault="00D74347" w:rsidP="00D74347">
            <w:pPr>
              <w:keepLines/>
              <w:numPr>
                <w:ilvl w:val="0"/>
                <w:numId w:val="30"/>
              </w:numPr>
              <w:bidi/>
              <w:spacing w:before="60" w:after="60"/>
              <w:ind w:left="493" w:hanging="493"/>
              <w:jc w:val="both"/>
              <w:rPr>
                <w:rFonts w:ascii="Arial" w:hAnsi="Arial"/>
                <w:sz w:val="22"/>
                <w:szCs w:val="22"/>
                <w:rtl/>
              </w:rPr>
            </w:pPr>
            <w:r w:rsidRPr="004C1C87">
              <w:rPr>
                <w:rFonts w:ascii="Arial" w:hAnsi="Arial"/>
                <w:sz w:val="22"/>
                <w:szCs w:val="22"/>
                <w:rtl/>
              </w:rPr>
              <w:t>وظائفه الاجتماعية والثقافية؛</w:t>
            </w:r>
          </w:p>
          <w:p w14:paraId="3BECAC23" w14:textId="77777777" w:rsidR="00D74347" w:rsidRPr="004C1C87" w:rsidRDefault="00D74347" w:rsidP="00D74347">
            <w:pPr>
              <w:keepLines/>
              <w:numPr>
                <w:ilvl w:val="0"/>
                <w:numId w:val="30"/>
              </w:numPr>
              <w:bidi/>
              <w:spacing w:before="60" w:after="60"/>
              <w:ind w:left="493" w:hanging="493"/>
              <w:jc w:val="both"/>
              <w:rPr>
                <w:rFonts w:ascii="Arial" w:hAnsi="Arial"/>
                <w:sz w:val="22"/>
                <w:szCs w:val="22"/>
                <w:rtl/>
              </w:rPr>
            </w:pPr>
            <w:r w:rsidRPr="004C1C87">
              <w:rPr>
                <w:rFonts w:ascii="Arial" w:hAnsi="Arial"/>
                <w:sz w:val="22"/>
                <w:szCs w:val="22"/>
                <w:rtl/>
              </w:rPr>
              <w:t>تقييم مقومات بقائه والمخاطر الحالية التي تواجهه؛</w:t>
            </w:r>
          </w:p>
          <w:p w14:paraId="019488F2" w14:textId="77777777" w:rsidR="00D74347" w:rsidRPr="004C1C87" w:rsidRDefault="00D74347" w:rsidP="00D74347">
            <w:pPr>
              <w:keepLines/>
              <w:numPr>
                <w:ilvl w:val="0"/>
                <w:numId w:val="30"/>
              </w:numPr>
              <w:bidi/>
              <w:spacing w:before="60" w:after="60"/>
              <w:ind w:left="493" w:hanging="493"/>
              <w:jc w:val="both"/>
              <w:rPr>
                <w:rFonts w:ascii="Arial" w:hAnsi="Arial"/>
                <w:sz w:val="22"/>
                <w:szCs w:val="22"/>
                <w:rtl/>
              </w:rPr>
            </w:pPr>
            <w:r w:rsidRPr="004C1C87">
              <w:rPr>
                <w:rFonts w:ascii="Arial" w:hAnsi="Arial"/>
                <w:sz w:val="22"/>
                <w:szCs w:val="22"/>
                <w:rtl/>
              </w:rPr>
              <w:t>آثار الجهود المبذولة لصون العنصر، لا سيما تنفيذ خطة الصون التي قدمت عند الترشيح؛</w:t>
            </w:r>
          </w:p>
          <w:p w14:paraId="3A56514E" w14:textId="77777777" w:rsidR="00D74347" w:rsidRPr="004C1C87" w:rsidRDefault="00D74347" w:rsidP="00D74347">
            <w:pPr>
              <w:keepLines/>
              <w:numPr>
                <w:ilvl w:val="0"/>
                <w:numId w:val="30"/>
              </w:numPr>
              <w:bidi/>
              <w:spacing w:before="60" w:after="60"/>
              <w:ind w:left="493" w:hanging="493"/>
              <w:jc w:val="both"/>
              <w:rPr>
                <w:rFonts w:ascii="Arial" w:hAnsi="Arial"/>
                <w:sz w:val="22"/>
                <w:szCs w:val="22"/>
                <w:rtl/>
              </w:rPr>
            </w:pPr>
            <w:r w:rsidRPr="004C1C87">
              <w:rPr>
                <w:rFonts w:ascii="Arial" w:hAnsi="Arial"/>
                <w:sz w:val="22"/>
                <w:szCs w:val="22"/>
                <w:rtl/>
              </w:rPr>
              <w:t>تحديث لخطة الصون الواردة في ملف الترشيح أو في التقرير السابق؛</w:t>
            </w:r>
          </w:p>
          <w:p w14:paraId="1C79E951" w14:textId="77777777" w:rsidR="00D74347" w:rsidRPr="004C1C87" w:rsidRDefault="00D74347" w:rsidP="00D74347">
            <w:pPr>
              <w:keepLines/>
              <w:numPr>
                <w:ilvl w:val="0"/>
                <w:numId w:val="30"/>
              </w:numPr>
              <w:bidi/>
              <w:spacing w:before="60" w:after="60"/>
              <w:ind w:left="493" w:hanging="493"/>
              <w:jc w:val="both"/>
              <w:rPr>
                <w:rFonts w:ascii="Arial" w:hAnsi="Arial"/>
                <w:sz w:val="22"/>
                <w:szCs w:val="22"/>
                <w:rtl/>
              </w:rPr>
            </w:pPr>
            <w:r w:rsidRPr="004C1C87">
              <w:rPr>
                <w:rFonts w:ascii="Arial" w:hAnsi="Arial"/>
                <w:sz w:val="22"/>
                <w:szCs w:val="22"/>
                <w:rtl/>
              </w:rPr>
              <w:t>مشاركة الجماعات والمجموعات والأفراد في صون العنصر، بالإضافة إلى المنظمات غير الحكومية المعنية والتزامهم المستمر بتعزيز صونه.</w:t>
            </w:r>
          </w:p>
        </w:tc>
        <w:tc>
          <w:tcPr>
            <w:tcW w:w="274" w:type="pct"/>
          </w:tcPr>
          <w:p w14:paraId="0BF88E6A"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162.</w:t>
            </w:r>
          </w:p>
        </w:tc>
        <w:tc>
          <w:tcPr>
            <w:tcW w:w="2207" w:type="pct"/>
          </w:tcPr>
          <w:p w14:paraId="597C1EA5"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لا يوجد تغيير</w:t>
            </w:r>
          </w:p>
        </w:tc>
      </w:tr>
      <w:tr w:rsidR="00D74347" w:rsidRPr="004C1C87" w14:paraId="584625C4" w14:textId="77777777" w:rsidTr="00772187">
        <w:tc>
          <w:tcPr>
            <w:tcW w:w="228" w:type="pct"/>
          </w:tcPr>
          <w:p w14:paraId="54DA8132" w14:textId="77777777" w:rsidR="00D74347" w:rsidRPr="004C1C87" w:rsidRDefault="00D74347" w:rsidP="005F773B">
            <w:pPr>
              <w:keepLines/>
              <w:bidi/>
              <w:spacing w:before="60" w:after="60"/>
              <w:rPr>
                <w:rFonts w:ascii="Arial" w:hAnsi="Arial"/>
                <w:sz w:val="22"/>
                <w:szCs w:val="22"/>
                <w:rtl/>
              </w:rPr>
            </w:pPr>
            <w:r w:rsidRPr="004C1C87">
              <w:rPr>
                <w:rFonts w:ascii="Arial" w:hAnsi="Arial"/>
                <w:sz w:val="22"/>
                <w:szCs w:val="22"/>
                <w:rtl/>
              </w:rPr>
              <w:t>163.</w:t>
            </w:r>
          </w:p>
        </w:tc>
        <w:tc>
          <w:tcPr>
            <w:tcW w:w="2291" w:type="pct"/>
          </w:tcPr>
          <w:p w14:paraId="5D9B336E"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تقدم الدولة الطرف معلومات عن السياق المؤسسي لصون العنصر المدرج في القائمة، بما في ذلك ما يلي:</w:t>
            </w:r>
          </w:p>
          <w:p w14:paraId="2610DBC1" w14:textId="77777777" w:rsidR="00D74347" w:rsidRPr="004C1C87" w:rsidRDefault="00D74347" w:rsidP="00D74347">
            <w:pPr>
              <w:keepLines/>
              <w:numPr>
                <w:ilvl w:val="0"/>
                <w:numId w:val="31"/>
              </w:numPr>
              <w:bidi/>
              <w:spacing w:before="60" w:after="60"/>
              <w:ind w:left="656" w:hanging="656"/>
              <w:jc w:val="both"/>
              <w:rPr>
                <w:rFonts w:ascii="Arial" w:hAnsi="Arial"/>
                <w:sz w:val="22"/>
                <w:szCs w:val="22"/>
                <w:rtl/>
              </w:rPr>
            </w:pPr>
            <w:r w:rsidRPr="004C1C87">
              <w:rPr>
                <w:rFonts w:ascii="Arial" w:hAnsi="Arial"/>
                <w:sz w:val="22"/>
                <w:szCs w:val="22"/>
                <w:rtl/>
              </w:rPr>
              <w:t>الهيئة (الهيئات) المختصة المشاركة في صونه؛</w:t>
            </w:r>
          </w:p>
          <w:p w14:paraId="6FCB37F4" w14:textId="77777777" w:rsidR="00D74347" w:rsidRPr="004C1C87" w:rsidRDefault="00D74347" w:rsidP="00D74347">
            <w:pPr>
              <w:keepLines/>
              <w:numPr>
                <w:ilvl w:val="0"/>
                <w:numId w:val="31"/>
              </w:numPr>
              <w:bidi/>
              <w:spacing w:before="60" w:after="60"/>
              <w:ind w:left="656" w:hanging="656"/>
              <w:jc w:val="both"/>
              <w:rPr>
                <w:rFonts w:ascii="Arial" w:hAnsi="Arial"/>
                <w:sz w:val="22"/>
                <w:szCs w:val="22"/>
                <w:rtl/>
              </w:rPr>
            </w:pPr>
            <w:r w:rsidRPr="004C1C87">
              <w:rPr>
                <w:rFonts w:ascii="Arial" w:hAnsi="Arial"/>
                <w:sz w:val="22"/>
                <w:szCs w:val="22"/>
                <w:rtl/>
              </w:rPr>
              <w:t>المنظمة (المنظمات) في الجماعة أو المجموعة، المعنية بالعنصر وصونه.</w:t>
            </w:r>
          </w:p>
        </w:tc>
        <w:tc>
          <w:tcPr>
            <w:tcW w:w="274" w:type="pct"/>
          </w:tcPr>
          <w:p w14:paraId="622E785C"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163.</w:t>
            </w:r>
          </w:p>
        </w:tc>
        <w:tc>
          <w:tcPr>
            <w:tcW w:w="2207" w:type="pct"/>
          </w:tcPr>
          <w:p w14:paraId="2BCC50D8"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لا يوجد تغيير</w:t>
            </w:r>
          </w:p>
        </w:tc>
      </w:tr>
      <w:tr w:rsidR="00D74347" w:rsidRPr="004C1C87" w14:paraId="08154E26" w14:textId="77777777" w:rsidTr="00772187">
        <w:tc>
          <w:tcPr>
            <w:tcW w:w="228" w:type="pct"/>
          </w:tcPr>
          <w:p w14:paraId="1623ABFE" w14:textId="77777777" w:rsidR="00D74347" w:rsidRPr="004C1C87" w:rsidRDefault="00D74347" w:rsidP="005F773B">
            <w:pPr>
              <w:keepLines/>
              <w:bidi/>
              <w:spacing w:before="60" w:after="60"/>
              <w:rPr>
                <w:rFonts w:ascii="Arial" w:hAnsi="Arial"/>
                <w:sz w:val="22"/>
                <w:szCs w:val="22"/>
                <w:rtl/>
              </w:rPr>
            </w:pPr>
            <w:r w:rsidRPr="004C1C87">
              <w:rPr>
                <w:rFonts w:ascii="Arial" w:hAnsi="Arial"/>
                <w:sz w:val="22"/>
                <w:szCs w:val="22"/>
                <w:rtl/>
              </w:rPr>
              <w:t>164.</w:t>
            </w:r>
          </w:p>
        </w:tc>
        <w:tc>
          <w:tcPr>
            <w:tcW w:w="2291" w:type="pct"/>
          </w:tcPr>
          <w:p w14:paraId="7189F64E"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تستجيب الدول الأطراف في الوقت المناسب لطلبات معينة توجهها اللجنة إليها للحصول على معلومات إضافية، عند الاقتضاء، في الفترات الفاصلة بين المواعيد النهائية المحددة في الفقرة 161 أعلاه.</w:t>
            </w:r>
          </w:p>
        </w:tc>
        <w:tc>
          <w:tcPr>
            <w:tcW w:w="274" w:type="pct"/>
          </w:tcPr>
          <w:p w14:paraId="54BAEFAB"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164.</w:t>
            </w:r>
          </w:p>
        </w:tc>
        <w:tc>
          <w:tcPr>
            <w:tcW w:w="2207" w:type="pct"/>
          </w:tcPr>
          <w:p w14:paraId="22894B2A"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لا يوجد تغيير</w:t>
            </w:r>
          </w:p>
        </w:tc>
      </w:tr>
      <w:tr w:rsidR="00D74347" w:rsidRPr="004C1C87" w14:paraId="13A24870" w14:textId="77777777" w:rsidTr="00772187">
        <w:tc>
          <w:tcPr>
            <w:tcW w:w="228" w:type="pct"/>
          </w:tcPr>
          <w:p w14:paraId="3463AAA6" w14:textId="77777777" w:rsidR="00D74347" w:rsidRPr="004C1C87" w:rsidRDefault="00D74347" w:rsidP="005F773B">
            <w:pPr>
              <w:keepLines/>
              <w:bidi/>
              <w:spacing w:before="60" w:after="60"/>
              <w:rPr>
                <w:rFonts w:ascii="Arial" w:hAnsi="Arial"/>
                <w:color w:val="4F81BD" w:themeColor="accent1"/>
                <w:sz w:val="22"/>
                <w:szCs w:val="22"/>
                <w:rtl/>
              </w:rPr>
            </w:pPr>
            <w:r w:rsidRPr="004C1C87">
              <w:rPr>
                <w:rFonts w:ascii="Arial" w:hAnsi="Arial"/>
                <w:b/>
                <w:bCs/>
                <w:color w:val="4F81BD" w:themeColor="accent1"/>
                <w:sz w:val="22"/>
                <w:szCs w:val="22"/>
              </w:rPr>
              <w:lastRenderedPageBreak/>
              <w:t>V.3</w:t>
            </w:r>
          </w:p>
        </w:tc>
        <w:tc>
          <w:tcPr>
            <w:tcW w:w="2291" w:type="pct"/>
          </w:tcPr>
          <w:p w14:paraId="6E966789" w14:textId="77777777" w:rsidR="00D74347" w:rsidRPr="004C1C87" w:rsidRDefault="00D74347" w:rsidP="005F773B">
            <w:pPr>
              <w:keepLines/>
              <w:bidi/>
              <w:spacing w:before="60" w:after="60"/>
              <w:jc w:val="both"/>
              <w:rPr>
                <w:rFonts w:ascii="Arial" w:hAnsi="Arial"/>
                <w:color w:val="4F81BD" w:themeColor="accent1"/>
                <w:sz w:val="22"/>
                <w:szCs w:val="22"/>
                <w:rtl/>
              </w:rPr>
            </w:pPr>
            <w:r w:rsidRPr="004C1C87">
              <w:rPr>
                <w:rFonts w:ascii="Arial" w:hAnsi="Arial"/>
                <w:b/>
                <w:bCs/>
                <w:color w:val="4F81BD" w:themeColor="accent1"/>
                <w:sz w:val="22"/>
                <w:szCs w:val="22"/>
                <w:rtl/>
              </w:rPr>
              <w:t>تسلّم التقارير ومعالجتها</w:t>
            </w:r>
          </w:p>
        </w:tc>
        <w:tc>
          <w:tcPr>
            <w:tcW w:w="274" w:type="pct"/>
          </w:tcPr>
          <w:p w14:paraId="1B0EECAE" w14:textId="77777777" w:rsidR="00D74347" w:rsidRPr="004C1C87" w:rsidRDefault="00D74347" w:rsidP="005F773B">
            <w:pPr>
              <w:keepLines/>
              <w:bidi/>
              <w:spacing w:before="60" w:after="60"/>
              <w:jc w:val="both"/>
              <w:rPr>
                <w:rFonts w:ascii="Arial" w:hAnsi="Arial"/>
                <w:color w:val="4F81BD" w:themeColor="accent1"/>
                <w:sz w:val="22"/>
                <w:szCs w:val="22"/>
                <w:rtl/>
              </w:rPr>
            </w:pPr>
            <w:r w:rsidRPr="004C1C87">
              <w:rPr>
                <w:rFonts w:ascii="Arial" w:hAnsi="Arial"/>
                <w:b/>
                <w:bCs/>
                <w:color w:val="4F81BD" w:themeColor="accent1"/>
                <w:sz w:val="22"/>
                <w:szCs w:val="22"/>
              </w:rPr>
              <w:t>V.3</w:t>
            </w:r>
          </w:p>
        </w:tc>
        <w:tc>
          <w:tcPr>
            <w:tcW w:w="2207" w:type="pct"/>
          </w:tcPr>
          <w:p w14:paraId="269A9712"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لا يوجد تغيير</w:t>
            </w:r>
          </w:p>
        </w:tc>
      </w:tr>
      <w:tr w:rsidR="00D74347" w:rsidRPr="004C1C87" w14:paraId="6694F572" w14:textId="77777777" w:rsidTr="00772187">
        <w:tc>
          <w:tcPr>
            <w:tcW w:w="228" w:type="pct"/>
          </w:tcPr>
          <w:p w14:paraId="53C19B52" w14:textId="77777777" w:rsidR="00D74347" w:rsidRPr="004C1C87" w:rsidRDefault="00D74347" w:rsidP="005F773B">
            <w:pPr>
              <w:keepLines/>
              <w:bidi/>
              <w:spacing w:before="60" w:after="60"/>
              <w:rPr>
                <w:rFonts w:ascii="Arial" w:hAnsi="Arial"/>
                <w:sz w:val="22"/>
                <w:szCs w:val="22"/>
                <w:rtl/>
              </w:rPr>
            </w:pPr>
            <w:r w:rsidRPr="004C1C87">
              <w:rPr>
                <w:rFonts w:ascii="Arial" w:hAnsi="Arial"/>
                <w:sz w:val="22"/>
                <w:szCs w:val="22"/>
                <w:rtl/>
              </w:rPr>
              <w:t>165.</w:t>
            </w:r>
          </w:p>
        </w:tc>
        <w:tc>
          <w:tcPr>
            <w:tcW w:w="2291" w:type="pct"/>
          </w:tcPr>
          <w:p w14:paraId="45708031"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تقوم الأمانة عند تسلّم تقارير الدول الأطراف بتسجيلها والإقرار بتسلمها. وإذا كان التقرير غير كامل، تقدم المشورة إلى الدولة الطرف بشأن سبل إكماله.</w:t>
            </w:r>
          </w:p>
        </w:tc>
        <w:tc>
          <w:tcPr>
            <w:tcW w:w="274" w:type="pct"/>
          </w:tcPr>
          <w:p w14:paraId="07F2A4C2"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165.</w:t>
            </w:r>
          </w:p>
        </w:tc>
        <w:tc>
          <w:tcPr>
            <w:tcW w:w="2207" w:type="pct"/>
          </w:tcPr>
          <w:p w14:paraId="02A74880"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لا يوجد تغيير</w:t>
            </w:r>
          </w:p>
        </w:tc>
      </w:tr>
      <w:tr w:rsidR="00D74347" w:rsidRPr="004C1C87" w14:paraId="5E332F1D" w14:textId="77777777" w:rsidTr="00772187">
        <w:tc>
          <w:tcPr>
            <w:tcW w:w="228" w:type="pct"/>
          </w:tcPr>
          <w:p w14:paraId="7B98F0ED" w14:textId="77777777" w:rsidR="00D74347" w:rsidRPr="004C1C87" w:rsidRDefault="00D74347" w:rsidP="005F773B">
            <w:pPr>
              <w:keepLines/>
              <w:bidi/>
              <w:spacing w:before="60" w:after="60"/>
              <w:rPr>
                <w:rFonts w:ascii="Arial" w:hAnsi="Arial"/>
                <w:sz w:val="22"/>
                <w:szCs w:val="22"/>
                <w:rtl/>
              </w:rPr>
            </w:pPr>
            <w:bookmarkStart w:id="3" w:name="_Hlk208236816"/>
            <w:r w:rsidRPr="004C1C87">
              <w:rPr>
                <w:rFonts w:ascii="Arial" w:hAnsi="Arial"/>
                <w:sz w:val="22"/>
                <w:szCs w:val="22"/>
                <w:rtl/>
              </w:rPr>
              <w:t>166.</w:t>
            </w:r>
          </w:p>
        </w:tc>
        <w:tc>
          <w:tcPr>
            <w:tcW w:w="2291" w:type="pct"/>
          </w:tcPr>
          <w:p w14:paraId="355FB520" w14:textId="11B21F49"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تقدم الأمانة إلى اللجنة عرضاً عاماً للتقارير الواردة عملاً بالفقرة 152 قبل أربعة أسابيع من انعقاد دورتها. وسيتاح العرض العام على الشبكة لاطلاع العموم عليه، إلى جانب التقارير الواردة عملاً بالفقرات 152 و161، باللغة التي قدمتها بها الدول الأطراف، إلا إذا قررت اللجنة خلاف ذلك في حالات استثنائية.</w:t>
            </w:r>
          </w:p>
        </w:tc>
        <w:tc>
          <w:tcPr>
            <w:tcW w:w="274" w:type="pct"/>
          </w:tcPr>
          <w:p w14:paraId="33B45E5F"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166.</w:t>
            </w:r>
          </w:p>
        </w:tc>
        <w:tc>
          <w:tcPr>
            <w:tcW w:w="2207" w:type="pct"/>
            <w:shd w:val="clear" w:color="auto" w:fill="DBE5F1" w:themeFill="accent1" w:themeFillTint="33"/>
          </w:tcPr>
          <w:p w14:paraId="299542DF" w14:textId="633B24DF"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 xml:space="preserve">تقدم الأمانة إلى اللجنة عرضاً عاماً للتقارير الواردة عملاً </w:t>
            </w:r>
            <w:r w:rsidRPr="004C1C87">
              <w:rPr>
                <w:rFonts w:ascii="Arial" w:hAnsi="Arial"/>
                <w:strike/>
                <w:sz w:val="22"/>
                <w:szCs w:val="22"/>
                <w:rtl/>
              </w:rPr>
              <w:t>للفقرة</w:t>
            </w:r>
            <w:r w:rsidRPr="004C1C87">
              <w:rPr>
                <w:rFonts w:ascii="Arial" w:hAnsi="Arial"/>
                <w:sz w:val="22"/>
                <w:szCs w:val="22"/>
                <w:rtl/>
              </w:rPr>
              <w:t xml:space="preserve"> </w:t>
            </w:r>
            <w:r w:rsidRPr="004C1C87">
              <w:rPr>
                <w:rFonts w:ascii="Arial" w:hAnsi="Arial"/>
                <w:b/>
                <w:bCs/>
                <w:sz w:val="22"/>
                <w:szCs w:val="22"/>
                <w:u w:val="single"/>
                <w:rtl/>
              </w:rPr>
              <w:t>للفقرتين</w:t>
            </w:r>
            <w:r w:rsidRPr="004C1C87">
              <w:rPr>
                <w:rFonts w:ascii="Arial" w:hAnsi="Arial"/>
                <w:sz w:val="22"/>
                <w:szCs w:val="22"/>
                <w:rtl/>
              </w:rPr>
              <w:t xml:space="preserve"> 152 </w:t>
            </w:r>
            <w:r w:rsidRPr="004C1C87">
              <w:rPr>
                <w:rFonts w:ascii="Arial" w:hAnsi="Arial"/>
                <w:b/>
                <w:bCs/>
                <w:sz w:val="22"/>
                <w:szCs w:val="22"/>
                <w:u w:val="single"/>
                <w:rtl/>
              </w:rPr>
              <w:t>و161</w:t>
            </w:r>
            <w:r w:rsidRPr="004C1C87">
              <w:rPr>
                <w:rFonts w:ascii="Arial" w:hAnsi="Arial"/>
                <w:sz w:val="22"/>
                <w:szCs w:val="22"/>
                <w:rtl/>
              </w:rPr>
              <w:t xml:space="preserve"> قبل أربعة أسابيع من انعقاد دورتها، </w:t>
            </w:r>
            <w:r w:rsidRPr="004C1C87">
              <w:rPr>
                <w:rFonts w:ascii="Arial" w:hAnsi="Arial"/>
                <w:b/>
                <w:bCs/>
                <w:sz w:val="22"/>
                <w:szCs w:val="22"/>
                <w:u w:val="single"/>
                <w:rtl/>
              </w:rPr>
              <w:t>وذلك وفقًا لجدول زمني وضعته اللجنة</w:t>
            </w:r>
            <w:r w:rsidRPr="004C1C87">
              <w:rPr>
                <w:rFonts w:ascii="Arial" w:hAnsi="Arial"/>
                <w:sz w:val="22"/>
                <w:szCs w:val="22"/>
                <w:rtl/>
              </w:rPr>
              <w:t>. وسيتاح العرض العام على الشبكة لاطلاع العموم عليه، إلى جانب التقارير الواردة عملاً بالفقرات 152 و161، باللغة التي قدمتها بها الدول الأطراف، إلا إذا قررت اللجنة خلاف ذلك في حالات استثنائية.</w:t>
            </w:r>
          </w:p>
        </w:tc>
      </w:tr>
      <w:tr w:rsidR="00D74347" w:rsidRPr="004C1C87" w14:paraId="5184C45D" w14:textId="77777777" w:rsidTr="00772187">
        <w:tc>
          <w:tcPr>
            <w:tcW w:w="228" w:type="pct"/>
          </w:tcPr>
          <w:p w14:paraId="6CA35E06" w14:textId="77777777" w:rsidR="00D74347" w:rsidRPr="004C1C87" w:rsidRDefault="00D74347" w:rsidP="005F773B">
            <w:pPr>
              <w:keepLines/>
              <w:bidi/>
              <w:spacing w:before="60" w:after="60"/>
              <w:rPr>
                <w:rFonts w:ascii="Arial" w:hAnsi="Arial"/>
                <w:sz w:val="22"/>
                <w:szCs w:val="22"/>
                <w:rtl/>
              </w:rPr>
            </w:pPr>
            <w:r w:rsidRPr="004C1C87">
              <w:rPr>
                <w:rFonts w:ascii="Arial" w:hAnsi="Arial"/>
                <w:sz w:val="22"/>
                <w:szCs w:val="22"/>
                <w:rtl/>
              </w:rPr>
              <w:t>167.</w:t>
            </w:r>
          </w:p>
        </w:tc>
        <w:tc>
          <w:tcPr>
            <w:tcW w:w="2291" w:type="pct"/>
          </w:tcPr>
          <w:p w14:paraId="525AFAFF"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حذفت.</w:t>
            </w:r>
          </w:p>
        </w:tc>
        <w:tc>
          <w:tcPr>
            <w:tcW w:w="274" w:type="pct"/>
          </w:tcPr>
          <w:p w14:paraId="075BFB5B"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167.</w:t>
            </w:r>
          </w:p>
        </w:tc>
        <w:tc>
          <w:tcPr>
            <w:tcW w:w="2207" w:type="pct"/>
          </w:tcPr>
          <w:p w14:paraId="6EC6890E"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لا يوجد تغيير</w:t>
            </w:r>
          </w:p>
        </w:tc>
      </w:tr>
      <w:bookmarkEnd w:id="3"/>
      <w:tr w:rsidR="00D74347" w:rsidRPr="004C1C87" w14:paraId="75528140" w14:textId="77777777" w:rsidTr="00772187">
        <w:tc>
          <w:tcPr>
            <w:tcW w:w="228" w:type="pct"/>
          </w:tcPr>
          <w:p w14:paraId="6D6DFB60" w14:textId="77777777" w:rsidR="00D74347" w:rsidRPr="004C1C87" w:rsidRDefault="00D74347" w:rsidP="005F773B">
            <w:pPr>
              <w:keepLines/>
              <w:bidi/>
              <w:spacing w:before="60" w:after="60"/>
              <w:rPr>
                <w:rFonts w:ascii="Arial" w:hAnsi="Arial"/>
                <w:b/>
                <w:color w:val="4F81BD" w:themeColor="accent1"/>
                <w:sz w:val="22"/>
                <w:szCs w:val="22"/>
                <w:rtl/>
              </w:rPr>
            </w:pPr>
            <w:r w:rsidRPr="004C1C87">
              <w:rPr>
                <w:rFonts w:ascii="Arial" w:hAnsi="Arial"/>
                <w:b/>
                <w:bCs/>
                <w:color w:val="4F81BD" w:themeColor="accent1"/>
                <w:sz w:val="22"/>
                <w:szCs w:val="22"/>
              </w:rPr>
              <w:t>V.4</w:t>
            </w:r>
          </w:p>
        </w:tc>
        <w:tc>
          <w:tcPr>
            <w:tcW w:w="2291" w:type="pct"/>
          </w:tcPr>
          <w:p w14:paraId="2F5178AE" w14:textId="77777777" w:rsidR="00D74347" w:rsidRPr="004C1C87" w:rsidRDefault="00D74347" w:rsidP="005F773B">
            <w:pPr>
              <w:keepLines/>
              <w:bidi/>
              <w:spacing w:before="60" w:after="60"/>
              <w:jc w:val="both"/>
              <w:rPr>
                <w:rFonts w:ascii="Arial" w:hAnsi="Arial"/>
                <w:b/>
                <w:color w:val="4F81BD" w:themeColor="accent1"/>
                <w:sz w:val="22"/>
                <w:szCs w:val="22"/>
                <w:rtl/>
              </w:rPr>
            </w:pPr>
            <w:r w:rsidRPr="004C1C87">
              <w:rPr>
                <w:rFonts w:ascii="Arial" w:hAnsi="Arial"/>
                <w:b/>
                <w:bCs/>
                <w:color w:val="4F81BD" w:themeColor="accent1"/>
                <w:sz w:val="22"/>
                <w:szCs w:val="22"/>
                <w:rtl/>
              </w:rPr>
              <w:t>تقارير الدول غير الأطراف في الاتفاقية عن العناصر المدرجة في القائمة التمثيلية للتراث الثقافي غير المادي للبشرية</w:t>
            </w:r>
          </w:p>
        </w:tc>
        <w:tc>
          <w:tcPr>
            <w:tcW w:w="274" w:type="pct"/>
          </w:tcPr>
          <w:p w14:paraId="638F66C7" w14:textId="77777777" w:rsidR="00D74347" w:rsidRPr="004C1C87" w:rsidRDefault="00D74347" w:rsidP="005F773B">
            <w:pPr>
              <w:keepLines/>
              <w:bidi/>
              <w:spacing w:before="60" w:after="60"/>
              <w:jc w:val="both"/>
              <w:rPr>
                <w:rFonts w:ascii="Arial" w:hAnsi="Arial"/>
                <w:color w:val="4F81BD" w:themeColor="accent1"/>
                <w:sz w:val="22"/>
                <w:szCs w:val="22"/>
                <w:rtl/>
              </w:rPr>
            </w:pPr>
            <w:r w:rsidRPr="004C1C87">
              <w:rPr>
                <w:rFonts w:ascii="Arial" w:hAnsi="Arial"/>
                <w:b/>
                <w:bCs/>
                <w:color w:val="4F81BD" w:themeColor="accent1"/>
                <w:sz w:val="22"/>
                <w:szCs w:val="22"/>
              </w:rPr>
              <w:t>V.4</w:t>
            </w:r>
          </w:p>
        </w:tc>
        <w:tc>
          <w:tcPr>
            <w:tcW w:w="2207" w:type="pct"/>
          </w:tcPr>
          <w:p w14:paraId="0F66C9A5"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لا يوجد تغيير</w:t>
            </w:r>
          </w:p>
        </w:tc>
      </w:tr>
      <w:tr w:rsidR="00D74347" w:rsidRPr="004C1C87" w14:paraId="63CE9F6D" w14:textId="77777777" w:rsidTr="00772187">
        <w:tc>
          <w:tcPr>
            <w:tcW w:w="228" w:type="pct"/>
          </w:tcPr>
          <w:p w14:paraId="79356AEF" w14:textId="77777777" w:rsidR="00D74347" w:rsidRPr="004C1C87" w:rsidRDefault="00D74347" w:rsidP="005F773B">
            <w:pPr>
              <w:keepLines/>
              <w:bidi/>
              <w:spacing w:before="60" w:after="60"/>
              <w:rPr>
                <w:rFonts w:ascii="Arial" w:hAnsi="Arial"/>
                <w:sz w:val="22"/>
                <w:szCs w:val="22"/>
                <w:rtl/>
              </w:rPr>
            </w:pPr>
            <w:r w:rsidRPr="004C1C87">
              <w:rPr>
                <w:rFonts w:ascii="Arial" w:hAnsi="Arial"/>
                <w:sz w:val="22"/>
                <w:szCs w:val="22"/>
                <w:rtl/>
              </w:rPr>
              <w:t>168.</w:t>
            </w:r>
          </w:p>
        </w:tc>
        <w:tc>
          <w:tcPr>
            <w:tcW w:w="2291" w:type="pct"/>
          </w:tcPr>
          <w:p w14:paraId="1154483D" w14:textId="6F026570"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تنطبق الفقرات 157 - 159 و165 - 166 تماماً في هذه التوجيهات التنفيذية على الدول غير الأطراف في الاتفاقية، التي توجد في أراضيها عناصر اعتبرت روائع مدرجة في القائمة التمثيلية للتراث الثقافي غير المادي للبشرية، والتي قبلت الحقوق والالتزامات المتعلقة بها.</w:t>
            </w:r>
          </w:p>
        </w:tc>
        <w:tc>
          <w:tcPr>
            <w:tcW w:w="274" w:type="pct"/>
          </w:tcPr>
          <w:p w14:paraId="696417E9"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168.</w:t>
            </w:r>
          </w:p>
        </w:tc>
        <w:tc>
          <w:tcPr>
            <w:tcW w:w="2207" w:type="pct"/>
          </w:tcPr>
          <w:p w14:paraId="3FF637FC"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لا يوجد تغيير</w:t>
            </w:r>
          </w:p>
        </w:tc>
      </w:tr>
      <w:tr w:rsidR="00D74347" w:rsidRPr="004C1C87" w14:paraId="475E4DDD" w14:textId="77777777" w:rsidTr="00772187">
        <w:tc>
          <w:tcPr>
            <w:tcW w:w="228" w:type="pct"/>
          </w:tcPr>
          <w:p w14:paraId="08C7137C" w14:textId="77777777" w:rsidR="00D74347" w:rsidRPr="004C1C87" w:rsidRDefault="00D74347" w:rsidP="005F773B">
            <w:pPr>
              <w:keepLines/>
              <w:bidi/>
              <w:spacing w:before="60" w:after="60"/>
              <w:rPr>
                <w:rFonts w:ascii="Arial" w:hAnsi="Arial"/>
                <w:sz w:val="22"/>
                <w:szCs w:val="22"/>
                <w:rtl/>
              </w:rPr>
            </w:pPr>
            <w:r w:rsidRPr="004C1C87">
              <w:rPr>
                <w:rFonts w:ascii="Arial" w:hAnsi="Arial"/>
                <w:sz w:val="22"/>
                <w:szCs w:val="22"/>
                <w:rtl/>
              </w:rPr>
              <w:t>169.</w:t>
            </w:r>
          </w:p>
        </w:tc>
        <w:tc>
          <w:tcPr>
            <w:tcW w:w="2291" w:type="pct"/>
          </w:tcPr>
          <w:p w14:paraId="58432B53" w14:textId="49FA5F24"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 xml:space="preserve">تقدم الدول غير الأطراف هذه التقارير إلى اللجنة، بحلول 15 كانون الأول/ديسمبر 2014، ثم تقدم التقارير بعد ذلك كل ست سنوات. يجوز على كلّ دولة معنية إكمال النموذج </w:t>
            </w:r>
            <w:r w:rsidRPr="004C1C87">
              <w:rPr>
                <w:rFonts w:ascii="Arial" w:hAnsi="Arial"/>
                <w:sz w:val="22"/>
                <w:szCs w:val="22"/>
              </w:rPr>
              <w:t>ICH-10</w:t>
            </w:r>
            <w:r w:rsidRPr="004C1C87">
              <w:rPr>
                <w:rFonts w:ascii="Arial" w:hAnsi="Arial"/>
                <w:sz w:val="22"/>
                <w:szCs w:val="22"/>
                <w:rtl/>
              </w:rPr>
              <w:t xml:space="preserve"> ويمكن إكماله على الانترنت (</w:t>
            </w:r>
            <w:hyperlink r:id="rId46" w:history="1">
              <w:r w:rsidRPr="004C1C87">
                <w:rPr>
                  <w:rStyle w:val="Hyperlink"/>
                  <w:rFonts w:ascii="Arial" w:hAnsi="Arial"/>
                  <w:b/>
                  <w:sz w:val="22"/>
                </w:rPr>
                <w:t>https://ich.unesco.org</w:t>
              </w:r>
            </w:hyperlink>
            <w:r w:rsidRPr="004C1C87">
              <w:rPr>
                <w:rFonts w:ascii="Arial" w:hAnsi="Arial"/>
                <w:sz w:val="22"/>
                <w:szCs w:val="22"/>
                <w:rtl/>
              </w:rPr>
              <w:t>) وتقوم الأمانة بمراجعته بصورة دورية.</w:t>
            </w:r>
          </w:p>
        </w:tc>
        <w:tc>
          <w:tcPr>
            <w:tcW w:w="274" w:type="pct"/>
          </w:tcPr>
          <w:p w14:paraId="23E20099" w14:textId="77777777"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169.</w:t>
            </w:r>
          </w:p>
        </w:tc>
        <w:tc>
          <w:tcPr>
            <w:tcW w:w="2207" w:type="pct"/>
            <w:shd w:val="clear" w:color="auto" w:fill="DBE5F1" w:themeFill="accent1" w:themeFillTint="33"/>
          </w:tcPr>
          <w:p w14:paraId="303DA135" w14:textId="746BA9A9" w:rsidR="00D74347" w:rsidRPr="004C1C87" w:rsidRDefault="00D74347" w:rsidP="005F773B">
            <w:pPr>
              <w:keepLines/>
              <w:bidi/>
              <w:spacing w:before="60" w:after="60"/>
              <w:jc w:val="both"/>
              <w:rPr>
                <w:rFonts w:ascii="Arial" w:hAnsi="Arial"/>
                <w:sz w:val="22"/>
                <w:szCs w:val="22"/>
                <w:rtl/>
              </w:rPr>
            </w:pPr>
            <w:r w:rsidRPr="004C1C87">
              <w:rPr>
                <w:rFonts w:ascii="Arial" w:hAnsi="Arial"/>
                <w:sz w:val="22"/>
                <w:szCs w:val="22"/>
                <w:rtl/>
              </w:rPr>
              <w:t xml:space="preserve">تقدم الدول غير الأطراف هذه التقارير إلى اللجنة، بحلول </w:t>
            </w:r>
            <w:r w:rsidRPr="004C1C87">
              <w:rPr>
                <w:rFonts w:ascii="Arial" w:hAnsi="Arial"/>
                <w:strike/>
                <w:sz w:val="22"/>
                <w:szCs w:val="22"/>
                <w:rtl/>
              </w:rPr>
              <w:t>15 كانون الأول/ديسمبر 2014، وكل ست سنوات بعد ذلك</w:t>
            </w:r>
            <w:r w:rsidRPr="004C1C87">
              <w:rPr>
                <w:rFonts w:ascii="Arial" w:hAnsi="Arial"/>
                <w:b/>
                <w:bCs/>
                <w:sz w:val="22"/>
                <w:szCs w:val="22"/>
                <w:u w:val="single"/>
                <w:rtl/>
              </w:rPr>
              <w:t xml:space="preserve"> 30 حزيران/يونيو كل أربع سنوات على أساس جدول زمني تحدده اللجنة.</w:t>
            </w:r>
            <w:r w:rsidRPr="004C1C87">
              <w:rPr>
                <w:rFonts w:ascii="Arial" w:hAnsi="Arial"/>
                <w:sz w:val="22"/>
                <w:szCs w:val="22"/>
                <w:rtl/>
              </w:rPr>
              <w:t xml:space="preserve"> يجوز على كلّ دولة معنية إكمال النموذج </w:t>
            </w:r>
            <w:r w:rsidRPr="004C1C87">
              <w:rPr>
                <w:rFonts w:ascii="Arial" w:hAnsi="Arial"/>
                <w:sz w:val="22"/>
                <w:szCs w:val="22"/>
              </w:rPr>
              <w:t>ICH-10</w:t>
            </w:r>
            <w:r w:rsidRPr="004C1C87">
              <w:rPr>
                <w:rFonts w:ascii="Arial" w:hAnsi="Arial"/>
                <w:sz w:val="22"/>
                <w:szCs w:val="22"/>
                <w:rtl/>
              </w:rPr>
              <w:t xml:space="preserve"> ويمكن إكماله على الانترنت (</w:t>
            </w:r>
            <w:hyperlink r:id="rId47" w:history="1">
              <w:r w:rsidRPr="004C1C87">
                <w:rPr>
                  <w:rStyle w:val="Hyperlink"/>
                  <w:rFonts w:ascii="Arial" w:hAnsi="Arial"/>
                  <w:b/>
                  <w:sz w:val="22"/>
                </w:rPr>
                <w:t>https://ich.unesco.org</w:t>
              </w:r>
            </w:hyperlink>
            <w:r w:rsidRPr="004C1C87">
              <w:rPr>
                <w:rFonts w:ascii="Arial" w:hAnsi="Arial"/>
                <w:sz w:val="22"/>
                <w:szCs w:val="22"/>
                <w:rtl/>
              </w:rPr>
              <w:t>) وتقوم الأمانة بمراجعته بصورة دورية.</w:t>
            </w:r>
          </w:p>
        </w:tc>
      </w:tr>
    </w:tbl>
    <w:p w14:paraId="07DDE870" w14:textId="77777777" w:rsidR="00D74347" w:rsidRPr="004C1C87" w:rsidRDefault="00D74347">
      <w:pPr>
        <w:rPr>
          <w:rFonts w:ascii="Arial" w:hAnsi="Arial"/>
        </w:rPr>
      </w:pPr>
    </w:p>
    <w:p w14:paraId="056D515D" w14:textId="77777777" w:rsidR="005B1129" w:rsidRPr="004C1C87" w:rsidRDefault="005B1129" w:rsidP="007A5EBF">
      <w:pPr>
        <w:pStyle w:val="Heading4"/>
        <w:numPr>
          <w:ilvl w:val="0"/>
          <w:numId w:val="0"/>
        </w:numPr>
        <w:bidi/>
        <w:spacing w:line="305" w:lineRule="auto"/>
        <w:rPr>
          <w:rFonts w:eastAsia="SimSun"/>
          <w:b w:val="0"/>
          <w:bCs w:val="0"/>
          <w:szCs w:val="22"/>
          <w:rtl/>
        </w:rPr>
      </w:pPr>
    </w:p>
    <w:sectPr w:rsidR="005B1129" w:rsidRPr="004C1C87" w:rsidSect="00723A27">
      <w:headerReference w:type="even" r:id="rId48"/>
      <w:headerReference w:type="default" r:id="rId49"/>
      <w:headerReference w:type="first" r:id="rId50"/>
      <w:pgSz w:w="16838" w:h="11906" w:orient="landscape" w:code="9"/>
      <w:pgMar w:top="1134" w:right="1418" w:bottom="1134"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C6524" w14:textId="77777777" w:rsidR="00D72D01" w:rsidRDefault="00D72D01" w:rsidP="00655736">
      <w:r>
        <w:separator/>
      </w:r>
    </w:p>
  </w:endnote>
  <w:endnote w:type="continuationSeparator" w:id="0">
    <w:p w14:paraId="6CF812D2" w14:textId="77777777" w:rsidR="00D72D01" w:rsidRDefault="00D72D01"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DengXian">
    <w:panose1 w:val="02010600030101010101"/>
    <w:charset w:val="86"/>
    <w:family w:val="auto"/>
    <w:pitch w:val="variable"/>
    <w:sig w:usb0="A00002BF" w:usb1="38CF7CFA" w:usb2="00000016" w:usb3="00000000" w:csb0="0004000F" w:csb1="00000000"/>
  </w:font>
  <w:font w:name="Dotum">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2E68F" w14:textId="77777777" w:rsidR="00D72D01" w:rsidRDefault="00D72D01" w:rsidP="004C2941">
      <w:pPr>
        <w:bidi/>
      </w:pPr>
      <w:r>
        <w:separator/>
      </w:r>
    </w:p>
  </w:footnote>
  <w:footnote w:type="continuationSeparator" w:id="0">
    <w:p w14:paraId="2632C5D2" w14:textId="77777777" w:rsidR="00D72D01" w:rsidRDefault="00D72D01" w:rsidP="00655736">
      <w:r>
        <w:continuationSeparator/>
      </w:r>
    </w:p>
  </w:footnote>
  <w:footnote w:id="1">
    <w:p w14:paraId="02894421" w14:textId="0405D02A" w:rsidR="00DC7D3C" w:rsidRPr="004C1C87" w:rsidRDefault="00DC7D3C" w:rsidP="004C1C87">
      <w:pPr>
        <w:pStyle w:val="FootnoteText"/>
        <w:bidi/>
        <w:ind w:left="566" w:hanging="567"/>
        <w:rPr>
          <w:rFonts w:ascii="Arial" w:hAnsi="Arial"/>
          <w:sz w:val="18"/>
          <w:szCs w:val="18"/>
          <w:rtl/>
        </w:rPr>
      </w:pPr>
      <w:bookmarkStart w:id="1" w:name="_Hlk124351068"/>
      <w:r>
        <w:rPr>
          <w:rStyle w:val="FootnoteReference"/>
          <w:rFonts w:ascii="Arial" w:hAnsi="Arial"/>
          <w:sz w:val="18"/>
          <w:szCs w:val="18"/>
        </w:rPr>
        <w:footnoteRef/>
      </w:r>
      <w:r>
        <w:rPr>
          <w:rFonts w:ascii="Arial" w:hAnsi="Arial" w:hint="cs"/>
          <w:sz w:val="18"/>
          <w:szCs w:val="18"/>
          <w:rtl/>
        </w:rPr>
        <w:t xml:space="preserve"> </w:t>
      </w:r>
      <w:r w:rsidR="004C1C87">
        <w:rPr>
          <w:rFonts w:ascii="Arial" w:hAnsi="Arial"/>
          <w:sz w:val="18"/>
          <w:szCs w:val="18"/>
          <w:lang w:val="en-GB"/>
        </w:rPr>
        <w:tab/>
      </w:r>
      <w:r>
        <w:rPr>
          <w:rFonts w:ascii="Arial" w:hAnsi="Arial" w:hint="cs"/>
          <w:sz w:val="18"/>
          <w:szCs w:val="18"/>
          <w:rtl/>
        </w:rPr>
        <w:t xml:space="preserve">أمريكا اللاتينية والكاريبي (دورة عام 2021): 87.5%، أوروبا (دورة عام 2022): 100%، الدول العربية (دورة عام 2023): 100%، أفريقيا (دورة عام 2024): 100% وآسيا والمحيط الهادئ (دورة عام 2025): 90.4% - انظر الوثيقة </w:t>
      </w:r>
      <w:r w:rsidR="00BE2DB4" w:rsidRPr="00BE2DB4">
        <w:rPr>
          <w:rFonts w:ascii="Arial" w:hAnsi="Arial"/>
          <w:sz w:val="18"/>
          <w:szCs w:val="18"/>
        </w:rPr>
        <w:t>.</w:t>
      </w:r>
      <w:hyperlink r:id="rId1" w:history="1">
        <w:r w:rsidRPr="004C1C87">
          <w:rPr>
            <w:rStyle w:val="Hyperlink"/>
            <w:rFonts w:ascii="Arial" w:hAnsi="Arial"/>
          </w:rPr>
          <w:t>LHE/25/20.COM/6.c</w:t>
        </w:r>
      </w:hyperlink>
      <w:bookmarkEnd w:id="1"/>
    </w:p>
  </w:footnote>
  <w:footnote w:id="2">
    <w:p w14:paraId="778B18CA" w14:textId="6406696F" w:rsidR="00C92AB8" w:rsidRPr="00011933" w:rsidRDefault="00C92AB8" w:rsidP="004C1C87">
      <w:pPr>
        <w:pStyle w:val="FootnoteText"/>
        <w:bidi/>
        <w:ind w:left="566" w:hanging="567"/>
        <w:jc w:val="both"/>
        <w:rPr>
          <w:rFonts w:ascii="Arial" w:hAnsi="Arial"/>
          <w:sz w:val="18"/>
          <w:szCs w:val="18"/>
          <w:rtl/>
        </w:rPr>
      </w:pPr>
      <w:r w:rsidRPr="004C1C87">
        <w:rPr>
          <w:rStyle w:val="FootnoteReference"/>
          <w:rFonts w:ascii="Arial" w:hAnsi="Arial"/>
          <w:sz w:val="18"/>
          <w:szCs w:val="18"/>
        </w:rPr>
        <w:footnoteRef/>
      </w:r>
      <w:r w:rsidRPr="004C1C87">
        <w:rPr>
          <w:rFonts w:ascii="Arial" w:hAnsi="Arial"/>
          <w:rtl/>
        </w:rPr>
        <w:t xml:space="preserve"> </w:t>
      </w:r>
      <w:r w:rsidR="004C1C87" w:rsidRPr="004C1C87">
        <w:rPr>
          <w:rFonts w:ascii="Arial" w:hAnsi="Arial"/>
        </w:rPr>
        <w:tab/>
      </w:r>
      <w:r w:rsidRPr="004C1C87">
        <w:rPr>
          <w:rFonts w:ascii="Arial" w:hAnsi="Arial"/>
          <w:sz w:val="18"/>
          <w:szCs w:val="18"/>
          <w:rtl/>
        </w:rPr>
        <w:t>وفي الوقت الحالي، يقتصر هذا الأمر على دولة واحدة فقط، وهي الاتحاد الروسي</w:t>
      </w:r>
      <w:r>
        <w:rPr>
          <w:rFonts w:ascii="Arial" w:hAnsi="Arial" w:hint="cs"/>
          <w:sz w:val="18"/>
          <w:szCs w:val="18"/>
          <w:rtl/>
        </w:rPr>
        <w:t>، الذي كان يقدم تقاريره حتى الآن بناءً على دورة مدتها ست سنوات، وذلك حسب سنة إدراج روائعه الاثنتين في القائمة التمثيلية (2008). وبناءً عليه، سيُقدَّم التقريران المتوقع صدورهما بحلول 15 كانون الأول/ديسمبر 2026 في موعد جديد هو 30 حزيران/يونيو 2027 بدلاً من ذلك.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5BCFC150" w:rsidR="00D95C4C" w:rsidRPr="00C23A97" w:rsidRDefault="00C5776D" w:rsidP="00C5776D">
    <w:pPr>
      <w:pStyle w:val="Header"/>
      <w:bidi/>
      <w:rPr>
        <w:rFonts w:ascii="Arial" w:hAnsi="Arial"/>
        <w:rtl/>
      </w:rPr>
    </w:pPr>
    <w:r>
      <w:rPr>
        <w:rFonts w:ascii="Arial" w:hAnsi="Arial"/>
        <w:sz w:val="20"/>
        <w:szCs w:val="20"/>
      </w:rPr>
      <w:t>LHE/26/11.GA/7</w:t>
    </w:r>
    <w:r>
      <w:rPr>
        <w:rFonts w:ascii="Arial" w:hAnsi="Arial" w:hint="cs"/>
        <w:sz w:val="20"/>
        <w:szCs w:val="20"/>
        <w:rtl/>
      </w:rPr>
      <w:t xml:space="preserve"> – صفحة </w:t>
    </w:r>
    <w:r w:rsidR="00D95C4C" w:rsidRPr="00C23A97">
      <w:rPr>
        <w:rStyle w:val="PageNumber"/>
        <w:rFonts w:ascii="Arial" w:hAnsi="Arial" w:hint="cs"/>
        <w:sz w:val="20"/>
        <w:rtl/>
      </w:rPr>
      <w:fldChar w:fldCharType="begin"/>
    </w:r>
    <w:r>
      <w:rPr>
        <w:rtl/>
      </w:rPr>
      <w:instrText xml:space="preserve"> </w:instrText>
    </w:r>
    <w:r w:rsidR="00D95C4C" w:rsidRPr="00C23A97">
      <w:rPr>
        <w:rStyle w:val="PageNumber"/>
        <w:rFonts w:ascii="Arial" w:hAnsi="Arial" w:hint="cs"/>
        <w:sz w:val="20"/>
      </w:rPr>
      <w:instrText xml:space="preserve">PAGE </w:instrText>
    </w:r>
    <w:r w:rsidR="00D95C4C" w:rsidRPr="00C23A97">
      <w:rPr>
        <w:rStyle w:val="PageNumber"/>
        <w:rFonts w:ascii="Arial" w:hAnsi="Arial" w:hint="cs"/>
        <w:sz w:val="20"/>
        <w:rtl/>
      </w:rPr>
      <w:fldChar w:fldCharType="separate"/>
    </w:r>
    <w:r w:rsidR="007933DE">
      <w:rPr>
        <w:noProof/>
        <w:rtl/>
      </w:rPr>
      <w:t>6</w:t>
    </w:r>
    <w:r w:rsidR="00D95C4C" w:rsidRPr="00C23A97">
      <w:rPr>
        <w:rStyle w:val="PageNumber"/>
        <w:rFonts w:ascii="Arial" w:hAnsi="Arial" w:hint="cs"/>
        <w:sz w:val="20"/>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1B5DC208" w:rsidR="00D95C4C" w:rsidRPr="0063300C" w:rsidRDefault="00C5776D" w:rsidP="00C5776D">
    <w:pPr>
      <w:pStyle w:val="Header"/>
      <w:bidi/>
      <w:jc w:val="right"/>
      <w:rPr>
        <w:rFonts w:ascii="Arial" w:hAnsi="Arial"/>
        <w:rtl/>
      </w:rPr>
    </w:pPr>
    <w:r>
      <w:rPr>
        <w:rFonts w:ascii="Arial" w:hAnsi="Arial"/>
        <w:sz w:val="20"/>
        <w:szCs w:val="20"/>
      </w:rPr>
      <w:t>LHE/26/11.GA/7</w:t>
    </w:r>
    <w:r>
      <w:rPr>
        <w:rFonts w:ascii="Arial" w:hAnsi="Arial" w:hint="cs"/>
        <w:sz w:val="20"/>
        <w:szCs w:val="20"/>
        <w:rtl/>
      </w:rPr>
      <w:t xml:space="preserve"> – صفحة </w:t>
    </w:r>
    <w:r w:rsidR="004A34A0" w:rsidRPr="0063300C">
      <w:rPr>
        <w:rStyle w:val="PageNumber"/>
        <w:rFonts w:ascii="Arial" w:hAnsi="Arial" w:hint="cs"/>
        <w:sz w:val="20"/>
        <w:rtl/>
      </w:rPr>
      <w:fldChar w:fldCharType="begin"/>
    </w:r>
    <w:r>
      <w:rPr>
        <w:rtl/>
      </w:rPr>
      <w:instrText xml:space="preserve"> </w:instrText>
    </w:r>
    <w:r w:rsidR="004A34A0" w:rsidRPr="0063300C">
      <w:rPr>
        <w:rStyle w:val="PageNumber"/>
        <w:rFonts w:ascii="Arial" w:hAnsi="Arial" w:hint="cs"/>
        <w:sz w:val="20"/>
      </w:rPr>
      <w:instrText xml:space="preserve">PAGE </w:instrText>
    </w:r>
    <w:r w:rsidR="004A34A0" w:rsidRPr="0063300C">
      <w:rPr>
        <w:rStyle w:val="PageNumber"/>
        <w:rFonts w:ascii="Arial" w:hAnsi="Arial" w:hint="cs"/>
        <w:sz w:val="20"/>
        <w:rtl/>
      </w:rPr>
      <w:fldChar w:fldCharType="separate"/>
    </w:r>
    <w:r w:rsidR="007933DE">
      <w:rPr>
        <w:noProof/>
        <w:rtl/>
      </w:rPr>
      <w:t>7</w:t>
    </w:r>
    <w:r w:rsidR="004A34A0" w:rsidRPr="0063300C">
      <w:rPr>
        <w:rStyle w:val="PageNumber"/>
        <w:rFonts w:ascii="Arial" w:hAnsi="Arial" w:hint="cs"/>
        <w:sz w:val="20"/>
        <w:rt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1F3E5645" w:rsidR="00D95C4C" w:rsidRPr="00E95AE2" w:rsidRDefault="00736C63">
    <w:pPr>
      <w:pStyle w:val="Header"/>
      <w:bidi/>
      <w:rPr>
        <w:sz w:val="22"/>
        <w:szCs w:val="22"/>
        <w:rtl/>
      </w:rPr>
    </w:pPr>
    <w:r>
      <w:rPr>
        <w:noProof/>
        <w:lang w:val="en-US" w:eastAsia="ja-JP"/>
      </w:rPr>
      <w:drawing>
        <wp:anchor distT="0" distB="0" distL="114300" distR="114300" simplePos="0" relativeHeight="251659264" behindDoc="0" locked="0" layoutInCell="1" allowOverlap="1" wp14:anchorId="3580610B" wp14:editId="6E8EAF6A">
          <wp:simplePos x="0" y="0"/>
          <wp:positionH relativeFrom="margin">
            <wp:posOffset>4273550</wp:posOffset>
          </wp:positionH>
          <wp:positionV relativeFrom="paragraph">
            <wp:posOffset>3175</wp:posOffset>
          </wp:positionV>
          <wp:extent cx="1842770" cy="1439545"/>
          <wp:effectExtent l="0" t="0" r="5080" b="8255"/>
          <wp:wrapSquare wrapText="bothSides"/>
          <wp:docPr id="2052832974" name="Image 2052832974"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000725" name="Image 1463000725"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57B917" w14:textId="39DB42F9" w:rsidR="00D95C4C" w:rsidRPr="00D7105A" w:rsidRDefault="00736C63" w:rsidP="00C5776D">
    <w:pPr>
      <w:pStyle w:val="Header"/>
      <w:bidi/>
      <w:spacing w:after="520"/>
      <w:jc w:val="right"/>
      <w:rPr>
        <w:rFonts w:ascii="Arial" w:hAnsi="Arial"/>
        <w:b/>
        <w:sz w:val="44"/>
        <w:szCs w:val="44"/>
        <w:rtl/>
      </w:rPr>
    </w:pPr>
    <w:r>
      <w:rPr>
        <w:rFonts w:ascii="Arial" w:hAnsi="Arial"/>
        <w:b/>
        <w:sz w:val="44"/>
        <w:szCs w:val="44"/>
        <w:lang w:val="pt-PT"/>
      </w:rPr>
      <w:t>11</w:t>
    </w:r>
    <w:r w:rsidRPr="00D7105A">
      <w:rPr>
        <w:rFonts w:ascii="Arial" w:hAnsi="Arial"/>
        <w:b/>
        <w:sz w:val="44"/>
        <w:szCs w:val="44"/>
        <w:lang w:val="pt-PT"/>
      </w:rPr>
      <w:t xml:space="preserve"> </w:t>
    </w:r>
    <w:r>
      <w:rPr>
        <w:rFonts w:ascii="Arial" w:hAnsi="Arial"/>
        <w:b/>
        <w:sz w:val="44"/>
        <w:szCs w:val="44"/>
        <w:lang w:val="pt-PT"/>
      </w:rPr>
      <w:t>GA</w:t>
    </w:r>
  </w:p>
  <w:p w14:paraId="306484B8" w14:textId="1F1B681D" w:rsidR="00D95C4C" w:rsidRPr="00D7105A" w:rsidRDefault="00C5776D" w:rsidP="00C5776D">
    <w:pPr>
      <w:bidi/>
      <w:jc w:val="right"/>
      <w:rPr>
        <w:rFonts w:ascii="Arial" w:hAnsi="Arial"/>
        <w:b/>
        <w:sz w:val="22"/>
        <w:szCs w:val="22"/>
        <w:rtl/>
      </w:rPr>
    </w:pPr>
    <w:r>
      <w:rPr>
        <w:rFonts w:ascii="Arial" w:hAnsi="Arial"/>
        <w:b/>
        <w:bCs/>
        <w:sz w:val="22"/>
        <w:szCs w:val="22"/>
      </w:rPr>
      <w:t>LHE/26/11.GA/7</w:t>
    </w:r>
  </w:p>
  <w:p w14:paraId="1B4446C3" w14:textId="2B05BC31" w:rsidR="00D95C4C" w:rsidRPr="00D7105A" w:rsidRDefault="00D95C4C" w:rsidP="00655736">
    <w:pPr>
      <w:bidi/>
      <w:jc w:val="right"/>
      <w:rPr>
        <w:rFonts w:ascii="Arial" w:eastAsiaTheme="minorEastAsia" w:hAnsi="Arial"/>
        <w:b/>
        <w:sz w:val="22"/>
        <w:szCs w:val="22"/>
        <w:rtl/>
      </w:rPr>
    </w:pPr>
    <w:r>
      <w:rPr>
        <w:rFonts w:ascii="Arial" w:hAnsi="Arial" w:hint="cs"/>
        <w:b/>
        <w:bCs/>
        <w:sz w:val="22"/>
        <w:szCs w:val="22"/>
        <w:rtl/>
      </w:rPr>
      <w:t>باريس، 18 أيار/مايو 2026</w:t>
    </w:r>
  </w:p>
  <w:p w14:paraId="255B57FF" w14:textId="7A9F60F1" w:rsidR="00D95C4C" w:rsidRPr="00F32C23" w:rsidRDefault="00D95C4C" w:rsidP="00962034">
    <w:pPr>
      <w:bidi/>
      <w:spacing w:after="120"/>
      <w:jc w:val="right"/>
      <w:rPr>
        <w:rFonts w:ascii="Arial" w:hAnsi="Arial"/>
        <w:b/>
        <w:sz w:val="22"/>
        <w:szCs w:val="22"/>
        <w:rtl/>
      </w:rPr>
    </w:pPr>
    <w:r>
      <w:rPr>
        <w:rFonts w:ascii="Arial" w:hAnsi="Arial" w:hint="cs"/>
        <w:b/>
        <w:bCs/>
        <w:sz w:val="22"/>
        <w:szCs w:val="22"/>
        <w:rtl/>
      </w:rPr>
      <w:t>الأصل: إنجليزي</w:t>
    </w:r>
  </w:p>
  <w:p w14:paraId="3C4B8B1B" w14:textId="77777777" w:rsidR="00D95C4C" w:rsidRPr="00E95AE2" w:rsidRDefault="00D95C4C">
    <w:pPr>
      <w:pStyle w:val="Header"/>
      <w:rPr>
        <w:sz w:val="22"/>
        <w:szCs w:val="22"/>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DAB28" w14:textId="77777777" w:rsidR="00723A27" w:rsidRPr="00C23A97" w:rsidRDefault="00723A27" w:rsidP="00C5776D">
    <w:pPr>
      <w:pStyle w:val="Header"/>
      <w:bidi/>
      <w:rPr>
        <w:rFonts w:ascii="Arial" w:hAnsi="Arial"/>
        <w:rtl/>
      </w:rPr>
    </w:pPr>
    <w:r>
      <w:rPr>
        <w:rFonts w:ascii="Arial" w:hAnsi="Arial"/>
        <w:sz w:val="20"/>
        <w:szCs w:val="20"/>
      </w:rPr>
      <w:t>LHE/26/11.GA/7</w:t>
    </w:r>
    <w:r>
      <w:rPr>
        <w:rFonts w:ascii="Arial" w:hAnsi="Arial" w:hint="cs"/>
        <w:sz w:val="20"/>
        <w:szCs w:val="20"/>
        <w:rtl/>
      </w:rPr>
      <w:t xml:space="preserve"> – صفحة </w:t>
    </w:r>
    <w:r w:rsidRPr="00C23A97">
      <w:rPr>
        <w:rStyle w:val="PageNumber"/>
        <w:rFonts w:ascii="Arial" w:hAnsi="Arial" w:hint="cs"/>
        <w:sz w:val="20"/>
        <w:rtl/>
      </w:rPr>
      <w:fldChar w:fldCharType="begin"/>
    </w:r>
    <w:r>
      <w:rPr>
        <w:rtl/>
      </w:rPr>
      <w:instrText xml:space="preserve"> </w:instrText>
    </w:r>
    <w:r w:rsidRPr="00C23A97">
      <w:rPr>
        <w:rStyle w:val="PageNumber"/>
        <w:rFonts w:ascii="Arial" w:hAnsi="Arial" w:hint="cs"/>
        <w:sz w:val="20"/>
      </w:rPr>
      <w:instrText xml:space="preserve">PAGE </w:instrText>
    </w:r>
    <w:r w:rsidRPr="00C23A97">
      <w:rPr>
        <w:rStyle w:val="PageNumber"/>
        <w:rFonts w:ascii="Arial" w:hAnsi="Arial" w:hint="cs"/>
        <w:sz w:val="20"/>
        <w:rtl/>
      </w:rPr>
      <w:fldChar w:fldCharType="separate"/>
    </w:r>
    <w:r>
      <w:rPr>
        <w:noProof/>
        <w:rtl/>
      </w:rPr>
      <w:t>8</w:t>
    </w:r>
    <w:r w:rsidRPr="00C23A97">
      <w:rPr>
        <w:rStyle w:val="PageNumber"/>
        <w:rFonts w:ascii="Arial" w:hAnsi="Arial" w:hint="cs"/>
        <w:sz w:val="20"/>
        <w:rtl/>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15CE" w14:textId="77777777" w:rsidR="00723A27" w:rsidRPr="0063300C" w:rsidRDefault="00723A27" w:rsidP="00C5776D">
    <w:pPr>
      <w:pStyle w:val="Header"/>
      <w:bidi/>
      <w:jc w:val="right"/>
      <w:rPr>
        <w:rFonts w:ascii="Arial" w:hAnsi="Arial"/>
        <w:rtl/>
      </w:rPr>
    </w:pPr>
    <w:r>
      <w:rPr>
        <w:rFonts w:ascii="Arial" w:hAnsi="Arial"/>
        <w:sz w:val="20"/>
        <w:szCs w:val="20"/>
      </w:rPr>
      <w:t>LHE/26/11.GA/7</w:t>
    </w:r>
    <w:r>
      <w:rPr>
        <w:rFonts w:ascii="Arial" w:hAnsi="Arial" w:hint="cs"/>
        <w:sz w:val="20"/>
        <w:szCs w:val="20"/>
        <w:rtl/>
      </w:rPr>
      <w:t xml:space="preserve"> – صفحة </w:t>
    </w:r>
    <w:r w:rsidRPr="0063300C">
      <w:rPr>
        <w:rStyle w:val="PageNumber"/>
        <w:rFonts w:ascii="Arial" w:hAnsi="Arial" w:hint="cs"/>
        <w:sz w:val="20"/>
        <w:rtl/>
      </w:rPr>
      <w:fldChar w:fldCharType="begin"/>
    </w:r>
    <w:r>
      <w:rPr>
        <w:rtl/>
      </w:rPr>
      <w:instrText xml:space="preserve"> </w:instrText>
    </w:r>
    <w:r w:rsidRPr="0063300C">
      <w:rPr>
        <w:rStyle w:val="PageNumber"/>
        <w:rFonts w:ascii="Arial" w:hAnsi="Arial" w:hint="cs"/>
        <w:sz w:val="20"/>
      </w:rPr>
      <w:instrText xml:space="preserve">PAGE </w:instrText>
    </w:r>
    <w:r w:rsidRPr="0063300C">
      <w:rPr>
        <w:rStyle w:val="PageNumber"/>
        <w:rFonts w:ascii="Arial" w:hAnsi="Arial" w:hint="cs"/>
        <w:sz w:val="20"/>
        <w:rtl/>
      </w:rPr>
      <w:fldChar w:fldCharType="separate"/>
    </w:r>
    <w:r>
      <w:rPr>
        <w:noProof/>
        <w:rtl/>
      </w:rPr>
      <w:t>3</w:t>
    </w:r>
    <w:r w:rsidRPr="0063300C">
      <w:rPr>
        <w:rStyle w:val="PageNumber"/>
        <w:rFonts w:ascii="Arial" w:hAnsi="Arial" w:hint="cs"/>
        <w:sz w:val="20"/>
        <w:rtl/>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3281" w14:textId="77777777" w:rsidR="00723A27" w:rsidRPr="00E95AE2" w:rsidRDefault="00723A27">
    <w:pPr>
      <w:pStyle w:val="Header"/>
      <w:rPr>
        <w:sz w:val="22"/>
        <w:szCs w:val="22"/>
        <w:lang w:val="en-GB"/>
      </w:rPr>
    </w:pPr>
  </w:p>
  <w:p w14:paraId="24BE3DF4" w14:textId="77777777" w:rsidR="00723A27" w:rsidRPr="00E95AE2" w:rsidRDefault="00723A27">
    <w:pPr>
      <w:pStyle w:val="Header"/>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481"/>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1" w15:restartNumberingAfterBreak="0">
    <w:nsid w:val="08351306"/>
    <w:multiLevelType w:val="hybridMultilevel"/>
    <w:tmpl w:val="21E6CB8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C166C6B"/>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6"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F1C047D"/>
    <w:multiLevelType w:val="hybridMultilevel"/>
    <w:tmpl w:val="B34C039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28013DF"/>
    <w:multiLevelType w:val="hybridMultilevel"/>
    <w:tmpl w:val="24927BE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5F07BFE"/>
    <w:multiLevelType w:val="hybridMultilevel"/>
    <w:tmpl w:val="59CC8118"/>
    <w:lvl w:ilvl="0" w:tplc="D55CD000">
      <w:start w:val="1"/>
      <w:numFmt w:val="decimal"/>
      <w:pStyle w:val="COMPara"/>
      <w:lvlText w:val="%1."/>
      <w:lvlJc w:val="left"/>
      <w:pPr>
        <w:ind w:left="720" w:hanging="360"/>
      </w:pPr>
      <w:rPr>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395B111E"/>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B2C379B"/>
    <w:multiLevelType w:val="hybridMultilevel"/>
    <w:tmpl w:val="E7426B1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3BB43821"/>
    <w:multiLevelType w:val="hybridMultilevel"/>
    <w:tmpl w:val="35CE79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614154"/>
    <w:multiLevelType w:val="hybridMultilevel"/>
    <w:tmpl w:val="DEBC8C1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41422FCB"/>
    <w:multiLevelType w:val="hybridMultilevel"/>
    <w:tmpl w:val="7B3E8C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2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1" w15:restartNumberingAfterBreak="0">
    <w:nsid w:val="47C22FB2"/>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22" w15:restartNumberingAfterBreak="0">
    <w:nsid w:val="4A5854D7"/>
    <w:multiLevelType w:val="hybridMultilevel"/>
    <w:tmpl w:val="7B3E8CD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CD5C83"/>
    <w:multiLevelType w:val="hybridMultilevel"/>
    <w:tmpl w:val="5656B752"/>
    <w:lvl w:ilvl="0" w:tplc="EAB81FC6">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4C13D09"/>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431ADA"/>
    <w:multiLevelType w:val="hybridMultilevel"/>
    <w:tmpl w:val="601A2D6C"/>
    <w:lvl w:ilvl="0" w:tplc="04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7" w15:restartNumberingAfterBreak="0">
    <w:nsid w:val="65844D09"/>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1F87C04"/>
    <w:multiLevelType w:val="hybridMultilevel"/>
    <w:tmpl w:val="EDBE55F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0" w15:restartNumberingAfterBreak="0">
    <w:nsid w:val="72655861"/>
    <w:multiLevelType w:val="hybridMultilevel"/>
    <w:tmpl w:val="A236807A"/>
    <w:lvl w:ilvl="0" w:tplc="5B146A64">
      <w:start w:val="1"/>
      <w:numFmt w:val="lowerRoman"/>
      <w:pStyle w:val="i"/>
      <w:lvlText w:val="(%1)"/>
      <w:lvlJc w:val="left"/>
      <w:pPr>
        <w:ind w:left="1147" w:hanging="360"/>
      </w:pPr>
      <w:rPr>
        <w:rFonts w:cs="Times New Roman" w:hint="default"/>
      </w:rPr>
    </w:lvl>
    <w:lvl w:ilvl="1" w:tplc="040C0019" w:tentative="1">
      <w:start w:val="1"/>
      <w:numFmt w:val="lowerLetter"/>
      <w:lvlText w:val="%2."/>
      <w:lvlJc w:val="left"/>
      <w:pPr>
        <w:ind w:left="1867" w:hanging="360"/>
      </w:pPr>
      <w:rPr>
        <w:rFonts w:cs="Times New Roman"/>
      </w:rPr>
    </w:lvl>
    <w:lvl w:ilvl="2" w:tplc="040C001B" w:tentative="1">
      <w:start w:val="1"/>
      <w:numFmt w:val="lowerRoman"/>
      <w:lvlText w:val="%3."/>
      <w:lvlJc w:val="right"/>
      <w:pPr>
        <w:ind w:left="2587" w:hanging="180"/>
      </w:pPr>
      <w:rPr>
        <w:rFonts w:cs="Times New Roman"/>
      </w:rPr>
    </w:lvl>
    <w:lvl w:ilvl="3" w:tplc="040C000F" w:tentative="1">
      <w:start w:val="1"/>
      <w:numFmt w:val="decimal"/>
      <w:lvlText w:val="%4."/>
      <w:lvlJc w:val="left"/>
      <w:pPr>
        <w:ind w:left="3307" w:hanging="360"/>
      </w:pPr>
      <w:rPr>
        <w:rFonts w:cs="Times New Roman"/>
      </w:rPr>
    </w:lvl>
    <w:lvl w:ilvl="4" w:tplc="040C0019" w:tentative="1">
      <w:start w:val="1"/>
      <w:numFmt w:val="lowerLetter"/>
      <w:lvlText w:val="%5."/>
      <w:lvlJc w:val="left"/>
      <w:pPr>
        <w:ind w:left="4027" w:hanging="360"/>
      </w:pPr>
      <w:rPr>
        <w:rFonts w:cs="Times New Roman"/>
      </w:rPr>
    </w:lvl>
    <w:lvl w:ilvl="5" w:tplc="040C001B" w:tentative="1">
      <w:start w:val="1"/>
      <w:numFmt w:val="lowerRoman"/>
      <w:lvlText w:val="%6."/>
      <w:lvlJc w:val="right"/>
      <w:pPr>
        <w:ind w:left="4747" w:hanging="180"/>
      </w:pPr>
      <w:rPr>
        <w:rFonts w:cs="Times New Roman"/>
      </w:rPr>
    </w:lvl>
    <w:lvl w:ilvl="6" w:tplc="040C000F" w:tentative="1">
      <w:start w:val="1"/>
      <w:numFmt w:val="decimal"/>
      <w:lvlText w:val="%7."/>
      <w:lvlJc w:val="left"/>
      <w:pPr>
        <w:ind w:left="5467" w:hanging="360"/>
      </w:pPr>
      <w:rPr>
        <w:rFonts w:cs="Times New Roman"/>
      </w:rPr>
    </w:lvl>
    <w:lvl w:ilvl="7" w:tplc="040C0019" w:tentative="1">
      <w:start w:val="1"/>
      <w:numFmt w:val="lowerLetter"/>
      <w:lvlText w:val="%8."/>
      <w:lvlJc w:val="left"/>
      <w:pPr>
        <w:ind w:left="6187" w:hanging="360"/>
      </w:pPr>
      <w:rPr>
        <w:rFonts w:cs="Times New Roman"/>
      </w:rPr>
    </w:lvl>
    <w:lvl w:ilvl="8" w:tplc="040C001B" w:tentative="1">
      <w:start w:val="1"/>
      <w:numFmt w:val="lowerRoman"/>
      <w:lvlText w:val="%9."/>
      <w:lvlJc w:val="right"/>
      <w:pPr>
        <w:ind w:left="6907" w:hanging="180"/>
      </w:pPr>
      <w:rPr>
        <w:rFonts w:cs="Times New Roman"/>
      </w:rPr>
    </w:lvl>
  </w:abstractNum>
  <w:abstractNum w:abstractNumId="31"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3" w15:restartNumberingAfterBreak="0">
    <w:nsid w:val="7E26587C"/>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num w:numId="1" w16cid:durableId="1645547312">
    <w:abstractNumId w:val="26"/>
  </w:num>
  <w:num w:numId="2" w16cid:durableId="1010841189">
    <w:abstractNumId w:val="11"/>
  </w:num>
  <w:num w:numId="3" w16cid:durableId="219829529">
    <w:abstractNumId w:val="5"/>
  </w:num>
  <w:num w:numId="4" w16cid:durableId="791437231">
    <w:abstractNumId w:val="31"/>
  </w:num>
  <w:num w:numId="5" w16cid:durableId="493112354">
    <w:abstractNumId w:val="28"/>
  </w:num>
  <w:num w:numId="6" w16cid:durableId="145245822">
    <w:abstractNumId w:val="3"/>
  </w:num>
  <w:num w:numId="7" w16cid:durableId="864944203">
    <w:abstractNumId w:val="6"/>
  </w:num>
  <w:num w:numId="8" w16cid:durableId="1297376659">
    <w:abstractNumId w:val="20"/>
  </w:num>
  <w:num w:numId="9" w16cid:durableId="2046058927">
    <w:abstractNumId w:val="10"/>
  </w:num>
  <w:num w:numId="10" w16cid:durableId="630407247">
    <w:abstractNumId w:val="13"/>
  </w:num>
  <w:num w:numId="11" w16cid:durableId="1686588503">
    <w:abstractNumId w:val="19"/>
  </w:num>
  <w:num w:numId="12" w16cid:durableId="1297638459">
    <w:abstractNumId w:val="14"/>
  </w:num>
  <w:num w:numId="13" w16cid:durableId="282805649">
    <w:abstractNumId w:val="32"/>
  </w:num>
  <w:num w:numId="14" w16cid:durableId="946086600">
    <w:abstractNumId w:val="8"/>
  </w:num>
  <w:num w:numId="15" w16cid:durableId="497234563">
    <w:abstractNumId w:val="10"/>
  </w:num>
  <w:num w:numId="16" w16cid:durableId="1463884693">
    <w:abstractNumId w:val="10"/>
  </w:num>
  <w:num w:numId="17" w16cid:durableId="967665903">
    <w:abstractNumId w:val="10"/>
  </w:num>
  <w:num w:numId="18" w16cid:durableId="746078745">
    <w:abstractNumId w:val="10"/>
  </w:num>
  <w:num w:numId="19" w16cid:durableId="791753274">
    <w:abstractNumId w:val="10"/>
  </w:num>
  <w:num w:numId="20" w16cid:durableId="1646739430">
    <w:abstractNumId w:val="10"/>
  </w:num>
  <w:num w:numId="21" w16cid:durableId="17898218">
    <w:abstractNumId w:val="4"/>
  </w:num>
  <w:num w:numId="22" w16cid:durableId="69088534">
    <w:abstractNumId w:val="10"/>
  </w:num>
  <w:num w:numId="23" w16cid:durableId="1605066830">
    <w:abstractNumId w:val="18"/>
  </w:num>
  <w:num w:numId="24" w16cid:durableId="1721394105">
    <w:abstractNumId w:val="27"/>
  </w:num>
  <w:num w:numId="25" w16cid:durableId="2123303909">
    <w:abstractNumId w:val="33"/>
  </w:num>
  <w:num w:numId="26" w16cid:durableId="1997609509">
    <w:abstractNumId w:val="21"/>
  </w:num>
  <w:num w:numId="27" w16cid:durableId="1680884518">
    <w:abstractNumId w:val="30"/>
  </w:num>
  <w:num w:numId="28" w16cid:durableId="799423603">
    <w:abstractNumId w:val="0"/>
  </w:num>
  <w:num w:numId="29" w16cid:durableId="1365666454">
    <w:abstractNumId w:val="12"/>
  </w:num>
  <w:num w:numId="30" w16cid:durableId="675965730">
    <w:abstractNumId w:val="24"/>
  </w:num>
  <w:num w:numId="31" w16cid:durableId="591470556">
    <w:abstractNumId w:val="2"/>
  </w:num>
  <w:num w:numId="32" w16cid:durableId="388114650">
    <w:abstractNumId w:val="22"/>
  </w:num>
  <w:num w:numId="33" w16cid:durableId="1121192649">
    <w:abstractNumId w:val="1"/>
  </w:num>
  <w:num w:numId="34" w16cid:durableId="391393027">
    <w:abstractNumId w:val="17"/>
  </w:num>
  <w:num w:numId="35" w16cid:durableId="1825855465">
    <w:abstractNumId w:val="9"/>
  </w:num>
  <w:num w:numId="36" w16cid:durableId="118913868">
    <w:abstractNumId w:val="10"/>
  </w:num>
  <w:num w:numId="37" w16cid:durableId="1013914905">
    <w:abstractNumId w:val="10"/>
  </w:num>
  <w:num w:numId="38" w16cid:durableId="1173256151">
    <w:abstractNumId w:val="29"/>
  </w:num>
  <w:num w:numId="39" w16cid:durableId="747074819">
    <w:abstractNumId w:val="7"/>
  </w:num>
  <w:num w:numId="40" w16cid:durableId="1484197480">
    <w:abstractNumId w:val="10"/>
  </w:num>
  <w:num w:numId="41" w16cid:durableId="615723269">
    <w:abstractNumId w:val="23"/>
  </w:num>
  <w:num w:numId="42" w16cid:durableId="1179471214">
    <w:abstractNumId w:val="10"/>
  </w:num>
  <w:num w:numId="43" w16cid:durableId="540476825">
    <w:abstractNumId w:val="15"/>
  </w:num>
  <w:num w:numId="44" w16cid:durableId="1392341472">
    <w:abstractNumId w:val="25"/>
  </w:num>
  <w:num w:numId="45" w16cid:durableId="1081022500">
    <w:abstractNumId w:val="16"/>
  </w:num>
  <w:num w:numId="46" w16cid:durableId="793061923">
    <w:abstractNumId w:val="10"/>
  </w:num>
  <w:num w:numId="47" w16cid:durableId="1445539358">
    <w:abstractNumId w:val="10"/>
  </w:num>
  <w:num w:numId="48" w16cid:durableId="1196769912">
    <w:abstractNumId w:val="10"/>
  </w:num>
  <w:num w:numId="49" w16cid:durableId="167064591">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542"/>
    <w:rsid w:val="000048ED"/>
    <w:rsid w:val="000114FD"/>
    <w:rsid w:val="00011933"/>
    <w:rsid w:val="00014915"/>
    <w:rsid w:val="000237EF"/>
    <w:rsid w:val="00025621"/>
    <w:rsid w:val="00027464"/>
    <w:rsid w:val="00037148"/>
    <w:rsid w:val="00041A66"/>
    <w:rsid w:val="00042D88"/>
    <w:rsid w:val="0004715D"/>
    <w:rsid w:val="0005039A"/>
    <w:rsid w:val="0005176E"/>
    <w:rsid w:val="000543BF"/>
    <w:rsid w:val="00056628"/>
    <w:rsid w:val="0006281D"/>
    <w:rsid w:val="00064F0B"/>
    <w:rsid w:val="000765F7"/>
    <w:rsid w:val="0007725F"/>
    <w:rsid w:val="000778CD"/>
    <w:rsid w:val="00077AB7"/>
    <w:rsid w:val="000810AF"/>
    <w:rsid w:val="00081CD8"/>
    <w:rsid w:val="00090551"/>
    <w:rsid w:val="000925FD"/>
    <w:rsid w:val="000971D1"/>
    <w:rsid w:val="000A3AB3"/>
    <w:rsid w:val="000A7117"/>
    <w:rsid w:val="000A7F0E"/>
    <w:rsid w:val="000B1C8F"/>
    <w:rsid w:val="000B47CF"/>
    <w:rsid w:val="000B5B8D"/>
    <w:rsid w:val="000C0D61"/>
    <w:rsid w:val="000D0F36"/>
    <w:rsid w:val="000D422C"/>
    <w:rsid w:val="000E3A54"/>
    <w:rsid w:val="000E5F46"/>
    <w:rsid w:val="000F1B71"/>
    <w:rsid w:val="000F3A3F"/>
    <w:rsid w:val="001021F2"/>
    <w:rsid w:val="00102557"/>
    <w:rsid w:val="00120A07"/>
    <w:rsid w:val="001237B3"/>
    <w:rsid w:val="00123D82"/>
    <w:rsid w:val="00123DEE"/>
    <w:rsid w:val="00126F31"/>
    <w:rsid w:val="001272BF"/>
    <w:rsid w:val="00147A38"/>
    <w:rsid w:val="00151B11"/>
    <w:rsid w:val="0015767D"/>
    <w:rsid w:val="001607BF"/>
    <w:rsid w:val="00163C55"/>
    <w:rsid w:val="00164D56"/>
    <w:rsid w:val="00167B10"/>
    <w:rsid w:val="0017402F"/>
    <w:rsid w:val="001767A8"/>
    <w:rsid w:val="00180959"/>
    <w:rsid w:val="001814CB"/>
    <w:rsid w:val="00181F74"/>
    <w:rsid w:val="001835D0"/>
    <w:rsid w:val="00184297"/>
    <w:rsid w:val="00190205"/>
    <w:rsid w:val="00192C2B"/>
    <w:rsid w:val="001948F2"/>
    <w:rsid w:val="0019526D"/>
    <w:rsid w:val="00196957"/>
    <w:rsid w:val="00196C1B"/>
    <w:rsid w:val="0019782B"/>
    <w:rsid w:val="001A46F8"/>
    <w:rsid w:val="001A6E18"/>
    <w:rsid w:val="001B0058"/>
    <w:rsid w:val="001B0403"/>
    <w:rsid w:val="001B0F73"/>
    <w:rsid w:val="001C2DB7"/>
    <w:rsid w:val="001C586F"/>
    <w:rsid w:val="001D07F1"/>
    <w:rsid w:val="001D1041"/>
    <w:rsid w:val="001D14FE"/>
    <w:rsid w:val="001D2D1A"/>
    <w:rsid w:val="001D5C04"/>
    <w:rsid w:val="001D5CB0"/>
    <w:rsid w:val="001E2AA0"/>
    <w:rsid w:val="001E7D4C"/>
    <w:rsid w:val="001F06FD"/>
    <w:rsid w:val="001F26CF"/>
    <w:rsid w:val="00200F20"/>
    <w:rsid w:val="00200FFE"/>
    <w:rsid w:val="00211C2C"/>
    <w:rsid w:val="0022052F"/>
    <w:rsid w:val="002228AF"/>
    <w:rsid w:val="00222A2D"/>
    <w:rsid w:val="00223029"/>
    <w:rsid w:val="00234745"/>
    <w:rsid w:val="002351A6"/>
    <w:rsid w:val="00235203"/>
    <w:rsid w:val="002407AF"/>
    <w:rsid w:val="00245501"/>
    <w:rsid w:val="00250EE1"/>
    <w:rsid w:val="00252FB5"/>
    <w:rsid w:val="00253F23"/>
    <w:rsid w:val="00254B26"/>
    <w:rsid w:val="0026085B"/>
    <w:rsid w:val="0026221A"/>
    <w:rsid w:val="0026340B"/>
    <w:rsid w:val="00263AAE"/>
    <w:rsid w:val="00263C49"/>
    <w:rsid w:val="00271ED9"/>
    <w:rsid w:val="0027466B"/>
    <w:rsid w:val="002814F6"/>
    <w:rsid w:val="002838A5"/>
    <w:rsid w:val="00285BB4"/>
    <w:rsid w:val="00291723"/>
    <w:rsid w:val="00296438"/>
    <w:rsid w:val="002A1169"/>
    <w:rsid w:val="002A7A0F"/>
    <w:rsid w:val="002B4422"/>
    <w:rsid w:val="002B5308"/>
    <w:rsid w:val="002C030B"/>
    <w:rsid w:val="002C09E3"/>
    <w:rsid w:val="002C6A2C"/>
    <w:rsid w:val="002D1244"/>
    <w:rsid w:val="002D4793"/>
    <w:rsid w:val="002D48D3"/>
    <w:rsid w:val="002E3493"/>
    <w:rsid w:val="002E6442"/>
    <w:rsid w:val="002F6998"/>
    <w:rsid w:val="00303888"/>
    <w:rsid w:val="00324115"/>
    <w:rsid w:val="0032618F"/>
    <w:rsid w:val="00334367"/>
    <w:rsid w:val="00337CEB"/>
    <w:rsid w:val="003409A9"/>
    <w:rsid w:val="00344473"/>
    <w:rsid w:val="00344844"/>
    <w:rsid w:val="00344B58"/>
    <w:rsid w:val="0034539A"/>
    <w:rsid w:val="00345CB4"/>
    <w:rsid w:val="00353A2A"/>
    <w:rsid w:val="00366D96"/>
    <w:rsid w:val="00370890"/>
    <w:rsid w:val="0037171B"/>
    <w:rsid w:val="00371F4E"/>
    <w:rsid w:val="00372A64"/>
    <w:rsid w:val="00375D42"/>
    <w:rsid w:val="00376B34"/>
    <w:rsid w:val="00382504"/>
    <w:rsid w:val="0038490E"/>
    <w:rsid w:val="00390AC3"/>
    <w:rsid w:val="003927AA"/>
    <w:rsid w:val="003A3310"/>
    <w:rsid w:val="003B0A16"/>
    <w:rsid w:val="003B7A37"/>
    <w:rsid w:val="003C25DB"/>
    <w:rsid w:val="003D069C"/>
    <w:rsid w:val="003D1145"/>
    <w:rsid w:val="003D7646"/>
    <w:rsid w:val="003D77C5"/>
    <w:rsid w:val="003F113A"/>
    <w:rsid w:val="003F3E63"/>
    <w:rsid w:val="003F50BC"/>
    <w:rsid w:val="003F5197"/>
    <w:rsid w:val="003F5DEF"/>
    <w:rsid w:val="00403A70"/>
    <w:rsid w:val="00407480"/>
    <w:rsid w:val="004124B2"/>
    <w:rsid w:val="00414643"/>
    <w:rsid w:val="00415E08"/>
    <w:rsid w:val="004176DE"/>
    <w:rsid w:val="00417DE5"/>
    <w:rsid w:val="00420CDD"/>
    <w:rsid w:val="00421077"/>
    <w:rsid w:val="00424B0B"/>
    <w:rsid w:val="004313C4"/>
    <w:rsid w:val="00431D77"/>
    <w:rsid w:val="0043659C"/>
    <w:rsid w:val="004421E5"/>
    <w:rsid w:val="00452284"/>
    <w:rsid w:val="00453D7E"/>
    <w:rsid w:val="00455810"/>
    <w:rsid w:val="00457C8E"/>
    <w:rsid w:val="00464F1E"/>
    <w:rsid w:val="0047198C"/>
    <w:rsid w:val="00475817"/>
    <w:rsid w:val="00480175"/>
    <w:rsid w:val="004856CA"/>
    <w:rsid w:val="00487E67"/>
    <w:rsid w:val="004906B7"/>
    <w:rsid w:val="004925D2"/>
    <w:rsid w:val="00494FAC"/>
    <w:rsid w:val="0049705E"/>
    <w:rsid w:val="004A266F"/>
    <w:rsid w:val="004A2875"/>
    <w:rsid w:val="004A34A0"/>
    <w:rsid w:val="004A67C0"/>
    <w:rsid w:val="004B18C7"/>
    <w:rsid w:val="004B7B8B"/>
    <w:rsid w:val="004C0F7F"/>
    <w:rsid w:val="004C1C87"/>
    <w:rsid w:val="004C2941"/>
    <w:rsid w:val="004C41CC"/>
    <w:rsid w:val="004C7C82"/>
    <w:rsid w:val="004E06C1"/>
    <w:rsid w:val="004E66F2"/>
    <w:rsid w:val="004E6E46"/>
    <w:rsid w:val="004F5CB4"/>
    <w:rsid w:val="005004C1"/>
    <w:rsid w:val="005008A8"/>
    <w:rsid w:val="00504B9E"/>
    <w:rsid w:val="00515050"/>
    <w:rsid w:val="00517FD8"/>
    <w:rsid w:val="005242C0"/>
    <w:rsid w:val="00526B7B"/>
    <w:rsid w:val="005274D2"/>
    <w:rsid w:val="00527BEE"/>
    <w:rsid w:val="005308CE"/>
    <w:rsid w:val="0053318C"/>
    <w:rsid w:val="00541F2A"/>
    <w:rsid w:val="00544C93"/>
    <w:rsid w:val="0054535F"/>
    <w:rsid w:val="005468A4"/>
    <w:rsid w:val="00554E57"/>
    <w:rsid w:val="00555102"/>
    <w:rsid w:val="00561114"/>
    <w:rsid w:val="00561904"/>
    <w:rsid w:val="005637B2"/>
    <w:rsid w:val="0057205D"/>
    <w:rsid w:val="0057439C"/>
    <w:rsid w:val="00585426"/>
    <w:rsid w:val="00590976"/>
    <w:rsid w:val="00590B83"/>
    <w:rsid w:val="005960FA"/>
    <w:rsid w:val="005967C3"/>
    <w:rsid w:val="005A604F"/>
    <w:rsid w:val="005B0127"/>
    <w:rsid w:val="005B1129"/>
    <w:rsid w:val="005B3355"/>
    <w:rsid w:val="005B7A35"/>
    <w:rsid w:val="005C26C4"/>
    <w:rsid w:val="005C4B73"/>
    <w:rsid w:val="005C5990"/>
    <w:rsid w:val="005C792B"/>
    <w:rsid w:val="005D28DA"/>
    <w:rsid w:val="005D39F8"/>
    <w:rsid w:val="005D7F98"/>
    <w:rsid w:val="005E1D2B"/>
    <w:rsid w:val="005E7074"/>
    <w:rsid w:val="005E77EC"/>
    <w:rsid w:val="005F0A7A"/>
    <w:rsid w:val="005F2BAF"/>
    <w:rsid w:val="005F773B"/>
    <w:rsid w:val="00600D93"/>
    <w:rsid w:val="00604A16"/>
    <w:rsid w:val="00605E76"/>
    <w:rsid w:val="0061099D"/>
    <w:rsid w:val="0061208E"/>
    <w:rsid w:val="0062122E"/>
    <w:rsid w:val="00622FA4"/>
    <w:rsid w:val="0062306D"/>
    <w:rsid w:val="00623E61"/>
    <w:rsid w:val="00626BEA"/>
    <w:rsid w:val="0063300C"/>
    <w:rsid w:val="006361C5"/>
    <w:rsid w:val="00651A5B"/>
    <w:rsid w:val="00655736"/>
    <w:rsid w:val="00663B8D"/>
    <w:rsid w:val="00666D10"/>
    <w:rsid w:val="0067233C"/>
    <w:rsid w:val="00676103"/>
    <w:rsid w:val="0068042E"/>
    <w:rsid w:val="0068488F"/>
    <w:rsid w:val="006848A5"/>
    <w:rsid w:val="00696C8D"/>
    <w:rsid w:val="006A2AC2"/>
    <w:rsid w:val="006A3617"/>
    <w:rsid w:val="006B4452"/>
    <w:rsid w:val="006C0BC3"/>
    <w:rsid w:val="006C25F5"/>
    <w:rsid w:val="006D6C7E"/>
    <w:rsid w:val="006E0A8B"/>
    <w:rsid w:val="006E46E4"/>
    <w:rsid w:val="006E75EB"/>
    <w:rsid w:val="007017D9"/>
    <w:rsid w:val="0070300B"/>
    <w:rsid w:val="007037AB"/>
    <w:rsid w:val="00717DA5"/>
    <w:rsid w:val="00722E2C"/>
    <w:rsid w:val="00723A27"/>
    <w:rsid w:val="007333D0"/>
    <w:rsid w:val="00736C63"/>
    <w:rsid w:val="00741520"/>
    <w:rsid w:val="0074387F"/>
    <w:rsid w:val="00744162"/>
    <w:rsid w:val="00744484"/>
    <w:rsid w:val="00747566"/>
    <w:rsid w:val="007558FF"/>
    <w:rsid w:val="0076778A"/>
    <w:rsid w:val="00773188"/>
    <w:rsid w:val="007775AC"/>
    <w:rsid w:val="007808C9"/>
    <w:rsid w:val="00783782"/>
    <w:rsid w:val="00784B8C"/>
    <w:rsid w:val="007879E1"/>
    <w:rsid w:val="007933DE"/>
    <w:rsid w:val="007942BB"/>
    <w:rsid w:val="007A5EBF"/>
    <w:rsid w:val="007B2943"/>
    <w:rsid w:val="007B6550"/>
    <w:rsid w:val="007C1C86"/>
    <w:rsid w:val="007C21A3"/>
    <w:rsid w:val="007E23CC"/>
    <w:rsid w:val="007E459F"/>
    <w:rsid w:val="007E57AA"/>
    <w:rsid w:val="007E59E7"/>
    <w:rsid w:val="007E68EC"/>
    <w:rsid w:val="00801558"/>
    <w:rsid w:val="00820971"/>
    <w:rsid w:val="0082337A"/>
    <w:rsid w:val="00823A11"/>
    <w:rsid w:val="00826C84"/>
    <w:rsid w:val="00827D41"/>
    <w:rsid w:val="008334F7"/>
    <w:rsid w:val="00833E50"/>
    <w:rsid w:val="00845AEF"/>
    <w:rsid w:val="008510B0"/>
    <w:rsid w:val="0085405E"/>
    <w:rsid w:val="0085414A"/>
    <w:rsid w:val="008542F2"/>
    <w:rsid w:val="00857565"/>
    <w:rsid w:val="00857EB9"/>
    <w:rsid w:val="0086269D"/>
    <w:rsid w:val="0086543A"/>
    <w:rsid w:val="00866DC7"/>
    <w:rsid w:val="00870AD7"/>
    <w:rsid w:val="00870C7F"/>
    <w:rsid w:val="008724E5"/>
    <w:rsid w:val="008765C9"/>
    <w:rsid w:val="00884A9D"/>
    <w:rsid w:val="0088512B"/>
    <w:rsid w:val="0089087A"/>
    <w:rsid w:val="008A2B2D"/>
    <w:rsid w:val="008A4E1E"/>
    <w:rsid w:val="008A5121"/>
    <w:rsid w:val="008A575E"/>
    <w:rsid w:val="008A6458"/>
    <w:rsid w:val="008B6268"/>
    <w:rsid w:val="008C296C"/>
    <w:rsid w:val="008C488B"/>
    <w:rsid w:val="008D4305"/>
    <w:rsid w:val="008E1A85"/>
    <w:rsid w:val="008E344F"/>
    <w:rsid w:val="008E37E7"/>
    <w:rsid w:val="008F19D9"/>
    <w:rsid w:val="009009F5"/>
    <w:rsid w:val="00903A44"/>
    <w:rsid w:val="009163A7"/>
    <w:rsid w:val="009214F5"/>
    <w:rsid w:val="009329D6"/>
    <w:rsid w:val="00932F72"/>
    <w:rsid w:val="00937014"/>
    <w:rsid w:val="00937D53"/>
    <w:rsid w:val="00945319"/>
    <w:rsid w:val="00945863"/>
    <w:rsid w:val="00946BAF"/>
    <w:rsid w:val="00946D0B"/>
    <w:rsid w:val="009533F0"/>
    <w:rsid w:val="0095436D"/>
    <w:rsid w:val="0095508D"/>
    <w:rsid w:val="00955877"/>
    <w:rsid w:val="00962034"/>
    <w:rsid w:val="00970594"/>
    <w:rsid w:val="0097321D"/>
    <w:rsid w:val="00983270"/>
    <w:rsid w:val="00985598"/>
    <w:rsid w:val="00986AFE"/>
    <w:rsid w:val="00990B8B"/>
    <w:rsid w:val="009918B8"/>
    <w:rsid w:val="0099273E"/>
    <w:rsid w:val="009A18CD"/>
    <w:rsid w:val="009B0DCF"/>
    <w:rsid w:val="009B628A"/>
    <w:rsid w:val="009D5428"/>
    <w:rsid w:val="009D77AB"/>
    <w:rsid w:val="009E30D4"/>
    <w:rsid w:val="009E5295"/>
    <w:rsid w:val="009F2DF1"/>
    <w:rsid w:val="009F7B59"/>
    <w:rsid w:val="00A10EC1"/>
    <w:rsid w:val="00A12558"/>
    <w:rsid w:val="00A13903"/>
    <w:rsid w:val="00A266AC"/>
    <w:rsid w:val="00A348BB"/>
    <w:rsid w:val="00A34ED5"/>
    <w:rsid w:val="00A361B9"/>
    <w:rsid w:val="00A370B8"/>
    <w:rsid w:val="00A37950"/>
    <w:rsid w:val="00A44888"/>
    <w:rsid w:val="00A45DBF"/>
    <w:rsid w:val="00A50236"/>
    <w:rsid w:val="00A568DB"/>
    <w:rsid w:val="00A5749E"/>
    <w:rsid w:val="00A62BEC"/>
    <w:rsid w:val="00A70204"/>
    <w:rsid w:val="00A71978"/>
    <w:rsid w:val="00A725CF"/>
    <w:rsid w:val="00A755A2"/>
    <w:rsid w:val="00A8153B"/>
    <w:rsid w:val="00A82FD5"/>
    <w:rsid w:val="00A83049"/>
    <w:rsid w:val="00A8308D"/>
    <w:rsid w:val="00A8416A"/>
    <w:rsid w:val="00A86DD6"/>
    <w:rsid w:val="00A90E5C"/>
    <w:rsid w:val="00A91430"/>
    <w:rsid w:val="00A97D7C"/>
    <w:rsid w:val="00AA3C8D"/>
    <w:rsid w:val="00AA3D9D"/>
    <w:rsid w:val="00AA590D"/>
    <w:rsid w:val="00AA6660"/>
    <w:rsid w:val="00AB2C36"/>
    <w:rsid w:val="00AB6DDE"/>
    <w:rsid w:val="00AB70B6"/>
    <w:rsid w:val="00AC18C1"/>
    <w:rsid w:val="00AC1B9E"/>
    <w:rsid w:val="00AC1F9D"/>
    <w:rsid w:val="00AD1A86"/>
    <w:rsid w:val="00AD58BD"/>
    <w:rsid w:val="00AD5C46"/>
    <w:rsid w:val="00AD7CA3"/>
    <w:rsid w:val="00AE103E"/>
    <w:rsid w:val="00AE6857"/>
    <w:rsid w:val="00AF0A07"/>
    <w:rsid w:val="00AF4AEC"/>
    <w:rsid w:val="00AF625E"/>
    <w:rsid w:val="00B00BCE"/>
    <w:rsid w:val="00B02D4F"/>
    <w:rsid w:val="00B03046"/>
    <w:rsid w:val="00B03BCF"/>
    <w:rsid w:val="00B11841"/>
    <w:rsid w:val="00B13894"/>
    <w:rsid w:val="00B139BE"/>
    <w:rsid w:val="00B17BBA"/>
    <w:rsid w:val="00B17EF8"/>
    <w:rsid w:val="00B2172B"/>
    <w:rsid w:val="00B24FC3"/>
    <w:rsid w:val="00B25613"/>
    <w:rsid w:val="00B26DA8"/>
    <w:rsid w:val="00B34428"/>
    <w:rsid w:val="00B5202F"/>
    <w:rsid w:val="00B524D6"/>
    <w:rsid w:val="00B71620"/>
    <w:rsid w:val="00B73602"/>
    <w:rsid w:val="00B75DEA"/>
    <w:rsid w:val="00B76C42"/>
    <w:rsid w:val="00B8197D"/>
    <w:rsid w:val="00B84546"/>
    <w:rsid w:val="00B85074"/>
    <w:rsid w:val="00B864BD"/>
    <w:rsid w:val="00B917D2"/>
    <w:rsid w:val="00B97EB3"/>
    <w:rsid w:val="00BA001B"/>
    <w:rsid w:val="00BA198A"/>
    <w:rsid w:val="00BA241A"/>
    <w:rsid w:val="00BA5BE9"/>
    <w:rsid w:val="00BB04AF"/>
    <w:rsid w:val="00BB6EEC"/>
    <w:rsid w:val="00BB6FBC"/>
    <w:rsid w:val="00BB792E"/>
    <w:rsid w:val="00BD52C9"/>
    <w:rsid w:val="00BE2DB4"/>
    <w:rsid w:val="00BE6354"/>
    <w:rsid w:val="00BE6E70"/>
    <w:rsid w:val="00BF0277"/>
    <w:rsid w:val="00BF0F53"/>
    <w:rsid w:val="00BF590E"/>
    <w:rsid w:val="00C062E0"/>
    <w:rsid w:val="00C138B7"/>
    <w:rsid w:val="00C138D1"/>
    <w:rsid w:val="00C16E8C"/>
    <w:rsid w:val="00C20B88"/>
    <w:rsid w:val="00C2225F"/>
    <w:rsid w:val="00C23A97"/>
    <w:rsid w:val="00C26EBD"/>
    <w:rsid w:val="00C3123A"/>
    <w:rsid w:val="00C3573D"/>
    <w:rsid w:val="00C44A52"/>
    <w:rsid w:val="00C52EBE"/>
    <w:rsid w:val="00C5776D"/>
    <w:rsid w:val="00C62CB1"/>
    <w:rsid w:val="00C64855"/>
    <w:rsid w:val="00C70EA7"/>
    <w:rsid w:val="00C72CE4"/>
    <w:rsid w:val="00C7433F"/>
    <w:rsid w:val="00C7516E"/>
    <w:rsid w:val="00C75770"/>
    <w:rsid w:val="00C81E8E"/>
    <w:rsid w:val="00C90F37"/>
    <w:rsid w:val="00C915D6"/>
    <w:rsid w:val="00C916D3"/>
    <w:rsid w:val="00C91969"/>
    <w:rsid w:val="00C92AB8"/>
    <w:rsid w:val="00C958C5"/>
    <w:rsid w:val="00C96970"/>
    <w:rsid w:val="00CA56BB"/>
    <w:rsid w:val="00CA64E2"/>
    <w:rsid w:val="00CB0542"/>
    <w:rsid w:val="00CB2EC7"/>
    <w:rsid w:val="00CB3AF8"/>
    <w:rsid w:val="00CB4A86"/>
    <w:rsid w:val="00CB5711"/>
    <w:rsid w:val="00CD24E3"/>
    <w:rsid w:val="00CE2198"/>
    <w:rsid w:val="00CE257F"/>
    <w:rsid w:val="00CE2B4C"/>
    <w:rsid w:val="00CF32BA"/>
    <w:rsid w:val="00CF3A7D"/>
    <w:rsid w:val="00D00B2B"/>
    <w:rsid w:val="00D165AC"/>
    <w:rsid w:val="00D214C8"/>
    <w:rsid w:val="00D24877"/>
    <w:rsid w:val="00D27CE0"/>
    <w:rsid w:val="00D5040A"/>
    <w:rsid w:val="00D57915"/>
    <w:rsid w:val="00D57946"/>
    <w:rsid w:val="00D63318"/>
    <w:rsid w:val="00D7105A"/>
    <w:rsid w:val="00D72D01"/>
    <w:rsid w:val="00D74347"/>
    <w:rsid w:val="00D8250F"/>
    <w:rsid w:val="00D86BB3"/>
    <w:rsid w:val="00D87BE2"/>
    <w:rsid w:val="00D93323"/>
    <w:rsid w:val="00D93898"/>
    <w:rsid w:val="00D95C4C"/>
    <w:rsid w:val="00D9719F"/>
    <w:rsid w:val="00DA36ED"/>
    <w:rsid w:val="00DA695C"/>
    <w:rsid w:val="00DB6758"/>
    <w:rsid w:val="00DC3239"/>
    <w:rsid w:val="00DC49CB"/>
    <w:rsid w:val="00DC7D3C"/>
    <w:rsid w:val="00DD3F2A"/>
    <w:rsid w:val="00DE309F"/>
    <w:rsid w:val="00DE34F1"/>
    <w:rsid w:val="00DE6160"/>
    <w:rsid w:val="00DE69A9"/>
    <w:rsid w:val="00DF2255"/>
    <w:rsid w:val="00DF4942"/>
    <w:rsid w:val="00E2125F"/>
    <w:rsid w:val="00E244E1"/>
    <w:rsid w:val="00E27512"/>
    <w:rsid w:val="00E27D90"/>
    <w:rsid w:val="00E3320C"/>
    <w:rsid w:val="00E36EBF"/>
    <w:rsid w:val="00E4150C"/>
    <w:rsid w:val="00E523AE"/>
    <w:rsid w:val="00E627B1"/>
    <w:rsid w:val="00E70169"/>
    <w:rsid w:val="00E715DB"/>
    <w:rsid w:val="00E8034E"/>
    <w:rsid w:val="00E8041B"/>
    <w:rsid w:val="00E87883"/>
    <w:rsid w:val="00E9376C"/>
    <w:rsid w:val="00E95AE2"/>
    <w:rsid w:val="00E9747E"/>
    <w:rsid w:val="00EA335E"/>
    <w:rsid w:val="00EA528C"/>
    <w:rsid w:val="00EA580C"/>
    <w:rsid w:val="00EB0BA5"/>
    <w:rsid w:val="00EB3AC9"/>
    <w:rsid w:val="00EB3F70"/>
    <w:rsid w:val="00EC6F8D"/>
    <w:rsid w:val="00ED01A9"/>
    <w:rsid w:val="00ED39B2"/>
    <w:rsid w:val="00ED688F"/>
    <w:rsid w:val="00EE2D4F"/>
    <w:rsid w:val="00EE49F4"/>
    <w:rsid w:val="00EF34E2"/>
    <w:rsid w:val="00F06EC6"/>
    <w:rsid w:val="00F1585E"/>
    <w:rsid w:val="00F30DC6"/>
    <w:rsid w:val="00F312BC"/>
    <w:rsid w:val="00F31F96"/>
    <w:rsid w:val="00F32C23"/>
    <w:rsid w:val="00F409F9"/>
    <w:rsid w:val="00F525F6"/>
    <w:rsid w:val="00F53DE9"/>
    <w:rsid w:val="00F56B17"/>
    <w:rsid w:val="00F576CB"/>
    <w:rsid w:val="00F60DC1"/>
    <w:rsid w:val="00F650C6"/>
    <w:rsid w:val="00F7035D"/>
    <w:rsid w:val="00F70CC5"/>
    <w:rsid w:val="00F71A02"/>
    <w:rsid w:val="00F742B5"/>
    <w:rsid w:val="00F74C9E"/>
    <w:rsid w:val="00FA0D63"/>
    <w:rsid w:val="00FA1A77"/>
    <w:rsid w:val="00FA472D"/>
    <w:rsid w:val="00FA5F89"/>
    <w:rsid w:val="00FB1727"/>
    <w:rsid w:val="00FB36DF"/>
    <w:rsid w:val="00FB6801"/>
    <w:rsid w:val="00FC22D5"/>
    <w:rsid w:val="00FD1226"/>
    <w:rsid w:val="00FD4BC8"/>
    <w:rsid w:val="00FE2EE9"/>
    <w:rsid w:val="00FE311B"/>
    <w:rsid w:val="00FE5E36"/>
    <w:rsid w:val="00FF09B6"/>
    <w:rsid w:val="00FF4830"/>
    <w:rsid w:val="00FF5131"/>
    <w:rsid w:val="00FF6A0C"/>
    <w:rsid w:val="00FF7A12"/>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sz w:val="16"/>
      <w:szCs w:val="16"/>
    </w:rPr>
  </w:style>
  <w:style w:type="character" w:customStyle="1" w:styleId="BalloonTextChar">
    <w:name w:val="Balloon Text Char"/>
    <w:link w:val="BalloonText"/>
    <w:uiPriority w:val="99"/>
    <w:semiHidden/>
    <w:rsid w:val="008724E5"/>
    <w:rPr>
      <w:rFonts w:ascii="Tahoma" w:hAnsi="Tahoma" w:cs="Arial"/>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cs="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Arial"/>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sz w:val="22"/>
      <w:szCs w:val="22"/>
      <w:u w:val="single"/>
      <w:lang w:val="en-GB"/>
    </w:rPr>
  </w:style>
  <w:style w:type="table" w:customStyle="1" w:styleId="TableGrid1">
    <w:name w:val="Table Grid1"/>
    <w:basedOn w:val="TableNormal"/>
    <w:next w:val="TableGrid"/>
    <w:uiPriority w:val="59"/>
    <w:rsid w:val="00E95A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paragraph" w:styleId="FootnoteText">
    <w:name w:val="footnote text"/>
    <w:basedOn w:val="Normal"/>
    <w:link w:val="FootnoteTextChar"/>
    <w:uiPriority w:val="99"/>
    <w:semiHidden/>
    <w:unhideWhenUsed/>
    <w:rsid w:val="004313C4"/>
    <w:rPr>
      <w:sz w:val="20"/>
      <w:szCs w:val="20"/>
    </w:rPr>
  </w:style>
  <w:style w:type="character" w:customStyle="1" w:styleId="FootnoteTextChar">
    <w:name w:val="Footnote Text Char"/>
    <w:basedOn w:val="DefaultParagraphFont"/>
    <w:link w:val="FootnoteText"/>
    <w:uiPriority w:val="99"/>
    <w:semiHidden/>
    <w:rsid w:val="004313C4"/>
    <w:rPr>
      <w:rFonts w:ascii="Times New Roman" w:eastAsia="Times New Roman" w:hAnsi="Times New Roman" w:cs="Arial"/>
    </w:rPr>
  </w:style>
  <w:style w:type="character" w:styleId="FootnoteReference">
    <w:name w:val="footnote reference"/>
    <w:basedOn w:val="DefaultParagraphFont"/>
    <w:uiPriority w:val="99"/>
    <w:semiHidden/>
    <w:unhideWhenUsed/>
    <w:rsid w:val="004313C4"/>
    <w:rPr>
      <w:vertAlign w:val="superscript"/>
    </w:rPr>
  </w:style>
  <w:style w:type="paragraph" w:customStyle="1" w:styleId="GAParaResolution">
    <w:name w:val="GA Para Resolution"/>
    <w:basedOn w:val="Normal"/>
    <w:qFormat/>
    <w:rsid w:val="005C792B"/>
    <w:pPr>
      <w:autoSpaceDE w:val="0"/>
      <w:autoSpaceDN w:val="0"/>
      <w:adjustRightInd w:val="0"/>
      <w:spacing w:after="120"/>
      <w:ind w:left="1287" w:hanging="360"/>
      <w:jc w:val="both"/>
    </w:pPr>
    <w:rPr>
      <w:rFonts w:ascii="Arial" w:eastAsia="SimSun" w:hAnsi="Arial"/>
      <w:sz w:val="22"/>
      <w:szCs w:val="22"/>
      <w:u w:val="single"/>
      <w:lang w:val="en-GB"/>
    </w:rPr>
  </w:style>
  <w:style w:type="character" w:styleId="Hyperlink">
    <w:name w:val="Hyperlink"/>
    <w:aliases w:val=" Car Car3 Char, Car Car3 Char Char Char Char"/>
    <w:basedOn w:val="DefaultParagraphFont"/>
    <w:link w:val="CarCar3"/>
    <w:uiPriority w:val="99"/>
    <w:unhideWhenUsed/>
    <w:rsid w:val="005B1129"/>
    <w:rPr>
      <w:color w:val="0000FF" w:themeColor="hyperlink"/>
      <w:u w:val="single"/>
    </w:rPr>
  </w:style>
  <w:style w:type="paragraph" w:customStyle="1" w:styleId="U1">
    <w:name w:val="U.1"/>
    <w:basedOn w:val="Normal"/>
    <w:qFormat/>
    <w:rsid w:val="005B1129"/>
    <w:pPr>
      <w:widowControl w:val="0"/>
      <w:tabs>
        <w:tab w:val="left" w:pos="1701"/>
      </w:tabs>
      <w:autoSpaceDE w:val="0"/>
      <w:autoSpaceDN w:val="0"/>
      <w:adjustRightInd w:val="0"/>
      <w:spacing w:after="120"/>
      <w:ind w:left="1701" w:hanging="567"/>
    </w:pPr>
    <w:rPr>
      <w:rFonts w:ascii="Arial" w:eastAsia="SimSun" w:hAnsi="Arial"/>
      <w:sz w:val="22"/>
      <w:szCs w:val="22"/>
      <w:lang w:val="en-US"/>
    </w:rPr>
  </w:style>
  <w:style w:type="paragraph" w:customStyle="1" w:styleId="i">
    <w:name w:val="(i)"/>
    <w:basedOn w:val="Normal"/>
    <w:link w:val="iChar"/>
    <w:autoRedefine/>
    <w:qFormat/>
    <w:rsid w:val="005B1129"/>
    <w:pPr>
      <w:numPr>
        <w:numId w:val="27"/>
      </w:numPr>
      <w:autoSpaceDE w:val="0"/>
      <w:autoSpaceDN w:val="0"/>
      <w:adjustRightInd w:val="0"/>
      <w:spacing w:before="120" w:after="120"/>
      <w:ind w:right="284"/>
      <w:jc w:val="both"/>
    </w:pPr>
    <w:rPr>
      <w:rFonts w:ascii="Arial" w:eastAsia="SimSun" w:hAnsi="Arial"/>
      <w:w w:val="90"/>
      <w:sz w:val="22"/>
      <w:szCs w:val="22"/>
      <w:lang w:val="en-US"/>
    </w:rPr>
  </w:style>
  <w:style w:type="character" w:customStyle="1" w:styleId="iChar">
    <w:name w:val="(i) Char"/>
    <w:link w:val="i"/>
    <w:locked/>
    <w:rsid w:val="005B1129"/>
    <w:rPr>
      <w:rFonts w:ascii="Arial" w:hAnsi="Arial" w:cs="Arial"/>
      <w:w w:val="90"/>
      <w:sz w:val="22"/>
      <w:szCs w:val="22"/>
      <w:lang w:val="en-US"/>
    </w:rPr>
  </w:style>
  <w:style w:type="character" w:customStyle="1" w:styleId="Mentionnonrsolue1">
    <w:name w:val="Mention non résolue1"/>
    <w:basedOn w:val="DefaultParagraphFont"/>
    <w:uiPriority w:val="99"/>
    <w:semiHidden/>
    <w:unhideWhenUsed/>
    <w:rsid w:val="00420CDD"/>
    <w:rPr>
      <w:color w:val="605E5C"/>
      <w:shd w:val="clear" w:color="auto" w:fill="E1DFDD"/>
    </w:rPr>
  </w:style>
  <w:style w:type="paragraph" w:customStyle="1" w:styleId="GAPara">
    <w:name w:val="GA Para"/>
    <w:qFormat/>
    <w:rsid w:val="00504B9E"/>
    <w:pPr>
      <w:spacing w:after="120"/>
      <w:ind w:left="720" w:hanging="360"/>
    </w:pPr>
    <w:rPr>
      <w:rFonts w:ascii="Arial" w:eastAsia="Times New Roman" w:hAnsi="Arial"/>
      <w:snapToGrid w:val="0"/>
      <w:sz w:val="22"/>
      <w:szCs w:val="22"/>
      <w:lang w:val="en-GB" w:eastAsia="en-US"/>
    </w:rPr>
  </w:style>
  <w:style w:type="paragraph" w:customStyle="1" w:styleId="CarCar3">
    <w:name w:val="Car Car3"/>
    <w:aliases w:val=" Car Car3 Char Char"/>
    <w:basedOn w:val="Normal"/>
    <w:link w:val="Hyperlink"/>
    <w:uiPriority w:val="99"/>
    <w:rsid w:val="00504B9E"/>
    <w:pPr>
      <w:tabs>
        <w:tab w:val="left" w:pos="510"/>
        <w:tab w:val="right" w:pos="9639"/>
      </w:tabs>
      <w:autoSpaceDE w:val="0"/>
      <w:autoSpaceDN w:val="0"/>
      <w:adjustRightInd w:val="0"/>
      <w:spacing w:after="80" w:line="220" w:lineRule="exact"/>
      <w:ind w:left="1020" w:hanging="510"/>
      <w:jc w:val="both"/>
    </w:pPr>
    <w:rPr>
      <w:rFonts w:ascii="Calibri" w:eastAsia="SimSun" w:hAnsi="Calibri"/>
      <w:color w:val="0000FF" w:themeColor="hyperlink"/>
      <w:sz w:val="20"/>
      <w:szCs w:val="20"/>
      <w:u w:val="single"/>
    </w:rPr>
  </w:style>
  <w:style w:type="character" w:styleId="FollowedHyperlink">
    <w:name w:val="FollowedHyperlink"/>
    <w:basedOn w:val="DefaultParagraphFont"/>
    <w:uiPriority w:val="99"/>
    <w:semiHidden/>
    <w:unhideWhenUsed/>
    <w:rsid w:val="00BF590E"/>
    <w:rPr>
      <w:color w:val="800080" w:themeColor="followedHyperlink"/>
      <w:u w:val="single"/>
    </w:rPr>
  </w:style>
  <w:style w:type="paragraph" w:styleId="Revision">
    <w:name w:val="Revision"/>
    <w:hidden/>
    <w:uiPriority w:val="99"/>
    <w:semiHidden/>
    <w:rsid w:val="00BF590E"/>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CD24E3"/>
    <w:rPr>
      <w:sz w:val="16"/>
      <w:szCs w:val="16"/>
    </w:rPr>
  </w:style>
  <w:style w:type="paragraph" w:styleId="CommentText">
    <w:name w:val="annotation text"/>
    <w:basedOn w:val="Normal"/>
    <w:link w:val="CommentTextChar"/>
    <w:uiPriority w:val="99"/>
    <w:unhideWhenUsed/>
    <w:rsid w:val="00CD24E3"/>
    <w:rPr>
      <w:sz w:val="20"/>
      <w:szCs w:val="20"/>
    </w:rPr>
  </w:style>
  <w:style w:type="character" w:customStyle="1" w:styleId="CommentTextChar">
    <w:name w:val="Comment Text Char"/>
    <w:basedOn w:val="DefaultParagraphFont"/>
    <w:link w:val="CommentText"/>
    <w:uiPriority w:val="99"/>
    <w:rsid w:val="00CD24E3"/>
    <w:rPr>
      <w:rFonts w:ascii="Times New Roman" w:eastAsia="Times New Roman" w:hAnsi="Times New Roman" w:cs="Arial"/>
    </w:rPr>
  </w:style>
  <w:style w:type="paragraph" w:styleId="CommentSubject">
    <w:name w:val="annotation subject"/>
    <w:basedOn w:val="CommentText"/>
    <w:next w:val="CommentText"/>
    <w:link w:val="CommentSubjectChar"/>
    <w:uiPriority w:val="99"/>
    <w:semiHidden/>
    <w:unhideWhenUsed/>
    <w:rsid w:val="00CD24E3"/>
    <w:rPr>
      <w:b/>
      <w:bCs/>
    </w:rPr>
  </w:style>
  <w:style w:type="character" w:customStyle="1" w:styleId="CommentSubjectChar">
    <w:name w:val="Comment Subject Char"/>
    <w:basedOn w:val="CommentTextChar"/>
    <w:link w:val="CommentSubject"/>
    <w:uiPriority w:val="99"/>
    <w:semiHidden/>
    <w:rsid w:val="00CD24E3"/>
    <w:rPr>
      <w:rFonts w:ascii="Times New Roman" w:eastAsia="Times New Roman" w:hAnsi="Times New Roman" w:cs="Arial"/>
      <w:b/>
      <w:bCs/>
    </w:rPr>
  </w:style>
  <w:style w:type="character" w:styleId="UnresolvedMention">
    <w:name w:val="Unresolved Mention"/>
    <w:basedOn w:val="DefaultParagraphFont"/>
    <w:uiPriority w:val="99"/>
    <w:semiHidden/>
    <w:unhideWhenUsed/>
    <w:rsid w:val="00BE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en/decisions/17.COM/15" TargetMode="External"/><Relationship Id="rId18" Type="http://schemas.openxmlformats.org/officeDocument/2006/relationships/hyperlink" Target="https://ich.unesco.org/en/Decisions/12.COM/10" TargetMode="External"/><Relationship Id="rId26" Type="http://schemas.openxmlformats.org/officeDocument/2006/relationships/hyperlink" Target="https://ich.unesco.org/en/decisions/19.COM/6.C" TargetMode="External"/><Relationship Id="rId39" Type="http://schemas.openxmlformats.org/officeDocument/2006/relationships/hyperlink" Target="https://ich.unesco.org/en/decisions/20.COM/8" TargetMode="External"/><Relationship Id="rId3" Type="http://schemas.openxmlformats.org/officeDocument/2006/relationships/styles" Target="styles.xml"/><Relationship Id="rId21" Type="http://schemas.openxmlformats.org/officeDocument/2006/relationships/hyperlink" Target="https://ich.unesco.org/en/Decisions/13.COM/8" TargetMode="External"/><Relationship Id="rId34" Type="http://schemas.openxmlformats.org/officeDocument/2006/relationships/hyperlink" Target="https://ich.unesco.org/en/decisions/20.COM/6.C" TargetMode="External"/><Relationship Id="rId42" Type="http://schemas.openxmlformats.org/officeDocument/2006/relationships/hyperlink" Target="https://ich.unesco.org" TargetMode="External"/><Relationship Id="rId47" Type="http://schemas.openxmlformats.org/officeDocument/2006/relationships/hyperlink" Target="https://ich.unesco.org" TargetMode="External"/><Relationship Id="rId50"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ich.unesco.org/en/decisions/19.COM/15" TargetMode="External"/><Relationship Id="rId17" Type="http://schemas.openxmlformats.org/officeDocument/2006/relationships/hyperlink" Target="https://ich.unesco.org/en/Decisions/12.COM/10" TargetMode="External"/><Relationship Id="rId25" Type="http://schemas.openxmlformats.org/officeDocument/2006/relationships/hyperlink" Target="https://unesdoc.unesco.org/ark:/48223/pf0000395504" TargetMode="External"/><Relationship Id="rId33" Type="http://schemas.openxmlformats.org/officeDocument/2006/relationships/hyperlink" Target="https://ich.unesco.org/en/decisions/20.COM/6.C" TargetMode="External"/><Relationship Id="rId38" Type="http://schemas.openxmlformats.org/officeDocument/2006/relationships/header" Target="header3.xml"/><Relationship Id="rId46" Type="http://schemas.openxmlformats.org/officeDocument/2006/relationships/hyperlink" Target="https://ich.unesco.org" TargetMode="External"/><Relationship Id="rId2" Type="http://schemas.openxmlformats.org/officeDocument/2006/relationships/numbering" Target="numbering.xml"/><Relationship Id="rId16" Type="http://schemas.openxmlformats.org/officeDocument/2006/relationships/hyperlink" Target="https://ich.unesco.org/en/decisions/19.COM/15" TargetMode="External"/><Relationship Id="rId20" Type="http://schemas.openxmlformats.org/officeDocument/2006/relationships/hyperlink" Target="https://ich.unesco.org/doc/src/ITH-18-7.GA-9-AR.docx?v=1525450424" TargetMode="External"/><Relationship Id="rId29" Type="http://schemas.openxmlformats.org/officeDocument/2006/relationships/hyperlink" Target="https://ich.unesco.org/en/decisions/20.COM/6.C" TargetMode="External"/><Relationship Id="rId41" Type="http://schemas.openxmlformats.org/officeDocument/2006/relationships/hyperlink" Target="https://ich.unesco.org/en/decisions/20.COM/6.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20.COM/8" TargetMode="External"/><Relationship Id="rId24" Type="http://schemas.openxmlformats.org/officeDocument/2006/relationships/hyperlink" Target="https://www.unesco.org/ar/articles/mwtmr-alywnskw-alalmy-llsyasat-althqafyt-waltnmyt-almstdamt-lam-2022-aldwl-ttmd-alanaan-tarykhyaan" TargetMode="External"/><Relationship Id="rId32" Type="http://schemas.openxmlformats.org/officeDocument/2006/relationships/hyperlink" Target="https://ich.unesco.org/en/decisions/20.COM/8" TargetMode="External"/><Relationship Id="rId37" Type="http://schemas.openxmlformats.org/officeDocument/2006/relationships/header" Target="header2.xml"/><Relationship Id="rId40" Type="http://schemas.openxmlformats.org/officeDocument/2006/relationships/hyperlink" Target="https://ich.unesco.org/en/decisions/20.COM/8" TargetMode="External"/><Relationship Id="rId45" Type="http://schemas.openxmlformats.org/officeDocument/2006/relationships/hyperlink" Target="https://ich.unesco.org" TargetMode="External"/><Relationship Id="rId5" Type="http://schemas.openxmlformats.org/officeDocument/2006/relationships/webSettings" Target="webSettings.xml"/><Relationship Id="rId15" Type="http://schemas.openxmlformats.org/officeDocument/2006/relationships/hyperlink" Target="https://ich.unesco.org/en/decisions/19.COM/15" TargetMode="External"/><Relationship Id="rId23" Type="http://schemas.openxmlformats.org/officeDocument/2006/relationships/hyperlink" Target="https://ich.unesco.org/en/Decisions/14.COM/8" TargetMode="External"/><Relationship Id="rId28" Type="http://schemas.openxmlformats.org/officeDocument/2006/relationships/hyperlink" Target="https://ich.unesco.org/en/decisions/20.COM/6.C" TargetMode="External"/><Relationship Id="rId36" Type="http://schemas.openxmlformats.org/officeDocument/2006/relationships/header" Target="header1.xml"/><Relationship Id="rId49" Type="http://schemas.openxmlformats.org/officeDocument/2006/relationships/header" Target="header5.xml"/><Relationship Id="rId10" Type="http://schemas.openxmlformats.org/officeDocument/2006/relationships/hyperlink" Target="https://ich.unesco.org/en/decisions/20.COM/8" TargetMode="External"/><Relationship Id="rId19" Type="http://schemas.openxmlformats.org/officeDocument/2006/relationships/hyperlink" Target="https://ich.unesco.org/en/overall-results-framework-00984" TargetMode="External"/><Relationship Id="rId31" Type="http://schemas.openxmlformats.org/officeDocument/2006/relationships/hyperlink" Target="https://ich.unesco.org/en/decisions/20.COM/8" TargetMode="External"/><Relationship Id="rId44" Type="http://schemas.openxmlformats.org/officeDocument/2006/relationships/hyperlink" Target="https://ich.unesco.org"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h.unesco.org/doc/src/LHE-25-20.COM-8_EN.docx?t=1764184365" TargetMode="External"/><Relationship Id="rId14" Type="http://schemas.openxmlformats.org/officeDocument/2006/relationships/hyperlink" Target="https://ich.unesco.org/en/decisions/17.COM/15" TargetMode="External"/><Relationship Id="rId22" Type="http://schemas.openxmlformats.org/officeDocument/2006/relationships/hyperlink" Target="https://ich.unesco.org/en/Decisions/13.COM/8" TargetMode="External"/><Relationship Id="rId27" Type="http://schemas.openxmlformats.org/officeDocument/2006/relationships/hyperlink" Target="https://ich.unesco.org/en/decisions/19.COM/6.C" TargetMode="External"/><Relationship Id="rId30" Type="http://schemas.openxmlformats.org/officeDocument/2006/relationships/hyperlink" Target="https://ich.unesco.org/en/events/global-reflection-meeting-on-the-periodic-reporting-mechanisms-of-the-2003-convention-01058" TargetMode="External"/><Relationship Id="rId35" Type="http://schemas.openxmlformats.org/officeDocument/2006/relationships/hyperlink" Target="https://ich.unesco.org/en/decisions/20.COM/8" TargetMode="External"/><Relationship Id="rId43" Type="http://schemas.openxmlformats.org/officeDocument/2006/relationships/hyperlink" Target="https://ich.unesco.org" TargetMode="External"/><Relationship Id="rId48" Type="http://schemas.openxmlformats.org/officeDocument/2006/relationships/header" Target="header4.xml"/><Relationship Id="rId8" Type="http://schemas.openxmlformats.org/officeDocument/2006/relationships/hyperlink" Target="https://ich.unesco.org/en/decisions/20.COM/8" TargetMode="Externa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ch.unesco.org/doc/src/LHE-25-20.COM-6.c_EN.docx?v=176418565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CE458-A5E3-4AA4-B3F6-4C927828AC8C}">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5142</Words>
  <Characters>28283</Characters>
  <Application>Microsoft Office Word</Application>
  <DocSecurity>0</DocSecurity>
  <Lines>235</Lines>
  <Paragraphs>66</Paragraphs>
  <ScaleCrop>false</ScaleCrop>
  <Company/>
  <LinksUpToDate>false</LinksUpToDate>
  <CharactersWithSpaces>33359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2026-05-18T15:46:00Z</dcterms:created>
  <dcterms:modified xsi:type="dcterms:W3CDTF">2026-05-18T17:15:00Z</dcterms:modified>
</cp:coreProperties>
</file>