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371F" w14:textId="77777777" w:rsidR="00A42B5E" w:rsidRPr="00EF0B02" w:rsidRDefault="00A42B5E" w:rsidP="00EF0B02">
      <w:pPr>
        <w:spacing w:before="1440"/>
        <w:jc w:val="center"/>
        <w:rPr>
          <w:rFonts w:ascii="Arial" w:hAnsi="Arial" w:cs="Arial"/>
          <w:b/>
          <w:lang w:val="en-GB"/>
        </w:rPr>
      </w:pPr>
      <w:r w:rsidRPr="00EF0B02">
        <w:rPr>
          <w:rFonts w:ascii="Arial" w:eastAsia="Arial" w:hAnsi="Arial" w:cs="Arial" w:hint="eastAsia"/>
          <w:b/>
          <w:lang w:val="zh-CN" w:bidi="zh-CN"/>
        </w:rPr>
        <w:t>《</w:t>
      </w:r>
      <w:r w:rsidRPr="00EF0B02">
        <w:rPr>
          <w:rFonts w:ascii="Arial" w:hAnsi="Arial" w:hint="eastAsia"/>
          <w:b/>
          <w:lang w:val="en-GB"/>
        </w:rPr>
        <w:t>保护非物质文化遗产公约》</w:t>
      </w:r>
    </w:p>
    <w:p w14:paraId="1CC37874" w14:textId="77777777" w:rsidR="00A42B5E" w:rsidRPr="00EF0B02" w:rsidRDefault="00A42B5E" w:rsidP="00A42B5E">
      <w:pPr>
        <w:spacing w:before="1200"/>
        <w:jc w:val="center"/>
        <w:rPr>
          <w:rFonts w:ascii="Arial" w:hAnsi="Arial" w:cs="Arial"/>
          <w:b/>
          <w:lang w:val="en-GB"/>
        </w:rPr>
      </w:pPr>
      <w:r w:rsidRPr="00EF0B02">
        <w:rPr>
          <w:rFonts w:ascii="Arial" w:hAnsi="Arial" w:hint="eastAsia"/>
          <w:b/>
          <w:lang w:val="en-GB"/>
        </w:rPr>
        <w:t>缔约国大会</w:t>
      </w:r>
    </w:p>
    <w:p w14:paraId="11F0CBF7" w14:textId="2038802B" w:rsidR="00A42B5E" w:rsidRPr="00EF0B02" w:rsidRDefault="00A42B5E" w:rsidP="00BC5B1A">
      <w:pPr>
        <w:spacing w:before="840"/>
        <w:jc w:val="center"/>
        <w:rPr>
          <w:rFonts w:ascii="Arial" w:hAnsi="Arial" w:cs="Arial"/>
          <w:b/>
          <w:lang w:val="en-GB"/>
        </w:rPr>
      </w:pPr>
      <w:r w:rsidRPr="00EF0B02">
        <w:rPr>
          <w:rFonts w:ascii="Arial" w:hAnsi="Arial" w:hint="eastAsia"/>
          <w:b/>
          <w:lang w:val="en-GB"/>
        </w:rPr>
        <w:t>第十一届会议</w:t>
      </w:r>
    </w:p>
    <w:p w14:paraId="5DCD83B1" w14:textId="77777777" w:rsidR="00A42B5E" w:rsidRPr="00EF0B02" w:rsidRDefault="00A42B5E" w:rsidP="00A42B5E">
      <w:pPr>
        <w:jc w:val="center"/>
        <w:rPr>
          <w:rFonts w:ascii="Arial" w:hAnsi="Arial" w:cs="Arial"/>
          <w:b/>
          <w:lang w:val="en-GB"/>
        </w:rPr>
      </w:pPr>
      <w:r w:rsidRPr="00EF0B02">
        <w:rPr>
          <w:rFonts w:ascii="Arial" w:hAnsi="Arial" w:hint="eastAsia"/>
          <w:b/>
          <w:lang w:val="en-GB"/>
        </w:rPr>
        <w:t>联合国教科文组织总部</w:t>
      </w:r>
      <w:r w:rsidRPr="00EF0B02">
        <w:rPr>
          <w:rFonts w:ascii="Arial" w:hAnsi="Arial" w:hint="eastAsia"/>
          <w:b/>
          <w:lang w:val="en-US" w:bidi="en-US"/>
        </w:rPr>
        <w:t>，一号会议厅</w:t>
      </w:r>
    </w:p>
    <w:p w14:paraId="7C241F55" w14:textId="77777777" w:rsidR="00D22638" w:rsidRPr="008A3229" w:rsidRDefault="00D22638" w:rsidP="00D22638">
      <w:pPr>
        <w:jc w:val="center"/>
        <w:rPr>
          <w:rFonts w:cs="Arial"/>
          <w:b/>
          <w:lang w:val="en-GB"/>
        </w:rPr>
      </w:pPr>
      <w:r w:rsidRPr="008A3229">
        <w:rPr>
          <w:b/>
          <w:lang w:val="en-GB" w:bidi="en-GB"/>
        </w:rPr>
        <w:t>2026</w:t>
      </w:r>
      <w:r w:rsidRPr="008A3229">
        <w:rPr>
          <w:rFonts w:hint="eastAsia"/>
          <w:b/>
          <w:lang w:val="en-GB" w:bidi="en-GB"/>
        </w:rPr>
        <w:t>年</w:t>
      </w:r>
      <w:r w:rsidRPr="008A3229">
        <w:rPr>
          <w:b/>
          <w:lang w:val="en-GB" w:bidi="en-GB"/>
        </w:rPr>
        <w:t>6</w:t>
      </w:r>
      <w:r w:rsidRPr="008A3229">
        <w:rPr>
          <w:rFonts w:hint="eastAsia"/>
          <w:b/>
          <w:lang w:val="en-GB" w:bidi="en-GB"/>
        </w:rPr>
        <w:t>月</w:t>
      </w:r>
      <w:r w:rsidRPr="008A3229">
        <w:rPr>
          <w:b/>
          <w:lang w:val="en-GB" w:bidi="en-GB"/>
        </w:rPr>
        <w:t>17</w:t>
      </w:r>
      <w:r w:rsidRPr="008A3229">
        <w:rPr>
          <w:rFonts w:hint="eastAsia"/>
          <w:b/>
          <w:lang w:val="en-GB" w:bidi="en-GB"/>
        </w:rPr>
        <w:t>日至</w:t>
      </w:r>
      <w:r w:rsidRPr="008A3229">
        <w:rPr>
          <w:b/>
          <w:lang w:val="en-GB" w:bidi="en-GB"/>
        </w:rPr>
        <w:t>18</w:t>
      </w:r>
      <w:r w:rsidRPr="008A3229">
        <w:rPr>
          <w:rFonts w:hint="eastAsia"/>
          <w:b/>
          <w:lang w:val="en-GB" w:bidi="en-GB"/>
        </w:rPr>
        <w:t>日</w:t>
      </w:r>
    </w:p>
    <w:p w14:paraId="304209A6" w14:textId="0895F6A7" w:rsidR="00A42B5E" w:rsidRPr="00EF0B02" w:rsidRDefault="00A42B5E" w:rsidP="00A42B5E">
      <w:pPr>
        <w:jc w:val="center"/>
        <w:rPr>
          <w:rFonts w:ascii="Arial" w:hAnsi="Arial" w:cs="Arial"/>
          <w:b/>
          <w:lang w:val="en-GB"/>
        </w:rPr>
      </w:pPr>
    </w:p>
    <w:p w14:paraId="7078F1CE" w14:textId="4596E611" w:rsidR="00A42B5E" w:rsidRPr="00EF0B02" w:rsidRDefault="00A42B5E" w:rsidP="00A42B5E">
      <w:pPr>
        <w:pStyle w:val="Sansinterligne2"/>
        <w:spacing w:before="1200"/>
        <w:jc w:val="center"/>
        <w:rPr>
          <w:rFonts w:ascii="Arial" w:hAnsi="Arial" w:cs="Arial"/>
          <w:b/>
          <w:sz w:val="22"/>
          <w:szCs w:val="22"/>
          <w:lang w:val="en-GB"/>
        </w:rPr>
      </w:pPr>
      <w:r w:rsidRPr="00EF0B02">
        <w:rPr>
          <w:rFonts w:ascii="Arial" w:hAnsi="Arial" w:hint="eastAsia"/>
          <w:b/>
          <w:sz w:val="22"/>
          <w:u w:val="single"/>
          <w:lang w:val="en-GB"/>
        </w:rPr>
        <w:t>临时议程项目</w:t>
      </w:r>
      <w:r w:rsidR="00D22638" w:rsidRPr="00D22638">
        <w:rPr>
          <w:rFonts w:ascii="SimSun" w:hAnsi="SimSun"/>
          <w:b/>
          <w:sz w:val="22"/>
          <w:u w:val="single"/>
          <w:lang w:val="en-GB" w:bidi="en-GB"/>
        </w:rPr>
        <w:t>6</w:t>
      </w:r>
      <w:r w:rsidRPr="00EF0B02">
        <w:rPr>
          <w:rFonts w:ascii="Arial" w:hAnsi="Arial" w:hint="eastAsia"/>
          <w:b/>
          <w:sz w:val="22"/>
          <w:lang w:val="en-GB" w:bidi="en-GB"/>
        </w:rPr>
        <w:t>：</w:t>
      </w:r>
    </w:p>
    <w:p w14:paraId="6AE15722" w14:textId="416C49B5" w:rsidR="00A42B5E" w:rsidRPr="00EF0B02" w:rsidRDefault="00B25FFD" w:rsidP="00A42B5E">
      <w:pPr>
        <w:pStyle w:val="Sansinterligne2"/>
        <w:spacing w:after="960"/>
        <w:jc w:val="center"/>
        <w:rPr>
          <w:rFonts w:ascii="Arial" w:hAnsi="Arial" w:cs="Arial"/>
          <w:bCs/>
          <w:sz w:val="22"/>
          <w:szCs w:val="22"/>
          <w:lang w:val="en-GB"/>
        </w:rPr>
      </w:pPr>
      <w:r w:rsidRPr="00EF0B02">
        <w:rPr>
          <w:rFonts w:ascii="Arial" w:eastAsia="Arial" w:hAnsi="Arial" w:cs="Arial"/>
          <w:b/>
          <w:sz w:val="22"/>
          <w:szCs w:val="22"/>
          <w:lang w:val="zh-CN" w:bidi="zh-CN"/>
        </w:rPr>
        <w:t>秘书处关于其活动的报告</w:t>
      </w:r>
      <w:r w:rsidRPr="00D22638">
        <w:rPr>
          <w:rFonts w:ascii="SimSun" w:hAnsi="SimSun" w:cs="SimSun"/>
          <w:b/>
          <w:sz w:val="22"/>
          <w:szCs w:val="22"/>
          <w:lang w:val="en-GB" w:bidi="en-GB"/>
        </w:rPr>
        <w:t>（2024年1月至2025年12月）</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A42B5E" w:rsidRPr="00EF0B02" w14:paraId="40113ACE" w14:textId="77777777" w:rsidTr="006F0AF9">
        <w:trPr>
          <w:jc w:val="center"/>
        </w:trPr>
        <w:tc>
          <w:tcPr>
            <w:tcW w:w="5670" w:type="dxa"/>
            <w:vAlign w:val="center"/>
          </w:tcPr>
          <w:p w14:paraId="61D89163" w14:textId="77777777" w:rsidR="00A42B5E" w:rsidRPr="00EF0B02" w:rsidRDefault="00A42B5E" w:rsidP="006F0AF9">
            <w:pPr>
              <w:pStyle w:val="Sansinterligne1"/>
              <w:spacing w:before="200" w:after="200"/>
              <w:jc w:val="center"/>
              <w:rPr>
                <w:rFonts w:ascii="Arial" w:hAnsi="Arial" w:cs="Arial"/>
                <w:b/>
                <w:sz w:val="22"/>
                <w:szCs w:val="22"/>
                <w:lang w:val="en-GB"/>
              </w:rPr>
            </w:pPr>
            <w:r w:rsidRPr="00EF0B02">
              <w:rPr>
                <w:rFonts w:ascii="Arial" w:hAnsi="Arial" w:hint="eastAsia"/>
                <w:b/>
                <w:sz w:val="22"/>
                <w:lang w:val="en-GB"/>
              </w:rPr>
              <w:t>摘要</w:t>
            </w:r>
          </w:p>
          <w:p w14:paraId="4C4E5B4E" w14:textId="45CD8111" w:rsidR="00A42B5E" w:rsidRPr="00D22638" w:rsidRDefault="00B25FFD" w:rsidP="006F0AF9">
            <w:pPr>
              <w:pStyle w:val="Sansinterligne1"/>
              <w:jc w:val="both"/>
              <w:rPr>
                <w:rFonts w:ascii="SimSun" w:hAnsi="SimSun" w:cs="SimSun"/>
                <w:bCs/>
                <w:sz w:val="22"/>
                <w:szCs w:val="22"/>
                <w:lang w:val="en-GB" w:bidi="en-GB"/>
              </w:rPr>
            </w:pPr>
            <w:r w:rsidRPr="00EF0B02">
              <w:rPr>
                <w:rFonts w:ascii="Arial" w:eastAsia="Arial" w:hAnsi="Arial" w:cs="Arial"/>
                <w:sz w:val="22"/>
                <w:szCs w:val="22"/>
                <w:lang w:val="zh-CN" w:bidi="zh-CN"/>
              </w:rPr>
              <w:t>本文件概述了</w:t>
            </w:r>
            <w:r w:rsidRPr="00D22638">
              <w:rPr>
                <w:rFonts w:ascii="SimSun" w:hAnsi="SimSun" w:cs="SimSun"/>
                <w:bCs/>
                <w:sz w:val="22"/>
                <w:szCs w:val="22"/>
                <w:lang w:val="en-GB" w:bidi="en-GB"/>
              </w:rPr>
              <w:t>2003年《公约》秘书处在2024年1月1日至2025年12月31日期间开展的活动。</w:t>
            </w:r>
          </w:p>
          <w:p w14:paraId="75119F17" w14:textId="37F34AD3" w:rsidR="00A42B5E" w:rsidRPr="00EF0B02" w:rsidRDefault="00A42B5E" w:rsidP="006F0AF9">
            <w:pPr>
              <w:pStyle w:val="Sansinterligne2"/>
              <w:spacing w:before="200" w:after="200"/>
              <w:jc w:val="both"/>
              <w:rPr>
                <w:rFonts w:ascii="Arial" w:hAnsi="Arial" w:cs="Arial"/>
                <w:b/>
                <w:sz w:val="22"/>
                <w:szCs w:val="22"/>
                <w:lang w:val="en-GB"/>
              </w:rPr>
            </w:pPr>
            <w:r w:rsidRPr="00D22638">
              <w:rPr>
                <w:rFonts w:ascii="SimSun" w:hAnsi="SimSun" w:cs="SimSun" w:hint="eastAsia"/>
                <w:b/>
                <w:sz w:val="22"/>
                <w:szCs w:val="22"/>
                <w:lang w:val="en-GB" w:bidi="en-GB"/>
              </w:rPr>
              <w:t>需要做出的决定：</w:t>
            </w:r>
            <w:r w:rsidRPr="00D22638">
              <w:rPr>
                <w:rFonts w:ascii="SimSun" w:hAnsi="SimSun" w:cs="SimSun" w:hint="eastAsia"/>
                <w:bCs/>
                <w:sz w:val="22"/>
                <w:szCs w:val="22"/>
                <w:lang w:val="en-GB" w:bidi="en-GB"/>
              </w:rPr>
              <w:t>第20段</w:t>
            </w:r>
          </w:p>
        </w:tc>
      </w:tr>
    </w:tbl>
    <w:p w14:paraId="7009B7A4" w14:textId="77777777" w:rsidR="00A42B5E" w:rsidRPr="00EF0B02" w:rsidRDefault="00A42B5E" w:rsidP="00A42B5E">
      <w:pPr>
        <w:pStyle w:val="ListParagraph"/>
        <w:keepLines/>
        <w:numPr>
          <w:ilvl w:val="0"/>
          <w:numId w:val="3"/>
        </w:numPr>
        <w:spacing w:after="240"/>
        <w:ind w:left="567" w:hanging="567"/>
        <w:contextualSpacing w:val="0"/>
        <w:rPr>
          <w:rFonts w:ascii="Arial" w:hAnsi="Arial" w:cs="Arial"/>
          <w:b/>
          <w:snapToGrid w:val="0"/>
          <w:lang w:val="en-GB"/>
        </w:rPr>
      </w:pPr>
      <w:r w:rsidRPr="00EF0B02">
        <w:rPr>
          <w:rFonts w:hint="eastAsia"/>
          <w:lang w:val="zh-CN" w:bidi="zh-CN"/>
        </w:rPr>
        <w:br w:type="page"/>
      </w:r>
    </w:p>
    <w:p w14:paraId="3FD7015E" w14:textId="77777777" w:rsidR="00A42B5E" w:rsidRPr="00D22638" w:rsidRDefault="00A42B5E" w:rsidP="00A42B5E">
      <w:pPr>
        <w:pStyle w:val="COMPara"/>
        <w:numPr>
          <w:ilvl w:val="0"/>
          <w:numId w:val="0"/>
        </w:numPr>
        <w:spacing w:before="240"/>
        <w:jc w:val="both"/>
        <w:rPr>
          <w:rFonts w:ascii="SimSun" w:hAnsi="SimSun"/>
          <w:b/>
          <w:bCs/>
        </w:rPr>
      </w:pPr>
      <w:bookmarkStart w:id="0" w:name="_Hlk124351255"/>
      <w:r w:rsidRPr="00D22638">
        <w:rPr>
          <w:rFonts w:ascii="SimSun" w:hAnsi="SimSun" w:hint="eastAsia"/>
          <w:b/>
        </w:rPr>
        <w:lastRenderedPageBreak/>
        <w:t>背景</w:t>
      </w:r>
    </w:p>
    <w:bookmarkEnd w:id="0"/>
    <w:p w14:paraId="0033E80D" w14:textId="038A169C" w:rsidR="00B25FFD" w:rsidRPr="00D22638" w:rsidRDefault="00B25FFD" w:rsidP="00B25FFD">
      <w:pPr>
        <w:pStyle w:val="COMPara"/>
        <w:ind w:left="567" w:hanging="567"/>
        <w:jc w:val="both"/>
        <w:rPr>
          <w:rFonts w:ascii="SimSun" w:hAnsi="SimSun"/>
          <w:bCs/>
          <w:lang w:val="en-US"/>
        </w:rPr>
      </w:pPr>
      <w:r w:rsidRPr="00D22638">
        <w:rPr>
          <w:rFonts w:ascii="SimSun" w:hAnsi="SimSun"/>
          <w:lang w:val="zh-CN" w:bidi="zh-CN"/>
        </w:rPr>
        <w:t>根据第</w:t>
      </w:r>
      <w:r>
        <w:fldChar w:fldCharType="begin"/>
      </w:r>
      <w:r>
        <w:instrText>HYPERLINK "https://ich.unesco.org/en/decisions/10.GA/6"</w:instrText>
      </w:r>
      <w:r>
        <w:fldChar w:fldCharType="separate"/>
      </w:r>
      <w:r w:rsidRPr="00D22638">
        <w:rPr>
          <w:rStyle w:val="Hyperlink"/>
          <w:rFonts w:ascii="SimSun" w:hAnsi="SimSun"/>
          <w:lang w:val="zh-CN" w:bidi="zh-CN"/>
        </w:rPr>
        <w:t>10.GA 6</w:t>
      </w:r>
      <w:r>
        <w:fldChar w:fldCharType="end"/>
      </w:r>
      <w:r w:rsidRPr="00D22638">
        <w:rPr>
          <w:rFonts w:ascii="SimSun" w:hAnsi="SimSun"/>
          <w:lang w:val="zh-CN" w:bidi="zh-CN"/>
        </w:rPr>
        <w:t>号决议，本报告重点介绍2003年《公约》秘书处在2024年1月至2025年12月期间的工作。报告期与教科文组织的其他报告流程一致，即</w:t>
      </w:r>
      <w:hyperlink r:id="rId7" w:history="1">
        <w:r w:rsidRPr="00D22638">
          <w:rPr>
            <w:rStyle w:val="Hyperlink"/>
            <w:rFonts w:ascii="SimSun" w:hAnsi="SimSun"/>
            <w:lang w:val="zh-CN" w:bidi="zh-CN"/>
          </w:rPr>
          <w:t>总干事关于大会通过的</w:t>
        </w:r>
        <w:r w:rsidR="00F30DB6">
          <w:rPr>
            <w:rStyle w:val="Hyperlink"/>
            <w:rFonts w:ascii="SimSun" w:hAnsi="SimSun" w:hint="eastAsia"/>
            <w:lang w:val="zh-CN" w:bidi="zh-CN"/>
          </w:rPr>
          <w:t>计划</w:t>
        </w:r>
        <w:r w:rsidRPr="00D22638">
          <w:rPr>
            <w:rStyle w:val="Hyperlink"/>
            <w:rFonts w:ascii="SimSun" w:hAnsi="SimSun"/>
            <w:lang w:val="zh-CN" w:bidi="zh-CN"/>
          </w:rPr>
          <w:t>执行</w:t>
        </w:r>
        <w:r w:rsidR="00F30DB6">
          <w:rPr>
            <w:rStyle w:val="Hyperlink"/>
            <w:rFonts w:ascii="SimSun" w:hAnsi="SimSun" w:hint="eastAsia"/>
            <w:lang w:val="zh-CN" w:bidi="zh-CN"/>
          </w:rPr>
          <w:t xml:space="preserve"> C/5实施</w:t>
        </w:r>
        <w:r w:rsidRPr="00D22638">
          <w:rPr>
            <w:rStyle w:val="Hyperlink"/>
            <w:rFonts w:ascii="SimSun" w:hAnsi="SimSun"/>
            <w:lang w:val="zh-CN" w:bidi="zh-CN"/>
          </w:rPr>
          <w:t>情况的报告</w:t>
        </w:r>
      </w:hyperlink>
      <w:r w:rsidRPr="00D22638">
        <w:rPr>
          <w:rFonts w:ascii="SimSun" w:hAnsi="SimSun"/>
          <w:lang w:val="zh-CN" w:bidi="zh-CN"/>
        </w:rPr>
        <w:t>（EX/4）。</w:t>
      </w:r>
      <w:hyperlink w:anchor="AnnexI" w:history="1">
        <w:r w:rsidRPr="00D22638">
          <w:rPr>
            <w:rStyle w:val="Hyperlink"/>
            <w:rFonts w:ascii="SimSun" w:hAnsi="SimSun"/>
            <w:lang w:val="zh-CN" w:bidi="zh-CN"/>
          </w:rPr>
          <w:t>附件一</w:t>
        </w:r>
      </w:hyperlink>
      <w:r w:rsidRPr="00D22638">
        <w:rPr>
          <w:rFonts w:ascii="SimSun" w:hAnsi="SimSun"/>
          <w:lang w:val="zh-CN" w:bidi="zh-CN"/>
        </w:rPr>
        <w:t>说明了秘书处的工作对42 C/5成果框架，更具体地说，对重大计划IV的</w:t>
      </w:r>
      <w:r w:rsidR="00AA134A">
        <w:rPr>
          <w:rFonts w:ascii="SimSun" w:hAnsi="SimSun" w:hint="eastAsia"/>
          <w:lang w:val="en-US" w:bidi="zh-CN"/>
        </w:rPr>
        <w:t>成果</w:t>
      </w:r>
      <w:r w:rsidRPr="00D22638">
        <w:rPr>
          <w:rFonts w:ascii="SimSun" w:hAnsi="SimSun"/>
          <w:lang w:val="zh-CN" w:bidi="zh-CN"/>
        </w:rPr>
        <w:t>5.CLT4之下的业绩指标的贡献。</w:t>
      </w:r>
      <w:hyperlink w:anchor="AnnexII" w:history="1">
        <w:r w:rsidRPr="00D22638">
          <w:rPr>
            <w:rStyle w:val="Hyperlink"/>
            <w:rFonts w:ascii="SimSun" w:hAnsi="SimSun"/>
            <w:lang w:val="zh-CN" w:bidi="zh-CN"/>
          </w:rPr>
          <w:t>附件二</w:t>
        </w:r>
      </w:hyperlink>
      <w:r w:rsidRPr="00D22638">
        <w:rPr>
          <w:rFonts w:ascii="SimSun" w:hAnsi="SimSun"/>
          <w:lang w:val="zh-CN" w:bidi="zh-CN"/>
        </w:rPr>
        <w:t>提供了对</w:t>
      </w:r>
      <w:r w:rsidRPr="00D22638">
        <w:rPr>
          <w:rFonts w:ascii="SimSun" w:hAnsi="SimSun"/>
        </w:rPr>
        <w:fldChar w:fldCharType="begin"/>
      </w:r>
      <w:r w:rsidRPr="00D22638">
        <w:rPr>
          <w:rFonts w:ascii="SimSun" w:hAnsi="SimSun"/>
        </w:rPr>
        <w:instrText>HYPERLINK "https://ich.unesco.org/doc/src/LHE-21-16.COM-INF.10_Rev.-EN.pdf"</w:instrText>
      </w:r>
      <w:r w:rsidRPr="00D22638">
        <w:rPr>
          <w:rFonts w:ascii="SimSun" w:hAnsi="SimSun"/>
        </w:rPr>
      </w:r>
      <w:r w:rsidRPr="00D22638">
        <w:rPr>
          <w:rFonts w:ascii="SimSun" w:hAnsi="SimSun"/>
        </w:rPr>
        <w:fldChar w:fldCharType="separate"/>
      </w:r>
      <w:r w:rsidRPr="00D22638">
        <w:rPr>
          <w:rStyle w:val="Hyperlink"/>
          <w:rFonts w:ascii="SimSun" w:hAnsi="SimSun"/>
          <w:lang w:val="zh-CN" w:bidi="zh-CN"/>
        </w:rPr>
        <w:t>2021年</w:t>
      </w:r>
      <w:r w:rsidR="00AA134A">
        <w:rPr>
          <w:rStyle w:val="Hyperlink"/>
          <w:rFonts w:ascii="SimSun" w:hAnsi="SimSun" w:hint="eastAsia"/>
          <w:lang w:val="zh-CN" w:bidi="zh-CN"/>
        </w:rPr>
        <w:t>内部监督事务</w:t>
      </w:r>
      <w:r w:rsidR="003563A9">
        <w:rPr>
          <w:rStyle w:val="Hyperlink"/>
          <w:rFonts w:ascii="SimSun" w:hAnsi="SimSun" w:hint="eastAsia"/>
          <w:lang w:val="zh-CN" w:bidi="zh-CN"/>
        </w:rPr>
        <w:t>厅</w:t>
      </w:r>
      <w:r w:rsidR="00AA134A">
        <w:rPr>
          <w:rStyle w:val="Hyperlink"/>
          <w:rFonts w:ascii="SimSun" w:hAnsi="SimSun" w:hint="eastAsia"/>
          <w:lang w:val="zh-CN" w:bidi="zh-CN"/>
        </w:rPr>
        <w:t>（</w:t>
      </w:r>
      <w:r w:rsidRPr="00D22638">
        <w:rPr>
          <w:rStyle w:val="Hyperlink"/>
          <w:rFonts w:ascii="SimSun" w:hAnsi="SimSun"/>
          <w:lang w:val="zh-CN" w:bidi="zh-CN"/>
        </w:rPr>
        <w:t>IOS</w:t>
      </w:r>
      <w:r w:rsidR="00AA134A">
        <w:rPr>
          <w:rStyle w:val="Hyperlink"/>
          <w:rFonts w:ascii="SimSun" w:hAnsi="SimSun" w:hint="eastAsia"/>
          <w:lang w:val="zh-CN" w:bidi="zh-CN"/>
        </w:rPr>
        <w:t>）</w:t>
      </w:r>
      <w:r w:rsidRPr="00D22638">
        <w:rPr>
          <w:rStyle w:val="Hyperlink"/>
          <w:rFonts w:ascii="SimSun" w:hAnsi="SimSun"/>
          <w:lang w:val="zh-CN" w:bidi="zh-CN"/>
        </w:rPr>
        <w:t>对教科文组织在2003年《公约》框架内行动的评估</w:t>
      </w:r>
      <w:r w:rsidRPr="00D22638">
        <w:rPr>
          <w:rFonts w:ascii="SimSun" w:hAnsi="SimSun"/>
        </w:rPr>
        <w:fldChar w:fldCharType="end"/>
      </w:r>
      <w:r w:rsidRPr="00D22638">
        <w:rPr>
          <w:rFonts w:ascii="SimSun" w:hAnsi="SimSun"/>
          <w:lang w:val="zh-CN" w:bidi="zh-CN"/>
        </w:rPr>
        <w:t>的十二项建议的跟进。</w:t>
      </w:r>
      <w:r w:rsidRPr="00D22638">
        <w:rPr>
          <w:rStyle w:val="FootnoteReference"/>
          <w:rFonts w:ascii="SimSun" w:hAnsi="SimSun"/>
          <w:lang w:val="zh-CN" w:bidi="zh-CN"/>
        </w:rPr>
        <w:footnoteReference w:id="1"/>
      </w:r>
      <w:r w:rsidRPr="00D22638">
        <w:rPr>
          <w:rFonts w:ascii="SimSun" w:hAnsi="SimSun"/>
          <w:lang w:val="zh-CN" w:bidi="zh-CN"/>
        </w:rPr>
        <w:t>该报告还应与《公约》保护非物质文化遗产基金在同一报告期内的财务报告（</w:t>
      </w:r>
      <w:r w:rsidRPr="00495054">
        <w:fldChar w:fldCharType="begin"/>
      </w:r>
      <w:r w:rsidRPr="00495054">
        <w:instrText>HYPERLINK "https://ich.unesco.org/doc/src/LHE-26-11.GA-INF.8_EN.docx"</w:instrText>
      </w:r>
      <w:r w:rsidRPr="00495054">
        <w:fldChar w:fldCharType="separate"/>
      </w:r>
      <w:r w:rsidRPr="00E178DC">
        <w:rPr>
          <w:rStyle w:val="Hyperlink"/>
          <w:rFonts w:ascii="SimSun" w:hAnsi="SimSun"/>
          <w:lang w:val="zh-CN" w:bidi="zh-CN"/>
        </w:rPr>
        <w:t>LHE/26/11.GA/INF.8</w:t>
      </w:r>
      <w:r w:rsidRPr="00495054">
        <w:fldChar w:fldCharType="end"/>
      </w:r>
      <w:r w:rsidRPr="00D22638">
        <w:rPr>
          <w:rFonts w:ascii="SimSun" w:hAnsi="SimSun"/>
          <w:lang w:val="zh-CN" w:bidi="zh-CN"/>
        </w:rPr>
        <w:t>号文件）一并阅读。</w:t>
      </w:r>
    </w:p>
    <w:p w14:paraId="6259DCF7" w14:textId="6392100C" w:rsidR="00B25FFD" w:rsidRPr="00D22638" w:rsidRDefault="00B25FFD" w:rsidP="00B25FFD">
      <w:pPr>
        <w:pStyle w:val="COMPara"/>
        <w:ind w:left="567" w:hanging="567"/>
        <w:jc w:val="both"/>
        <w:rPr>
          <w:rFonts w:ascii="SimSun" w:hAnsi="SimSun"/>
          <w:bCs/>
          <w:lang w:val="en-US"/>
        </w:rPr>
      </w:pPr>
      <w:r w:rsidRPr="00D22638">
        <w:rPr>
          <w:rFonts w:ascii="SimSun" w:hAnsi="SimSun"/>
          <w:lang w:val="zh-CN" w:bidi="zh-CN"/>
        </w:rPr>
        <w:t>秘书处的核心活动主要集中在《公约》的治理（第一部分）、业务活动和主题举措（第二部分），以及伙伴关系、</w:t>
      </w:r>
      <w:r w:rsidR="00134CF5">
        <w:rPr>
          <w:rFonts w:ascii="SimSun" w:hAnsi="SimSun" w:hint="eastAsia"/>
          <w:lang w:val="fr-FR" w:bidi="zh-CN"/>
        </w:rPr>
        <w:t>传播与宣传推广</w:t>
      </w:r>
      <w:r w:rsidRPr="00D22638">
        <w:rPr>
          <w:rFonts w:ascii="SimSun" w:hAnsi="SimSun"/>
          <w:lang w:val="zh-CN" w:bidi="zh-CN"/>
        </w:rPr>
        <w:t>（第三部分）。该报告还简要概述了《公约》的未来方向及其与其他公约和方案的协同作用（第四部分）。</w:t>
      </w:r>
    </w:p>
    <w:p w14:paraId="2C7EC9F2" w14:textId="708A05CC" w:rsidR="00B25FFD" w:rsidRPr="00D22638" w:rsidRDefault="00B25FFD" w:rsidP="00E178DC">
      <w:pPr>
        <w:pStyle w:val="COMPara"/>
        <w:numPr>
          <w:ilvl w:val="0"/>
          <w:numId w:val="9"/>
        </w:numPr>
        <w:spacing w:before="240"/>
        <w:jc w:val="both"/>
        <w:rPr>
          <w:rFonts w:ascii="SimSun" w:hAnsi="SimSun"/>
          <w:b/>
          <w:bCs/>
        </w:rPr>
      </w:pPr>
      <w:r w:rsidRPr="00D22638">
        <w:rPr>
          <w:rFonts w:ascii="SimSun" w:hAnsi="SimSun"/>
          <w:b/>
          <w:lang w:val="zh-CN" w:bidi="zh-CN"/>
        </w:rPr>
        <w:t>《公约》的治理</w:t>
      </w:r>
    </w:p>
    <w:p w14:paraId="17162574" w14:textId="139145C6" w:rsidR="00B25FFD" w:rsidRPr="00D22638" w:rsidRDefault="00B25FFD" w:rsidP="00B25FFD">
      <w:pPr>
        <w:pStyle w:val="COMPara"/>
        <w:ind w:left="567" w:hanging="567"/>
        <w:jc w:val="both"/>
        <w:rPr>
          <w:rFonts w:ascii="SimSun" w:hAnsi="SimSun"/>
        </w:rPr>
      </w:pPr>
      <w:r w:rsidRPr="00D22638">
        <w:rPr>
          <w:rFonts w:ascii="SimSun" w:hAnsi="SimSun"/>
          <w:lang w:val="zh-CN" w:bidi="zh-CN"/>
        </w:rPr>
        <w:t>秘书处组织了</w:t>
      </w:r>
      <w:r w:rsidRPr="00E178DC">
        <w:rPr>
          <w:rFonts w:ascii="SimSun" w:hAnsi="SimSun"/>
          <w:lang w:val="zh-CN" w:bidi="zh-CN"/>
        </w:rPr>
        <w:t>三十七次</w:t>
      </w:r>
      <w:r w:rsidRPr="00D22638">
        <w:rPr>
          <w:rFonts w:ascii="SimSun" w:hAnsi="SimSun"/>
          <w:lang w:val="zh-CN" w:bidi="zh-CN"/>
        </w:rPr>
        <w:t>法定会议，确保为《公约》理事机构提供行政、后勤和实质性支持。通过《公约》的网站，公布了</w:t>
      </w:r>
      <w:hyperlink r:id="rId8" w:history="1">
        <w:r w:rsidRPr="00D22638">
          <w:rPr>
            <w:rStyle w:val="Hyperlink"/>
            <w:rFonts w:ascii="SimSun" w:hAnsi="SimSun"/>
            <w:lang w:val="zh-CN" w:bidi="zh-CN"/>
          </w:rPr>
          <w:t>2024年</w:t>
        </w:r>
      </w:hyperlink>
      <w:r w:rsidRPr="00D22638">
        <w:rPr>
          <w:rFonts w:ascii="SimSun" w:hAnsi="SimSun"/>
          <w:lang w:val="zh-CN" w:bidi="zh-CN"/>
        </w:rPr>
        <w:t>和</w:t>
      </w:r>
      <w:hyperlink r:id="rId9" w:history="1">
        <w:r w:rsidRPr="00D22638">
          <w:rPr>
            <w:rStyle w:val="Hyperlink"/>
            <w:rFonts w:ascii="SimSun" w:hAnsi="SimSun"/>
            <w:lang w:val="zh-CN" w:bidi="zh-CN"/>
          </w:rPr>
          <w:t>2025年</w:t>
        </w:r>
      </w:hyperlink>
      <w:r w:rsidRPr="00D22638">
        <w:rPr>
          <w:rFonts w:ascii="SimSun" w:hAnsi="SimSun"/>
          <w:lang w:val="zh-CN" w:bidi="zh-CN"/>
        </w:rPr>
        <w:t>的年度法定会议时间表，并定期更新。此外，在本报告所述期间，还完成了对2003年《公约》</w:t>
      </w:r>
      <w:r w:rsidR="00711AA2">
        <w:rPr>
          <w:rFonts w:ascii="SimSun" w:hAnsi="SimSun" w:hint="eastAsia"/>
          <w:lang w:val="zh-CN" w:bidi="zh-CN"/>
        </w:rPr>
        <w:t>《</w:t>
      </w:r>
      <w:r w:rsidRPr="00D22638">
        <w:rPr>
          <w:rFonts w:ascii="SimSun" w:hAnsi="SimSun"/>
          <w:lang w:val="zh-CN" w:bidi="zh-CN"/>
        </w:rPr>
        <w:t>业务指南</w:t>
      </w:r>
      <w:r w:rsidR="00711AA2">
        <w:rPr>
          <w:rFonts w:ascii="SimSun" w:hAnsi="SimSun" w:hint="eastAsia"/>
          <w:lang w:val="zh-CN" w:bidi="zh-CN"/>
        </w:rPr>
        <w:t>》</w:t>
      </w:r>
      <w:r w:rsidRPr="00D22638">
        <w:rPr>
          <w:rFonts w:ascii="SimSun" w:hAnsi="SimSun"/>
          <w:lang w:val="zh-CN" w:bidi="zh-CN"/>
        </w:rPr>
        <w:t>（第</w:t>
      </w:r>
      <w:r>
        <w:fldChar w:fldCharType="begin"/>
      </w:r>
      <w:r w:rsidR="0008717F">
        <w:instrText>HYPERLINK "https://ich.unesco.org/doc/src/LHE-24-10.GA-Resolutions_ZH.docx?v=1721290689"</w:instrText>
      </w:r>
      <w:r>
        <w:fldChar w:fldCharType="separate"/>
      </w:r>
      <w:r w:rsidRPr="00D22638">
        <w:rPr>
          <w:rStyle w:val="Hyperlink"/>
          <w:rFonts w:ascii="SimSun" w:hAnsi="SimSun"/>
          <w:lang w:val="zh-CN" w:bidi="zh-CN"/>
        </w:rPr>
        <w:t>10.GA 7</w:t>
      </w:r>
      <w:r>
        <w:fldChar w:fldCharType="end"/>
      </w:r>
      <w:r w:rsidRPr="00D22638">
        <w:rPr>
          <w:rFonts w:ascii="SimSun" w:hAnsi="SimSun"/>
          <w:lang w:val="zh-CN" w:bidi="zh-CN"/>
        </w:rPr>
        <w:t>号决议）的修订。关于委员会在2024年1月至2025年12月期间活动的报告已提交大会本届会议（</w:t>
      </w:r>
      <w:hyperlink r:id="rId10" w:history="1">
        <w:r w:rsidRPr="00E178DC">
          <w:rPr>
            <w:rStyle w:val="Hyperlink"/>
            <w:rFonts w:ascii="SimSun" w:hAnsi="SimSun"/>
            <w:lang w:val="zh-CN" w:bidi="zh-CN"/>
          </w:rPr>
          <w:t>LHE/26/11.GA/5</w:t>
        </w:r>
      </w:hyperlink>
      <w:r w:rsidRPr="00D22638">
        <w:rPr>
          <w:rFonts w:ascii="SimSun" w:hAnsi="SimSun"/>
          <w:lang w:val="zh-CN" w:bidi="zh-CN"/>
        </w:rPr>
        <w:t>号文件）。</w:t>
      </w:r>
    </w:p>
    <w:p w14:paraId="47A79321" w14:textId="472E80BD" w:rsidR="00B25FFD" w:rsidRPr="00D22638" w:rsidRDefault="00B25FFD" w:rsidP="00B25FFD">
      <w:pPr>
        <w:pStyle w:val="COMPara"/>
        <w:ind w:left="567" w:hanging="567"/>
        <w:jc w:val="both"/>
        <w:rPr>
          <w:rFonts w:ascii="SimSun" w:hAnsi="SimSun"/>
        </w:rPr>
      </w:pPr>
      <w:r w:rsidRPr="00D22638">
        <w:rPr>
          <w:rFonts w:ascii="SimSun" w:hAnsi="SimSun"/>
          <w:lang w:val="zh-CN" w:bidi="zh-CN"/>
        </w:rPr>
        <w:t>秘书处为《</w:t>
      </w:r>
      <w:r w:rsidRPr="00D22638">
        <w:rPr>
          <w:rFonts w:ascii="SimSun" w:hAnsi="SimSun"/>
          <w:u w:val="single"/>
          <w:lang w:val="zh-CN" w:bidi="zh-CN"/>
        </w:rPr>
        <w:t>公约》的国际合作机制</w:t>
      </w:r>
      <w:r w:rsidRPr="00D22638">
        <w:rPr>
          <w:rFonts w:ascii="SimSun" w:hAnsi="SimSun"/>
          <w:lang w:val="zh-CN" w:bidi="zh-CN"/>
        </w:rPr>
        <w:t>提供了实质性支持。主要工作量涉及处理2024年和2025年周期的申报材料以供审查机构评估，同时检查2025年和2026年周期下申报材料的技术完整性。此外，秘书处还受理了定期报告，以及非政府组织（NGO）的认证和续期申请。根据委员会第二十届会议的建议，这些认证申请已提交大会本届会议（</w:t>
      </w:r>
      <w:hyperlink r:id="rId11" w:history="1">
        <w:r w:rsidRPr="00E178DC">
          <w:rPr>
            <w:rStyle w:val="Hyperlink"/>
            <w:rFonts w:ascii="SimSun" w:hAnsi="SimSun"/>
            <w:lang w:val="zh-CN" w:bidi="zh-CN"/>
          </w:rPr>
          <w:t>LHE/26/11.GA/9</w:t>
        </w:r>
      </w:hyperlink>
      <w:r w:rsidRPr="00D22638">
        <w:rPr>
          <w:rFonts w:ascii="SimSun" w:hAnsi="SimSun"/>
          <w:lang w:val="zh-CN" w:bidi="zh-CN"/>
        </w:rPr>
        <w:t>号文件）。</w:t>
      </w:r>
    </w:p>
    <w:p w14:paraId="02C4377A" w14:textId="569AF9D5" w:rsidR="00B25FFD" w:rsidRPr="00D22638" w:rsidRDefault="00B25FFD" w:rsidP="00B25FFD">
      <w:pPr>
        <w:pStyle w:val="COMPara"/>
        <w:ind w:left="567" w:hanging="567"/>
        <w:jc w:val="both"/>
        <w:rPr>
          <w:rStyle w:val="ui-provider"/>
          <w:rFonts w:ascii="SimSun" w:hAnsi="SimSun"/>
        </w:rPr>
      </w:pPr>
      <w:r w:rsidRPr="00D22638">
        <w:rPr>
          <w:rStyle w:val="ui-provider"/>
          <w:rFonts w:ascii="SimSun" w:hAnsi="SimSun"/>
          <w:lang w:val="zh-CN" w:bidi="zh-CN"/>
        </w:rPr>
        <w:t>继对《公约》名录列入机制进行全球性反思（2018-2022年）之后，《公约》理事机构注意到，在审查和评</w:t>
      </w:r>
      <w:r w:rsidRPr="00E178DC">
        <w:rPr>
          <w:rStyle w:val="ui-provider"/>
          <w:rFonts w:ascii="SimSun" w:hAnsi="SimSun"/>
          <w:lang w:val="zh-CN" w:bidi="zh-CN"/>
        </w:rPr>
        <w:t>审</w:t>
      </w:r>
      <w:r w:rsidRPr="00D22638">
        <w:rPr>
          <w:rStyle w:val="ui-provider"/>
          <w:rFonts w:ascii="SimSun" w:hAnsi="SimSun"/>
          <w:u w:val="single"/>
          <w:lang w:val="zh-CN" w:bidi="zh-CN"/>
        </w:rPr>
        <w:t>申报材料</w:t>
      </w:r>
      <w:r w:rsidRPr="00D22638">
        <w:rPr>
          <w:rStyle w:val="ui-provider"/>
          <w:rFonts w:ascii="SimSun" w:hAnsi="SimSun"/>
          <w:lang w:val="zh-CN" w:bidi="zh-CN"/>
        </w:rPr>
        <w:t>方面，秘书处为审查机构和委员会提供支持的工作范围面临着日益增长的需求。</w:t>
      </w:r>
      <w:r w:rsidRPr="00495054">
        <w:rPr>
          <w:rStyle w:val="ui-provider"/>
          <w:rFonts w:ascii="SimSun" w:hAnsi="SimSun"/>
          <w:lang w:val="zh-CN" w:bidi="zh-CN"/>
        </w:rPr>
        <w:t>特别是，处理的</w:t>
      </w:r>
      <w:r w:rsidRPr="00E178DC">
        <w:rPr>
          <w:rStyle w:val="ui-provider"/>
          <w:rFonts w:ascii="SimSun" w:hAnsi="SimSun"/>
          <w:u w:val="single"/>
          <w:lang w:val="zh-CN" w:bidi="zh-CN"/>
        </w:rPr>
        <w:t>申报材料数量</w:t>
      </w:r>
      <w:r w:rsidRPr="00495054">
        <w:rPr>
          <w:rStyle w:val="ui-provider"/>
          <w:rFonts w:ascii="SimSun" w:hAnsi="SimSun"/>
          <w:lang w:val="zh-CN" w:bidi="zh-CN"/>
        </w:rPr>
        <w:t>（2024年和2025年周期共计140份，而2022年和2023年周期共计121份）</w:t>
      </w:r>
      <w:r w:rsidR="008B6DDE" w:rsidRPr="00E178DC">
        <w:rPr>
          <w:rStyle w:val="ui-provider"/>
          <w:rFonts w:ascii="SimSun" w:hAnsi="SimSun" w:hint="eastAsia"/>
          <w:lang w:val="zh-CN" w:bidi="zh-CN"/>
        </w:rPr>
        <w:t>，</w:t>
      </w:r>
      <w:r w:rsidRPr="00495054">
        <w:rPr>
          <w:rStyle w:val="ui-provider"/>
          <w:rFonts w:ascii="SimSun" w:hAnsi="SimSun"/>
          <w:lang w:val="zh-CN" w:bidi="zh-CN"/>
        </w:rPr>
        <w:t>这既反映了</w:t>
      </w:r>
      <w:r w:rsidRPr="00E178DC">
        <w:rPr>
          <w:rStyle w:val="ui-provider"/>
          <w:rFonts w:ascii="SimSun" w:hAnsi="SimSun"/>
          <w:lang w:val="zh-CN" w:bidi="zh-CN"/>
        </w:rPr>
        <w:t>在每年处理60份材料的上限内所处理的材料</w:t>
      </w:r>
      <w:r w:rsidRPr="00495054">
        <w:rPr>
          <w:rStyle w:val="ui-provider"/>
          <w:rFonts w:ascii="SimSun" w:hAnsi="SimSun"/>
          <w:lang w:val="zh-CN" w:bidi="zh-CN"/>
        </w:rPr>
        <w:t>，也反映了根据第</w:t>
      </w:r>
      <w:r w:rsidRPr="00495054">
        <w:rPr>
          <w:rFonts w:ascii="SimSun" w:hAnsi="SimSun"/>
        </w:rPr>
        <w:fldChar w:fldCharType="begin"/>
      </w:r>
      <w:r w:rsidRPr="00495054">
        <w:rPr>
          <w:rFonts w:ascii="SimSun" w:hAnsi="SimSun"/>
        </w:rPr>
        <w:instrText>HYPERLINK "https://ich.unesco.org/en/decisions/17.COM/15"</w:instrText>
      </w:r>
      <w:r w:rsidRPr="00495054">
        <w:rPr>
          <w:rFonts w:ascii="SimSun" w:hAnsi="SimSun"/>
        </w:rPr>
      </w:r>
      <w:r w:rsidRPr="00495054">
        <w:rPr>
          <w:rFonts w:ascii="SimSun" w:hAnsi="SimSun"/>
        </w:rPr>
        <w:fldChar w:fldCharType="separate"/>
      </w:r>
      <w:r w:rsidRPr="00495054">
        <w:rPr>
          <w:rStyle w:val="Hyperlink"/>
          <w:rFonts w:ascii="SimSun" w:hAnsi="SimSun"/>
          <w:lang w:val="zh-CN" w:bidi="zh-CN"/>
        </w:rPr>
        <w:t>17.COM 15</w:t>
      </w:r>
      <w:r w:rsidRPr="00495054">
        <w:rPr>
          <w:rFonts w:ascii="SimSun" w:hAnsi="SimSun"/>
        </w:rPr>
        <w:fldChar w:fldCharType="end"/>
      </w:r>
      <w:r w:rsidRPr="00495054">
        <w:rPr>
          <w:rStyle w:val="ui-provider"/>
          <w:rFonts w:ascii="SimSun" w:hAnsi="SimSun"/>
          <w:lang w:val="zh-CN" w:bidi="zh-CN"/>
        </w:rPr>
        <w:t>号和第</w:t>
      </w:r>
      <w:hyperlink r:id="rId12" w:history="1">
        <w:r w:rsidRPr="00495054">
          <w:rPr>
            <w:rStyle w:val="Hyperlink"/>
            <w:rFonts w:ascii="SimSun" w:hAnsi="SimSun"/>
            <w:lang w:val="zh-CN" w:bidi="zh-CN"/>
          </w:rPr>
          <w:t>19.COM</w:t>
        </w:r>
        <w:r w:rsidR="001C3F12" w:rsidRPr="00E178DC">
          <w:rPr>
            <w:rStyle w:val="Hyperlink"/>
            <w:rFonts w:ascii="SimSun" w:hAnsi="SimSun"/>
            <w:lang w:val="zh-CN" w:bidi="zh-CN"/>
          </w:rPr>
          <w:t xml:space="preserve"> </w:t>
        </w:r>
        <w:r w:rsidRPr="00495054">
          <w:rPr>
            <w:rStyle w:val="Hyperlink"/>
            <w:rFonts w:ascii="SimSun" w:hAnsi="SimSun"/>
            <w:lang w:val="zh-CN" w:bidi="zh-CN"/>
          </w:rPr>
          <w:t>15</w:t>
        </w:r>
      </w:hyperlink>
      <w:r w:rsidRPr="00495054">
        <w:rPr>
          <w:rStyle w:val="ui-provider"/>
          <w:rFonts w:ascii="SimSun" w:hAnsi="SimSun"/>
          <w:lang w:val="zh-CN" w:bidi="zh-CN"/>
        </w:rPr>
        <w:t>号决定，需在年度上限之外处理的不同类别的材料。</w:t>
      </w:r>
      <w:r w:rsidRPr="00D22638">
        <w:rPr>
          <w:rStyle w:val="ui-provider"/>
          <w:rFonts w:ascii="SimSun" w:hAnsi="SimSun"/>
          <w:lang w:val="zh-CN" w:bidi="zh-CN"/>
        </w:rPr>
        <w:t>同样，在2026年周期中，</w:t>
      </w:r>
      <w:r w:rsidRPr="00E178DC">
        <w:rPr>
          <w:rStyle w:val="ui-provider"/>
          <w:rFonts w:ascii="SimSun" w:hAnsi="SimSun"/>
          <w:lang w:val="zh-CN" w:bidi="zh-CN"/>
        </w:rPr>
        <w:t>已经初步处理了71份材料</w:t>
      </w:r>
      <w:r w:rsidRPr="00D22638">
        <w:rPr>
          <w:rStyle w:val="ui-provider"/>
          <w:rFonts w:ascii="SimSun" w:hAnsi="SimSun"/>
          <w:lang w:val="zh-CN" w:bidi="zh-CN"/>
        </w:rPr>
        <w:t>（需要审议的材料是137份），尽管2027年的周期仍在确立中（需要审议的材料是170份），但预计处理的材料数量也将达到类似甚至更大数量。在过去四个周期中，这样的数量增长导致</w:t>
      </w:r>
      <w:r w:rsidR="008B6DDE">
        <w:rPr>
          <w:rStyle w:val="ui-provider"/>
          <w:rFonts w:ascii="SimSun" w:hAnsi="SimSun" w:hint="eastAsia"/>
          <w:lang w:val="zh-CN" w:bidi="zh-CN"/>
        </w:rPr>
        <w:t>了</w:t>
      </w:r>
      <w:r w:rsidRPr="00D22638">
        <w:rPr>
          <w:rStyle w:val="ui-provider"/>
          <w:rFonts w:ascii="SimSun" w:hAnsi="SimSun"/>
          <w:lang w:val="zh-CN" w:bidi="zh-CN"/>
        </w:rPr>
        <w:t>秘书处的工作量增加，这既反映了“技术完整性检查”阶段涉及的繁杂程序，也反映了遗产项目在名录间转移以及</w:t>
      </w:r>
      <w:r w:rsidR="00034526">
        <w:rPr>
          <w:rStyle w:val="ui-provider"/>
          <w:rFonts w:ascii="SimSun" w:hAnsi="SimSun" w:hint="eastAsia"/>
          <w:lang w:val="zh-CN" w:bidi="zh-CN"/>
        </w:rPr>
        <w:t>扩展性</w:t>
      </w:r>
      <w:r w:rsidRPr="00D22638">
        <w:rPr>
          <w:rStyle w:val="ui-provider"/>
          <w:rFonts w:ascii="SimSun" w:hAnsi="SimSun"/>
          <w:lang w:val="zh-CN" w:bidi="zh-CN"/>
        </w:rPr>
        <w:t>申报中，所需审议的申报材料类型多样。鉴于秘书处可用的人力资源有限，且考虑到这一制约因素以及申报材料处理方面的其他技术问题（参见</w:t>
      </w:r>
      <w:hyperlink r:id="rId13" w:history="1">
        <w:r w:rsidRPr="00D22638">
          <w:rPr>
            <w:rStyle w:val="Hyperlink"/>
            <w:rFonts w:ascii="SimSun" w:hAnsi="SimSun"/>
            <w:lang w:val="zh-CN" w:bidi="zh-CN"/>
          </w:rPr>
          <w:t>LHE/25/20.COM/8</w:t>
        </w:r>
      </w:hyperlink>
      <w:r w:rsidRPr="00D22638">
        <w:rPr>
          <w:rStyle w:val="ui-provider"/>
          <w:rFonts w:ascii="SimSun" w:hAnsi="SimSun"/>
          <w:lang w:val="zh-CN" w:bidi="zh-CN"/>
        </w:rPr>
        <w:t>号文件），委员会建议大会本届会议批准对实施《公约》的</w:t>
      </w:r>
      <w:r w:rsidR="00034526">
        <w:rPr>
          <w:rStyle w:val="ui-provider"/>
          <w:rFonts w:ascii="SimSun" w:hAnsi="SimSun" w:hint="eastAsia"/>
          <w:lang w:val="zh-CN" w:bidi="zh-CN"/>
        </w:rPr>
        <w:t>《</w:t>
      </w:r>
      <w:r w:rsidRPr="00D22638">
        <w:rPr>
          <w:rStyle w:val="ui-provider"/>
          <w:rFonts w:ascii="SimSun" w:hAnsi="SimSun"/>
          <w:lang w:val="zh-CN" w:bidi="zh-CN"/>
        </w:rPr>
        <w:t>业务指南</w:t>
      </w:r>
      <w:r w:rsidR="00034526">
        <w:rPr>
          <w:rStyle w:val="ui-provider"/>
          <w:rFonts w:ascii="SimSun" w:hAnsi="SimSun" w:hint="eastAsia"/>
          <w:lang w:val="zh-CN" w:bidi="zh-CN"/>
        </w:rPr>
        <w:t>》</w:t>
      </w:r>
      <w:r w:rsidRPr="00D22638">
        <w:rPr>
          <w:rStyle w:val="ui-provider"/>
          <w:rFonts w:ascii="SimSun" w:hAnsi="SimSun"/>
          <w:lang w:val="zh-CN" w:bidi="zh-CN"/>
        </w:rPr>
        <w:t>的拟议修订（第</w:t>
      </w:r>
      <w:r>
        <w:fldChar w:fldCharType="begin"/>
      </w:r>
      <w:r>
        <w:instrText>HYPERLINK "https://ich.unesco.org/en/decisions/20.COM/8"</w:instrText>
      </w:r>
      <w:r>
        <w:fldChar w:fldCharType="separate"/>
      </w:r>
      <w:r w:rsidRPr="00D22638">
        <w:rPr>
          <w:rStyle w:val="Hyperlink"/>
          <w:rFonts w:ascii="SimSun" w:hAnsi="SimSun"/>
          <w:lang w:val="zh-CN" w:bidi="zh-CN"/>
        </w:rPr>
        <w:t>20.COM 8</w:t>
      </w:r>
      <w:r>
        <w:fldChar w:fldCharType="end"/>
      </w:r>
      <w:r w:rsidRPr="00D22638">
        <w:rPr>
          <w:rStyle w:val="ui-provider"/>
          <w:rFonts w:ascii="SimSun" w:hAnsi="SimSun"/>
          <w:lang w:val="zh-CN" w:bidi="zh-CN"/>
        </w:rPr>
        <w:t>号决定和</w:t>
      </w:r>
      <w:hyperlink r:id="rId14" w:history="1">
        <w:r w:rsidRPr="00E178DC">
          <w:rPr>
            <w:rStyle w:val="Hyperlink"/>
            <w:rFonts w:ascii="SimSun" w:hAnsi="SimSun"/>
            <w:lang w:val="zh-CN" w:bidi="zh-CN"/>
          </w:rPr>
          <w:t>LHE/26/11.GA/7</w:t>
        </w:r>
      </w:hyperlink>
      <w:r w:rsidRPr="00D22638">
        <w:rPr>
          <w:rStyle w:val="ui-provider"/>
          <w:rFonts w:ascii="SimSun" w:hAnsi="SimSun"/>
          <w:lang w:val="zh-CN" w:bidi="zh-CN"/>
        </w:rPr>
        <w:t>号文件）。委员会第二十一届会议将讨论2028年和2029年周期的申报材料数量，以及年度上限和优先次序制度问题，这些问题都需要进行调整，以管理未来的申报周期。</w:t>
      </w:r>
    </w:p>
    <w:p w14:paraId="3C90F8AB" w14:textId="4CC8BF2C" w:rsidR="00B25FFD" w:rsidRPr="00D22638" w:rsidRDefault="00B25FFD" w:rsidP="00B25FFD">
      <w:pPr>
        <w:pStyle w:val="COMPara"/>
        <w:ind w:left="567" w:hanging="567"/>
        <w:jc w:val="both"/>
        <w:rPr>
          <w:rFonts w:ascii="SimSun" w:hAnsi="SimSun"/>
        </w:rPr>
      </w:pPr>
      <w:r w:rsidRPr="00D22638">
        <w:rPr>
          <w:rFonts w:ascii="SimSun" w:hAnsi="SimSun"/>
          <w:lang w:val="zh-CN" w:bidi="zh-CN"/>
        </w:rPr>
        <w:t>秘书处也已经采取措施解决优秀保护实践登记册以及</w:t>
      </w:r>
      <w:r w:rsidRPr="00D22638">
        <w:rPr>
          <w:rFonts w:ascii="SimSun" w:hAnsi="SimSun"/>
          <w:u w:val="single"/>
          <w:lang w:val="zh-CN" w:bidi="zh-CN"/>
        </w:rPr>
        <w:t>《公约》第十八条</w:t>
      </w:r>
      <w:r w:rsidRPr="00D22638">
        <w:rPr>
          <w:rFonts w:ascii="SimSun" w:hAnsi="SimSun"/>
          <w:lang w:val="zh-CN" w:bidi="zh-CN"/>
        </w:rPr>
        <w:t>整条“未被充分利用”的问题。首先，秘书处推进了关于更广泛实施《公约》第十八条的</w:t>
      </w:r>
      <w:r w:rsidR="00034526">
        <w:rPr>
          <w:rFonts w:ascii="SimSun" w:hAnsi="SimSun" w:hint="eastAsia"/>
          <w:lang w:val="zh-CN" w:bidi="zh-CN"/>
        </w:rPr>
        <w:t>反思</w:t>
      </w:r>
      <w:r w:rsidRPr="00D22638">
        <w:rPr>
          <w:rFonts w:ascii="SimSun" w:hAnsi="SimSun"/>
          <w:lang w:val="zh-CN" w:bidi="zh-CN"/>
        </w:rPr>
        <w:t>工作，启动了初步版本的</w:t>
      </w:r>
      <w:hyperlink r:id="rId15" w:history="1">
        <w:r w:rsidRPr="00D22638">
          <w:rPr>
            <w:rStyle w:val="Hyperlink"/>
            <w:rFonts w:ascii="SimSun" w:hAnsi="SimSun"/>
            <w:lang w:val="zh-CN" w:bidi="zh-CN"/>
          </w:rPr>
          <w:t>分享全球社区保护经验的在线平台</w:t>
        </w:r>
      </w:hyperlink>
      <w:r w:rsidRPr="00D22638">
        <w:rPr>
          <w:rFonts w:ascii="SimSun" w:hAnsi="SimSun"/>
          <w:lang w:val="zh-CN" w:bidi="zh-CN"/>
        </w:rPr>
        <w:t>（由荷兰王国和大韩民国支持；参见</w:t>
      </w:r>
      <w:hyperlink r:id="rId16" w:history="1">
        <w:r w:rsidRPr="00D22638">
          <w:rPr>
            <w:rStyle w:val="Hyperlink"/>
            <w:rFonts w:ascii="SimSun" w:hAnsi="SimSun"/>
            <w:lang w:val="zh-CN" w:bidi="zh-CN"/>
          </w:rPr>
          <w:t>LHE/25/20.COM/11</w:t>
        </w:r>
      </w:hyperlink>
      <w:r w:rsidRPr="00D22638">
        <w:rPr>
          <w:rFonts w:ascii="SimSun" w:hAnsi="SimSun"/>
          <w:lang w:val="zh-CN" w:bidi="zh-CN"/>
        </w:rPr>
        <w:t>号文件），以及社区主导的</w:t>
      </w:r>
      <w:r w:rsidRPr="00D22638">
        <w:rPr>
          <w:rFonts w:ascii="SimSun" w:hAnsi="SimSun"/>
          <w:u w:val="single"/>
          <w:lang w:val="zh-CN" w:bidi="zh-CN"/>
        </w:rPr>
        <w:t>饮食方式</w:t>
      </w:r>
      <w:r w:rsidRPr="00D22638">
        <w:rPr>
          <w:rFonts w:ascii="SimSun" w:hAnsi="SimSun"/>
          <w:lang w:val="zh-CN" w:bidi="zh-CN"/>
        </w:rPr>
        <w:t>保护经验项目（由沙特阿拉伯王国支持）。秘书处计划在2026年底之前推出该平台的完整版（届时将收录60项保护经验）。此外，为响应第</w:t>
      </w:r>
      <w:r>
        <w:fldChar w:fldCharType="begin"/>
      </w:r>
      <w:r w:rsidR="0008717F">
        <w:instrText>HYPERLINK "https://ich.unesco.org/doc/src/LHE-24-10.GA-Resolutions_ZH.docx?v=1721290689"</w:instrText>
      </w:r>
      <w:r>
        <w:fldChar w:fldCharType="separate"/>
      </w:r>
      <w:r w:rsidRPr="00D22638">
        <w:rPr>
          <w:rStyle w:val="Hyperlink"/>
          <w:rFonts w:ascii="SimSun" w:hAnsi="SimSun"/>
          <w:lang w:val="zh-CN" w:bidi="zh-CN"/>
        </w:rPr>
        <w:t>10.GA 7</w:t>
      </w:r>
      <w:r>
        <w:fldChar w:fldCharType="end"/>
      </w:r>
      <w:r w:rsidRPr="00D22638">
        <w:rPr>
          <w:rFonts w:ascii="SimSun" w:hAnsi="SimSun"/>
          <w:lang w:val="zh-CN" w:bidi="zh-CN"/>
        </w:rPr>
        <w:t>号决议，秘书处已对ICH-03表格（</w:t>
      </w:r>
      <w:r w:rsidR="00B54C02">
        <w:rPr>
          <w:rFonts w:ascii="SimSun" w:hAnsi="SimSun" w:hint="eastAsia"/>
          <w:lang w:val="zh-CN" w:bidi="zh-CN"/>
        </w:rPr>
        <w:t>用于</w:t>
      </w:r>
      <w:r w:rsidRPr="00D22638">
        <w:rPr>
          <w:rFonts w:ascii="SimSun" w:hAnsi="SimSun"/>
          <w:lang w:val="zh-CN" w:bidi="zh-CN"/>
        </w:rPr>
        <w:t>申报列入登记册）和ICH-02 USL</w:t>
      </w:r>
      <w:r w:rsidR="00B54C02">
        <w:rPr>
          <w:rFonts w:ascii="SimSun" w:hAnsi="SimSun" w:hint="eastAsia"/>
          <w:lang w:val="zh-CN" w:bidi="zh-CN"/>
        </w:rPr>
        <w:t xml:space="preserve">to </w:t>
      </w:r>
      <w:r w:rsidRPr="00D22638">
        <w:rPr>
          <w:rFonts w:ascii="SimSun" w:hAnsi="SimSun"/>
          <w:lang w:val="zh-CN" w:bidi="zh-CN"/>
        </w:rPr>
        <w:t>RL表格（遗产项目从急需保护名录转入代表作名录，以及可能将相关保护经验列入登记册）进行了简化，这些新表格将从2026年周期起正式启用（参见</w:t>
      </w:r>
      <w:r>
        <w:fldChar w:fldCharType="begin"/>
      </w:r>
      <w:r>
        <w:instrText>HYPERLINK "https://ich.unesco.org/doc/src/LHE-25-20.COM-8_EN.docx?v=1764184365"</w:instrText>
      </w:r>
      <w:r>
        <w:fldChar w:fldCharType="separate"/>
      </w:r>
      <w:r w:rsidRPr="00D22638">
        <w:rPr>
          <w:rStyle w:val="Hyperlink"/>
          <w:rFonts w:ascii="SimSun" w:hAnsi="SimSun"/>
          <w:lang w:val="zh-CN" w:bidi="zh-CN"/>
        </w:rPr>
        <w:t>LHE/25/20.COM 8</w:t>
      </w:r>
      <w:r>
        <w:fldChar w:fldCharType="end"/>
      </w:r>
      <w:r w:rsidRPr="00D22638">
        <w:rPr>
          <w:rFonts w:ascii="SimSun" w:hAnsi="SimSun"/>
          <w:lang w:val="zh-CN" w:bidi="zh-CN"/>
        </w:rPr>
        <w:t>号文件）。</w:t>
      </w:r>
    </w:p>
    <w:p w14:paraId="20A09E8D" w14:textId="5632D6D6" w:rsidR="00B25FFD" w:rsidRPr="00D22638" w:rsidRDefault="00B25FFD" w:rsidP="00B25FFD">
      <w:pPr>
        <w:pStyle w:val="COMPara"/>
        <w:ind w:left="567" w:hanging="567"/>
        <w:jc w:val="both"/>
        <w:rPr>
          <w:rFonts w:ascii="SimSun" w:hAnsi="SimSun" w:cstheme="minorBidi"/>
        </w:rPr>
      </w:pPr>
      <w:r w:rsidRPr="00D22638">
        <w:rPr>
          <w:rFonts w:ascii="SimSun" w:hAnsi="SimSun" w:cstheme="minorBidi"/>
          <w:lang w:val="zh-CN" w:bidi="zh-CN"/>
        </w:rPr>
        <w:lastRenderedPageBreak/>
        <w:t>秘</w:t>
      </w:r>
      <w:r w:rsidRPr="00D22638">
        <w:rPr>
          <w:rFonts w:ascii="SimSun" w:hAnsi="SimSun"/>
          <w:lang w:val="zh-CN" w:bidi="zh-CN"/>
        </w:rPr>
        <w:t>书处继续按照《</w:t>
      </w:r>
      <w:r w:rsidRPr="00D22638">
        <w:rPr>
          <w:rFonts w:ascii="SimSun" w:hAnsi="SimSun"/>
          <w:u w:val="single"/>
          <w:lang w:val="zh-CN" w:bidi="zh-CN"/>
        </w:rPr>
        <w:t>紧急情况下保护非物质文化遗产</w:t>
      </w:r>
      <w:r w:rsidRPr="00D22638">
        <w:rPr>
          <w:rFonts w:ascii="SimSun" w:hAnsi="SimSun"/>
          <w:lang w:val="zh-CN" w:bidi="zh-CN"/>
        </w:rPr>
        <w:t>的运作</w:t>
      </w:r>
      <w:r w:rsidRPr="00D22638">
        <w:rPr>
          <w:rFonts w:ascii="SimSun" w:hAnsi="SimSun" w:cstheme="minorBidi"/>
          <w:lang w:val="zh-CN" w:bidi="zh-CN"/>
        </w:rPr>
        <w:t>原则</w:t>
      </w:r>
      <w:r w:rsidRPr="00D22638">
        <w:rPr>
          <w:rFonts w:ascii="SimSun" w:hAnsi="SimSun"/>
          <w:lang w:val="zh-CN" w:bidi="zh-CN"/>
        </w:rPr>
        <w:t>和模式》（第</w:t>
      </w:r>
      <w:r>
        <w:fldChar w:fldCharType="begin"/>
      </w:r>
      <w:r w:rsidR="0008717F">
        <w:instrText>HYPERLINK "https://ich.unesco.org/doc/src/LHE-20-8.GA-Resolutions-ZH.docx?v=1600965902"</w:instrText>
      </w:r>
      <w:r>
        <w:fldChar w:fldCharType="separate"/>
      </w:r>
      <w:r w:rsidRPr="00D22638">
        <w:rPr>
          <w:rStyle w:val="Hyperlink"/>
          <w:rFonts w:ascii="SimSun" w:hAnsi="SimSun"/>
          <w:lang w:val="zh-CN" w:bidi="zh-CN"/>
        </w:rPr>
        <w:t>8.GA 9</w:t>
      </w:r>
      <w:r>
        <w:fldChar w:fldCharType="end"/>
      </w:r>
      <w:r w:rsidRPr="00D22638">
        <w:rPr>
          <w:rFonts w:ascii="SimSun" w:hAnsi="SimSun"/>
          <w:lang w:val="zh-CN" w:bidi="zh-CN"/>
        </w:rPr>
        <w:t>号决议）实施试点项目。由日本信托基金资助的多年期项目“</w:t>
      </w:r>
      <w:hyperlink r:id="rId17" w:history="1">
        <w:r w:rsidRPr="00D22638">
          <w:rPr>
            <w:rStyle w:val="Hyperlink"/>
            <w:rFonts w:ascii="SimSun" w:hAnsi="SimSun"/>
            <w:lang w:val="zh-CN" w:bidi="zh-CN"/>
          </w:rPr>
          <w:t>太平洋和加勒比地区小岛屿发展中国家（SIDS）在紧急情况下保护非物质文化遗产的能力建设</w:t>
        </w:r>
      </w:hyperlink>
      <w:r w:rsidRPr="00D22638">
        <w:rPr>
          <w:rFonts w:ascii="SimSun" w:hAnsi="SimSun" w:cstheme="minorBidi"/>
          <w:lang w:val="zh-CN" w:bidi="zh-CN"/>
        </w:rPr>
        <w:t>”已于2025年12月在五个缔约国（巴哈马、伯利兹、斐济、汤加和瓦努阿图）完成。在乌克兰战争的背景下，秘书处以《2024年行动计划》为指导，在遗产应急基金的资助下，与乌克兰政府协调，共同监测当地的非遗保护需求。特别是，该项目的第二阶段于2025年6月启动，来自乌克兰各地的100名教师培训员在四次</w:t>
      </w:r>
      <w:r w:rsidR="00DC11C7">
        <w:rPr>
          <w:rFonts w:ascii="SimSun" w:hAnsi="SimSun" w:cstheme="minorBidi" w:hint="eastAsia"/>
          <w:lang w:val="zh-CN" w:bidi="zh-CN"/>
        </w:rPr>
        <w:t>线下</w:t>
      </w:r>
      <w:r w:rsidRPr="00D22638">
        <w:rPr>
          <w:rFonts w:ascii="SimSun" w:hAnsi="SimSun" w:cstheme="minorBidi"/>
          <w:lang w:val="zh-CN" w:bidi="zh-CN"/>
        </w:rPr>
        <w:t>研讨会上接受了培训。</w:t>
      </w:r>
    </w:p>
    <w:p w14:paraId="4CEF5D51" w14:textId="7768BC9C" w:rsidR="00B25FFD" w:rsidRPr="00D22638" w:rsidRDefault="00B25FFD" w:rsidP="00B25FFD">
      <w:pPr>
        <w:pStyle w:val="COMPara"/>
        <w:ind w:left="567" w:hanging="567"/>
        <w:jc w:val="both"/>
        <w:rPr>
          <w:rFonts w:ascii="SimSun" w:hAnsi="SimSun"/>
        </w:rPr>
      </w:pPr>
      <w:r w:rsidRPr="00D22638">
        <w:rPr>
          <w:rFonts w:ascii="SimSun" w:hAnsi="SimSun"/>
          <w:lang w:val="zh-CN" w:bidi="zh-CN"/>
        </w:rPr>
        <w:t>《公约》的第一个地区</w:t>
      </w:r>
      <w:r w:rsidRPr="00D22638">
        <w:rPr>
          <w:rFonts w:ascii="SimSun" w:hAnsi="SimSun"/>
          <w:u w:val="single"/>
          <w:lang w:val="zh-CN" w:bidi="zh-CN"/>
        </w:rPr>
        <w:t>定期报告</w:t>
      </w:r>
      <w:r w:rsidRPr="00D22638">
        <w:rPr>
          <w:rFonts w:ascii="SimSun" w:hAnsi="SimSun"/>
          <w:lang w:val="zh-CN" w:bidi="zh-CN"/>
        </w:rPr>
        <w:t>周期于2025年结束，所有地区均取得了较高的报告提交率。2024-2025年期间要提交报告的最后两个地区的提交率为：非洲100%（应提交44份报告，实际提交44份，并已由委员会第十九届会议审议），亚太地区90%（应提交42份报告，实际提交38份，并已由委员会第二十届会议审议）。秘书处与教科文组织活态遗产领域的2类中心合作，通过量身定制的能力建设方法密切支持这两个地区。下一步，委员会要求2类中心继续支持下一周期定期报告的实施，特别是向单一全球报告系统过渡（第</w:t>
      </w:r>
      <w:hyperlink r:id="rId18" w:history="1">
        <w:r w:rsidRPr="00D22638">
          <w:rPr>
            <w:rStyle w:val="Hyperlink"/>
            <w:rFonts w:ascii="SimSun" w:hAnsi="SimSun"/>
            <w:lang w:val="zh-CN" w:bidi="zh-CN"/>
          </w:rPr>
          <w:t>20.COM 6.c</w:t>
        </w:r>
      </w:hyperlink>
      <w:r w:rsidRPr="00D22638">
        <w:rPr>
          <w:rFonts w:ascii="SimSun" w:hAnsi="SimSun"/>
          <w:lang w:val="zh-CN" w:bidi="zh-CN"/>
        </w:rPr>
        <w:t>号决定和</w:t>
      </w:r>
      <w:hyperlink r:id="rId19" w:history="1">
        <w:r w:rsidRPr="00E178DC">
          <w:rPr>
            <w:rStyle w:val="Hyperlink"/>
            <w:rFonts w:ascii="SimSun" w:hAnsi="SimSun"/>
            <w:lang w:val="zh-CN" w:bidi="zh-CN"/>
          </w:rPr>
          <w:t>LHE/26/11.GA/7</w:t>
        </w:r>
      </w:hyperlink>
      <w:r w:rsidRPr="00D22638">
        <w:rPr>
          <w:rFonts w:ascii="SimSun" w:hAnsi="SimSun"/>
          <w:lang w:val="zh-CN" w:bidi="zh-CN"/>
        </w:rPr>
        <w:t>号文件）</w:t>
      </w:r>
      <w:r w:rsidR="009D383A">
        <w:rPr>
          <w:rFonts w:ascii="SimSun" w:hAnsi="SimSun" w:hint="eastAsia"/>
          <w:lang w:val="zh-CN" w:bidi="zh-CN"/>
        </w:rPr>
        <w:t>。</w:t>
      </w:r>
    </w:p>
    <w:p w14:paraId="15DBBAF4" w14:textId="0818A9F5" w:rsidR="00B25FFD" w:rsidRPr="00D22638" w:rsidRDefault="00B25FFD" w:rsidP="00B25FFD">
      <w:pPr>
        <w:pStyle w:val="COMPara"/>
        <w:ind w:left="567" w:hanging="567"/>
        <w:jc w:val="both"/>
        <w:rPr>
          <w:rFonts w:ascii="SimSun" w:hAnsi="SimSun"/>
        </w:rPr>
      </w:pPr>
      <w:r w:rsidRPr="00D22638">
        <w:rPr>
          <w:rFonts w:ascii="SimSun" w:hAnsi="SimSun"/>
          <w:u w:val="single"/>
          <w:lang w:val="zh-CN" w:bidi="zh-CN"/>
        </w:rPr>
        <w:t>国际援助</w:t>
      </w:r>
      <w:r w:rsidRPr="00D22638">
        <w:rPr>
          <w:rFonts w:ascii="SimSun" w:hAnsi="SimSun"/>
          <w:lang w:val="zh-CN" w:bidi="zh-CN"/>
        </w:rPr>
        <w:t>机制继续实施委员会第十七届会议（第</w:t>
      </w:r>
      <w:r>
        <w:fldChar w:fldCharType="begin"/>
      </w:r>
      <w:r>
        <w:instrText>HYPERLINK "https://ich.unesco.org/en/Decisions/17.COM/11"</w:instrText>
      </w:r>
      <w:r>
        <w:fldChar w:fldCharType="separate"/>
      </w:r>
      <w:r w:rsidRPr="00D22638">
        <w:rPr>
          <w:rStyle w:val="Hyperlink"/>
          <w:rFonts w:ascii="SimSun" w:hAnsi="SimSun"/>
          <w:lang w:val="zh-CN" w:bidi="zh-CN"/>
        </w:rPr>
        <w:t>17.COM 11</w:t>
      </w:r>
      <w:r>
        <w:fldChar w:fldCharType="end"/>
      </w:r>
      <w:r w:rsidRPr="00D22638">
        <w:rPr>
          <w:rFonts w:ascii="SimSun" w:hAnsi="SimSun"/>
          <w:lang w:val="zh-CN" w:bidi="zh-CN"/>
        </w:rPr>
        <w:t>号决定）批准的战略，特别是启动了对根据上述战略开展的两个已完成项目的试点评估工作。与此同时，秘书处继续支持各国的非遗保护工作，有15个缔约国（包括5个小岛屿发展中国家）首次获得财政援助，从而扩大了该机制的地域</w:t>
      </w:r>
      <w:r w:rsidR="009D383A">
        <w:rPr>
          <w:rFonts w:ascii="SimSun" w:hAnsi="SimSun" w:hint="eastAsia"/>
          <w:lang w:val="zh-CN" w:bidi="zh-CN"/>
        </w:rPr>
        <w:t>覆盖</w:t>
      </w:r>
      <w:r w:rsidRPr="00D22638">
        <w:rPr>
          <w:rFonts w:ascii="SimSun" w:hAnsi="SimSun"/>
          <w:lang w:val="zh-CN" w:bidi="zh-CN"/>
        </w:rPr>
        <w:t>范围（</w:t>
      </w:r>
      <w:hyperlink r:id="rId20" w:history="1">
        <w:r w:rsidRPr="00E178DC">
          <w:rPr>
            <w:rStyle w:val="Hyperlink"/>
            <w:rFonts w:ascii="SimSun" w:hAnsi="SimSun"/>
            <w:lang w:val="zh-CN" w:bidi="zh-CN"/>
          </w:rPr>
          <w:t>LHE/26/11.GA/8</w:t>
        </w:r>
      </w:hyperlink>
      <w:r w:rsidRPr="00D22638">
        <w:rPr>
          <w:rFonts w:ascii="SimSun" w:hAnsi="SimSun"/>
          <w:lang w:val="zh-CN" w:bidi="zh-CN"/>
        </w:rPr>
        <w:t>号文件和</w:t>
      </w:r>
      <w:hyperlink r:id="rId21" w:history="1">
        <w:r w:rsidRPr="00E178DC">
          <w:rPr>
            <w:rStyle w:val="Hyperlink"/>
            <w:rFonts w:ascii="SimSun" w:hAnsi="SimSun"/>
            <w:lang w:val="zh-CN" w:bidi="zh-CN"/>
          </w:rPr>
          <w:t>LHE/26/11.GA/INF.8</w:t>
        </w:r>
      </w:hyperlink>
      <w:r w:rsidRPr="00D22638">
        <w:rPr>
          <w:rFonts w:ascii="SimSun" w:hAnsi="SimSun"/>
          <w:lang w:val="zh-CN" w:bidi="zh-CN"/>
        </w:rPr>
        <w:t>号文件）。</w:t>
      </w:r>
    </w:p>
    <w:p w14:paraId="299FE3E8" w14:textId="77777777" w:rsidR="00B25FFD" w:rsidRPr="00D22638" w:rsidRDefault="00B25FFD" w:rsidP="00E178DC">
      <w:pPr>
        <w:pStyle w:val="COMPara"/>
        <w:numPr>
          <w:ilvl w:val="0"/>
          <w:numId w:val="9"/>
        </w:numPr>
        <w:spacing w:before="240"/>
        <w:jc w:val="both"/>
        <w:rPr>
          <w:rFonts w:ascii="SimSun" w:hAnsi="SimSun"/>
          <w:b/>
          <w:bCs/>
        </w:rPr>
      </w:pPr>
      <w:r w:rsidRPr="00D22638">
        <w:rPr>
          <w:rFonts w:ascii="SimSun" w:hAnsi="SimSun"/>
          <w:b/>
          <w:lang w:val="zh-CN" w:bidi="zh-CN"/>
        </w:rPr>
        <w:t>业务活动和主题举措</w:t>
      </w:r>
    </w:p>
    <w:p w14:paraId="75F6F6C5" w14:textId="1AAC1A46" w:rsidR="00B25FFD" w:rsidRPr="00D22638" w:rsidRDefault="00B25FFD" w:rsidP="00B25FFD">
      <w:pPr>
        <w:pStyle w:val="COMPara"/>
        <w:ind w:left="567" w:hanging="567"/>
        <w:jc w:val="both"/>
        <w:rPr>
          <w:rFonts w:ascii="SimSun" w:hAnsi="SimSun"/>
        </w:rPr>
      </w:pPr>
      <w:r w:rsidRPr="00D22638">
        <w:rPr>
          <w:rFonts w:ascii="SimSun" w:hAnsi="SimSun"/>
          <w:lang w:val="zh-CN" w:bidi="zh-CN"/>
        </w:rPr>
        <w:t>在业务方面，秘书处在《公约》第一个资金优先项目（已于2025年</w:t>
      </w:r>
      <w:r w:rsidR="00A179F3">
        <w:rPr>
          <w:rFonts w:ascii="SimSun" w:hAnsi="SimSun" w:hint="eastAsia"/>
          <w:lang w:val="zh-CN" w:bidi="zh-CN"/>
        </w:rPr>
        <w:t>底</w:t>
      </w:r>
      <w:r w:rsidRPr="00D22638">
        <w:rPr>
          <w:rFonts w:ascii="SimSun" w:hAnsi="SimSun"/>
          <w:lang w:val="zh-CN" w:bidi="zh-CN"/>
        </w:rPr>
        <w:t>结束；参见</w:t>
      </w:r>
      <w:hyperlink r:id="rId22" w:history="1">
        <w:r w:rsidRPr="00D22638">
          <w:rPr>
            <w:rStyle w:val="Hyperlink"/>
            <w:rFonts w:ascii="SimSun" w:hAnsi="SimSun"/>
            <w:lang w:val="zh-CN" w:bidi="zh-CN"/>
          </w:rPr>
          <w:t>LHE/25/20.COM/INF.13.1</w:t>
        </w:r>
      </w:hyperlink>
      <w:r w:rsidRPr="00D22638">
        <w:rPr>
          <w:rFonts w:ascii="SimSun" w:hAnsi="SimSun"/>
          <w:lang w:val="zh-CN" w:bidi="zh-CN"/>
        </w:rPr>
        <w:t>号文件）项下的能力建设举措的范围和覆盖面均有所扩大，向127个成员国（其中包括44个非洲国家和33个小岛屿发展中国家）提供了支持，以制定新的或修订现有的政策、战略和计划来保护活态遗产。</w:t>
      </w:r>
    </w:p>
    <w:p w14:paraId="1E65EC50" w14:textId="773B8703" w:rsidR="00B25FFD" w:rsidRPr="00D22638" w:rsidRDefault="00B25FFD" w:rsidP="00B25FFD">
      <w:pPr>
        <w:pStyle w:val="COMPara"/>
        <w:ind w:left="567" w:hanging="567"/>
        <w:jc w:val="both"/>
        <w:rPr>
          <w:rFonts w:ascii="SimSun" w:hAnsi="SimSun"/>
        </w:rPr>
      </w:pPr>
      <w:r w:rsidRPr="00D22638">
        <w:rPr>
          <w:rFonts w:ascii="SimSun" w:hAnsi="SimSun"/>
          <w:lang w:val="zh-CN" w:bidi="zh-CN"/>
        </w:rPr>
        <w:t>在第一个资金优先项目结束时，能力建设方案有效地完成了向混合模式的过渡，特别是随着</w:t>
      </w:r>
      <w:r w:rsidRPr="00D22638">
        <w:rPr>
          <w:rFonts w:ascii="SimSun" w:hAnsi="SimSun"/>
          <w:u w:val="single"/>
          <w:lang w:val="zh-CN" w:bidi="zh-CN"/>
        </w:rPr>
        <w:t>教科文组织保护活态遗产以促进可持续发展学习平台的</w:t>
      </w:r>
      <w:r w:rsidRPr="00D22638">
        <w:rPr>
          <w:rFonts w:ascii="SimSun" w:hAnsi="SimSun"/>
          <w:lang w:val="zh-CN" w:bidi="zh-CN"/>
        </w:rPr>
        <w:t>启动。通过与国际劳工组织国际培训中心（ITC-ILO）以及外部公司和</w:t>
      </w:r>
      <w:r w:rsidR="00A179F3">
        <w:rPr>
          <w:rFonts w:ascii="SimSun" w:hAnsi="SimSun" w:hint="eastAsia"/>
          <w:lang w:val="zh-CN" w:bidi="zh-CN"/>
        </w:rPr>
        <w:t>促进员</w:t>
      </w:r>
      <w:r w:rsidRPr="00D22638">
        <w:rPr>
          <w:rFonts w:ascii="SimSun" w:hAnsi="SimSun"/>
          <w:lang w:val="zh-CN" w:bidi="zh-CN"/>
        </w:rPr>
        <w:t>的伙伴关系，该平台于2025年5月23日向公众推出，前</w:t>
      </w:r>
      <w:hyperlink r:id="rId23" w:history="1">
        <w:r w:rsidRPr="00D22638">
          <w:rPr>
            <w:rStyle w:val="Hyperlink"/>
            <w:rFonts w:ascii="SimSun" w:hAnsi="SimSun"/>
            <w:lang w:val="zh-CN" w:bidi="zh-CN"/>
          </w:rPr>
          <w:t>三个模块</w:t>
        </w:r>
      </w:hyperlink>
      <w:r w:rsidRPr="00D22638">
        <w:rPr>
          <w:rFonts w:ascii="SimSun" w:hAnsi="SimSun"/>
          <w:lang w:val="zh-CN" w:bidi="zh-CN"/>
        </w:rPr>
        <w:t>于2025年12月上传并在委员会第二十届会议上进行了介绍。同样，《公约》的</w:t>
      </w:r>
      <w:r w:rsidRPr="00D22638">
        <w:rPr>
          <w:rFonts w:ascii="SimSun" w:hAnsi="SimSun"/>
          <w:u w:val="single"/>
          <w:lang w:val="zh-CN" w:bidi="zh-CN"/>
        </w:rPr>
        <w:t>全球</w:t>
      </w:r>
      <w:r w:rsidR="00C22A25">
        <w:rPr>
          <w:rFonts w:ascii="SimSun" w:hAnsi="SimSun" w:hint="eastAsia"/>
          <w:lang w:val="zh-CN" w:bidi="zh-CN"/>
        </w:rPr>
        <w:t>促进员</w:t>
      </w:r>
      <w:r w:rsidRPr="00D22638">
        <w:rPr>
          <w:rFonts w:ascii="SimSun" w:hAnsi="SimSun"/>
          <w:u w:val="single"/>
          <w:lang w:val="zh-CN" w:bidi="zh-CN"/>
        </w:rPr>
        <w:t>网络</w:t>
      </w:r>
      <w:r w:rsidRPr="00D22638">
        <w:rPr>
          <w:rFonts w:ascii="SimSun" w:hAnsi="SimSun"/>
          <w:lang w:val="zh-CN" w:bidi="zh-CN"/>
        </w:rPr>
        <w:t>也接受了关于《公约》各主题领域的培训，具体形式为一系列关于活态遗产与以下领域关联性的培训网络研讨会：（1）</w:t>
      </w:r>
      <w:hyperlink r:id="rId24" w:history="1">
        <w:r w:rsidRPr="00D22638">
          <w:rPr>
            <w:rStyle w:val="Hyperlink"/>
            <w:rFonts w:ascii="SimSun" w:hAnsi="SimSun"/>
            <w:lang w:val="zh-CN" w:bidi="zh-CN"/>
          </w:rPr>
          <w:t>减灾</w:t>
        </w:r>
      </w:hyperlink>
      <w:r w:rsidRPr="00D22638">
        <w:rPr>
          <w:rFonts w:ascii="SimSun" w:hAnsi="SimSun"/>
          <w:lang w:val="zh-CN" w:bidi="zh-CN"/>
        </w:rPr>
        <w:t>（2025年3月）；（2）</w:t>
      </w:r>
      <w:hyperlink r:id="rId25" w:history="1">
        <w:r w:rsidRPr="00D22638">
          <w:rPr>
            <w:rStyle w:val="Hyperlink"/>
            <w:rFonts w:ascii="SimSun" w:hAnsi="SimSun"/>
            <w:lang w:val="zh-CN" w:bidi="zh-CN"/>
          </w:rPr>
          <w:t>申报</w:t>
        </w:r>
      </w:hyperlink>
      <w:r w:rsidRPr="00D22638">
        <w:rPr>
          <w:rFonts w:ascii="SimSun" w:hAnsi="SimSun"/>
          <w:lang w:val="zh-CN" w:bidi="zh-CN"/>
        </w:rPr>
        <w:t>（2025年6月）；（3）</w:t>
      </w:r>
      <w:hyperlink r:id="rId26" w:history="1">
        <w:r w:rsidRPr="00D22638">
          <w:rPr>
            <w:rStyle w:val="Hyperlink"/>
            <w:rFonts w:ascii="SimSun" w:hAnsi="SimSun"/>
            <w:lang w:val="zh-CN" w:bidi="zh-CN"/>
          </w:rPr>
          <w:t>教育</w:t>
        </w:r>
      </w:hyperlink>
      <w:r w:rsidRPr="00D22638">
        <w:rPr>
          <w:rFonts w:ascii="SimSun" w:hAnsi="SimSun"/>
          <w:lang w:val="zh-CN" w:bidi="zh-CN"/>
        </w:rPr>
        <w:t>（2025年7月）。</w:t>
      </w:r>
    </w:p>
    <w:p w14:paraId="47277F92" w14:textId="53A1FE44" w:rsidR="00B25FFD" w:rsidRPr="00D22638" w:rsidRDefault="00791BA8" w:rsidP="00B25FFD">
      <w:pPr>
        <w:pStyle w:val="COMPara"/>
        <w:ind w:left="567" w:hanging="567"/>
        <w:jc w:val="both"/>
        <w:rPr>
          <w:rFonts w:ascii="SimSun" w:hAnsi="SimSun"/>
        </w:rPr>
      </w:pPr>
      <w:r w:rsidRPr="00E178DC">
        <w:rPr>
          <w:rFonts w:ascii="SimSun" w:hAnsi="SimSun" w:hint="eastAsia"/>
          <w:u w:val="single"/>
          <w:lang w:val="zh-CN" w:bidi="zh-CN"/>
        </w:rPr>
        <w:t>关于在</w:t>
      </w:r>
      <w:r w:rsidR="00B25FFD" w:rsidRPr="00495054">
        <w:rPr>
          <w:rFonts w:ascii="SimSun" w:hAnsi="SimSun"/>
          <w:u w:val="single"/>
          <w:lang w:val="zh-CN" w:bidi="zh-CN"/>
        </w:rPr>
        <w:t>正规和非正规教育</w:t>
      </w:r>
      <w:r w:rsidRPr="00E178DC">
        <w:rPr>
          <w:rFonts w:ascii="SimSun" w:hAnsi="SimSun" w:hint="eastAsia"/>
          <w:u w:val="single"/>
          <w:lang w:val="zh-CN" w:bidi="zh-CN"/>
        </w:rPr>
        <w:t>中</w:t>
      </w:r>
      <w:r w:rsidR="00B25FFD" w:rsidRPr="00495054">
        <w:rPr>
          <w:rFonts w:ascii="SimSun" w:hAnsi="SimSun"/>
          <w:u w:val="single"/>
          <w:lang w:val="zh-CN" w:bidi="zh-CN"/>
        </w:rPr>
        <w:t>保护非物质文化遗产</w:t>
      </w:r>
      <w:r w:rsidRPr="00E178DC">
        <w:rPr>
          <w:rFonts w:ascii="SimSun" w:hAnsi="SimSun" w:hint="eastAsia"/>
          <w:lang w:val="zh-CN" w:bidi="zh-CN"/>
        </w:rPr>
        <w:t>的</w:t>
      </w:r>
      <w:r w:rsidR="00B25FFD" w:rsidRPr="00495054">
        <w:rPr>
          <w:rFonts w:ascii="SimSun" w:hAnsi="SimSun"/>
          <w:lang w:val="zh-CN" w:bidi="zh-CN"/>
        </w:rPr>
        <w:t>方案也于2025年底结束，这也是《公约》规定的2022年至2025年期间第二个资金优先项目（</w:t>
      </w:r>
      <w:r w:rsidR="00B25FFD" w:rsidRPr="00495054">
        <w:rPr>
          <w:rFonts w:ascii="SimSun" w:hAnsi="SimSun"/>
        </w:rPr>
        <w:fldChar w:fldCharType="begin"/>
      </w:r>
      <w:r w:rsidR="00B25FFD" w:rsidRPr="00495054">
        <w:rPr>
          <w:rFonts w:ascii="SimSun" w:hAnsi="SimSun"/>
        </w:rPr>
        <w:instrText>HYPERLINK "https://ich.unesco.org/doc/src/LHE-25-20.COM-INF.13.2_EN.docx?v=1764354075"</w:instrText>
      </w:r>
      <w:r w:rsidR="00B25FFD" w:rsidRPr="00495054">
        <w:rPr>
          <w:rFonts w:ascii="SimSun" w:hAnsi="SimSun"/>
        </w:rPr>
      </w:r>
      <w:r w:rsidR="00B25FFD" w:rsidRPr="00495054">
        <w:rPr>
          <w:rFonts w:ascii="SimSun" w:hAnsi="SimSun"/>
        </w:rPr>
        <w:fldChar w:fldCharType="separate"/>
      </w:r>
      <w:r w:rsidR="00B25FFD" w:rsidRPr="00495054">
        <w:rPr>
          <w:rStyle w:val="Hyperlink"/>
          <w:rFonts w:ascii="SimSun" w:hAnsi="SimSun"/>
          <w:lang w:val="zh-CN" w:bidi="zh-CN"/>
        </w:rPr>
        <w:t>LHE/25/20.COM/INF.13.2</w:t>
      </w:r>
      <w:r w:rsidR="00B25FFD" w:rsidRPr="00495054">
        <w:rPr>
          <w:rFonts w:ascii="SimSun" w:hAnsi="SimSun"/>
        </w:rPr>
        <w:fldChar w:fldCharType="end"/>
      </w:r>
      <w:r w:rsidR="00B25FFD" w:rsidRPr="00495054">
        <w:rPr>
          <w:rFonts w:ascii="SimSun" w:hAnsi="SimSun"/>
          <w:lang w:val="zh-CN" w:bidi="zh-CN"/>
        </w:rPr>
        <w:t>号文件）。</w:t>
      </w:r>
      <w:r w:rsidR="00B25FFD" w:rsidRPr="00D22638">
        <w:rPr>
          <w:rFonts w:ascii="SimSun" w:hAnsi="SimSun"/>
          <w:lang w:val="zh-CN" w:bidi="zh-CN"/>
        </w:rPr>
        <w:t>该方案成功展示了活态遗产如何在各种教育背景下为学习者提供支持，特别是通过将活态遗产的保护纳入</w:t>
      </w:r>
      <w:hyperlink r:id="rId27" w:history="1">
        <w:r w:rsidR="00B25FFD" w:rsidRPr="00D22638">
          <w:rPr>
            <w:rStyle w:val="Hyperlink"/>
            <w:rFonts w:ascii="SimSun" w:hAnsi="SimSun"/>
            <w:lang w:val="zh-CN" w:bidi="zh-CN"/>
          </w:rPr>
          <w:t>教科文组织文化与艺术教育框架</w:t>
        </w:r>
      </w:hyperlink>
      <w:r w:rsidR="00B25FFD" w:rsidRPr="00D22638">
        <w:rPr>
          <w:rFonts w:ascii="SimSun" w:hAnsi="SimSun"/>
          <w:lang w:val="zh-CN" w:bidi="zh-CN"/>
        </w:rPr>
        <w:t>（2024年）等主要国际教育框架。在本报告期间，还开发了该领域的在线资源，其中包括</w:t>
      </w:r>
      <w:r w:rsidR="00B25FFD">
        <w:fldChar w:fldCharType="begin"/>
      </w:r>
      <w:r w:rsidR="00B25FFD">
        <w:instrText>HYPERLINK "https://ich.unesco.org/en/clearinghouse-education"</w:instrText>
      </w:r>
      <w:r w:rsidR="00B25FFD">
        <w:fldChar w:fldCharType="separate"/>
      </w:r>
      <w:r w:rsidR="00B25FFD" w:rsidRPr="00D22638">
        <w:rPr>
          <w:rStyle w:val="Hyperlink"/>
          <w:rFonts w:ascii="SimSun" w:hAnsi="SimSun"/>
          <w:lang w:val="zh-CN" w:bidi="zh-CN"/>
        </w:rPr>
        <w:t>活态遗产与教育信息交换中心</w:t>
      </w:r>
      <w:r w:rsidR="00B25FFD">
        <w:fldChar w:fldCharType="end"/>
      </w:r>
      <w:r w:rsidR="00B25FFD" w:rsidRPr="00D22638">
        <w:rPr>
          <w:rFonts w:ascii="SimSun" w:hAnsi="SimSun"/>
          <w:lang w:val="zh-CN" w:bidi="zh-CN"/>
        </w:rPr>
        <w:t>以及名为</w:t>
      </w:r>
      <w:hyperlink r:id="rId28" w:history="1">
        <w:r w:rsidR="00B25FFD" w:rsidRPr="00D22638">
          <w:rPr>
            <w:rStyle w:val="Hyperlink"/>
            <w:rFonts w:ascii="SimSun" w:hAnsi="SimSun"/>
            <w:lang w:val="zh-CN" w:bidi="zh-CN"/>
          </w:rPr>
          <w:t>“以活态遗产变革学习方式”</w:t>
        </w:r>
      </w:hyperlink>
      <w:r w:rsidR="00B25FFD" w:rsidRPr="00D22638">
        <w:rPr>
          <w:rFonts w:ascii="SimSun" w:hAnsi="SimSun"/>
          <w:lang w:val="zh-CN" w:bidi="zh-CN"/>
        </w:rPr>
        <w:t>的在线课程，该课程已在委员会第二十届会议期间于教科文组织学习平台上发布。</w:t>
      </w:r>
    </w:p>
    <w:p w14:paraId="5155DAF5" w14:textId="3386C242" w:rsidR="00B25FFD" w:rsidRPr="00D22638" w:rsidRDefault="00B25FFD" w:rsidP="00B25FFD">
      <w:pPr>
        <w:pStyle w:val="COMPara"/>
        <w:ind w:left="567" w:hanging="567"/>
        <w:jc w:val="both"/>
        <w:rPr>
          <w:rFonts w:ascii="SimSun" w:hAnsi="SimSun"/>
        </w:rPr>
      </w:pPr>
      <w:r w:rsidRPr="00D22638">
        <w:rPr>
          <w:rFonts w:ascii="SimSun" w:hAnsi="SimSun"/>
          <w:lang w:val="zh-CN" w:bidi="zh-CN"/>
        </w:rPr>
        <w:t>最后，秘书处推进了委员会于2021年批准的三项</w:t>
      </w:r>
      <w:r w:rsidRPr="00D22638">
        <w:rPr>
          <w:rFonts w:ascii="SimSun" w:hAnsi="SimSun"/>
          <w:u w:val="single"/>
          <w:lang w:val="zh-CN" w:bidi="zh-CN"/>
        </w:rPr>
        <w:t>主题举措</w:t>
      </w:r>
      <w:r w:rsidRPr="00D22638">
        <w:rPr>
          <w:rFonts w:ascii="SimSun" w:hAnsi="SimSun"/>
          <w:lang w:val="zh-CN" w:bidi="zh-CN"/>
        </w:rPr>
        <w:t>的实施，完成了关于以下所有三个主题的</w:t>
      </w:r>
      <w:hyperlink r:id="rId29" w:history="1">
        <w:r w:rsidRPr="00D22638">
          <w:rPr>
            <w:rStyle w:val="Hyperlink"/>
            <w:rFonts w:ascii="SimSun" w:hAnsi="SimSun"/>
            <w:lang w:val="zh-CN" w:bidi="zh-CN"/>
          </w:rPr>
          <w:t>指导说明</w:t>
        </w:r>
      </w:hyperlink>
      <w:r w:rsidRPr="00D22638">
        <w:rPr>
          <w:rFonts w:ascii="SimSun" w:hAnsi="SimSun"/>
          <w:lang w:val="zh-CN" w:bidi="zh-CN"/>
        </w:rPr>
        <w:t>，即非物质文化遗产保护的</w:t>
      </w:r>
      <w:hyperlink r:id="rId30" w:history="1">
        <w:r w:rsidRPr="00D22638">
          <w:rPr>
            <w:rStyle w:val="Hyperlink"/>
            <w:rFonts w:ascii="SimSun" w:hAnsi="SimSun"/>
            <w:lang w:val="zh-CN" w:bidi="zh-CN"/>
          </w:rPr>
          <w:t>经济层面</w:t>
        </w:r>
      </w:hyperlink>
      <w:r w:rsidRPr="00D22638">
        <w:rPr>
          <w:rFonts w:ascii="SimSun" w:hAnsi="SimSun"/>
          <w:lang w:val="zh-CN" w:bidi="zh-CN"/>
        </w:rPr>
        <w:t>，非物质文化遗产与</w:t>
      </w:r>
      <w:hyperlink r:id="rId31" w:history="1">
        <w:r w:rsidRPr="00D22638">
          <w:rPr>
            <w:rStyle w:val="Hyperlink"/>
            <w:rFonts w:ascii="SimSun" w:hAnsi="SimSun"/>
            <w:lang w:val="zh-CN" w:bidi="zh-CN"/>
          </w:rPr>
          <w:t>气候变化</w:t>
        </w:r>
      </w:hyperlink>
      <w:r w:rsidRPr="00D22638">
        <w:rPr>
          <w:rFonts w:ascii="SimSun" w:hAnsi="SimSun"/>
          <w:lang w:val="zh-CN" w:bidi="zh-CN"/>
        </w:rPr>
        <w:t>，以及</w:t>
      </w:r>
      <w:hyperlink r:id="rId32" w:history="1">
        <w:r w:rsidRPr="00683E4A">
          <w:rPr>
            <w:rStyle w:val="Hyperlink"/>
            <w:rFonts w:ascii="SimSun" w:hAnsi="SimSun"/>
            <w:lang w:val="zh-CN" w:bidi="zh-CN"/>
          </w:rPr>
          <w:t>城市</w:t>
        </w:r>
        <w:r w:rsidR="00683E4A" w:rsidRPr="00683E4A">
          <w:rPr>
            <w:rStyle w:val="Hyperlink"/>
            <w:rFonts w:ascii="SimSun" w:hAnsi="SimSun" w:hint="eastAsia"/>
            <w:lang w:val="zh-CN" w:bidi="zh-CN"/>
          </w:rPr>
          <w:t>环境</w:t>
        </w:r>
      </w:hyperlink>
      <w:r w:rsidRPr="00D22638">
        <w:rPr>
          <w:rFonts w:ascii="SimSun" w:hAnsi="SimSun"/>
          <w:lang w:val="zh-CN" w:bidi="zh-CN"/>
        </w:rPr>
        <w:t>下的</w:t>
      </w:r>
      <w:r w:rsidR="00683E4A" w:rsidRPr="00E178DC">
        <w:t>非物质文化遗产</w:t>
      </w:r>
      <w:r w:rsidRPr="00D22638">
        <w:rPr>
          <w:rFonts w:ascii="SimSun" w:hAnsi="SimSun"/>
          <w:lang w:val="zh-CN" w:bidi="zh-CN"/>
        </w:rPr>
        <w:t>。这三份指导说明的完成为秘书处在这些领域开展更具部门针对性的工作提供了坚实的基础（参见</w:t>
      </w:r>
      <w:hyperlink r:id="rId33" w:history="1">
        <w:r w:rsidRPr="00D22638">
          <w:rPr>
            <w:rStyle w:val="Hyperlink"/>
            <w:rFonts w:ascii="SimSun" w:hAnsi="SimSun"/>
            <w:lang w:val="zh-CN" w:bidi="zh-CN"/>
          </w:rPr>
          <w:t>LHE/25/20.COM 12</w:t>
        </w:r>
      </w:hyperlink>
      <w:r w:rsidRPr="00D22638">
        <w:rPr>
          <w:rFonts w:ascii="SimSun" w:hAnsi="SimSun"/>
          <w:lang w:val="zh-CN" w:bidi="zh-CN"/>
        </w:rPr>
        <w:t>号文件）。委员会第二十届会议还批准启动一项关于人工智能与活态遗产的新主题举措，该举措已获得荷兰王国和瑞典的财政支持（第</w:t>
      </w:r>
      <w:r>
        <w:fldChar w:fldCharType="begin"/>
      </w:r>
      <w:r>
        <w:instrText>HYPERLINK "https://ich.unesco.org/en/decisions/20.COM/12"</w:instrText>
      </w:r>
      <w:r>
        <w:fldChar w:fldCharType="separate"/>
      </w:r>
      <w:r w:rsidRPr="00D22638">
        <w:rPr>
          <w:rStyle w:val="Hyperlink"/>
          <w:rFonts w:ascii="SimSun" w:hAnsi="SimSun"/>
          <w:lang w:val="zh-CN" w:bidi="zh-CN"/>
        </w:rPr>
        <w:t>20.COM 12</w:t>
      </w:r>
      <w:r>
        <w:fldChar w:fldCharType="end"/>
      </w:r>
      <w:r w:rsidRPr="00D22638">
        <w:rPr>
          <w:rFonts w:ascii="SimSun" w:hAnsi="SimSun"/>
          <w:lang w:val="zh-CN" w:bidi="zh-CN"/>
        </w:rPr>
        <w:t>和</w:t>
      </w:r>
      <w:hyperlink r:id="rId34" w:history="1">
        <w:r w:rsidRPr="00D22638">
          <w:rPr>
            <w:rStyle w:val="Hyperlink"/>
            <w:rFonts w:ascii="SimSun" w:hAnsi="SimSun"/>
            <w:lang w:val="zh-CN" w:bidi="zh-CN"/>
          </w:rPr>
          <w:t>20.COM 13</w:t>
        </w:r>
      </w:hyperlink>
      <w:r w:rsidRPr="00D22638">
        <w:rPr>
          <w:rFonts w:ascii="SimSun" w:hAnsi="SimSun"/>
          <w:lang w:val="zh-CN" w:bidi="zh-CN"/>
        </w:rPr>
        <w:t>号决定）。</w:t>
      </w:r>
    </w:p>
    <w:p w14:paraId="65BDB774" w14:textId="53D72EE6" w:rsidR="00B25FFD" w:rsidRPr="00D22638" w:rsidRDefault="00B25FFD" w:rsidP="00E178DC">
      <w:pPr>
        <w:pStyle w:val="COMPara"/>
        <w:numPr>
          <w:ilvl w:val="0"/>
          <w:numId w:val="9"/>
        </w:numPr>
        <w:spacing w:before="240"/>
        <w:jc w:val="both"/>
        <w:rPr>
          <w:rFonts w:ascii="SimSun" w:hAnsi="SimSun"/>
          <w:b/>
          <w:bCs/>
        </w:rPr>
      </w:pPr>
      <w:r w:rsidRPr="00D22638">
        <w:rPr>
          <w:rFonts w:ascii="SimSun" w:hAnsi="SimSun"/>
          <w:b/>
          <w:lang w:val="zh-CN" w:bidi="zh-CN"/>
        </w:rPr>
        <w:t>伙伴关系、</w:t>
      </w:r>
      <w:r w:rsidR="00134CF5">
        <w:rPr>
          <w:rFonts w:ascii="SimSun" w:hAnsi="SimSun" w:hint="eastAsia"/>
          <w:b/>
          <w:lang w:val="zh-CN" w:bidi="zh-CN"/>
        </w:rPr>
        <w:t>传播与宣传推广</w:t>
      </w:r>
    </w:p>
    <w:p w14:paraId="3A33BDCC" w14:textId="20D40FCC" w:rsidR="00B25FFD" w:rsidRPr="00D22638" w:rsidRDefault="00B25FFD" w:rsidP="00B25FFD">
      <w:pPr>
        <w:pStyle w:val="COMPara"/>
        <w:ind w:left="567" w:hanging="567"/>
        <w:jc w:val="both"/>
        <w:rPr>
          <w:rFonts w:ascii="SimSun" w:hAnsi="SimSun"/>
        </w:rPr>
      </w:pPr>
      <w:r w:rsidRPr="00D22638">
        <w:rPr>
          <w:rFonts w:ascii="SimSun" w:hAnsi="SimSun"/>
          <w:lang w:val="zh-CN" w:bidi="zh-CN"/>
        </w:rPr>
        <w:t>秘书处通过定期与</w:t>
      </w:r>
      <w:r w:rsidRPr="00D22638">
        <w:rPr>
          <w:rFonts w:ascii="SimSun" w:hAnsi="SimSun"/>
          <w:u w:val="single"/>
          <w:lang w:val="zh-CN" w:bidi="zh-CN"/>
        </w:rPr>
        <w:t>非物质文化遗产非政府组织论坛</w:t>
      </w:r>
      <w:r w:rsidRPr="00D22638">
        <w:rPr>
          <w:rFonts w:ascii="SimSun" w:hAnsi="SimSun"/>
          <w:lang w:val="zh-CN" w:bidi="zh-CN"/>
        </w:rPr>
        <w:t>执行委员会和工作组举行信息共享会议，继续加强与该论坛的合作。根据第</w:t>
      </w:r>
      <w:r>
        <w:fldChar w:fldCharType="begin"/>
      </w:r>
      <w:r>
        <w:instrText>HYPERLINK "https://ich.unesco.org/en/Decisions/14.COM/15"</w:instrText>
      </w:r>
      <w:r>
        <w:fldChar w:fldCharType="separate"/>
      </w:r>
      <w:r w:rsidRPr="00D22638">
        <w:rPr>
          <w:rStyle w:val="Hyperlink"/>
          <w:rFonts w:ascii="SimSun" w:hAnsi="SimSun"/>
          <w:lang w:val="zh-CN" w:bidi="zh-CN"/>
        </w:rPr>
        <w:t>14.COM 15</w:t>
      </w:r>
      <w:r>
        <w:fldChar w:fldCharType="end"/>
      </w:r>
      <w:r w:rsidRPr="00D22638">
        <w:rPr>
          <w:rFonts w:ascii="SimSun" w:hAnsi="SimSun"/>
          <w:lang w:val="zh-CN" w:bidi="zh-CN"/>
        </w:rPr>
        <w:t>号决定，秘书处已完成对60个经认证非政府组织</w:t>
      </w:r>
      <w:r w:rsidRPr="00D22638">
        <w:rPr>
          <w:rFonts w:ascii="SimSun" w:hAnsi="SimSun"/>
          <w:lang w:val="zh-CN" w:bidi="zh-CN"/>
        </w:rPr>
        <w:lastRenderedPageBreak/>
        <w:t>专业领域范围的第一阶段梳理工作（现已可在</w:t>
      </w:r>
      <w:r>
        <w:fldChar w:fldCharType="begin"/>
      </w:r>
      <w:r>
        <w:instrText>HYPERLINK "https://ich.unesco.org/en/accredited-ngos"</w:instrText>
      </w:r>
      <w:r>
        <w:fldChar w:fldCharType="separate"/>
      </w:r>
      <w:r w:rsidRPr="00D22638">
        <w:rPr>
          <w:rStyle w:val="Hyperlink"/>
          <w:rFonts w:ascii="SimSun" w:hAnsi="SimSun"/>
          <w:lang w:val="zh-CN" w:bidi="zh-CN"/>
        </w:rPr>
        <w:t>《公约》网页</w:t>
      </w:r>
      <w:r>
        <w:fldChar w:fldCharType="end"/>
      </w:r>
      <w:r w:rsidRPr="00D22638">
        <w:rPr>
          <w:rFonts w:ascii="SimSun" w:hAnsi="SimSun"/>
          <w:lang w:val="zh-CN" w:bidi="zh-CN"/>
        </w:rPr>
        <w:t>上查阅），第二阶段的梳理工作（涉及100个非政府组织档案）目前正在进行中。</w:t>
      </w:r>
    </w:p>
    <w:p w14:paraId="6E052116" w14:textId="012F0DFE" w:rsidR="00B25FFD" w:rsidRPr="00D22638" w:rsidRDefault="00B25FFD" w:rsidP="00B25FFD">
      <w:pPr>
        <w:pStyle w:val="COMPara"/>
        <w:ind w:left="567" w:hanging="567"/>
        <w:jc w:val="both"/>
        <w:rPr>
          <w:rFonts w:ascii="SimSun" w:hAnsi="SimSun"/>
        </w:rPr>
      </w:pPr>
      <w:r w:rsidRPr="00D22638">
        <w:rPr>
          <w:rFonts w:ascii="SimSun" w:hAnsi="SimSun"/>
          <w:lang w:val="zh-CN" w:bidi="zh-CN"/>
        </w:rPr>
        <w:t>秘书处还继续与在非物质文化遗产领域开展工作的</w:t>
      </w:r>
      <w:r w:rsidRPr="00D22638">
        <w:rPr>
          <w:rFonts w:ascii="SimSun" w:hAnsi="SimSun"/>
          <w:u w:val="single"/>
          <w:lang w:val="zh-CN" w:bidi="zh-CN"/>
        </w:rPr>
        <w:t>2类中心</w:t>
      </w:r>
      <w:r w:rsidRPr="00D22638">
        <w:rPr>
          <w:rFonts w:ascii="SimSun" w:hAnsi="SimSun"/>
          <w:lang w:val="zh-CN" w:bidi="zh-CN"/>
        </w:rPr>
        <w:t>和</w:t>
      </w:r>
      <w:r w:rsidRPr="00D22638">
        <w:rPr>
          <w:rFonts w:ascii="SimSun" w:hAnsi="SimSun"/>
          <w:u w:val="single"/>
          <w:lang w:val="zh-CN" w:bidi="zh-CN"/>
        </w:rPr>
        <w:t>教科文组织教席</w:t>
      </w:r>
      <w:r w:rsidRPr="00D22638">
        <w:rPr>
          <w:rFonts w:ascii="SimSun" w:hAnsi="SimSun"/>
          <w:lang w:val="zh-CN" w:bidi="zh-CN"/>
        </w:rPr>
        <w:t>合作。关于2类中心，第十二届年度协调会议于2024年6月13日在教科文组织总部举行，第十三次年度协调会议于2025年7月16日在线举行。此外，秘书处还协调了</w:t>
      </w:r>
      <w:r w:rsidR="00A73299">
        <w:rPr>
          <w:rFonts w:ascii="SimSun" w:hAnsi="SimSun" w:hint="eastAsia"/>
          <w:lang w:val="zh-CN" w:bidi="zh-CN"/>
        </w:rPr>
        <w:t>五</w:t>
      </w:r>
      <w:r w:rsidRPr="00D22638">
        <w:rPr>
          <w:rFonts w:ascii="SimSun" w:hAnsi="SimSun"/>
          <w:lang w:val="zh-CN" w:bidi="zh-CN"/>
        </w:rPr>
        <w:t>个2类中心的续签流程</w:t>
      </w:r>
      <w:r w:rsidRPr="00D22638">
        <w:rPr>
          <w:rStyle w:val="FootnoteReference"/>
          <w:rFonts w:ascii="SimSun" w:hAnsi="SimSun"/>
          <w:lang w:val="zh-CN" w:bidi="zh-CN"/>
        </w:rPr>
        <w:footnoteReference w:id="2"/>
      </w:r>
      <w:r w:rsidRPr="00D22638">
        <w:rPr>
          <w:rFonts w:ascii="SimSun" w:hAnsi="SimSun"/>
          <w:lang w:val="zh-CN" w:bidi="zh-CN"/>
        </w:rPr>
        <w:t>。在本报告所述期间，还延长了五位教科文组织/姊妹大学教席的续签，并且新设立了一个公共与全球治理中非物质文化遗产问题教席（华沙大学）。</w:t>
      </w:r>
    </w:p>
    <w:p w14:paraId="55D32AFF" w14:textId="053873FD" w:rsidR="00B25FFD" w:rsidRPr="00495054" w:rsidRDefault="00B25FFD" w:rsidP="00806516">
      <w:pPr>
        <w:pStyle w:val="COMPara"/>
        <w:ind w:left="567" w:hanging="567"/>
        <w:jc w:val="both"/>
        <w:rPr>
          <w:rFonts w:ascii="SimSun" w:hAnsi="SimSun"/>
        </w:rPr>
      </w:pPr>
      <w:r w:rsidRPr="00495054">
        <w:rPr>
          <w:rFonts w:ascii="SimSun" w:hAnsi="SimSun"/>
          <w:lang w:val="zh-CN" w:bidi="zh-CN"/>
        </w:rPr>
        <w:t>在本报告所述期间，随着《公约》向多模</w:t>
      </w:r>
      <w:r w:rsidR="00F54969" w:rsidRPr="00495054">
        <w:rPr>
          <w:rFonts w:ascii="SimSun" w:hAnsi="SimSun" w:hint="eastAsia"/>
          <w:lang w:val="zh-CN" w:bidi="zh-CN"/>
        </w:rPr>
        <w:t>式</w:t>
      </w:r>
      <w:r w:rsidRPr="00495054">
        <w:rPr>
          <w:rFonts w:ascii="SimSun" w:hAnsi="SimSun"/>
          <w:lang w:val="zh-CN" w:bidi="zh-CN"/>
        </w:rPr>
        <w:t>保护方法的转变，</w:t>
      </w:r>
      <w:r w:rsidRPr="00495054">
        <w:rPr>
          <w:rFonts w:ascii="SimSun" w:hAnsi="SimSun"/>
          <w:u w:val="single"/>
          <w:lang w:val="zh-CN" w:bidi="zh-CN"/>
        </w:rPr>
        <w:t>战略传播</w:t>
      </w:r>
      <w:r w:rsidRPr="00495054">
        <w:rPr>
          <w:rFonts w:ascii="SimSun" w:hAnsi="SimSun"/>
          <w:lang w:val="zh-CN" w:bidi="zh-CN"/>
        </w:rPr>
        <w:t>和</w:t>
      </w:r>
      <w:r w:rsidRPr="00495054">
        <w:rPr>
          <w:rFonts w:ascii="SimSun" w:hAnsi="SimSun"/>
          <w:u w:val="single"/>
          <w:lang w:val="zh-CN" w:bidi="zh-CN"/>
        </w:rPr>
        <w:t>知识管理服务</w:t>
      </w:r>
      <w:r w:rsidRPr="00495054">
        <w:rPr>
          <w:rFonts w:ascii="SimSun" w:hAnsi="SimSun"/>
          <w:lang w:val="zh-CN" w:bidi="zh-CN"/>
        </w:rPr>
        <w:t>得到了加强。尤其是在庆祝</w:t>
      </w:r>
      <w:r w:rsidR="002D6F6A" w:rsidRPr="00495054">
        <w:rPr>
          <w:rFonts w:ascii="SimSun" w:hAnsi="SimSun" w:hint="eastAsia"/>
          <w:lang w:val="zh-CN" w:bidi="zh-CN"/>
        </w:rPr>
        <w:t>“</w:t>
      </w:r>
      <w:hyperlink r:id="rId35" w:history="1">
        <w:r w:rsidRPr="00495054">
          <w:rPr>
            <w:rStyle w:val="Hyperlink"/>
            <w:rFonts w:ascii="SimSun" w:hAnsi="SimSun"/>
            <w:lang w:val="zh-CN" w:bidi="zh-CN"/>
          </w:rPr>
          <w:t>国际非物质文化遗产日</w:t>
        </w:r>
      </w:hyperlink>
      <w:r w:rsidR="002D6F6A" w:rsidRPr="00495054">
        <w:rPr>
          <w:rFonts w:hint="eastAsia"/>
        </w:rPr>
        <w:t>”</w:t>
      </w:r>
      <w:r w:rsidRPr="00495054">
        <w:rPr>
          <w:rFonts w:ascii="SimSun" w:hAnsi="SimSun"/>
          <w:lang w:val="zh-CN" w:bidi="zh-CN"/>
        </w:rPr>
        <w:t>（10月17日）期间，《公约》网页上分享的活动数量非常多（2024年有100项活动，2025年则为134项）。</w:t>
      </w:r>
      <w:r w:rsidR="00806516" w:rsidRPr="00495054">
        <w:rPr>
          <w:rFonts w:ascii="SimSun" w:hAnsi="SimSun"/>
          <w:lang w:val="fr-FR" w:bidi="zh-CN"/>
        </w:rPr>
        <w:t>此外，秘书处还就设立“教科文组织—海赛姆苏丹非物质文化遗产保护奖”与阿曼苏丹国进行了磋商，该奖项已于2026年4月获执行局第224届会议批准</w:t>
      </w:r>
      <w:r w:rsidR="00806516" w:rsidRPr="00E178DC">
        <w:rPr>
          <w:rFonts w:ascii="SimSun" w:hAnsi="SimSun" w:hint="eastAsia"/>
          <w:lang w:val="fr-FR" w:bidi="zh-CN"/>
        </w:rPr>
        <w:t>设立</w:t>
      </w:r>
      <w:r w:rsidR="00806516" w:rsidRPr="00495054">
        <w:rPr>
          <w:rFonts w:ascii="SimSun" w:hAnsi="SimSun"/>
          <w:lang w:val="fr-FR" w:bidi="zh-CN"/>
        </w:rPr>
        <w:t>。</w:t>
      </w:r>
    </w:p>
    <w:p w14:paraId="212568F5" w14:textId="77777777" w:rsidR="00B25FFD" w:rsidRPr="00D22638" w:rsidRDefault="00B25FFD" w:rsidP="00E178DC">
      <w:pPr>
        <w:pStyle w:val="COMPara"/>
        <w:keepNext/>
        <w:numPr>
          <w:ilvl w:val="0"/>
          <w:numId w:val="9"/>
        </w:numPr>
        <w:spacing w:before="240"/>
        <w:jc w:val="both"/>
        <w:rPr>
          <w:rFonts w:ascii="SimSun" w:hAnsi="SimSun"/>
          <w:b/>
          <w:bCs/>
        </w:rPr>
      </w:pPr>
      <w:r w:rsidRPr="00D22638">
        <w:rPr>
          <w:rFonts w:ascii="SimSun" w:hAnsi="SimSun"/>
          <w:b/>
          <w:lang w:val="zh-CN" w:bidi="zh-CN"/>
        </w:rPr>
        <w:t>《公约》未来的方向</w:t>
      </w:r>
    </w:p>
    <w:p w14:paraId="33383D32" w14:textId="60EBB92E" w:rsidR="00B25FFD" w:rsidRPr="00D22638" w:rsidRDefault="00B25FFD" w:rsidP="00B25FFD">
      <w:pPr>
        <w:pStyle w:val="COMPara"/>
        <w:ind w:left="567" w:hanging="567"/>
        <w:jc w:val="both"/>
        <w:rPr>
          <w:rFonts w:ascii="SimSun" w:hAnsi="SimSun"/>
        </w:rPr>
      </w:pPr>
      <w:r w:rsidRPr="00D22638">
        <w:rPr>
          <w:rFonts w:ascii="SimSun" w:hAnsi="SimSun"/>
          <w:lang w:val="zh-CN" w:bidi="zh-CN"/>
        </w:rPr>
        <w:t>本报告发布之际，正值《公约》的一个转折点，此前一直指导秘书处各项主题倡议和业务活动的两个资金优先项目（2022-2025年）已告结束。根据《公约》理事机构确立的工作方向，秘书处已开始着手为面向未来的新平台和新活动奠定基础，相关内容已归纳于两项新的资金优先项目（参见第</w:t>
      </w:r>
      <w:r>
        <w:fldChar w:fldCharType="begin"/>
      </w:r>
      <w:r>
        <w:instrText>HYPERLINK "https://ich.unesco.org/en/decisions/20.COM/13"</w:instrText>
      </w:r>
      <w:r>
        <w:fldChar w:fldCharType="separate"/>
      </w:r>
      <w:r w:rsidRPr="00D22638">
        <w:rPr>
          <w:rStyle w:val="Hyperlink"/>
          <w:rFonts w:ascii="SimSun" w:hAnsi="SimSun"/>
          <w:lang w:val="zh-CN" w:bidi="zh-CN"/>
        </w:rPr>
        <w:t>20.COM 13</w:t>
      </w:r>
      <w:r>
        <w:fldChar w:fldCharType="end"/>
      </w:r>
      <w:r w:rsidRPr="00D22638">
        <w:rPr>
          <w:rFonts w:ascii="SimSun" w:hAnsi="SimSun"/>
          <w:lang w:val="zh-CN" w:bidi="zh-CN"/>
        </w:rPr>
        <w:t>号决定）。这些新的资金优先项目将为未来的能力建设战略、主题举措和《公约》的伙伴关系提供指导。</w:t>
      </w:r>
    </w:p>
    <w:p w14:paraId="0F9077DD" w14:textId="63D611CE" w:rsidR="00B25FFD" w:rsidRPr="00D22638" w:rsidRDefault="00B25FFD" w:rsidP="00B25FFD">
      <w:pPr>
        <w:pStyle w:val="COMPara"/>
        <w:ind w:left="567" w:hanging="567"/>
        <w:jc w:val="both"/>
        <w:rPr>
          <w:rFonts w:ascii="SimSun" w:hAnsi="SimSun"/>
        </w:rPr>
      </w:pPr>
      <w:r w:rsidRPr="00D22638">
        <w:rPr>
          <w:rFonts w:ascii="SimSun" w:hAnsi="SimSun"/>
          <w:lang w:val="zh-CN" w:bidi="zh-CN"/>
        </w:rPr>
        <w:t>这些新的资金优先项目在形式和实质上都体现了秘书处非遗保护方针的演变。2023年《公约》迎来二十周年之际，充分表明活态遗产已深深融入全球各地区缔约国的政策和方案之中。因此，要取得这一成功，就必须进一步完善非遗保护方法，将重点放在人类福祉和社区赋能上，将包容性置于核心（资金优先项目A），并探索将活态遗产与可持续发展挑战联系在一起的新兴主题领域（资金优先项目B）。这也呼应了《</w:t>
      </w:r>
      <w:r>
        <w:fldChar w:fldCharType="begin"/>
      </w:r>
      <w:r>
        <w:instrText>HYPERLINK "https://ich.unesco.org/en/seoul-vision-01330" \l ":~:text=Outlined%20during%20the%20celebration%20of,living%20heritage%20to%20ensure%20sustainable"</w:instrText>
      </w:r>
      <w:r>
        <w:fldChar w:fldCharType="separate"/>
      </w:r>
      <w:r w:rsidRPr="00D22638">
        <w:rPr>
          <w:rStyle w:val="Hyperlink"/>
          <w:rFonts w:ascii="SimSun" w:hAnsi="SimSun"/>
          <w:lang w:val="zh-CN" w:bidi="zh-CN"/>
        </w:rPr>
        <w:t>首尔愿景</w:t>
      </w:r>
      <w:r>
        <w:fldChar w:fldCharType="end"/>
      </w:r>
      <w:r w:rsidRPr="00D22638">
        <w:rPr>
          <w:rFonts w:ascii="SimSun" w:hAnsi="SimSun"/>
          <w:lang w:val="zh-CN" w:bidi="zh-CN"/>
        </w:rPr>
        <w:t>》（2023年）、《MONDIACULT宣言》（</w:t>
      </w:r>
      <w:r>
        <w:fldChar w:fldCharType="begin"/>
      </w:r>
      <w:r w:rsidR="002D6F6A">
        <w:instrText>HYPERLINK "https://www.unesco.org/sites/default/files/medias/fichiers/2022/10/6.MONDIACULT_ZH_DRAFT%20FINAL%20DECLARATION.pdf?hub=758"</w:instrText>
      </w:r>
      <w:r>
        <w:fldChar w:fldCharType="separate"/>
      </w:r>
      <w:r w:rsidRPr="00D22638">
        <w:rPr>
          <w:rStyle w:val="Hyperlink"/>
          <w:rFonts w:ascii="SimSun" w:hAnsi="SimSun"/>
          <w:lang w:val="zh-CN" w:bidi="zh-CN"/>
        </w:rPr>
        <w:t>2022年</w:t>
      </w:r>
      <w:r>
        <w:fldChar w:fldCharType="end"/>
      </w:r>
      <w:r w:rsidRPr="00D22638">
        <w:rPr>
          <w:rFonts w:ascii="SimSun" w:hAnsi="SimSun"/>
          <w:lang w:val="zh-CN" w:bidi="zh-CN"/>
        </w:rPr>
        <w:t>和</w:t>
      </w:r>
      <w:r>
        <w:fldChar w:fldCharType="begin"/>
      </w:r>
      <w:r w:rsidR="002D6F6A">
        <w:instrText>HYPERLINK "https://www.unesco.org/sites/default/files/medias/fichiers/2025/09/CH_MONDIACULT_Outcome_Document%20Final%20CLEAN.pdf?hub=171169"</w:instrText>
      </w:r>
      <w:r>
        <w:fldChar w:fldCharType="separate"/>
      </w:r>
      <w:r w:rsidRPr="00D22638">
        <w:rPr>
          <w:rStyle w:val="Hyperlink"/>
          <w:rFonts w:ascii="SimSun" w:hAnsi="SimSun"/>
          <w:lang w:val="zh-CN" w:bidi="zh-CN"/>
        </w:rPr>
        <w:t>2025年</w:t>
      </w:r>
      <w:r>
        <w:fldChar w:fldCharType="end"/>
      </w:r>
      <w:r w:rsidRPr="00D22638">
        <w:rPr>
          <w:rFonts w:ascii="SimSun" w:hAnsi="SimSun"/>
          <w:lang w:val="zh-CN" w:bidi="zh-CN"/>
        </w:rPr>
        <w:t>）中所提出的前瞻性方向，以及</w:t>
      </w:r>
      <w:r>
        <w:fldChar w:fldCharType="begin"/>
      </w:r>
      <w:r w:rsidR="002D6F6A">
        <w:instrText>HYPERLINK "https://unesdoc.unesco.org/ark:/48223/pf0000392982_chi"</w:instrText>
      </w:r>
      <w:r>
        <w:fldChar w:fldCharType="separate"/>
      </w:r>
      <w:r w:rsidRPr="00D22638">
        <w:rPr>
          <w:rStyle w:val="Hyperlink"/>
          <w:rFonts w:ascii="SimSun" w:hAnsi="SimSun"/>
          <w:lang w:val="zh-CN" w:bidi="zh-CN"/>
        </w:rPr>
        <w:t>2026-2029年计划与预算草案</w:t>
      </w:r>
      <w:r>
        <w:fldChar w:fldCharType="end"/>
      </w:r>
      <w:r w:rsidRPr="00D22638">
        <w:rPr>
          <w:rFonts w:ascii="SimSun" w:hAnsi="SimSun"/>
          <w:lang w:val="zh-CN" w:bidi="zh-CN"/>
        </w:rPr>
        <w:t>（43 C/5）中列明的规划方向和优先事项。</w:t>
      </w:r>
    </w:p>
    <w:p w14:paraId="365C577A" w14:textId="2675F6D6" w:rsidR="00A42B5E" w:rsidRPr="00D22638" w:rsidRDefault="00B25FFD" w:rsidP="00B25FFD">
      <w:pPr>
        <w:pStyle w:val="COMPara"/>
        <w:ind w:left="567" w:hanging="567"/>
        <w:rPr>
          <w:rFonts w:ascii="SimSun" w:hAnsi="SimSun"/>
        </w:rPr>
      </w:pPr>
      <w:r w:rsidRPr="00D22638">
        <w:rPr>
          <w:rFonts w:ascii="SimSun" w:hAnsi="SimSun"/>
          <w:lang w:val="zh-CN" w:bidi="zh-CN"/>
        </w:rPr>
        <w:t>为此，秘书处将继续加强与其他文化类公约，以及联合国系统内其他机构和项目的联系，以确保采取综合性方法保护非物质文化遗产及其相关方面。例如，2003年《公约》秘书处已与世界遗产公约秘书处共同参与了第二届教科文组织21世纪文化遗产大会，并在各项主题倡议中，继续推进与其他教科文组织项目及联合国机构的类似合作。如</w:t>
      </w:r>
      <w:r w:rsidR="003563A9">
        <w:rPr>
          <w:rFonts w:ascii="SimSun" w:hAnsi="SimSun" w:hint="eastAsia"/>
          <w:lang w:val="zh-CN" w:bidi="zh-CN"/>
        </w:rPr>
        <w:t>首份</w:t>
      </w:r>
      <w:hyperlink r:id="rId36" w:history="1">
        <w:r w:rsidRPr="00D22638">
          <w:rPr>
            <w:rStyle w:val="Hyperlink"/>
            <w:rFonts w:ascii="SimSun" w:hAnsi="SimSun"/>
            <w:lang w:val="zh-CN" w:bidi="zh-CN"/>
          </w:rPr>
          <w:t>全球文化政策报告</w:t>
        </w:r>
      </w:hyperlink>
      <w:r w:rsidRPr="00D22638">
        <w:rPr>
          <w:rFonts w:ascii="SimSun" w:hAnsi="SimSun"/>
          <w:lang w:val="zh-CN" w:bidi="zh-CN"/>
        </w:rPr>
        <w:t>所述，将根据新的资金优先项目深化此类合作，以期进一步将非物质文化遗产纳入全球可持续发展议程</w:t>
      </w:r>
    </w:p>
    <w:p w14:paraId="0ECE6357" w14:textId="77777777" w:rsidR="00A42B5E" w:rsidRPr="00D22638" w:rsidRDefault="00A42B5E" w:rsidP="00A42B5E">
      <w:pPr>
        <w:pStyle w:val="COMPara"/>
        <w:ind w:left="567" w:hanging="567"/>
        <w:rPr>
          <w:rFonts w:ascii="SimSun" w:hAnsi="SimSun"/>
        </w:rPr>
      </w:pPr>
      <w:r w:rsidRPr="00D22638">
        <w:rPr>
          <w:rFonts w:ascii="SimSun" w:hAnsi="SimSun" w:hint="eastAsia"/>
        </w:rPr>
        <w:t>谨建议大会通过如下决议：</w:t>
      </w:r>
    </w:p>
    <w:p w14:paraId="1EC5A77F" w14:textId="207F4C60" w:rsidR="00A42B5E" w:rsidRPr="00D22638" w:rsidRDefault="00A42B5E" w:rsidP="00A42B5E">
      <w:pPr>
        <w:pStyle w:val="COMTitleDecision"/>
        <w:rPr>
          <w:rFonts w:ascii="SimSun" w:hAnsi="SimSun"/>
        </w:rPr>
      </w:pPr>
      <w:r w:rsidRPr="00D22638">
        <w:rPr>
          <w:rFonts w:ascii="SimSun" w:hAnsi="SimSun" w:hint="eastAsia"/>
        </w:rPr>
        <w:t>第1</w:t>
      </w:r>
      <w:r w:rsidRPr="00D22638">
        <w:rPr>
          <w:rFonts w:ascii="SimSun" w:hAnsi="SimSun"/>
        </w:rPr>
        <w:t>1</w:t>
      </w:r>
      <w:r w:rsidRPr="00D22638">
        <w:rPr>
          <w:rFonts w:ascii="SimSun" w:hAnsi="SimSun" w:hint="eastAsia"/>
        </w:rPr>
        <w:t>.GA </w:t>
      </w:r>
      <w:r w:rsidR="00B25FFD" w:rsidRPr="00D22638">
        <w:rPr>
          <w:rFonts w:ascii="SimSun" w:hAnsi="SimSun"/>
        </w:rPr>
        <w:t>6</w:t>
      </w:r>
      <w:r w:rsidRPr="00D22638">
        <w:rPr>
          <w:rFonts w:ascii="SimSun" w:hAnsi="SimSun" w:hint="eastAsia"/>
        </w:rPr>
        <w:t>号决议草案</w:t>
      </w:r>
    </w:p>
    <w:p w14:paraId="1FB77108" w14:textId="77777777" w:rsidR="00A42B5E" w:rsidRPr="00D22638" w:rsidRDefault="00A42B5E" w:rsidP="00A42B5E">
      <w:pPr>
        <w:pStyle w:val="COMPreambulaDecisions"/>
        <w:rPr>
          <w:rFonts w:ascii="SimSun" w:hAnsi="SimSun"/>
        </w:rPr>
      </w:pPr>
      <w:r w:rsidRPr="00D22638">
        <w:rPr>
          <w:rFonts w:ascii="SimSun" w:hAnsi="SimSun" w:hint="eastAsia"/>
        </w:rPr>
        <w:t>大会，</w:t>
      </w:r>
    </w:p>
    <w:p w14:paraId="5AE1DEE0" w14:textId="168B31E8" w:rsidR="00B25FFD" w:rsidRPr="00D22638" w:rsidRDefault="00B25FFD" w:rsidP="00B25FFD">
      <w:pPr>
        <w:pStyle w:val="COMParaDecision"/>
        <w:rPr>
          <w:rFonts w:ascii="SimSun" w:hAnsi="SimSun"/>
        </w:rPr>
      </w:pPr>
      <w:r w:rsidRPr="00D22638">
        <w:rPr>
          <w:rFonts w:ascii="SimSun" w:hAnsi="SimSun"/>
          <w:lang w:val="zh-CN" w:bidi="zh-CN"/>
        </w:rPr>
        <w:t>审</w:t>
      </w:r>
      <w:r w:rsidR="003563A9">
        <w:rPr>
          <w:rFonts w:ascii="SimSun" w:hAnsi="SimSun" w:hint="eastAsia"/>
          <w:lang w:val="zh-CN" w:bidi="zh-CN"/>
        </w:rPr>
        <w:t>议</w:t>
      </w:r>
      <w:r w:rsidRPr="00D22638">
        <w:rPr>
          <w:rFonts w:ascii="SimSun" w:hAnsi="SimSun"/>
          <w:lang w:val="zh-CN" w:bidi="zh-CN"/>
        </w:rPr>
        <w:t>了</w:t>
      </w:r>
      <w:r w:rsidRPr="00D22638">
        <w:rPr>
          <w:rFonts w:ascii="SimSun" w:hAnsi="SimSun"/>
          <w:u w:val="none"/>
          <w:lang w:val="zh-CN" w:bidi="zh-CN"/>
        </w:rPr>
        <w:t>LHE/26/11.GA/6号文件及其附件，</w:t>
      </w:r>
    </w:p>
    <w:p w14:paraId="26301A22" w14:textId="750653AA" w:rsidR="00B25FFD" w:rsidRPr="00D22638" w:rsidRDefault="00B25FFD" w:rsidP="00B25FFD">
      <w:pPr>
        <w:pStyle w:val="COMParaDecision"/>
        <w:rPr>
          <w:rFonts w:ascii="SimSun" w:hAnsi="SimSun"/>
        </w:rPr>
      </w:pPr>
      <w:r w:rsidRPr="00D22638">
        <w:rPr>
          <w:rFonts w:ascii="SimSun" w:hAnsi="SimSun"/>
          <w:lang w:val="zh-CN" w:bidi="zh-CN"/>
        </w:rPr>
        <w:t>忆及</w:t>
      </w:r>
      <w:r w:rsidRPr="00D22638">
        <w:rPr>
          <w:rFonts w:ascii="SimSun" w:hAnsi="SimSun"/>
          <w:u w:val="none"/>
          <w:lang w:val="zh-CN" w:bidi="zh-CN"/>
        </w:rPr>
        <w:t>第</w:t>
      </w:r>
      <w:r>
        <w:fldChar w:fldCharType="begin"/>
      </w:r>
      <w:r w:rsidR="0008717F">
        <w:instrText>HYPERLINK "https://ich.unesco.org/doc/src/LHE-24-10.GA-Resolutions_ZH.docx?v=1721290689"</w:instrText>
      </w:r>
      <w:r>
        <w:fldChar w:fldCharType="separate"/>
      </w:r>
      <w:r w:rsidRPr="00D22638">
        <w:rPr>
          <w:rStyle w:val="Hyperlink"/>
          <w:rFonts w:ascii="SimSun" w:hAnsi="SimSun"/>
          <w:lang w:val="zh-CN" w:bidi="zh-CN"/>
        </w:rPr>
        <w:t>10.GA 6</w:t>
      </w:r>
      <w:r>
        <w:fldChar w:fldCharType="end"/>
      </w:r>
      <w:r w:rsidRPr="00D22638">
        <w:rPr>
          <w:rFonts w:ascii="SimSun" w:hAnsi="SimSun"/>
          <w:u w:val="none"/>
          <w:lang w:val="zh-CN" w:bidi="zh-CN"/>
        </w:rPr>
        <w:t>号决议，以及第</w:t>
      </w:r>
      <w:hyperlink r:id="rId37" w:history="1">
        <w:r w:rsidRPr="00D22638">
          <w:rPr>
            <w:rStyle w:val="Hyperlink"/>
            <w:rFonts w:ascii="SimSun" w:hAnsi="SimSun"/>
            <w:lang w:val="zh-CN" w:bidi="zh-CN"/>
          </w:rPr>
          <w:t>19.COM 15</w:t>
        </w:r>
      </w:hyperlink>
      <w:r w:rsidRPr="00D22638">
        <w:rPr>
          <w:rFonts w:ascii="SimSun" w:hAnsi="SimSun"/>
          <w:u w:val="none"/>
          <w:lang w:val="zh-CN" w:bidi="zh-CN"/>
        </w:rPr>
        <w:t>号决定和第</w:t>
      </w:r>
      <w:hyperlink r:id="rId38" w:history="1">
        <w:r w:rsidRPr="00D22638">
          <w:rPr>
            <w:rStyle w:val="Hyperlink"/>
            <w:rFonts w:ascii="SimSun" w:hAnsi="SimSun"/>
            <w:lang w:val="zh-CN" w:bidi="zh-CN"/>
          </w:rPr>
          <w:t>20.COM 6.c</w:t>
        </w:r>
      </w:hyperlink>
      <w:r w:rsidRPr="00D22638">
        <w:rPr>
          <w:rFonts w:ascii="SimSun" w:hAnsi="SimSun"/>
          <w:u w:val="none"/>
          <w:lang w:val="zh-CN" w:bidi="zh-CN"/>
        </w:rPr>
        <w:t>号决定，</w:t>
      </w:r>
    </w:p>
    <w:p w14:paraId="1E674D44" w14:textId="0EC49E6A" w:rsidR="00B25FFD" w:rsidRPr="00D22638" w:rsidRDefault="00B25FFD" w:rsidP="00B25FFD">
      <w:pPr>
        <w:pStyle w:val="COMParaDecision"/>
        <w:rPr>
          <w:rFonts w:ascii="SimSun" w:hAnsi="SimSun"/>
        </w:rPr>
      </w:pPr>
      <w:r w:rsidRPr="00D22638">
        <w:rPr>
          <w:rFonts w:ascii="SimSun" w:hAnsi="SimSun"/>
          <w:lang w:val="zh-CN" w:bidi="zh-CN"/>
        </w:rPr>
        <w:t>还忆及</w:t>
      </w:r>
      <w:r w:rsidRPr="00E178DC">
        <w:rPr>
          <w:rFonts w:ascii="SimSun" w:hAnsi="SimSun"/>
          <w:u w:val="none"/>
          <w:lang w:val="zh-CN" w:bidi="zh-CN"/>
        </w:rPr>
        <w:t>教科文组织大会执行局第</w:t>
      </w:r>
      <w:hyperlink r:id="rId39" w:history="1">
        <w:r w:rsidRPr="00D22638">
          <w:rPr>
            <w:rStyle w:val="Hyperlink"/>
            <w:rFonts w:ascii="SimSun" w:hAnsi="SimSun"/>
            <w:lang w:val="zh-CN" w:bidi="zh-CN"/>
          </w:rPr>
          <w:t>224 EX/4.I</w:t>
        </w:r>
      </w:hyperlink>
      <w:r w:rsidRPr="00D22638">
        <w:rPr>
          <w:rFonts w:ascii="SimSun" w:hAnsi="SimSun"/>
          <w:u w:val="none"/>
          <w:lang w:val="zh-CN" w:bidi="zh-CN"/>
        </w:rPr>
        <w:t>号决定，以及2021年内部监督事务厅对教科文组织在2003年《公约》框架内行动的评估、2024年内部监督事务厅对教科文组织关于文化部门公约和建议书定期报告的评估，</w:t>
      </w:r>
    </w:p>
    <w:p w14:paraId="7C0BE50B" w14:textId="77777777" w:rsidR="00B25FFD" w:rsidRPr="00D22638" w:rsidRDefault="00B25FFD" w:rsidP="00B25FFD">
      <w:pPr>
        <w:pStyle w:val="COMParaDecision"/>
        <w:rPr>
          <w:rFonts w:ascii="SimSun" w:hAnsi="SimSun"/>
        </w:rPr>
      </w:pPr>
      <w:r w:rsidRPr="00D22638">
        <w:rPr>
          <w:rFonts w:ascii="SimSun" w:hAnsi="SimSun"/>
          <w:lang w:val="zh-CN" w:bidi="zh-CN"/>
        </w:rPr>
        <w:lastRenderedPageBreak/>
        <w:t>赞扬</w:t>
      </w:r>
      <w:r w:rsidRPr="00D22638">
        <w:rPr>
          <w:rFonts w:ascii="SimSun" w:hAnsi="SimSun"/>
          <w:u w:val="none"/>
          <w:lang w:val="zh-CN" w:bidi="zh-CN"/>
        </w:rPr>
        <w:t>秘书处通过高效地组织法定会议和管理国际合作机制，特别是国际援助机制的系统化和扩大其覆盖范围，继续为《公约》的健全治理提供支持</w:t>
      </w:r>
      <w:r w:rsidRPr="00E178DC">
        <w:rPr>
          <w:rFonts w:ascii="SimSun" w:hAnsi="SimSun"/>
          <w:u w:val="none"/>
          <w:lang w:val="zh-CN" w:bidi="zh-CN"/>
        </w:rPr>
        <w:t>；</w:t>
      </w:r>
    </w:p>
    <w:p w14:paraId="6F5ED1CD" w14:textId="745B5769" w:rsidR="00B25FFD" w:rsidRPr="00D22638" w:rsidRDefault="005D2025" w:rsidP="005D2025">
      <w:pPr>
        <w:pStyle w:val="COMParaDecision"/>
        <w:rPr>
          <w:rFonts w:ascii="SimSun" w:hAnsi="SimSun"/>
        </w:rPr>
      </w:pPr>
      <w:r w:rsidRPr="00E178DC">
        <w:rPr>
          <w:rFonts w:ascii="SimSun" w:hAnsi="SimSun"/>
          <w:lang w:val="fr-FR" w:bidi="zh-CN"/>
        </w:rPr>
        <w:t>注意到</w:t>
      </w:r>
      <w:r w:rsidRPr="005D2025">
        <w:rPr>
          <w:rFonts w:ascii="SimSun" w:hAnsi="SimSun"/>
          <w:u w:val="none"/>
          <w:lang w:val="fr-FR" w:bidi="zh-CN"/>
        </w:rPr>
        <w:t>由于各方对《公约》名录列入机制的兴趣和支持不断增加而引发的关于申报材料数量及其处理方式的问题</w:t>
      </w:r>
      <w:r w:rsidRPr="00E178DC">
        <w:rPr>
          <w:rFonts w:ascii="SimSun" w:hAnsi="SimSun"/>
          <w:u w:val="none"/>
          <w:lang w:bidi="zh-CN"/>
        </w:rPr>
        <w:t>，</w:t>
      </w:r>
      <w:r w:rsidRPr="005D2025">
        <w:rPr>
          <w:rFonts w:ascii="SimSun" w:hAnsi="SimSun"/>
          <w:u w:val="none"/>
          <w:lang w:val="fr-FR" w:bidi="zh-CN"/>
        </w:rPr>
        <w:t>并</w:t>
      </w:r>
      <w:r w:rsidRPr="00E178DC">
        <w:rPr>
          <w:rFonts w:ascii="SimSun" w:hAnsi="SimSun"/>
          <w:lang w:val="fr-FR" w:bidi="zh-CN"/>
        </w:rPr>
        <w:t>请</w:t>
      </w:r>
      <w:r w:rsidRPr="005D2025">
        <w:rPr>
          <w:rFonts w:ascii="SimSun" w:hAnsi="SimSun"/>
          <w:u w:val="none"/>
          <w:lang w:val="fr-FR" w:bidi="zh-CN"/>
        </w:rPr>
        <w:t>秘书处考虑到委员会第二十一届</w:t>
      </w:r>
      <w:r w:rsidRPr="00E178DC">
        <w:rPr>
          <w:rFonts w:ascii="SimSun" w:hAnsi="SimSun"/>
          <w:u w:val="none"/>
          <w:lang w:bidi="zh-CN"/>
        </w:rPr>
        <w:t>（2026</w:t>
      </w:r>
      <w:r w:rsidRPr="005D2025">
        <w:rPr>
          <w:rFonts w:ascii="SimSun" w:hAnsi="SimSun"/>
          <w:u w:val="none"/>
          <w:lang w:val="fr-FR" w:bidi="zh-CN"/>
        </w:rPr>
        <w:t>年</w:t>
      </w:r>
      <w:r w:rsidRPr="00E178DC">
        <w:rPr>
          <w:rFonts w:ascii="SimSun" w:hAnsi="SimSun"/>
          <w:u w:val="none"/>
          <w:lang w:bidi="zh-CN"/>
        </w:rPr>
        <w:t>）</w:t>
      </w:r>
      <w:r w:rsidRPr="005D2025">
        <w:rPr>
          <w:rFonts w:ascii="SimSun" w:hAnsi="SimSun"/>
          <w:u w:val="none"/>
          <w:lang w:val="fr-FR" w:bidi="zh-CN"/>
        </w:rPr>
        <w:t>和第二十二届</w:t>
      </w:r>
      <w:r w:rsidRPr="00E178DC">
        <w:rPr>
          <w:rFonts w:ascii="SimSun" w:hAnsi="SimSun"/>
          <w:u w:val="none"/>
          <w:lang w:bidi="zh-CN"/>
        </w:rPr>
        <w:t>（2027</w:t>
      </w:r>
      <w:r w:rsidRPr="005D2025">
        <w:rPr>
          <w:rFonts w:ascii="SimSun" w:hAnsi="SimSun"/>
          <w:u w:val="none"/>
          <w:lang w:val="fr-FR" w:bidi="zh-CN"/>
        </w:rPr>
        <w:t>年</w:t>
      </w:r>
      <w:r w:rsidRPr="00E178DC">
        <w:rPr>
          <w:rFonts w:ascii="SimSun" w:hAnsi="SimSun"/>
          <w:u w:val="none"/>
          <w:lang w:bidi="zh-CN"/>
        </w:rPr>
        <w:t>）</w:t>
      </w:r>
      <w:r w:rsidRPr="005D2025">
        <w:rPr>
          <w:rFonts w:ascii="SimSun" w:hAnsi="SimSun"/>
          <w:u w:val="none"/>
          <w:lang w:val="fr-FR" w:bidi="zh-CN"/>
        </w:rPr>
        <w:t>会议将开展的讨论</w:t>
      </w:r>
      <w:r w:rsidRPr="00E178DC">
        <w:rPr>
          <w:rFonts w:ascii="SimSun" w:hAnsi="SimSun"/>
          <w:u w:val="none"/>
          <w:lang w:bidi="zh-CN"/>
        </w:rPr>
        <w:t>，</w:t>
      </w:r>
      <w:r w:rsidRPr="005D2025">
        <w:rPr>
          <w:rFonts w:ascii="SimSun" w:hAnsi="SimSun"/>
          <w:u w:val="none"/>
          <w:lang w:val="fr-FR" w:bidi="zh-CN"/>
        </w:rPr>
        <w:t>就有关情况的发展变化向大会第十二届会议提交报告供其审议</w:t>
      </w:r>
      <w:r w:rsidR="00B25FFD" w:rsidRPr="00E178DC">
        <w:rPr>
          <w:rFonts w:ascii="SimSun" w:hAnsi="SimSun"/>
          <w:u w:val="none"/>
          <w:lang w:val="zh-CN" w:bidi="zh-CN"/>
        </w:rPr>
        <w:t>；</w:t>
      </w:r>
    </w:p>
    <w:p w14:paraId="23A39A96" w14:textId="00E943FA" w:rsidR="00B25FFD" w:rsidRPr="00D22638" w:rsidRDefault="00B25FFD" w:rsidP="00B25FFD">
      <w:pPr>
        <w:pStyle w:val="COMParaDecision"/>
        <w:rPr>
          <w:rFonts w:ascii="SimSun" w:hAnsi="SimSun"/>
        </w:rPr>
      </w:pPr>
      <w:r w:rsidRPr="00D22638">
        <w:rPr>
          <w:rFonts w:ascii="SimSun" w:hAnsi="SimSun"/>
          <w:lang w:val="zh-CN" w:bidi="zh-CN"/>
        </w:rPr>
        <w:t>满意地注意到</w:t>
      </w:r>
      <w:r w:rsidRPr="00D22638">
        <w:rPr>
          <w:rFonts w:ascii="SimSun" w:hAnsi="SimSun"/>
          <w:u w:val="none"/>
          <w:lang w:val="zh-CN" w:bidi="zh-CN"/>
        </w:rPr>
        <w:t>定期报告的第一轮区域周期已顺利完成，且所有地区的定期报告提交率均有显著提升，并</w:t>
      </w:r>
      <w:r w:rsidRPr="00D22638">
        <w:rPr>
          <w:rFonts w:ascii="SimSun" w:hAnsi="SimSun"/>
          <w:lang w:val="zh-CN" w:bidi="zh-CN"/>
        </w:rPr>
        <w:t>鼓励</w:t>
      </w:r>
      <w:r w:rsidR="000D2E30" w:rsidRPr="00E178DC">
        <w:rPr>
          <w:rFonts w:ascii="SimSun" w:hAnsi="SimSun" w:hint="eastAsia"/>
          <w:u w:val="none"/>
          <w:lang w:val="zh-CN" w:bidi="zh-CN"/>
        </w:rPr>
        <w:t>秘书</w:t>
      </w:r>
      <w:r w:rsidRPr="00D22638">
        <w:rPr>
          <w:rFonts w:ascii="SimSun" w:hAnsi="SimSun"/>
          <w:u w:val="none"/>
          <w:lang w:val="zh-CN" w:bidi="zh-CN"/>
        </w:rPr>
        <w:t>处借鉴本轮周期中的最佳实践，以推进向单一全球提交报告系统过渡；</w:t>
      </w:r>
    </w:p>
    <w:p w14:paraId="566E42BC" w14:textId="6F35491C" w:rsidR="00B25FFD" w:rsidRPr="00D22638" w:rsidRDefault="00B25FFD" w:rsidP="00B25FFD">
      <w:pPr>
        <w:pStyle w:val="COMParaDecision"/>
        <w:rPr>
          <w:rFonts w:ascii="SimSun" w:hAnsi="SimSun"/>
        </w:rPr>
      </w:pPr>
      <w:r w:rsidRPr="00D22638">
        <w:rPr>
          <w:rFonts w:ascii="SimSun" w:hAnsi="SimSun"/>
          <w:lang w:val="zh-CN" w:bidi="zh-CN"/>
        </w:rPr>
        <w:t>赞赏</w:t>
      </w:r>
      <w:r w:rsidRPr="00D22638">
        <w:rPr>
          <w:rFonts w:ascii="SimSun" w:hAnsi="SimSun"/>
          <w:u w:val="none"/>
          <w:lang w:val="zh-CN" w:bidi="zh-CN"/>
        </w:rPr>
        <w:t>全球能力建设方案向多模</w:t>
      </w:r>
      <w:r w:rsidR="000D2E30">
        <w:rPr>
          <w:rFonts w:ascii="SimSun" w:hAnsi="SimSun" w:hint="eastAsia"/>
          <w:u w:val="none"/>
          <w:lang w:val="zh-CN" w:bidi="zh-CN"/>
        </w:rPr>
        <w:t>式</w:t>
      </w:r>
      <w:r w:rsidRPr="00D22638">
        <w:rPr>
          <w:rFonts w:ascii="SimSun" w:hAnsi="SimSun"/>
          <w:u w:val="none"/>
          <w:lang w:val="zh-CN" w:bidi="zh-CN"/>
        </w:rPr>
        <w:t>和跨部门方针的转型，以及在《公约》主题举措下取得的进展</w:t>
      </w:r>
      <w:r w:rsidRPr="00E178DC">
        <w:rPr>
          <w:rFonts w:ascii="SimSun" w:hAnsi="SimSun"/>
          <w:u w:val="none"/>
          <w:lang w:val="zh-CN" w:bidi="zh-CN"/>
        </w:rPr>
        <w:t>；</w:t>
      </w:r>
    </w:p>
    <w:p w14:paraId="5F0302C2" w14:textId="77777777" w:rsidR="00B25FFD" w:rsidRPr="00E178DC" w:rsidRDefault="00B25FFD" w:rsidP="00B25FFD">
      <w:pPr>
        <w:pStyle w:val="COMParaDecision"/>
        <w:rPr>
          <w:rFonts w:ascii="SimSun" w:hAnsi="SimSun"/>
          <w:u w:val="none"/>
        </w:rPr>
      </w:pPr>
      <w:r w:rsidRPr="00D22638">
        <w:rPr>
          <w:rFonts w:ascii="SimSun" w:hAnsi="SimSun"/>
          <w:lang w:val="zh-CN" w:bidi="zh-CN"/>
        </w:rPr>
        <w:t>还注意到</w:t>
      </w:r>
      <w:r w:rsidRPr="00D22638">
        <w:rPr>
          <w:rFonts w:ascii="SimSun" w:hAnsi="SimSun"/>
          <w:u w:val="none"/>
          <w:lang w:val="zh-CN" w:bidi="zh-CN"/>
        </w:rPr>
        <w:t>在2022-2025年资金优先项目下取得的成就，以及《公约》在2026-2029年的新资金优先项目，并</w:t>
      </w:r>
      <w:r w:rsidRPr="00D22638">
        <w:rPr>
          <w:rFonts w:ascii="SimSun" w:hAnsi="SimSun"/>
          <w:lang w:val="zh-CN" w:bidi="zh-CN"/>
        </w:rPr>
        <w:t>邀请</w:t>
      </w:r>
      <w:r w:rsidRPr="00D22638">
        <w:rPr>
          <w:rFonts w:ascii="SimSun" w:hAnsi="SimSun"/>
          <w:u w:val="none"/>
          <w:lang w:val="zh-CN" w:bidi="zh-CN"/>
        </w:rPr>
        <w:t>秘书处继续使《公约》的全球能力建设方案和主题举措与其主要行动领域保持一致，同时深化与教科文组织其他项目和更广泛的联合国系统的合作</w:t>
      </w:r>
      <w:r w:rsidRPr="00E178DC">
        <w:rPr>
          <w:rFonts w:ascii="SimSun" w:hAnsi="SimSun"/>
          <w:u w:val="none"/>
          <w:lang w:val="zh-CN" w:bidi="zh-CN"/>
        </w:rPr>
        <w:t>；</w:t>
      </w:r>
    </w:p>
    <w:p w14:paraId="118DABDD" w14:textId="77777777" w:rsidR="00B25FFD" w:rsidRPr="00D22638" w:rsidRDefault="00B25FFD" w:rsidP="00B25FFD">
      <w:pPr>
        <w:pStyle w:val="COMParaDecision"/>
        <w:rPr>
          <w:rFonts w:ascii="SimSun" w:hAnsi="SimSun"/>
        </w:rPr>
      </w:pPr>
      <w:r w:rsidRPr="00D22638">
        <w:rPr>
          <w:rFonts w:ascii="SimSun" w:hAnsi="SimSun"/>
          <w:lang w:val="zh-CN" w:bidi="zh-CN"/>
        </w:rPr>
        <w:t>还赞赏</w:t>
      </w:r>
      <w:r w:rsidRPr="00D22638">
        <w:rPr>
          <w:rFonts w:ascii="SimSun" w:hAnsi="SimSun"/>
          <w:u w:val="none"/>
          <w:lang w:val="zh-CN" w:bidi="zh-CN"/>
        </w:rPr>
        <w:t>2021年内部监督事务厅对教科文组织在2003年《公约》框架下行动的评估中提出的建议得到全面落实，</w:t>
      </w:r>
      <w:r w:rsidRPr="00D22638">
        <w:rPr>
          <w:rFonts w:ascii="SimSun" w:hAnsi="SimSun"/>
          <w:lang w:val="zh-CN" w:bidi="zh-CN"/>
        </w:rPr>
        <w:t>感谢</w:t>
      </w:r>
      <w:r w:rsidRPr="00D22638">
        <w:rPr>
          <w:rFonts w:ascii="SimSun" w:hAnsi="SimSun"/>
          <w:u w:val="none"/>
          <w:lang w:val="zh-CN" w:bidi="zh-CN"/>
        </w:rPr>
        <w:t>秘书处就此进行的报告，并</w:t>
      </w:r>
      <w:r w:rsidRPr="00D22638">
        <w:rPr>
          <w:rFonts w:ascii="SimSun" w:hAnsi="SimSun"/>
          <w:lang w:val="zh-CN" w:bidi="zh-CN"/>
        </w:rPr>
        <w:t>认为</w:t>
      </w:r>
      <w:r w:rsidRPr="00D22638">
        <w:rPr>
          <w:rFonts w:ascii="SimSun" w:hAnsi="SimSun"/>
          <w:u w:val="none"/>
          <w:lang w:val="zh-CN" w:bidi="zh-CN"/>
        </w:rPr>
        <w:t>今后有关这些建议落实情况的报告可根据需要提供；</w:t>
      </w:r>
    </w:p>
    <w:p w14:paraId="1D1DC6D0" w14:textId="77777777" w:rsidR="00B25FFD" w:rsidRPr="00D22638" w:rsidRDefault="00B25FFD" w:rsidP="00B25FFD">
      <w:pPr>
        <w:pStyle w:val="COMParaDecision"/>
        <w:rPr>
          <w:rFonts w:ascii="SimSun" w:hAnsi="SimSun"/>
        </w:rPr>
      </w:pPr>
      <w:r w:rsidRPr="00D22638">
        <w:rPr>
          <w:rFonts w:ascii="SimSun" w:hAnsi="SimSun"/>
          <w:lang w:val="zh-CN" w:bidi="zh-CN"/>
        </w:rPr>
        <w:t>还请</w:t>
      </w:r>
      <w:r w:rsidRPr="00D22638">
        <w:rPr>
          <w:rFonts w:ascii="SimSun" w:hAnsi="SimSun"/>
          <w:u w:val="none"/>
          <w:lang w:val="zh-CN" w:bidi="zh-CN"/>
        </w:rPr>
        <w:t>秘书处报告其在2026年1月至2027年12月期间的活动，供大会第十二届会议审查。</w:t>
      </w:r>
    </w:p>
    <w:p w14:paraId="1A60E8C4" w14:textId="77777777" w:rsidR="00B25FFD" w:rsidRPr="00EF0B02" w:rsidRDefault="00B25FFD" w:rsidP="00B25FFD">
      <w:pPr>
        <w:pStyle w:val="COMParaDecision"/>
        <w:numPr>
          <w:ilvl w:val="0"/>
          <w:numId w:val="0"/>
        </w:numPr>
        <w:ind w:left="1134" w:hanging="567"/>
        <w:sectPr w:rsidR="00B25FFD" w:rsidRPr="00EF0B02" w:rsidSect="00B25FFD">
          <w:headerReference w:type="even" r:id="rId40"/>
          <w:headerReference w:type="default" r:id="rId41"/>
          <w:headerReference w:type="first" r:id="rId42"/>
          <w:pgSz w:w="11906" w:h="16838" w:code="9"/>
          <w:pgMar w:top="1418" w:right="1134" w:bottom="1134" w:left="1134" w:header="397" w:footer="284" w:gutter="0"/>
          <w:cols w:space="708"/>
          <w:titlePg/>
          <w:docGrid w:linePitch="360"/>
        </w:sectPr>
      </w:pPr>
    </w:p>
    <w:p w14:paraId="12CE5A75" w14:textId="77777777" w:rsidR="00B25FFD" w:rsidRPr="00EF0B02" w:rsidRDefault="00B25FFD" w:rsidP="00B25FFD">
      <w:pPr>
        <w:pStyle w:val="COMParaDecision"/>
        <w:numPr>
          <w:ilvl w:val="0"/>
          <w:numId w:val="0"/>
        </w:numPr>
        <w:jc w:val="center"/>
        <w:rPr>
          <w:rFonts w:asciiTheme="minorBidi" w:hAnsiTheme="minorBidi" w:cstheme="minorBidi"/>
          <w:b/>
        </w:rPr>
      </w:pPr>
      <w:bookmarkStart w:id="1" w:name="AnnexI"/>
      <w:r w:rsidRPr="00EF0B02">
        <w:rPr>
          <w:rFonts w:asciiTheme="minorBidi" w:hAnsiTheme="minorBidi" w:cstheme="minorBidi"/>
          <w:b/>
          <w:lang w:val="zh-CN" w:bidi="zh-CN"/>
        </w:rPr>
        <w:lastRenderedPageBreak/>
        <w:t>附件一</w:t>
      </w:r>
    </w:p>
    <w:bookmarkEnd w:id="1"/>
    <w:p w14:paraId="1170F746" w14:textId="77777777" w:rsidR="00B25FFD" w:rsidRPr="00EF0B02" w:rsidRDefault="00B25FFD" w:rsidP="00B25FFD">
      <w:pPr>
        <w:pStyle w:val="COMParaDecision"/>
        <w:numPr>
          <w:ilvl w:val="0"/>
          <w:numId w:val="0"/>
        </w:numPr>
        <w:spacing w:after="240"/>
        <w:jc w:val="center"/>
        <w:rPr>
          <w:rFonts w:asciiTheme="minorBidi" w:hAnsiTheme="minorBidi" w:cstheme="minorBidi"/>
          <w:b/>
          <w:u w:val="none"/>
        </w:rPr>
      </w:pPr>
      <w:r w:rsidRPr="00EF0B02">
        <w:rPr>
          <w:rFonts w:asciiTheme="minorBidi" w:hAnsiTheme="minorBidi" w:cstheme="minorBidi"/>
          <w:b/>
          <w:u w:val="none"/>
          <w:lang w:val="zh-CN" w:bidi="zh-CN"/>
        </w:rPr>
        <w:t>按绩效指标进行评估</w:t>
      </w:r>
    </w:p>
    <w:tbl>
      <w:tblPr>
        <w:tblStyle w:val="TableGrid2"/>
        <w:tblW w:w="14572" w:type="dxa"/>
        <w:tblLook w:val="04A0" w:firstRow="1" w:lastRow="0" w:firstColumn="1" w:lastColumn="0" w:noHBand="0" w:noVBand="1"/>
      </w:tblPr>
      <w:tblGrid>
        <w:gridCol w:w="3652"/>
        <w:gridCol w:w="10920"/>
      </w:tblGrid>
      <w:tr w:rsidR="00B25FFD" w:rsidRPr="00E178DC" w14:paraId="6A25D2A5" w14:textId="77777777" w:rsidTr="00297070">
        <w:trPr>
          <w:cantSplit/>
        </w:trPr>
        <w:tc>
          <w:tcPr>
            <w:tcW w:w="1253" w:type="pct"/>
            <w:shd w:val="clear" w:color="auto" w:fill="808080" w:themeFill="background1" w:themeFillShade="80"/>
            <w:vAlign w:val="center"/>
          </w:tcPr>
          <w:p w14:paraId="35CAF7D2" w14:textId="77777777" w:rsidR="00B25FFD" w:rsidRPr="00E178DC" w:rsidRDefault="00B25FFD" w:rsidP="00297070">
            <w:pPr>
              <w:keepNext/>
              <w:widowControl w:val="0"/>
              <w:spacing w:before="120" w:after="120"/>
              <w:rPr>
                <w:rFonts w:cstheme="minorBidi"/>
                <w:b/>
                <w:bCs/>
                <w:color w:val="FFFFFF" w:themeColor="background1"/>
                <w:lang w:val="en-GB"/>
              </w:rPr>
            </w:pPr>
            <w:r w:rsidRPr="00E178DC">
              <w:rPr>
                <w:rFonts w:cstheme="minorBidi"/>
                <w:b/>
                <w:color w:val="FFFFFF" w:themeColor="background1"/>
                <w:lang w:val="zh-CN" w:bidi="zh-CN"/>
              </w:rPr>
              <w:t xml:space="preserve">42C/5 </w:t>
            </w:r>
            <w:proofErr w:type="spellStart"/>
            <w:r w:rsidRPr="00E178DC">
              <w:rPr>
                <w:rFonts w:cstheme="minorBidi" w:hint="eastAsia"/>
                <w:b/>
                <w:color w:val="FFFFFF" w:themeColor="background1"/>
                <w:lang w:val="zh-CN" w:bidi="zh-CN"/>
              </w:rPr>
              <w:t>绩效指标</w:t>
            </w:r>
            <w:proofErr w:type="spellEnd"/>
            <w:r w:rsidRPr="00E178DC">
              <w:rPr>
                <w:rFonts w:cstheme="minorBidi"/>
                <w:b/>
                <w:color w:val="FFFFFF" w:themeColor="background1"/>
                <w:lang w:val="zh-CN" w:bidi="zh-CN"/>
              </w:rPr>
              <w:t>1</w:t>
            </w:r>
          </w:p>
        </w:tc>
        <w:tc>
          <w:tcPr>
            <w:tcW w:w="3747" w:type="pct"/>
            <w:shd w:val="clear" w:color="auto" w:fill="808080" w:themeFill="background1" w:themeFillShade="80"/>
            <w:vAlign w:val="center"/>
          </w:tcPr>
          <w:p w14:paraId="46920064" w14:textId="6A429BA6" w:rsidR="00B25FFD" w:rsidRPr="00E178DC" w:rsidRDefault="00B25FFD" w:rsidP="00297070">
            <w:pPr>
              <w:keepNext/>
              <w:widowControl w:val="0"/>
              <w:spacing w:before="120" w:after="120"/>
              <w:jc w:val="both"/>
              <w:rPr>
                <w:rFonts w:cstheme="minorBidi"/>
                <w:b/>
                <w:bCs/>
                <w:color w:val="FFFFFF" w:themeColor="background1"/>
                <w:lang w:val="en-GB" w:eastAsia="zh-CN"/>
              </w:rPr>
            </w:pPr>
            <w:proofErr w:type="spellStart"/>
            <w:proofErr w:type="gramStart"/>
            <w:r w:rsidRPr="00E178DC">
              <w:rPr>
                <w:rFonts w:cstheme="minorBidi" w:hint="eastAsia"/>
                <w:b/>
                <w:color w:val="FFFFFF" w:themeColor="background1"/>
                <w:lang w:val="zh-CN" w:bidi="zh-CN"/>
              </w:rPr>
              <w:t>根据</w:t>
            </w:r>
            <w:proofErr w:type="spellEnd"/>
            <w:proofErr w:type="gramEnd"/>
            <w:r w:rsidRPr="00E178DC">
              <w:rPr>
                <w:rFonts w:cstheme="minorBidi"/>
                <w:b/>
                <w:color w:val="FFFFFF" w:themeColor="background1"/>
                <w:lang w:val="zh-CN" w:bidi="zh-CN"/>
              </w:rPr>
              <w:t>2003</w:t>
            </w:r>
            <w:proofErr w:type="spellStart"/>
            <w:r w:rsidRPr="00E178DC">
              <w:rPr>
                <w:rFonts w:cstheme="minorBidi" w:hint="eastAsia"/>
                <w:b/>
                <w:color w:val="FFFFFF" w:themeColor="background1"/>
                <w:lang w:val="zh-CN" w:bidi="zh-CN"/>
              </w:rPr>
              <w:t>年《保护非物质文化遗产公约》制定新的或修订保护活态遗产的政策、战略和计划（包括在可持续发展计划和框架内）的成员国数目</w:t>
            </w:r>
            <w:proofErr w:type="spellEnd"/>
          </w:p>
        </w:tc>
      </w:tr>
    </w:tbl>
    <w:tbl>
      <w:tblPr>
        <w:tblW w:w="14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52"/>
        <w:gridCol w:w="1676"/>
        <w:gridCol w:w="417"/>
        <w:gridCol w:w="224"/>
        <w:gridCol w:w="10277"/>
      </w:tblGrid>
      <w:tr w:rsidR="00B25FFD" w:rsidRPr="00E178DC" w14:paraId="2DBBEA89" w14:textId="77777777" w:rsidTr="00297070">
        <w:trPr>
          <w:tblHeader/>
        </w:trPr>
        <w:tc>
          <w:tcPr>
            <w:tcW w:w="627" w:type="pct"/>
            <w:shd w:val="clear" w:color="auto" w:fill="D9D9D9" w:themeFill="background1" w:themeFillShade="D9"/>
            <w:vAlign w:val="center"/>
          </w:tcPr>
          <w:p w14:paraId="480EE75F" w14:textId="77777777" w:rsidR="00B25FFD" w:rsidRPr="00E178DC" w:rsidRDefault="00B25FFD" w:rsidP="00297070">
            <w:pPr>
              <w:widowControl w:val="0"/>
              <w:spacing w:before="60" w:after="60"/>
              <w:jc w:val="center"/>
              <w:rPr>
                <w:rFonts w:cstheme="minorBidi"/>
                <w:b/>
                <w:lang w:val="en-GB"/>
              </w:rPr>
            </w:pPr>
            <w:r w:rsidRPr="00E178DC">
              <w:rPr>
                <w:rFonts w:cstheme="minorBidi" w:hint="eastAsia"/>
                <w:b/>
                <w:lang w:val="zh-CN" w:bidi="zh-CN"/>
              </w:rPr>
              <w:t>基线</w:t>
            </w:r>
          </w:p>
        </w:tc>
        <w:tc>
          <w:tcPr>
            <w:tcW w:w="627" w:type="pct"/>
            <w:gridSpan w:val="2"/>
            <w:shd w:val="clear" w:color="auto" w:fill="D9D9D9" w:themeFill="background1" w:themeFillShade="D9"/>
            <w:vAlign w:val="center"/>
          </w:tcPr>
          <w:p w14:paraId="7ECF02C5" w14:textId="77777777" w:rsidR="00B25FFD" w:rsidRPr="00E178DC" w:rsidRDefault="00B25FFD" w:rsidP="00297070">
            <w:pPr>
              <w:widowControl w:val="0"/>
              <w:spacing w:before="60" w:after="60"/>
              <w:jc w:val="center"/>
              <w:rPr>
                <w:rFonts w:cstheme="minorBidi"/>
                <w:b/>
                <w:lang w:val="en-GB"/>
              </w:rPr>
            </w:pPr>
            <w:r w:rsidRPr="00E178DC">
              <w:rPr>
                <w:rFonts w:cstheme="minorBidi"/>
                <w:b/>
                <w:lang w:val="zh-CN" w:bidi="zh-CN"/>
              </w:rPr>
              <w:t>2025</w:t>
            </w:r>
            <w:r w:rsidRPr="00E178DC">
              <w:rPr>
                <w:rFonts w:cstheme="minorBidi" w:hint="eastAsia"/>
                <w:b/>
                <w:lang w:val="zh-CN" w:bidi="zh-CN"/>
              </w:rPr>
              <w:t>年目标</w:t>
            </w:r>
          </w:p>
        </w:tc>
        <w:tc>
          <w:tcPr>
            <w:tcW w:w="3747" w:type="pct"/>
            <w:gridSpan w:val="3"/>
            <w:shd w:val="clear" w:color="auto" w:fill="D9D9D9" w:themeFill="background1" w:themeFillShade="D9"/>
            <w:vAlign w:val="center"/>
          </w:tcPr>
          <w:p w14:paraId="66AA48E8" w14:textId="77777777" w:rsidR="00B25FFD" w:rsidRPr="00E178DC" w:rsidRDefault="00B25FFD" w:rsidP="00297070">
            <w:pPr>
              <w:widowControl w:val="0"/>
              <w:autoSpaceDE w:val="0"/>
              <w:autoSpaceDN w:val="0"/>
              <w:adjustRightInd w:val="0"/>
              <w:jc w:val="center"/>
              <w:rPr>
                <w:rFonts w:cstheme="minorBidi"/>
                <w:b/>
                <w:color w:val="000000"/>
                <w:lang w:val="en-GB"/>
              </w:rPr>
            </w:pPr>
            <w:r w:rsidRPr="00E178DC">
              <w:rPr>
                <w:rFonts w:cstheme="minorBidi" w:hint="eastAsia"/>
                <w:b/>
                <w:lang w:val="zh-CN" w:bidi="zh-CN"/>
              </w:rPr>
              <w:t>进展评估：</w:t>
            </w:r>
            <w:r w:rsidRPr="00E178DC">
              <w:rPr>
                <w:rFonts w:cstheme="minorBidi"/>
                <w:b/>
                <w:lang w:val="zh-CN" w:bidi="zh-CN"/>
              </w:rPr>
              <w:br/>
              <w:t>2024</w:t>
            </w:r>
            <w:r w:rsidRPr="00E178DC">
              <w:rPr>
                <w:rFonts w:cstheme="minorBidi" w:hint="eastAsia"/>
                <w:b/>
                <w:lang w:val="zh-CN" w:bidi="zh-CN"/>
              </w:rPr>
              <w:t>年</w:t>
            </w:r>
            <w:r w:rsidRPr="00E178DC">
              <w:rPr>
                <w:rFonts w:cstheme="minorBidi"/>
                <w:b/>
                <w:lang w:val="zh-CN" w:bidi="zh-CN"/>
              </w:rPr>
              <w:t>1</w:t>
            </w:r>
            <w:r w:rsidRPr="00E178DC">
              <w:rPr>
                <w:rFonts w:cstheme="minorBidi" w:hint="eastAsia"/>
                <w:b/>
                <w:lang w:val="zh-CN" w:bidi="zh-CN"/>
              </w:rPr>
              <w:t>月</w:t>
            </w:r>
            <w:r w:rsidRPr="00E178DC">
              <w:rPr>
                <w:rFonts w:cstheme="minorBidi"/>
                <w:b/>
                <w:lang w:val="zh-CN" w:bidi="zh-CN"/>
              </w:rPr>
              <w:t>1</w:t>
            </w:r>
            <w:r w:rsidRPr="00E178DC">
              <w:rPr>
                <w:rFonts w:cstheme="minorBidi" w:hint="eastAsia"/>
                <w:b/>
                <w:lang w:val="zh-CN" w:bidi="zh-CN"/>
              </w:rPr>
              <w:t>日至</w:t>
            </w:r>
            <w:r w:rsidRPr="00E178DC">
              <w:rPr>
                <w:rFonts w:cstheme="minorBidi"/>
                <w:b/>
                <w:lang w:val="zh-CN" w:bidi="zh-CN"/>
              </w:rPr>
              <w:t>2025</w:t>
            </w:r>
            <w:r w:rsidRPr="00E178DC">
              <w:rPr>
                <w:rFonts w:cstheme="minorBidi" w:hint="eastAsia"/>
                <w:b/>
                <w:lang w:val="zh-CN" w:bidi="zh-CN"/>
              </w:rPr>
              <w:t>年</w:t>
            </w:r>
            <w:r w:rsidRPr="00E178DC">
              <w:rPr>
                <w:rFonts w:cstheme="minorBidi"/>
                <w:b/>
                <w:lang w:val="zh-CN" w:bidi="zh-CN"/>
              </w:rPr>
              <w:t>12</w:t>
            </w:r>
            <w:r w:rsidRPr="00E178DC">
              <w:rPr>
                <w:rFonts w:cstheme="minorBidi" w:hint="eastAsia"/>
                <w:b/>
                <w:lang w:val="zh-CN" w:bidi="zh-CN"/>
              </w:rPr>
              <w:t>月</w:t>
            </w:r>
            <w:r w:rsidRPr="00E178DC">
              <w:rPr>
                <w:rFonts w:cstheme="minorBidi"/>
                <w:b/>
                <w:lang w:val="zh-CN" w:bidi="zh-CN"/>
              </w:rPr>
              <w:t>31</w:t>
            </w:r>
            <w:r w:rsidRPr="00E178DC">
              <w:rPr>
                <w:rFonts w:cstheme="minorBidi" w:hint="eastAsia"/>
                <w:b/>
                <w:lang w:val="zh-CN" w:bidi="zh-CN"/>
              </w:rPr>
              <w:t>日</w:t>
            </w:r>
          </w:p>
        </w:tc>
      </w:tr>
      <w:tr w:rsidR="00B25FFD" w:rsidRPr="00EF0B02" w14:paraId="1BEF601B" w14:textId="77777777" w:rsidTr="00297070">
        <w:trPr>
          <w:trHeight w:val="1498"/>
        </w:trPr>
        <w:tc>
          <w:tcPr>
            <w:tcW w:w="627" w:type="pct"/>
            <w:tcBorders>
              <w:bottom w:val="single" w:sz="4" w:space="0" w:color="auto"/>
            </w:tcBorders>
          </w:tcPr>
          <w:p w14:paraId="1D216615" w14:textId="77777777" w:rsidR="00B25FFD" w:rsidRPr="00E178DC" w:rsidRDefault="00B25FFD" w:rsidP="00297070">
            <w:pPr>
              <w:widowControl w:val="0"/>
              <w:spacing w:before="120" w:after="120"/>
              <w:rPr>
                <w:rFonts w:cstheme="minorBidi"/>
                <w:lang w:val="en-GB"/>
              </w:rPr>
            </w:pPr>
            <w:r w:rsidRPr="00E178DC">
              <w:rPr>
                <w:rFonts w:cstheme="minorBidi"/>
                <w:lang w:val="zh-CN" w:bidi="zh-CN"/>
              </w:rPr>
              <w:t>128</w:t>
            </w:r>
            <w:r w:rsidRPr="00E178DC">
              <w:rPr>
                <w:rFonts w:cstheme="minorBidi" w:hint="eastAsia"/>
                <w:lang w:val="zh-CN" w:bidi="zh-CN"/>
              </w:rPr>
              <w:t>，包括</w:t>
            </w:r>
            <w:r w:rsidRPr="00E178DC">
              <w:rPr>
                <w:rFonts w:cstheme="minorBidi"/>
                <w:lang w:val="zh-CN" w:bidi="zh-CN"/>
              </w:rPr>
              <w:t>38</w:t>
            </w:r>
            <w:r w:rsidRPr="00E178DC">
              <w:rPr>
                <w:rFonts w:cstheme="minorBidi" w:hint="eastAsia"/>
                <w:lang w:val="zh-CN" w:bidi="zh-CN"/>
              </w:rPr>
              <w:t>个非洲国家和</w:t>
            </w:r>
            <w:r w:rsidRPr="00E178DC">
              <w:rPr>
                <w:rFonts w:cstheme="minorBidi"/>
                <w:lang w:val="zh-CN" w:bidi="zh-CN"/>
              </w:rPr>
              <w:t>11</w:t>
            </w:r>
            <w:r w:rsidRPr="00E178DC">
              <w:rPr>
                <w:rFonts w:cstheme="minorBidi" w:hint="eastAsia"/>
                <w:lang w:val="zh-CN" w:bidi="zh-CN"/>
              </w:rPr>
              <w:t>个小岛屿发展中国家</w:t>
            </w:r>
          </w:p>
        </w:tc>
        <w:tc>
          <w:tcPr>
            <w:tcW w:w="627" w:type="pct"/>
            <w:gridSpan w:val="2"/>
            <w:tcBorders>
              <w:bottom w:val="single" w:sz="4" w:space="0" w:color="auto"/>
            </w:tcBorders>
          </w:tcPr>
          <w:p w14:paraId="25560514" w14:textId="77777777" w:rsidR="00B25FFD" w:rsidRPr="00E178DC" w:rsidRDefault="00B25FFD" w:rsidP="00297070">
            <w:pPr>
              <w:widowControl w:val="0"/>
              <w:spacing w:before="120" w:after="120"/>
              <w:ind w:left="-28"/>
              <w:rPr>
                <w:rFonts w:cstheme="minorBidi"/>
                <w:lang w:val="en-GB"/>
              </w:rPr>
            </w:pPr>
            <w:r w:rsidRPr="00E178DC">
              <w:rPr>
                <w:rFonts w:cstheme="minorBidi"/>
                <w:lang w:val="zh-CN" w:bidi="zh-CN"/>
              </w:rPr>
              <w:t>100</w:t>
            </w:r>
            <w:r w:rsidRPr="00E178DC">
              <w:rPr>
                <w:rFonts w:cstheme="minorBidi" w:hint="eastAsia"/>
                <w:lang w:val="zh-CN" w:bidi="zh-CN"/>
              </w:rPr>
              <w:t>，包括</w:t>
            </w:r>
            <w:r w:rsidRPr="00E178DC">
              <w:rPr>
                <w:rFonts w:cstheme="minorBidi"/>
                <w:lang w:val="zh-CN" w:bidi="zh-CN"/>
              </w:rPr>
              <w:t>36</w:t>
            </w:r>
            <w:r w:rsidRPr="00E178DC">
              <w:rPr>
                <w:rFonts w:cstheme="minorBidi" w:hint="eastAsia"/>
                <w:lang w:val="zh-CN" w:bidi="zh-CN"/>
              </w:rPr>
              <w:t>个非洲国家和</w:t>
            </w:r>
            <w:r w:rsidRPr="00E178DC">
              <w:rPr>
                <w:rFonts w:cstheme="minorBidi"/>
                <w:lang w:val="zh-CN" w:bidi="zh-CN"/>
              </w:rPr>
              <w:t>20</w:t>
            </w:r>
            <w:r w:rsidRPr="00E178DC">
              <w:rPr>
                <w:rFonts w:cstheme="minorBidi" w:hint="eastAsia"/>
                <w:lang w:val="zh-CN" w:bidi="zh-CN"/>
              </w:rPr>
              <w:t>个小岛屿发展中国家</w:t>
            </w:r>
          </w:p>
        </w:tc>
        <w:tc>
          <w:tcPr>
            <w:tcW w:w="3747" w:type="pct"/>
            <w:gridSpan w:val="3"/>
            <w:tcBorders>
              <w:bottom w:val="single" w:sz="4" w:space="0" w:color="auto"/>
            </w:tcBorders>
          </w:tcPr>
          <w:p w14:paraId="700D94BF" w14:textId="77777777" w:rsidR="00B25FFD" w:rsidRPr="00E178DC" w:rsidRDefault="00B25FFD" w:rsidP="00B25FFD">
            <w:pPr>
              <w:pStyle w:val="ListParagraph"/>
              <w:widowControl w:val="0"/>
              <w:numPr>
                <w:ilvl w:val="0"/>
                <w:numId w:val="7"/>
              </w:numPr>
              <w:spacing w:before="120" w:after="120"/>
              <w:ind w:left="425" w:hanging="425"/>
              <w:contextualSpacing w:val="0"/>
              <w:jc w:val="both"/>
              <w:rPr>
                <w:rFonts w:cstheme="minorBidi"/>
                <w:lang w:val="en-GB"/>
              </w:rPr>
            </w:pPr>
            <w:r w:rsidRPr="00E178DC">
              <w:rPr>
                <w:rFonts w:cstheme="minorBidi"/>
                <w:lang w:val="zh-CN" w:bidi="zh-CN"/>
              </w:rPr>
              <w:t>127</w:t>
            </w:r>
            <w:r w:rsidRPr="00E178DC">
              <w:rPr>
                <w:rFonts w:cstheme="minorBidi" w:hint="eastAsia"/>
                <w:lang w:val="zh-CN" w:bidi="zh-CN"/>
              </w:rPr>
              <w:t>个成员国受益于能力建设方案（包括</w:t>
            </w:r>
            <w:r w:rsidRPr="00E178DC">
              <w:rPr>
                <w:rFonts w:cstheme="minorBidi"/>
                <w:lang w:val="zh-CN" w:bidi="zh-CN"/>
              </w:rPr>
              <w:t>44</w:t>
            </w:r>
            <w:r w:rsidRPr="00E178DC">
              <w:rPr>
                <w:rFonts w:cstheme="minorBidi" w:hint="eastAsia"/>
                <w:lang w:val="zh-CN" w:bidi="zh-CN"/>
              </w:rPr>
              <w:t>个非洲国家和</w:t>
            </w:r>
            <w:r w:rsidRPr="00E178DC">
              <w:rPr>
                <w:rFonts w:cstheme="minorBidi"/>
                <w:lang w:val="zh-CN" w:bidi="zh-CN"/>
              </w:rPr>
              <w:t>33</w:t>
            </w:r>
            <w:r w:rsidRPr="00E178DC">
              <w:rPr>
                <w:rFonts w:cstheme="minorBidi" w:hint="eastAsia"/>
                <w:lang w:val="zh-CN" w:bidi="zh-CN"/>
              </w:rPr>
              <w:t>个小岛屿发展中国家）；</w:t>
            </w:r>
          </w:p>
          <w:p w14:paraId="54106456" w14:textId="77777777" w:rsidR="00B25FFD" w:rsidRPr="00E178DC" w:rsidRDefault="00B25FFD" w:rsidP="00B25FFD">
            <w:pPr>
              <w:pStyle w:val="ListParagraph"/>
              <w:widowControl w:val="0"/>
              <w:numPr>
                <w:ilvl w:val="0"/>
                <w:numId w:val="7"/>
              </w:numPr>
              <w:spacing w:before="120" w:after="120"/>
              <w:ind w:left="425" w:hanging="425"/>
              <w:contextualSpacing w:val="0"/>
              <w:jc w:val="both"/>
              <w:rPr>
                <w:rFonts w:cstheme="minorBidi"/>
                <w:lang w:val="en-GB"/>
              </w:rPr>
            </w:pPr>
            <w:r w:rsidRPr="00E178DC">
              <w:rPr>
                <w:rFonts w:cstheme="minorBidi"/>
                <w:lang w:val="zh-CN" w:bidi="zh-CN"/>
              </w:rPr>
              <w:t>44</w:t>
            </w:r>
            <w:r w:rsidRPr="00E178DC">
              <w:rPr>
                <w:rFonts w:cstheme="minorBidi" w:hint="eastAsia"/>
                <w:lang w:val="zh-CN" w:bidi="zh-CN"/>
              </w:rPr>
              <w:t>个国家获得了对非洲定期报告工作的支持；</w:t>
            </w:r>
          </w:p>
          <w:p w14:paraId="13E62850" w14:textId="77777777" w:rsidR="00B25FFD" w:rsidRPr="00E178DC" w:rsidRDefault="00B25FFD" w:rsidP="00B25FFD">
            <w:pPr>
              <w:pStyle w:val="ListParagraph"/>
              <w:widowControl w:val="0"/>
              <w:numPr>
                <w:ilvl w:val="0"/>
                <w:numId w:val="7"/>
              </w:numPr>
              <w:spacing w:before="120" w:after="120"/>
              <w:ind w:left="425" w:hanging="425"/>
              <w:contextualSpacing w:val="0"/>
              <w:jc w:val="both"/>
              <w:rPr>
                <w:rFonts w:cstheme="minorBidi"/>
                <w:lang w:val="en-GB"/>
              </w:rPr>
            </w:pPr>
            <w:r w:rsidRPr="00E178DC">
              <w:rPr>
                <w:rFonts w:cstheme="minorBidi"/>
                <w:lang w:val="zh-CN" w:bidi="zh-CN"/>
              </w:rPr>
              <w:t>42</w:t>
            </w:r>
            <w:r w:rsidRPr="00E178DC">
              <w:rPr>
                <w:rFonts w:cstheme="minorBidi" w:hint="eastAsia"/>
                <w:lang w:val="zh-CN" w:bidi="zh-CN"/>
              </w:rPr>
              <w:t>个国家获得了对亚太地区定期报告工作的支持；</w:t>
            </w:r>
          </w:p>
          <w:p w14:paraId="7FA53C35" w14:textId="54763B93" w:rsidR="00B25FFD" w:rsidRPr="00E178DC" w:rsidRDefault="00B25FFD" w:rsidP="00B25FFD">
            <w:pPr>
              <w:pStyle w:val="ListParagraph"/>
              <w:widowControl w:val="0"/>
              <w:numPr>
                <w:ilvl w:val="0"/>
                <w:numId w:val="7"/>
              </w:numPr>
              <w:spacing w:before="120" w:after="120"/>
              <w:ind w:left="425" w:hanging="425"/>
              <w:contextualSpacing w:val="0"/>
              <w:jc w:val="both"/>
              <w:rPr>
                <w:rFonts w:cstheme="minorBidi"/>
                <w:lang w:val="en-GB"/>
              </w:rPr>
            </w:pPr>
            <w:r w:rsidRPr="00E178DC">
              <w:rPr>
                <w:rFonts w:cstheme="minorBidi" w:hint="eastAsia"/>
                <w:lang w:val="zh-CN" w:bidi="zh-CN"/>
              </w:rPr>
              <w:t>通过</w:t>
            </w:r>
            <w:r w:rsidRPr="00730678">
              <w:fldChar w:fldCharType="begin"/>
            </w:r>
            <w:r w:rsidRPr="00E178DC">
              <w:rPr>
                <w:lang w:val="en-GB"/>
              </w:rPr>
              <w:instrText>HYPERLINK "https://ich.unesco.org/en/events/training-programme-for-the-global-facilitators-network-information-webinar-01031"</w:instrText>
            </w:r>
            <w:r w:rsidRPr="00730678">
              <w:fldChar w:fldCharType="separate"/>
            </w:r>
            <w:r w:rsidRPr="00E178DC">
              <w:rPr>
                <w:rStyle w:val="Hyperlink"/>
                <w:rFonts w:cstheme="minorBidi"/>
                <w:lang w:val="zh-CN" w:bidi="zh-CN"/>
              </w:rPr>
              <w:t>2025</w:t>
            </w:r>
            <w:r w:rsidRPr="00E178DC">
              <w:rPr>
                <w:rStyle w:val="Hyperlink"/>
                <w:rFonts w:cs="MS Gothic" w:hint="eastAsia"/>
                <w:lang w:val="zh-CN" w:bidi="zh-CN"/>
              </w:rPr>
              <w:t>年全球</w:t>
            </w:r>
            <w:r w:rsidR="00730678">
              <w:rPr>
                <w:rStyle w:val="Hyperlink"/>
                <w:rFonts w:cs="MS Gothic" w:hint="eastAsia"/>
                <w:lang w:val="zh-CN" w:bidi="zh-CN"/>
              </w:rPr>
              <w:t>促进员</w:t>
            </w:r>
            <w:r w:rsidRPr="00E178DC">
              <w:rPr>
                <w:rStyle w:val="Hyperlink"/>
                <w:rFonts w:cs="Microsoft JhengHei" w:hint="eastAsia"/>
                <w:lang w:val="zh-CN" w:bidi="zh-CN"/>
              </w:rPr>
              <w:t>网络全球培训方案</w:t>
            </w:r>
            <w:r w:rsidRPr="00730678">
              <w:fldChar w:fldCharType="end"/>
            </w:r>
            <w:r w:rsidRPr="00E178DC">
              <w:rPr>
                <w:rFonts w:cstheme="minorBidi" w:hint="eastAsia"/>
                <w:lang w:val="zh-CN" w:bidi="zh-CN"/>
              </w:rPr>
              <w:t>、一场入门网络研讨会（</w:t>
            </w:r>
            <w:r w:rsidRPr="00E178DC">
              <w:rPr>
                <w:rFonts w:cstheme="minorBidi"/>
                <w:lang w:val="zh-CN" w:bidi="zh-CN"/>
              </w:rPr>
              <w:t>2025</w:t>
            </w:r>
            <w:r w:rsidRPr="00E178DC">
              <w:rPr>
                <w:rFonts w:cstheme="minorBidi" w:hint="eastAsia"/>
                <w:lang w:val="zh-CN" w:bidi="zh-CN"/>
              </w:rPr>
              <w:t>年</w:t>
            </w:r>
            <w:r w:rsidRPr="00E178DC">
              <w:rPr>
                <w:rFonts w:cstheme="minorBidi"/>
                <w:lang w:val="zh-CN" w:bidi="zh-CN"/>
              </w:rPr>
              <w:t>2</w:t>
            </w:r>
            <w:r w:rsidRPr="00E178DC">
              <w:rPr>
                <w:rFonts w:cstheme="minorBidi" w:hint="eastAsia"/>
                <w:lang w:val="zh-CN" w:bidi="zh-CN"/>
              </w:rPr>
              <w:t>月），以及三场分别聚焦于活态遗产和减灾（</w:t>
            </w:r>
            <w:r w:rsidRPr="00E178DC">
              <w:rPr>
                <w:rFonts w:cstheme="minorBidi"/>
                <w:lang w:val="zh-CN" w:bidi="zh-CN"/>
              </w:rPr>
              <w:t>2025</w:t>
            </w:r>
            <w:r w:rsidRPr="00E178DC">
              <w:rPr>
                <w:rFonts w:cstheme="minorBidi" w:hint="eastAsia"/>
                <w:lang w:val="zh-CN" w:bidi="zh-CN"/>
              </w:rPr>
              <w:t>年</w:t>
            </w:r>
            <w:r w:rsidRPr="00E178DC">
              <w:rPr>
                <w:rFonts w:cstheme="minorBidi"/>
                <w:lang w:val="zh-CN" w:bidi="zh-CN"/>
              </w:rPr>
              <w:t>3</w:t>
            </w:r>
            <w:r w:rsidRPr="00E178DC">
              <w:rPr>
                <w:rFonts w:cstheme="minorBidi" w:hint="eastAsia"/>
                <w:lang w:val="zh-CN" w:bidi="zh-CN"/>
              </w:rPr>
              <w:t>月）、《公约》名录与登记册申报材料编制（</w:t>
            </w:r>
            <w:r w:rsidRPr="00E178DC">
              <w:rPr>
                <w:rFonts w:cstheme="minorBidi"/>
                <w:lang w:val="zh-CN" w:bidi="zh-CN"/>
              </w:rPr>
              <w:t>2025</w:t>
            </w:r>
            <w:r w:rsidRPr="00E178DC">
              <w:rPr>
                <w:rFonts w:cstheme="minorBidi" w:hint="eastAsia"/>
                <w:lang w:val="zh-CN" w:bidi="zh-CN"/>
              </w:rPr>
              <w:t>年</w:t>
            </w:r>
            <w:r w:rsidRPr="00E178DC">
              <w:rPr>
                <w:rFonts w:cstheme="minorBidi"/>
                <w:lang w:val="zh-CN" w:bidi="zh-CN"/>
              </w:rPr>
              <w:t>6</w:t>
            </w:r>
            <w:r w:rsidRPr="00E178DC">
              <w:rPr>
                <w:rFonts w:cstheme="minorBidi" w:hint="eastAsia"/>
                <w:lang w:val="zh-CN" w:bidi="zh-CN"/>
              </w:rPr>
              <w:t>月）以及活态遗产与教育（</w:t>
            </w:r>
            <w:r w:rsidRPr="00E178DC">
              <w:rPr>
                <w:rFonts w:cstheme="minorBidi"/>
                <w:lang w:val="zh-CN" w:bidi="zh-CN"/>
              </w:rPr>
              <w:t>2025</w:t>
            </w:r>
            <w:r w:rsidRPr="00E178DC">
              <w:rPr>
                <w:rFonts w:cstheme="minorBidi" w:hint="eastAsia"/>
                <w:lang w:val="zh-CN" w:bidi="zh-CN"/>
              </w:rPr>
              <w:t>年</w:t>
            </w:r>
            <w:r w:rsidRPr="00E178DC">
              <w:rPr>
                <w:rFonts w:cstheme="minorBidi"/>
                <w:lang w:val="zh-CN" w:bidi="zh-CN"/>
              </w:rPr>
              <w:t>7</w:t>
            </w:r>
            <w:r w:rsidRPr="00E178DC">
              <w:rPr>
                <w:rFonts w:cstheme="minorBidi" w:hint="eastAsia"/>
                <w:lang w:val="zh-CN" w:bidi="zh-CN"/>
              </w:rPr>
              <w:t>月）的主题会议，全球</w:t>
            </w:r>
            <w:r w:rsidR="005F2519">
              <w:rPr>
                <w:rFonts w:cstheme="minorBidi" w:hint="eastAsia"/>
                <w:lang w:val="zh-CN" w:bidi="zh-CN"/>
              </w:rPr>
              <w:t>促进员</w:t>
            </w:r>
            <w:r w:rsidRPr="00E178DC">
              <w:rPr>
                <w:rFonts w:cstheme="minorBidi" w:hint="eastAsia"/>
                <w:lang w:val="zh-CN" w:bidi="zh-CN"/>
              </w:rPr>
              <w:t>网络的能力得到提升；</w:t>
            </w:r>
          </w:p>
          <w:p w14:paraId="0103B179" w14:textId="77777777" w:rsidR="00B25FFD" w:rsidRPr="00E178DC" w:rsidRDefault="00B25FFD" w:rsidP="00B25FFD">
            <w:pPr>
              <w:pStyle w:val="ListParagraph"/>
              <w:widowControl w:val="0"/>
              <w:numPr>
                <w:ilvl w:val="0"/>
                <w:numId w:val="7"/>
              </w:numPr>
              <w:spacing w:before="120" w:after="120"/>
              <w:ind w:left="425" w:hanging="425"/>
              <w:contextualSpacing w:val="0"/>
              <w:jc w:val="both"/>
              <w:rPr>
                <w:rFonts w:cstheme="minorBidi"/>
                <w:lang w:val="en-GB"/>
              </w:rPr>
            </w:pPr>
            <w:r w:rsidRPr="00E178DC">
              <w:rPr>
                <w:rFonts w:cstheme="minorBidi"/>
                <w:lang w:val="zh-CN" w:bidi="zh-CN"/>
              </w:rPr>
              <w:t>2025</w:t>
            </w:r>
            <w:r w:rsidRPr="00E178DC">
              <w:rPr>
                <w:rFonts w:cstheme="minorBidi" w:hint="eastAsia"/>
                <w:lang w:val="zh-CN" w:bidi="zh-CN"/>
              </w:rPr>
              <w:t>年</w:t>
            </w:r>
            <w:r w:rsidRPr="00E178DC">
              <w:rPr>
                <w:rFonts w:cstheme="minorBidi"/>
                <w:lang w:val="zh-CN" w:bidi="zh-CN"/>
              </w:rPr>
              <w:t>10</w:t>
            </w:r>
            <w:r w:rsidRPr="00E178DC">
              <w:rPr>
                <w:rFonts w:cstheme="minorBidi" w:hint="eastAsia"/>
                <w:lang w:val="zh-CN" w:bidi="zh-CN"/>
              </w:rPr>
              <w:t>月至</w:t>
            </w:r>
            <w:r w:rsidRPr="00E178DC">
              <w:rPr>
                <w:rFonts w:cstheme="minorBidi"/>
                <w:lang w:val="zh-CN" w:bidi="zh-CN"/>
              </w:rPr>
              <w:t>12</w:t>
            </w:r>
            <w:r w:rsidRPr="00E178DC">
              <w:rPr>
                <w:rFonts w:cstheme="minorBidi" w:hint="eastAsia"/>
                <w:lang w:val="zh-CN" w:bidi="zh-CN"/>
              </w:rPr>
              <w:t>月期间，在</w:t>
            </w:r>
            <w:r w:rsidRPr="00E178DC">
              <w:rPr>
                <w:rFonts w:cstheme="minorBidi"/>
                <w:lang w:val="zh-CN" w:bidi="zh-CN"/>
              </w:rPr>
              <w:t>4</w:t>
            </w:r>
            <w:r w:rsidRPr="00E178DC">
              <w:rPr>
                <w:rFonts w:cstheme="minorBidi" w:hint="eastAsia"/>
                <w:lang w:val="zh-CN" w:bidi="zh-CN"/>
              </w:rPr>
              <w:t>个非洲国家举办了</w:t>
            </w:r>
            <w:r w:rsidRPr="00E178DC">
              <w:rPr>
                <w:rFonts w:cstheme="minorBidi"/>
                <w:lang w:val="zh-CN" w:bidi="zh-CN"/>
              </w:rPr>
              <w:t>4</w:t>
            </w:r>
            <w:r w:rsidRPr="00E178DC">
              <w:rPr>
                <w:rFonts w:cstheme="minorBidi" w:hint="eastAsia"/>
                <w:lang w:val="zh-CN" w:bidi="zh-CN"/>
              </w:rPr>
              <w:t>场申报能力建设研讨会（计划在</w:t>
            </w:r>
            <w:r w:rsidRPr="00E178DC">
              <w:rPr>
                <w:rFonts w:cstheme="minorBidi"/>
                <w:lang w:val="zh-CN" w:bidi="zh-CN"/>
              </w:rPr>
              <w:t>2026</w:t>
            </w:r>
            <w:r w:rsidRPr="00E178DC">
              <w:rPr>
                <w:rFonts w:cstheme="minorBidi" w:hint="eastAsia"/>
                <w:lang w:val="zh-CN" w:bidi="zh-CN"/>
              </w:rPr>
              <w:t>年再举办</w:t>
            </w:r>
            <w:r w:rsidRPr="00E178DC">
              <w:rPr>
                <w:rFonts w:cstheme="minorBidi"/>
                <w:lang w:val="zh-CN" w:bidi="zh-CN"/>
              </w:rPr>
              <w:t>5</w:t>
            </w:r>
            <w:r w:rsidRPr="00E178DC">
              <w:rPr>
                <w:rFonts w:cstheme="minorBidi" w:hint="eastAsia"/>
                <w:lang w:val="zh-CN" w:bidi="zh-CN"/>
              </w:rPr>
              <w:t>场）；</w:t>
            </w:r>
          </w:p>
          <w:p w14:paraId="05BC17F2" w14:textId="77777777" w:rsidR="00B25FFD" w:rsidRPr="00EF0B02" w:rsidRDefault="00B25FFD" w:rsidP="00B25FFD">
            <w:pPr>
              <w:pStyle w:val="ListParagraph"/>
              <w:widowControl w:val="0"/>
              <w:numPr>
                <w:ilvl w:val="0"/>
                <w:numId w:val="7"/>
              </w:numPr>
              <w:spacing w:before="120" w:after="120"/>
              <w:ind w:left="425" w:hanging="425"/>
              <w:contextualSpacing w:val="0"/>
              <w:jc w:val="both"/>
              <w:rPr>
                <w:rFonts w:asciiTheme="minorBidi" w:hAnsiTheme="minorBidi" w:cstheme="minorBidi"/>
                <w:lang w:val="en-GB"/>
              </w:rPr>
            </w:pPr>
            <w:r w:rsidRPr="00E178DC">
              <w:rPr>
                <w:rFonts w:cstheme="minorBidi" w:hint="eastAsia"/>
                <w:lang w:val="zh-CN" w:bidi="zh-CN"/>
              </w:rPr>
              <w:t>处理了</w:t>
            </w:r>
            <w:r w:rsidRPr="00E178DC">
              <w:rPr>
                <w:rFonts w:cstheme="minorBidi"/>
                <w:lang w:val="zh-CN" w:bidi="zh-CN"/>
              </w:rPr>
              <w:t>5</w:t>
            </w:r>
            <w:r w:rsidRPr="00E178DC">
              <w:rPr>
                <w:rFonts w:cstheme="minorBidi" w:hint="eastAsia"/>
                <w:lang w:val="zh-CN" w:bidi="zh-CN"/>
              </w:rPr>
              <w:t>份关于设立或更新非物质文化遗产领域教科文组织教席的提案。</w:t>
            </w:r>
          </w:p>
        </w:tc>
      </w:tr>
      <w:tr w:rsidR="00B25FFD" w:rsidRPr="00EF0B02" w14:paraId="78C41128" w14:textId="77777777" w:rsidTr="00297070">
        <w:trPr>
          <w:trHeight w:val="367"/>
        </w:trPr>
        <w:tc>
          <w:tcPr>
            <w:tcW w:w="679" w:type="pct"/>
            <w:gridSpan w:val="2"/>
            <w:tcBorders>
              <w:left w:val="nil"/>
              <w:bottom w:val="nil"/>
              <w:right w:val="nil"/>
            </w:tcBorders>
          </w:tcPr>
          <w:p w14:paraId="4946ABD4" w14:textId="77777777" w:rsidR="00B25FFD" w:rsidRPr="00EF0B02" w:rsidRDefault="00B25FFD" w:rsidP="00297070">
            <w:pPr>
              <w:widowControl w:val="0"/>
              <w:spacing w:before="120" w:after="120"/>
              <w:rPr>
                <w:rFonts w:asciiTheme="minorBidi" w:hAnsiTheme="minorBidi" w:cstheme="minorBidi"/>
                <w:lang w:val="en-GB"/>
              </w:rPr>
            </w:pPr>
          </w:p>
        </w:tc>
        <w:tc>
          <w:tcPr>
            <w:tcW w:w="718" w:type="pct"/>
            <w:gridSpan w:val="2"/>
            <w:tcBorders>
              <w:left w:val="nil"/>
              <w:bottom w:val="nil"/>
              <w:right w:val="nil"/>
            </w:tcBorders>
          </w:tcPr>
          <w:p w14:paraId="373AD186" w14:textId="77777777" w:rsidR="00B25FFD" w:rsidRPr="00EF0B02" w:rsidRDefault="00B25FFD" w:rsidP="00297070">
            <w:pPr>
              <w:pStyle w:val="ListParagraph"/>
              <w:widowControl w:val="0"/>
              <w:spacing w:before="120" w:after="120"/>
              <w:ind w:left="312"/>
              <w:contextualSpacing w:val="0"/>
              <w:rPr>
                <w:rFonts w:asciiTheme="minorBidi" w:hAnsiTheme="minorBidi" w:cstheme="minorBidi"/>
                <w:lang w:val="en-GB"/>
              </w:rPr>
            </w:pPr>
          </w:p>
        </w:tc>
        <w:tc>
          <w:tcPr>
            <w:tcW w:w="77" w:type="pct"/>
            <w:tcBorders>
              <w:left w:val="nil"/>
              <w:bottom w:val="nil"/>
              <w:right w:val="nil"/>
            </w:tcBorders>
          </w:tcPr>
          <w:p w14:paraId="6684DA3E" w14:textId="77777777" w:rsidR="00B25FFD" w:rsidRPr="00EF0B02" w:rsidRDefault="00B25FFD" w:rsidP="00297070">
            <w:pPr>
              <w:pStyle w:val="ListParagraph"/>
              <w:widowControl w:val="0"/>
              <w:spacing w:before="120" w:after="120"/>
              <w:ind w:left="312"/>
              <w:contextualSpacing w:val="0"/>
              <w:rPr>
                <w:rFonts w:asciiTheme="minorBidi" w:hAnsiTheme="minorBidi" w:cstheme="minorBidi"/>
                <w:lang w:val="en-GB"/>
              </w:rPr>
            </w:pPr>
          </w:p>
        </w:tc>
        <w:tc>
          <w:tcPr>
            <w:tcW w:w="3526" w:type="pct"/>
            <w:tcBorders>
              <w:left w:val="nil"/>
              <w:bottom w:val="nil"/>
              <w:right w:val="nil"/>
            </w:tcBorders>
          </w:tcPr>
          <w:p w14:paraId="11B57131" w14:textId="77777777" w:rsidR="00B25FFD" w:rsidRPr="00EF0B02" w:rsidRDefault="00B25FFD" w:rsidP="00297070">
            <w:pPr>
              <w:pStyle w:val="ListParagraph"/>
              <w:widowControl w:val="0"/>
              <w:spacing w:before="120" w:after="120"/>
              <w:ind w:left="544"/>
              <w:contextualSpacing w:val="0"/>
              <w:rPr>
                <w:rFonts w:asciiTheme="minorBidi" w:hAnsiTheme="minorBidi" w:cstheme="minorBidi"/>
                <w:lang w:val="en-GB"/>
              </w:rPr>
            </w:pPr>
          </w:p>
        </w:tc>
      </w:tr>
    </w:tbl>
    <w:p w14:paraId="14D319C1" w14:textId="77777777" w:rsidR="00B25FFD" w:rsidRPr="00EF0B02" w:rsidRDefault="00B25FFD" w:rsidP="00B25FFD">
      <w:pPr>
        <w:rPr>
          <w:lang w:val="en-GB"/>
        </w:rPr>
      </w:pPr>
      <w:r w:rsidRPr="00EF0B02">
        <w:rPr>
          <w:lang w:val="zh-CN" w:bidi="zh-CN"/>
        </w:rPr>
        <w:br w:type="page"/>
      </w:r>
    </w:p>
    <w:tbl>
      <w:tblPr>
        <w:tblStyle w:val="TableGrid2"/>
        <w:tblW w:w="14572" w:type="dxa"/>
        <w:tblLook w:val="04A0" w:firstRow="1" w:lastRow="0" w:firstColumn="1" w:lastColumn="0" w:noHBand="0" w:noVBand="1"/>
      </w:tblPr>
      <w:tblGrid>
        <w:gridCol w:w="3509"/>
        <w:gridCol w:w="11063"/>
      </w:tblGrid>
      <w:tr w:rsidR="00B25FFD" w:rsidRPr="00E178DC" w14:paraId="6B272F7F" w14:textId="77777777" w:rsidTr="00297070">
        <w:trPr>
          <w:cantSplit/>
        </w:trPr>
        <w:tc>
          <w:tcPr>
            <w:tcW w:w="1204" w:type="pct"/>
            <w:shd w:val="clear" w:color="auto" w:fill="808080" w:themeFill="background1" w:themeFillShade="80"/>
            <w:vAlign w:val="center"/>
          </w:tcPr>
          <w:p w14:paraId="018FBC16" w14:textId="77777777" w:rsidR="00B25FFD" w:rsidRPr="00E178DC" w:rsidRDefault="00B25FFD" w:rsidP="00297070">
            <w:pPr>
              <w:keepNext/>
              <w:widowControl w:val="0"/>
              <w:spacing w:before="120" w:after="120"/>
              <w:rPr>
                <w:rFonts w:cstheme="minorBidi"/>
                <w:b/>
                <w:bCs/>
                <w:color w:val="FFFFFF" w:themeColor="background1"/>
                <w:lang w:val="en-GB"/>
              </w:rPr>
            </w:pPr>
            <w:r w:rsidRPr="00E178DC">
              <w:rPr>
                <w:rFonts w:cstheme="minorBidi"/>
                <w:b/>
                <w:color w:val="FFFFFF" w:themeColor="background1"/>
                <w:lang w:val="zh-CN" w:bidi="zh-CN"/>
              </w:rPr>
              <w:lastRenderedPageBreak/>
              <w:t xml:space="preserve">42C/5 </w:t>
            </w:r>
            <w:proofErr w:type="spellStart"/>
            <w:r w:rsidRPr="00E178DC">
              <w:rPr>
                <w:rFonts w:cstheme="minorBidi" w:hint="eastAsia"/>
                <w:b/>
                <w:color w:val="FFFFFF" w:themeColor="background1"/>
                <w:lang w:val="zh-CN" w:bidi="zh-CN"/>
              </w:rPr>
              <w:t>绩效指标</w:t>
            </w:r>
            <w:proofErr w:type="spellEnd"/>
            <w:r w:rsidRPr="00E178DC">
              <w:rPr>
                <w:rFonts w:cstheme="minorBidi"/>
                <w:b/>
                <w:color w:val="FFFFFF" w:themeColor="background1"/>
                <w:lang w:val="zh-CN" w:bidi="zh-CN"/>
              </w:rPr>
              <w:t>2</w:t>
            </w:r>
          </w:p>
        </w:tc>
        <w:tc>
          <w:tcPr>
            <w:tcW w:w="3796" w:type="pct"/>
            <w:shd w:val="clear" w:color="auto" w:fill="808080" w:themeFill="background1" w:themeFillShade="80"/>
            <w:vAlign w:val="center"/>
          </w:tcPr>
          <w:p w14:paraId="022F4999" w14:textId="77777777" w:rsidR="00B25FFD" w:rsidRPr="00E178DC" w:rsidRDefault="00B25FFD" w:rsidP="00297070">
            <w:pPr>
              <w:keepNext/>
              <w:widowControl w:val="0"/>
              <w:spacing w:before="120" w:after="120"/>
              <w:jc w:val="both"/>
              <w:rPr>
                <w:rFonts w:cstheme="minorBidi"/>
                <w:b/>
                <w:bCs/>
                <w:color w:val="FFFFFF" w:themeColor="background1"/>
                <w:lang w:val="en-GB" w:eastAsia="zh-CN"/>
              </w:rPr>
            </w:pPr>
            <w:r w:rsidRPr="00E178DC">
              <w:rPr>
                <w:rFonts w:cstheme="minorBidi" w:hint="eastAsia"/>
                <w:b/>
                <w:color w:val="FFFFFF" w:themeColor="background1"/>
                <w:lang w:val="zh-CN" w:bidi="zh-CN"/>
              </w:rPr>
              <w:t>通过加强</w:t>
            </w:r>
            <w:r w:rsidRPr="00E178DC">
              <w:rPr>
                <w:rFonts w:cstheme="minorBidi"/>
                <w:b/>
                <w:color w:val="FFFFFF" w:themeColor="background1"/>
                <w:lang w:val="zh-CN" w:bidi="zh-CN"/>
              </w:rPr>
              <w:t>2003</w:t>
            </w:r>
            <w:r w:rsidRPr="00E178DC">
              <w:rPr>
                <w:rFonts w:cstheme="minorBidi" w:hint="eastAsia"/>
                <w:b/>
                <w:color w:val="FFFFFF" w:themeColor="background1"/>
                <w:lang w:val="zh-CN" w:bidi="zh-CN"/>
              </w:rPr>
              <w:t>年《保护非物质文化遗产公约》的国际合作和援助机制可持续地保护活态遗产的成员国数目</w:t>
            </w:r>
          </w:p>
        </w:tc>
      </w:tr>
    </w:tbl>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54"/>
        <w:gridCol w:w="11063"/>
      </w:tblGrid>
      <w:tr w:rsidR="00B25FFD" w:rsidRPr="00E178DC" w14:paraId="715F23F6" w14:textId="77777777" w:rsidTr="00297070">
        <w:trPr>
          <w:tblHeader/>
        </w:trPr>
        <w:tc>
          <w:tcPr>
            <w:tcW w:w="602" w:type="pct"/>
            <w:shd w:val="clear" w:color="auto" w:fill="D9D9D9" w:themeFill="background1" w:themeFillShade="D9"/>
            <w:vAlign w:val="center"/>
          </w:tcPr>
          <w:p w14:paraId="59561A53" w14:textId="77777777" w:rsidR="00B25FFD" w:rsidRPr="00E178DC" w:rsidRDefault="00B25FFD" w:rsidP="00297070">
            <w:pPr>
              <w:widowControl w:val="0"/>
              <w:spacing w:before="60" w:after="60"/>
              <w:jc w:val="center"/>
              <w:rPr>
                <w:rFonts w:cstheme="minorBidi"/>
                <w:b/>
                <w:lang w:val="en-GB"/>
              </w:rPr>
            </w:pPr>
            <w:r w:rsidRPr="00E178DC">
              <w:rPr>
                <w:rFonts w:cstheme="minorBidi" w:hint="eastAsia"/>
                <w:b/>
                <w:lang w:val="zh-CN" w:bidi="zh-CN"/>
              </w:rPr>
              <w:t>基线</w:t>
            </w:r>
          </w:p>
        </w:tc>
        <w:tc>
          <w:tcPr>
            <w:tcW w:w="602" w:type="pct"/>
            <w:shd w:val="clear" w:color="auto" w:fill="D9D9D9" w:themeFill="background1" w:themeFillShade="D9"/>
            <w:vAlign w:val="center"/>
          </w:tcPr>
          <w:p w14:paraId="573CC522" w14:textId="77777777" w:rsidR="00B25FFD" w:rsidRPr="00E178DC" w:rsidRDefault="00B25FFD" w:rsidP="00297070">
            <w:pPr>
              <w:widowControl w:val="0"/>
              <w:spacing w:before="60" w:after="60"/>
              <w:jc w:val="center"/>
              <w:rPr>
                <w:rFonts w:cstheme="minorBidi"/>
                <w:b/>
                <w:lang w:val="en-GB"/>
              </w:rPr>
            </w:pPr>
            <w:r w:rsidRPr="00E178DC">
              <w:rPr>
                <w:rFonts w:cstheme="minorBidi"/>
                <w:b/>
                <w:lang w:val="zh-CN" w:bidi="zh-CN"/>
              </w:rPr>
              <w:t>2025</w:t>
            </w:r>
            <w:r w:rsidRPr="00E178DC">
              <w:rPr>
                <w:rFonts w:cstheme="minorBidi" w:hint="eastAsia"/>
                <w:b/>
                <w:lang w:val="zh-CN" w:bidi="zh-CN"/>
              </w:rPr>
              <w:t>年目标</w:t>
            </w:r>
          </w:p>
        </w:tc>
        <w:tc>
          <w:tcPr>
            <w:tcW w:w="3796" w:type="pct"/>
            <w:shd w:val="clear" w:color="auto" w:fill="D9D9D9" w:themeFill="background1" w:themeFillShade="D9"/>
            <w:vAlign w:val="center"/>
          </w:tcPr>
          <w:p w14:paraId="5163812B" w14:textId="77777777" w:rsidR="00B25FFD" w:rsidRPr="00E178DC" w:rsidRDefault="00B25FFD" w:rsidP="00297070">
            <w:pPr>
              <w:widowControl w:val="0"/>
              <w:autoSpaceDE w:val="0"/>
              <w:autoSpaceDN w:val="0"/>
              <w:adjustRightInd w:val="0"/>
              <w:jc w:val="center"/>
              <w:rPr>
                <w:rFonts w:cstheme="minorBidi"/>
                <w:b/>
                <w:color w:val="000000"/>
                <w:lang w:val="en-GB"/>
              </w:rPr>
            </w:pPr>
            <w:r w:rsidRPr="00E178DC">
              <w:rPr>
                <w:rFonts w:cstheme="minorBidi" w:hint="eastAsia"/>
                <w:b/>
                <w:lang w:val="zh-CN" w:bidi="zh-CN"/>
              </w:rPr>
              <w:t>进展评估：</w:t>
            </w:r>
            <w:r w:rsidRPr="00E178DC">
              <w:rPr>
                <w:rFonts w:cstheme="minorBidi"/>
                <w:b/>
                <w:lang w:val="zh-CN" w:bidi="zh-CN"/>
              </w:rPr>
              <w:br/>
              <w:t>2024</w:t>
            </w:r>
            <w:r w:rsidRPr="00E178DC">
              <w:rPr>
                <w:rFonts w:cstheme="minorBidi" w:hint="eastAsia"/>
                <w:b/>
                <w:lang w:val="zh-CN" w:bidi="zh-CN"/>
              </w:rPr>
              <w:t>年</w:t>
            </w:r>
            <w:r w:rsidRPr="00E178DC">
              <w:rPr>
                <w:rFonts w:cstheme="minorBidi"/>
                <w:b/>
                <w:lang w:val="zh-CN" w:bidi="zh-CN"/>
              </w:rPr>
              <w:t>1</w:t>
            </w:r>
            <w:r w:rsidRPr="00E178DC">
              <w:rPr>
                <w:rFonts w:cstheme="minorBidi" w:hint="eastAsia"/>
                <w:b/>
                <w:lang w:val="zh-CN" w:bidi="zh-CN"/>
              </w:rPr>
              <w:t>月</w:t>
            </w:r>
            <w:r w:rsidRPr="00E178DC">
              <w:rPr>
                <w:rFonts w:cstheme="minorBidi"/>
                <w:b/>
                <w:lang w:val="zh-CN" w:bidi="zh-CN"/>
              </w:rPr>
              <w:t>1</w:t>
            </w:r>
            <w:r w:rsidRPr="00E178DC">
              <w:rPr>
                <w:rFonts w:cstheme="minorBidi" w:hint="eastAsia"/>
                <w:b/>
                <w:lang w:val="zh-CN" w:bidi="zh-CN"/>
              </w:rPr>
              <w:t>日至</w:t>
            </w:r>
            <w:r w:rsidRPr="00E178DC">
              <w:rPr>
                <w:rFonts w:cstheme="minorBidi"/>
                <w:b/>
                <w:lang w:val="zh-CN" w:bidi="zh-CN"/>
              </w:rPr>
              <w:t>2025</w:t>
            </w:r>
            <w:r w:rsidRPr="00E178DC">
              <w:rPr>
                <w:rFonts w:cstheme="minorBidi" w:hint="eastAsia"/>
                <w:b/>
                <w:lang w:val="zh-CN" w:bidi="zh-CN"/>
              </w:rPr>
              <w:t>年</w:t>
            </w:r>
            <w:r w:rsidRPr="00E178DC">
              <w:rPr>
                <w:rFonts w:cstheme="minorBidi"/>
                <w:b/>
                <w:lang w:val="zh-CN" w:bidi="zh-CN"/>
              </w:rPr>
              <w:t>12</w:t>
            </w:r>
            <w:r w:rsidRPr="00E178DC">
              <w:rPr>
                <w:rFonts w:cstheme="minorBidi" w:hint="eastAsia"/>
                <w:b/>
                <w:lang w:val="zh-CN" w:bidi="zh-CN"/>
              </w:rPr>
              <w:t>月</w:t>
            </w:r>
            <w:r w:rsidRPr="00E178DC">
              <w:rPr>
                <w:rFonts w:cstheme="minorBidi"/>
                <w:b/>
                <w:lang w:val="zh-CN" w:bidi="zh-CN"/>
              </w:rPr>
              <w:t>31</w:t>
            </w:r>
            <w:r w:rsidRPr="00E178DC">
              <w:rPr>
                <w:rFonts w:cstheme="minorBidi" w:hint="eastAsia"/>
                <w:b/>
                <w:lang w:val="zh-CN" w:bidi="zh-CN"/>
              </w:rPr>
              <w:t>日</w:t>
            </w:r>
          </w:p>
        </w:tc>
      </w:tr>
      <w:tr w:rsidR="00B25FFD" w:rsidRPr="005F2519" w14:paraId="223E295F" w14:textId="77777777" w:rsidTr="00297070">
        <w:trPr>
          <w:trHeight w:val="4361"/>
          <w:tblHeader/>
        </w:trPr>
        <w:tc>
          <w:tcPr>
            <w:tcW w:w="602" w:type="pct"/>
          </w:tcPr>
          <w:p w14:paraId="69F3904C" w14:textId="77777777" w:rsidR="00B25FFD" w:rsidRPr="00E178DC" w:rsidRDefault="00B25FFD" w:rsidP="00297070">
            <w:pPr>
              <w:widowControl w:val="0"/>
              <w:spacing w:before="60" w:after="60"/>
              <w:rPr>
                <w:rFonts w:cstheme="minorBidi"/>
                <w:b/>
                <w:bCs/>
                <w:lang w:val="en-GB"/>
              </w:rPr>
            </w:pPr>
            <w:r w:rsidRPr="00E178DC">
              <w:rPr>
                <w:rFonts w:cstheme="minorBidi"/>
                <w:lang w:val="zh-CN" w:bidi="zh-CN"/>
              </w:rPr>
              <w:t>123</w:t>
            </w:r>
            <w:r w:rsidRPr="00E178DC">
              <w:rPr>
                <w:rFonts w:cstheme="minorBidi" w:hint="eastAsia"/>
                <w:lang w:val="zh-CN" w:bidi="zh-CN"/>
              </w:rPr>
              <w:t>，包括</w:t>
            </w:r>
            <w:r w:rsidRPr="00E178DC">
              <w:rPr>
                <w:rFonts w:cstheme="minorBidi"/>
                <w:lang w:val="zh-CN" w:bidi="zh-CN"/>
              </w:rPr>
              <w:t>10</w:t>
            </w:r>
            <w:r w:rsidRPr="00E178DC">
              <w:rPr>
                <w:rFonts w:cstheme="minorBidi" w:hint="eastAsia"/>
                <w:lang w:val="zh-CN" w:bidi="zh-CN"/>
              </w:rPr>
              <w:t>个非洲国家和</w:t>
            </w:r>
            <w:r w:rsidRPr="00E178DC">
              <w:rPr>
                <w:rFonts w:cstheme="minorBidi"/>
                <w:lang w:val="zh-CN" w:bidi="zh-CN"/>
              </w:rPr>
              <w:t>10</w:t>
            </w:r>
            <w:r w:rsidRPr="00E178DC">
              <w:rPr>
                <w:rFonts w:cstheme="minorBidi" w:hint="eastAsia"/>
                <w:lang w:val="zh-CN" w:bidi="zh-CN"/>
              </w:rPr>
              <w:t>个小岛屿发展中国家</w:t>
            </w:r>
          </w:p>
        </w:tc>
        <w:tc>
          <w:tcPr>
            <w:tcW w:w="602" w:type="pct"/>
          </w:tcPr>
          <w:p w14:paraId="3FF39E3C" w14:textId="77777777" w:rsidR="00B25FFD" w:rsidRPr="00E178DC" w:rsidRDefault="00B25FFD" w:rsidP="00297070">
            <w:pPr>
              <w:widowControl w:val="0"/>
              <w:spacing w:before="60" w:after="60"/>
              <w:rPr>
                <w:rFonts w:cstheme="minorBidi"/>
                <w:b/>
                <w:lang w:val="en-GB"/>
              </w:rPr>
            </w:pPr>
            <w:r w:rsidRPr="00E178DC">
              <w:rPr>
                <w:rFonts w:cstheme="minorBidi"/>
                <w:lang w:val="zh-CN" w:bidi="zh-CN"/>
              </w:rPr>
              <w:t>108</w:t>
            </w:r>
            <w:r w:rsidRPr="00E178DC">
              <w:rPr>
                <w:rFonts w:cstheme="minorBidi" w:hint="eastAsia"/>
                <w:lang w:val="zh-CN" w:bidi="zh-CN"/>
              </w:rPr>
              <w:t>，包括</w:t>
            </w:r>
            <w:r w:rsidRPr="00E178DC">
              <w:rPr>
                <w:rFonts w:cstheme="minorBidi"/>
                <w:lang w:val="zh-CN" w:bidi="zh-CN"/>
              </w:rPr>
              <w:t>44</w:t>
            </w:r>
            <w:r w:rsidRPr="00E178DC">
              <w:rPr>
                <w:rFonts w:cstheme="minorBidi" w:hint="eastAsia"/>
                <w:lang w:val="zh-CN" w:bidi="zh-CN"/>
              </w:rPr>
              <w:t>个非洲国家和</w:t>
            </w:r>
            <w:r w:rsidRPr="00E178DC">
              <w:rPr>
                <w:rFonts w:cstheme="minorBidi"/>
                <w:lang w:val="zh-CN" w:bidi="zh-CN"/>
              </w:rPr>
              <w:t>10</w:t>
            </w:r>
            <w:r w:rsidRPr="00E178DC">
              <w:rPr>
                <w:rFonts w:cstheme="minorBidi" w:hint="eastAsia"/>
                <w:lang w:val="zh-CN" w:bidi="zh-CN"/>
              </w:rPr>
              <w:t>个小岛屿发展中国家</w:t>
            </w:r>
          </w:p>
        </w:tc>
        <w:tc>
          <w:tcPr>
            <w:tcW w:w="3796" w:type="pct"/>
          </w:tcPr>
          <w:p w14:paraId="000A297C" w14:textId="56D84F57" w:rsidR="00B25FFD" w:rsidRPr="00E178DC" w:rsidRDefault="00B25FFD" w:rsidP="00B25FFD">
            <w:pPr>
              <w:pStyle w:val="ListParagraph"/>
              <w:keepNext/>
              <w:keepLines/>
              <w:widowControl w:val="0"/>
              <w:numPr>
                <w:ilvl w:val="0"/>
                <w:numId w:val="8"/>
              </w:numPr>
              <w:spacing w:before="120" w:after="120"/>
              <w:ind w:left="323"/>
              <w:contextualSpacing w:val="0"/>
              <w:jc w:val="both"/>
              <w:rPr>
                <w:rFonts w:cstheme="minorBidi"/>
                <w:lang w:val="en-GB"/>
              </w:rPr>
            </w:pPr>
            <w:r w:rsidRPr="00E178DC">
              <w:rPr>
                <w:rFonts w:cstheme="minorBidi" w:hint="eastAsia"/>
                <w:lang w:val="zh-CN" w:bidi="zh-CN"/>
              </w:rPr>
              <w:t>继续关于更广泛实施《公约》第十八条的</w:t>
            </w:r>
            <w:r w:rsidR="00481B15">
              <w:rPr>
                <w:rFonts w:cstheme="minorBidi" w:hint="eastAsia"/>
                <w:lang w:val="zh-CN" w:bidi="zh-CN"/>
              </w:rPr>
              <w:t>反思</w:t>
            </w:r>
            <w:r w:rsidRPr="00E178DC">
              <w:rPr>
                <w:rFonts w:cstheme="minorBidi" w:hint="eastAsia"/>
                <w:lang w:val="zh-CN" w:bidi="zh-CN"/>
              </w:rPr>
              <w:t>；</w:t>
            </w:r>
          </w:p>
          <w:p w14:paraId="20E62AAD" w14:textId="77777777" w:rsidR="00B25FFD" w:rsidRPr="00E178DC" w:rsidRDefault="00B25FFD" w:rsidP="00B25FFD">
            <w:pPr>
              <w:pStyle w:val="ListParagraph"/>
              <w:widowControl w:val="0"/>
              <w:numPr>
                <w:ilvl w:val="0"/>
                <w:numId w:val="8"/>
              </w:numPr>
              <w:autoSpaceDE w:val="0"/>
              <w:autoSpaceDN w:val="0"/>
              <w:adjustRightInd w:val="0"/>
              <w:ind w:left="323"/>
              <w:rPr>
                <w:rFonts w:cstheme="minorBidi"/>
                <w:lang w:val="en-GB"/>
              </w:rPr>
            </w:pPr>
            <w:r w:rsidRPr="00E178DC">
              <w:rPr>
                <w:rFonts w:cstheme="minorBidi" w:hint="eastAsia"/>
                <w:lang w:val="zh-CN" w:bidi="zh-CN"/>
              </w:rPr>
              <w:t>主席团处理并批准了</w:t>
            </w:r>
            <w:r w:rsidRPr="00E178DC">
              <w:rPr>
                <w:rFonts w:cstheme="minorBidi"/>
                <w:lang w:val="zh-CN" w:bidi="zh-CN"/>
              </w:rPr>
              <w:t>27</w:t>
            </w:r>
            <w:r w:rsidRPr="00E178DC">
              <w:rPr>
                <w:rFonts w:cstheme="minorBidi" w:hint="eastAsia"/>
                <w:lang w:val="zh-CN" w:bidi="zh-CN"/>
              </w:rPr>
              <w:t>份新的国际援助申请，包括非洲国家的</w:t>
            </w:r>
            <w:r w:rsidRPr="00E178DC">
              <w:rPr>
                <w:rFonts w:cstheme="minorBidi"/>
                <w:lang w:val="zh-CN" w:bidi="zh-CN"/>
              </w:rPr>
              <w:t>9</w:t>
            </w:r>
            <w:r w:rsidRPr="00E178DC">
              <w:rPr>
                <w:rFonts w:cstheme="minorBidi" w:hint="eastAsia"/>
                <w:lang w:val="zh-CN" w:bidi="zh-CN"/>
              </w:rPr>
              <w:t>份申请和小岛屿发展中国家的</w:t>
            </w:r>
            <w:r w:rsidRPr="00E178DC">
              <w:rPr>
                <w:rFonts w:cstheme="minorBidi"/>
                <w:lang w:val="zh-CN" w:bidi="zh-CN"/>
              </w:rPr>
              <w:t>6</w:t>
            </w:r>
            <w:r w:rsidRPr="00E178DC">
              <w:rPr>
                <w:rFonts w:cstheme="minorBidi" w:hint="eastAsia"/>
                <w:lang w:val="zh-CN" w:bidi="zh-CN"/>
              </w:rPr>
              <w:t>份申请；</w:t>
            </w:r>
          </w:p>
          <w:p w14:paraId="39000445" w14:textId="4368ADBF" w:rsidR="00B25FFD" w:rsidRPr="00E178DC" w:rsidRDefault="00B25FFD" w:rsidP="00B25FFD">
            <w:pPr>
              <w:pStyle w:val="ListParagraph"/>
              <w:widowControl w:val="0"/>
              <w:numPr>
                <w:ilvl w:val="0"/>
                <w:numId w:val="8"/>
              </w:numPr>
              <w:spacing w:before="120" w:after="120"/>
              <w:ind w:left="323"/>
              <w:contextualSpacing w:val="0"/>
              <w:jc w:val="both"/>
              <w:rPr>
                <w:rFonts w:cstheme="minorBidi"/>
                <w:lang w:val="en-GB"/>
              </w:rPr>
            </w:pPr>
            <w:r w:rsidRPr="00E178DC">
              <w:rPr>
                <w:rFonts w:cstheme="minorBidi" w:hint="eastAsia"/>
                <w:lang w:val="zh-CN" w:bidi="zh-CN"/>
              </w:rPr>
              <w:t>在</w:t>
            </w:r>
            <w:r w:rsidRPr="00E178DC">
              <w:rPr>
                <w:rFonts w:cstheme="minorBidi"/>
                <w:lang w:val="zh-CN" w:bidi="zh-CN"/>
              </w:rPr>
              <w:t>2024</w:t>
            </w:r>
            <w:r w:rsidRPr="00E178DC">
              <w:rPr>
                <w:rFonts w:cstheme="minorBidi" w:hint="eastAsia"/>
                <w:lang w:val="zh-CN" w:bidi="zh-CN"/>
              </w:rPr>
              <w:t>年和</w:t>
            </w:r>
            <w:r w:rsidRPr="00E178DC">
              <w:rPr>
                <w:rFonts w:cstheme="minorBidi"/>
                <w:lang w:val="zh-CN" w:bidi="zh-CN"/>
              </w:rPr>
              <w:t>2025</w:t>
            </w:r>
            <w:r w:rsidRPr="00E178DC">
              <w:rPr>
                <w:rFonts w:cstheme="minorBidi" w:hint="eastAsia"/>
                <w:lang w:val="zh-CN" w:bidi="zh-CN"/>
              </w:rPr>
              <w:t>年周期中处理了</w:t>
            </w:r>
            <w:r w:rsidRPr="00E178DC">
              <w:rPr>
                <w:rFonts w:cstheme="minorBidi"/>
                <w:lang w:val="zh-CN" w:bidi="zh-CN"/>
              </w:rPr>
              <w:t>140</w:t>
            </w:r>
            <w:r w:rsidRPr="00E178DC">
              <w:rPr>
                <w:rFonts w:cstheme="minorBidi" w:hint="eastAsia"/>
                <w:lang w:val="zh-CN" w:bidi="zh-CN"/>
              </w:rPr>
              <w:t>份申报材料，</w:t>
            </w:r>
            <w:r w:rsidRPr="00E178DC">
              <w:rPr>
                <w:rFonts w:cstheme="minorBidi"/>
                <w:lang w:val="zh-CN" w:bidi="zh-CN"/>
              </w:rPr>
              <w:t>2026</w:t>
            </w:r>
            <w:r w:rsidRPr="00E178DC">
              <w:rPr>
                <w:rFonts w:cstheme="minorBidi" w:hint="eastAsia"/>
                <w:lang w:val="zh-CN" w:bidi="zh-CN"/>
              </w:rPr>
              <w:t>年周期</w:t>
            </w:r>
            <w:r w:rsidR="00D7305E">
              <w:rPr>
                <w:rFonts w:cstheme="minorBidi" w:hint="eastAsia"/>
                <w:lang w:val="zh-CN" w:bidi="zh-CN"/>
              </w:rPr>
              <w:t>初步</w:t>
            </w:r>
            <w:r w:rsidRPr="00E178DC">
              <w:rPr>
                <w:rFonts w:cstheme="minorBidi" w:hint="eastAsia"/>
                <w:lang w:val="zh-CN" w:bidi="zh-CN"/>
              </w:rPr>
              <w:t>处理了</w:t>
            </w:r>
            <w:r w:rsidR="00D7305E">
              <w:rPr>
                <w:rFonts w:cstheme="minorBidi" w:hint="eastAsia"/>
                <w:lang w:val="zh-CN" w:bidi="zh-CN"/>
              </w:rPr>
              <w:t>71</w:t>
            </w:r>
            <w:r w:rsidRPr="00E178DC">
              <w:rPr>
                <w:rFonts w:cstheme="minorBidi" w:hint="eastAsia"/>
                <w:lang w:val="zh-CN" w:bidi="zh-CN"/>
              </w:rPr>
              <w:t>份申报材料；</w:t>
            </w:r>
          </w:p>
          <w:p w14:paraId="50B08EE0" w14:textId="77777777" w:rsidR="00B25FFD" w:rsidRPr="00E178DC" w:rsidRDefault="00B25FFD" w:rsidP="00B25FFD">
            <w:pPr>
              <w:pStyle w:val="ListParagraph"/>
              <w:widowControl w:val="0"/>
              <w:numPr>
                <w:ilvl w:val="0"/>
                <w:numId w:val="8"/>
              </w:numPr>
              <w:spacing w:before="120" w:after="120"/>
              <w:ind w:left="323"/>
              <w:contextualSpacing w:val="0"/>
              <w:jc w:val="both"/>
              <w:rPr>
                <w:rFonts w:cstheme="minorBidi"/>
                <w:lang w:val="en-GB"/>
              </w:rPr>
            </w:pPr>
            <w:r w:rsidRPr="00E178DC">
              <w:rPr>
                <w:rFonts w:cstheme="minorBidi" w:hint="eastAsia"/>
                <w:lang w:val="zh-CN" w:bidi="zh-CN"/>
              </w:rPr>
              <w:t>登记了</w:t>
            </w:r>
            <w:r w:rsidRPr="00E178DC">
              <w:rPr>
                <w:rFonts w:cstheme="minorBidi"/>
                <w:lang w:val="zh-CN" w:bidi="zh-CN"/>
              </w:rPr>
              <w:t>2025</w:t>
            </w:r>
            <w:r w:rsidRPr="00E178DC">
              <w:rPr>
                <w:rFonts w:cstheme="minorBidi" w:hint="eastAsia"/>
                <w:lang w:val="zh-CN" w:bidi="zh-CN"/>
              </w:rPr>
              <w:t>年和</w:t>
            </w:r>
            <w:r w:rsidRPr="00E178DC">
              <w:rPr>
                <w:rFonts w:cstheme="minorBidi"/>
                <w:lang w:val="zh-CN" w:bidi="zh-CN"/>
              </w:rPr>
              <w:t>2026</w:t>
            </w:r>
            <w:r w:rsidRPr="00E178DC">
              <w:rPr>
                <w:rFonts w:cstheme="minorBidi" w:hint="eastAsia"/>
                <w:lang w:val="zh-CN" w:bidi="zh-CN"/>
              </w:rPr>
              <w:t>年新提交的</w:t>
            </w:r>
            <w:r w:rsidRPr="00E178DC">
              <w:rPr>
                <w:rFonts w:cstheme="minorBidi"/>
                <w:lang w:val="zh-CN" w:bidi="zh-CN"/>
              </w:rPr>
              <w:t>205</w:t>
            </w:r>
            <w:r w:rsidRPr="00E178DC">
              <w:rPr>
                <w:rFonts w:cstheme="minorBidi" w:hint="eastAsia"/>
                <w:lang w:val="zh-CN" w:bidi="zh-CN"/>
              </w:rPr>
              <w:t>份申报材料；</w:t>
            </w:r>
          </w:p>
          <w:p w14:paraId="20660FFA" w14:textId="77777777" w:rsidR="00B25FFD" w:rsidRPr="00E178DC" w:rsidRDefault="00B25FFD" w:rsidP="00B25FFD">
            <w:pPr>
              <w:pStyle w:val="ListParagraph"/>
              <w:keepNext/>
              <w:widowControl w:val="0"/>
              <w:numPr>
                <w:ilvl w:val="0"/>
                <w:numId w:val="8"/>
              </w:numPr>
              <w:spacing w:before="120" w:after="120"/>
              <w:ind w:left="323"/>
              <w:contextualSpacing w:val="0"/>
              <w:jc w:val="both"/>
              <w:rPr>
                <w:rFonts w:cstheme="minorBidi"/>
                <w:lang w:val="en-GB"/>
              </w:rPr>
            </w:pPr>
            <w:r w:rsidRPr="00E178DC">
              <w:rPr>
                <w:rFonts w:cstheme="minorBidi" w:hint="eastAsia"/>
                <w:lang w:val="zh-CN" w:bidi="zh-CN"/>
              </w:rPr>
              <w:t>分析了</w:t>
            </w:r>
            <w:r w:rsidRPr="00E178DC">
              <w:rPr>
                <w:rFonts w:cstheme="minorBidi"/>
                <w:lang w:val="zh-CN" w:bidi="zh-CN"/>
              </w:rPr>
              <w:t>26</w:t>
            </w:r>
            <w:r w:rsidRPr="00E178DC">
              <w:rPr>
                <w:rFonts w:cstheme="minorBidi" w:hint="eastAsia"/>
                <w:lang w:val="zh-CN" w:bidi="zh-CN"/>
              </w:rPr>
              <w:t>份关于急需保护名录所列遗产项目状况的报告；</w:t>
            </w:r>
          </w:p>
          <w:p w14:paraId="067FB32E" w14:textId="366CAAE3" w:rsidR="00B25FFD" w:rsidRPr="00E178DC" w:rsidRDefault="007A47E9" w:rsidP="00E178DC">
            <w:pPr>
              <w:pStyle w:val="ListParagraph"/>
              <w:keepNext/>
              <w:widowControl w:val="0"/>
              <w:numPr>
                <w:ilvl w:val="0"/>
                <w:numId w:val="8"/>
              </w:numPr>
              <w:spacing w:before="120" w:after="120"/>
              <w:ind w:left="323"/>
              <w:jc w:val="both"/>
              <w:rPr>
                <w:rFonts w:cstheme="minorBidi"/>
                <w:lang w:val="en-US" w:bidi="zh-CN"/>
              </w:rPr>
            </w:pPr>
            <w:r w:rsidRPr="007A47E9">
              <w:rPr>
                <w:rFonts w:cstheme="minorBidi"/>
                <w:lang w:val="en-US" w:bidi="zh-CN"/>
              </w:rPr>
              <w:t>对非洲缔约国提交的44份关于《公约》实施情况及列入代表作名录遗产项目当前状况的报告进行了分析</w:t>
            </w:r>
          </w:p>
          <w:p w14:paraId="6C099884" w14:textId="42B5C96B" w:rsidR="00B25FFD" w:rsidRPr="00E178DC" w:rsidRDefault="007A47E9" w:rsidP="00E178DC">
            <w:pPr>
              <w:pStyle w:val="ListParagraph"/>
              <w:keepNext/>
              <w:widowControl w:val="0"/>
              <w:numPr>
                <w:ilvl w:val="0"/>
                <w:numId w:val="8"/>
              </w:numPr>
              <w:spacing w:before="120" w:after="120"/>
              <w:ind w:left="323"/>
              <w:jc w:val="both"/>
              <w:rPr>
                <w:rFonts w:cstheme="minorBidi"/>
                <w:lang w:val="en-US" w:bidi="zh-CN"/>
              </w:rPr>
            </w:pPr>
            <w:r w:rsidRPr="007A47E9">
              <w:rPr>
                <w:rFonts w:cstheme="minorBidi"/>
                <w:lang w:val="en-US" w:bidi="zh-CN"/>
              </w:rPr>
              <w:t>对亚太地区缔约国提交的38份关于《公约》实施情况及列入代表作名录遗产项目当前状况的报告进行了分析；</w:t>
            </w:r>
          </w:p>
          <w:p w14:paraId="472CF19F" w14:textId="77777777" w:rsidR="00B25FFD" w:rsidRPr="00E178DC" w:rsidRDefault="00B25FFD" w:rsidP="00B25FFD">
            <w:pPr>
              <w:pStyle w:val="ListParagraph"/>
              <w:keepNext/>
              <w:widowControl w:val="0"/>
              <w:numPr>
                <w:ilvl w:val="0"/>
                <w:numId w:val="8"/>
              </w:numPr>
              <w:spacing w:before="120" w:after="120"/>
              <w:ind w:left="323"/>
              <w:contextualSpacing w:val="0"/>
              <w:jc w:val="both"/>
              <w:rPr>
                <w:rFonts w:cstheme="minorBidi"/>
                <w:lang w:val="en-GB"/>
              </w:rPr>
            </w:pPr>
            <w:r w:rsidRPr="00E178DC">
              <w:rPr>
                <w:rFonts w:cstheme="minorBidi" w:hint="eastAsia"/>
                <w:lang w:val="zh-CN" w:bidi="zh-CN"/>
              </w:rPr>
              <w:t>组织了</w:t>
            </w:r>
            <w:r w:rsidRPr="00E178DC">
              <w:rPr>
                <w:rFonts w:cstheme="minorBidi"/>
                <w:lang w:val="zh-CN" w:bidi="zh-CN"/>
              </w:rPr>
              <w:t>37</w:t>
            </w:r>
            <w:r w:rsidRPr="00E178DC">
              <w:rPr>
                <w:rFonts w:cstheme="minorBidi" w:hint="eastAsia"/>
                <w:lang w:val="zh-CN" w:bidi="zh-CN"/>
              </w:rPr>
              <w:t>次法定会议。</w:t>
            </w:r>
          </w:p>
        </w:tc>
      </w:tr>
    </w:tbl>
    <w:p w14:paraId="4BECAF76" w14:textId="77777777" w:rsidR="00B25FFD" w:rsidRPr="00EF0B02" w:rsidRDefault="00B25FFD" w:rsidP="00B25FFD">
      <w:pPr>
        <w:pStyle w:val="COMParaDecision"/>
        <w:numPr>
          <w:ilvl w:val="0"/>
          <w:numId w:val="0"/>
        </w:numPr>
        <w:ind w:left="1134" w:hanging="567"/>
        <w:sectPr w:rsidR="00B25FFD" w:rsidRPr="00EF0B02" w:rsidSect="00B25FFD">
          <w:headerReference w:type="even" r:id="rId43"/>
          <w:headerReference w:type="default" r:id="rId44"/>
          <w:headerReference w:type="first" r:id="rId45"/>
          <w:pgSz w:w="16838" w:h="11906" w:orient="landscape" w:code="9"/>
          <w:pgMar w:top="1134" w:right="1418" w:bottom="1134" w:left="993" w:header="397" w:footer="284" w:gutter="0"/>
          <w:cols w:space="708"/>
          <w:docGrid w:linePitch="360"/>
        </w:sectPr>
      </w:pPr>
    </w:p>
    <w:p w14:paraId="6AE889D7" w14:textId="77777777" w:rsidR="00B25FFD" w:rsidRPr="00E178DC" w:rsidRDefault="00B25FFD" w:rsidP="00B25FFD">
      <w:pPr>
        <w:pStyle w:val="COMParaDecision"/>
        <w:numPr>
          <w:ilvl w:val="0"/>
          <w:numId w:val="0"/>
        </w:numPr>
        <w:jc w:val="center"/>
        <w:rPr>
          <w:rFonts w:ascii="SimSun" w:hAnsi="SimSun" w:cstheme="minorBidi"/>
          <w:b/>
        </w:rPr>
      </w:pPr>
      <w:bookmarkStart w:id="2" w:name="AnnexII"/>
      <w:bookmarkStart w:id="3" w:name="_Hlk166253986"/>
      <w:r w:rsidRPr="00E178DC">
        <w:rPr>
          <w:rFonts w:ascii="SimSun" w:hAnsi="SimSun" w:cstheme="minorBidi" w:hint="eastAsia"/>
          <w:b/>
          <w:lang w:val="zh-CN" w:bidi="zh-CN"/>
        </w:rPr>
        <w:lastRenderedPageBreak/>
        <w:t>附件二</w:t>
      </w:r>
    </w:p>
    <w:bookmarkEnd w:id="2"/>
    <w:p w14:paraId="75FCE421" w14:textId="52FCDCD8" w:rsidR="00B25FFD" w:rsidRPr="00E178DC" w:rsidRDefault="00B25FFD" w:rsidP="00B25FFD">
      <w:pPr>
        <w:pStyle w:val="COMParaDecision"/>
        <w:numPr>
          <w:ilvl w:val="0"/>
          <w:numId w:val="0"/>
        </w:numPr>
        <w:spacing w:after="0"/>
        <w:jc w:val="center"/>
        <w:rPr>
          <w:rFonts w:ascii="SimSun" w:hAnsi="SimSun" w:cstheme="minorBidi"/>
          <w:b/>
          <w:u w:val="none"/>
        </w:rPr>
      </w:pPr>
      <w:r w:rsidRPr="00E178DC">
        <w:rPr>
          <w:rFonts w:ascii="SimSun" w:hAnsi="SimSun" w:cstheme="minorBidi" w:hint="eastAsia"/>
          <w:b/>
          <w:u w:val="none"/>
          <w:lang w:val="zh-CN" w:bidi="zh-CN"/>
        </w:rPr>
        <w:t>对</w:t>
      </w:r>
      <w:hyperlink r:id="rId46" w:history="1">
        <w:r w:rsidRPr="00E178DC">
          <w:rPr>
            <w:rFonts w:ascii="SimSun" w:hAnsi="SimSun" w:cstheme="minorBidi"/>
            <w:b/>
            <w:u w:val="none"/>
            <w:lang w:val="zh-CN" w:bidi="zh-CN"/>
          </w:rPr>
          <w:t>2021</w:t>
        </w:r>
        <w:r w:rsidRPr="00E178DC">
          <w:rPr>
            <w:rFonts w:ascii="SimSun" w:hAnsi="SimSun" w:cstheme="minorBidi" w:hint="eastAsia"/>
            <w:b/>
            <w:u w:val="none"/>
            <w:lang w:val="zh-CN" w:bidi="zh-CN"/>
          </w:rPr>
          <w:t>年</w:t>
        </w:r>
        <w:r w:rsidR="007A47E9" w:rsidRPr="00E178DC">
          <w:rPr>
            <w:rFonts w:ascii="SimSun" w:hAnsi="SimSun" w:cstheme="minorBidi" w:hint="eastAsia"/>
            <w:b/>
            <w:u w:val="none"/>
            <w:lang w:val="zh-CN" w:bidi="zh-CN"/>
          </w:rPr>
          <w:t>内部监督事务厅（</w:t>
        </w:r>
        <w:r w:rsidR="007A47E9" w:rsidRPr="00E178DC">
          <w:rPr>
            <w:rFonts w:ascii="SimSun" w:hAnsi="SimSun" w:cstheme="minorBidi"/>
            <w:b/>
            <w:u w:val="none"/>
            <w:lang w:val="zh-CN" w:bidi="zh-CN"/>
          </w:rPr>
          <w:t>IOS</w:t>
        </w:r>
        <w:r w:rsidR="007A47E9" w:rsidRPr="00E178DC">
          <w:rPr>
            <w:rFonts w:ascii="SimSun" w:hAnsi="SimSun" w:cstheme="minorBidi" w:hint="eastAsia"/>
            <w:b/>
            <w:u w:val="none"/>
            <w:lang w:val="zh-CN" w:bidi="zh-CN"/>
          </w:rPr>
          <w:t>）</w:t>
        </w:r>
        <w:r w:rsidRPr="00E178DC">
          <w:rPr>
            <w:rFonts w:ascii="SimSun" w:hAnsi="SimSun" w:cstheme="minorBidi" w:hint="eastAsia"/>
            <w:b/>
            <w:u w:val="none"/>
            <w:lang w:val="zh-CN" w:bidi="zh-CN"/>
          </w:rPr>
          <w:t>对教科文组织在</w:t>
        </w:r>
        <w:r w:rsidRPr="00E178DC">
          <w:rPr>
            <w:rFonts w:ascii="SimSun" w:hAnsi="SimSun" w:cstheme="minorBidi"/>
            <w:b/>
            <w:u w:val="none"/>
            <w:lang w:val="zh-CN" w:bidi="zh-CN"/>
          </w:rPr>
          <w:t>2003</w:t>
        </w:r>
        <w:r w:rsidRPr="00E178DC">
          <w:rPr>
            <w:rFonts w:ascii="SimSun" w:hAnsi="SimSun" w:cstheme="minorBidi" w:hint="eastAsia"/>
            <w:b/>
            <w:u w:val="none"/>
            <w:lang w:val="zh-CN" w:bidi="zh-CN"/>
          </w:rPr>
          <w:t>年《公约》框架内行动的评估</w:t>
        </w:r>
      </w:hyperlink>
      <w:r w:rsidRPr="00E178DC">
        <w:rPr>
          <w:rFonts w:ascii="SimSun" w:hAnsi="SimSun" w:cstheme="minorBidi" w:hint="eastAsia"/>
          <w:b/>
          <w:u w:val="none"/>
          <w:lang w:val="zh-CN" w:bidi="zh-CN"/>
        </w:rPr>
        <w:t>的回应</w:t>
      </w:r>
    </w:p>
    <w:p w14:paraId="01C8BCE7" w14:textId="77777777" w:rsidR="00B25FFD" w:rsidRPr="00E178DC" w:rsidRDefault="00B25FFD" w:rsidP="00B25FFD">
      <w:pPr>
        <w:pStyle w:val="COMParaDecision"/>
        <w:numPr>
          <w:ilvl w:val="0"/>
          <w:numId w:val="0"/>
        </w:numPr>
        <w:spacing w:after="240"/>
        <w:jc w:val="center"/>
        <w:rPr>
          <w:rFonts w:ascii="SimSun" w:hAnsi="SimSun" w:cstheme="minorBidi"/>
          <w:b/>
          <w:u w:val="none"/>
        </w:rPr>
      </w:pPr>
      <w:r w:rsidRPr="00E178DC">
        <w:rPr>
          <w:rFonts w:ascii="SimSun" w:hAnsi="SimSun" w:cstheme="minorBidi" w:hint="eastAsia"/>
          <w:b/>
          <w:u w:val="none"/>
          <w:lang w:val="zh-CN" w:bidi="zh-CN"/>
        </w:rPr>
        <w:t>（截至</w:t>
      </w:r>
      <w:r w:rsidRPr="00E178DC">
        <w:rPr>
          <w:rFonts w:ascii="SimSun" w:hAnsi="SimSun" w:cstheme="minorBidi"/>
          <w:b/>
          <w:u w:val="none"/>
          <w:lang w:val="zh-CN" w:bidi="zh-CN"/>
        </w:rPr>
        <w:t>2026</w:t>
      </w:r>
      <w:r w:rsidRPr="00E178DC">
        <w:rPr>
          <w:rFonts w:ascii="SimSun" w:hAnsi="SimSun" w:cstheme="minorBidi" w:hint="eastAsia"/>
          <w:b/>
          <w:u w:val="none"/>
          <w:lang w:val="zh-CN" w:bidi="zh-CN"/>
        </w:rPr>
        <w:t>年</w:t>
      </w:r>
      <w:r w:rsidRPr="00E178DC">
        <w:rPr>
          <w:rFonts w:ascii="SimSun" w:hAnsi="SimSun" w:cstheme="minorBidi"/>
          <w:b/>
          <w:u w:val="none"/>
          <w:lang w:val="zh-CN" w:bidi="zh-CN"/>
        </w:rPr>
        <w:t>5</w:t>
      </w:r>
      <w:r w:rsidRPr="00E178DC">
        <w:rPr>
          <w:rFonts w:ascii="SimSun" w:hAnsi="SimSun" w:cstheme="minorBidi" w:hint="eastAsia"/>
          <w:b/>
          <w:u w:val="none"/>
          <w:lang w:val="zh-CN" w:bidi="zh-CN"/>
        </w:rPr>
        <w:t>月）</w:t>
      </w:r>
      <w:r w:rsidRPr="00E178DC">
        <w:rPr>
          <w:rStyle w:val="FootnoteReference"/>
          <w:rFonts w:ascii="SimSun" w:hAnsi="SimSun" w:cstheme="minorBidi"/>
          <w:b/>
          <w:u w:val="none"/>
          <w:lang w:val="zh-CN" w:bidi="zh-CN"/>
        </w:rPr>
        <w:footnoteReference w:id="3"/>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9498"/>
      </w:tblGrid>
      <w:tr w:rsidR="00B25FFD" w:rsidRPr="00C357F1" w14:paraId="35A20A4D" w14:textId="77777777" w:rsidTr="00E178DC">
        <w:trPr>
          <w:trHeight w:val="206"/>
        </w:trPr>
        <w:tc>
          <w:tcPr>
            <w:tcW w:w="1683" w:type="pct"/>
            <w:tcBorders>
              <w:bottom w:val="single" w:sz="4" w:space="0" w:color="auto"/>
            </w:tcBorders>
            <w:shd w:val="clear" w:color="auto" w:fill="C1E4F5" w:themeFill="accent1" w:themeFillTint="33"/>
            <w:vAlign w:val="center"/>
          </w:tcPr>
          <w:bookmarkEnd w:id="3"/>
          <w:p w14:paraId="0D03A796" w14:textId="77777777" w:rsidR="00B25FFD" w:rsidRPr="00E178DC" w:rsidRDefault="00B25FFD" w:rsidP="00297070">
            <w:pPr>
              <w:widowControl w:val="0"/>
              <w:spacing w:before="120" w:after="120"/>
              <w:jc w:val="both"/>
              <w:rPr>
                <w:rFonts w:cs="Arial"/>
                <w:b/>
                <w:bCs/>
                <w:sz w:val="18"/>
                <w:szCs w:val="18"/>
                <w:lang w:val="en-GB"/>
              </w:rPr>
            </w:pPr>
            <w:r w:rsidRPr="00E178DC">
              <w:rPr>
                <w:rFonts w:cs="Arial" w:hint="eastAsia"/>
                <w:b/>
                <w:lang w:val="zh-CN" w:bidi="zh-CN"/>
              </w:rPr>
              <w:t>建议</w:t>
            </w:r>
          </w:p>
        </w:tc>
        <w:tc>
          <w:tcPr>
            <w:tcW w:w="3317" w:type="pct"/>
            <w:tcBorders>
              <w:bottom w:val="single" w:sz="4" w:space="0" w:color="auto"/>
            </w:tcBorders>
            <w:shd w:val="clear" w:color="auto" w:fill="C1E4F5" w:themeFill="accent1" w:themeFillTint="33"/>
            <w:vAlign w:val="center"/>
          </w:tcPr>
          <w:p w14:paraId="6040EBC7" w14:textId="77777777" w:rsidR="00B25FFD" w:rsidRPr="00E178DC" w:rsidRDefault="00B25FFD" w:rsidP="00297070">
            <w:pPr>
              <w:widowControl w:val="0"/>
              <w:spacing w:before="120" w:after="120"/>
              <w:jc w:val="both"/>
              <w:rPr>
                <w:rFonts w:cs="Arial"/>
                <w:sz w:val="18"/>
                <w:szCs w:val="18"/>
              </w:rPr>
            </w:pPr>
            <w:r w:rsidRPr="00E178DC">
              <w:rPr>
                <w:rFonts w:cs="Arial" w:hint="eastAsia"/>
                <w:b/>
                <w:lang w:val="zh-CN" w:bidi="zh-CN"/>
              </w:rPr>
              <w:t>现状</w:t>
            </w:r>
          </w:p>
        </w:tc>
      </w:tr>
      <w:tr w:rsidR="00B25FFD" w:rsidRPr="00C357F1" w14:paraId="26601967" w14:textId="77777777" w:rsidTr="00297070">
        <w:trPr>
          <w:trHeight w:val="1750"/>
        </w:trPr>
        <w:tc>
          <w:tcPr>
            <w:tcW w:w="1683" w:type="pct"/>
            <w:tcBorders>
              <w:bottom w:val="single" w:sz="4" w:space="0" w:color="auto"/>
            </w:tcBorders>
          </w:tcPr>
          <w:p w14:paraId="2471EE70" w14:textId="77777777" w:rsidR="00B25FFD" w:rsidRPr="00E178DC" w:rsidRDefault="00B25FFD" w:rsidP="00297070">
            <w:pPr>
              <w:widowControl w:val="0"/>
              <w:spacing w:before="120" w:after="120"/>
              <w:jc w:val="both"/>
              <w:rPr>
                <w:rFonts w:cs="Arial"/>
                <w:b/>
                <w:bCs/>
                <w:sz w:val="20"/>
                <w:szCs w:val="20"/>
                <w:lang w:val="en-GB"/>
              </w:rPr>
            </w:pPr>
            <w:r w:rsidRPr="00E178DC">
              <w:rPr>
                <w:rFonts w:cs="Arial" w:hint="eastAsia"/>
                <w:b/>
                <w:sz w:val="20"/>
                <w:szCs w:val="20"/>
                <w:lang w:val="zh-CN" w:bidi="zh-CN"/>
              </w:rPr>
              <w:t>建议</w:t>
            </w:r>
            <w:r w:rsidRPr="00E178DC">
              <w:rPr>
                <w:rFonts w:cs="Arial"/>
                <w:b/>
                <w:sz w:val="20"/>
                <w:szCs w:val="20"/>
                <w:lang w:val="zh-CN" w:bidi="zh-CN"/>
              </w:rPr>
              <w:t>1:</w:t>
            </w:r>
          </w:p>
          <w:p w14:paraId="41D4F696" w14:textId="49B1358A" w:rsidR="00B25FFD" w:rsidRPr="00E178DC" w:rsidRDefault="00B25FFD" w:rsidP="00297070">
            <w:pPr>
              <w:widowControl w:val="0"/>
              <w:spacing w:before="120" w:after="120"/>
              <w:jc w:val="both"/>
              <w:rPr>
                <w:rFonts w:cs="Arial"/>
                <w:sz w:val="20"/>
                <w:szCs w:val="20"/>
                <w:lang w:val="en-GB"/>
              </w:rPr>
            </w:pPr>
            <w:r w:rsidRPr="00E178DC">
              <w:rPr>
                <w:rFonts w:cs="Arial"/>
                <w:b/>
                <w:sz w:val="20"/>
                <w:szCs w:val="20"/>
                <w:lang w:val="zh-CN" w:bidi="zh-CN"/>
              </w:rPr>
              <w:t>2003</w:t>
            </w:r>
            <w:r w:rsidRPr="00E178DC">
              <w:rPr>
                <w:rFonts w:cs="Arial" w:hint="eastAsia"/>
                <w:b/>
                <w:sz w:val="20"/>
                <w:szCs w:val="20"/>
                <w:lang w:val="zh-CN" w:bidi="zh-CN"/>
              </w:rPr>
              <w:t>年《公约》秘书</w:t>
            </w:r>
            <w:r w:rsidRPr="00E178DC">
              <w:rPr>
                <w:rFonts w:cs="Arial" w:hint="eastAsia"/>
                <w:sz w:val="20"/>
                <w:szCs w:val="20"/>
                <w:lang w:val="zh-CN" w:bidi="zh-CN"/>
              </w:rPr>
              <w:t>应与政府间委员会、缔约国大会和教科文组织高级管理层进行接洽，提请他们注意有必要为</w:t>
            </w:r>
            <w:r w:rsidRPr="00E178DC">
              <w:rPr>
                <w:rFonts w:cs="Arial"/>
                <w:sz w:val="20"/>
                <w:szCs w:val="20"/>
                <w:lang w:val="zh-CN" w:bidi="zh-CN"/>
              </w:rPr>
              <w:t>2003</w:t>
            </w:r>
            <w:r w:rsidRPr="00E178DC">
              <w:rPr>
                <w:rFonts w:cs="Arial" w:hint="eastAsia"/>
                <w:sz w:val="20"/>
                <w:szCs w:val="20"/>
                <w:lang w:val="zh-CN" w:bidi="zh-CN"/>
              </w:rPr>
              <w:t>年《公约》秘书处（活态遗产实体和外地办事处）有限资源的使用确立优先顺序。</w:t>
            </w:r>
          </w:p>
        </w:tc>
        <w:tc>
          <w:tcPr>
            <w:tcW w:w="3317" w:type="pct"/>
            <w:tcBorders>
              <w:bottom w:val="single" w:sz="4" w:space="0" w:color="auto"/>
            </w:tcBorders>
          </w:tcPr>
          <w:p w14:paraId="22049F4D" w14:textId="2EEC84C1" w:rsidR="00B25FFD" w:rsidRPr="00E178DC" w:rsidRDefault="00B25FFD" w:rsidP="00297070">
            <w:pPr>
              <w:widowControl w:val="0"/>
              <w:spacing w:before="120" w:after="120"/>
              <w:jc w:val="both"/>
              <w:rPr>
                <w:rFonts w:cs="Arial"/>
                <w:sz w:val="20"/>
                <w:szCs w:val="20"/>
                <w:lang w:val="en-US"/>
              </w:rPr>
            </w:pPr>
            <w:r w:rsidRPr="00E178DC">
              <w:rPr>
                <w:rFonts w:cs="Arial"/>
                <w:sz w:val="20"/>
                <w:szCs w:val="20"/>
                <w:lang w:val="zh-CN" w:bidi="zh-CN"/>
              </w:rPr>
              <w:t>2003</w:t>
            </w:r>
            <w:r w:rsidRPr="00E178DC">
              <w:rPr>
                <w:rFonts w:cs="Arial" w:hint="eastAsia"/>
                <w:sz w:val="20"/>
                <w:szCs w:val="20"/>
                <w:lang w:val="zh-CN" w:bidi="zh-CN"/>
              </w:rPr>
              <w:t>年《公约》秘书指出，过去二十年来，《公约》取得了显著进展，具体体现在利益相关方的参与度和可见度不断提升、主题领域不断拓展，以及活态遗产保护对国际发展议程所作出的贡献日益凸显。相应地，一些战略领域得到了更好地界定，特别是通过</w:t>
            </w:r>
            <w:r w:rsidRPr="00E178DC">
              <w:rPr>
                <w:rFonts w:cs="Arial"/>
                <w:sz w:val="20"/>
                <w:szCs w:val="20"/>
                <w:lang w:val="zh-CN" w:bidi="zh-CN"/>
              </w:rPr>
              <w:t>2023</w:t>
            </w:r>
            <w:r w:rsidRPr="00E178DC">
              <w:rPr>
                <w:rFonts w:cs="Arial" w:hint="eastAsia"/>
                <w:sz w:val="20"/>
                <w:szCs w:val="20"/>
                <w:lang w:val="zh-CN" w:bidi="zh-CN"/>
              </w:rPr>
              <w:t>年举办的二十周年庆祝活动，不仅确立了“首尔愿景”，还包括《公约》理事机构自</w:t>
            </w:r>
            <w:r w:rsidRPr="00E178DC">
              <w:rPr>
                <w:rFonts w:cs="Arial"/>
                <w:sz w:val="20"/>
                <w:szCs w:val="20"/>
                <w:lang w:val="zh-CN" w:bidi="zh-CN"/>
              </w:rPr>
              <w:t>2021</w:t>
            </w:r>
            <w:r w:rsidRPr="00E178DC">
              <w:rPr>
                <w:rFonts w:cs="Arial" w:hint="eastAsia"/>
                <w:sz w:val="20"/>
                <w:szCs w:val="20"/>
                <w:lang w:val="zh-CN" w:bidi="zh-CN"/>
              </w:rPr>
              <w:t>年以来开展的其他重要</w:t>
            </w:r>
            <w:r w:rsidR="00CC508C">
              <w:rPr>
                <w:rFonts w:cs="Arial" w:hint="eastAsia"/>
                <w:sz w:val="20"/>
                <w:szCs w:val="20"/>
                <w:lang w:val="zh-CN" w:bidi="zh-CN"/>
              </w:rPr>
              <w:t>反思</w:t>
            </w:r>
            <w:r w:rsidRPr="00E178DC">
              <w:rPr>
                <w:rFonts w:cs="Arial" w:hint="eastAsia"/>
                <w:sz w:val="20"/>
                <w:szCs w:val="20"/>
                <w:lang w:val="zh-CN" w:bidi="zh-CN"/>
              </w:rPr>
              <w:t>。在这种期望不断攀升、需求日益增长的背景下，为</w:t>
            </w:r>
            <w:r w:rsidRPr="00E178DC">
              <w:rPr>
                <w:rFonts w:cs="Arial"/>
                <w:sz w:val="20"/>
                <w:szCs w:val="20"/>
                <w:lang w:val="zh-CN" w:bidi="zh-CN"/>
              </w:rPr>
              <w:t>2003</w:t>
            </w:r>
            <w:r w:rsidRPr="00E178DC">
              <w:rPr>
                <w:rFonts w:cs="Arial" w:hint="eastAsia"/>
                <w:sz w:val="20"/>
                <w:szCs w:val="20"/>
                <w:lang w:val="zh-CN" w:bidi="zh-CN"/>
              </w:rPr>
              <w:t>年《公约》秘书处有限的资源使用确立优先次序的必要性依然至关重要。</w:t>
            </w:r>
            <w:r w:rsidRPr="00E178DC">
              <w:rPr>
                <w:rFonts w:cs="Arial"/>
                <w:sz w:val="20"/>
                <w:szCs w:val="20"/>
                <w:lang w:val="zh-CN" w:bidi="zh-CN"/>
              </w:rPr>
              <w:t>2025</w:t>
            </w:r>
            <w:r w:rsidRPr="00E178DC">
              <w:rPr>
                <w:rFonts w:cs="Arial" w:hint="eastAsia"/>
                <w:sz w:val="20"/>
                <w:szCs w:val="20"/>
                <w:lang w:val="zh-CN" w:bidi="zh-CN"/>
              </w:rPr>
              <w:t>年</w:t>
            </w:r>
            <w:r w:rsidRPr="00E178DC">
              <w:rPr>
                <w:rFonts w:cs="Arial"/>
                <w:sz w:val="20"/>
                <w:szCs w:val="20"/>
                <w:lang w:val="zh-CN" w:bidi="zh-CN"/>
              </w:rPr>
              <w:t>12</w:t>
            </w:r>
            <w:r w:rsidRPr="00E178DC">
              <w:rPr>
                <w:rFonts w:cs="Arial" w:hint="eastAsia"/>
                <w:sz w:val="20"/>
                <w:szCs w:val="20"/>
                <w:lang w:val="zh-CN" w:bidi="zh-CN"/>
              </w:rPr>
              <w:t>月，委员会第二十届会议通过了一套新的资金优先项目（第</w:t>
            </w:r>
            <w:hyperlink r:id="rId47" w:history="1">
              <w:r w:rsidRPr="00E178DC">
                <w:rPr>
                  <w:rStyle w:val="Hyperlink"/>
                  <w:rFonts w:cs="Arial"/>
                  <w:sz w:val="20"/>
                  <w:szCs w:val="20"/>
                  <w:lang w:val="zh-CN" w:bidi="zh-CN"/>
                </w:rPr>
                <w:t>20.COM 13</w:t>
              </w:r>
              <w:r w:rsidRPr="00E178DC">
                <w:rPr>
                  <w:rStyle w:val="Hyperlink"/>
                  <w:rFonts w:cs="MS Gothic" w:hint="eastAsia"/>
                  <w:sz w:val="20"/>
                  <w:szCs w:val="20"/>
                  <w:lang w:val="zh-CN" w:bidi="zh-CN"/>
                </w:rPr>
                <w:t>号</w:t>
              </w:r>
            </w:hyperlink>
            <w:r w:rsidRPr="00E178DC">
              <w:rPr>
                <w:rFonts w:cs="Arial" w:hint="eastAsia"/>
                <w:sz w:val="20"/>
                <w:szCs w:val="20"/>
                <w:lang w:val="zh-CN" w:bidi="zh-CN"/>
              </w:rPr>
              <w:t>决定），为出资者在规划和讨论</w:t>
            </w:r>
            <w:r w:rsidRPr="00E178DC">
              <w:rPr>
                <w:rFonts w:cs="Arial"/>
                <w:sz w:val="20"/>
                <w:szCs w:val="20"/>
                <w:lang w:val="zh-CN" w:bidi="zh-CN"/>
              </w:rPr>
              <w:t>2003</w:t>
            </w:r>
            <w:r w:rsidRPr="00E178DC">
              <w:rPr>
                <w:rFonts w:cs="Arial" w:hint="eastAsia"/>
                <w:sz w:val="20"/>
                <w:szCs w:val="20"/>
                <w:lang w:val="zh-CN" w:bidi="zh-CN"/>
              </w:rPr>
              <w:t>年《公约》秘书处的可持续性资源分配时提供了指导。</w:t>
            </w:r>
          </w:p>
        </w:tc>
      </w:tr>
      <w:tr w:rsidR="00B25FFD" w:rsidRPr="00C357F1" w14:paraId="43FB1776" w14:textId="77777777" w:rsidTr="00297070">
        <w:trPr>
          <w:trHeight w:val="170"/>
        </w:trPr>
        <w:tc>
          <w:tcPr>
            <w:tcW w:w="1683" w:type="pct"/>
            <w:tcBorders>
              <w:bottom w:val="single" w:sz="4" w:space="0" w:color="auto"/>
            </w:tcBorders>
          </w:tcPr>
          <w:p w14:paraId="4FBB4262" w14:textId="77777777" w:rsidR="00B25FFD" w:rsidRPr="00E178DC" w:rsidRDefault="00B25FFD" w:rsidP="00297070">
            <w:pPr>
              <w:widowControl w:val="0"/>
              <w:spacing w:before="120" w:after="120"/>
              <w:jc w:val="both"/>
              <w:rPr>
                <w:rFonts w:cs="Arial"/>
                <w:b/>
                <w:bCs/>
                <w:sz w:val="20"/>
                <w:szCs w:val="20"/>
              </w:rPr>
            </w:pPr>
            <w:r w:rsidRPr="00E178DC">
              <w:rPr>
                <w:rFonts w:cs="Arial" w:hint="eastAsia"/>
                <w:b/>
                <w:sz w:val="20"/>
                <w:szCs w:val="20"/>
                <w:lang w:val="zh-CN" w:bidi="zh-CN"/>
              </w:rPr>
              <w:t>建议</w:t>
            </w:r>
            <w:r w:rsidRPr="00E178DC">
              <w:rPr>
                <w:rFonts w:cs="Arial"/>
                <w:b/>
                <w:sz w:val="20"/>
                <w:szCs w:val="20"/>
                <w:lang w:val="zh-CN" w:bidi="zh-CN"/>
              </w:rPr>
              <w:t>2</w:t>
            </w:r>
            <w:r w:rsidRPr="00E178DC">
              <w:rPr>
                <w:rFonts w:cs="Arial" w:hint="eastAsia"/>
                <w:b/>
                <w:sz w:val="20"/>
                <w:szCs w:val="20"/>
                <w:lang w:val="zh-CN" w:bidi="zh-CN"/>
              </w:rPr>
              <w:t>：</w:t>
            </w:r>
          </w:p>
          <w:p w14:paraId="5DEE8BC2" w14:textId="77777777" w:rsidR="00B25FFD" w:rsidRPr="00E178DC" w:rsidRDefault="00B25FFD" w:rsidP="00297070">
            <w:pPr>
              <w:widowControl w:val="0"/>
              <w:spacing w:before="120" w:after="120"/>
              <w:jc w:val="both"/>
              <w:rPr>
                <w:rFonts w:cs="Arial"/>
                <w:sz w:val="20"/>
                <w:szCs w:val="20"/>
                <w:lang w:val="en-GB"/>
              </w:rPr>
            </w:pPr>
            <w:r w:rsidRPr="00E178DC">
              <w:rPr>
                <w:rFonts w:cs="Arial" w:hint="eastAsia"/>
                <w:b/>
                <w:sz w:val="20"/>
                <w:szCs w:val="20"/>
                <w:lang w:val="zh-CN" w:bidi="zh-CN"/>
              </w:rPr>
              <w:t>活态遗产实体</w:t>
            </w:r>
            <w:r w:rsidRPr="00E178DC">
              <w:rPr>
                <w:rFonts w:cs="Arial" w:hint="eastAsia"/>
                <w:sz w:val="20"/>
                <w:szCs w:val="20"/>
                <w:lang w:val="zh-CN" w:bidi="zh-CN"/>
              </w:rPr>
              <w:t>应思考通过定期报告收集到的数据的潜在用途，以及以易于理解和可视化的方式使这些数据得到广泛传播的策略。内容应当可免费访问且易于搜索和使用。应提供全球、区域和国家层面的分析与概要。</w:t>
            </w:r>
          </w:p>
        </w:tc>
        <w:tc>
          <w:tcPr>
            <w:tcW w:w="3317" w:type="pct"/>
            <w:tcBorders>
              <w:bottom w:val="single" w:sz="4" w:space="0" w:color="auto"/>
            </w:tcBorders>
          </w:tcPr>
          <w:p w14:paraId="2374695F" w14:textId="53E3F574" w:rsidR="00B25FFD" w:rsidRPr="00E178DC" w:rsidRDefault="00B25FFD" w:rsidP="00297070">
            <w:pPr>
              <w:widowControl w:val="0"/>
              <w:spacing w:before="120" w:after="120"/>
              <w:jc w:val="both"/>
              <w:rPr>
                <w:sz w:val="20"/>
                <w:szCs w:val="20"/>
                <w:lang w:val="en-US"/>
              </w:rPr>
            </w:pPr>
            <w:r w:rsidRPr="00E178DC">
              <w:rPr>
                <w:rFonts w:cs="Arial" w:hint="eastAsia"/>
                <w:sz w:val="20"/>
                <w:szCs w:val="20"/>
                <w:lang w:val="zh-CN" w:bidi="zh-CN"/>
              </w:rPr>
              <w:t>自从</w:t>
            </w:r>
            <w:r w:rsidRPr="00E178DC">
              <w:rPr>
                <w:rFonts w:cs="Arial"/>
                <w:sz w:val="20"/>
                <w:szCs w:val="20"/>
                <w:lang w:val="zh-CN" w:bidi="zh-CN"/>
              </w:rPr>
              <w:t>2021</w:t>
            </w:r>
            <w:r w:rsidRPr="00E178DC">
              <w:rPr>
                <w:rFonts w:cs="Arial" w:hint="eastAsia"/>
                <w:sz w:val="20"/>
                <w:szCs w:val="20"/>
                <w:lang w:val="zh-CN" w:bidi="zh-CN"/>
              </w:rPr>
              <w:t>年（</w:t>
            </w:r>
            <w:r w:rsidRPr="00E178DC">
              <w:rPr>
                <w:rFonts w:cs="Arial"/>
                <w:sz w:val="20"/>
                <w:szCs w:val="20"/>
                <w:lang w:val="zh-CN" w:bidi="zh-CN"/>
              </w:rPr>
              <w:t>16.COM</w:t>
            </w:r>
            <w:r w:rsidRPr="00E178DC">
              <w:rPr>
                <w:rFonts w:cs="Arial" w:hint="eastAsia"/>
                <w:sz w:val="20"/>
                <w:szCs w:val="20"/>
                <w:lang w:val="zh-CN" w:bidi="zh-CN"/>
              </w:rPr>
              <w:t>）向委员会提交拉丁美洲和加勒比地区缔约国报告的分析概述以来，</w:t>
            </w:r>
            <w:r w:rsidRPr="00E178DC">
              <w:rPr>
                <w:rFonts w:cs="Arial"/>
                <w:sz w:val="20"/>
                <w:szCs w:val="20"/>
                <w:lang w:val="zh-CN" w:bidi="zh-CN"/>
              </w:rPr>
              <w:t>2003</w:t>
            </w:r>
            <w:r w:rsidRPr="00E178DC">
              <w:rPr>
                <w:rFonts w:cs="Arial" w:hint="eastAsia"/>
                <w:sz w:val="20"/>
                <w:szCs w:val="20"/>
                <w:lang w:val="zh-CN" w:bidi="zh-CN"/>
              </w:rPr>
              <w:t>年《公约》秘书处每年都按照报告时间表进行区域分析的准备工作。对于每个地区，委员会都会收到以英文和法文呈报的两份分析成果，即“分析概览”和“综合分析报告”。</w:t>
            </w:r>
            <w:r w:rsidRPr="00E178DC">
              <w:rPr>
                <w:rFonts w:hint="eastAsia"/>
                <w:sz w:val="20"/>
                <w:szCs w:val="20"/>
                <w:lang w:val="zh-CN" w:bidi="zh-CN"/>
              </w:rPr>
              <w:t>所有分析成果均可在线获取，既可在委员会各届会议的专用网页上查阅，也可在专用于定期报告相关文件和研究的</w:t>
            </w:r>
            <w:hyperlink r:id="rId48" w:history="1">
              <w:r w:rsidRPr="00E178DC">
                <w:rPr>
                  <w:rStyle w:val="Hyperlink"/>
                  <w:rFonts w:hint="eastAsia"/>
                  <w:sz w:val="20"/>
                  <w:szCs w:val="20"/>
                  <w:lang w:val="zh-CN" w:bidi="zh-CN"/>
                </w:rPr>
                <w:t>页面</w:t>
              </w:r>
            </w:hyperlink>
            <w:r w:rsidRPr="00E178DC">
              <w:rPr>
                <w:rFonts w:hint="eastAsia"/>
                <w:sz w:val="20"/>
                <w:szCs w:val="20"/>
                <w:lang w:val="zh-CN" w:bidi="zh-CN"/>
              </w:rPr>
              <w:t>查阅。</w:t>
            </w:r>
          </w:p>
        </w:tc>
      </w:tr>
      <w:tr w:rsidR="00B25FFD" w:rsidRPr="00C357F1" w14:paraId="198843A0" w14:textId="77777777" w:rsidTr="00E178DC">
        <w:trPr>
          <w:trHeight w:val="431"/>
        </w:trPr>
        <w:tc>
          <w:tcPr>
            <w:tcW w:w="1683" w:type="pct"/>
            <w:tcBorders>
              <w:bottom w:val="single" w:sz="4" w:space="0" w:color="auto"/>
            </w:tcBorders>
          </w:tcPr>
          <w:p w14:paraId="12BFDB51" w14:textId="77777777" w:rsidR="00B25FFD" w:rsidRPr="00E178DC" w:rsidRDefault="00B25FFD" w:rsidP="00297070">
            <w:pPr>
              <w:widowControl w:val="0"/>
              <w:spacing w:before="120" w:after="120"/>
              <w:jc w:val="both"/>
              <w:rPr>
                <w:rFonts w:cs="Arial"/>
                <w:b/>
                <w:bCs/>
                <w:sz w:val="20"/>
                <w:szCs w:val="20"/>
              </w:rPr>
            </w:pPr>
            <w:r w:rsidRPr="00E178DC">
              <w:rPr>
                <w:rFonts w:cs="Arial" w:hint="eastAsia"/>
                <w:b/>
                <w:sz w:val="20"/>
                <w:szCs w:val="20"/>
                <w:lang w:val="zh-CN" w:bidi="zh-CN"/>
              </w:rPr>
              <w:t>建议</w:t>
            </w:r>
            <w:r w:rsidRPr="00E178DC">
              <w:rPr>
                <w:rFonts w:cs="Arial"/>
                <w:b/>
                <w:sz w:val="20"/>
                <w:szCs w:val="20"/>
                <w:lang w:val="zh-CN" w:bidi="zh-CN"/>
              </w:rPr>
              <w:t>3</w:t>
            </w:r>
            <w:r w:rsidRPr="00E178DC">
              <w:rPr>
                <w:rFonts w:cs="Arial" w:hint="eastAsia"/>
                <w:b/>
                <w:sz w:val="20"/>
                <w:szCs w:val="20"/>
                <w:lang w:val="zh-CN" w:bidi="zh-CN"/>
              </w:rPr>
              <w:t>：</w:t>
            </w:r>
          </w:p>
          <w:p w14:paraId="654D76E9" w14:textId="77777777" w:rsidR="00B25FFD" w:rsidRPr="00E178DC" w:rsidRDefault="00B25FFD" w:rsidP="00297070">
            <w:pPr>
              <w:widowControl w:val="0"/>
              <w:spacing w:before="120" w:after="120"/>
              <w:jc w:val="both"/>
              <w:rPr>
                <w:rFonts w:cs="Arial"/>
                <w:sz w:val="20"/>
                <w:szCs w:val="20"/>
                <w:lang w:val="en-GB"/>
              </w:rPr>
            </w:pPr>
            <w:r w:rsidRPr="00E178DC">
              <w:rPr>
                <w:rFonts w:cs="Arial" w:hint="eastAsia"/>
                <w:b/>
                <w:sz w:val="20"/>
                <w:szCs w:val="20"/>
                <w:lang w:val="zh-CN" w:bidi="zh-CN"/>
              </w:rPr>
              <w:t>活态遗产实体应酌情与文化部门执行办公室及其他公约秘书处协调</w:t>
            </w:r>
            <w:r w:rsidRPr="00E178DC">
              <w:rPr>
                <w:rFonts w:cs="Arial" w:hint="eastAsia"/>
                <w:sz w:val="20"/>
                <w:szCs w:val="20"/>
                <w:lang w:val="zh-CN" w:bidi="zh-CN"/>
              </w:rPr>
              <w:t>，组建工作组，以应对那些需要多《公约》协同响应的优先主题领域。除其他外，这还应包括商业化和知识产权、文化旅游和教育。在稍后阶段，教科文组织应与在这些领域开展工作的其他组织进行接洽。</w:t>
            </w:r>
          </w:p>
        </w:tc>
        <w:tc>
          <w:tcPr>
            <w:tcW w:w="3317" w:type="pct"/>
            <w:tcBorders>
              <w:bottom w:val="single" w:sz="4" w:space="0" w:color="auto"/>
            </w:tcBorders>
          </w:tcPr>
          <w:p w14:paraId="67D7A33B" w14:textId="42ADB7C8" w:rsidR="00B25FFD" w:rsidRPr="00E178DC" w:rsidRDefault="00B25FFD" w:rsidP="00297070">
            <w:pPr>
              <w:widowControl w:val="0"/>
              <w:spacing w:before="120" w:after="120"/>
              <w:jc w:val="both"/>
              <w:rPr>
                <w:rFonts w:cs="Arial"/>
                <w:sz w:val="20"/>
                <w:szCs w:val="20"/>
                <w:lang w:val="en-US"/>
              </w:rPr>
            </w:pPr>
            <w:r w:rsidRPr="00E178DC">
              <w:rPr>
                <w:rFonts w:cs="Arial"/>
                <w:sz w:val="20"/>
                <w:szCs w:val="20"/>
                <w:lang w:val="zh-CN" w:bidi="zh-CN"/>
              </w:rPr>
              <w:t>2003</w:t>
            </w:r>
            <w:r w:rsidRPr="00E178DC">
              <w:rPr>
                <w:rFonts w:cs="Arial" w:hint="eastAsia"/>
                <w:sz w:val="20"/>
                <w:szCs w:val="20"/>
                <w:lang w:val="zh-CN" w:bidi="zh-CN"/>
              </w:rPr>
              <w:t>年《公约》秘书处继续推进其在《公约》之下的专题工作。截至</w:t>
            </w:r>
            <w:r w:rsidRPr="00E178DC">
              <w:rPr>
                <w:rFonts w:cs="Arial"/>
                <w:sz w:val="20"/>
                <w:szCs w:val="20"/>
                <w:lang w:val="zh-CN" w:bidi="zh-CN"/>
              </w:rPr>
              <w:t>2025</w:t>
            </w:r>
            <w:r w:rsidRPr="00E178DC">
              <w:rPr>
                <w:rFonts w:cs="Arial" w:hint="eastAsia"/>
                <w:sz w:val="20"/>
                <w:szCs w:val="20"/>
                <w:lang w:val="zh-CN" w:bidi="zh-CN"/>
              </w:rPr>
              <w:t>年</w:t>
            </w:r>
            <w:r w:rsidRPr="00E178DC">
              <w:rPr>
                <w:rFonts w:cs="Arial"/>
                <w:sz w:val="20"/>
                <w:szCs w:val="20"/>
                <w:lang w:val="zh-CN" w:bidi="zh-CN"/>
              </w:rPr>
              <w:t>12</w:t>
            </w:r>
            <w:r w:rsidRPr="00E178DC">
              <w:rPr>
                <w:rFonts w:cs="Arial" w:hint="eastAsia"/>
                <w:sz w:val="20"/>
                <w:szCs w:val="20"/>
                <w:lang w:val="zh-CN" w:bidi="zh-CN"/>
              </w:rPr>
              <w:t>月，（</w:t>
            </w:r>
            <w:r w:rsidRPr="00E178DC">
              <w:rPr>
                <w:rFonts w:cs="Arial"/>
                <w:sz w:val="20"/>
                <w:szCs w:val="20"/>
                <w:lang w:val="zh-CN" w:bidi="zh-CN"/>
              </w:rPr>
              <w:t>i</w:t>
            </w:r>
            <w:r w:rsidRPr="00E178DC">
              <w:rPr>
                <w:rFonts w:cs="Arial" w:hint="eastAsia"/>
                <w:sz w:val="20"/>
                <w:szCs w:val="20"/>
                <w:lang w:val="zh-CN" w:bidi="zh-CN"/>
              </w:rPr>
              <w:t>）非物质文化遗产保护的经济层面、（</w:t>
            </w:r>
            <w:r w:rsidRPr="00E178DC">
              <w:rPr>
                <w:rFonts w:cs="Arial"/>
                <w:sz w:val="20"/>
                <w:szCs w:val="20"/>
                <w:lang w:val="zh-CN" w:bidi="zh-CN"/>
              </w:rPr>
              <w:t>ii</w:t>
            </w:r>
            <w:r w:rsidRPr="00E178DC">
              <w:rPr>
                <w:rFonts w:cs="Arial" w:hint="eastAsia"/>
                <w:sz w:val="20"/>
                <w:szCs w:val="20"/>
                <w:lang w:val="zh-CN" w:bidi="zh-CN"/>
              </w:rPr>
              <w:t>）保护非物质文化遗产与应对气候变化、（</w:t>
            </w:r>
            <w:r w:rsidRPr="00E178DC">
              <w:rPr>
                <w:rFonts w:cs="Arial"/>
                <w:sz w:val="20"/>
                <w:szCs w:val="20"/>
                <w:lang w:val="zh-CN" w:bidi="zh-CN"/>
              </w:rPr>
              <w:t>iii</w:t>
            </w:r>
            <w:r w:rsidRPr="00E178DC">
              <w:rPr>
                <w:rFonts w:cs="Arial" w:hint="eastAsia"/>
                <w:sz w:val="20"/>
                <w:szCs w:val="20"/>
                <w:lang w:val="zh-CN" w:bidi="zh-CN"/>
              </w:rPr>
              <w:t>）城市</w:t>
            </w:r>
            <w:r w:rsidR="00CC508C">
              <w:rPr>
                <w:rFonts w:cs="Arial" w:hint="eastAsia"/>
                <w:sz w:val="20"/>
                <w:szCs w:val="20"/>
                <w:lang w:val="zh-CN" w:bidi="zh-CN"/>
              </w:rPr>
              <w:t>环境</w:t>
            </w:r>
            <w:r w:rsidRPr="00E178DC">
              <w:rPr>
                <w:rFonts w:cs="Arial" w:hint="eastAsia"/>
                <w:sz w:val="20"/>
                <w:szCs w:val="20"/>
                <w:lang w:val="zh-CN" w:bidi="zh-CN"/>
              </w:rPr>
              <w:t>下的非物质文化遗产等领域的三项主题举措均已完成指导说明的编制。</w:t>
            </w:r>
          </w:p>
          <w:p w14:paraId="569DFF6D" w14:textId="1D703B11" w:rsidR="00B25FFD" w:rsidRPr="00E178DC" w:rsidRDefault="00B25FFD" w:rsidP="00827524">
            <w:pPr>
              <w:widowControl w:val="0"/>
              <w:spacing w:before="120" w:after="120"/>
              <w:jc w:val="both"/>
              <w:rPr>
                <w:rFonts w:cs="Arial"/>
                <w:sz w:val="20"/>
                <w:szCs w:val="20"/>
                <w:lang w:val="en-US"/>
              </w:rPr>
            </w:pPr>
            <w:r w:rsidRPr="00E178DC">
              <w:rPr>
                <w:rFonts w:cs="Arial" w:hint="eastAsia"/>
                <w:sz w:val="20"/>
                <w:szCs w:val="20"/>
                <w:lang w:val="zh-CN" w:bidi="zh-CN"/>
              </w:rPr>
              <w:t>这三项举措的总体目标是</w:t>
            </w:r>
            <w:r w:rsidR="00827524" w:rsidRPr="00827524">
              <w:rPr>
                <w:rFonts w:cs="Arial"/>
                <w:sz w:val="20"/>
                <w:szCs w:val="20"/>
                <w:lang w:bidi="zh-CN"/>
              </w:rPr>
              <w:t>制定相关指导意见</w:t>
            </w:r>
            <w:r w:rsidR="00827524" w:rsidRPr="00E178DC">
              <w:rPr>
                <w:rFonts w:cs="Arial"/>
                <w:sz w:val="20"/>
                <w:szCs w:val="20"/>
                <w:lang w:val="en-US" w:bidi="zh-CN"/>
              </w:rPr>
              <w:t>，</w:t>
            </w:r>
            <w:r w:rsidR="00827524" w:rsidRPr="00827524">
              <w:rPr>
                <w:rFonts w:cs="Arial"/>
                <w:sz w:val="20"/>
                <w:szCs w:val="20"/>
                <w:lang w:bidi="zh-CN"/>
              </w:rPr>
              <w:t>以便在实践和理念层面引导利益攸关方参与这些主题</w:t>
            </w:r>
            <w:r w:rsidR="00827524" w:rsidRPr="00E178DC">
              <w:rPr>
                <w:rFonts w:cs="Arial"/>
                <w:sz w:val="20"/>
                <w:szCs w:val="20"/>
                <w:lang w:val="en-US" w:bidi="zh-CN"/>
              </w:rPr>
              <w:t>，</w:t>
            </w:r>
            <w:r w:rsidR="00827524" w:rsidRPr="00827524">
              <w:rPr>
                <w:rFonts w:cs="Arial"/>
                <w:sz w:val="20"/>
                <w:szCs w:val="20"/>
                <w:lang w:bidi="zh-CN"/>
              </w:rPr>
              <w:t>并利用活态遗产促进可持续发展</w:t>
            </w:r>
            <w:r w:rsidRPr="00E178DC">
              <w:rPr>
                <w:rFonts w:cs="Arial" w:hint="eastAsia"/>
                <w:sz w:val="20"/>
                <w:szCs w:val="20"/>
                <w:lang w:val="zh-CN" w:bidi="zh-CN"/>
              </w:rPr>
              <w:t>。这三项举措一直采用类似的方法，包括案头研究、全球调查和专家会议，与教科文组织相关各项计划和《公约》协同推进。关于活态遗产和人工智能的第四项举措目前正在进行中，该举措已在</w:t>
            </w:r>
            <w:r w:rsidRPr="00E178DC">
              <w:rPr>
                <w:rFonts w:cs="Arial"/>
                <w:sz w:val="20"/>
                <w:szCs w:val="20"/>
                <w:lang w:val="zh-CN" w:bidi="zh-CN"/>
              </w:rPr>
              <w:t>2025</w:t>
            </w:r>
            <w:r w:rsidRPr="00E178DC">
              <w:rPr>
                <w:rFonts w:cs="Arial" w:hint="eastAsia"/>
                <w:sz w:val="20"/>
                <w:szCs w:val="20"/>
                <w:lang w:val="zh-CN" w:bidi="zh-CN"/>
              </w:rPr>
              <w:t>年</w:t>
            </w:r>
            <w:r w:rsidRPr="00E178DC">
              <w:rPr>
                <w:rFonts w:cs="Arial"/>
                <w:sz w:val="20"/>
                <w:szCs w:val="20"/>
                <w:lang w:val="zh-CN" w:bidi="zh-CN"/>
              </w:rPr>
              <w:t>12</w:t>
            </w:r>
            <w:r w:rsidRPr="00E178DC">
              <w:rPr>
                <w:rFonts w:cs="Arial" w:hint="eastAsia"/>
                <w:sz w:val="20"/>
                <w:szCs w:val="20"/>
                <w:lang w:val="zh-CN" w:bidi="zh-CN"/>
              </w:rPr>
              <w:t>月委员会第二十届会议上获得批准（第</w:t>
            </w:r>
            <w:r w:rsidRPr="00E178DC">
              <w:rPr>
                <w:rFonts w:cs="Arial"/>
                <w:sz w:val="20"/>
                <w:szCs w:val="20"/>
                <w:lang w:val="zh-CN" w:bidi="zh-CN"/>
              </w:rPr>
              <w:t>20.COM 12</w:t>
            </w:r>
            <w:r w:rsidRPr="00E178DC">
              <w:rPr>
                <w:rFonts w:cs="Arial" w:hint="eastAsia"/>
                <w:sz w:val="20"/>
                <w:szCs w:val="20"/>
                <w:lang w:val="zh-CN" w:bidi="zh-CN"/>
              </w:rPr>
              <w:t>号决定）。</w:t>
            </w:r>
          </w:p>
          <w:p w14:paraId="065CCF25" w14:textId="77777777" w:rsidR="00B25FFD" w:rsidRPr="00E178DC" w:rsidRDefault="00B25FFD" w:rsidP="00297070">
            <w:pPr>
              <w:widowControl w:val="0"/>
              <w:spacing w:before="120" w:after="120"/>
              <w:jc w:val="both"/>
              <w:rPr>
                <w:rFonts w:cs="Arial"/>
                <w:sz w:val="20"/>
                <w:szCs w:val="20"/>
                <w:lang w:val="en-US"/>
              </w:rPr>
            </w:pPr>
            <w:r w:rsidRPr="00E178DC">
              <w:rPr>
                <w:rFonts w:cs="Arial" w:hint="eastAsia"/>
                <w:sz w:val="20"/>
                <w:szCs w:val="20"/>
                <w:lang w:val="zh-CN" w:bidi="zh-CN"/>
              </w:rPr>
              <w:t>此外，秘书处还在积累知识和开发数字化工具，以支持作为活态遗产的饮食文化的保护与传承，其长远目标是促进可持续发展，从而在和平与包容的社会中增进人类的福祉、尊严与创造力。通过业务项目开展的其他干预主题领域包括遗产和教育（参见建议</w:t>
            </w:r>
            <w:r w:rsidRPr="00E178DC">
              <w:rPr>
                <w:rFonts w:cs="Arial"/>
                <w:sz w:val="20"/>
                <w:szCs w:val="20"/>
                <w:lang w:val="zh-CN" w:bidi="zh-CN"/>
              </w:rPr>
              <w:t>4</w:t>
            </w:r>
            <w:r w:rsidRPr="00E178DC">
              <w:rPr>
                <w:rFonts w:cs="Arial" w:hint="eastAsia"/>
                <w:sz w:val="20"/>
                <w:szCs w:val="20"/>
                <w:lang w:val="zh-CN" w:bidi="zh-CN"/>
              </w:rPr>
              <w:t>）和文化旅游。</w:t>
            </w:r>
          </w:p>
          <w:p w14:paraId="31836A0D" w14:textId="77777777" w:rsidR="00B25FFD" w:rsidRPr="00E178DC" w:rsidRDefault="00B25FFD" w:rsidP="00297070">
            <w:pPr>
              <w:widowControl w:val="0"/>
              <w:spacing w:before="120" w:after="120"/>
              <w:jc w:val="both"/>
              <w:rPr>
                <w:rFonts w:cs="Arial"/>
                <w:sz w:val="20"/>
                <w:szCs w:val="20"/>
                <w:lang w:val="en-US"/>
              </w:rPr>
            </w:pPr>
            <w:r w:rsidRPr="00E178DC">
              <w:rPr>
                <w:rFonts w:cs="Arial" w:hint="eastAsia"/>
                <w:sz w:val="20"/>
                <w:szCs w:val="20"/>
                <w:lang w:val="zh-CN" w:bidi="zh-CN"/>
              </w:rPr>
              <w:lastRenderedPageBreak/>
              <w:t>文化部门执行办公室（</w:t>
            </w:r>
            <w:r w:rsidRPr="00E178DC">
              <w:rPr>
                <w:rFonts w:cs="Arial"/>
                <w:sz w:val="20"/>
                <w:szCs w:val="20"/>
                <w:lang w:val="zh-CN" w:bidi="zh-CN"/>
              </w:rPr>
              <w:t>CLT/EO</w:t>
            </w:r>
            <w:r w:rsidRPr="00E178DC">
              <w:rPr>
                <w:rFonts w:cs="Arial" w:hint="eastAsia"/>
                <w:sz w:val="20"/>
                <w:szCs w:val="20"/>
                <w:lang w:val="zh-CN" w:bidi="zh-CN"/>
              </w:rPr>
              <w:t>）继续协调该部门各项计划的主题</w:t>
            </w:r>
            <w:r w:rsidRPr="00E178DC">
              <w:rPr>
                <w:rFonts w:cs="Arial"/>
                <w:sz w:val="20"/>
                <w:szCs w:val="20"/>
                <w:lang w:val="zh-CN" w:bidi="zh-CN"/>
              </w:rPr>
              <w:t>/</w:t>
            </w:r>
            <w:r w:rsidRPr="00E178DC">
              <w:rPr>
                <w:rFonts w:cs="Arial" w:hint="eastAsia"/>
                <w:sz w:val="20"/>
                <w:szCs w:val="20"/>
                <w:lang w:val="zh-CN" w:bidi="zh-CN"/>
              </w:rPr>
              <w:t>优先领域的现有工作组。</w:t>
            </w:r>
          </w:p>
        </w:tc>
      </w:tr>
      <w:tr w:rsidR="00B25FFD" w:rsidRPr="00C357F1" w14:paraId="45CC480D" w14:textId="77777777" w:rsidTr="00297070">
        <w:trPr>
          <w:trHeight w:val="1209"/>
        </w:trPr>
        <w:tc>
          <w:tcPr>
            <w:tcW w:w="1683" w:type="pct"/>
            <w:tcBorders>
              <w:bottom w:val="single" w:sz="4" w:space="0" w:color="auto"/>
            </w:tcBorders>
          </w:tcPr>
          <w:p w14:paraId="1B970EDE" w14:textId="77777777" w:rsidR="00B25FFD" w:rsidRPr="00E178DC" w:rsidRDefault="00B25FFD" w:rsidP="00297070">
            <w:pPr>
              <w:widowControl w:val="0"/>
              <w:spacing w:before="120" w:after="120"/>
              <w:jc w:val="both"/>
              <w:rPr>
                <w:rFonts w:cs="Arial"/>
                <w:b/>
                <w:bCs/>
                <w:sz w:val="20"/>
                <w:szCs w:val="20"/>
              </w:rPr>
            </w:pPr>
            <w:r w:rsidRPr="00E178DC">
              <w:rPr>
                <w:rFonts w:cs="Arial" w:hint="eastAsia"/>
                <w:b/>
                <w:sz w:val="20"/>
                <w:szCs w:val="20"/>
                <w:lang w:val="zh-CN" w:bidi="zh-CN"/>
              </w:rPr>
              <w:lastRenderedPageBreak/>
              <w:t>建议</w:t>
            </w:r>
            <w:r w:rsidRPr="00E178DC">
              <w:rPr>
                <w:rFonts w:cs="Arial"/>
                <w:b/>
                <w:sz w:val="20"/>
                <w:szCs w:val="20"/>
                <w:lang w:val="zh-CN" w:bidi="zh-CN"/>
              </w:rPr>
              <w:t>4</w:t>
            </w:r>
            <w:r w:rsidRPr="00E178DC">
              <w:rPr>
                <w:rFonts w:cs="Arial" w:hint="eastAsia"/>
                <w:b/>
                <w:sz w:val="20"/>
                <w:szCs w:val="20"/>
                <w:lang w:val="zh-CN" w:bidi="zh-CN"/>
              </w:rPr>
              <w:t>：</w:t>
            </w:r>
          </w:p>
          <w:p w14:paraId="0D2227E7" w14:textId="77777777" w:rsidR="00B25FFD" w:rsidRPr="00E178DC" w:rsidRDefault="00B25FFD" w:rsidP="00297070">
            <w:pPr>
              <w:widowControl w:val="0"/>
              <w:spacing w:before="120" w:after="120"/>
              <w:jc w:val="both"/>
              <w:rPr>
                <w:rFonts w:cs="Arial"/>
                <w:b/>
                <w:bCs/>
                <w:sz w:val="20"/>
                <w:szCs w:val="20"/>
              </w:rPr>
            </w:pPr>
            <w:r w:rsidRPr="00E178DC">
              <w:rPr>
                <w:rFonts w:cs="Arial" w:hint="eastAsia"/>
                <w:b/>
                <w:sz w:val="20"/>
                <w:szCs w:val="20"/>
                <w:lang w:val="zh-CN" w:bidi="zh-CN"/>
              </w:rPr>
              <w:t>活态遗产实体应会同教育部门执行办公室</w:t>
            </w:r>
            <w:r w:rsidRPr="00E178DC">
              <w:rPr>
                <w:rFonts w:cs="Arial" w:hint="eastAsia"/>
                <w:sz w:val="20"/>
                <w:szCs w:val="20"/>
                <w:lang w:val="zh-CN" w:bidi="zh-CN"/>
              </w:rPr>
              <w:t>将拟议的变革理论作为一种工具，用来反思和扩大活态遗产与教育计划的范围。</w:t>
            </w:r>
          </w:p>
        </w:tc>
        <w:tc>
          <w:tcPr>
            <w:tcW w:w="3317" w:type="pct"/>
            <w:tcBorders>
              <w:bottom w:val="single" w:sz="4" w:space="0" w:color="auto"/>
            </w:tcBorders>
          </w:tcPr>
          <w:p w14:paraId="726186CE" w14:textId="77777777" w:rsidR="00B25FFD" w:rsidRPr="00E178DC" w:rsidRDefault="00B25FFD" w:rsidP="00297070">
            <w:pPr>
              <w:widowControl w:val="0"/>
              <w:spacing w:before="120" w:after="120"/>
              <w:jc w:val="both"/>
              <w:rPr>
                <w:rFonts w:cs="Arial"/>
                <w:sz w:val="20"/>
                <w:szCs w:val="20"/>
              </w:rPr>
            </w:pPr>
            <w:r w:rsidRPr="00E178DC">
              <w:rPr>
                <w:rFonts w:cs="Arial" w:hint="eastAsia"/>
                <w:sz w:val="20"/>
                <w:szCs w:val="20"/>
                <w:lang w:val="zh-CN" w:bidi="zh-CN"/>
              </w:rPr>
              <w:t>自</w:t>
            </w:r>
            <w:r w:rsidRPr="00E178DC">
              <w:rPr>
                <w:rFonts w:cs="Arial"/>
                <w:sz w:val="20"/>
                <w:szCs w:val="20"/>
                <w:lang w:val="zh-CN" w:bidi="zh-CN"/>
              </w:rPr>
              <w:t>2021</w:t>
            </w:r>
            <w:r w:rsidRPr="00E178DC">
              <w:rPr>
                <w:rFonts w:cs="Arial" w:hint="eastAsia"/>
                <w:sz w:val="20"/>
                <w:szCs w:val="20"/>
                <w:lang w:val="zh-CN" w:bidi="zh-CN"/>
              </w:rPr>
              <w:t>年以来，</w:t>
            </w:r>
            <w:r w:rsidRPr="00E178DC">
              <w:rPr>
                <w:rFonts w:cs="Arial"/>
                <w:sz w:val="20"/>
                <w:szCs w:val="20"/>
                <w:lang w:val="zh-CN" w:bidi="zh-CN"/>
              </w:rPr>
              <w:t>2003</w:t>
            </w:r>
            <w:r w:rsidRPr="00E178DC">
              <w:rPr>
                <w:rFonts w:cs="Arial" w:hint="eastAsia"/>
                <w:sz w:val="20"/>
                <w:szCs w:val="20"/>
                <w:lang w:val="zh-CN" w:bidi="zh-CN"/>
              </w:rPr>
              <w:t>年《公约》秘书处进一步加强了与教育部门的协作，调整了拟议的活态遗产和教育变革理论（</w:t>
            </w:r>
            <w:r w:rsidRPr="00E178DC">
              <w:rPr>
                <w:rFonts w:cs="Arial"/>
                <w:sz w:val="20"/>
                <w:szCs w:val="20"/>
                <w:lang w:val="zh-CN" w:bidi="zh-CN"/>
              </w:rPr>
              <w:t>ToC</w:t>
            </w:r>
            <w:r w:rsidRPr="00E178DC">
              <w:rPr>
                <w:rFonts w:cs="Arial" w:hint="eastAsia"/>
                <w:sz w:val="20"/>
                <w:szCs w:val="20"/>
                <w:lang w:val="zh-CN" w:bidi="zh-CN"/>
              </w:rPr>
              <w:t>）计划。</w:t>
            </w:r>
          </w:p>
          <w:p w14:paraId="227D8E64" w14:textId="314F677D" w:rsidR="00B25FFD" w:rsidRPr="00E178DC" w:rsidRDefault="00B25FFD" w:rsidP="00297070">
            <w:pPr>
              <w:widowControl w:val="0"/>
              <w:spacing w:before="120" w:after="120"/>
              <w:jc w:val="both"/>
              <w:rPr>
                <w:rFonts w:cs="Arial"/>
                <w:sz w:val="20"/>
                <w:szCs w:val="20"/>
                <w:lang w:val="en-US"/>
              </w:rPr>
            </w:pPr>
            <w:r w:rsidRPr="00E178DC">
              <w:rPr>
                <w:rFonts w:cs="Arial" w:hint="eastAsia"/>
                <w:sz w:val="20"/>
                <w:szCs w:val="20"/>
                <w:lang w:val="zh-CN" w:bidi="zh-CN"/>
              </w:rPr>
              <w:t>在全球层面，这种合作促成了将活态遗产纳入重要的国际标准，特别是《关于促进和平、人权</w:t>
            </w:r>
            <w:r w:rsidR="001E166D">
              <w:rPr>
                <w:rFonts w:cs="Arial" w:hint="eastAsia"/>
                <w:sz w:val="20"/>
                <w:szCs w:val="20"/>
                <w:lang w:val="zh-CN" w:bidi="zh-CN"/>
              </w:rPr>
              <w:t>与</w:t>
            </w:r>
            <w:r w:rsidRPr="00E178DC">
              <w:rPr>
                <w:rFonts w:cs="Arial" w:hint="eastAsia"/>
                <w:sz w:val="20"/>
                <w:szCs w:val="20"/>
                <w:lang w:val="zh-CN" w:bidi="zh-CN"/>
              </w:rPr>
              <w:t>可持续发展教育的建议书）（修订后的</w:t>
            </w:r>
            <w:r w:rsidRPr="00E178DC">
              <w:rPr>
                <w:rFonts w:cs="Arial"/>
                <w:sz w:val="20"/>
                <w:szCs w:val="20"/>
                <w:lang w:val="zh-CN" w:bidi="zh-CN"/>
              </w:rPr>
              <w:t>1974</w:t>
            </w:r>
            <w:r w:rsidRPr="00E178DC">
              <w:rPr>
                <w:rFonts w:cs="Arial" w:hint="eastAsia"/>
                <w:sz w:val="20"/>
                <w:szCs w:val="20"/>
                <w:lang w:val="zh-CN" w:bidi="zh-CN"/>
              </w:rPr>
              <w:t>年建议书），其次是世界文化艺术教育大会（阿布扎比，</w:t>
            </w:r>
            <w:r w:rsidRPr="00E178DC">
              <w:rPr>
                <w:rFonts w:cs="Arial"/>
                <w:sz w:val="20"/>
                <w:szCs w:val="20"/>
                <w:lang w:val="zh-CN" w:bidi="zh-CN"/>
              </w:rPr>
              <w:t>2024</w:t>
            </w:r>
            <w:r w:rsidRPr="00E178DC">
              <w:rPr>
                <w:rFonts w:cs="Arial" w:hint="eastAsia"/>
                <w:sz w:val="20"/>
                <w:szCs w:val="20"/>
                <w:lang w:val="zh-CN" w:bidi="zh-CN"/>
              </w:rPr>
              <w:t>年</w:t>
            </w:r>
            <w:r w:rsidRPr="00E178DC">
              <w:rPr>
                <w:rFonts w:cs="Arial"/>
                <w:sz w:val="20"/>
                <w:szCs w:val="20"/>
                <w:lang w:val="zh-CN" w:bidi="zh-CN"/>
              </w:rPr>
              <w:t>2</w:t>
            </w:r>
            <w:r w:rsidRPr="00E178DC">
              <w:rPr>
                <w:rFonts w:cs="Arial" w:hint="eastAsia"/>
                <w:sz w:val="20"/>
                <w:szCs w:val="20"/>
                <w:lang w:val="zh-CN" w:bidi="zh-CN"/>
              </w:rPr>
              <w:t>月</w:t>
            </w:r>
            <w:r w:rsidRPr="00E178DC">
              <w:rPr>
                <w:rFonts w:cs="Arial"/>
                <w:sz w:val="20"/>
                <w:szCs w:val="20"/>
                <w:lang w:val="zh-CN" w:bidi="zh-CN"/>
              </w:rPr>
              <w:t>13</w:t>
            </w:r>
            <w:r w:rsidRPr="00E178DC">
              <w:rPr>
                <w:rFonts w:cs="Arial" w:hint="eastAsia"/>
                <w:sz w:val="20"/>
                <w:szCs w:val="20"/>
                <w:lang w:val="zh-CN" w:bidi="zh-CN"/>
              </w:rPr>
              <w:t>日至</w:t>
            </w:r>
            <w:r w:rsidRPr="00E178DC">
              <w:rPr>
                <w:rFonts w:cs="Arial"/>
                <w:sz w:val="20"/>
                <w:szCs w:val="20"/>
                <w:lang w:val="zh-CN" w:bidi="zh-CN"/>
              </w:rPr>
              <w:t>15</w:t>
            </w:r>
            <w:r w:rsidRPr="00E178DC">
              <w:rPr>
                <w:rFonts w:cs="Arial" w:hint="eastAsia"/>
                <w:sz w:val="20"/>
                <w:szCs w:val="20"/>
                <w:lang w:val="zh-CN" w:bidi="zh-CN"/>
              </w:rPr>
              <w:t>日）通过的《文化与艺术教育框架》。活态遗产在教育意义和促进广泛参与活态遗产保护方面的关键作用得到了认可。文化部门与教育部门联合开发了名为“以活态遗产变革学习方式”的自主在线课程，并搭建持续更新的活态遗产与教育全球信息交换中心，为上述工作提供支持。</w:t>
            </w:r>
          </w:p>
        </w:tc>
      </w:tr>
      <w:tr w:rsidR="00B25FFD" w:rsidRPr="00C357F1" w14:paraId="3AC173A7" w14:textId="77777777" w:rsidTr="00297070">
        <w:trPr>
          <w:trHeight w:val="1209"/>
        </w:trPr>
        <w:tc>
          <w:tcPr>
            <w:tcW w:w="1683" w:type="pct"/>
            <w:tcBorders>
              <w:bottom w:val="single" w:sz="4" w:space="0" w:color="auto"/>
            </w:tcBorders>
          </w:tcPr>
          <w:p w14:paraId="48F4FDA1" w14:textId="77777777" w:rsidR="00B25FFD" w:rsidRPr="00E178DC" w:rsidRDefault="00B25FFD" w:rsidP="00297070">
            <w:pPr>
              <w:widowControl w:val="0"/>
              <w:spacing w:before="120" w:after="120"/>
              <w:jc w:val="both"/>
              <w:rPr>
                <w:rFonts w:cs="Arial"/>
                <w:b/>
                <w:bCs/>
                <w:sz w:val="20"/>
                <w:szCs w:val="20"/>
              </w:rPr>
            </w:pPr>
            <w:r w:rsidRPr="00E178DC">
              <w:rPr>
                <w:rFonts w:cs="Arial" w:hint="eastAsia"/>
                <w:b/>
                <w:sz w:val="20"/>
                <w:szCs w:val="20"/>
                <w:lang w:val="zh-CN" w:bidi="zh-CN"/>
              </w:rPr>
              <w:t>建议</w:t>
            </w:r>
            <w:r w:rsidRPr="00E178DC">
              <w:rPr>
                <w:rFonts w:cs="Arial"/>
                <w:b/>
                <w:sz w:val="20"/>
                <w:szCs w:val="20"/>
                <w:lang w:val="zh-CN" w:bidi="zh-CN"/>
              </w:rPr>
              <w:t>5</w:t>
            </w:r>
            <w:r w:rsidRPr="00E178DC">
              <w:rPr>
                <w:rFonts w:cs="Arial" w:hint="eastAsia"/>
                <w:b/>
                <w:sz w:val="20"/>
                <w:szCs w:val="20"/>
                <w:lang w:val="zh-CN" w:bidi="zh-CN"/>
              </w:rPr>
              <w:t>：</w:t>
            </w:r>
          </w:p>
          <w:p w14:paraId="79B2DA55" w14:textId="77777777" w:rsidR="00B25FFD" w:rsidRPr="00E178DC" w:rsidRDefault="00B25FFD" w:rsidP="00297070">
            <w:pPr>
              <w:widowControl w:val="0"/>
              <w:spacing w:before="120" w:after="120"/>
              <w:jc w:val="both"/>
              <w:rPr>
                <w:rFonts w:cs="Arial"/>
                <w:sz w:val="20"/>
                <w:szCs w:val="20"/>
                <w:lang w:val="en-US"/>
              </w:rPr>
            </w:pPr>
            <w:r w:rsidRPr="00E178DC">
              <w:rPr>
                <w:rFonts w:cs="Arial" w:hint="eastAsia"/>
                <w:b/>
                <w:sz w:val="20"/>
                <w:szCs w:val="20"/>
                <w:lang w:val="zh-CN" w:bidi="zh-CN"/>
              </w:rPr>
              <w:t>活态遗产实体</w:t>
            </w:r>
            <w:r w:rsidRPr="00E178DC">
              <w:rPr>
                <w:rFonts w:cs="Arial" w:hint="eastAsia"/>
                <w:sz w:val="20"/>
                <w:szCs w:val="20"/>
                <w:lang w:val="zh-CN" w:bidi="zh-CN"/>
              </w:rPr>
              <w:t>应继续促进国际援助机制，特别是在未申请该机制的符合条件的缔约国中。这意味着秘书处需要主动接触传统非遗专家圈子以外的群体，并积极宣传其能够向申请者和受资助方提供的技术性后援支持，同时也要推广那些为项目的设计、实施和报告工作所准备的相关指南和工具。</w:t>
            </w:r>
          </w:p>
        </w:tc>
        <w:tc>
          <w:tcPr>
            <w:tcW w:w="3317" w:type="pct"/>
            <w:tcBorders>
              <w:bottom w:val="single" w:sz="4" w:space="0" w:color="auto"/>
            </w:tcBorders>
          </w:tcPr>
          <w:p w14:paraId="5D6EEEB5" w14:textId="77777777" w:rsidR="00B25FFD" w:rsidRPr="00E178DC" w:rsidRDefault="00B25FFD" w:rsidP="00297070">
            <w:pPr>
              <w:widowControl w:val="0"/>
              <w:spacing w:before="120" w:after="120"/>
              <w:jc w:val="both"/>
              <w:rPr>
                <w:rFonts w:cs="Arial"/>
                <w:sz w:val="20"/>
                <w:szCs w:val="20"/>
                <w:lang w:val="en-GB"/>
              </w:rPr>
            </w:pPr>
            <w:r w:rsidRPr="00E178DC">
              <w:rPr>
                <w:rFonts w:cs="Arial" w:hint="eastAsia"/>
                <w:sz w:val="20"/>
                <w:szCs w:val="20"/>
                <w:lang w:val="zh-CN" w:bidi="zh-CN"/>
              </w:rPr>
              <w:t>近年来，活跃的项目数量稳步增加，从</w:t>
            </w:r>
            <w:r w:rsidRPr="00E178DC">
              <w:rPr>
                <w:rFonts w:cs="Arial"/>
                <w:sz w:val="20"/>
                <w:szCs w:val="20"/>
                <w:lang w:val="zh-CN" w:bidi="zh-CN"/>
              </w:rPr>
              <w:t>2019</w:t>
            </w:r>
            <w:r w:rsidRPr="00E178DC">
              <w:rPr>
                <w:rFonts w:cs="Arial" w:hint="eastAsia"/>
                <w:sz w:val="20"/>
                <w:szCs w:val="20"/>
                <w:lang w:val="zh-CN" w:bidi="zh-CN"/>
              </w:rPr>
              <w:t>年的</w:t>
            </w:r>
            <w:r w:rsidRPr="00E178DC">
              <w:rPr>
                <w:rFonts w:cs="Arial"/>
                <w:sz w:val="20"/>
                <w:szCs w:val="20"/>
                <w:lang w:val="zh-CN" w:bidi="zh-CN"/>
              </w:rPr>
              <w:t>36</w:t>
            </w:r>
            <w:r w:rsidRPr="00E178DC">
              <w:rPr>
                <w:rFonts w:cs="Arial" w:hint="eastAsia"/>
                <w:sz w:val="20"/>
                <w:szCs w:val="20"/>
                <w:lang w:val="zh-CN" w:bidi="zh-CN"/>
              </w:rPr>
              <w:t>个正在进行的项目增加到</w:t>
            </w:r>
            <w:r w:rsidRPr="00E178DC">
              <w:rPr>
                <w:rFonts w:cs="Arial"/>
                <w:sz w:val="20"/>
                <w:szCs w:val="20"/>
                <w:lang w:val="zh-CN" w:bidi="zh-CN"/>
              </w:rPr>
              <w:t>2025</w:t>
            </w:r>
            <w:r w:rsidRPr="00E178DC">
              <w:rPr>
                <w:rFonts w:cs="Arial" w:hint="eastAsia"/>
                <w:sz w:val="20"/>
                <w:szCs w:val="20"/>
                <w:lang w:val="zh-CN" w:bidi="zh-CN"/>
              </w:rPr>
              <w:t>年的</w:t>
            </w:r>
            <w:r w:rsidRPr="00E178DC">
              <w:rPr>
                <w:rFonts w:cs="Arial"/>
                <w:sz w:val="20"/>
                <w:szCs w:val="20"/>
                <w:lang w:val="zh-CN" w:bidi="zh-CN"/>
              </w:rPr>
              <w:t>60</w:t>
            </w:r>
            <w:r w:rsidRPr="00E178DC">
              <w:rPr>
                <w:rFonts w:cs="Arial" w:hint="eastAsia"/>
                <w:sz w:val="20"/>
                <w:szCs w:val="20"/>
                <w:lang w:val="zh-CN" w:bidi="zh-CN"/>
              </w:rPr>
              <w:t>个项目。在同一时期，受益缔约国的数目也有所增加，从</w:t>
            </w:r>
            <w:r w:rsidRPr="00E178DC">
              <w:rPr>
                <w:rFonts w:cs="Arial"/>
                <w:sz w:val="20"/>
                <w:szCs w:val="20"/>
                <w:lang w:val="zh-CN" w:bidi="zh-CN"/>
              </w:rPr>
              <w:t>50</w:t>
            </w:r>
            <w:r w:rsidRPr="00E178DC">
              <w:rPr>
                <w:rFonts w:cs="Arial" w:hint="eastAsia"/>
                <w:sz w:val="20"/>
                <w:szCs w:val="20"/>
                <w:lang w:val="zh-CN" w:bidi="zh-CN"/>
              </w:rPr>
              <w:t>个增加到</w:t>
            </w:r>
            <w:r w:rsidRPr="00E178DC">
              <w:rPr>
                <w:rFonts w:cs="Arial"/>
                <w:sz w:val="20"/>
                <w:szCs w:val="20"/>
                <w:lang w:val="zh-CN" w:bidi="zh-CN"/>
              </w:rPr>
              <w:t>86</w:t>
            </w:r>
            <w:r w:rsidRPr="00E178DC">
              <w:rPr>
                <w:rFonts w:cs="Arial" w:hint="eastAsia"/>
                <w:sz w:val="20"/>
                <w:szCs w:val="20"/>
                <w:lang w:val="zh-CN" w:bidi="zh-CN"/>
              </w:rPr>
              <w:t>个。为加强该机制，秘书处与各缔约国密切合作，以确定其非遗保护需求并提供量身定制的技术支持，这导致首次提出申请的数量增加。通过定期的后续行动以及与受益者的持续沟通，为项目实施提供了支持，以确保各项活动与批准的申请保持一致。在线会议和研讨会促进了该机制，提高了其知名度，同时还对所有进展报告进行了系统性审查，以评估影响，核实与目标的一致性，并确定优秀保护经验（其中一些已包含在分享优秀保护经验的平台的初步版本中，以支持更广泛地执行《公约》第十八条）。</w:t>
            </w:r>
          </w:p>
          <w:p w14:paraId="03C86B1A" w14:textId="77777777" w:rsidR="00B25FFD" w:rsidRPr="00E178DC" w:rsidRDefault="00B25FFD" w:rsidP="00297070">
            <w:pPr>
              <w:widowControl w:val="0"/>
              <w:spacing w:before="120" w:after="120"/>
              <w:jc w:val="both"/>
              <w:rPr>
                <w:rFonts w:cs="Arial"/>
                <w:sz w:val="20"/>
                <w:szCs w:val="20"/>
                <w:lang w:val="en-US"/>
              </w:rPr>
            </w:pPr>
            <w:r w:rsidRPr="00E178DC">
              <w:rPr>
                <w:rFonts w:cs="Arial" w:hint="eastAsia"/>
                <w:sz w:val="20"/>
                <w:szCs w:val="20"/>
                <w:lang w:val="zh-CN" w:bidi="zh-CN"/>
              </w:rPr>
              <w:t>这些工作促使委员会及其主席团在</w:t>
            </w:r>
            <w:r w:rsidRPr="00E178DC">
              <w:rPr>
                <w:rFonts w:cs="Arial"/>
                <w:sz w:val="20"/>
                <w:szCs w:val="20"/>
                <w:lang w:val="zh-CN" w:bidi="zh-CN"/>
              </w:rPr>
              <w:t>2024</w:t>
            </w:r>
            <w:r w:rsidRPr="00E178DC">
              <w:rPr>
                <w:rFonts w:cs="Arial" w:hint="eastAsia"/>
                <w:sz w:val="20"/>
                <w:szCs w:val="20"/>
                <w:lang w:val="zh-CN" w:bidi="zh-CN"/>
              </w:rPr>
              <w:t>年至</w:t>
            </w:r>
            <w:r w:rsidRPr="00E178DC">
              <w:rPr>
                <w:rFonts w:cs="Arial"/>
                <w:sz w:val="20"/>
                <w:szCs w:val="20"/>
                <w:lang w:val="zh-CN" w:bidi="zh-CN"/>
              </w:rPr>
              <w:t>2025</w:t>
            </w:r>
            <w:r w:rsidRPr="00E178DC">
              <w:rPr>
                <w:rFonts w:cs="Arial" w:hint="eastAsia"/>
                <w:sz w:val="20"/>
                <w:szCs w:val="20"/>
                <w:lang w:val="zh-CN" w:bidi="zh-CN"/>
              </w:rPr>
              <w:t>年批准了</w:t>
            </w:r>
            <w:r w:rsidRPr="00E178DC">
              <w:rPr>
                <w:rFonts w:cs="Arial"/>
                <w:sz w:val="20"/>
                <w:szCs w:val="20"/>
                <w:lang w:val="zh-CN" w:bidi="zh-CN"/>
              </w:rPr>
              <w:t>27</w:t>
            </w:r>
            <w:r w:rsidRPr="00E178DC">
              <w:rPr>
                <w:rFonts w:cs="Arial" w:hint="eastAsia"/>
                <w:sz w:val="20"/>
                <w:szCs w:val="20"/>
                <w:lang w:val="zh-CN" w:bidi="zh-CN"/>
              </w:rPr>
              <w:t>项国际援助申请。此外，</w:t>
            </w:r>
            <w:r w:rsidRPr="00E178DC">
              <w:rPr>
                <w:rFonts w:cs="Arial"/>
                <w:sz w:val="20"/>
                <w:szCs w:val="20"/>
                <w:lang w:val="zh-CN" w:bidi="zh-CN"/>
              </w:rPr>
              <w:t>6</w:t>
            </w:r>
            <w:r w:rsidRPr="00E178DC">
              <w:rPr>
                <w:rFonts w:cs="Arial" w:hint="eastAsia"/>
                <w:sz w:val="20"/>
                <w:szCs w:val="20"/>
                <w:lang w:val="zh-CN" w:bidi="zh-CN"/>
              </w:rPr>
              <w:t>个缔约国在制定和修订其申请方面获得了专家的支持。</w:t>
            </w:r>
            <w:r w:rsidRPr="00E178DC">
              <w:rPr>
                <w:rFonts w:cs="Arial"/>
                <w:sz w:val="20"/>
                <w:szCs w:val="20"/>
                <w:lang w:val="zh-CN" w:bidi="zh-CN"/>
              </w:rPr>
              <w:t>15</w:t>
            </w:r>
            <w:r w:rsidRPr="00E178DC">
              <w:rPr>
                <w:rFonts w:cs="Arial" w:hint="eastAsia"/>
                <w:sz w:val="20"/>
                <w:szCs w:val="20"/>
                <w:lang w:val="zh-CN" w:bidi="zh-CN"/>
              </w:rPr>
              <w:t>个缔约国，其中包括</w:t>
            </w:r>
            <w:r w:rsidRPr="00E178DC">
              <w:rPr>
                <w:rFonts w:cs="Arial"/>
                <w:sz w:val="20"/>
                <w:szCs w:val="20"/>
                <w:lang w:val="zh-CN" w:bidi="zh-CN"/>
              </w:rPr>
              <w:t>6</w:t>
            </w:r>
            <w:r w:rsidRPr="00E178DC">
              <w:rPr>
                <w:rFonts w:cs="Arial" w:hint="eastAsia"/>
                <w:sz w:val="20"/>
                <w:szCs w:val="20"/>
                <w:lang w:val="zh-CN" w:bidi="zh-CN"/>
              </w:rPr>
              <w:t>个来自非洲的缔约国和</w:t>
            </w:r>
            <w:r w:rsidRPr="00E178DC">
              <w:rPr>
                <w:rFonts w:cs="Arial"/>
                <w:sz w:val="20"/>
                <w:szCs w:val="20"/>
                <w:lang w:val="zh-CN" w:bidi="zh-CN"/>
              </w:rPr>
              <w:t>5</w:t>
            </w:r>
            <w:r w:rsidRPr="00E178DC">
              <w:rPr>
                <w:rFonts w:cs="Arial" w:hint="eastAsia"/>
                <w:sz w:val="20"/>
                <w:szCs w:val="20"/>
                <w:lang w:val="zh-CN" w:bidi="zh-CN"/>
              </w:rPr>
              <w:t>个小岛屿发展中国家，首次获得了财政援助，这表明其地域覆盖范围持续扩大。最后，结合对《公约》名录列入机制的全球反思，筹备性援助的范围得以拓宽，导致</w:t>
            </w:r>
            <w:r w:rsidRPr="00E178DC">
              <w:rPr>
                <w:rFonts w:cs="Arial"/>
                <w:sz w:val="20"/>
                <w:szCs w:val="20"/>
                <w:lang w:val="zh-CN" w:bidi="zh-CN"/>
              </w:rPr>
              <w:t>2024</w:t>
            </w:r>
            <w:r w:rsidRPr="00E178DC">
              <w:rPr>
                <w:rFonts w:cs="Arial" w:hint="eastAsia"/>
                <w:sz w:val="20"/>
                <w:szCs w:val="20"/>
                <w:lang w:val="zh-CN" w:bidi="zh-CN"/>
              </w:rPr>
              <w:t>年和</w:t>
            </w:r>
            <w:r w:rsidRPr="00E178DC">
              <w:rPr>
                <w:rFonts w:cs="Arial"/>
                <w:sz w:val="20"/>
                <w:szCs w:val="20"/>
                <w:lang w:val="zh-CN" w:bidi="zh-CN"/>
              </w:rPr>
              <w:t>2025</w:t>
            </w:r>
            <w:r w:rsidRPr="00E178DC">
              <w:rPr>
                <w:rFonts w:cs="Arial" w:hint="eastAsia"/>
                <w:sz w:val="20"/>
                <w:szCs w:val="20"/>
                <w:lang w:val="zh-CN" w:bidi="zh-CN"/>
              </w:rPr>
              <w:t>年共批准了八项申请，相比之下，</w:t>
            </w:r>
            <w:r w:rsidRPr="00E178DC">
              <w:rPr>
                <w:rFonts w:cs="Arial"/>
                <w:sz w:val="20"/>
                <w:szCs w:val="20"/>
                <w:lang w:val="zh-CN" w:bidi="zh-CN"/>
              </w:rPr>
              <w:t>2014</w:t>
            </w:r>
            <w:r w:rsidRPr="00E178DC">
              <w:rPr>
                <w:rFonts w:cs="Arial" w:hint="eastAsia"/>
                <w:sz w:val="20"/>
                <w:szCs w:val="20"/>
                <w:lang w:val="zh-CN" w:bidi="zh-CN"/>
              </w:rPr>
              <w:t>年至</w:t>
            </w:r>
            <w:r w:rsidRPr="00E178DC">
              <w:rPr>
                <w:rFonts w:cs="Arial"/>
                <w:sz w:val="20"/>
                <w:szCs w:val="20"/>
                <w:lang w:val="zh-CN" w:bidi="zh-CN"/>
              </w:rPr>
              <w:t>2023</w:t>
            </w:r>
            <w:r w:rsidRPr="00E178DC">
              <w:rPr>
                <w:rFonts w:cs="Arial" w:hint="eastAsia"/>
                <w:sz w:val="20"/>
                <w:szCs w:val="20"/>
                <w:lang w:val="zh-CN" w:bidi="zh-CN"/>
              </w:rPr>
              <w:t>年期间批准的申请总数仅为六项。</w:t>
            </w:r>
          </w:p>
        </w:tc>
      </w:tr>
      <w:tr w:rsidR="00B25FFD" w:rsidRPr="00C357F1" w14:paraId="262C64D3" w14:textId="77777777" w:rsidTr="00E178DC">
        <w:trPr>
          <w:trHeight w:val="431"/>
        </w:trPr>
        <w:tc>
          <w:tcPr>
            <w:tcW w:w="1683" w:type="pct"/>
            <w:tcBorders>
              <w:bottom w:val="single" w:sz="4" w:space="0" w:color="auto"/>
            </w:tcBorders>
          </w:tcPr>
          <w:p w14:paraId="2A7E91C8" w14:textId="77777777" w:rsidR="00B25FFD" w:rsidRPr="00E178DC" w:rsidRDefault="00B25FFD" w:rsidP="00297070">
            <w:pPr>
              <w:widowControl w:val="0"/>
              <w:spacing w:before="120" w:after="120"/>
              <w:jc w:val="both"/>
              <w:rPr>
                <w:rFonts w:cs="Arial"/>
                <w:b/>
                <w:bCs/>
                <w:sz w:val="20"/>
                <w:szCs w:val="20"/>
                <w:lang w:val="en-US"/>
              </w:rPr>
            </w:pPr>
            <w:r w:rsidRPr="00E178DC">
              <w:rPr>
                <w:rFonts w:cs="Arial" w:hint="eastAsia"/>
                <w:b/>
                <w:sz w:val="20"/>
                <w:szCs w:val="20"/>
                <w:lang w:val="zh-CN" w:bidi="zh-CN"/>
              </w:rPr>
              <w:t>建议</w:t>
            </w:r>
            <w:r w:rsidRPr="00E178DC">
              <w:rPr>
                <w:rFonts w:cs="Arial"/>
                <w:b/>
                <w:sz w:val="20"/>
                <w:szCs w:val="20"/>
                <w:lang w:val="zh-CN" w:bidi="zh-CN"/>
              </w:rPr>
              <w:t>6</w:t>
            </w:r>
            <w:r w:rsidRPr="00E178DC">
              <w:rPr>
                <w:rFonts w:cs="Arial" w:hint="eastAsia"/>
                <w:b/>
                <w:sz w:val="20"/>
                <w:szCs w:val="20"/>
                <w:lang w:val="zh-CN" w:bidi="zh-CN"/>
              </w:rPr>
              <w:t>：</w:t>
            </w:r>
          </w:p>
          <w:p w14:paraId="54AB5D67" w14:textId="4E41E546" w:rsidR="00B25FFD" w:rsidRPr="00E178DC" w:rsidRDefault="00B25FFD" w:rsidP="00297070">
            <w:pPr>
              <w:widowControl w:val="0"/>
              <w:spacing w:before="120" w:after="120"/>
              <w:jc w:val="both"/>
              <w:rPr>
                <w:rFonts w:cs="Arial"/>
                <w:sz w:val="20"/>
                <w:szCs w:val="20"/>
                <w:lang w:val="en-US"/>
              </w:rPr>
            </w:pPr>
            <w:r w:rsidRPr="00E178DC">
              <w:rPr>
                <w:rFonts w:cs="Arial" w:hint="eastAsia"/>
                <w:b/>
                <w:sz w:val="20"/>
                <w:szCs w:val="20"/>
                <w:lang w:val="zh-CN" w:bidi="zh-CN"/>
              </w:rPr>
              <w:t>活态遗产实体</w:t>
            </w:r>
            <w:r w:rsidRPr="00E178DC">
              <w:rPr>
                <w:rFonts w:cs="Arial" w:hint="eastAsia"/>
                <w:sz w:val="20"/>
                <w:szCs w:val="20"/>
                <w:lang w:val="zh-CN" w:bidi="zh-CN"/>
              </w:rPr>
              <w:t>应在总体成果框架的指导下，加强项目设计、监测和</w:t>
            </w:r>
            <w:r w:rsidR="005F4E37">
              <w:rPr>
                <w:rFonts w:cs="Arial" w:hint="eastAsia"/>
                <w:sz w:val="20"/>
                <w:szCs w:val="20"/>
                <w:lang w:val="zh-CN" w:bidi="zh-CN"/>
              </w:rPr>
              <w:t>成</w:t>
            </w:r>
            <w:r w:rsidRPr="00E178DC">
              <w:rPr>
                <w:rFonts w:cs="Arial" w:hint="eastAsia"/>
                <w:sz w:val="20"/>
                <w:szCs w:val="20"/>
                <w:lang w:val="zh-CN" w:bidi="zh-CN"/>
              </w:rPr>
              <w:t>果报告的质量。此外，还应特别关注社区参与情况、可持续发展和性别平等等领域。</w:t>
            </w:r>
          </w:p>
        </w:tc>
        <w:tc>
          <w:tcPr>
            <w:tcW w:w="3317" w:type="pct"/>
            <w:tcBorders>
              <w:bottom w:val="single" w:sz="4" w:space="0" w:color="auto"/>
            </w:tcBorders>
          </w:tcPr>
          <w:p w14:paraId="4D2B17A7" w14:textId="6714179F" w:rsidR="00B25FFD" w:rsidRPr="00E178DC" w:rsidRDefault="00B25FFD" w:rsidP="00297070">
            <w:pPr>
              <w:widowControl w:val="0"/>
              <w:spacing w:before="120" w:after="120"/>
              <w:jc w:val="both"/>
              <w:rPr>
                <w:rFonts w:cs="Arial"/>
                <w:sz w:val="20"/>
                <w:szCs w:val="20"/>
                <w:lang w:val="en-US"/>
              </w:rPr>
            </w:pPr>
            <w:r w:rsidRPr="00E178DC">
              <w:rPr>
                <w:rFonts w:cs="Arial"/>
                <w:sz w:val="20"/>
                <w:szCs w:val="20"/>
                <w:lang w:val="zh-CN" w:bidi="zh-CN"/>
              </w:rPr>
              <w:t>“</w:t>
            </w:r>
            <w:r w:rsidRPr="00E178DC">
              <w:rPr>
                <w:rFonts w:cs="Arial" w:hint="eastAsia"/>
                <w:sz w:val="20"/>
                <w:szCs w:val="20"/>
                <w:lang w:val="zh-CN" w:bidi="zh-CN"/>
              </w:rPr>
              <w:t>国际援助项目监测、评估及经验教训识别战略”已获得政府间委员会第十七届会议的批准（第</w:t>
            </w:r>
            <w:hyperlink r:id="rId49" w:history="1">
              <w:r w:rsidRPr="00E178DC">
                <w:rPr>
                  <w:rStyle w:val="Hyperlink"/>
                  <w:rFonts w:cs="Arial"/>
                  <w:sz w:val="20"/>
                  <w:szCs w:val="20"/>
                  <w:lang w:val="zh-CN" w:bidi="zh-CN"/>
                </w:rPr>
                <w:t>17.COM 11</w:t>
              </w:r>
            </w:hyperlink>
            <w:r w:rsidRPr="00E178DC">
              <w:rPr>
                <w:rFonts w:cs="Arial" w:hint="eastAsia"/>
                <w:sz w:val="20"/>
                <w:szCs w:val="20"/>
                <w:lang w:val="zh-CN" w:bidi="zh-CN"/>
              </w:rPr>
              <w:t>号决定）。该战略的主要目标是建立一种系统化的方法，使得针对非物质文化遗产基金下各个国际援助项目的监测与评估，也能反过来为整个国际援助机制的总体监测与评估提供依据。目标是更好地跟踪该机制在促进《公约》实施方面的成效，而实现这一目标的方法是将其监测和评估工作与</w:t>
            </w:r>
            <w:r w:rsidRPr="00E178DC">
              <w:rPr>
                <w:rFonts w:cs="Arial"/>
                <w:sz w:val="20"/>
                <w:szCs w:val="20"/>
                <w:lang w:val="zh-CN" w:bidi="zh-CN"/>
              </w:rPr>
              <w:t>2003</w:t>
            </w:r>
            <w:r w:rsidRPr="00E178DC">
              <w:rPr>
                <w:rFonts w:cs="Arial" w:hint="eastAsia"/>
                <w:sz w:val="20"/>
                <w:szCs w:val="20"/>
                <w:lang w:val="zh-CN" w:bidi="zh-CN"/>
              </w:rPr>
              <w:t>年《公约》总体成果框架保持一致。</w:t>
            </w:r>
          </w:p>
          <w:p w14:paraId="09373657" w14:textId="77777777" w:rsidR="00B25FFD" w:rsidRPr="00E178DC" w:rsidRDefault="00B25FFD" w:rsidP="00297070">
            <w:pPr>
              <w:widowControl w:val="0"/>
              <w:spacing w:before="120" w:after="120"/>
              <w:jc w:val="both"/>
              <w:rPr>
                <w:rFonts w:cs="Arial"/>
                <w:sz w:val="20"/>
                <w:szCs w:val="20"/>
                <w:lang w:val="en-US"/>
              </w:rPr>
            </w:pPr>
            <w:r w:rsidRPr="00E178DC">
              <w:rPr>
                <w:rFonts w:cs="Arial" w:hint="eastAsia"/>
                <w:sz w:val="20"/>
                <w:szCs w:val="20"/>
                <w:lang w:val="zh-CN" w:bidi="zh-CN"/>
              </w:rPr>
              <w:t>关于国际援助机制评估体系的主要行动包括：在</w:t>
            </w:r>
            <w:r w:rsidRPr="00E178DC">
              <w:rPr>
                <w:rFonts w:cs="Arial"/>
                <w:sz w:val="20"/>
                <w:szCs w:val="20"/>
                <w:lang w:val="zh-CN" w:bidi="zh-CN"/>
              </w:rPr>
              <w:t>2024</w:t>
            </w:r>
            <w:r w:rsidRPr="00E178DC">
              <w:rPr>
                <w:rFonts w:cs="Arial" w:hint="eastAsia"/>
                <w:sz w:val="20"/>
                <w:szCs w:val="20"/>
                <w:lang w:val="zh-CN" w:bidi="zh-CN"/>
              </w:rPr>
              <w:t>年</w:t>
            </w:r>
            <w:r w:rsidRPr="00E178DC">
              <w:rPr>
                <w:rFonts w:cs="Arial"/>
                <w:sz w:val="20"/>
                <w:szCs w:val="20"/>
                <w:lang w:val="zh-CN" w:bidi="zh-CN"/>
              </w:rPr>
              <w:t>7</w:t>
            </w:r>
            <w:r w:rsidRPr="00E178DC">
              <w:rPr>
                <w:rFonts w:cs="Arial" w:hint="eastAsia"/>
                <w:sz w:val="20"/>
                <w:szCs w:val="20"/>
                <w:lang w:val="zh-CN" w:bidi="zh-CN"/>
              </w:rPr>
              <w:t>月至</w:t>
            </w:r>
            <w:r w:rsidRPr="00E178DC">
              <w:rPr>
                <w:rFonts w:cs="Arial"/>
                <w:sz w:val="20"/>
                <w:szCs w:val="20"/>
                <w:lang w:val="zh-CN" w:bidi="zh-CN"/>
              </w:rPr>
              <w:t>11</w:t>
            </w:r>
            <w:r w:rsidRPr="00E178DC">
              <w:rPr>
                <w:rFonts w:cs="Arial" w:hint="eastAsia"/>
                <w:sz w:val="20"/>
                <w:szCs w:val="20"/>
                <w:lang w:val="zh-CN" w:bidi="zh-CN"/>
              </w:rPr>
              <w:t>月期间开展了两次评估，包括“前后衔接”实地考察任务，分别在老挝人民民主共和国（第</w:t>
            </w:r>
            <w:r w:rsidRPr="00E178DC">
              <w:rPr>
                <w:rFonts w:cs="Arial"/>
                <w:sz w:val="20"/>
                <w:szCs w:val="20"/>
                <w:lang w:val="zh-CN" w:bidi="zh-CN"/>
              </w:rPr>
              <w:t>14.COM 2.BUR 5.3</w:t>
            </w:r>
            <w:r w:rsidRPr="00E178DC">
              <w:rPr>
                <w:rFonts w:cs="Arial" w:hint="eastAsia"/>
                <w:sz w:val="20"/>
                <w:szCs w:val="20"/>
                <w:lang w:val="zh-CN" w:bidi="zh-CN"/>
              </w:rPr>
              <w:t>号决定）和汤加（第</w:t>
            </w:r>
            <w:r w:rsidRPr="00E178DC">
              <w:rPr>
                <w:rFonts w:cs="Arial"/>
                <w:sz w:val="20"/>
                <w:szCs w:val="20"/>
                <w:lang w:val="zh-CN" w:bidi="zh-CN"/>
              </w:rPr>
              <w:t>13.COM 2.BUR 4.6</w:t>
            </w:r>
            <w:r w:rsidRPr="00E178DC">
              <w:rPr>
                <w:rFonts w:cs="Arial" w:hint="eastAsia"/>
                <w:sz w:val="20"/>
                <w:szCs w:val="20"/>
                <w:lang w:val="zh-CN" w:bidi="zh-CN"/>
              </w:rPr>
              <w:t>号决定）进行。第一批评估为秘书处提供了宝贵的经验，例如在以下方面：</w:t>
            </w:r>
            <w:r w:rsidRPr="00E178DC">
              <w:rPr>
                <w:rFonts w:cs="Arial"/>
                <w:sz w:val="20"/>
                <w:szCs w:val="20"/>
                <w:lang w:val="zh-CN" w:bidi="zh-CN"/>
              </w:rPr>
              <w:t>a</w:t>
            </w:r>
            <w:r w:rsidRPr="00E178DC">
              <w:rPr>
                <w:rFonts w:cs="Arial" w:hint="eastAsia"/>
                <w:sz w:val="20"/>
                <w:szCs w:val="20"/>
                <w:lang w:val="zh-CN" w:bidi="zh-CN"/>
              </w:rPr>
              <w:t>）将评估要点与《公约》总体成果框架挂钩以衡量实际影响这一做法的恰当性；</w:t>
            </w:r>
            <w:r w:rsidRPr="00E178DC">
              <w:rPr>
                <w:rFonts w:cs="Arial"/>
                <w:sz w:val="20"/>
                <w:szCs w:val="20"/>
                <w:lang w:val="zh-CN" w:bidi="zh-CN"/>
              </w:rPr>
              <w:t>b</w:t>
            </w:r>
            <w:r w:rsidRPr="00E178DC">
              <w:rPr>
                <w:rFonts w:cs="Arial" w:hint="eastAsia"/>
                <w:sz w:val="20"/>
                <w:szCs w:val="20"/>
                <w:lang w:val="zh-CN" w:bidi="zh-CN"/>
              </w:rPr>
              <w:t>）仔细筹备考察任务的后勤细节（如以安排受益社区语言进行口译）的必要性；</w:t>
            </w:r>
            <w:r w:rsidRPr="00E178DC">
              <w:rPr>
                <w:rFonts w:cs="Arial"/>
                <w:sz w:val="20"/>
                <w:szCs w:val="20"/>
                <w:lang w:val="zh-CN" w:bidi="zh-CN"/>
              </w:rPr>
              <w:t>c</w:t>
            </w:r>
            <w:r w:rsidRPr="00E178DC">
              <w:rPr>
                <w:rFonts w:cs="Arial" w:hint="eastAsia"/>
                <w:sz w:val="20"/>
                <w:szCs w:val="20"/>
                <w:lang w:val="zh-CN" w:bidi="zh-CN"/>
              </w:rPr>
              <w:t>）如何传播评估结果并分享优秀的非遗保护方法。此外，通过实施各种监测和确定优秀保护经验的工具，加强了对个别项目和整个国际援助机制的监测和评估（见建议</w:t>
            </w:r>
            <w:r w:rsidRPr="00E178DC">
              <w:rPr>
                <w:rFonts w:cs="Arial"/>
                <w:sz w:val="20"/>
                <w:szCs w:val="20"/>
                <w:lang w:val="zh-CN" w:bidi="zh-CN"/>
              </w:rPr>
              <w:t>5</w:t>
            </w:r>
            <w:r w:rsidRPr="00E178DC">
              <w:rPr>
                <w:rFonts w:cs="Arial" w:hint="eastAsia"/>
                <w:sz w:val="20"/>
                <w:szCs w:val="20"/>
                <w:lang w:val="zh-CN" w:bidi="zh-CN"/>
              </w:rPr>
              <w:t>）。</w:t>
            </w:r>
          </w:p>
        </w:tc>
      </w:tr>
      <w:tr w:rsidR="00B25FFD" w:rsidRPr="00C357F1" w14:paraId="48896D19" w14:textId="77777777" w:rsidTr="00297070">
        <w:trPr>
          <w:trHeight w:val="1209"/>
        </w:trPr>
        <w:tc>
          <w:tcPr>
            <w:tcW w:w="1683" w:type="pct"/>
            <w:tcBorders>
              <w:bottom w:val="single" w:sz="4" w:space="0" w:color="auto"/>
            </w:tcBorders>
          </w:tcPr>
          <w:p w14:paraId="1024B57E" w14:textId="77777777" w:rsidR="00B25FFD" w:rsidRPr="00E178DC" w:rsidRDefault="00B25FFD" w:rsidP="00297070">
            <w:pPr>
              <w:widowControl w:val="0"/>
              <w:spacing w:before="120" w:after="120"/>
              <w:jc w:val="both"/>
              <w:rPr>
                <w:rFonts w:cs="Arial"/>
                <w:b/>
                <w:bCs/>
                <w:sz w:val="20"/>
                <w:szCs w:val="20"/>
                <w:lang w:val="en-US"/>
              </w:rPr>
            </w:pPr>
            <w:r w:rsidRPr="00E178DC">
              <w:rPr>
                <w:rFonts w:cs="Arial" w:hint="eastAsia"/>
                <w:b/>
                <w:sz w:val="20"/>
                <w:szCs w:val="20"/>
                <w:lang w:val="zh-CN" w:bidi="zh-CN"/>
              </w:rPr>
              <w:lastRenderedPageBreak/>
              <w:t>建议</w:t>
            </w:r>
            <w:r w:rsidRPr="00E178DC">
              <w:rPr>
                <w:rFonts w:cs="Arial"/>
                <w:b/>
                <w:sz w:val="20"/>
                <w:szCs w:val="20"/>
                <w:lang w:val="zh-CN" w:bidi="zh-CN"/>
              </w:rPr>
              <w:t>7</w:t>
            </w:r>
            <w:r w:rsidRPr="00E178DC">
              <w:rPr>
                <w:rFonts w:cs="Arial" w:hint="eastAsia"/>
                <w:b/>
                <w:sz w:val="20"/>
                <w:szCs w:val="20"/>
                <w:lang w:val="zh-CN" w:bidi="zh-CN"/>
              </w:rPr>
              <w:t>：</w:t>
            </w:r>
          </w:p>
          <w:p w14:paraId="6B535725" w14:textId="5E91167C" w:rsidR="00B25FFD" w:rsidRPr="00E178DC" w:rsidRDefault="00B25FFD" w:rsidP="00297070">
            <w:pPr>
              <w:widowControl w:val="0"/>
              <w:spacing w:before="120" w:after="120"/>
              <w:jc w:val="both"/>
              <w:rPr>
                <w:rFonts w:cs="Arial"/>
                <w:sz w:val="20"/>
                <w:szCs w:val="20"/>
                <w:lang w:val="en-US"/>
              </w:rPr>
            </w:pPr>
            <w:r w:rsidRPr="00E178DC">
              <w:rPr>
                <w:rFonts w:cs="Arial" w:hint="eastAsia"/>
                <w:b/>
                <w:sz w:val="20"/>
                <w:szCs w:val="20"/>
                <w:lang w:val="zh-CN" w:bidi="zh-CN"/>
              </w:rPr>
              <w:t>活态遗产实体</w:t>
            </w:r>
            <w:r w:rsidRPr="00E178DC">
              <w:rPr>
                <w:rFonts w:cs="Arial" w:hint="eastAsia"/>
                <w:sz w:val="20"/>
                <w:szCs w:val="20"/>
                <w:lang w:val="zh-CN" w:bidi="zh-CN"/>
              </w:rPr>
              <w:t>应加强</w:t>
            </w:r>
            <w:r w:rsidR="0014312F">
              <w:rPr>
                <w:rFonts w:cs="Arial" w:hint="eastAsia"/>
                <w:sz w:val="20"/>
                <w:szCs w:val="20"/>
                <w:lang w:val="zh-CN" w:bidi="zh-CN"/>
              </w:rPr>
              <w:t>促进员</w:t>
            </w:r>
            <w:r w:rsidRPr="00E178DC">
              <w:rPr>
                <w:rFonts w:cs="Arial" w:hint="eastAsia"/>
                <w:sz w:val="20"/>
                <w:szCs w:val="20"/>
                <w:lang w:val="zh-CN" w:bidi="zh-CN"/>
              </w:rPr>
              <w:t>网络，以确保其符合全球能力建设方案的地理区域和主题要求。其中应包括对现有能力进行摸底以及确定相关需求。还应包括评估现有网络成员当前和过去的活动，以及评估个人积极参与其他活动的情况，例如参与国际援助项目、担任定期报告联络点工作等。应当为新成员和</w:t>
            </w:r>
            <w:r w:rsidR="0014312F">
              <w:rPr>
                <w:rFonts w:cs="Arial" w:hint="eastAsia"/>
                <w:sz w:val="20"/>
                <w:szCs w:val="20"/>
                <w:lang w:val="zh-CN" w:bidi="zh-CN"/>
              </w:rPr>
              <w:t>促进员</w:t>
            </w:r>
            <w:r w:rsidRPr="00E178DC">
              <w:rPr>
                <w:rFonts w:cs="Arial" w:hint="eastAsia"/>
                <w:sz w:val="20"/>
                <w:szCs w:val="20"/>
                <w:lang w:val="zh-CN" w:bidi="zh-CN"/>
              </w:rPr>
              <w:t>之间的交流创造机会。</w:t>
            </w:r>
          </w:p>
        </w:tc>
        <w:tc>
          <w:tcPr>
            <w:tcW w:w="3317" w:type="pct"/>
            <w:tcBorders>
              <w:bottom w:val="single" w:sz="4" w:space="0" w:color="auto"/>
            </w:tcBorders>
          </w:tcPr>
          <w:p w14:paraId="7743255E" w14:textId="7C8DB6C2" w:rsidR="00B25FFD" w:rsidRPr="00E178DC" w:rsidRDefault="00B25FFD" w:rsidP="00F2087F">
            <w:pPr>
              <w:widowControl w:val="0"/>
              <w:spacing w:before="120" w:after="120"/>
              <w:jc w:val="both"/>
              <w:rPr>
                <w:rFonts w:cs="Arial"/>
                <w:sz w:val="20"/>
                <w:szCs w:val="20"/>
                <w:lang w:val="en-US"/>
              </w:rPr>
            </w:pPr>
            <w:r w:rsidRPr="00E178DC">
              <w:rPr>
                <w:rFonts w:cs="Arial" w:hint="eastAsia"/>
                <w:sz w:val="20"/>
                <w:szCs w:val="20"/>
                <w:lang w:val="zh-CN" w:bidi="zh-CN"/>
              </w:rPr>
              <w:t>自</w:t>
            </w:r>
            <w:r w:rsidRPr="00E178DC">
              <w:rPr>
                <w:rFonts w:cs="Arial"/>
                <w:sz w:val="20"/>
                <w:szCs w:val="20"/>
                <w:lang w:val="zh-CN" w:bidi="zh-CN"/>
              </w:rPr>
              <w:t>2021</w:t>
            </w:r>
            <w:r w:rsidRPr="00E178DC">
              <w:rPr>
                <w:rFonts w:cs="Arial" w:hint="eastAsia"/>
                <w:sz w:val="20"/>
                <w:szCs w:val="20"/>
                <w:lang w:val="zh-CN" w:bidi="zh-CN"/>
              </w:rPr>
              <w:t>年以来，通过面向全球发布的意向征集，全球</w:t>
            </w:r>
            <w:r w:rsidR="0014312F">
              <w:rPr>
                <w:rFonts w:cs="Arial" w:hint="eastAsia"/>
                <w:sz w:val="20"/>
                <w:szCs w:val="20"/>
                <w:lang w:val="zh-CN" w:bidi="zh-CN"/>
              </w:rPr>
              <w:t>促进员</w:t>
            </w:r>
            <w:r w:rsidRPr="00E178DC">
              <w:rPr>
                <w:rFonts w:cs="Arial" w:hint="eastAsia"/>
                <w:sz w:val="20"/>
                <w:szCs w:val="20"/>
                <w:lang w:val="zh-CN" w:bidi="zh-CN"/>
              </w:rPr>
              <w:t>网络得到了显著壮大，吸纳了来自世界各地的</w:t>
            </w:r>
            <w:r w:rsidRPr="00E178DC">
              <w:rPr>
                <w:rFonts w:cs="Arial"/>
                <w:sz w:val="20"/>
                <w:szCs w:val="20"/>
                <w:lang w:val="zh-CN" w:bidi="zh-CN"/>
              </w:rPr>
              <w:t>95</w:t>
            </w:r>
            <w:r w:rsidRPr="00E178DC">
              <w:rPr>
                <w:rFonts w:cs="Arial" w:hint="eastAsia"/>
                <w:sz w:val="20"/>
                <w:szCs w:val="20"/>
                <w:lang w:val="zh-CN" w:bidi="zh-CN"/>
              </w:rPr>
              <w:t>名新成员（其中女性占比达</w:t>
            </w:r>
            <w:r w:rsidRPr="00E178DC">
              <w:rPr>
                <w:rFonts w:cs="Arial"/>
                <w:sz w:val="20"/>
                <w:szCs w:val="20"/>
                <w:lang w:val="zh-CN" w:bidi="zh-CN"/>
              </w:rPr>
              <w:t>60%</w:t>
            </w:r>
            <w:r w:rsidRPr="00E178DC">
              <w:rPr>
                <w:rFonts w:cs="Arial" w:hint="eastAsia"/>
                <w:sz w:val="20"/>
                <w:szCs w:val="20"/>
                <w:lang w:val="zh-CN" w:bidi="zh-CN"/>
              </w:rPr>
              <w:t>）。为新成员举办了一系列在线情况介绍会，让他们对《公约》和该网络有一个基本认识。</w:t>
            </w:r>
            <w:r w:rsidR="00F2087F">
              <w:rPr>
                <w:rFonts w:cs="Arial" w:hint="eastAsia"/>
                <w:sz w:val="20"/>
                <w:szCs w:val="20"/>
                <w:lang w:val="zh-CN" w:bidi="zh-CN"/>
              </w:rPr>
              <w:t>秘书处还</w:t>
            </w:r>
            <w:r w:rsidR="00F2087F" w:rsidRPr="00F2087F">
              <w:rPr>
                <w:rFonts w:cs="Arial"/>
                <w:sz w:val="20"/>
                <w:szCs w:val="20"/>
                <w:lang w:bidi="zh-CN"/>
              </w:rPr>
              <w:t>与2类中心合作，在所有地区开展了区域性入门培训研讨会</w:t>
            </w:r>
            <w:r w:rsidR="00F2087F">
              <w:rPr>
                <w:rFonts w:cs="Arial" w:hint="eastAsia"/>
                <w:sz w:val="20"/>
                <w:szCs w:val="20"/>
                <w:lang w:bidi="zh-CN"/>
              </w:rPr>
              <w:t>。</w:t>
            </w:r>
            <w:r w:rsidRPr="00E178DC">
              <w:rPr>
                <w:rFonts w:cs="Arial" w:hint="eastAsia"/>
                <w:sz w:val="20"/>
                <w:szCs w:val="20"/>
                <w:lang w:val="zh-CN" w:bidi="zh-CN"/>
              </w:rPr>
              <w:t>自</w:t>
            </w:r>
            <w:r w:rsidRPr="00E178DC">
              <w:rPr>
                <w:rFonts w:cs="Arial"/>
                <w:sz w:val="20"/>
                <w:szCs w:val="20"/>
                <w:lang w:val="zh-CN" w:bidi="zh-CN"/>
              </w:rPr>
              <w:t>2025</w:t>
            </w:r>
            <w:r w:rsidRPr="00E178DC">
              <w:rPr>
                <w:rFonts w:cs="Arial" w:hint="eastAsia"/>
                <w:sz w:val="20"/>
                <w:szCs w:val="20"/>
                <w:lang w:val="zh-CN" w:bidi="zh-CN"/>
              </w:rPr>
              <w:t>年以来，</w:t>
            </w:r>
            <w:r w:rsidR="0014312F">
              <w:rPr>
                <w:rFonts w:cs="Arial" w:hint="eastAsia"/>
                <w:sz w:val="20"/>
                <w:szCs w:val="20"/>
                <w:lang w:val="zh-CN" w:bidi="zh-CN"/>
              </w:rPr>
              <w:t>促进员</w:t>
            </w:r>
            <w:r w:rsidR="00F2087F">
              <w:rPr>
                <w:rFonts w:cs="Arial" w:hint="eastAsia"/>
                <w:sz w:val="20"/>
                <w:szCs w:val="20"/>
                <w:lang w:val="zh-CN" w:bidi="zh-CN"/>
              </w:rPr>
              <w:t>还</w:t>
            </w:r>
            <w:r w:rsidRPr="00E178DC">
              <w:rPr>
                <w:rFonts w:cs="Arial" w:hint="eastAsia"/>
                <w:sz w:val="20"/>
                <w:szCs w:val="20"/>
                <w:lang w:val="zh-CN" w:bidi="zh-CN"/>
              </w:rPr>
              <w:t>接受了关于《公约》各主题领域的培训，具体形式为一系列关于活态遗产与以下领域关联性的培训网络研讨会：（</w:t>
            </w:r>
            <w:r w:rsidRPr="00E178DC">
              <w:rPr>
                <w:rFonts w:cs="Arial"/>
                <w:sz w:val="20"/>
                <w:szCs w:val="20"/>
                <w:lang w:val="zh-CN" w:bidi="zh-CN"/>
              </w:rPr>
              <w:t>1</w:t>
            </w:r>
            <w:r w:rsidRPr="00E178DC">
              <w:rPr>
                <w:rFonts w:cs="Arial" w:hint="eastAsia"/>
                <w:sz w:val="20"/>
                <w:szCs w:val="20"/>
                <w:lang w:val="zh-CN" w:bidi="zh-CN"/>
              </w:rPr>
              <w:t>）减灾（</w:t>
            </w:r>
            <w:r w:rsidRPr="00E178DC">
              <w:rPr>
                <w:rFonts w:cs="Arial"/>
                <w:sz w:val="20"/>
                <w:szCs w:val="20"/>
                <w:lang w:val="zh-CN" w:bidi="zh-CN"/>
              </w:rPr>
              <w:t>2025</w:t>
            </w:r>
            <w:r w:rsidRPr="00E178DC">
              <w:rPr>
                <w:rFonts w:cs="Arial" w:hint="eastAsia"/>
                <w:sz w:val="20"/>
                <w:szCs w:val="20"/>
                <w:lang w:val="zh-CN" w:bidi="zh-CN"/>
              </w:rPr>
              <w:t>年</w:t>
            </w:r>
            <w:r w:rsidRPr="00E178DC">
              <w:rPr>
                <w:rFonts w:cs="Arial"/>
                <w:sz w:val="20"/>
                <w:szCs w:val="20"/>
                <w:lang w:val="zh-CN" w:bidi="zh-CN"/>
              </w:rPr>
              <w:t>3</w:t>
            </w:r>
            <w:r w:rsidRPr="00E178DC">
              <w:rPr>
                <w:rFonts w:cs="Arial" w:hint="eastAsia"/>
                <w:sz w:val="20"/>
                <w:szCs w:val="20"/>
                <w:lang w:val="zh-CN" w:bidi="zh-CN"/>
              </w:rPr>
              <w:t>月）；（</w:t>
            </w:r>
            <w:r w:rsidRPr="00E178DC">
              <w:rPr>
                <w:rFonts w:cs="Arial"/>
                <w:sz w:val="20"/>
                <w:szCs w:val="20"/>
                <w:lang w:val="zh-CN" w:bidi="zh-CN"/>
              </w:rPr>
              <w:t>2</w:t>
            </w:r>
            <w:r w:rsidRPr="00E178DC">
              <w:rPr>
                <w:rFonts w:cs="Arial" w:hint="eastAsia"/>
                <w:sz w:val="20"/>
                <w:szCs w:val="20"/>
                <w:lang w:val="zh-CN" w:bidi="zh-CN"/>
              </w:rPr>
              <w:t>）申报（</w:t>
            </w:r>
            <w:r w:rsidRPr="00E178DC">
              <w:rPr>
                <w:rFonts w:cs="Arial"/>
                <w:sz w:val="20"/>
                <w:szCs w:val="20"/>
                <w:lang w:val="zh-CN" w:bidi="zh-CN"/>
              </w:rPr>
              <w:t>2025</w:t>
            </w:r>
            <w:r w:rsidRPr="00E178DC">
              <w:rPr>
                <w:rFonts w:cs="Arial" w:hint="eastAsia"/>
                <w:sz w:val="20"/>
                <w:szCs w:val="20"/>
                <w:lang w:val="zh-CN" w:bidi="zh-CN"/>
              </w:rPr>
              <w:t>年</w:t>
            </w:r>
            <w:r w:rsidRPr="00E178DC">
              <w:rPr>
                <w:rFonts w:cs="Arial"/>
                <w:sz w:val="20"/>
                <w:szCs w:val="20"/>
                <w:lang w:val="zh-CN" w:bidi="zh-CN"/>
              </w:rPr>
              <w:t>6</w:t>
            </w:r>
            <w:r w:rsidRPr="00E178DC">
              <w:rPr>
                <w:rFonts w:cs="Arial" w:hint="eastAsia"/>
                <w:sz w:val="20"/>
                <w:szCs w:val="20"/>
                <w:lang w:val="zh-CN" w:bidi="zh-CN"/>
              </w:rPr>
              <w:t>）；（</w:t>
            </w:r>
            <w:r w:rsidRPr="00E178DC">
              <w:rPr>
                <w:rFonts w:cs="Arial"/>
                <w:sz w:val="20"/>
                <w:szCs w:val="20"/>
                <w:lang w:val="zh-CN" w:bidi="zh-CN"/>
              </w:rPr>
              <w:t>3</w:t>
            </w:r>
            <w:r w:rsidRPr="00E178DC">
              <w:rPr>
                <w:rFonts w:cs="Arial" w:hint="eastAsia"/>
                <w:sz w:val="20"/>
                <w:szCs w:val="20"/>
                <w:lang w:val="zh-CN" w:bidi="zh-CN"/>
              </w:rPr>
              <w:t>）教育（</w:t>
            </w:r>
            <w:r w:rsidRPr="00E178DC">
              <w:rPr>
                <w:rFonts w:cs="Arial"/>
                <w:sz w:val="20"/>
                <w:szCs w:val="20"/>
                <w:lang w:val="zh-CN" w:bidi="zh-CN"/>
              </w:rPr>
              <w:t>2025</w:t>
            </w:r>
            <w:r w:rsidRPr="00E178DC">
              <w:rPr>
                <w:rFonts w:cs="Arial" w:hint="eastAsia"/>
                <w:sz w:val="20"/>
                <w:szCs w:val="20"/>
                <w:lang w:val="zh-CN" w:bidi="zh-CN"/>
              </w:rPr>
              <w:t>年</w:t>
            </w:r>
            <w:r w:rsidRPr="00E178DC">
              <w:rPr>
                <w:rFonts w:cs="Arial"/>
                <w:sz w:val="20"/>
                <w:szCs w:val="20"/>
                <w:lang w:val="zh-CN" w:bidi="zh-CN"/>
              </w:rPr>
              <w:t>7</w:t>
            </w:r>
            <w:r w:rsidRPr="00E178DC">
              <w:rPr>
                <w:rFonts w:cs="Arial" w:hint="eastAsia"/>
                <w:sz w:val="20"/>
                <w:szCs w:val="20"/>
                <w:lang w:val="zh-CN" w:bidi="zh-CN"/>
              </w:rPr>
              <w:t>月）；（</w:t>
            </w:r>
            <w:r w:rsidRPr="00E178DC">
              <w:rPr>
                <w:rFonts w:cs="Arial"/>
                <w:sz w:val="20"/>
                <w:szCs w:val="20"/>
                <w:lang w:val="zh-CN" w:bidi="zh-CN"/>
              </w:rPr>
              <w:t>4</w:t>
            </w:r>
            <w:r w:rsidRPr="00E178DC">
              <w:rPr>
                <w:rFonts w:cs="Arial" w:hint="eastAsia"/>
                <w:sz w:val="20"/>
                <w:szCs w:val="20"/>
                <w:lang w:val="zh-CN" w:bidi="zh-CN"/>
              </w:rPr>
              <w:t>）城市</w:t>
            </w:r>
            <w:r w:rsidR="0014312F">
              <w:rPr>
                <w:rFonts w:cs="Arial" w:hint="eastAsia"/>
                <w:sz w:val="20"/>
                <w:szCs w:val="20"/>
                <w:lang w:val="zh-CN" w:bidi="zh-CN"/>
              </w:rPr>
              <w:t>环境</w:t>
            </w:r>
            <w:r w:rsidRPr="00E178DC">
              <w:rPr>
                <w:rFonts w:cs="Arial" w:hint="eastAsia"/>
                <w:sz w:val="20"/>
                <w:szCs w:val="20"/>
                <w:lang w:val="zh-CN" w:bidi="zh-CN"/>
              </w:rPr>
              <w:t>（</w:t>
            </w:r>
            <w:r w:rsidRPr="00E178DC">
              <w:rPr>
                <w:rFonts w:cs="Arial"/>
                <w:sz w:val="20"/>
                <w:szCs w:val="20"/>
                <w:lang w:val="zh-CN" w:bidi="zh-CN"/>
              </w:rPr>
              <w:t>2026</w:t>
            </w:r>
            <w:r w:rsidRPr="00E178DC">
              <w:rPr>
                <w:rFonts w:cs="Arial" w:hint="eastAsia"/>
                <w:sz w:val="20"/>
                <w:szCs w:val="20"/>
                <w:lang w:val="zh-CN" w:bidi="zh-CN"/>
              </w:rPr>
              <w:t>年</w:t>
            </w:r>
            <w:r w:rsidRPr="00E178DC">
              <w:rPr>
                <w:rFonts w:cs="Arial"/>
                <w:sz w:val="20"/>
                <w:szCs w:val="20"/>
                <w:lang w:val="zh-CN" w:bidi="zh-CN"/>
              </w:rPr>
              <w:t>4</w:t>
            </w:r>
            <w:r w:rsidRPr="00E178DC">
              <w:rPr>
                <w:rFonts w:cs="Arial" w:hint="eastAsia"/>
                <w:sz w:val="20"/>
                <w:szCs w:val="20"/>
                <w:lang w:val="zh-CN" w:bidi="zh-CN"/>
              </w:rPr>
              <w:t>月）。关于冲突与流离失所局势下活态遗产的第五场网络研讨会，定于</w:t>
            </w:r>
            <w:r w:rsidRPr="00E178DC">
              <w:rPr>
                <w:rFonts w:cs="Arial"/>
                <w:sz w:val="20"/>
                <w:szCs w:val="20"/>
                <w:lang w:val="zh-CN" w:bidi="zh-CN"/>
              </w:rPr>
              <w:t>2026</w:t>
            </w:r>
            <w:r w:rsidRPr="00E178DC">
              <w:rPr>
                <w:rFonts w:cs="Arial" w:hint="eastAsia"/>
                <w:sz w:val="20"/>
                <w:szCs w:val="20"/>
                <w:lang w:val="zh-CN" w:bidi="zh-CN"/>
              </w:rPr>
              <w:t>年</w:t>
            </w:r>
            <w:r w:rsidRPr="00E178DC">
              <w:rPr>
                <w:rFonts w:cs="Arial"/>
                <w:sz w:val="20"/>
                <w:szCs w:val="20"/>
                <w:lang w:val="zh-CN" w:bidi="zh-CN"/>
              </w:rPr>
              <w:t>6</w:t>
            </w:r>
            <w:r w:rsidRPr="00E178DC">
              <w:rPr>
                <w:rFonts w:cs="Arial" w:hint="eastAsia"/>
                <w:sz w:val="20"/>
                <w:szCs w:val="20"/>
                <w:lang w:val="zh-CN" w:bidi="zh-CN"/>
              </w:rPr>
              <w:t>月</w:t>
            </w:r>
            <w:r w:rsidRPr="00E178DC">
              <w:rPr>
                <w:rFonts w:cs="Arial"/>
                <w:sz w:val="20"/>
                <w:szCs w:val="20"/>
                <w:lang w:val="zh-CN" w:bidi="zh-CN"/>
              </w:rPr>
              <w:t>4</w:t>
            </w:r>
            <w:r w:rsidRPr="00E178DC">
              <w:rPr>
                <w:rFonts w:cs="Arial" w:hint="eastAsia"/>
                <w:sz w:val="20"/>
                <w:szCs w:val="20"/>
                <w:lang w:val="zh-CN" w:bidi="zh-CN"/>
              </w:rPr>
              <w:t>日举行。</w:t>
            </w:r>
          </w:p>
          <w:p w14:paraId="65FD7BF6" w14:textId="63A9303A" w:rsidR="00B25FFD" w:rsidRPr="00E178DC" w:rsidRDefault="00B25FFD" w:rsidP="00297070">
            <w:pPr>
              <w:widowControl w:val="0"/>
              <w:spacing w:before="120" w:after="120"/>
              <w:jc w:val="both"/>
              <w:rPr>
                <w:rFonts w:cs="Arial"/>
                <w:sz w:val="20"/>
                <w:szCs w:val="20"/>
                <w:lang w:val="en-US"/>
              </w:rPr>
            </w:pPr>
            <w:r w:rsidRPr="00E178DC">
              <w:rPr>
                <w:rFonts w:cs="Arial" w:hint="eastAsia"/>
                <w:sz w:val="20"/>
                <w:szCs w:val="20"/>
                <w:lang w:val="zh-CN" w:bidi="zh-CN"/>
              </w:rPr>
              <w:t>为了针对现有需求和差距提供更相关的应对措施，目前正与教科文组织外地办事处合作，在</w:t>
            </w:r>
            <w:r w:rsidRPr="00E178DC">
              <w:rPr>
                <w:rFonts w:cs="Arial"/>
                <w:sz w:val="20"/>
                <w:szCs w:val="20"/>
                <w:lang w:val="zh-CN" w:bidi="zh-CN"/>
              </w:rPr>
              <w:t>2</w:t>
            </w:r>
            <w:r w:rsidRPr="00E178DC">
              <w:rPr>
                <w:rFonts w:cs="Arial" w:hint="eastAsia"/>
                <w:sz w:val="20"/>
                <w:szCs w:val="20"/>
                <w:lang w:val="zh-CN" w:bidi="zh-CN"/>
              </w:rPr>
              <w:t>类中心的支持下，在所有地区实施一项针对新成员落实《公约》的新培训战略，强调区域化和因地制宜。通过举办两场</w:t>
            </w:r>
            <w:r w:rsidRPr="00E178DC">
              <w:rPr>
                <w:rFonts w:cs="Arial"/>
                <w:sz w:val="20"/>
                <w:szCs w:val="20"/>
                <w:lang w:val="zh-CN" w:bidi="zh-CN"/>
              </w:rPr>
              <w:t>18</w:t>
            </w:r>
            <w:r w:rsidRPr="00E178DC">
              <w:rPr>
                <w:rFonts w:cs="Arial" w:hint="eastAsia"/>
                <w:sz w:val="20"/>
                <w:szCs w:val="20"/>
                <w:lang w:val="zh-CN" w:bidi="zh-CN"/>
              </w:rPr>
              <w:t>小时的在线课程，以支持非洲（</w:t>
            </w:r>
            <w:r w:rsidRPr="00E178DC">
              <w:rPr>
                <w:rFonts w:cs="Arial"/>
                <w:sz w:val="20"/>
                <w:szCs w:val="20"/>
                <w:lang w:val="zh-CN" w:bidi="zh-CN"/>
              </w:rPr>
              <w:t>2023</w:t>
            </w:r>
            <w:r w:rsidRPr="00E178DC">
              <w:rPr>
                <w:rFonts w:cs="Arial" w:hint="eastAsia"/>
                <w:sz w:val="20"/>
                <w:szCs w:val="20"/>
                <w:lang w:val="zh-CN" w:bidi="zh-CN"/>
              </w:rPr>
              <w:t>年）和亚太地区（</w:t>
            </w:r>
            <w:r w:rsidRPr="00E178DC">
              <w:rPr>
                <w:rFonts w:cs="Arial"/>
                <w:sz w:val="20"/>
                <w:szCs w:val="20"/>
                <w:lang w:val="zh-CN" w:bidi="zh-CN"/>
              </w:rPr>
              <w:t>2024</w:t>
            </w:r>
            <w:r w:rsidRPr="00E178DC">
              <w:rPr>
                <w:rFonts w:cs="Arial" w:hint="eastAsia"/>
                <w:sz w:val="20"/>
                <w:szCs w:val="20"/>
                <w:lang w:val="zh-CN" w:bidi="zh-CN"/>
              </w:rPr>
              <w:t>年）的区域报告周期，资深</w:t>
            </w:r>
            <w:r w:rsidR="0014312F">
              <w:rPr>
                <w:rFonts w:cs="Arial" w:hint="eastAsia"/>
                <w:sz w:val="20"/>
                <w:szCs w:val="20"/>
                <w:lang w:val="zh-CN" w:bidi="zh-CN"/>
              </w:rPr>
              <w:t>促进员</w:t>
            </w:r>
            <w:r w:rsidRPr="00E178DC">
              <w:rPr>
                <w:rFonts w:cs="Arial" w:hint="eastAsia"/>
                <w:sz w:val="20"/>
                <w:szCs w:val="20"/>
                <w:lang w:val="zh-CN" w:bidi="zh-CN"/>
              </w:rPr>
              <w:t>对关键活动（特别是《公约》下的定期报告工作）的积极参与得到了显著加强。</w:t>
            </w:r>
          </w:p>
        </w:tc>
      </w:tr>
      <w:tr w:rsidR="00B25FFD" w:rsidRPr="00E178DC" w14:paraId="754738A2" w14:textId="77777777" w:rsidTr="00297070">
        <w:trPr>
          <w:trHeight w:val="1209"/>
        </w:trPr>
        <w:tc>
          <w:tcPr>
            <w:tcW w:w="1683" w:type="pct"/>
            <w:tcBorders>
              <w:bottom w:val="single" w:sz="4" w:space="0" w:color="auto"/>
            </w:tcBorders>
          </w:tcPr>
          <w:p w14:paraId="5B2B4507" w14:textId="77777777" w:rsidR="00B25FFD" w:rsidRPr="00E178DC" w:rsidRDefault="00B25FFD" w:rsidP="00297070">
            <w:pPr>
              <w:widowControl w:val="0"/>
              <w:spacing w:before="120" w:after="120"/>
              <w:jc w:val="both"/>
              <w:rPr>
                <w:rFonts w:cs="Arial"/>
                <w:sz w:val="20"/>
                <w:szCs w:val="20"/>
              </w:rPr>
            </w:pPr>
            <w:r w:rsidRPr="00E178DC">
              <w:rPr>
                <w:rFonts w:cs="Arial" w:hint="eastAsia"/>
                <w:b/>
                <w:sz w:val="20"/>
                <w:szCs w:val="20"/>
                <w:lang w:val="zh-CN" w:bidi="zh-CN"/>
              </w:rPr>
              <w:t>建议</w:t>
            </w:r>
            <w:r w:rsidRPr="00E178DC">
              <w:rPr>
                <w:rFonts w:cs="Arial"/>
                <w:b/>
                <w:sz w:val="20"/>
                <w:szCs w:val="20"/>
                <w:lang w:val="zh-CN" w:bidi="zh-CN"/>
              </w:rPr>
              <w:t>8</w:t>
            </w:r>
            <w:r w:rsidRPr="00E178DC">
              <w:rPr>
                <w:rFonts w:cs="Arial" w:hint="eastAsia"/>
                <w:b/>
                <w:sz w:val="20"/>
                <w:szCs w:val="20"/>
                <w:lang w:val="zh-CN" w:bidi="zh-CN"/>
              </w:rPr>
              <w:t>：</w:t>
            </w:r>
          </w:p>
          <w:p w14:paraId="2603FB6E" w14:textId="77777777" w:rsidR="00B25FFD" w:rsidRPr="00E178DC" w:rsidRDefault="00B25FFD" w:rsidP="00297070">
            <w:pPr>
              <w:widowControl w:val="0"/>
              <w:spacing w:before="120" w:after="120"/>
              <w:jc w:val="both"/>
              <w:rPr>
                <w:rFonts w:cs="Arial"/>
                <w:sz w:val="20"/>
                <w:szCs w:val="20"/>
                <w:lang w:val="en-US"/>
              </w:rPr>
            </w:pPr>
            <w:r w:rsidRPr="00E178DC">
              <w:rPr>
                <w:rFonts w:cs="Arial" w:hint="eastAsia"/>
                <w:b/>
                <w:sz w:val="20"/>
                <w:szCs w:val="20"/>
                <w:lang w:val="zh-CN" w:bidi="zh-CN"/>
              </w:rPr>
              <w:t>活态遗产实体</w:t>
            </w:r>
            <w:r w:rsidRPr="00E178DC">
              <w:rPr>
                <w:rFonts w:cs="Arial" w:hint="eastAsia"/>
                <w:sz w:val="20"/>
                <w:szCs w:val="20"/>
                <w:lang w:val="zh-CN" w:bidi="zh-CN"/>
              </w:rPr>
              <w:t>应努力使全球能力建设方案适应混合模式，将在线学习与面对面培训相结合，开发最适合这些不同背景的学习材料和工具。此外，该方案还要继续使目标受众多样化，优先考虑社区、民间社会（包括与非遗传承人合作的非政府组织），同时要将青年群体作为重点目标。</w:t>
            </w:r>
          </w:p>
        </w:tc>
        <w:tc>
          <w:tcPr>
            <w:tcW w:w="3317" w:type="pct"/>
            <w:tcBorders>
              <w:bottom w:val="single" w:sz="4" w:space="0" w:color="auto"/>
            </w:tcBorders>
          </w:tcPr>
          <w:p w14:paraId="01D1754B" w14:textId="6CAC15BB" w:rsidR="00B25FFD" w:rsidRPr="00E178DC" w:rsidRDefault="00B25FFD" w:rsidP="00297070">
            <w:pPr>
              <w:widowControl w:val="0"/>
              <w:spacing w:before="120" w:after="120"/>
              <w:jc w:val="both"/>
              <w:rPr>
                <w:rFonts w:cs="Arial"/>
                <w:sz w:val="20"/>
                <w:szCs w:val="20"/>
                <w:lang w:val="en-US"/>
              </w:rPr>
            </w:pPr>
            <w:r w:rsidRPr="00E178DC">
              <w:rPr>
                <w:rFonts w:cs="Arial" w:hint="eastAsia"/>
                <w:sz w:val="20"/>
                <w:szCs w:val="20"/>
                <w:lang w:val="zh-CN" w:bidi="zh-CN"/>
              </w:rPr>
              <w:t>活态遗产实体为能力建设方案设计并确立了学习管理系统（</w:t>
            </w:r>
            <w:r w:rsidRPr="00E178DC">
              <w:rPr>
                <w:rFonts w:cs="Arial"/>
                <w:sz w:val="20"/>
                <w:szCs w:val="20"/>
                <w:lang w:val="zh-CN" w:bidi="zh-CN"/>
              </w:rPr>
              <w:t>LMS</w:t>
            </w:r>
            <w:r w:rsidRPr="00E178DC">
              <w:rPr>
                <w:rFonts w:cs="Arial" w:hint="eastAsia"/>
                <w:sz w:val="20"/>
                <w:szCs w:val="20"/>
                <w:lang w:val="zh-CN" w:bidi="zh-CN"/>
              </w:rPr>
              <w:t>），该系统现已作为教科文组织保护活态遗产以促进可持续发展的学习平台启动。通过与国际劳工组织国际培训中心签订的合作协议，并与</w:t>
            </w:r>
            <w:r w:rsidR="0018403B">
              <w:rPr>
                <w:rFonts w:cs="Arial" w:hint="eastAsia"/>
                <w:sz w:val="20"/>
                <w:szCs w:val="20"/>
                <w:lang w:val="zh-CN" w:bidi="zh-CN"/>
              </w:rPr>
              <w:t>资深促进员</w:t>
            </w:r>
            <w:r w:rsidRPr="00E178DC">
              <w:rPr>
                <w:rFonts w:cs="Arial" w:hint="eastAsia"/>
                <w:sz w:val="20"/>
                <w:szCs w:val="20"/>
                <w:lang w:val="zh-CN" w:bidi="zh-CN"/>
              </w:rPr>
              <w:t>合作，学习平台上的三门自学课程（总体成果框架、《公约》的实施和以活态遗产变革学习方式）的开发工作已经完成。</w:t>
            </w:r>
          </w:p>
          <w:p w14:paraId="5D648B77" w14:textId="1869A7AD" w:rsidR="00B25FFD" w:rsidRPr="00E178DC" w:rsidRDefault="00B25FFD" w:rsidP="0018403B">
            <w:pPr>
              <w:widowControl w:val="0"/>
              <w:spacing w:before="120" w:after="120"/>
              <w:jc w:val="both"/>
              <w:rPr>
                <w:rFonts w:cs="Arial"/>
                <w:sz w:val="20"/>
                <w:szCs w:val="20"/>
                <w:lang w:val="en-US"/>
              </w:rPr>
            </w:pPr>
            <w:hyperlink r:id="rId50" w:history="1">
              <w:r w:rsidRPr="00E178DC">
                <w:rPr>
                  <w:rStyle w:val="Hyperlink"/>
                  <w:rFonts w:cs="MS Gothic" w:hint="eastAsia"/>
                  <w:sz w:val="20"/>
                  <w:szCs w:val="20"/>
                  <w:lang w:val="zh-CN" w:bidi="zh-CN"/>
                </w:rPr>
                <w:t>关于活</w:t>
              </w:r>
              <w:r w:rsidRPr="00E178DC">
                <w:rPr>
                  <w:rStyle w:val="Hyperlink"/>
                  <w:rFonts w:cs="Microsoft JhengHei" w:hint="eastAsia"/>
                  <w:sz w:val="20"/>
                  <w:szCs w:val="20"/>
                  <w:lang w:val="zh-CN" w:bidi="zh-CN"/>
                </w:rPr>
                <w:t>态遗产与可持续发展的</w:t>
              </w:r>
              <w:r w:rsidR="0018403B">
                <w:rPr>
                  <w:rStyle w:val="Hyperlink"/>
                  <w:rFonts w:cs="Microsoft JhengHei" w:hint="eastAsia"/>
                  <w:sz w:val="20"/>
                  <w:szCs w:val="20"/>
                  <w:lang w:val="zh-CN" w:bidi="zh-CN"/>
                </w:rPr>
                <w:t>网上公开</w:t>
              </w:r>
              <w:r w:rsidRPr="00E178DC">
                <w:rPr>
                  <w:rStyle w:val="Hyperlink"/>
                  <w:rFonts w:cs="Microsoft JhengHei" w:hint="eastAsia"/>
                  <w:sz w:val="20"/>
                  <w:szCs w:val="20"/>
                  <w:lang w:val="zh-CN" w:bidi="zh-CN"/>
                </w:rPr>
                <w:t>课</w:t>
              </w:r>
            </w:hyperlink>
            <w:r w:rsidRPr="00E178DC">
              <w:rPr>
                <w:rFonts w:cs="Arial" w:hint="eastAsia"/>
                <w:sz w:val="20"/>
                <w:szCs w:val="20"/>
                <w:lang w:val="zh-CN" w:bidi="zh-CN"/>
              </w:rPr>
              <w:t>于</w:t>
            </w:r>
            <w:r w:rsidRPr="00E178DC">
              <w:rPr>
                <w:rFonts w:cs="Arial"/>
                <w:sz w:val="20"/>
                <w:szCs w:val="20"/>
                <w:lang w:val="zh-CN" w:bidi="zh-CN"/>
              </w:rPr>
              <w:t>2022</w:t>
            </w:r>
            <w:r w:rsidRPr="00E178DC">
              <w:rPr>
                <w:rFonts w:cs="Arial" w:hint="eastAsia"/>
                <w:sz w:val="20"/>
                <w:szCs w:val="20"/>
                <w:lang w:val="zh-CN" w:bidi="zh-CN"/>
              </w:rPr>
              <w:t>年推出。教科文组织在举办能力建设研讨会时，会系统性地邀请社区、民间社会和非政府组织参与</w:t>
            </w:r>
            <w:r w:rsidR="000E04EC" w:rsidRPr="00495054">
              <w:rPr>
                <w:rFonts w:cs="Arial" w:hint="eastAsia"/>
                <w:sz w:val="20"/>
                <w:szCs w:val="20"/>
                <w:lang w:val="zh-CN" w:bidi="zh-CN"/>
              </w:rPr>
              <w:t>（</w:t>
            </w:r>
            <w:r w:rsidR="000E04EC" w:rsidRPr="00495054">
              <w:rPr>
                <w:rFonts w:cs="Arial"/>
                <w:sz w:val="20"/>
                <w:szCs w:val="20"/>
                <w:lang w:val="en-US" w:bidi="zh-CN"/>
              </w:rPr>
              <w:t>近8000名学习者注册了该课程</w:t>
            </w:r>
            <w:r w:rsidR="000E04EC" w:rsidRPr="00495054">
              <w:rPr>
                <w:rFonts w:cs="Arial" w:hint="eastAsia"/>
                <w:sz w:val="20"/>
                <w:szCs w:val="20"/>
                <w:lang w:val="en-US" w:bidi="zh-CN"/>
              </w:rPr>
              <w:t>）</w:t>
            </w:r>
            <w:r w:rsidRPr="00E178DC">
              <w:rPr>
                <w:rFonts w:cs="Arial" w:hint="eastAsia"/>
                <w:sz w:val="20"/>
                <w:szCs w:val="20"/>
                <w:lang w:val="zh-CN" w:bidi="zh-CN"/>
              </w:rPr>
              <w:t>。</w:t>
            </w:r>
          </w:p>
        </w:tc>
      </w:tr>
      <w:tr w:rsidR="00B25FFD" w:rsidRPr="00C357F1" w14:paraId="13173277" w14:textId="77777777" w:rsidTr="00297070">
        <w:trPr>
          <w:trHeight w:val="1209"/>
        </w:trPr>
        <w:tc>
          <w:tcPr>
            <w:tcW w:w="1683" w:type="pct"/>
            <w:tcBorders>
              <w:bottom w:val="single" w:sz="4" w:space="0" w:color="auto"/>
            </w:tcBorders>
          </w:tcPr>
          <w:p w14:paraId="485487FA" w14:textId="77777777" w:rsidR="00B25FFD" w:rsidRPr="00E178DC" w:rsidRDefault="00B25FFD" w:rsidP="00297070">
            <w:pPr>
              <w:widowControl w:val="0"/>
              <w:spacing w:before="120" w:after="120"/>
              <w:jc w:val="both"/>
              <w:rPr>
                <w:rFonts w:cs="Arial"/>
                <w:b/>
                <w:bCs/>
                <w:sz w:val="20"/>
                <w:szCs w:val="20"/>
                <w:lang w:val="en-US"/>
              </w:rPr>
            </w:pPr>
            <w:r w:rsidRPr="00E178DC">
              <w:rPr>
                <w:rFonts w:cs="Arial" w:hint="eastAsia"/>
                <w:b/>
                <w:sz w:val="20"/>
                <w:szCs w:val="20"/>
                <w:lang w:val="zh-CN" w:bidi="zh-CN"/>
              </w:rPr>
              <w:t>建议</w:t>
            </w:r>
            <w:r w:rsidRPr="00E178DC">
              <w:rPr>
                <w:rFonts w:cs="Arial"/>
                <w:b/>
                <w:sz w:val="20"/>
                <w:szCs w:val="20"/>
                <w:lang w:val="zh-CN" w:bidi="zh-CN"/>
              </w:rPr>
              <w:t>9</w:t>
            </w:r>
            <w:r w:rsidRPr="00E178DC">
              <w:rPr>
                <w:rFonts w:cs="Arial" w:hint="eastAsia"/>
                <w:b/>
                <w:sz w:val="20"/>
                <w:szCs w:val="20"/>
                <w:lang w:val="zh-CN" w:bidi="zh-CN"/>
              </w:rPr>
              <w:t>：</w:t>
            </w:r>
          </w:p>
          <w:p w14:paraId="6DF155AA" w14:textId="77777777" w:rsidR="00B25FFD" w:rsidRPr="00E178DC" w:rsidRDefault="00B25FFD" w:rsidP="00297070">
            <w:pPr>
              <w:widowControl w:val="0"/>
              <w:spacing w:before="120" w:after="120"/>
              <w:jc w:val="both"/>
              <w:rPr>
                <w:rFonts w:cs="Arial"/>
                <w:b/>
                <w:bCs/>
                <w:sz w:val="20"/>
                <w:szCs w:val="20"/>
                <w:lang w:val="en-US"/>
              </w:rPr>
            </w:pPr>
            <w:r w:rsidRPr="00E178DC">
              <w:rPr>
                <w:rFonts w:cs="Arial" w:hint="eastAsia"/>
                <w:b/>
                <w:sz w:val="20"/>
                <w:szCs w:val="20"/>
                <w:lang w:val="zh-CN" w:bidi="zh-CN"/>
              </w:rPr>
              <w:t>活态遗产实体应与教科文组织外地办事处合作</w:t>
            </w:r>
            <w:r w:rsidRPr="00E178DC">
              <w:rPr>
                <w:rFonts w:cs="Arial" w:hint="eastAsia"/>
                <w:sz w:val="20"/>
                <w:szCs w:val="20"/>
                <w:lang w:val="zh-CN" w:bidi="zh-CN"/>
              </w:rPr>
              <w:t>，在现有的在线培训基础上，建立一套在定期报告周期内向缔约国提供持续支持的体系。这应当包括就国家联络点的资质和指定提供指导、提供自学材料，及由国家或区域层面专家提供持续的技术后援支持。也可以委托在定期报告工作中建立起来的网络就此提供指导。</w:t>
            </w:r>
          </w:p>
        </w:tc>
        <w:tc>
          <w:tcPr>
            <w:tcW w:w="3317" w:type="pct"/>
            <w:tcBorders>
              <w:bottom w:val="single" w:sz="4" w:space="0" w:color="auto"/>
            </w:tcBorders>
          </w:tcPr>
          <w:p w14:paraId="5E703E69" w14:textId="3735EB38" w:rsidR="00B25FFD" w:rsidRPr="00E178DC" w:rsidRDefault="00B25FFD" w:rsidP="00297070">
            <w:pPr>
              <w:widowControl w:val="0"/>
              <w:spacing w:before="120" w:after="120"/>
              <w:jc w:val="both"/>
              <w:rPr>
                <w:rFonts w:cs="Arial"/>
                <w:sz w:val="20"/>
                <w:szCs w:val="20"/>
                <w:lang w:val="en-US"/>
              </w:rPr>
            </w:pPr>
            <w:r w:rsidRPr="00E178DC">
              <w:rPr>
                <w:rFonts w:cs="Arial" w:hint="eastAsia"/>
                <w:sz w:val="20"/>
                <w:szCs w:val="20"/>
                <w:lang w:val="zh-CN" w:bidi="zh-CN"/>
              </w:rPr>
              <w:t>自</w:t>
            </w:r>
            <w:r w:rsidRPr="00E178DC">
              <w:rPr>
                <w:rFonts w:cs="Arial"/>
                <w:sz w:val="20"/>
                <w:szCs w:val="20"/>
                <w:lang w:val="zh-CN" w:bidi="zh-CN"/>
              </w:rPr>
              <w:t>2021</w:t>
            </w:r>
            <w:r w:rsidRPr="00E178DC">
              <w:rPr>
                <w:rFonts w:cs="Arial" w:hint="eastAsia"/>
                <w:sz w:val="20"/>
                <w:szCs w:val="20"/>
                <w:lang w:val="zh-CN" w:bidi="zh-CN"/>
              </w:rPr>
              <w:t>年以来，《公约》秘书处向另外四个地区提供了培训和持续的支持：欧洲（</w:t>
            </w:r>
            <w:r w:rsidRPr="00E178DC">
              <w:rPr>
                <w:rFonts w:cs="Arial"/>
                <w:sz w:val="20"/>
                <w:szCs w:val="20"/>
                <w:lang w:val="zh-CN" w:bidi="zh-CN"/>
              </w:rPr>
              <w:t>2021-2022</w:t>
            </w:r>
            <w:r w:rsidRPr="00E178DC">
              <w:rPr>
                <w:rFonts w:cs="Arial" w:hint="eastAsia"/>
                <w:sz w:val="20"/>
                <w:szCs w:val="20"/>
                <w:lang w:val="zh-CN" w:bidi="zh-CN"/>
              </w:rPr>
              <w:t>年培训了</w:t>
            </w:r>
            <w:r w:rsidRPr="00E178DC">
              <w:rPr>
                <w:rFonts w:cs="Arial"/>
                <w:sz w:val="20"/>
                <w:szCs w:val="20"/>
                <w:lang w:val="zh-CN" w:bidi="zh-CN"/>
              </w:rPr>
              <w:t>44</w:t>
            </w:r>
            <w:r w:rsidRPr="00E178DC">
              <w:rPr>
                <w:rFonts w:cs="Arial" w:hint="eastAsia"/>
                <w:sz w:val="20"/>
                <w:szCs w:val="20"/>
                <w:lang w:val="zh-CN" w:bidi="zh-CN"/>
              </w:rPr>
              <w:t>名联络人）、阿拉伯国家（</w:t>
            </w:r>
            <w:r w:rsidRPr="00E178DC">
              <w:rPr>
                <w:rFonts w:cs="Arial"/>
                <w:sz w:val="20"/>
                <w:szCs w:val="20"/>
                <w:lang w:val="zh-CN" w:bidi="zh-CN"/>
              </w:rPr>
              <w:t>2022-2023</w:t>
            </w:r>
            <w:r w:rsidRPr="00E178DC">
              <w:rPr>
                <w:rFonts w:cs="Arial" w:hint="eastAsia"/>
                <w:sz w:val="20"/>
                <w:szCs w:val="20"/>
                <w:lang w:val="zh-CN" w:bidi="zh-CN"/>
              </w:rPr>
              <w:t>年培训了</w:t>
            </w:r>
            <w:r w:rsidRPr="00E178DC">
              <w:rPr>
                <w:rFonts w:cs="Arial"/>
                <w:sz w:val="20"/>
                <w:szCs w:val="20"/>
                <w:lang w:val="zh-CN" w:bidi="zh-CN"/>
              </w:rPr>
              <w:t>18</w:t>
            </w:r>
            <w:r w:rsidRPr="00E178DC">
              <w:rPr>
                <w:rFonts w:cs="Arial" w:hint="eastAsia"/>
                <w:sz w:val="20"/>
                <w:szCs w:val="20"/>
                <w:lang w:val="zh-CN" w:bidi="zh-CN"/>
              </w:rPr>
              <w:t>名联络人）、非洲（</w:t>
            </w:r>
            <w:r w:rsidRPr="00E178DC">
              <w:rPr>
                <w:rFonts w:cs="Arial"/>
                <w:sz w:val="20"/>
                <w:szCs w:val="20"/>
                <w:lang w:val="zh-CN" w:bidi="zh-CN"/>
              </w:rPr>
              <w:t>2022-2023</w:t>
            </w:r>
            <w:r w:rsidRPr="00E178DC">
              <w:rPr>
                <w:rFonts w:cs="Arial" w:hint="eastAsia"/>
                <w:sz w:val="20"/>
                <w:szCs w:val="20"/>
                <w:lang w:val="zh-CN" w:bidi="zh-CN"/>
              </w:rPr>
              <w:t>年培训了</w:t>
            </w:r>
            <w:r w:rsidRPr="00E178DC">
              <w:rPr>
                <w:rFonts w:cs="Arial"/>
                <w:sz w:val="20"/>
                <w:szCs w:val="20"/>
                <w:lang w:val="zh-CN" w:bidi="zh-CN"/>
              </w:rPr>
              <w:t>44</w:t>
            </w:r>
            <w:r w:rsidRPr="00E178DC">
              <w:rPr>
                <w:rFonts w:cs="Arial" w:hint="eastAsia"/>
                <w:sz w:val="20"/>
                <w:szCs w:val="20"/>
                <w:lang w:val="zh-CN" w:bidi="zh-CN"/>
              </w:rPr>
              <w:t>名联络人）和亚太地区（</w:t>
            </w:r>
            <w:r w:rsidRPr="00E178DC">
              <w:rPr>
                <w:rFonts w:cs="Arial"/>
                <w:sz w:val="20"/>
                <w:szCs w:val="20"/>
                <w:lang w:val="zh-CN" w:bidi="zh-CN"/>
              </w:rPr>
              <w:t>2024-2025</w:t>
            </w:r>
            <w:r w:rsidRPr="00E178DC">
              <w:rPr>
                <w:rFonts w:cs="Arial" w:hint="eastAsia"/>
                <w:sz w:val="20"/>
                <w:szCs w:val="20"/>
                <w:lang w:val="zh-CN" w:bidi="zh-CN"/>
              </w:rPr>
              <w:t>年培训了</w:t>
            </w:r>
            <w:r w:rsidRPr="00E178DC">
              <w:rPr>
                <w:rFonts w:cs="Arial"/>
                <w:sz w:val="20"/>
                <w:szCs w:val="20"/>
                <w:lang w:val="zh-CN" w:bidi="zh-CN"/>
              </w:rPr>
              <w:t>42</w:t>
            </w:r>
            <w:r w:rsidRPr="00E178DC">
              <w:rPr>
                <w:rFonts w:cs="Arial" w:hint="eastAsia"/>
                <w:sz w:val="20"/>
                <w:szCs w:val="20"/>
                <w:lang w:val="zh-CN" w:bidi="zh-CN"/>
              </w:rPr>
              <w:t>名联络人）。采用的方法为多模</w:t>
            </w:r>
            <w:r w:rsidR="00D12AFB">
              <w:rPr>
                <w:rFonts w:cs="Arial" w:hint="eastAsia"/>
                <w:sz w:val="20"/>
                <w:szCs w:val="20"/>
                <w:lang w:val="zh-CN" w:bidi="zh-CN"/>
              </w:rPr>
              <w:t>式</w:t>
            </w:r>
            <w:r w:rsidRPr="00E178DC">
              <w:rPr>
                <w:rFonts w:cs="Arial" w:hint="eastAsia"/>
                <w:sz w:val="20"/>
                <w:szCs w:val="20"/>
                <w:lang w:val="zh-CN" w:bidi="zh-CN"/>
              </w:rPr>
              <w:t>方法，将在线和临场培训课程相结合，并在提交截止日期之前持续提供在线支持。这些活动的实施离不开各地区外地办事处的积极参与，以及与</w:t>
            </w:r>
            <w:r w:rsidRPr="00E178DC">
              <w:rPr>
                <w:rFonts w:cs="Arial"/>
                <w:sz w:val="20"/>
                <w:szCs w:val="20"/>
                <w:lang w:val="zh-CN" w:bidi="zh-CN"/>
              </w:rPr>
              <w:t>2</w:t>
            </w:r>
            <w:r w:rsidRPr="00E178DC">
              <w:rPr>
                <w:rFonts w:cs="Arial" w:hint="eastAsia"/>
                <w:sz w:val="20"/>
                <w:szCs w:val="20"/>
                <w:lang w:val="zh-CN" w:bidi="zh-CN"/>
              </w:rPr>
              <w:t>类中心的紧密合作，包括东南欧非物质文化遗产区域中心、沙迦遗产研究所、保护非洲非物质文化遗产区域中心（</w:t>
            </w:r>
            <w:r w:rsidRPr="00E178DC">
              <w:rPr>
                <w:rFonts w:cs="Arial"/>
                <w:sz w:val="20"/>
                <w:szCs w:val="20"/>
                <w:lang w:val="zh-CN" w:bidi="zh-CN"/>
              </w:rPr>
              <w:t>CRESPIAF</w:t>
            </w:r>
            <w:r w:rsidRPr="00E178DC">
              <w:rPr>
                <w:rFonts w:cs="Arial" w:hint="eastAsia"/>
                <w:sz w:val="20"/>
                <w:szCs w:val="20"/>
                <w:lang w:val="zh-CN" w:bidi="zh-CN"/>
              </w:rPr>
              <w:t>）、亚太地区非物质文化遗产国际培训中心（</w:t>
            </w:r>
            <w:r w:rsidRPr="00E178DC">
              <w:rPr>
                <w:rFonts w:cs="Arial"/>
                <w:sz w:val="20"/>
                <w:szCs w:val="20"/>
                <w:lang w:val="zh-CN" w:bidi="zh-CN"/>
              </w:rPr>
              <w:t>CRIHAP</w:t>
            </w:r>
            <w:r w:rsidRPr="00E178DC">
              <w:rPr>
                <w:rFonts w:cs="Arial" w:hint="eastAsia"/>
                <w:sz w:val="20"/>
                <w:szCs w:val="20"/>
                <w:lang w:val="zh-CN" w:bidi="zh-CN"/>
              </w:rPr>
              <w:t>），以及亚太地区非物质文化遗产国际信息与网络中心（</w:t>
            </w:r>
            <w:r w:rsidRPr="00E178DC">
              <w:rPr>
                <w:rFonts w:cs="Arial"/>
                <w:sz w:val="20"/>
                <w:szCs w:val="20"/>
                <w:lang w:val="zh-CN" w:bidi="zh-CN"/>
              </w:rPr>
              <w:t>ICHCAP</w:t>
            </w:r>
            <w:r w:rsidRPr="00E178DC">
              <w:rPr>
                <w:rFonts w:cs="Arial" w:hint="eastAsia"/>
                <w:sz w:val="20"/>
                <w:szCs w:val="20"/>
                <w:lang w:val="zh-CN" w:bidi="zh-CN"/>
              </w:rPr>
              <w:t>）。秘书处与教科文组织外地办事处合作，对每个区域有经验的</w:t>
            </w:r>
            <w:r w:rsidR="00D12AFB">
              <w:rPr>
                <w:rFonts w:cs="Arial" w:hint="eastAsia"/>
                <w:sz w:val="20"/>
                <w:szCs w:val="20"/>
                <w:lang w:val="zh-CN" w:bidi="zh-CN"/>
              </w:rPr>
              <w:t>促进员</w:t>
            </w:r>
            <w:r w:rsidRPr="00E178DC">
              <w:rPr>
                <w:rFonts w:cs="Arial" w:hint="eastAsia"/>
                <w:sz w:val="20"/>
                <w:szCs w:val="20"/>
                <w:lang w:val="zh-CN" w:bidi="zh-CN"/>
              </w:rPr>
              <w:t>进行定期报告方面的培训，随后这些</w:t>
            </w:r>
            <w:r w:rsidR="00D12AFB">
              <w:rPr>
                <w:rFonts w:cs="Arial" w:hint="eastAsia"/>
                <w:sz w:val="20"/>
                <w:szCs w:val="20"/>
                <w:lang w:val="zh-CN" w:bidi="zh-CN"/>
              </w:rPr>
              <w:t>促进员</w:t>
            </w:r>
            <w:r w:rsidRPr="00E178DC">
              <w:rPr>
                <w:rFonts w:cs="Arial" w:hint="eastAsia"/>
                <w:sz w:val="20"/>
                <w:szCs w:val="20"/>
                <w:lang w:val="zh-CN" w:bidi="zh-CN"/>
              </w:rPr>
              <w:t>领导开展了联络点的能力建设活动。</w:t>
            </w:r>
          </w:p>
        </w:tc>
      </w:tr>
      <w:tr w:rsidR="00B25FFD" w:rsidRPr="00C357F1" w14:paraId="652F8597" w14:textId="77777777" w:rsidTr="00297070">
        <w:trPr>
          <w:trHeight w:val="1209"/>
        </w:trPr>
        <w:tc>
          <w:tcPr>
            <w:tcW w:w="1683" w:type="pct"/>
            <w:tcBorders>
              <w:bottom w:val="single" w:sz="4" w:space="0" w:color="auto"/>
            </w:tcBorders>
          </w:tcPr>
          <w:p w14:paraId="7BF7BD6B" w14:textId="77777777" w:rsidR="00B25FFD" w:rsidRPr="00E178DC" w:rsidRDefault="00B25FFD" w:rsidP="00297070">
            <w:pPr>
              <w:widowControl w:val="0"/>
              <w:spacing w:before="120" w:after="120"/>
              <w:jc w:val="both"/>
              <w:rPr>
                <w:rFonts w:cs="Arial"/>
                <w:b/>
                <w:bCs/>
                <w:sz w:val="20"/>
                <w:szCs w:val="20"/>
              </w:rPr>
            </w:pPr>
            <w:r w:rsidRPr="00E178DC">
              <w:rPr>
                <w:rFonts w:cs="Arial" w:hint="eastAsia"/>
                <w:b/>
                <w:sz w:val="20"/>
                <w:szCs w:val="20"/>
                <w:lang w:val="zh-CN" w:bidi="zh-CN"/>
              </w:rPr>
              <w:t>建议</w:t>
            </w:r>
            <w:r w:rsidRPr="00E178DC">
              <w:rPr>
                <w:rFonts w:cs="Arial"/>
                <w:b/>
                <w:sz w:val="20"/>
                <w:szCs w:val="20"/>
                <w:lang w:val="zh-CN" w:bidi="zh-CN"/>
              </w:rPr>
              <w:t>10</w:t>
            </w:r>
            <w:r w:rsidRPr="00E178DC">
              <w:rPr>
                <w:rFonts w:cs="Arial" w:hint="eastAsia"/>
                <w:b/>
                <w:sz w:val="20"/>
                <w:szCs w:val="20"/>
                <w:lang w:val="zh-CN" w:bidi="zh-CN"/>
              </w:rPr>
              <w:t>：</w:t>
            </w:r>
          </w:p>
          <w:p w14:paraId="6A2AA8EE" w14:textId="77777777" w:rsidR="00B25FFD" w:rsidRPr="00E178DC" w:rsidRDefault="00B25FFD" w:rsidP="00297070">
            <w:pPr>
              <w:widowControl w:val="0"/>
              <w:spacing w:before="120" w:after="120"/>
              <w:jc w:val="both"/>
              <w:rPr>
                <w:rFonts w:cs="Arial"/>
                <w:sz w:val="20"/>
                <w:szCs w:val="20"/>
                <w:lang w:val="en-US"/>
              </w:rPr>
            </w:pPr>
            <w:r w:rsidRPr="00E178DC">
              <w:rPr>
                <w:rFonts w:cs="Arial" w:hint="eastAsia"/>
                <w:b/>
                <w:sz w:val="20"/>
                <w:szCs w:val="20"/>
                <w:lang w:val="zh-CN" w:bidi="zh-CN"/>
              </w:rPr>
              <w:t>活态遗产实体应与数字业务解决方案局合作</w:t>
            </w:r>
            <w:r w:rsidRPr="00E178DC">
              <w:rPr>
                <w:rFonts w:cs="Arial" w:hint="eastAsia"/>
                <w:sz w:val="20"/>
                <w:szCs w:val="20"/>
                <w:lang w:val="zh-CN" w:bidi="zh-CN"/>
              </w:rPr>
              <w:t>，提供一个在线平台，以促进对来自各种名录列入机制、申报、定期报告、国际援助项目、研究、清单等各方面的非物质文化遗产及其保护措施的知识管理。该工具</w:t>
            </w:r>
            <w:r w:rsidRPr="00E178DC">
              <w:rPr>
                <w:rFonts w:cs="Arial" w:hint="eastAsia"/>
                <w:sz w:val="20"/>
                <w:szCs w:val="20"/>
                <w:lang w:val="zh-CN" w:bidi="zh-CN"/>
              </w:rPr>
              <w:lastRenderedPageBreak/>
              <w:t>应能让用户使用简单的关键字和标准来搜索有关非物质文化遗产的信息。可以委托非物质文化遗产非政府组织论坛和教科文组织教席等合作伙伴网络负责数据处理工作。</w:t>
            </w:r>
          </w:p>
        </w:tc>
        <w:tc>
          <w:tcPr>
            <w:tcW w:w="3317" w:type="pct"/>
            <w:tcBorders>
              <w:bottom w:val="single" w:sz="4" w:space="0" w:color="auto"/>
            </w:tcBorders>
          </w:tcPr>
          <w:p w14:paraId="019FA46E" w14:textId="77777777" w:rsidR="00B25FFD" w:rsidRPr="00E178DC" w:rsidRDefault="00B25FFD" w:rsidP="00297070">
            <w:pPr>
              <w:widowControl w:val="0"/>
              <w:spacing w:before="120" w:after="120"/>
              <w:jc w:val="both"/>
              <w:rPr>
                <w:rFonts w:cs="Arial"/>
                <w:sz w:val="20"/>
                <w:szCs w:val="20"/>
                <w:lang w:val="en-US"/>
              </w:rPr>
            </w:pPr>
            <w:r w:rsidRPr="00E178DC">
              <w:rPr>
                <w:rFonts w:cs="Arial"/>
                <w:sz w:val="20"/>
                <w:szCs w:val="20"/>
                <w:lang w:val="zh-CN" w:bidi="zh-CN"/>
              </w:rPr>
              <w:lastRenderedPageBreak/>
              <w:t>2003</w:t>
            </w:r>
            <w:r w:rsidRPr="00E178DC">
              <w:rPr>
                <w:rFonts w:cs="Arial" w:hint="eastAsia"/>
                <w:sz w:val="20"/>
                <w:szCs w:val="20"/>
                <w:lang w:val="zh-CN" w:bidi="zh-CN"/>
              </w:rPr>
              <w:t>年《公约》秘书处已努力以开放格式提供所有报告数据，以便根据</w:t>
            </w:r>
            <w:r w:rsidRPr="00E178DC">
              <w:rPr>
                <w:rFonts w:cs="Arial"/>
                <w:sz w:val="20"/>
                <w:szCs w:val="20"/>
                <w:lang w:val="zh-CN" w:bidi="zh-CN"/>
              </w:rPr>
              <w:t>MONDIACULT</w:t>
            </w:r>
            <w:r w:rsidRPr="00E178DC">
              <w:rPr>
                <w:rFonts w:cs="Arial" w:hint="eastAsia"/>
                <w:sz w:val="20"/>
                <w:szCs w:val="20"/>
                <w:lang w:val="zh-CN" w:bidi="zh-CN"/>
              </w:rPr>
              <w:t>制定的全球文化报告准则进行全面分析和分类。</w:t>
            </w:r>
          </w:p>
          <w:p w14:paraId="6473CE00" w14:textId="74F77845" w:rsidR="00B25FFD" w:rsidRPr="00E178DC" w:rsidRDefault="00B25FFD" w:rsidP="00297070">
            <w:pPr>
              <w:widowControl w:val="0"/>
              <w:spacing w:before="120" w:after="120"/>
              <w:jc w:val="both"/>
              <w:rPr>
                <w:rFonts w:cs="Arial"/>
                <w:sz w:val="20"/>
                <w:szCs w:val="20"/>
                <w:lang w:val="en-US"/>
              </w:rPr>
            </w:pPr>
            <w:r w:rsidRPr="00E178DC">
              <w:rPr>
                <w:rFonts w:cs="Arial" w:hint="eastAsia"/>
                <w:sz w:val="20"/>
                <w:szCs w:val="20"/>
                <w:lang w:val="zh-CN" w:bidi="zh-CN"/>
              </w:rPr>
              <w:t>数据管理</w:t>
            </w:r>
            <w:r w:rsidR="00331AA9">
              <w:rPr>
                <w:rFonts w:cs="Arial" w:hint="eastAsia"/>
                <w:sz w:val="20"/>
                <w:szCs w:val="20"/>
                <w:lang w:val="zh-CN" w:bidi="zh-CN"/>
              </w:rPr>
              <w:t>所采</w:t>
            </w:r>
            <w:r w:rsidRPr="00E178DC">
              <w:rPr>
                <w:rFonts w:cs="Arial" w:hint="eastAsia"/>
                <w:sz w:val="20"/>
                <w:szCs w:val="20"/>
                <w:lang w:val="zh-CN" w:bidi="zh-CN"/>
              </w:rPr>
              <w:t>用的底层技术正在重新设计，以加强安全措施，同时确保与开放格式的兼容性。此次重新设计旨在促进与其他组织内部工具之间的无缝数据交换，并实现与数字业务解决方案局（</w:t>
            </w:r>
            <w:r w:rsidRPr="00E178DC">
              <w:rPr>
                <w:rFonts w:cs="Arial"/>
                <w:sz w:val="20"/>
                <w:szCs w:val="20"/>
                <w:lang w:val="zh-CN" w:bidi="zh-CN"/>
              </w:rPr>
              <w:t>DBS</w:t>
            </w:r>
            <w:r w:rsidRPr="00E178DC">
              <w:rPr>
                <w:rFonts w:cs="Arial" w:hint="eastAsia"/>
                <w:sz w:val="20"/>
                <w:szCs w:val="20"/>
                <w:lang w:val="zh-CN" w:bidi="zh-CN"/>
              </w:rPr>
              <w:t>）所设定的标准工具进行定制化集成和互操作。</w:t>
            </w:r>
          </w:p>
          <w:p w14:paraId="49B2BF20" w14:textId="77777777" w:rsidR="00B25FFD" w:rsidRPr="00E178DC" w:rsidRDefault="00B25FFD" w:rsidP="00297070">
            <w:pPr>
              <w:widowControl w:val="0"/>
              <w:spacing w:before="120" w:after="120"/>
              <w:jc w:val="both"/>
              <w:rPr>
                <w:rFonts w:cs="Arial"/>
                <w:sz w:val="20"/>
                <w:szCs w:val="20"/>
                <w:lang w:val="en-US"/>
              </w:rPr>
            </w:pPr>
            <w:r w:rsidRPr="00E178DC">
              <w:rPr>
                <w:rFonts w:cs="Arial" w:hint="eastAsia"/>
                <w:sz w:val="20"/>
                <w:szCs w:val="20"/>
                <w:lang w:val="zh-CN" w:bidi="zh-CN"/>
              </w:rPr>
              <w:lastRenderedPageBreak/>
              <w:t>已针对首批非政府组织群体拓宽了非政府组织信息的覆盖范围，并计划与非政府组织论坛合作，持续扩大覆盖范围。此外，还在《公约》网站上专门创建了一个名录，用来集中展示专注于活态遗产领域的教科文组织教席和姊妹大学网络，让教科文组织教席获得了更高的关注度。</w:t>
            </w:r>
          </w:p>
          <w:p w14:paraId="695B0DDB" w14:textId="77777777" w:rsidR="00B25FFD" w:rsidRPr="00E178DC" w:rsidRDefault="00B25FFD" w:rsidP="00297070">
            <w:pPr>
              <w:widowControl w:val="0"/>
              <w:spacing w:before="120" w:after="120"/>
              <w:jc w:val="both"/>
              <w:rPr>
                <w:rFonts w:cs="Arial"/>
                <w:sz w:val="20"/>
                <w:szCs w:val="20"/>
                <w:lang w:val="en-US"/>
              </w:rPr>
            </w:pPr>
            <w:r w:rsidRPr="00E178DC">
              <w:rPr>
                <w:rFonts w:cs="Arial" w:hint="eastAsia"/>
                <w:sz w:val="20"/>
                <w:szCs w:val="20"/>
                <w:lang w:val="zh-CN" w:bidi="zh-CN"/>
              </w:rPr>
              <w:t>作为</w:t>
            </w:r>
            <w:r w:rsidRPr="00E178DC">
              <w:rPr>
                <w:rFonts w:cs="Arial"/>
                <w:sz w:val="20"/>
                <w:szCs w:val="20"/>
                <w:lang w:val="zh-CN" w:bidi="zh-CN"/>
              </w:rPr>
              <w:t>2023</w:t>
            </w:r>
            <w:r w:rsidRPr="00E178DC">
              <w:rPr>
                <w:rFonts w:cs="Arial" w:hint="eastAsia"/>
                <w:sz w:val="20"/>
                <w:szCs w:val="20"/>
                <w:lang w:val="zh-CN" w:bidi="zh-CN"/>
              </w:rPr>
              <w:t>年启动的对更广泛实施第十八条的持续反思（第</w:t>
            </w:r>
            <w:r w:rsidRPr="00E178DC">
              <w:rPr>
                <w:rFonts w:cs="Arial"/>
                <w:sz w:val="20"/>
                <w:szCs w:val="20"/>
                <w:lang w:val="zh-CN" w:bidi="zh-CN"/>
              </w:rPr>
              <w:t>18.COM 11</w:t>
            </w:r>
            <w:r w:rsidRPr="00E178DC">
              <w:rPr>
                <w:rFonts w:cs="Arial" w:hint="eastAsia"/>
                <w:sz w:val="20"/>
                <w:szCs w:val="20"/>
                <w:lang w:val="zh-CN" w:bidi="zh-CN"/>
              </w:rPr>
              <w:t>号决定）的一部分，一个用于分享优秀保护经验的在线平台初步版本于</w:t>
            </w:r>
            <w:r w:rsidRPr="00E178DC">
              <w:rPr>
                <w:rFonts w:cs="Arial"/>
                <w:sz w:val="20"/>
                <w:szCs w:val="20"/>
                <w:lang w:val="zh-CN" w:bidi="zh-CN"/>
              </w:rPr>
              <w:t>2025</w:t>
            </w:r>
            <w:r w:rsidRPr="00E178DC">
              <w:rPr>
                <w:rFonts w:cs="Arial" w:hint="eastAsia"/>
                <w:sz w:val="20"/>
                <w:szCs w:val="20"/>
                <w:lang w:val="zh-CN" w:bidi="zh-CN"/>
              </w:rPr>
              <w:t>年</w:t>
            </w:r>
            <w:r w:rsidRPr="00E178DC">
              <w:rPr>
                <w:rFonts w:cs="Arial"/>
                <w:sz w:val="20"/>
                <w:szCs w:val="20"/>
                <w:lang w:val="zh-CN" w:bidi="zh-CN"/>
              </w:rPr>
              <w:t>5</w:t>
            </w:r>
            <w:r w:rsidRPr="00E178DC">
              <w:rPr>
                <w:rFonts w:cs="Arial" w:hint="eastAsia"/>
                <w:sz w:val="20"/>
                <w:szCs w:val="20"/>
                <w:lang w:val="zh-CN" w:bidi="zh-CN"/>
              </w:rPr>
              <w:t>月发布。规划了通过《公约》国际合作机制实施的十四项优秀保护经验的试点项目，目前正在与专家进行协商，共同提供反馈和编写新内容。作为在线平台的一部分，预计还将重点打造各种形式的饮食方式。</w:t>
            </w:r>
          </w:p>
        </w:tc>
      </w:tr>
      <w:tr w:rsidR="00B25FFD" w:rsidRPr="00C357F1" w14:paraId="6B33A485" w14:textId="77777777" w:rsidTr="00297070">
        <w:trPr>
          <w:trHeight w:val="841"/>
        </w:trPr>
        <w:tc>
          <w:tcPr>
            <w:tcW w:w="1683" w:type="pct"/>
            <w:tcBorders>
              <w:bottom w:val="single" w:sz="4" w:space="0" w:color="auto"/>
            </w:tcBorders>
          </w:tcPr>
          <w:p w14:paraId="6B24D56F" w14:textId="77777777" w:rsidR="00B25FFD" w:rsidRPr="00E178DC" w:rsidRDefault="00B25FFD" w:rsidP="00297070">
            <w:pPr>
              <w:widowControl w:val="0"/>
              <w:spacing w:before="120" w:after="120"/>
              <w:jc w:val="both"/>
              <w:rPr>
                <w:rFonts w:cs="Arial"/>
                <w:b/>
                <w:bCs/>
                <w:sz w:val="20"/>
                <w:szCs w:val="20"/>
              </w:rPr>
            </w:pPr>
            <w:r w:rsidRPr="00E178DC">
              <w:rPr>
                <w:rFonts w:cs="Arial" w:hint="eastAsia"/>
                <w:b/>
                <w:sz w:val="20"/>
                <w:szCs w:val="20"/>
                <w:lang w:val="zh-CN" w:bidi="zh-CN"/>
              </w:rPr>
              <w:lastRenderedPageBreak/>
              <w:t>建议</w:t>
            </w:r>
            <w:r w:rsidRPr="00E178DC">
              <w:rPr>
                <w:rFonts w:cs="Arial"/>
                <w:b/>
                <w:sz w:val="20"/>
                <w:szCs w:val="20"/>
                <w:lang w:val="zh-CN" w:bidi="zh-CN"/>
              </w:rPr>
              <w:t>11</w:t>
            </w:r>
            <w:r w:rsidRPr="00E178DC">
              <w:rPr>
                <w:rFonts w:cs="Arial" w:hint="eastAsia"/>
                <w:b/>
                <w:sz w:val="20"/>
                <w:szCs w:val="20"/>
                <w:lang w:val="zh-CN" w:bidi="zh-CN"/>
              </w:rPr>
              <w:t>：</w:t>
            </w:r>
          </w:p>
          <w:p w14:paraId="7F1CEC85" w14:textId="77777777" w:rsidR="00B25FFD" w:rsidRPr="00E178DC" w:rsidRDefault="00B25FFD" w:rsidP="00297070">
            <w:pPr>
              <w:widowControl w:val="0"/>
              <w:spacing w:before="120" w:after="120"/>
              <w:jc w:val="both"/>
              <w:rPr>
                <w:rFonts w:cs="Arial"/>
                <w:sz w:val="20"/>
                <w:szCs w:val="20"/>
                <w:lang w:val="en-US"/>
              </w:rPr>
            </w:pPr>
            <w:r w:rsidRPr="00E178DC">
              <w:rPr>
                <w:rFonts w:cs="Arial" w:hint="eastAsia"/>
                <w:b/>
                <w:sz w:val="20"/>
                <w:szCs w:val="20"/>
                <w:lang w:val="zh-CN" w:bidi="zh-CN"/>
              </w:rPr>
              <w:t>活态遗产实体应联合公共信息部</w:t>
            </w:r>
            <w:r w:rsidRPr="00E178DC">
              <w:rPr>
                <w:rFonts w:cs="Arial" w:hint="eastAsia"/>
                <w:sz w:val="20"/>
                <w:szCs w:val="20"/>
                <w:lang w:val="zh-CN" w:bidi="zh-CN"/>
              </w:rPr>
              <w:t>，共同探索传播与外联的新途径，特别是要借助社交媒体等渠道，面向广大公众，尤其是年轻群体进行宣传。这可能需要设立一个专门的社交媒体账号和</w:t>
            </w:r>
            <w:r w:rsidRPr="00E178DC">
              <w:rPr>
                <w:rFonts w:cs="Arial"/>
                <w:sz w:val="20"/>
                <w:szCs w:val="20"/>
                <w:lang w:val="zh-CN" w:bidi="zh-CN"/>
              </w:rPr>
              <w:t>/</w:t>
            </w:r>
            <w:r w:rsidRPr="00E178DC">
              <w:rPr>
                <w:rFonts w:cs="Arial" w:hint="eastAsia"/>
                <w:sz w:val="20"/>
                <w:szCs w:val="20"/>
                <w:lang w:val="zh-CN" w:bidi="zh-CN"/>
              </w:rPr>
              <w:t>或更多地使用教科文组织和合作伙伴的其他账号。应当为该实体的内容开发一套专属的视觉标识，以确保其内容具有可追溯性。</w:t>
            </w:r>
          </w:p>
        </w:tc>
        <w:tc>
          <w:tcPr>
            <w:tcW w:w="3317" w:type="pct"/>
            <w:tcBorders>
              <w:bottom w:val="single" w:sz="4" w:space="0" w:color="auto"/>
            </w:tcBorders>
          </w:tcPr>
          <w:p w14:paraId="13AAAB6C" w14:textId="77777777" w:rsidR="00B25FFD" w:rsidRPr="00E178DC" w:rsidRDefault="00B25FFD" w:rsidP="00297070">
            <w:pPr>
              <w:widowControl w:val="0"/>
              <w:spacing w:before="120" w:after="120"/>
              <w:jc w:val="both"/>
              <w:rPr>
                <w:rFonts w:cs="Arial"/>
                <w:sz w:val="20"/>
                <w:szCs w:val="20"/>
                <w:lang w:val="en-US"/>
              </w:rPr>
            </w:pPr>
            <w:r w:rsidRPr="00E178DC">
              <w:rPr>
                <w:rFonts w:cs="Arial" w:hint="eastAsia"/>
                <w:sz w:val="20"/>
                <w:szCs w:val="20"/>
                <w:lang w:val="zh-CN" w:bidi="zh-CN"/>
              </w:rPr>
              <w:t>自</w:t>
            </w:r>
            <w:r w:rsidRPr="00E178DC">
              <w:rPr>
                <w:rFonts w:cs="Arial"/>
                <w:sz w:val="20"/>
                <w:szCs w:val="20"/>
                <w:lang w:val="zh-CN" w:bidi="zh-CN"/>
              </w:rPr>
              <w:t>2021</w:t>
            </w:r>
            <w:r w:rsidRPr="00E178DC">
              <w:rPr>
                <w:rFonts w:cs="Arial" w:hint="eastAsia"/>
                <w:sz w:val="20"/>
                <w:szCs w:val="20"/>
                <w:lang w:val="zh-CN" w:bidi="zh-CN"/>
              </w:rPr>
              <w:t>年以来，活态遗产实体加强了与传播和公众参与司（</w:t>
            </w:r>
            <w:r w:rsidRPr="00E178DC">
              <w:rPr>
                <w:rFonts w:cs="Arial"/>
                <w:sz w:val="20"/>
                <w:szCs w:val="20"/>
                <w:lang w:val="zh-CN" w:bidi="zh-CN"/>
              </w:rPr>
              <w:t>CPE</w:t>
            </w:r>
            <w:r w:rsidRPr="00E178DC">
              <w:rPr>
                <w:rFonts w:cs="Arial" w:hint="eastAsia"/>
                <w:sz w:val="20"/>
                <w:szCs w:val="20"/>
                <w:lang w:val="zh-CN" w:bidi="zh-CN"/>
              </w:rPr>
              <w:t>）以及传播和全球监测股（</w:t>
            </w:r>
            <w:r w:rsidRPr="00E178DC">
              <w:rPr>
                <w:rFonts w:cs="Arial"/>
                <w:sz w:val="20"/>
                <w:szCs w:val="20"/>
                <w:lang w:val="zh-CN" w:bidi="zh-CN"/>
              </w:rPr>
              <w:t>CLT/CGM</w:t>
            </w:r>
            <w:r w:rsidRPr="00E178DC">
              <w:rPr>
                <w:rFonts w:cs="Arial" w:hint="eastAsia"/>
                <w:sz w:val="20"/>
                <w:szCs w:val="20"/>
                <w:lang w:val="zh-CN" w:bidi="zh-CN"/>
              </w:rPr>
              <w:t>）的合作，通过社交媒体，面向广大公众，特别是年轻群体，加大了传播力度。</w:t>
            </w:r>
          </w:p>
          <w:p w14:paraId="157F0084" w14:textId="77777777" w:rsidR="00B25FFD" w:rsidRPr="00E178DC" w:rsidRDefault="00B25FFD" w:rsidP="00297070">
            <w:pPr>
              <w:widowControl w:val="0"/>
              <w:spacing w:before="120" w:after="120"/>
              <w:jc w:val="both"/>
              <w:rPr>
                <w:rFonts w:cs="Arial"/>
                <w:sz w:val="20"/>
                <w:szCs w:val="20"/>
                <w:lang w:val="en-US"/>
              </w:rPr>
            </w:pPr>
            <w:r w:rsidRPr="00E178DC">
              <w:rPr>
                <w:rFonts w:cs="Arial"/>
                <w:sz w:val="20"/>
                <w:szCs w:val="20"/>
                <w:lang w:val="zh-CN" w:bidi="zh-CN"/>
              </w:rPr>
              <w:t>2024</w:t>
            </w:r>
            <w:r w:rsidRPr="00E178DC">
              <w:rPr>
                <w:rFonts w:cs="Arial" w:hint="eastAsia"/>
                <w:sz w:val="20"/>
                <w:szCs w:val="20"/>
                <w:lang w:val="zh-CN" w:bidi="zh-CN"/>
              </w:rPr>
              <w:t>年，发起了一项线上参与活动，鼓励各缔约国分享与“国际非物质文化遗产日”有关的庆祝活动；该活动在</w:t>
            </w:r>
            <w:r w:rsidRPr="00E178DC">
              <w:rPr>
                <w:rFonts w:cs="Arial"/>
                <w:sz w:val="20"/>
                <w:szCs w:val="20"/>
                <w:lang w:val="zh-CN" w:bidi="zh-CN"/>
              </w:rPr>
              <w:t>2025</w:t>
            </w:r>
            <w:r w:rsidRPr="00E178DC">
              <w:rPr>
                <w:rFonts w:cs="Arial" w:hint="eastAsia"/>
                <w:sz w:val="20"/>
                <w:szCs w:val="20"/>
                <w:lang w:val="zh-CN" w:bidi="zh-CN"/>
              </w:rPr>
              <w:t>年再次举办，《公约》网页上收录了分享的大量活动（</w:t>
            </w:r>
            <w:r w:rsidRPr="00E178DC">
              <w:rPr>
                <w:rFonts w:cs="Arial"/>
                <w:sz w:val="20"/>
                <w:szCs w:val="20"/>
                <w:lang w:val="zh-CN" w:bidi="zh-CN"/>
              </w:rPr>
              <w:t>2024</w:t>
            </w:r>
            <w:r w:rsidRPr="00E178DC">
              <w:rPr>
                <w:rFonts w:cs="Arial" w:hint="eastAsia"/>
                <w:sz w:val="20"/>
                <w:szCs w:val="20"/>
                <w:lang w:val="zh-CN" w:bidi="zh-CN"/>
              </w:rPr>
              <w:t>年有</w:t>
            </w:r>
            <w:r w:rsidRPr="00E178DC">
              <w:rPr>
                <w:rFonts w:cs="Arial"/>
                <w:sz w:val="20"/>
                <w:szCs w:val="20"/>
                <w:lang w:val="zh-CN" w:bidi="zh-CN"/>
              </w:rPr>
              <w:t>100</w:t>
            </w:r>
            <w:r w:rsidRPr="00E178DC">
              <w:rPr>
                <w:rFonts w:cs="Arial" w:hint="eastAsia"/>
                <w:sz w:val="20"/>
                <w:szCs w:val="20"/>
                <w:lang w:val="zh-CN" w:bidi="zh-CN"/>
              </w:rPr>
              <w:t>项，</w:t>
            </w:r>
            <w:r w:rsidRPr="00E178DC">
              <w:rPr>
                <w:rFonts w:cs="Arial"/>
                <w:sz w:val="20"/>
                <w:szCs w:val="20"/>
                <w:lang w:val="zh-CN" w:bidi="zh-CN"/>
              </w:rPr>
              <w:t>2025</w:t>
            </w:r>
            <w:r w:rsidRPr="00E178DC">
              <w:rPr>
                <w:rFonts w:cs="Arial" w:hint="eastAsia"/>
                <w:sz w:val="20"/>
                <w:szCs w:val="20"/>
                <w:lang w:val="zh-CN" w:bidi="zh-CN"/>
              </w:rPr>
              <w:t>年为</w:t>
            </w:r>
            <w:r w:rsidRPr="00E178DC">
              <w:rPr>
                <w:rFonts w:cs="Arial"/>
                <w:sz w:val="20"/>
                <w:szCs w:val="20"/>
                <w:lang w:val="zh-CN" w:bidi="zh-CN"/>
              </w:rPr>
              <w:t>134</w:t>
            </w:r>
            <w:r w:rsidRPr="00E178DC">
              <w:rPr>
                <w:rFonts w:cs="Arial" w:hint="eastAsia"/>
                <w:sz w:val="20"/>
                <w:szCs w:val="20"/>
                <w:lang w:val="zh-CN" w:bidi="zh-CN"/>
              </w:rPr>
              <w:t>项）。</w:t>
            </w:r>
          </w:p>
          <w:p w14:paraId="444376DC" w14:textId="77777777" w:rsidR="00B25FFD" w:rsidRPr="00E178DC" w:rsidRDefault="00B25FFD" w:rsidP="00297070">
            <w:pPr>
              <w:widowControl w:val="0"/>
              <w:spacing w:before="120" w:after="120"/>
              <w:jc w:val="both"/>
              <w:rPr>
                <w:rFonts w:cs="Arial"/>
                <w:sz w:val="20"/>
                <w:szCs w:val="20"/>
                <w:lang w:val="en-US"/>
              </w:rPr>
            </w:pPr>
            <w:r w:rsidRPr="00E178DC">
              <w:rPr>
                <w:rFonts w:cs="Arial" w:hint="eastAsia"/>
                <w:sz w:val="20"/>
                <w:szCs w:val="20"/>
                <w:lang w:val="zh-CN" w:bidi="zh-CN"/>
              </w:rPr>
              <w:t>秘书处定期回应数量不断增多的媒体问询并提供采访，为提升人们对《公约》的认识做出了积极贡献。《公约》网页上持续更新新闻动态，重点展示在《公约》下取得的成就、开展的活动与实施的项目，以及为“国际日”和“国际十年”做出的贡献，或是与当前正在进行的项目相关的动态。通过使用主题标签</w:t>
            </w:r>
            <w:r w:rsidRPr="00E178DC">
              <w:rPr>
                <w:rFonts w:cs="Arial"/>
                <w:sz w:val="20"/>
                <w:szCs w:val="20"/>
                <w:lang w:val="zh-CN" w:bidi="zh-CN"/>
              </w:rPr>
              <w:t xml:space="preserve"> #LivingHeritage</w:t>
            </w:r>
            <w:r w:rsidRPr="00E178DC">
              <w:rPr>
                <w:rFonts w:cs="Arial" w:hint="eastAsia"/>
                <w:sz w:val="20"/>
                <w:szCs w:val="20"/>
                <w:lang w:val="zh-CN" w:bidi="zh-CN"/>
              </w:rPr>
              <w:t>，可以标记和识别相关的帖子。</w:t>
            </w:r>
            <w:r w:rsidRPr="00E178DC">
              <w:rPr>
                <w:rFonts w:cs="Arial"/>
                <w:sz w:val="20"/>
                <w:szCs w:val="20"/>
                <w:lang w:val="zh-CN" w:bidi="zh-CN"/>
              </w:rPr>
              <w:t>2003</w:t>
            </w:r>
            <w:r w:rsidRPr="00E178DC">
              <w:rPr>
                <w:rFonts w:cs="Arial" w:hint="eastAsia"/>
                <w:sz w:val="20"/>
                <w:szCs w:val="20"/>
                <w:lang w:val="zh-CN" w:bidi="zh-CN"/>
              </w:rPr>
              <w:t>年《公约》秘书处还调整了其网站设计，以符合传播和公众参与司（</w:t>
            </w:r>
            <w:r w:rsidRPr="00E178DC">
              <w:rPr>
                <w:rFonts w:cs="Arial"/>
                <w:sz w:val="20"/>
                <w:szCs w:val="20"/>
                <w:lang w:val="zh-CN" w:bidi="zh-CN"/>
              </w:rPr>
              <w:t>CPE</w:t>
            </w:r>
            <w:r w:rsidRPr="00E178DC">
              <w:rPr>
                <w:rFonts w:cs="Arial" w:hint="eastAsia"/>
                <w:sz w:val="20"/>
                <w:szCs w:val="20"/>
                <w:lang w:val="zh-CN" w:bidi="zh-CN"/>
              </w:rPr>
              <w:t>）制定的指引，使教科文组织各网站的品牌形象更加统一协调。目前已采用开放格式，以提升已列入名录的非遗项目的可见度与可视化效果；还计划继续优化数据可视化，以进一步增强其对目标受众的影响力和吸引力。</w:t>
            </w:r>
          </w:p>
        </w:tc>
      </w:tr>
      <w:tr w:rsidR="00B25FFD" w:rsidRPr="00C357F1" w14:paraId="30E010B3" w14:textId="77777777" w:rsidTr="00297070">
        <w:trPr>
          <w:trHeight w:val="1209"/>
        </w:trPr>
        <w:tc>
          <w:tcPr>
            <w:tcW w:w="1683" w:type="pct"/>
          </w:tcPr>
          <w:p w14:paraId="373B70E9" w14:textId="77777777" w:rsidR="00B25FFD" w:rsidRPr="00E178DC" w:rsidRDefault="00B25FFD" w:rsidP="00297070">
            <w:pPr>
              <w:widowControl w:val="0"/>
              <w:spacing w:before="120" w:after="120"/>
              <w:jc w:val="both"/>
              <w:rPr>
                <w:rFonts w:cs="Arial"/>
                <w:b/>
                <w:bCs/>
                <w:sz w:val="20"/>
                <w:szCs w:val="20"/>
              </w:rPr>
            </w:pPr>
            <w:r w:rsidRPr="00E178DC">
              <w:rPr>
                <w:rFonts w:cs="Arial" w:hint="eastAsia"/>
                <w:b/>
                <w:sz w:val="20"/>
                <w:szCs w:val="20"/>
                <w:lang w:val="zh-CN" w:bidi="zh-CN"/>
              </w:rPr>
              <w:t>建议</w:t>
            </w:r>
            <w:r w:rsidRPr="00E178DC">
              <w:rPr>
                <w:rFonts w:cs="Arial"/>
                <w:b/>
                <w:sz w:val="20"/>
                <w:szCs w:val="20"/>
                <w:lang w:val="zh-CN" w:bidi="zh-CN"/>
              </w:rPr>
              <w:t>12</w:t>
            </w:r>
            <w:r w:rsidRPr="00E178DC">
              <w:rPr>
                <w:rFonts w:cs="Arial" w:hint="eastAsia"/>
                <w:b/>
                <w:sz w:val="20"/>
                <w:szCs w:val="20"/>
                <w:lang w:val="zh-CN" w:bidi="zh-CN"/>
              </w:rPr>
              <w:t>：</w:t>
            </w:r>
          </w:p>
          <w:p w14:paraId="7E677860" w14:textId="77777777" w:rsidR="00B25FFD" w:rsidRPr="00E178DC" w:rsidRDefault="00B25FFD" w:rsidP="00297070">
            <w:pPr>
              <w:widowControl w:val="0"/>
              <w:spacing w:before="120" w:after="120"/>
              <w:jc w:val="both"/>
              <w:rPr>
                <w:rFonts w:cs="Arial"/>
                <w:sz w:val="20"/>
                <w:szCs w:val="20"/>
              </w:rPr>
            </w:pPr>
            <w:r w:rsidRPr="00E178DC">
              <w:rPr>
                <w:rFonts w:cs="Arial" w:hint="eastAsia"/>
                <w:b/>
                <w:sz w:val="20"/>
                <w:szCs w:val="20"/>
                <w:lang w:val="zh-CN" w:bidi="zh-CN"/>
              </w:rPr>
              <w:t>活态遗产实体</w:t>
            </w:r>
            <w:r w:rsidRPr="00E178DC">
              <w:rPr>
                <w:rFonts w:cs="Arial" w:hint="eastAsia"/>
                <w:sz w:val="20"/>
                <w:szCs w:val="20"/>
                <w:lang w:val="zh-CN" w:bidi="zh-CN"/>
              </w:rPr>
              <w:t>应与专门从事非物质文化遗产（</w:t>
            </w:r>
            <w:r w:rsidRPr="00E178DC">
              <w:rPr>
                <w:rFonts w:cs="Arial"/>
                <w:sz w:val="20"/>
                <w:szCs w:val="20"/>
                <w:lang w:val="zh-CN" w:bidi="zh-CN"/>
              </w:rPr>
              <w:t>ICH</w:t>
            </w:r>
            <w:r w:rsidRPr="00E178DC">
              <w:rPr>
                <w:rFonts w:cs="Arial" w:hint="eastAsia"/>
                <w:sz w:val="20"/>
                <w:szCs w:val="20"/>
                <w:lang w:val="zh-CN" w:bidi="zh-CN"/>
              </w:rPr>
              <w:t>）工作的</w:t>
            </w:r>
            <w:r w:rsidRPr="00E178DC">
              <w:rPr>
                <w:rFonts w:cs="Arial"/>
                <w:sz w:val="20"/>
                <w:szCs w:val="20"/>
                <w:lang w:val="zh-CN" w:bidi="zh-CN"/>
              </w:rPr>
              <w:t>2</w:t>
            </w:r>
            <w:r w:rsidRPr="00E178DC">
              <w:rPr>
                <w:rFonts w:cs="Arial" w:hint="eastAsia"/>
                <w:sz w:val="20"/>
                <w:szCs w:val="20"/>
                <w:lang w:val="zh-CN" w:bidi="zh-CN"/>
              </w:rPr>
              <w:t>类中心建立定期的双边规划与交流机制，重点关注秘书处及政府间委员会的优先事项，并结合各地区的实际需求，以此加强这些合作伙伴的参与度，并确保其工作计划与教科文组织的工作计划保持一致。</w:t>
            </w:r>
          </w:p>
        </w:tc>
        <w:tc>
          <w:tcPr>
            <w:tcW w:w="3317" w:type="pct"/>
          </w:tcPr>
          <w:p w14:paraId="628203FE" w14:textId="2A8D904C" w:rsidR="00B25FFD" w:rsidRPr="00E178DC" w:rsidRDefault="00B25FFD" w:rsidP="00297070">
            <w:pPr>
              <w:widowControl w:val="0"/>
              <w:spacing w:before="120" w:after="120"/>
              <w:jc w:val="both"/>
              <w:rPr>
                <w:rFonts w:cs="Arial"/>
                <w:sz w:val="20"/>
                <w:szCs w:val="20"/>
                <w:lang w:val="en-US"/>
              </w:rPr>
            </w:pPr>
            <w:r w:rsidRPr="00E178DC">
              <w:rPr>
                <w:rFonts w:cs="Arial" w:hint="eastAsia"/>
                <w:sz w:val="20"/>
                <w:szCs w:val="20"/>
                <w:lang w:val="zh-CN" w:bidi="zh-CN"/>
              </w:rPr>
              <w:t>活态遗产实体继续与所有中心共同组织年度协调会议。第十二次会议于</w:t>
            </w:r>
            <w:r w:rsidRPr="00E178DC">
              <w:rPr>
                <w:rFonts w:cs="Arial"/>
                <w:sz w:val="20"/>
                <w:szCs w:val="20"/>
                <w:lang w:val="zh-CN" w:bidi="zh-CN"/>
              </w:rPr>
              <w:t>2024</w:t>
            </w:r>
            <w:r w:rsidRPr="00E178DC">
              <w:rPr>
                <w:rFonts w:cs="Arial" w:hint="eastAsia"/>
                <w:sz w:val="20"/>
                <w:szCs w:val="20"/>
                <w:lang w:val="zh-CN" w:bidi="zh-CN"/>
              </w:rPr>
              <w:t>年</w:t>
            </w:r>
            <w:r w:rsidRPr="00E178DC">
              <w:rPr>
                <w:rFonts w:cs="Arial"/>
                <w:sz w:val="20"/>
                <w:szCs w:val="20"/>
                <w:lang w:val="zh-CN" w:bidi="zh-CN"/>
              </w:rPr>
              <w:t>6</w:t>
            </w:r>
            <w:r w:rsidRPr="00E178DC">
              <w:rPr>
                <w:rFonts w:cs="Arial" w:hint="eastAsia"/>
                <w:sz w:val="20"/>
                <w:szCs w:val="20"/>
                <w:lang w:val="zh-CN" w:bidi="zh-CN"/>
              </w:rPr>
              <w:t>月</w:t>
            </w:r>
            <w:r w:rsidRPr="00E178DC">
              <w:rPr>
                <w:rFonts w:cs="Arial"/>
                <w:sz w:val="20"/>
                <w:szCs w:val="20"/>
                <w:lang w:val="zh-CN" w:bidi="zh-CN"/>
              </w:rPr>
              <w:t>13</w:t>
            </w:r>
            <w:r w:rsidRPr="00E178DC">
              <w:rPr>
                <w:rFonts w:cs="Arial" w:hint="eastAsia"/>
                <w:sz w:val="20"/>
                <w:szCs w:val="20"/>
                <w:lang w:val="zh-CN" w:bidi="zh-CN"/>
              </w:rPr>
              <w:t>日在教科文组织总部举行，第十三次会议则于</w:t>
            </w:r>
            <w:r w:rsidRPr="00E178DC">
              <w:rPr>
                <w:rFonts w:cs="Arial"/>
                <w:sz w:val="20"/>
                <w:szCs w:val="20"/>
                <w:lang w:val="zh-CN" w:bidi="zh-CN"/>
              </w:rPr>
              <w:t>2025</w:t>
            </w:r>
            <w:r w:rsidRPr="00E178DC">
              <w:rPr>
                <w:rFonts w:cs="Arial" w:hint="eastAsia"/>
                <w:sz w:val="20"/>
                <w:szCs w:val="20"/>
                <w:lang w:val="zh-CN" w:bidi="zh-CN"/>
              </w:rPr>
              <w:t>年</w:t>
            </w:r>
            <w:r w:rsidRPr="00E178DC">
              <w:rPr>
                <w:rFonts w:cs="Arial"/>
                <w:sz w:val="20"/>
                <w:szCs w:val="20"/>
                <w:lang w:val="zh-CN" w:bidi="zh-CN"/>
              </w:rPr>
              <w:t>7</w:t>
            </w:r>
            <w:r w:rsidRPr="00E178DC">
              <w:rPr>
                <w:rFonts w:cs="Arial" w:hint="eastAsia"/>
                <w:sz w:val="20"/>
                <w:szCs w:val="20"/>
                <w:lang w:val="zh-CN" w:bidi="zh-CN"/>
              </w:rPr>
              <w:t>月</w:t>
            </w:r>
            <w:r w:rsidRPr="00E178DC">
              <w:rPr>
                <w:rFonts w:cs="Arial"/>
                <w:sz w:val="20"/>
                <w:szCs w:val="20"/>
                <w:lang w:val="zh-CN" w:bidi="zh-CN"/>
              </w:rPr>
              <w:t>16</w:t>
            </w:r>
            <w:r w:rsidRPr="00E178DC">
              <w:rPr>
                <w:rFonts w:cs="Arial" w:hint="eastAsia"/>
                <w:sz w:val="20"/>
                <w:szCs w:val="20"/>
                <w:lang w:val="zh-CN" w:bidi="zh-CN"/>
              </w:rPr>
              <w:t>日在线举行。通过共同组织并承办培训活动，</w:t>
            </w:r>
            <w:r w:rsidRPr="00E178DC">
              <w:rPr>
                <w:rFonts w:cs="Arial"/>
                <w:sz w:val="20"/>
                <w:szCs w:val="20"/>
                <w:lang w:val="zh-CN" w:bidi="zh-CN"/>
              </w:rPr>
              <w:t>2</w:t>
            </w:r>
            <w:r w:rsidRPr="00E178DC">
              <w:rPr>
                <w:rFonts w:cs="Arial" w:hint="eastAsia"/>
                <w:sz w:val="20"/>
                <w:szCs w:val="20"/>
                <w:lang w:val="zh-CN" w:bidi="zh-CN"/>
              </w:rPr>
              <w:t>类中心一直积极参与在各地区开展的定期报告能力建设</w:t>
            </w:r>
            <w:r w:rsidR="00156CBC">
              <w:rPr>
                <w:rFonts w:cs="Arial" w:hint="eastAsia"/>
                <w:sz w:val="20"/>
                <w:szCs w:val="20"/>
                <w:lang w:val="zh-CN" w:bidi="zh-CN"/>
              </w:rPr>
              <w:t>的</w:t>
            </w:r>
            <w:r w:rsidRPr="00E178DC">
              <w:rPr>
                <w:rFonts w:cs="Arial" w:hint="eastAsia"/>
                <w:sz w:val="20"/>
                <w:szCs w:val="20"/>
                <w:lang w:val="zh-CN" w:bidi="zh-CN"/>
              </w:rPr>
              <w:t>推广</w:t>
            </w:r>
            <w:r w:rsidR="00156CBC">
              <w:rPr>
                <w:rFonts w:cs="Arial" w:hint="eastAsia"/>
                <w:sz w:val="20"/>
                <w:szCs w:val="20"/>
                <w:lang w:val="zh-CN" w:bidi="zh-CN"/>
              </w:rPr>
              <w:t>实施</w:t>
            </w:r>
            <w:r w:rsidRPr="00E178DC">
              <w:rPr>
                <w:rFonts w:cs="Arial" w:hint="eastAsia"/>
                <w:sz w:val="20"/>
                <w:szCs w:val="20"/>
                <w:lang w:val="zh-CN" w:bidi="zh-CN"/>
              </w:rPr>
              <w:t>工作：拉丁美洲及加勒比地区非物质文化遗产保护中心（</w:t>
            </w:r>
            <w:r w:rsidRPr="00E178DC">
              <w:rPr>
                <w:rFonts w:cs="Arial"/>
                <w:sz w:val="20"/>
                <w:szCs w:val="20"/>
                <w:lang w:val="zh-CN" w:bidi="zh-CN"/>
              </w:rPr>
              <w:t>CRESPIAL</w:t>
            </w:r>
            <w:r w:rsidRPr="00E178DC">
              <w:rPr>
                <w:rFonts w:cs="Arial" w:hint="eastAsia"/>
                <w:sz w:val="20"/>
                <w:szCs w:val="20"/>
                <w:lang w:val="zh-CN" w:bidi="zh-CN"/>
              </w:rPr>
              <w:t>）负责拉丁美洲及加勒比地区周期（</w:t>
            </w:r>
            <w:r w:rsidRPr="00E178DC">
              <w:rPr>
                <w:rFonts w:cs="Arial"/>
                <w:sz w:val="20"/>
                <w:szCs w:val="20"/>
                <w:lang w:val="zh-CN" w:bidi="zh-CN"/>
              </w:rPr>
              <w:t>2021</w:t>
            </w:r>
            <w:r w:rsidRPr="00E178DC">
              <w:rPr>
                <w:rFonts w:cs="Arial" w:hint="eastAsia"/>
                <w:sz w:val="20"/>
                <w:szCs w:val="20"/>
                <w:lang w:val="zh-CN" w:bidi="zh-CN"/>
              </w:rPr>
              <w:t>年），</w:t>
            </w:r>
            <w:r w:rsidR="00D91F26" w:rsidRPr="00D91F26">
              <w:rPr>
                <w:rFonts w:cs="Arial"/>
                <w:sz w:val="20"/>
                <w:szCs w:val="20"/>
                <w:lang w:val="zh-CN" w:bidi="zh-CN"/>
              </w:rPr>
              <w:t>东南欧非物质文化遗产地区中心（RCSICH）</w:t>
            </w:r>
            <w:r w:rsidRPr="00E178DC">
              <w:rPr>
                <w:rFonts w:cs="Arial" w:hint="eastAsia"/>
                <w:sz w:val="20"/>
                <w:szCs w:val="20"/>
                <w:lang w:val="zh-CN" w:bidi="zh-CN"/>
              </w:rPr>
              <w:t>负责欧洲周期（</w:t>
            </w:r>
            <w:r w:rsidRPr="00E178DC">
              <w:rPr>
                <w:rFonts w:cs="Arial"/>
                <w:sz w:val="20"/>
                <w:szCs w:val="20"/>
                <w:lang w:val="zh-CN" w:bidi="zh-CN"/>
              </w:rPr>
              <w:t>2022</w:t>
            </w:r>
            <w:r w:rsidRPr="00E178DC">
              <w:rPr>
                <w:rFonts w:cs="Arial" w:hint="eastAsia"/>
                <w:sz w:val="20"/>
                <w:szCs w:val="20"/>
                <w:lang w:val="zh-CN" w:bidi="zh-CN"/>
              </w:rPr>
              <w:t>年），阿拉伯国家非物质文化遗产能力建设国际中心（</w:t>
            </w:r>
            <w:r w:rsidRPr="00E178DC">
              <w:rPr>
                <w:rFonts w:cs="Arial"/>
                <w:sz w:val="20"/>
                <w:szCs w:val="20"/>
                <w:lang w:val="zh-CN" w:bidi="zh-CN"/>
              </w:rPr>
              <w:t>ICCBICH</w:t>
            </w:r>
            <w:r w:rsidRPr="00E178DC">
              <w:rPr>
                <w:rFonts w:cs="Arial" w:hint="eastAsia"/>
                <w:sz w:val="20"/>
                <w:szCs w:val="20"/>
                <w:lang w:val="zh-CN" w:bidi="zh-CN"/>
              </w:rPr>
              <w:t>）负责阿拉伯国家周期（</w:t>
            </w:r>
            <w:r w:rsidRPr="00E178DC">
              <w:rPr>
                <w:rFonts w:cs="Arial"/>
                <w:sz w:val="20"/>
                <w:szCs w:val="20"/>
                <w:lang w:val="zh-CN" w:bidi="zh-CN"/>
              </w:rPr>
              <w:t>2023</w:t>
            </w:r>
            <w:r w:rsidRPr="00E178DC">
              <w:rPr>
                <w:rFonts w:cs="Arial" w:hint="eastAsia"/>
                <w:sz w:val="20"/>
                <w:szCs w:val="20"/>
                <w:lang w:val="zh-CN" w:bidi="zh-CN"/>
              </w:rPr>
              <w:t>年），非洲非物质文化遗产保护区域中心（</w:t>
            </w:r>
            <w:r w:rsidRPr="00E178DC">
              <w:rPr>
                <w:rFonts w:cs="Arial"/>
                <w:sz w:val="20"/>
                <w:szCs w:val="20"/>
                <w:lang w:val="zh-CN" w:bidi="zh-CN"/>
              </w:rPr>
              <w:t>CRESPIAF</w:t>
            </w:r>
            <w:r w:rsidRPr="00E178DC">
              <w:rPr>
                <w:rFonts w:cs="Arial" w:hint="eastAsia"/>
                <w:sz w:val="20"/>
                <w:szCs w:val="20"/>
                <w:lang w:val="zh-CN" w:bidi="zh-CN"/>
              </w:rPr>
              <w:t>）负责非洲周期（</w:t>
            </w:r>
            <w:r w:rsidRPr="00E178DC">
              <w:rPr>
                <w:rFonts w:cs="Arial"/>
                <w:sz w:val="20"/>
                <w:szCs w:val="20"/>
                <w:lang w:val="zh-CN" w:bidi="zh-CN"/>
              </w:rPr>
              <w:t>2024</w:t>
            </w:r>
            <w:r w:rsidRPr="00E178DC">
              <w:rPr>
                <w:rFonts w:cs="Arial" w:hint="eastAsia"/>
                <w:sz w:val="20"/>
                <w:szCs w:val="20"/>
                <w:lang w:val="zh-CN" w:bidi="zh-CN"/>
              </w:rPr>
              <w:t>年），亚太非物质文化遗产国际信息与网络中心（</w:t>
            </w:r>
            <w:r w:rsidRPr="00E178DC">
              <w:rPr>
                <w:rFonts w:cs="Arial"/>
                <w:sz w:val="20"/>
                <w:szCs w:val="20"/>
                <w:lang w:val="zh-CN" w:bidi="zh-CN"/>
              </w:rPr>
              <w:t>ICHCAP</w:t>
            </w:r>
            <w:r w:rsidRPr="00E178DC">
              <w:rPr>
                <w:rFonts w:cs="Arial" w:hint="eastAsia"/>
                <w:sz w:val="20"/>
                <w:szCs w:val="20"/>
                <w:lang w:val="zh-CN" w:bidi="zh-CN"/>
              </w:rPr>
              <w:t>）和亚太地区非物质文化遗产国际培训中心（</w:t>
            </w:r>
            <w:r w:rsidRPr="00E178DC">
              <w:rPr>
                <w:rFonts w:cs="Arial"/>
                <w:sz w:val="20"/>
                <w:szCs w:val="20"/>
                <w:lang w:val="zh-CN" w:bidi="zh-CN"/>
              </w:rPr>
              <w:t>CRIHAP</w:t>
            </w:r>
            <w:r w:rsidRPr="00E178DC">
              <w:rPr>
                <w:rFonts w:cs="Arial" w:hint="eastAsia"/>
                <w:sz w:val="20"/>
                <w:szCs w:val="20"/>
                <w:lang w:val="zh-CN" w:bidi="zh-CN"/>
              </w:rPr>
              <w:t>）共同负责亚太周期（</w:t>
            </w:r>
            <w:r w:rsidRPr="00E178DC">
              <w:rPr>
                <w:rFonts w:cs="Arial"/>
                <w:sz w:val="20"/>
                <w:szCs w:val="20"/>
                <w:lang w:val="zh-CN" w:bidi="zh-CN"/>
              </w:rPr>
              <w:t>2025</w:t>
            </w:r>
            <w:r w:rsidRPr="00E178DC">
              <w:rPr>
                <w:rFonts w:cs="Arial" w:hint="eastAsia"/>
                <w:sz w:val="20"/>
                <w:szCs w:val="20"/>
                <w:lang w:val="zh-CN" w:bidi="zh-CN"/>
              </w:rPr>
              <w:t>年）。此类合作不仅增进了各中心与</w:t>
            </w:r>
            <w:r w:rsidRPr="00E178DC">
              <w:rPr>
                <w:rFonts w:cs="Arial"/>
                <w:sz w:val="20"/>
                <w:szCs w:val="20"/>
                <w:lang w:val="zh-CN" w:bidi="zh-CN"/>
              </w:rPr>
              <w:t>2003</w:t>
            </w:r>
            <w:r w:rsidRPr="00E178DC">
              <w:rPr>
                <w:rFonts w:cs="Arial" w:hint="eastAsia"/>
                <w:sz w:val="20"/>
                <w:szCs w:val="20"/>
                <w:lang w:val="zh-CN" w:bidi="zh-CN"/>
              </w:rPr>
              <w:t>年《公约》秘书处之间的交流，也进一步加强了它们的工作与教科文组织优先事项的一致性。通过与亚太地区非物质文化遗产国际研究中心（</w:t>
            </w:r>
            <w:r w:rsidRPr="00E178DC">
              <w:rPr>
                <w:rFonts w:cs="Arial"/>
                <w:sz w:val="20"/>
                <w:szCs w:val="20"/>
                <w:lang w:val="zh-CN" w:bidi="zh-CN"/>
              </w:rPr>
              <w:t>IRCI</w:t>
            </w:r>
            <w:r w:rsidRPr="00E178DC">
              <w:rPr>
                <w:rFonts w:cs="Arial" w:hint="eastAsia"/>
                <w:sz w:val="20"/>
                <w:szCs w:val="20"/>
                <w:lang w:val="zh-CN" w:bidi="zh-CN"/>
              </w:rPr>
              <w:t>）的合作，开展了多项专题协作，重点支持《公约》的各项主题举措。</w:t>
            </w:r>
          </w:p>
        </w:tc>
      </w:tr>
    </w:tbl>
    <w:p w14:paraId="2BE315BB" w14:textId="45C5D55D" w:rsidR="00B948AD" w:rsidRPr="00B25FFD" w:rsidRDefault="00B948AD" w:rsidP="00B25FFD">
      <w:pPr>
        <w:pStyle w:val="COMParaDecision"/>
        <w:numPr>
          <w:ilvl w:val="0"/>
          <w:numId w:val="0"/>
        </w:numPr>
        <w:ind w:left="1134" w:hanging="567"/>
      </w:pPr>
    </w:p>
    <w:sectPr w:rsidR="00B948AD" w:rsidRPr="00B25FFD" w:rsidSect="00B25FFD">
      <w:pgSz w:w="16838" w:h="11906" w:orient="landscape" w:code="9"/>
      <w:pgMar w:top="1134" w:right="1418" w:bottom="1134" w:left="993"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B7C3" w14:textId="77777777" w:rsidR="007A5D9B" w:rsidRDefault="007A5D9B" w:rsidP="00A42B5E">
      <w:r>
        <w:separator/>
      </w:r>
    </w:p>
  </w:endnote>
  <w:endnote w:type="continuationSeparator" w:id="0">
    <w:p w14:paraId="62E81389" w14:textId="77777777" w:rsidR="007A5D9B" w:rsidRDefault="007A5D9B" w:rsidP="00A4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D620" w14:textId="77777777" w:rsidR="007A5D9B" w:rsidRDefault="007A5D9B" w:rsidP="00A42B5E">
      <w:r>
        <w:separator/>
      </w:r>
    </w:p>
  </w:footnote>
  <w:footnote w:type="continuationSeparator" w:id="0">
    <w:p w14:paraId="2A5664D5" w14:textId="77777777" w:rsidR="007A5D9B" w:rsidRDefault="007A5D9B" w:rsidP="00A42B5E">
      <w:r>
        <w:continuationSeparator/>
      </w:r>
    </w:p>
  </w:footnote>
  <w:footnote w:id="1">
    <w:p w14:paraId="74B81CFF" w14:textId="39434717" w:rsidR="00B25FFD" w:rsidRPr="00E957F6" w:rsidRDefault="00B25FFD" w:rsidP="00B25FFD">
      <w:pPr>
        <w:pStyle w:val="FootnoteText"/>
        <w:ind w:left="567" w:hanging="567"/>
        <w:jc w:val="both"/>
        <w:rPr>
          <w:rFonts w:asciiTheme="minorBidi" w:hAnsiTheme="minorBidi" w:cstheme="minorBidi"/>
          <w:sz w:val="18"/>
          <w:szCs w:val="18"/>
          <w:lang w:val="en-US"/>
        </w:rPr>
      </w:pPr>
      <w:r w:rsidRPr="00502368">
        <w:rPr>
          <w:rStyle w:val="FootnoteReference"/>
          <w:rFonts w:asciiTheme="minorBidi" w:hAnsiTheme="minorBidi" w:cstheme="minorBidi"/>
          <w:sz w:val="18"/>
          <w:szCs w:val="18"/>
          <w:lang w:val="zh-CN" w:bidi="zh-CN"/>
        </w:rPr>
        <w:footnoteRef/>
      </w:r>
      <w:r w:rsidRPr="00E957F6">
        <w:rPr>
          <w:rFonts w:asciiTheme="minorBidi" w:hAnsiTheme="minorBidi" w:cstheme="minorBidi"/>
          <w:sz w:val="18"/>
          <w:szCs w:val="18"/>
          <w:vertAlign w:val="superscript"/>
          <w:lang w:val="zh-CN" w:bidi="zh-CN"/>
        </w:rPr>
        <w:t>.</w:t>
      </w:r>
      <w:r w:rsidRPr="00E957F6">
        <w:rPr>
          <w:rFonts w:asciiTheme="minorBidi" w:hAnsiTheme="minorBidi" w:cstheme="minorBidi"/>
          <w:sz w:val="18"/>
          <w:szCs w:val="18"/>
          <w:lang w:val="zh-CN" w:bidi="zh-CN"/>
        </w:rPr>
        <w:tab/>
      </w:r>
      <w:r w:rsidR="00E54A71">
        <w:rPr>
          <w:rFonts w:asciiTheme="minorBidi" w:hAnsiTheme="minorBidi" w:cstheme="minorBidi" w:hint="eastAsia"/>
          <w:sz w:val="18"/>
          <w:szCs w:val="18"/>
          <w:lang w:val="zh-CN" w:bidi="zh-CN"/>
        </w:rPr>
        <w:t>见</w:t>
      </w:r>
      <w:hyperlink r:id="rId1" w:history="1">
        <w:r w:rsidRPr="00E178DC">
          <w:rPr>
            <w:rStyle w:val="Hyperlink"/>
            <w:rFonts w:cstheme="minorBidi"/>
            <w:sz w:val="18"/>
            <w:szCs w:val="18"/>
            <w:lang w:val="zh-CN" w:bidi="zh-CN"/>
          </w:rPr>
          <w:t>LHE/21/16.COM/10 Rev.</w:t>
        </w:r>
      </w:hyperlink>
      <w:r w:rsidRPr="00E178DC">
        <w:rPr>
          <w:rFonts w:cstheme="minorBidi" w:hint="eastAsia"/>
          <w:sz w:val="18"/>
          <w:szCs w:val="18"/>
          <w:lang w:val="zh-CN" w:bidi="zh-CN"/>
        </w:rPr>
        <w:t>号文件和</w:t>
      </w:r>
      <w:hyperlink r:id="rId2" w:history="1">
        <w:r w:rsidRPr="00E178DC">
          <w:rPr>
            <w:rStyle w:val="Hyperlink"/>
            <w:rFonts w:cstheme="minorBidi"/>
            <w:sz w:val="18"/>
            <w:szCs w:val="18"/>
            <w:lang w:val="zh-CN" w:bidi="zh-CN"/>
          </w:rPr>
          <w:t>LHE/21/16.COM/INF.10 Rev.</w:t>
        </w:r>
      </w:hyperlink>
      <w:r w:rsidRPr="00E178DC">
        <w:rPr>
          <w:rStyle w:val="Hyperlink"/>
          <w:rFonts w:cstheme="minorBidi" w:hint="eastAsia"/>
          <w:color w:val="auto"/>
          <w:sz w:val="18"/>
          <w:szCs w:val="18"/>
          <w:u w:val="none"/>
          <w:lang w:val="zh-CN" w:bidi="zh-CN"/>
        </w:rPr>
        <w:t>号文件；后续行动参照委员会第十六届会议第</w:t>
      </w:r>
      <w:hyperlink r:id="rId3" w:history="1">
        <w:r w:rsidRPr="00E178DC">
          <w:rPr>
            <w:rStyle w:val="Hyperlink"/>
            <w:rFonts w:cstheme="minorBidi"/>
            <w:sz w:val="18"/>
            <w:szCs w:val="18"/>
            <w:lang w:val="zh-CN" w:bidi="zh-CN"/>
          </w:rPr>
          <w:t>16.COM 10</w:t>
        </w:r>
      </w:hyperlink>
      <w:r w:rsidRPr="00E178DC">
        <w:rPr>
          <w:rStyle w:val="Hyperlink"/>
          <w:rFonts w:cstheme="minorBidi" w:hint="eastAsia"/>
          <w:color w:val="auto"/>
          <w:sz w:val="18"/>
          <w:szCs w:val="18"/>
          <w:u w:val="none"/>
          <w:lang w:val="zh-CN" w:bidi="zh-CN"/>
        </w:rPr>
        <w:t>号决定提供。</w:t>
      </w:r>
    </w:p>
  </w:footnote>
  <w:footnote w:id="2">
    <w:p w14:paraId="563D4FE2" w14:textId="583522A4" w:rsidR="00B25FFD" w:rsidRPr="00E957F6" w:rsidRDefault="00B25FFD" w:rsidP="00B25FFD">
      <w:pPr>
        <w:pStyle w:val="FootnoteText"/>
        <w:ind w:left="567" w:hanging="567"/>
        <w:jc w:val="both"/>
        <w:rPr>
          <w:rFonts w:asciiTheme="minorBidi" w:hAnsiTheme="minorBidi" w:cstheme="minorBidi"/>
          <w:sz w:val="18"/>
          <w:szCs w:val="18"/>
          <w:lang w:val="en-US"/>
        </w:rPr>
      </w:pPr>
      <w:r w:rsidRPr="00502368">
        <w:rPr>
          <w:rStyle w:val="FootnoteReference"/>
          <w:rFonts w:asciiTheme="minorBidi" w:hAnsiTheme="minorBidi" w:cstheme="minorBidi"/>
          <w:sz w:val="18"/>
          <w:szCs w:val="18"/>
          <w:lang w:val="zh-CN" w:bidi="zh-CN"/>
        </w:rPr>
        <w:footnoteRef/>
      </w:r>
      <w:r w:rsidRPr="00E957F6">
        <w:rPr>
          <w:rFonts w:asciiTheme="minorBidi" w:hAnsiTheme="minorBidi" w:cstheme="minorBidi"/>
          <w:sz w:val="18"/>
          <w:szCs w:val="18"/>
          <w:vertAlign w:val="superscript"/>
          <w:lang w:val="zh-CN" w:bidi="zh-CN"/>
        </w:rPr>
        <w:t>.</w:t>
      </w:r>
      <w:r w:rsidRPr="00E957F6">
        <w:rPr>
          <w:rFonts w:asciiTheme="minorBidi" w:hAnsiTheme="minorBidi" w:cstheme="minorBidi"/>
          <w:sz w:val="18"/>
          <w:szCs w:val="18"/>
          <w:lang w:val="zh-CN" w:bidi="zh-CN"/>
        </w:rPr>
        <w:tab/>
      </w:r>
      <w:r w:rsidR="00A73299" w:rsidRPr="00E178DC">
        <w:rPr>
          <w:rFonts w:cstheme="minorBidi" w:hint="eastAsia"/>
          <w:sz w:val="18"/>
          <w:szCs w:val="18"/>
          <w:lang w:val="zh-CN" w:bidi="zh-CN"/>
        </w:rPr>
        <w:t>非洲保护非物质文化遗产地区中心（</w:t>
      </w:r>
      <w:r w:rsidR="00A73299" w:rsidRPr="00E178DC">
        <w:rPr>
          <w:rFonts w:cstheme="minorBidi"/>
          <w:sz w:val="18"/>
          <w:szCs w:val="18"/>
          <w:lang w:val="zh-CN" w:bidi="zh-CN"/>
        </w:rPr>
        <w:t>CRESPIAF</w:t>
      </w:r>
      <w:r w:rsidR="00A73299" w:rsidRPr="00E178DC">
        <w:rPr>
          <w:rFonts w:cstheme="minorBidi" w:hint="eastAsia"/>
          <w:sz w:val="18"/>
          <w:szCs w:val="18"/>
          <w:lang w:val="zh-CN" w:bidi="zh-CN"/>
        </w:rPr>
        <w:t>）、</w:t>
      </w:r>
      <w:r w:rsidRPr="00E178DC">
        <w:rPr>
          <w:rStyle w:val="Hyperlink"/>
          <w:rFonts w:cstheme="minorBidi" w:hint="eastAsia"/>
          <w:color w:val="auto"/>
          <w:sz w:val="18"/>
          <w:szCs w:val="18"/>
          <w:u w:val="none"/>
          <w:lang w:val="zh-CN" w:bidi="zh-CN"/>
        </w:rPr>
        <w:t>拉丁美洲保护非物质文化遗产地区中心（</w:t>
      </w:r>
      <w:r w:rsidRPr="00E178DC">
        <w:rPr>
          <w:rStyle w:val="Hyperlink"/>
          <w:rFonts w:cstheme="minorBidi"/>
          <w:color w:val="auto"/>
          <w:sz w:val="18"/>
          <w:szCs w:val="18"/>
          <w:u w:val="none"/>
          <w:lang w:val="zh-CN" w:bidi="zh-CN"/>
        </w:rPr>
        <w:t>CRESPIAL</w:t>
      </w:r>
      <w:r w:rsidRPr="00E178DC">
        <w:rPr>
          <w:rStyle w:val="Hyperlink"/>
          <w:rFonts w:cstheme="minorBidi" w:hint="eastAsia"/>
          <w:color w:val="auto"/>
          <w:sz w:val="18"/>
          <w:szCs w:val="18"/>
          <w:u w:val="none"/>
          <w:lang w:val="zh-CN" w:bidi="zh-CN"/>
        </w:rPr>
        <w:t>）</w:t>
      </w:r>
      <w:r w:rsidRPr="00E178DC">
        <w:rPr>
          <w:rStyle w:val="Hyperlink"/>
          <w:rFonts w:cstheme="minorBidi" w:hint="eastAsia"/>
          <w:color w:val="auto"/>
          <w:sz w:val="18"/>
          <w:szCs w:val="18"/>
          <w:u w:val="none"/>
          <w:lang w:val="zh-CN" w:bidi="zh-CN"/>
        </w:rPr>
        <w:t>、亚太地区非物质文化遗产国际培训中心（</w:t>
      </w:r>
      <w:r w:rsidRPr="00E178DC">
        <w:rPr>
          <w:rStyle w:val="Hyperlink"/>
          <w:rFonts w:cstheme="minorBidi"/>
          <w:color w:val="auto"/>
          <w:sz w:val="18"/>
          <w:szCs w:val="18"/>
          <w:u w:val="none"/>
          <w:lang w:val="zh-CN" w:bidi="zh-CN"/>
        </w:rPr>
        <w:t>CRIHAP</w:t>
      </w:r>
      <w:r w:rsidRPr="00E178DC">
        <w:rPr>
          <w:rStyle w:val="Hyperlink"/>
          <w:rFonts w:cstheme="minorBidi" w:hint="eastAsia"/>
          <w:color w:val="auto"/>
          <w:sz w:val="18"/>
          <w:szCs w:val="18"/>
          <w:u w:val="none"/>
          <w:lang w:val="zh-CN" w:bidi="zh-CN"/>
        </w:rPr>
        <w:t>）、亚太地区非物质文化遗产国际研究中心（</w:t>
      </w:r>
      <w:r w:rsidRPr="00E178DC">
        <w:rPr>
          <w:rStyle w:val="Hyperlink"/>
          <w:rFonts w:cstheme="minorBidi"/>
          <w:color w:val="auto"/>
          <w:sz w:val="18"/>
          <w:szCs w:val="18"/>
          <w:u w:val="none"/>
          <w:lang w:val="zh-CN" w:bidi="zh-CN"/>
        </w:rPr>
        <w:t>IRCI</w:t>
      </w:r>
      <w:r w:rsidRPr="00E178DC">
        <w:rPr>
          <w:rStyle w:val="Hyperlink"/>
          <w:rFonts w:cstheme="minorBidi" w:hint="eastAsia"/>
          <w:color w:val="auto"/>
          <w:sz w:val="18"/>
          <w:szCs w:val="18"/>
          <w:u w:val="none"/>
          <w:lang w:val="zh-CN" w:bidi="zh-CN"/>
        </w:rPr>
        <w:t>）、亚太地区非物质文化遗产国际信息与网络中心（</w:t>
      </w:r>
      <w:r w:rsidRPr="00E178DC">
        <w:rPr>
          <w:rStyle w:val="Hyperlink"/>
          <w:rFonts w:cstheme="minorBidi"/>
          <w:color w:val="auto"/>
          <w:sz w:val="18"/>
          <w:szCs w:val="18"/>
          <w:u w:val="none"/>
          <w:lang w:val="zh-CN" w:bidi="zh-CN"/>
        </w:rPr>
        <w:t>ICHCAP</w:t>
      </w:r>
      <w:r w:rsidRPr="00E178DC">
        <w:rPr>
          <w:rStyle w:val="Hyperlink"/>
          <w:rFonts w:cstheme="minorBidi" w:hint="eastAsia"/>
          <w:color w:val="auto"/>
          <w:sz w:val="18"/>
          <w:szCs w:val="18"/>
          <w:u w:val="none"/>
          <w:lang w:val="zh-CN" w:bidi="zh-CN"/>
        </w:rPr>
        <w:t>）。</w:t>
      </w:r>
    </w:p>
  </w:footnote>
  <w:footnote w:id="3">
    <w:p w14:paraId="1EED6C4F" w14:textId="25A6E1C2" w:rsidR="00B25FFD" w:rsidRPr="00E178DC" w:rsidRDefault="00B25FFD" w:rsidP="00B25FFD">
      <w:pPr>
        <w:pStyle w:val="FootnoteText"/>
        <w:rPr>
          <w:rFonts w:cstheme="minorBidi"/>
          <w:sz w:val="18"/>
          <w:szCs w:val="18"/>
          <w:lang w:val="en-GB"/>
        </w:rPr>
      </w:pPr>
      <w:r w:rsidRPr="00E957F6">
        <w:rPr>
          <w:rStyle w:val="FootnoteReference"/>
          <w:rFonts w:asciiTheme="minorBidi" w:hAnsiTheme="minorBidi" w:cstheme="minorBidi"/>
          <w:sz w:val="18"/>
          <w:szCs w:val="18"/>
          <w:lang w:val="zh-CN" w:bidi="zh-CN"/>
        </w:rPr>
        <w:footnoteRef/>
      </w:r>
      <w:r w:rsidR="00E178DC">
        <w:rPr>
          <w:rFonts w:cstheme="minorBidi"/>
          <w:sz w:val="18"/>
          <w:szCs w:val="18"/>
          <w:lang w:val="en-GB" w:bidi="zh-CN"/>
        </w:rPr>
        <w:t xml:space="preserve"> </w:t>
      </w:r>
      <w:r w:rsidR="00E178DC">
        <w:rPr>
          <w:rFonts w:cstheme="minorBidi"/>
          <w:sz w:val="18"/>
          <w:szCs w:val="18"/>
          <w:lang w:val="en-GB" w:bidi="zh-CN"/>
        </w:rPr>
        <w:tab/>
      </w:r>
      <w:r w:rsidRPr="00E178DC">
        <w:rPr>
          <w:rFonts w:cstheme="minorBidi" w:hint="eastAsia"/>
          <w:sz w:val="18"/>
          <w:szCs w:val="18"/>
          <w:lang w:val="zh-CN" w:bidi="zh-CN"/>
        </w:rPr>
        <w:t>有关管理层在</w:t>
      </w:r>
      <w:r w:rsidRPr="00E178DC">
        <w:rPr>
          <w:rFonts w:cstheme="minorBidi"/>
          <w:sz w:val="18"/>
          <w:szCs w:val="18"/>
          <w:lang w:val="en-US" w:bidi="zh-CN"/>
        </w:rPr>
        <w:t>2021</w:t>
      </w:r>
      <w:r w:rsidRPr="00E178DC">
        <w:rPr>
          <w:rFonts w:cstheme="minorBidi" w:hint="eastAsia"/>
          <w:sz w:val="18"/>
          <w:szCs w:val="18"/>
          <w:lang w:val="zh-CN" w:bidi="zh-CN"/>
        </w:rPr>
        <w:t>年给出的初步回应</w:t>
      </w:r>
      <w:r w:rsidR="00C357F1" w:rsidRPr="00E178DC">
        <w:rPr>
          <w:rFonts w:cstheme="minorBidi" w:hint="eastAsia"/>
          <w:sz w:val="18"/>
          <w:szCs w:val="18"/>
          <w:lang w:val="en-US" w:bidi="zh-CN"/>
        </w:rPr>
        <w:t>，</w:t>
      </w:r>
      <w:r w:rsidR="00C357F1" w:rsidRPr="00E178DC">
        <w:rPr>
          <w:rFonts w:cstheme="minorBidi" w:hint="eastAsia"/>
          <w:sz w:val="18"/>
          <w:szCs w:val="18"/>
          <w:lang w:val="zh-CN" w:bidi="zh-CN"/>
        </w:rPr>
        <w:t>参见</w:t>
      </w:r>
      <w:hyperlink r:id="rId4" w:history="1">
        <w:r w:rsidR="00C357F1" w:rsidRPr="00E178DC">
          <w:rPr>
            <w:rStyle w:val="Hyperlink"/>
            <w:rFonts w:cstheme="minorBidi"/>
            <w:sz w:val="18"/>
            <w:szCs w:val="18"/>
            <w:lang w:val="en-US" w:bidi="zh-CN"/>
          </w:rPr>
          <w:t>LHE/21/16.COM/10 Rev.</w:t>
        </w:r>
      </w:hyperlink>
      <w:r w:rsidR="00C357F1" w:rsidRPr="00E178DC">
        <w:rPr>
          <w:rFonts w:cstheme="minorBidi" w:hint="eastAsia"/>
          <w:sz w:val="18"/>
          <w:szCs w:val="18"/>
          <w:lang w:val="zh-CN" w:bidi="zh-CN"/>
        </w:rPr>
        <w:t>号和</w:t>
      </w:r>
      <w:hyperlink r:id="rId5" w:history="1">
        <w:r w:rsidR="00C357F1" w:rsidRPr="00E178DC">
          <w:rPr>
            <w:rStyle w:val="Hyperlink"/>
            <w:rFonts w:cstheme="minorBidi"/>
            <w:sz w:val="18"/>
            <w:szCs w:val="18"/>
            <w:lang w:val="en-US" w:bidi="zh-CN"/>
          </w:rPr>
          <w:t>LHE/21/16.COM/INF.10 Rev.</w:t>
        </w:r>
      </w:hyperlink>
      <w:r w:rsidR="00C357F1" w:rsidRPr="00E178DC">
        <w:rPr>
          <w:rFonts w:cstheme="minorBidi" w:hint="eastAsia"/>
          <w:sz w:val="18"/>
          <w:szCs w:val="18"/>
          <w:lang w:val="zh-CN" w:bidi="zh-CN"/>
        </w:rPr>
        <w:t>号文件</w:t>
      </w:r>
      <w:r w:rsidRPr="00E178DC">
        <w:rPr>
          <w:rFonts w:cstheme="minorBidi" w:hint="eastAsia"/>
          <w:sz w:val="18"/>
          <w:szCs w:val="18"/>
          <w:lang w:val="zh-CN" w:bidi="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1EEF" w14:textId="77777777" w:rsidR="00B25FFD" w:rsidRPr="00C23A97" w:rsidRDefault="00B25FFD" w:rsidP="00C5776D">
    <w:pPr>
      <w:pStyle w:val="Header"/>
      <w:rPr>
        <w:rFonts w:ascii="Arial" w:hAnsi="Arial" w:cs="Arial"/>
        <w:lang w:val="en-GB"/>
      </w:rPr>
    </w:pPr>
    <w:r>
      <w:rPr>
        <w:rFonts w:ascii="Arial" w:eastAsia="Arial" w:hAnsi="Arial" w:cs="Arial"/>
        <w:sz w:val="20"/>
        <w:szCs w:val="20"/>
        <w:lang w:val="zh-CN" w:bidi="zh-CN"/>
      </w:rPr>
      <w:t xml:space="preserve">LHE/26/11.GA/6 – </w:t>
    </w:r>
    <w:r w:rsidRPr="00E178DC">
      <w:rPr>
        <w:rFonts w:cs="Arial" w:hint="eastAsia"/>
        <w:sz w:val="20"/>
        <w:szCs w:val="20"/>
        <w:lang w:val="zh-CN" w:bidi="zh-CN"/>
      </w:rPr>
      <w:t>第</w:t>
    </w:r>
    <w:r w:rsidRPr="00E178DC">
      <w:rPr>
        <w:rStyle w:val="PageNumber"/>
        <w:rFonts w:cs="Arial"/>
        <w:sz w:val="20"/>
        <w:szCs w:val="20"/>
        <w:lang w:val="zh-CN" w:bidi="zh-CN"/>
      </w:rPr>
      <w:fldChar w:fldCharType="begin"/>
    </w:r>
    <w:r w:rsidRPr="00E178DC">
      <w:rPr>
        <w:rStyle w:val="PageNumber"/>
        <w:rFonts w:cs="Arial"/>
        <w:sz w:val="20"/>
        <w:szCs w:val="20"/>
        <w:lang w:val="zh-CN" w:bidi="zh-CN"/>
      </w:rPr>
      <w:instrText xml:space="preserve"> PAGE </w:instrText>
    </w:r>
    <w:r w:rsidRPr="00E178DC">
      <w:rPr>
        <w:rStyle w:val="PageNumber"/>
        <w:rFonts w:cs="Arial"/>
        <w:sz w:val="20"/>
        <w:szCs w:val="20"/>
        <w:lang w:val="zh-CN" w:bidi="zh-CN"/>
      </w:rPr>
      <w:fldChar w:fldCharType="separate"/>
    </w:r>
    <w:r w:rsidRPr="00E178DC">
      <w:rPr>
        <w:rStyle w:val="PageNumber"/>
        <w:rFonts w:cs="Arial"/>
        <w:noProof/>
        <w:sz w:val="20"/>
        <w:szCs w:val="20"/>
        <w:lang w:val="zh-CN" w:bidi="zh-CN"/>
      </w:rPr>
      <w:t>2</w:t>
    </w:r>
    <w:r w:rsidRPr="00E178DC">
      <w:rPr>
        <w:rStyle w:val="PageNumber"/>
        <w:rFonts w:cs="Arial"/>
        <w:sz w:val="20"/>
        <w:szCs w:val="20"/>
        <w:lang w:val="zh-CN" w:bidi="zh-CN"/>
      </w:rPr>
      <w:fldChar w:fldCharType="end"/>
    </w:r>
    <w:r w:rsidRPr="00E178DC">
      <w:rPr>
        <w:rFonts w:cs="Arial" w:hint="eastAsia"/>
        <w:sz w:val="20"/>
        <w:szCs w:val="20"/>
        <w:lang w:val="zh-CN" w:bidi="zh-CN"/>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9D8E" w14:textId="77777777" w:rsidR="00B25FFD" w:rsidRPr="0063300C" w:rsidRDefault="00B25FFD" w:rsidP="00C5776D">
    <w:pPr>
      <w:pStyle w:val="Header"/>
      <w:jc w:val="right"/>
      <w:rPr>
        <w:rFonts w:ascii="Arial" w:hAnsi="Arial" w:cs="Arial"/>
        <w:lang w:val="en-GB"/>
      </w:rPr>
    </w:pPr>
    <w:r>
      <w:rPr>
        <w:rFonts w:ascii="Arial" w:eastAsia="Arial" w:hAnsi="Arial" w:cs="Arial"/>
        <w:sz w:val="20"/>
        <w:szCs w:val="20"/>
        <w:lang w:val="zh-CN" w:bidi="zh-CN"/>
      </w:rPr>
      <w:t xml:space="preserve">LHE/26/11.GA/6 – </w:t>
    </w:r>
    <w:r w:rsidRPr="00E178DC">
      <w:rPr>
        <w:rFonts w:cs="Arial" w:hint="eastAsia"/>
        <w:sz w:val="20"/>
        <w:szCs w:val="20"/>
        <w:lang w:val="zh-CN" w:bidi="zh-CN"/>
      </w:rPr>
      <w:t>第</w:t>
    </w:r>
    <w:r w:rsidRPr="00E178DC">
      <w:rPr>
        <w:rStyle w:val="PageNumber"/>
        <w:rFonts w:cs="Arial"/>
        <w:sz w:val="20"/>
        <w:szCs w:val="20"/>
        <w:lang w:val="zh-CN" w:bidi="zh-CN"/>
      </w:rPr>
      <w:fldChar w:fldCharType="begin"/>
    </w:r>
    <w:r w:rsidRPr="00E178DC">
      <w:rPr>
        <w:rStyle w:val="PageNumber"/>
        <w:rFonts w:cs="Arial"/>
        <w:sz w:val="20"/>
        <w:szCs w:val="20"/>
        <w:lang w:val="zh-CN" w:bidi="zh-CN"/>
      </w:rPr>
      <w:instrText xml:space="preserve"> PAGE </w:instrText>
    </w:r>
    <w:r w:rsidRPr="00E178DC">
      <w:rPr>
        <w:rStyle w:val="PageNumber"/>
        <w:rFonts w:cs="Arial"/>
        <w:sz w:val="20"/>
        <w:szCs w:val="20"/>
        <w:lang w:val="zh-CN" w:bidi="zh-CN"/>
      </w:rPr>
      <w:fldChar w:fldCharType="separate"/>
    </w:r>
    <w:r w:rsidRPr="00E178DC">
      <w:rPr>
        <w:rStyle w:val="PageNumber"/>
        <w:rFonts w:cs="Arial"/>
        <w:noProof/>
        <w:sz w:val="20"/>
        <w:szCs w:val="20"/>
        <w:lang w:val="zh-CN" w:bidi="zh-CN"/>
      </w:rPr>
      <w:t>3</w:t>
    </w:r>
    <w:r w:rsidRPr="00E178DC">
      <w:rPr>
        <w:rStyle w:val="PageNumber"/>
        <w:rFonts w:cs="Arial"/>
        <w:sz w:val="20"/>
        <w:szCs w:val="20"/>
        <w:lang w:val="zh-CN" w:bidi="zh-CN"/>
      </w:rPr>
      <w:fldChar w:fldCharType="end"/>
    </w:r>
    <w:r w:rsidRPr="00E178DC">
      <w:rPr>
        <w:rFonts w:cs="Arial" w:hint="eastAsia"/>
        <w:sz w:val="20"/>
        <w:szCs w:val="20"/>
        <w:lang w:val="zh-CN" w:bidi="zh-CN"/>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3DC3" w14:textId="77777777" w:rsidR="00B25FFD" w:rsidRPr="00E95AE2" w:rsidRDefault="00B25FFD">
    <w:pPr>
      <w:pStyle w:val="Header"/>
      <w:rPr>
        <w:lang w:val="en-GB"/>
      </w:rPr>
    </w:pPr>
    <w:r>
      <w:rPr>
        <w:noProof/>
        <w:lang w:val="zh-CN" w:bidi="zh-CN"/>
      </w:rPr>
      <w:drawing>
        <wp:anchor distT="0" distB="0" distL="114300" distR="114300" simplePos="0" relativeHeight="251661312" behindDoc="0" locked="0" layoutInCell="1" allowOverlap="1" wp14:anchorId="5C0F4EFB" wp14:editId="58CD90F3">
          <wp:simplePos x="0" y="0"/>
          <wp:positionH relativeFrom="margin">
            <wp:align>left</wp:align>
          </wp:positionH>
          <wp:positionV relativeFrom="paragraph">
            <wp:posOffset>97155</wp:posOffset>
          </wp:positionV>
          <wp:extent cx="1951990" cy="1483360"/>
          <wp:effectExtent l="0" t="0" r="0" b="2540"/>
          <wp:wrapSquare wrapText="bothSides"/>
          <wp:docPr id="6554838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83846"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55754" cy="14863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0B25B9" w14:textId="77777777" w:rsidR="00B25FFD" w:rsidRPr="00D7105A" w:rsidRDefault="00B25FFD" w:rsidP="00C5776D">
    <w:pPr>
      <w:pStyle w:val="Header"/>
      <w:spacing w:after="520"/>
      <w:jc w:val="right"/>
      <w:rPr>
        <w:rFonts w:ascii="Arial" w:hAnsi="Arial" w:cs="Arial"/>
        <w:b/>
        <w:sz w:val="44"/>
        <w:szCs w:val="44"/>
        <w:lang w:val="pt-PT"/>
      </w:rPr>
    </w:pPr>
    <w:r w:rsidRPr="00AA69B3">
      <w:rPr>
        <w:rFonts w:ascii="Arial" w:eastAsia="Arial" w:hAnsi="Arial" w:cs="Arial"/>
        <w:b/>
        <w:sz w:val="44"/>
        <w:szCs w:val="44"/>
        <w:lang w:val="nl-NL" w:bidi="zh-CN"/>
      </w:rPr>
      <w:t>11 GA</w:t>
    </w:r>
  </w:p>
  <w:p w14:paraId="1AB319C7" w14:textId="77777777" w:rsidR="00B25FFD" w:rsidRPr="00D7105A" w:rsidRDefault="00B25FFD" w:rsidP="00C5776D">
    <w:pPr>
      <w:jc w:val="right"/>
      <w:rPr>
        <w:rFonts w:ascii="Arial" w:hAnsi="Arial" w:cs="Arial"/>
        <w:b/>
        <w:lang w:val="pt-PT"/>
      </w:rPr>
    </w:pPr>
    <w:r w:rsidRPr="00AA69B3">
      <w:rPr>
        <w:rFonts w:ascii="Arial" w:eastAsia="Arial" w:hAnsi="Arial" w:cs="Arial"/>
        <w:b/>
        <w:lang w:val="nl-NL" w:bidi="zh-CN"/>
      </w:rPr>
      <w:t>LHE/26/11.GA/6</w:t>
    </w:r>
  </w:p>
  <w:p w14:paraId="63F0AC86" w14:textId="77777777" w:rsidR="00B25FFD" w:rsidRPr="00D7105A" w:rsidRDefault="00B25FFD" w:rsidP="00655736">
    <w:pPr>
      <w:jc w:val="right"/>
      <w:rPr>
        <w:rFonts w:ascii="Arial" w:eastAsiaTheme="minorEastAsia" w:hAnsi="Arial" w:cs="Arial"/>
        <w:b/>
        <w:lang w:val="pt-PT" w:eastAsia="ko-KR"/>
      </w:rPr>
    </w:pPr>
    <w:r w:rsidRPr="00D7105A">
      <w:rPr>
        <w:rFonts w:ascii="Arial" w:eastAsia="Arial" w:hAnsi="Arial" w:cs="Arial"/>
        <w:b/>
        <w:lang w:val="zh-CN" w:bidi="zh-CN"/>
      </w:rPr>
      <w:t>巴黎</w:t>
    </w:r>
    <w:r w:rsidRPr="00AA69B3">
      <w:rPr>
        <w:rFonts w:ascii="Arial" w:eastAsia="Arial" w:hAnsi="Arial" w:cs="Arial"/>
        <w:b/>
        <w:lang w:val="nl-NL" w:bidi="zh-CN"/>
      </w:rPr>
      <w:t>，2026</w:t>
    </w:r>
    <w:r w:rsidRPr="00D7105A">
      <w:rPr>
        <w:rFonts w:ascii="Arial" w:eastAsia="Arial" w:hAnsi="Arial" w:cs="Arial"/>
        <w:b/>
        <w:lang w:val="zh-CN" w:bidi="zh-CN"/>
      </w:rPr>
      <w:t>年</w:t>
    </w:r>
    <w:r w:rsidRPr="00AA69B3">
      <w:rPr>
        <w:rFonts w:ascii="Arial" w:eastAsia="Arial" w:hAnsi="Arial" w:cs="Arial"/>
        <w:b/>
        <w:lang w:val="nl-NL" w:bidi="zh-CN"/>
      </w:rPr>
      <w:t>5</w:t>
    </w:r>
    <w:r w:rsidRPr="00D7105A">
      <w:rPr>
        <w:rFonts w:ascii="Arial" w:eastAsia="Arial" w:hAnsi="Arial" w:cs="Arial"/>
        <w:b/>
        <w:lang w:val="zh-CN" w:bidi="zh-CN"/>
      </w:rPr>
      <w:t>月</w:t>
    </w:r>
    <w:r w:rsidRPr="00AA69B3">
      <w:rPr>
        <w:rFonts w:ascii="Arial" w:eastAsia="Arial" w:hAnsi="Arial" w:cs="Arial"/>
        <w:b/>
        <w:lang w:val="nl-NL" w:bidi="zh-CN"/>
      </w:rPr>
      <w:t>18</w:t>
    </w:r>
    <w:r w:rsidRPr="00D7105A">
      <w:rPr>
        <w:rFonts w:ascii="Arial" w:eastAsia="Arial" w:hAnsi="Arial" w:cs="Arial"/>
        <w:b/>
        <w:lang w:val="zh-CN" w:bidi="zh-CN"/>
      </w:rPr>
      <w:t>日</w:t>
    </w:r>
  </w:p>
  <w:p w14:paraId="23178A97" w14:textId="77777777" w:rsidR="00B25FFD" w:rsidRPr="00F32C23" w:rsidRDefault="00B25FFD" w:rsidP="00962034">
    <w:pPr>
      <w:spacing w:after="120"/>
      <w:jc w:val="right"/>
      <w:rPr>
        <w:rFonts w:ascii="Arial" w:hAnsi="Arial" w:cs="Arial"/>
        <w:b/>
        <w:lang w:val="en-GB"/>
      </w:rPr>
    </w:pPr>
    <w:r w:rsidRPr="00F32C23">
      <w:rPr>
        <w:rFonts w:ascii="Arial" w:eastAsia="Arial" w:hAnsi="Arial" w:cs="Arial"/>
        <w:b/>
        <w:lang w:val="zh-CN" w:bidi="zh-CN"/>
      </w:rPr>
      <w:t>原文：英文</w:t>
    </w:r>
  </w:p>
  <w:p w14:paraId="592C8AA3" w14:textId="77777777" w:rsidR="00B25FFD" w:rsidRPr="00E95AE2" w:rsidRDefault="00B25FFD">
    <w:pPr>
      <w:pStyle w:val="Heade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A453" w14:textId="68D3FBD6" w:rsidR="00A42B5E" w:rsidRPr="00B25FFD" w:rsidRDefault="00A42B5E" w:rsidP="00C5776D">
    <w:pPr>
      <w:pStyle w:val="Header"/>
      <w:rPr>
        <w:rFonts w:ascii="Arial" w:hAnsi="Arial" w:cs="Arial"/>
        <w:vanish/>
      </w:rPr>
    </w:pPr>
    <w:r w:rsidRPr="00B25FFD">
      <w:rPr>
        <w:rFonts w:ascii="Arial" w:hAnsi="Arial" w:hint="eastAsia"/>
        <w:vanish/>
        <w:sz w:val="20"/>
        <w:lang w:val="en-GB"/>
      </w:rPr>
      <w:t xml:space="preserve">LHE/26/11.GA/6 </w:t>
    </w:r>
    <w:r w:rsidRPr="00B25FFD">
      <w:rPr>
        <w:rFonts w:ascii="Arial" w:hAnsi="Arial" w:hint="eastAsia"/>
        <w:vanish/>
        <w:sz w:val="20"/>
        <w:lang w:val="en-GB"/>
      </w:rPr>
      <w:t>–</w:t>
    </w:r>
    <w:r w:rsidRPr="00B25FFD">
      <w:rPr>
        <w:rFonts w:ascii="Arial" w:hAnsi="Arial" w:hint="eastAsia"/>
        <w:vanish/>
        <w:sz w:val="20"/>
        <w:lang w:val="en-GB"/>
      </w:rPr>
      <w:t xml:space="preserve"> </w:t>
    </w:r>
    <w:r w:rsidRPr="00B25FFD">
      <w:rPr>
        <w:rFonts w:ascii="Arial" w:hAnsi="Arial" w:hint="eastAsia"/>
        <w:vanish/>
        <w:sz w:val="20"/>
        <w:lang w:val="en-GB"/>
      </w:rPr>
      <w:t>第</w:t>
    </w:r>
    <w:r w:rsidRPr="00B25FFD">
      <w:rPr>
        <w:rStyle w:val="PageNumber"/>
        <w:rFonts w:ascii="Arial" w:hAnsi="Arial" w:cs="Arial" w:hint="eastAsia"/>
        <w:vanish/>
        <w:sz w:val="20"/>
        <w:lang w:val="en-GB"/>
      </w:rPr>
      <w:fldChar w:fldCharType="begin"/>
    </w:r>
    <w:r w:rsidRPr="00B25FFD">
      <w:rPr>
        <w:rStyle w:val="PageNumber"/>
        <w:rFonts w:ascii="Arial" w:hAnsi="Arial" w:cs="Arial" w:hint="eastAsia"/>
        <w:vanish/>
        <w:sz w:val="20"/>
        <w:lang w:val="en-GB"/>
      </w:rPr>
      <w:instrText xml:space="preserve"> PAGE </w:instrText>
    </w:r>
    <w:r w:rsidRPr="00B25FFD">
      <w:rPr>
        <w:rStyle w:val="PageNumber"/>
        <w:rFonts w:ascii="Arial" w:hAnsi="Arial" w:cs="Arial" w:hint="eastAsia"/>
        <w:vanish/>
        <w:sz w:val="20"/>
        <w:lang w:val="en-GB"/>
      </w:rPr>
      <w:fldChar w:fldCharType="separate"/>
    </w:r>
    <w:r w:rsidRPr="00B25FFD">
      <w:rPr>
        <w:rStyle w:val="PageNumber"/>
        <w:rFonts w:ascii="Arial" w:hAnsi="Arial" w:cs="Arial" w:hint="eastAsia"/>
        <w:vanish/>
        <w:sz w:val="20"/>
        <w:lang w:val="en-GB"/>
      </w:rPr>
      <w:t>2</w:t>
    </w:r>
    <w:r w:rsidRPr="00B25FFD">
      <w:rPr>
        <w:rStyle w:val="PageNumber"/>
        <w:rFonts w:ascii="Arial" w:hAnsi="Arial" w:cs="Arial" w:hint="eastAsia"/>
        <w:vanish/>
        <w:sz w:val="20"/>
        <w:lang w:val="en-GB"/>
      </w:rPr>
      <w:fldChar w:fldCharType="end"/>
    </w:r>
    <w:r w:rsidRPr="00B25FFD">
      <w:rPr>
        <w:rFonts w:hint="eastAsia"/>
        <w:vanish/>
        <w:lang w:val="en-GB"/>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4E2D" w14:textId="3B713CA5" w:rsidR="00A42B5E" w:rsidRPr="00B25FFD" w:rsidRDefault="00A42B5E" w:rsidP="00C5776D">
    <w:pPr>
      <w:pStyle w:val="Header"/>
      <w:jc w:val="right"/>
      <w:rPr>
        <w:rFonts w:ascii="Arial" w:hAnsi="Arial" w:cs="Arial"/>
        <w:vanish/>
      </w:rPr>
    </w:pPr>
    <w:r w:rsidRPr="00B25FFD">
      <w:rPr>
        <w:rFonts w:ascii="Arial" w:hAnsi="Arial" w:hint="eastAsia"/>
        <w:vanish/>
        <w:sz w:val="20"/>
        <w:lang w:val="en-GB"/>
      </w:rPr>
      <w:t>LHE/26/11.GA/6</w:t>
    </w:r>
    <w:r w:rsidRPr="00B25FFD">
      <w:rPr>
        <w:rFonts w:hint="eastAsia"/>
        <w:vanish/>
        <w:lang w:val="en-GB"/>
      </w:rPr>
      <w:t xml:space="preserve"> – 第</w:t>
    </w:r>
    <w:r w:rsidRPr="00B25FFD">
      <w:rPr>
        <w:rStyle w:val="PageNumber"/>
        <w:rFonts w:ascii="Arial" w:hAnsi="Arial" w:cs="Arial" w:hint="eastAsia"/>
        <w:vanish/>
        <w:sz w:val="20"/>
        <w:lang w:val="en-GB"/>
      </w:rPr>
      <w:fldChar w:fldCharType="begin"/>
    </w:r>
    <w:r w:rsidRPr="00B25FFD">
      <w:rPr>
        <w:rStyle w:val="PageNumber"/>
        <w:rFonts w:ascii="Arial" w:hAnsi="Arial" w:cs="Arial" w:hint="eastAsia"/>
        <w:vanish/>
        <w:sz w:val="20"/>
        <w:lang w:val="en-GB"/>
      </w:rPr>
      <w:instrText xml:space="preserve"> PAGE </w:instrText>
    </w:r>
    <w:r w:rsidRPr="00B25FFD">
      <w:rPr>
        <w:rStyle w:val="PageNumber"/>
        <w:rFonts w:ascii="Arial" w:hAnsi="Arial" w:cs="Arial" w:hint="eastAsia"/>
        <w:vanish/>
        <w:sz w:val="20"/>
        <w:lang w:val="en-GB"/>
      </w:rPr>
      <w:fldChar w:fldCharType="separate"/>
    </w:r>
    <w:r w:rsidRPr="00B25FFD">
      <w:rPr>
        <w:rStyle w:val="PageNumber"/>
        <w:rFonts w:ascii="Arial" w:hAnsi="Arial" w:cs="Arial" w:hint="eastAsia"/>
        <w:vanish/>
        <w:sz w:val="20"/>
        <w:lang w:val="en-GB"/>
      </w:rPr>
      <w:t>3</w:t>
    </w:r>
    <w:r w:rsidRPr="00B25FFD">
      <w:rPr>
        <w:rStyle w:val="PageNumber"/>
        <w:rFonts w:ascii="Arial" w:hAnsi="Arial" w:cs="Arial" w:hint="eastAsia"/>
        <w:vanish/>
        <w:sz w:val="20"/>
        <w:lang w:val="en-GB"/>
      </w:rPr>
      <w:fldChar w:fldCharType="end"/>
    </w:r>
    <w:r w:rsidRPr="00B25FFD">
      <w:rPr>
        <w:rFonts w:hint="eastAsia"/>
        <w:vanish/>
        <w:lang w:val="en-GB"/>
      </w:rPr>
      <w:t>页</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2C7F" w14:textId="77777777" w:rsidR="00A42B5E" w:rsidRPr="00E95AE2" w:rsidRDefault="00A42B5E">
    <w:pPr>
      <w:pStyle w:val="Header"/>
    </w:pPr>
    <w:r>
      <w:rPr>
        <w:noProof/>
        <w:lang w:val="zh-CN" w:bidi="zh-CN"/>
      </w:rPr>
      <w:drawing>
        <wp:anchor distT="0" distB="0" distL="114300" distR="114300" simplePos="0" relativeHeight="251659264" behindDoc="0" locked="0" layoutInCell="1" allowOverlap="1" wp14:anchorId="1AACFD25" wp14:editId="7978218C">
          <wp:simplePos x="0" y="0"/>
          <wp:positionH relativeFrom="column">
            <wp:posOffset>0</wp:posOffset>
          </wp:positionH>
          <wp:positionV relativeFrom="paragraph">
            <wp:posOffset>166370</wp:posOffset>
          </wp:positionV>
          <wp:extent cx="1893600" cy="1440000"/>
          <wp:effectExtent l="0" t="0" r="0" b="8255"/>
          <wp:wrapSquare wrapText="bothSides"/>
          <wp:docPr id="159388754"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2DB4D8" w14:textId="47BFB5EF" w:rsidR="00A42B5E" w:rsidRPr="00E178DC" w:rsidRDefault="00A42B5E" w:rsidP="00C5776D">
    <w:pPr>
      <w:pStyle w:val="Header"/>
      <w:spacing w:after="520"/>
      <w:jc w:val="right"/>
      <w:rPr>
        <w:rFonts w:ascii="Arial" w:hAnsi="Arial" w:cs="Arial"/>
        <w:b/>
        <w:vanish/>
        <w:sz w:val="44"/>
        <w:szCs w:val="44"/>
        <w:lang w:val="nl-NL"/>
      </w:rPr>
    </w:pPr>
    <w:r w:rsidRPr="00E178DC">
      <w:rPr>
        <w:rFonts w:ascii="Arial" w:hAnsi="Arial"/>
        <w:b/>
        <w:vanish/>
        <w:sz w:val="44"/>
        <w:lang w:val="nl-NL"/>
      </w:rPr>
      <w:t>11 GA</w:t>
    </w:r>
  </w:p>
  <w:p w14:paraId="207F8F7F" w14:textId="39F2EBDA" w:rsidR="00A42B5E" w:rsidRPr="00E178DC" w:rsidRDefault="00A42B5E" w:rsidP="00C5776D">
    <w:pPr>
      <w:jc w:val="right"/>
      <w:rPr>
        <w:rFonts w:ascii="Arial" w:hAnsi="Arial" w:cs="Arial"/>
        <w:b/>
        <w:vanish/>
        <w:lang w:val="nl-NL"/>
      </w:rPr>
    </w:pPr>
    <w:r w:rsidRPr="00E178DC">
      <w:rPr>
        <w:rFonts w:ascii="Arial" w:hAnsi="Arial"/>
        <w:b/>
        <w:vanish/>
        <w:lang w:val="nl-NL"/>
      </w:rPr>
      <w:t>LHE/26/11.GA/6</w:t>
    </w:r>
  </w:p>
  <w:p w14:paraId="58B0CA7C" w14:textId="48E0EACC" w:rsidR="00A42B5E" w:rsidRPr="00E178DC" w:rsidRDefault="00A42B5E" w:rsidP="00655736">
    <w:pPr>
      <w:jc w:val="right"/>
      <w:rPr>
        <w:rFonts w:ascii="Arial" w:eastAsiaTheme="minorEastAsia" w:hAnsi="Arial" w:cs="Arial"/>
        <w:b/>
        <w:vanish/>
        <w:lang w:val="nl-NL"/>
      </w:rPr>
    </w:pPr>
    <w:r w:rsidRPr="00B25FFD">
      <w:rPr>
        <w:rFonts w:ascii="Arial" w:hAnsi="Arial" w:hint="eastAsia"/>
        <w:b/>
        <w:vanish/>
        <w:lang w:val="en-GB"/>
      </w:rPr>
      <w:t>巴黎</w:t>
    </w:r>
    <w:r w:rsidRPr="00E178DC">
      <w:rPr>
        <w:rFonts w:ascii="Arial" w:hAnsi="Arial" w:hint="eastAsia"/>
        <w:b/>
        <w:vanish/>
        <w:lang w:val="nl-NL"/>
      </w:rPr>
      <w:t>，</w:t>
    </w:r>
    <w:r w:rsidRPr="00E178DC">
      <w:rPr>
        <w:rFonts w:ascii="Arial" w:hAnsi="Arial"/>
        <w:b/>
        <w:vanish/>
        <w:lang w:val="nl-NL"/>
      </w:rPr>
      <w:t>2026</w:t>
    </w:r>
    <w:r w:rsidRPr="00B25FFD">
      <w:rPr>
        <w:rFonts w:ascii="Arial" w:hAnsi="Arial" w:hint="eastAsia"/>
        <w:b/>
        <w:vanish/>
        <w:lang w:val="en-GB"/>
      </w:rPr>
      <w:t>年</w:t>
    </w:r>
    <w:r w:rsidRPr="00E178DC">
      <w:rPr>
        <w:rFonts w:ascii="Arial" w:hAnsi="Arial"/>
        <w:b/>
        <w:vanish/>
        <w:lang w:val="nl-NL"/>
      </w:rPr>
      <w:t>5</w:t>
    </w:r>
    <w:r w:rsidRPr="00B25FFD">
      <w:rPr>
        <w:rFonts w:ascii="Arial" w:hAnsi="Arial" w:hint="eastAsia"/>
        <w:b/>
        <w:vanish/>
        <w:lang w:val="en-GB"/>
      </w:rPr>
      <w:t>月</w:t>
    </w:r>
    <w:r w:rsidRPr="00E178DC">
      <w:rPr>
        <w:rFonts w:ascii="Arial" w:hAnsi="Arial"/>
        <w:b/>
        <w:vanish/>
        <w:lang w:val="nl-NL"/>
      </w:rPr>
      <w:t>18</w:t>
    </w:r>
    <w:r w:rsidRPr="00B25FFD">
      <w:rPr>
        <w:rFonts w:ascii="Arial" w:hAnsi="Arial" w:hint="eastAsia"/>
        <w:b/>
        <w:vanish/>
        <w:lang w:val="en-GB"/>
      </w:rPr>
      <w:t>日</w:t>
    </w:r>
  </w:p>
  <w:p w14:paraId="1154DE9A" w14:textId="77777777" w:rsidR="00A42B5E" w:rsidRPr="00B25FFD" w:rsidRDefault="00A42B5E" w:rsidP="00962034">
    <w:pPr>
      <w:spacing w:after="120"/>
      <w:jc w:val="right"/>
      <w:rPr>
        <w:rFonts w:ascii="Arial" w:hAnsi="Arial" w:cs="Arial"/>
        <w:b/>
        <w:vanish/>
      </w:rPr>
    </w:pPr>
    <w:r w:rsidRPr="00B25FFD">
      <w:rPr>
        <w:rFonts w:ascii="Arial" w:hAnsi="Arial" w:hint="eastAsia"/>
        <w:b/>
        <w:vanish/>
        <w:lang w:val="en-GB"/>
      </w:rPr>
      <w:t>原文：英文</w:t>
    </w:r>
  </w:p>
  <w:p w14:paraId="7FEC6E77" w14:textId="77777777" w:rsidR="00A42B5E" w:rsidRPr="00BC5B1A" w:rsidRDefault="00A42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40D70"/>
    <w:multiLevelType w:val="hybridMultilevel"/>
    <w:tmpl w:val="9A74C4D2"/>
    <w:lvl w:ilvl="0" w:tplc="04090013">
      <w:start w:val="1"/>
      <w:numFmt w:val="upperRoman"/>
      <w:lvlText w:val="%1."/>
      <w:lvlJc w:val="righ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4A1B3027"/>
    <w:multiLevelType w:val="hybridMultilevel"/>
    <w:tmpl w:val="328EC814"/>
    <w:lvl w:ilvl="0" w:tplc="C726A164">
      <w:start w:val="1"/>
      <w:numFmt w:val="upperRoman"/>
      <w:lvlText w:val="%1."/>
      <w:lvlJc w:val="righ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535B0026"/>
    <w:multiLevelType w:val="hybridMultilevel"/>
    <w:tmpl w:val="D21E4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7" w15:restartNumberingAfterBreak="0">
    <w:nsid w:val="76C5391B"/>
    <w:multiLevelType w:val="hybridMultilevel"/>
    <w:tmpl w:val="D9F8A3A2"/>
    <w:lvl w:ilvl="0" w:tplc="040C0001">
      <w:start w:val="1"/>
      <w:numFmt w:val="bullet"/>
      <w:lvlText w:val=""/>
      <w:lvlJc w:val="left"/>
      <w:pPr>
        <w:ind w:left="501"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8"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533764642">
    <w:abstractNumId w:val="1"/>
  </w:num>
  <w:num w:numId="2" w16cid:durableId="1246129">
    <w:abstractNumId w:val="3"/>
  </w:num>
  <w:num w:numId="3" w16cid:durableId="1263951029">
    <w:abstractNumId w:val="8"/>
  </w:num>
  <w:num w:numId="4" w16cid:durableId="540821319">
    <w:abstractNumId w:val="0"/>
  </w:num>
  <w:num w:numId="5" w16cid:durableId="822628298">
    <w:abstractNumId w:val="6"/>
  </w:num>
  <w:num w:numId="6" w16cid:durableId="699629408">
    <w:abstractNumId w:val="2"/>
  </w:num>
  <w:num w:numId="7" w16cid:durableId="1198470061">
    <w:abstractNumId w:val="7"/>
  </w:num>
  <w:num w:numId="8" w16cid:durableId="2077506205">
    <w:abstractNumId w:val="5"/>
  </w:num>
  <w:num w:numId="9" w16cid:durableId="2080982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5E"/>
    <w:rsid w:val="00034526"/>
    <w:rsid w:val="000819FD"/>
    <w:rsid w:val="0008717F"/>
    <w:rsid w:val="000D2E30"/>
    <w:rsid w:val="000E04EC"/>
    <w:rsid w:val="000F08D0"/>
    <w:rsid w:val="000F3FE2"/>
    <w:rsid w:val="001066D6"/>
    <w:rsid w:val="00134CF5"/>
    <w:rsid w:val="0014312F"/>
    <w:rsid w:val="00156CBC"/>
    <w:rsid w:val="0018403B"/>
    <w:rsid w:val="00197EE2"/>
    <w:rsid w:val="001C3F12"/>
    <w:rsid w:val="001E166D"/>
    <w:rsid w:val="002D6F6A"/>
    <w:rsid w:val="00331AA9"/>
    <w:rsid w:val="003563A9"/>
    <w:rsid w:val="00385170"/>
    <w:rsid w:val="00481B15"/>
    <w:rsid w:val="00495054"/>
    <w:rsid w:val="004B6C75"/>
    <w:rsid w:val="004F3DD7"/>
    <w:rsid w:val="00575380"/>
    <w:rsid w:val="005B15C0"/>
    <w:rsid w:val="005D2025"/>
    <w:rsid w:val="005F2519"/>
    <w:rsid w:val="005F4E37"/>
    <w:rsid w:val="006237BF"/>
    <w:rsid w:val="00683E4A"/>
    <w:rsid w:val="006D7606"/>
    <w:rsid w:val="00711AA2"/>
    <w:rsid w:val="0072132D"/>
    <w:rsid w:val="00724BA6"/>
    <w:rsid w:val="00730678"/>
    <w:rsid w:val="00770D0E"/>
    <w:rsid w:val="00771069"/>
    <w:rsid w:val="00774F5F"/>
    <w:rsid w:val="00791BA8"/>
    <w:rsid w:val="00793735"/>
    <w:rsid w:val="007A47E9"/>
    <w:rsid w:val="007A5D9B"/>
    <w:rsid w:val="00806516"/>
    <w:rsid w:val="00826BC1"/>
    <w:rsid w:val="00827524"/>
    <w:rsid w:val="00875223"/>
    <w:rsid w:val="008B6DDE"/>
    <w:rsid w:val="008D3657"/>
    <w:rsid w:val="009B5F91"/>
    <w:rsid w:val="009D383A"/>
    <w:rsid w:val="00A179F3"/>
    <w:rsid w:val="00A42B5E"/>
    <w:rsid w:val="00A73299"/>
    <w:rsid w:val="00AA134A"/>
    <w:rsid w:val="00AA1A65"/>
    <w:rsid w:val="00AA69B3"/>
    <w:rsid w:val="00AB47B4"/>
    <w:rsid w:val="00AF45CE"/>
    <w:rsid w:val="00B23B5D"/>
    <w:rsid w:val="00B25FFD"/>
    <w:rsid w:val="00B54C02"/>
    <w:rsid w:val="00B948AD"/>
    <w:rsid w:val="00BC5B1A"/>
    <w:rsid w:val="00C22A25"/>
    <w:rsid w:val="00C357F1"/>
    <w:rsid w:val="00C44AF5"/>
    <w:rsid w:val="00C45002"/>
    <w:rsid w:val="00C62AB4"/>
    <w:rsid w:val="00CC508C"/>
    <w:rsid w:val="00D07592"/>
    <w:rsid w:val="00D12AFB"/>
    <w:rsid w:val="00D22638"/>
    <w:rsid w:val="00D7305E"/>
    <w:rsid w:val="00D91F26"/>
    <w:rsid w:val="00DA238A"/>
    <w:rsid w:val="00DC11C7"/>
    <w:rsid w:val="00DE2916"/>
    <w:rsid w:val="00E13E85"/>
    <w:rsid w:val="00E178DC"/>
    <w:rsid w:val="00E34AB1"/>
    <w:rsid w:val="00E54A71"/>
    <w:rsid w:val="00E67A35"/>
    <w:rsid w:val="00EB746A"/>
    <w:rsid w:val="00EC7CD5"/>
    <w:rsid w:val="00EF0B02"/>
    <w:rsid w:val="00F0659F"/>
    <w:rsid w:val="00F2087F"/>
    <w:rsid w:val="00F30DB6"/>
    <w:rsid w:val="00F475A0"/>
    <w:rsid w:val="00F54969"/>
    <w:rsid w:val="00F60F49"/>
    <w:rsid w:val="00FE39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90C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23B5D"/>
    <w:pPr>
      <w:spacing w:after="0" w:line="240" w:lineRule="auto"/>
    </w:pPr>
    <w:rPr>
      <w:rFonts w:ascii="SimSun" w:hAnsi="SimSun" w:cs="SimSun"/>
      <w:kern w:val="0"/>
      <w:sz w:val="22"/>
      <w:szCs w:val="22"/>
      <w:lang w:val="fr-FR"/>
      <w14:ligatures w14:val="none"/>
    </w:rPr>
  </w:style>
  <w:style w:type="paragraph" w:styleId="Heading1">
    <w:name w:val="heading 1"/>
    <w:basedOn w:val="Normal"/>
    <w:next w:val="Normal"/>
    <w:link w:val="Heading1Char"/>
    <w:uiPriority w:val="9"/>
    <w:qFormat/>
    <w:rsid w:val="00A42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B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B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B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B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B5E"/>
    <w:rPr>
      <w:rFonts w:eastAsiaTheme="majorEastAsia" w:cstheme="majorBidi"/>
      <w:color w:val="272727" w:themeColor="text1" w:themeTint="D8"/>
    </w:rPr>
  </w:style>
  <w:style w:type="paragraph" w:styleId="Title">
    <w:name w:val="Title"/>
    <w:basedOn w:val="Normal"/>
    <w:next w:val="Normal"/>
    <w:link w:val="TitleChar"/>
    <w:uiPriority w:val="10"/>
    <w:qFormat/>
    <w:rsid w:val="00A42B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B5E"/>
    <w:pPr>
      <w:spacing w:before="160"/>
      <w:jc w:val="center"/>
    </w:pPr>
    <w:rPr>
      <w:i/>
      <w:iCs/>
      <w:color w:val="404040" w:themeColor="text1" w:themeTint="BF"/>
    </w:rPr>
  </w:style>
  <w:style w:type="character" w:customStyle="1" w:styleId="QuoteChar">
    <w:name w:val="Quote Char"/>
    <w:basedOn w:val="DefaultParagraphFont"/>
    <w:link w:val="Quote"/>
    <w:uiPriority w:val="29"/>
    <w:rsid w:val="00A42B5E"/>
    <w:rPr>
      <w:i/>
      <w:iCs/>
      <w:color w:val="404040" w:themeColor="text1" w:themeTint="BF"/>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List Paragraph1,Normal bullet 2"/>
    <w:basedOn w:val="Normal"/>
    <w:link w:val="ListParagraphChar"/>
    <w:uiPriority w:val="34"/>
    <w:qFormat/>
    <w:rsid w:val="00A42B5E"/>
    <w:pPr>
      <w:ind w:left="720"/>
      <w:contextualSpacing/>
    </w:pPr>
  </w:style>
  <w:style w:type="character" w:styleId="IntenseEmphasis">
    <w:name w:val="Intense Emphasis"/>
    <w:basedOn w:val="DefaultParagraphFont"/>
    <w:uiPriority w:val="21"/>
    <w:qFormat/>
    <w:rsid w:val="00A42B5E"/>
    <w:rPr>
      <w:i/>
      <w:iCs/>
      <w:color w:val="0F4761" w:themeColor="accent1" w:themeShade="BF"/>
    </w:rPr>
  </w:style>
  <w:style w:type="paragraph" w:styleId="IntenseQuote">
    <w:name w:val="Intense Quote"/>
    <w:basedOn w:val="Normal"/>
    <w:next w:val="Normal"/>
    <w:link w:val="IntenseQuoteChar"/>
    <w:uiPriority w:val="30"/>
    <w:qFormat/>
    <w:rsid w:val="00A42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B5E"/>
    <w:rPr>
      <w:i/>
      <w:iCs/>
      <w:color w:val="0F4761" w:themeColor="accent1" w:themeShade="BF"/>
    </w:rPr>
  </w:style>
  <w:style w:type="character" w:styleId="IntenseReference">
    <w:name w:val="Intense Reference"/>
    <w:basedOn w:val="DefaultParagraphFont"/>
    <w:uiPriority w:val="32"/>
    <w:qFormat/>
    <w:rsid w:val="00A42B5E"/>
    <w:rPr>
      <w:b/>
      <w:bCs/>
      <w:smallCaps/>
      <w:color w:val="0F4761" w:themeColor="accent1" w:themeShade="BF"/>
      <w:spacing w:val="5"/>
    </w:rPr>
  </w:style>
  <w:style w:type="paragraph" w:styleId="Header">
    <w:name w:val="header"/>
    <w:basedOn w:val="Normal"/>
    <w:link w:val="HeaderChar"/>
    <w:unhideWhenUsed/>
    <w:rsid w:val="00A42B5E"/>
    <w:pPr>
      <w:tabs>
        <w:tab w:val="center" w:pos="4536"/>
        <w:tab w:val="right" w:pos="9072"/>
      </w:tabs>
    </w:pPr>
  </w:style>
  <w:style w:type="character" w:customStyle="1" w:styleId="HeaderChar">
    <w:name w:val="Header Char"/>
    <w:basedOn w:val="DefaultParagraphFont"/>
    <w:link w:val="Header"/>
    <w:rsid w:val="00A42B5E"/>
    <w:rPr>
      <w:rFonts w:ascii="Times New Roman" w:eastAsia="SimSun" w:hAnsi="Times New Roman" w:cs="Times New Roman"/>
      <w:kern w:val="0"/>
      <w:lang w:val="fr-FR" w:eastAsia="zh-CN"/>
      <w14:ligatures w14:val="none"/>
    </w:rPr>
  </w:style>
  <w:style w:type="paragraph" w:customStyle="1" w:styleId="Sansinterligne2">
    <w:name w:val="Sans interligne2"/>
    <w:uiPriority w:val="1"/>
    <w:rsid w:val="00A42B5E"/>
    <w:pPr>
      <w:spacing w:after="0" w:line="240" w:lineRule="auto"/>
    </w:pPr>
    <w:rPr>
      <w:rFonts w:ascii="Times New Roman" w:hAnsi="Times New Roman" w:cs="Times New Roman"/>
      <w:kern w:val="0"/>
      <w:lang w:val="fr-FR"/>
      <w14:ligatures w14:val="none"/>
    </w:rPr>
  </w:style>
  <w:style w:type="character" w:styleId="PageNumber">
    <w:name w:val="page number"/>
    <w:basedOn w:val="DefaultParagraphFont"/>
    <w:semiHidden/>
    <w:rsid w:val="00A42B5E"/>
  </w:style>
  <w:style w:type="paragraph" w:customStyle="1" w:styleId="Sansinterligne1">
    <w:name w:val="Sans interligne1"/>
    <w:uiPriority w:val="1"/>
    <w:rsid w:val="00A42B5E"/>
    <w:pPr>
      <w:spacing w:after="0" w:line="240" w:lineRule="auto"/>
    </w:pPr>
    <w:rPr>
      <w:rFonts w:ascii="Times New Roman" w:hAnsi="Times New Roman" w:cs="Times New Roman"/>
      <w:kern w:val="0"/>
      <w:lang w:val="fr-FR"/>
      <w14:ligatures w14:val="none"/>
    </w:rPr>
  </w:style>
  <w:style w:type="paragraph" w:customStyle="1" w:styleId="COMPara">
    <w:name w:val="COM Para"/>
    <w:qFormat/>
    <w:rsid w:val="00A42B5E"/>
    <w:pPr>
      <w:numPr>
        <w:numId w:val="1"/>
      </w:numPr>
      <w:spacing w:after="120" w:line="240" w:lineRule="auto"/>
    </w:pPr>
    <w:rPr>
      <w:rFonts w:ascii="Arial" w:hAnsi="Arial" w:cs="Arial"/>
      <w:snapToGrid w:val="0"/>
      <w:kern w:val="0"/>
      <w:sz w:val="22"/>
      <w:szCs w:val="22"/>
      <w14:ligatures w14:val="none"/>
    </w:rPr>
  </w:style>
  <w:style w:type="paragraph" w:customStyle="1" w:styleId="COMTitleDecision">
    <w:name w:val="COM Title Decision"/>
    <w:basedOn w:val="Normal"/>
    <w:qFormat/>
    <w:rsid w:val="00A42B5E"/>
    <w:pPr>
      <w:keepNext/>
      <w:spacing w:before="240" w:after="120"/>
      <w:ind w:left="567"/>
      <w:jc w:val="both"/>
    </w:pPr>
    <w:rPr>
      <w:rFonts w:ascii="Arial" w:hAnsi="Arial" w:cs="Arial"/>
      <w:b/>
      <w:lang w:val="en-GB"/>
    </w:rPr>
  </w:style>
  <w:style w:type="paragraph" w:customStyle="1" w:styleId="COMPreambulaDecisions">
    <w:name w:val="COM Preambula Decisions"/>
    <w:basedOn w:val="Normal"/>
    <w:qFormat/>
    <w:rsid w:val="00A42B5E"/>
    <w:pPr>
      <w:keepNext/>
      <w:spacing w:after="120"/>
      <w:ind w:left="567"/>
      <w:jc w:val="both"/>
    </w:pPr>
    <w:rPr>
      <w:rFonts w:ascii="Arial" w:hAnsi="Arial" w:cs="Arial"/>
      <w:lang w:val="en-GB"/>
    </w:rPr>
  </w:style>
  <w:style w:type="paragraph" w:customStyle="1" w:styleId="COMParaDecision">
    <w:name w:val="COM Para Decision"/>
    <w:basedOn w:val="Normal"/>
    <w:uiPriority w:val="99"/>
    <w:qFormat/>
    <w:rsid w:val="00A42B5E"/>
    <w:pPr>
      <w:numPr>
        <w:numId w:val="2"/>
      </w:numPr>
      <w:autoSpaceDE w:val="0"/>
      <w:autoSpaceDN w:val="0"/>
      <w:adjustRightInd w:val="0"/>
      <w:spacing w:after="120"/>
      <w:ind w:left="1134" w:hanging="567"/>
      <w:jc w:val="both"/>
    </w:pPr>
    <w:rPr>
      <w:rFonts w:ascii="Arial" w:hAnsi="Arial" w:cs="Arial"/>
      <w:u w:val="single"/>
      <w:lang w:val="en-GB"/>
    </w:rPr>
  </w:style>
  <w:style w:type="paragraph" w:styleId="FootnoteText">
    <w:name w:val="footnote text"/>
    <w:basedOn w:val="Normal"/>
    <w:link w:val="FootnoteTextChar"/>
    <w:uiPriority w:val="99"/>
    <w:unhideWhenUsed/>
    <w:rsid w:val="00A42B5E"/>
    <w:rPr>
      <w:sz w:val="20"/>
      <w:szCs w:val="20"/>
    </w:rPr>
  </w:style>
  <w:style w:type="character" w:customStyle="1" w:styleId="FootnoteTextChar">
    <w:name w:val="Footnote Text Char"/>
    <w:basedOn w:val="DefaultParagraphFont"/>
    <w:link w:val="FootnoteText"/>
    <w:uiPriority w:val="99"/>
    <w:rsid w:val="00A42B5E"/>
    <w:rPr>
      <w:rFonts w:ascii="Times New Roman" w:eastAsia="SimSun" w:hAnsi="Times New Roman" w:cs="Times New Roman"/>
      <w:kern w:val="0"/>
      <w:sz w:val="20"/>
      <w:szCs w:val="20"/>
      <w:lang w:val="fr-FR" w:eastAsia="zh-CN"/>
      <w14:ligatures w14:val="none"/>
    </w:rPr>
  </w:style>
  <w:style w:type="character" w:styleId="FootnoteReference">
    <w:name w:val="footnote reference"/>
    <w:basedOn w:val="DefaultParagraphFont"/>
    <w:uiPriority w:val="99"/>
    <w:unhideWhenUsed/>
    <w:rsid w:val="00A42B5E"/>
    <w:rPr>
      <w:vertAlign w:val="superscript"/>
    </w:rPr>
  </w:style>
  <w:style w:type="paragraph" w:styleId="Footer">
    <w:name w:val="footer"/>
    <w:basedOn w:val="Normal"/>
    <w:link w:val="FooterChar"/>
    <w:uiPriority w:val="99"/>
    <w:unhideWhenUsed/>
    <w:rsid w:val="00A42B5E"/>
    <w:pPr>
      <w:tabs>
        <w:tab w:val="center" w:pos="4536"/>
        <w:tab w:val="right" w:pos="9072"/>
      </w:tabs>
    </w:pPr>
  </w:style>
  <w:style w:type="character" w:customStyle="1" w:styleId="FooterChar">
    <w:name w:val="Footer Char"/>
    <w:basedOn w:val="DefaultParagraphFont"/>
    <w:link w:val="Footer"/>
    <w:uiPriority w:val="99"/>
    <w:rsid w:val="00A42B5E"/>
    <w:rPr>
      <w:rFonts w:ascii="Times New Roman" w:eastAsia="SimSun" w:hAnsi="Times New Roman" w:cs="Times New Roman"/>
      <w:kern w:val="0"/>
      <w:lang w:val="fr-FR" w:eastAsia="zh-CN"/>
      <w14:ligatures w14:val="none"/>
    </w:rPr>
  </w:style>
  <w:style w:type="character" w:styleId="Hyperlink">
    <w:name w:val="Hyperlink"/>
    <w:basedOn w:val="DefaultParagraphFont"/>
    <w:uiPriority w:val="99"/>
    <w:unhideWhenUsed/>
    <w:rsid w:val="00B25FFD"/>
    <w:rPr>
      <w:color w:val="467886" w:themeColor="hyperlink"/>
      <w:u w:val="single"/>
    </w:rPr>
  </w:style>
  <w:style w:type="character" w:customStyle="1" w:styleId="ui-provider">
    <w:name w:val="ui-provider"/>
    <w:basedOn w:val="DefaultParagraphFont"/>
    <w:rsid w:val="00B25FFD"/>
  </w:style>
  <w:style w:type="paragraph" w:customStyle="1" w:styleId="GAParaResolution">
    <w:name w:val="GA Para Resolution"/>
    <w:basedOn w:val="Normal"/>
    <w:qFormat/>
    <w:rsid w:val="00B25FFD"/>
    <w:pPr>
      <w:autoSpaceDE w:val="0"/>
      <w:autoSpaceDN w:val="0"/>
      <w:adjustRightInd w:val="0"/>
      <w:spacing w:after="120"/>
      <w:ind w:left="1287" w:hanging="360"/>
      <w:jc w:val="both"/>
    </w:pPr>
    <w:rPr>
      <w:rFonts w:ascii="Arial" w:hAnsi="Arial" w:cs="Arial"/>
      <w:u w:val="single"/>
      <w:lang w:val="en-GB" w:eastAsia="fr-FR"/>
    </w:rPr>
  </w:style>
  <w:style w:type="table" w:customStyle="1" w:styleId="TableGrid2">
    <w:name w:val="Table Grid2"/>
    <w:basedOn w:val="TableNormal"/>
    <w:next w:val="TableGrid"/>
    <w:uiPriority w:val="59"/>
    <w:rsid w:val="00B25FFD"/>
    <w:pPr>
      <w:spacing w:after="0" w:line="240" w:lineRule="auto"/>
    </w:pPr>
    <w:rPr>
      <w:rFonts w:ascii="Calibri" w:hAnsi="Calibri" w:cs="Times New Roman"/>
      <w:kern w:val="0"/>
      <w:sz w:val="20"/>
      <w:szCs w:val="20"/>
      <w:lang w:val="fr-FR"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
    <w:basedOn w:val="DefaultParagraphFont"/>
    <w:link w:val="ListParagraph"/>
    <w:uiPriority w:val="34"/>
    <w:qFormat/>
    <w:locked/>
    <w:rsid w:val="00B25FFD"/>
    <w:rPr>
      <w:rFonts w:ascii="Times New Roman" w:eastAsia="SimSun" w:hAnsi="Times New Roman" w:cs="Times New Roman"/>
      <w:kern w:val="0"/>
      <w:lang w:val="fr-FR" w:eastAsia="zh-CN"/>
      <w14:ligatures w14:val="none"/>
    </w:rPr>
  </w:style>
  <w:style w:type="table" w:styleId="TableGrid">
    <w:name w:val="Table Grid"/>
    <w:basedOn w:val="TableNormal"/>
    <w:uiPriority w:val="39"/>
    <w:rsid w:val="00B25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134A"/>
    <w:pPr>
      <w:spacing w:after="0" w:line="240" w:lineRule="auto"/>
    </w:pPr>
    <w:rPr>
      <w:rFonts w:ascii="SimSun" w:hAnsi="SimSun" w:cs="SimSun"/>
      <w:kern w:val="0"/>
      <w:sz w:val="22"/>
      <w:szCs w:val="22"/>
      <w:lang w:val="fr-FR"/>
      <w14:ligatures w14:val="none"/>
    </w:rPr>
  </w:style>
  <w:style w:type="character" w:styleId="FollowedHyperlink">
    <w:name w:val="FollowedHyperlink"/>
    <w:basedOn w:val="DefaultParagraphFont"/>
    <w:uiPriority w:val="99"/>
    <w:semiHidden/>
    <w:unhideWhenUsed/>
    <w:rsid w:val="00AA134A"/>
    <w:rPr>
      <w:color w:val="96607D" w:themeColor="followedHyperlink"/>
      <w:u w:val="single"/>
    </w:rPr>
  </w:style>
  <w:style w:type="character" w:styleId="UnresolvedMention">
    <w:name w:val="Unresolved Mention"/>
    <w:basedOn w:val="DefaultParagraphFont"/>
    <w:uiPriority w:val="99"/>
    <w:semiHidden/>
    <w:unhideWhenUsed/>
    <w:rsid w:val="00683E4A"/>
    <w:rPr>
      <w:color w:val="605E5C"/>
      <w:shd w:val="clear" w:color="auto" w:fill="E1DFDD"/>
    </w:rPr>
  </w:style>
  <w:style w:type="paragraph" w:styleId="NormalWeb">
    <w:name w:val="Normal (Web)"/>
    <w:basedOn w:val="Normal"/>
    <w:uiPriority w:val="99"/>
    <w:semiHidden/>
    <w:unhideWhenUsed/>
    <w:rsid w:val="000E04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LHE-25-20.COM-8_EN.docx?v=1764184365" TargetMode="External"/><Relationship Id="rId18" Type="http://schemas.openxmlformats.org/officeDocument/2006/relationships/hyperlink" Target="https://ich.unesco.org/en/decisions/20.COM/6.C" TargetMode="External"/><Relationship Id="rId26" Type="http://schemas.openxmlformats.org/officeDocument/2006/relationships/hyperlink" Target="https://ich.unesco.org/en/events/living-heritage-and-education-training-programme-for-the-global-facilitators-network-01038" TargetMode="External"/><Relationship Id="rId39" Type="http://schemas.openxmlformats.org/officeDocument/2006/relationships/hyperlink" Target="https://unesdoc.unesco.org/ark:/48223/pf0000398080_chi" TargetMode="External"/><Relationship Id="rId21" Type="http://schemas.openxmlformats.org/officeDocument/2006/relationships/hyperlink" Target="https://ich.unesco.org/doc/src/LHE-26-11.GA-INF.8_EN.docx" TargetMode="External"/><Relationship Id="rId34" Type="http://schemas.openxmlformats.org/officeDocument/2006/relationships/hyperlink" Target="https://ich.unesco.org/en/decisions/20.COM/13" TargetMode="External"/><Relationship Id="rId42" Type="http://schemas.openxmlformats.org/officeDocument/2006/relationships/header" Target="header3.xml"/><Relationship Id="rId47" Type="http://schemas.openxmlformats.org/officeDocument/2006/relationships/hyperlink" Target="https://ich.unesco.org/en/decisions/20.COM/13" TargetMode="External"/><Relationship Id="rId50" Type="http://schemas.openxmlformats.org/officeDocument/2006/relationships/hyperlink" Target="https://www.edx.org/course/living-heritage-and-sustainable-development" TargetMode="External"/><Relationship Id="rId7" Type="http://schemas.openxmlformats.org/officeDocument/2006/relationships/hyperlink" Target="https://unesdoc.unesco.org/ark:/48223/pf0000397572_chi" TargetMode="External"/><Relationship Id="rId2" Type="http://schemas.openxmlformats.org/officeDocument/2006/relationships/styles" Target="styles.xml"/><Relationship Id="rId16" Type="http://schemas.openxmlformats.org/officeDocument/2006/relationships/hyperlink" Target="https://ich.unesco.org/doc/src/LHE-25-20.COM-11_EN.docx?v=1762798796" TargetMode="External"/><Relationship Id="rId29" Type="http://schemas.openxmlformats.org/officeDocument/2006/relationships/hyperlink" Target="https://ich.unesco.org/en/guidance-notes-01383" TargetMode="External"/><Relationship Id="rId11" Type="http://schemas.openxmlformats.org/officeDocument/2006/relationships/hyperlink" Target="https://ich.unesco.org/doc/src/LHE-26-11.GA-9_ZH.docx" TargetMode="External"/><Relationship Id="rId24" Type="http://schemas.openxmlformats.org/officeDocument/2006/relationships/hyperlink" Target="https://ich.unesco.org/en/events/training-of-trainers-on-living-heritage-and-disaster-risk-reduction-01032" TargetMode="External"/><Relationship Id="rId32" Type="http://schemas.openxmlformats.org/officeDocument/2006/relationships/hyperlink" Target="https://ich.unesco.org/doc/src/72796-EN.pdf?v=1769168252" TargetMode="External"/><Relationship Id="rId37" Type="http://schemas.openxmlformats.org/officeDocument/2006/relationships/hyperlink" Target="https://ich.unesco.org/en/decisions/19.COM/15" TargetMode="External"/><Relationship Id="rId40" Type="http://schemas.openxmlformats.org/officeDocument/2006/relationships/header" Target="header1.xml"/><Relationship Id="rId45"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ich.unesco.org/en/sharing-good-safeguarding-experiences" TargetMode="External"/><Relationship Id="rId23" Type="http://schemas.openxmlformats.org/officeDocument/2006/relationships/hyperlink" Target="https://capacity-building.ich.unesco.org/login/index.php" TargetMode="External"/><Relationship Id="rId28" Type="http://schemas.openxmlformats.org/officeDocument/2006/relationships/hyperlink" Target="https://ich.unesco.org/en/learning-platform-01397" TargetMode="External"/><Relationship Id="rId36" Type="http://schemas.openxmlformats.org/officeDocument/2006/relationships/hyperlink" Target="https://unesdoc.unesco.org/ark:/48223/pf0000395504/PDF/395504eng.pdf.multi" TargetMode="External"/><Relationship Id="rId49" Type="http://schemas.openxmlformats.org/officeDocument/2006/relationships/hyperlink" Target="https://ich.unesco.org/en/decisions/17.COM/11" TargetMode="External"/><Relationship Id="rId10" Type="http://schemas.openxmlformats.org/officeDocument/2006/relationships/hyperlink" Target="https://ich.unesco.org/doc/src/LHE-26-11.GA-5_ZH.docx" TargetMode="External"/><Relationship Id="rId19" Type="http://schemas.openxmlformats.org/officeDocument/2006/relationships/hyperlink" Target="https://ich.unesco.org/doc/src/LHE-26-11.GA-7_ZH.docx" TargetMode="External"/><Relationship Id="rId31" Type="http://schemas.openxmlformats.org/officeDocument/2006/relationships/hyperlink" Target="https://ich.unesco.org/doc/src/68292-EN.pdf?v=1761922256" TargetMode="External"/><Relationship Id="rId44" Type="http://schemas.openxmlformats.org/officeDocument/2006/relationships/header" Target="header5.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ch.unesco.org/en/schedule-of-statutory-meetings-in-2025-01381" TargetMode="External"/><Relationship Id="rId14" Type="http://schemas.openxmlformats.org/officeDocument/2006/relationships/hyperlink" Target="https://ich.unesco.org/doc/src/LHE-26-11.GA-7_ZH.docx" TargetMode="External"/><Relationship Id="rId22" Type="http://schemas.openxmlformats.org/officeDocument/2006/relationships/hyperlink" Target="https://ich.unesco.org/doc/src/LHE-25-20.COM-INF.13.1_EN.docx?v=1764354790" TargetMode="External"/><Relationship Id="rId27" Type="http://schemas.openxmlformats.org/officeDocument/2006/relationships/hyperlink" Target="https://www.unesco.org/sites/default/files/medias/fichiers/2024/02/WCCAE_UNESCO%20Framework_EN_0.pdf" TargetMode="External"/><Relationship Id="rId30" Type="http://schemas.openxmlformats.org/officeDocument/2006/relationships/hyperlink" Target="https://ich.unesco.org/doc/src/68297-EN.pdf?v=1761922360" TargetMode="External"/><Relationship Id="rId35" Type="http://schemas.openxmlformats.org/officeDocument/2006/relationships/hyperlink" Target="https://ich.unesco.org/en/international-day-intangible-cultural-heritage" TargetMode="External"/><Relationship Id="rId43" Type="http://schemas.openxmlformats.org/officeDocument/2006/relationships/header" Target="header4.xml"/><Relationship Id="rId48" Type="http://schemas.openxmlformats.org/officeDocument/2006/relationships/hyperlink" Target="https://ich.unesco.org/en/committee-documents-and-in-depth-studies-00862" TargetMode="External"/><Relationship Id="rId8" Type="http://schemas.openxmlformats.org/officeDocument/2006/relationships/hyperlink" Target="https://ich.unesco.org/en/schedule-of-statutory-meetings-in-2024-01334"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ich.unesco.org/en/decisions/19.COM/15" TargetMode="External"/><Relationship Id="rId17" Type="http://schemas.openxmlformats.org/officeDocument/2006/relationships/hyperlink" Target="https://ich.unesco.org/en/projects/capacity-building-for-safeguarding-intangible-cultural-heritage-in-emergencies-in-small-island-developing-states-sids-in-the-pacific-and-the-caribbean-00478" TargetMode="External"/><Relationship Id="rId25" Type="http://schemas.openxmlformats.org/officeDocument/2006/relationships/hyperlink" Target="https://ich.unesco.org/en/events/preparing-nominations-to-the-lists-and-register-of-the-convention-updated-training-materials-following-the-global-reflection-on-the-listing-mechanisms-2018-2022-01036" TargetMode="External"/><Relationship Id="rId33" Type="http://schemas.openxmlformats.org/officeDocument/2006/relationships/hyperlink" Target="https://ich.unesco.org/doc/src/LHE-25-20.COM-12_EN.docx?v=1762807751" TargetMode="External"/><Relationship Id="rId38" Type="http://schemas.openxmlformats.org/officeDocument/2006/relationships/hyperlink" Target="https://ich.unesco.org/en/decisions/20.COM/6.C" TargetMode="External"/><Relationship Id="rId46" Type="http://schemas.openxmlformats.org/officeDocument/2006/relationships/hyperlink" Target="https://ich.unesco.org/doc/src/LHE-21-16.COM-INF.10_Rev.-EN.pdf" TargetMode="External"/><Relationship Id="rId20" Type="http://schemas.openxmlformats.org/officeDocument/2006/relationships/hyperlink" Target="https://ich.unesco.org/doc/src/LHE-26-11.GA-8_ZH.docx"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en/decisions/16.COM/10" TargetMode="External"/><Relationship Id="rId2" Type="http://schemas.openxmlformats.org/officeDocument/2006/relationships/hyperlink" Target="https://ich.unesco.org/doc/src/LHE-21-16.COM-INF.10_Rev.-EN.pdf" TargetMode="External"/><Relationship Id="rId1" Type="http://schemas.openxmlformats.org/officeDocument/2006/relationships/hyperlink" Target="https://ich.unesco.org/doc/src/LHE-21-16.COM-10_Rev.-EN.docx" TargetMode="External"/><Relationship Id="rId5" Type="http://schemas.openxmlformats.org/officeDocument/2006/relationships/hyperlink" Target="https://ich.unesco.org/doc/src/LHE-21-16.COM-INF.10_Rev.-EN.pdf" TargetMode="External"/><Relationship Id="rId4" Type="http://schemas.openxmlformats.org/officeDocument/2006/relationships/hyperlink" Target="https://ich.unesco.org/doc/src/LHE-21-16.COM-10_Rev.-EN.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2685</Words>
  <Characters>15307</Characters>
  <Application>Microsoft Office Word</Application>
  <DocSecurity>0</DocSecurity>
  <Lines>127</Lines>
  <Paragraphs>35</Paragraphs>
  <ScaleCrop>false</ScaleCrop>
  <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2026-05-18T20:48:00Z</dcterms:created>
  <dcterms:modified xsi:type="dcterms:W3CDTF">2026-05-18T20:48:00Z</dcterms:modified>
</cp:coreProperties>
</file>