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490D" w14:textId="77777777" w:rsidR="005E285E" w:rsidRPr="007516A6" w:rsidRDefault="005E285E" w:rsidP="005E285E">
      <w:pPr>
        <w:tabs>
          <w:tab w:val="left" w:pos="0"/>
        </w:tabs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7516A6">
        <w:rPr>
          <w:rFonts w:ascii="Arial" w:hAnsi="Arial"/>
          <w:b/>
          <w:sz w:val="22"/>
          <w:lang w:eastAsia="en-US"/>
        </w:rPr>
        <w:t xml:space="preserve">КОНВЕНЦИЯ ОБ ОХРАНЕ </w:t>
      </w:r>
      <w:r w:rsidRPr="007516A6">
        <w:rPr>
          <w:rFonts w:ascii="Arial" w:hAnsi="Arial"/>
          <w:b/>
          <w:sz w:val="22"/>
          <w:lang w:eastAsia="en-US"/>
        </w:rPr>
        <w:br/>
        <w:t>НЕМАТЕРИАЛЬНОГО КУЛЬТУРНОГО НАСЛЕДИЯ</w:t>
      </w:r>
    </w:p>
    <w:p w14:paraId="5F8F7394" w14:textId="77777777" w:rsidR="005E285E" w:rsidRPr="007516A6" w:rsidRDefault="005E285E" w:rsidP="005E285E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7516A6">
        <w:rPr>
          <w:rFonts w:ascii="Arial" w:hAnsi="Arial"/>
          <w:b/>
          <w:sz w:val="22"/>
          <w:lang w:eastAsia="en-US"/>
        </w:rPr>
        <w:t>ГЕНЕРАЛЬНАЯ АССАМБЛЕЯ ГОСУДАРСТВ – УЧАСТНИКОВ КОНВЕНЦИИ</w:t>
      </w:r>
    </w:p>
    <w:p w14:paraId="1D51D846" w14:textId="4F285997" w:rsidR="005E285E" w:rsidRPr="007516A6" w:rsidRDefault="00D1163A" w:rsidP="005E285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7516A6">
        <w:rPr>
          <w:rFonts w:ascii="Arial" w:hAnsi="Arial"/>
          <w:b/>
          <w:sz w:val="22"/>
          <w:lang w:eastAsia="en-US"/>
        </w:rPr>
        <w:t>Одиннадцатая сессия</w:t>
      </w:r>
    </w:p>
    <w:p w14:paraId="67E2B14C" w14:textId="77777777" w:rsidR="005E285E" w:rsidRPr="007516A6" w:rsidRDefault="005E285E" w:rsidP="005E285E">
      <w:pPr>
        <w:jc w:val="center"/>
        <w:rPr>
          <w:rFonts w:ascii="Arial" w:hAnsi="Arial" w:cs="Arial"/>
          <w:b/>
          <w:sz w:val="22"/>
          <w:szCs w:val="22"/>
        </w:rPr>
      </w:pPr>
      <w:r w:rsidRPr="007516A6">
        <w:rPr>
          <w:rFonts w:ascii="Arial" w:hAnsi="Arial"/>
          <w:b/>
          <w:sz w:val="22"/>
          <w:lang w:eastAsia="en-US"/>
        </w:rPr>
        <w:t>Штаб-квартира ЮНЕСКО, зал I</w:t>
      </w:r>
    </w:p>
    <w:p w14:paraId="7EB88F77" w14:textId="41949BDA" w:rsidR="005E285E" w:rsidRPr="007516A6" w:rsidRDefault="005E285E" w:rsidP="005E285E">
      <w:pPr>
        <w:jc w:val="center"/>
        <w:rPr>
          <w:rFonts w:ascii="Arial" w:hAnsi="Arial" w:cs="Arial"/>
          <w:b/>
          <w:sz w:val="22"/>
          <w:szCs w:val="22"/>
        </w:rPr>
      </w:pPr>
      <w:r w:rsidRPr="007516A6">
        <w:rPr>
          <w:rFonts w:ascii="Arial" w:hAnsi="Arial"/>
          <w:b/>
          <w:sz w:val="22"/>
          <w:lang w:eastAsia="en-US"/>
        </w:rPr>
        <w:t>17 – 18 июня 2026 г.</w:t>
      </w:r>
    </w:p>
    <w:p w14:paraId="0964C6CA" w14:textId="6820753D" w:rsidR="005E285E" w:rsidRPr="007516A6" w:rsidRDefault="005E285E" w:rsidP="005E285E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7516A6">
        <w:rPr>
          <w:rFonts w:ascii="Arial" w:hAnsi="Arial"/>
          <w:b/>
          <w:sz w:val="22"/>
          <w:u w:val="single"/>
          <w:lang w:eastAsia="en-US"/>
        </w:rPr>
        <w:t xml:space="preserve">Пункт </w:t>
      </w:r>
      <w:r w:rsidR="00E00A66" w:rsidRPr="00414A14">
        <w:rPr>
          <w:rFonts w:ascii="Arial" w:hAnsi="Arial"/>
          <w:b/>
          <w:sz w:val="22"/>
          <w:u w:val="single"/>
          <w:lang w:eastAsia="en-US" w:bidi="en-US"/>
        </w:rPr>
        <w:t>6</w:t>
      </w:r>
      <w:r w:rsidRPr="007516A6">
        <w:rPr>
          <w:rFonts w:ascii="Arial" w:hAnsi="Arial"/>
          <w:b/>
          <w:sz w:val="22"/>
          <w:u w:val="single"/>
          <w:lang w:eastAsia="en-US"/>
        </w:rPr>
        <w:t xml:space="preserve"> предварительной повестки дня:</w:t>
      </w:r>
    </w:p>
    <w:p w14:paraId="7A2ADEEA" w14:textId="1C0BF056" w:rsidR="005E285E" w:rsidRPr="007516A6" w:rsidRDefault="00E00A66" w:rsidP="005E285E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 w:rsidRPr="007516A6">
        <w:rPr>
          <w:rFonts w:ascii="Arial" w:eastAsia="Arial" w:hAnsi="Arial" w:cs="Arial"/>
          <w:b/>
          <w:sz w:val="22"/>
          <w:szCs w:val="22"/>
          <w:lang w:bidi="ru-RU"/>
        </w:rPr>
        <w:t>Доклад Секретариата о своей деятельности (январь 2024 г. - декабрь 2025 г.)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5E285E" w:rsidRPr="007516A6" w14:paraId="4B241F31" w14:textId="77777777" w:rsidTr="006F0AF9">
        <w:trPr>
          <w:jc w:val="center"/>
        </w:trPr>
        <w:tc>
          <w:tcPr>
            <w:tcW w:w="5670" w:type="dxa"/>
            <w:vAlign w:val="center"/>
          </w:tcPr>
          <w:p w14:paraId="59B6A54D" w14:textId="77777777" w:rsidR="005E285E" w:rsidRPr="007516A6" w:rsidRDefault="005E285E" w:rsidP="006F0AF9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16A6">
              <w:rPr>
                <w:rFonts w:ascii="Arial" w:hAnsi="Arial"/>
                <w:b/>
                <w:sz w:val="22"/>
                <w:lang w:eastAsia="en-US"/>
              </w:rPr>
              <w:t>Содержание</w:t>
            </w:r>
          </w:p>
          <w:p w14:paraId="4EF06333" w14:textId="388481D4" w:rsidR="005E285E" w:rsidRPr="007516A6" w:rsidRDefault="00E00A66" w:rsidP="006F0AF9">
            <w:pPr>
              <w:pStyle w:val="Sansinterligne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516A6">
              <w:rPr>
                <w:rFonts w:ascii="Arial" w:eastAsia="Arial" w:hAnsi="Arial" w:cs="Arial"/>
                <w:sz w:val="22"/>
                <w:szCs w:val="22"/>
                <w:lang w:bidi="ru-RU"/>
              </w:rPr>
              <w:t>В этом документе представлен обзор мероприятий, проведенных Секретариатом Конвенции 2003 года за период с 1 января 2024 года по 31 декабря 2025 года</w:t>
            </w:r>
          </w:p>
          <w:p w14:paraId="771A6867" w14:textId="31E42B98" w:rsidR="005E285E" w:rsidRPr="007516A6" w:rsidRDefault="005E285E" w:rsidP="006F0AF9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516A6">
              <w:rPr>
                <w:rFonts w:ascii="Arial" w:hAnsi="Arial"/>
                <w:b/>
                <w:sz w:val="22"/>
                <w:lang w:eastAsia="en-US"/>
              </w:rPr>
              <w:t>Требуемое решение:</w:t>
            </w:r>
            <w:r w:rsidRPr="007516A6">
              <w:rPr>
                <w:rFonts w:ascii="Arial" w:hAnsi="Arial"/>
                <w:sz w:val="22"/>
                <w:lang w:eastAsia="en-US"/>
              </w:rPr>
              <w:t xml:space="preserve"> пункт </w:t>
            </w:r>
            <w:r w:rsidR="00E00A66" w:rsidRPr="007516A6">
              <w:rPr>
                <w:rFonts w:ascii="Arial" w:hAnsi="Arial"/>
                <w:sz w:val="22"/>
                <w:lang w:val="en-US" w:eastAsia="en-US" w:bidi="en-US"/>
              </w:rPr>
              <w:t>20</w:t>
            </w:r>
          </w:p>
        </w:tc>
      </w:tr>
    </w:tbl>
    <w:p w14:paraId="43CD8AAB" w14:textId="77777777" w:rsidR="005E285E" w:rsidRPr="007516A6" w:rsidRDefault="005E285E" w:rsidP="005E285E">
      <w:pPr>
        <w:pStyle w:val="ListParagraph"/>
        <w:keepLines/>
        <w:numPr>
          <w:ilvl w:val="0"/>
          <w:numId w:val="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</w:rPr>
      </w:pPr>
      <w:r w:rsidRPr="007516A6">
        <w:rPr>
          <w:lang w:bidi="ru-RU"/>
        </w:rPr>
        <w:br w:type="page"/>
      </w:r>
    </w:p>
    <w:p w14:paraId="3F4DA33B" w14:textId="77777777" w:rsidR="005E285E" w:rsidRPr="007516A6" w:rsidRDefault="005E285E" w:rsidP="005E285E">
      <w:pPr>
        <w:pStyle w:val="COMPara"/>
        <w:numPr>
          <w:ilvl w:val="0"/>
          <w:numId w:val="0"/>
        </w:numPr>
        <w:spacing w:before="240"/>
        <w:jc w:val="both"/>
        <w:rPr>
          <w:b/>
          <w:bCs/>
        </w:rPr>
      </w:pPr>
      <w:bookmarkStart w:id="0" w:name="_Hlk124351255"/>
      <w:r w:rsidRPr="007516A6">
        <w:rPr>
          <w:b/>
        </w:rPr>
        <w:lastRenderedPageBreak/>
        <w:t>История вопроса</w:t>
      </w:r>
    </w:p>
    <w:bookmarkEnd w:id="0"/>
    <w:p w14:paraId="525DFBA7" w14:textId="4CDAB38D" w:rsidR="00E00A66" w:rsidRPr="00414A14" w:rsidRDefault="00E00A66" w:rsidP="00E00A66">
      <w:pPr>
        <w:pStyle w:val="COMPara"/>
        <w:ind w:left="567" w:hanging="567"/>
        <w:jc w:val="both"/>
        <w:rPr>
          <w:bCs/>
        </w:rPr>
      </w:pPr>
      <w:r w:rsidRPr="007516A6">
        <w:rPr>
          <w:lang w:bidi="ru-RU"/>
        </w:rPr>
        <w:t xml:space="preserve">Настоящий доклад посвящен деятельности Секретариата Конвенции 2003 года за период с января 2024 года по декабрь 2025 года в соответствии с Резолюцией </w:t>
      </w:r>
      <w:hyperlink r:id="rId7" w:history="1">
        <w:r w:rsidRPr="007516A6">
          <w:rPr>
            <w:rStyle w:val="Hyperlink"/>
            <w:lang w:bidi="ru-RU"/>
          </w:rPr>
          <w:t>10.GA 6</w:t>
        </w:r>
      </w:hyperlink>
      <w:r w:rsidRPr="007516A6">
        <w:rPr>
          <w:lang w:bidi="ru-RU"/>
        </w:rPr>
        <w:t>. Рассматриваемый период согласуется с другими процессами отчетности ЮНЕСКО, в частности с</w:t>
      </w:r>
      <w:hyperlink r:id="rId8" w:history="1">
        <w:r w:rsidRPr="007516A6">
          <w:rPr>
            <w:rStyle w:val="Hyperlink"/>
            <w:lang w:bidi="ru-RU"/>
          </w:rPr>
          <w:t xml:space="preserve"> докладом Генерального директора</w:t>
        </w:r>
      </w:hyperlink>
      <w:r w:rsidRPr="007516A6">
        <w:rPr>
          <w:lang w:bidi="ru-RU"/>
        </w:rPr>
        <w:t xml:space="preserve"> об осуществлении программы, принятой Генеральной конференцией (EX/4). </w:t>
      </w:r>
      <w:hyperlink w:anchor="AnnexI" w:history="1">
        <w:r w:rsidRPr="007516A6">
          <w:rPr>
            <w:rStyle w:val="Hyperlink"/>
            <w:lang w:bidi="ru-RU"/>
          </w:rPr>
          <w:t>Приложение I</w:t>
        </w:r>
      </w:hyperlink>
      <w:r w:rsidRPr="007516A6">
        <w:rPr>
          <w:lang w:bidi="ru-RU"/>
        </w:rPr>
        <w:t xml:space="preserve"> отражает вклад деятельности Секретариата в систему оценки результатов 42 C/5, в частности в показатели эффективности в рамках Итогового результата 5.CLT4 Крупной программы IV. </w:t>
      </w:r>
      <w:hyperlink w:anchor="AnnexII" w:history="1">
        <w:r w:rsidRPr="007516A6">
          <w:rPr>
            <w:rStyle w:val="Hyperlink"/>
            <w:lang w:bidi="ru-RU"/>
          </w:rPr>
          <w:t>Приложение II</w:t>
        </w:r>
      </w:hyperlink>
      <w:r w:rsidRPr="007516A6">
        <w:rPr>
          <w:lang w:bidi="ru-RU"/>
        </w:rPr>
        <w:t xml:space="preserve"> содержит последующие меры по двенадцати рекомендациям</w:t>
      </w:r>
      <w:hyperlink r:id="rId9" w:history="1">
        <w:r w:rsidR="00414A14" w:rsidRPr="00414A14">
          <w:t xml:space="preserve"> </w:t>
        </w:r>
        <w:r w:rsidR="00414A14" w:rsidRPr="00414A14">
          <w:rPr>
            <w:rStyle w:val="Hyperlink"/>
            <w:lang w:bidi="ru-RU"/>
          </w:rPr>
          <w:t>Оценки</w:t>
        </w:r>
        <w:r w:rsidR="00414A14" w:rsidRPr="00E403BE">
          <w:rPr>
            <w:rStyle w:val="Hyperlink"/>
            <w:lang w:bidi="ru-RU"/>
          </w:rPr>
          <w:t xml:space="preserve"> </w:t>
        </w:r>
        <w:r w:rsidRPr="007516A6">
          <w:rPr>
            <w:rStyle w:val="Hyperlink"/>
            <w:lang w:bidi="ru-RU"/>
          </w:rPr>
          <w:t>IOS за 2021 год</w:t>
        </w:r>
      </w:hyperlink>
      <w:r w:rsidRPr="007516A6">
        <w:rPr>
          <w:lang w:bidi="ru-RU"/>
        </w:rPr>
        <w:t xml:space="preserve"> в отношении деятельности ЮНЕСКО в рамках Конвенции 2003 года</w:t>
      </w:r>
      <w:r w:rsidRPr="007516A6">
        <w:rPr>
          <w:rStyle w:val="FootnoteReference"/>
          <w:lang w:bidi="ru-RU"/>
        </w:rPr>
        <w:footnoteReference w:id="1"/>
      </w:r>
      <w:r w:rsidRPr="007516A6">
        <w:rPr>
          <w:lang w:bidi="ru-RU"/>
        </w:rPr>
        <w:t xml:space="preserve">. Этот доклад также следует рассматривать в совокупности с финансовым отчетом Фонда охраны нематериального культурного наследия Конвенции за тот же отчетный период (документ </w:t>
      </w:r>
      <w:hyperlink r:id="rId10" w:history="1">
        <w:r w:rsidRPr="00E403BE">
          <w:rPr>
            <w:rStyle w:val="Hyperlink"/>
            <w:lang w:bidi="ru-RU"/>
          </w:rPr>
          <w:t>LHE/26/11.GA/INF.8</w:t>
        </w:r>
      </w:hyperlink>
      <w:r w:rsidRPr="007516A6">
        <w:rPr>
          <w:lang w:bidi="ru-RU"/>
        </w:rPr>
        <w:t>).</w:t>
      </w:r>
    </w:p>
    <w:p w14:paraId="7A8C1C17" w14:textId="77777777" w:rsidR="00E00A66" w:rsidRPr="00414A14" w:rsidRDefault="00E00A66" w:rsidP="00E00A66">
      <w:pPr>
        <w:pStyle w:val="COMPara"/>
        <w:ind w:left="567" w:hanging="567"/>
        <w:jc w:val="both"/>
        <w:rPr>
          <w:bCs/>
        </w:rPr>
      </w:pPr>
      <w:r w:rsidRPr="007516A6">
        <w:rPr>
          <w:lang w:bidi="ru-RU"/>
        </w:rPr>
        <w:t>Основные мероприятия Секретариата были направлены на управление Конвенцией (раздел I), оперативные мероприятия и тематические инициативы (раздел II), а также на партнерские отношения, коммуникацию и информационно-просветительскую деятельность (раздел III). В настоящем докладе также содержится краткий обзор будущих направлений деятельности Конвенции и ее взаимодействия с другими конвенциями и программами (раздел IV).</w:t>
      </w:r>
    </w:p>
    <w:p w14:paraId="6C1EAA2B" w14:textId="77777777" w:rsidR="00E00A66" w:rsidRPr="007516A6" w:rsidRDefault="00E00A66" w:rsidP="00E00A66">
      <w:pPr>
        <w:pStyle w:val="COMPara"/>
        <w:numPr>
          <w:ilvl w:val="0"/>
          <w:numId w:val="4"/>
        </w:numPr>
        <w:spacing w:before="240"/>
        <w:ind w:left="567" w:hanging="567"/>
        <w:jc w:val="both"/>
        <w:rPr>
          <w:b/>
          <w:bCs/>
        </w:rPr>
      </w:pPr>
      <w:r w:rsidRPr="007516A6">
        <w:rPr>
          <w:b/>
          <w:lang w:bidi="ru-RU"/>
        </w:rPr>
        <w:t>Управление Конвенцией</w:t>
      </w:r>
    </w:p>
    <w:p w14:paraId="6F7331B9" w14:textId="01E8D897" w:rsidR="00E00A66" w:rsidRPr="007516A6" w:rsidRDefault="00E00A66" w:rsidP="00E00A66">
      <w:pPr>
        <w:pStyle w:val="COMPara"/>
        <w:ind w:left="567" w:hanging="567"/>
        <w:jc w:val="both"/>
      </w:pPr>
      <w:r w:rsidRPr="007516A6">
        <w:rPr>
          <w:lang w:bidi="ru-RU"/>
        </w:rPr>
        <w:t xml:space="preserve">Секретариат обеспечил административную, материально-техническую и основную поддержку руководящих органов Конвенции, организовав </w:t>
      </w:r>
      <w:r w:rsidRPr="00E403BE">
        <w:rPr>
          <w:lang w:bidi="ru-RU"/>
        </w:rPr>
        <w:t>тридцать семь</w:t>
      </w:r>
      <w:r w:rsidRPr="007516A6">
        <w:rPr>
          <w:lang w:bidi="ru-RU"/>
        </w:rPr>
        <w:t xml:space="preserve"> уставных совещаний. Был опубликован годовой график проведения уставных совещаний на </w:t>
      </w:r>
      <w:hyperlink r:id="rId11" w:history="1">
        <w:r w:rsidRPr="007516A6">
          <w:rPr>
            <w:rStyle w:val="Hyperlink"/>
            <w:lang w:bidi="ru-RU"/>
          </w:rPr>
          <w:t>2024</w:t>
        </w:r>
      </w:hyperlink>
      <w:r w:rsidRPr="007516A6">
        <w:rPr>
          <w:lang w:bidi="ru-RU"/>
        </w:rPr>
        <w:t xml:space="preserve"> и </w:t>
      </w:r>
      <w:hyperlink r:id="rId12" w:history="1">
        <w:r w:rsidRPr="007516A6">
          <w:rPr>
            <w:rStyle w:val="Hyperlink"/>
            <w:lang w:bidi="ru-RU"/>
          </w:rPr>
          <w:t>2025</w:t>
        </w:r>
      </w:hyperlink>
      <w:r w:rsidRPr="007516A6">
        <w:rPr>
          <w:lang w:bidi="ru-RU"/>
        </w:rPr>
        <w:t xml:space="preserve"> годы, который регулярно обновлялся на веб-сайте Конвенции. Кроме того, за отчетный период был завершен пересмотр Оперативного руководства Конвенции 2003 года (Резолюция </w:t>
      </w:r>
      <w:hyperlink r:id="rId13" w:history="1">
        <w:r w:rsidRPr="007516A6">
          <w:rPr>
            <w:rStyle w:val="Hyperlink"/>
            <w:lang w:bidi="ru-RU"/>
          </w:rPr>
          <w:t>10.GA 7</w:t>
        </w:r>
      </w:hyperlink>
      <w:r w:rsidRPr="007516A6">
        <w:rPr>
          <w:lang w:bidi="ru-RU"/>
        </w:rPr>
        <w:t xml:space="preserve">). Доклад о деятельности Комитета за период с января 2024 года по декабрь 2025 года представлен на текущей сессии Ассамблеи (документ </w:t>
      </w:r>
      <w:hyperlink r:id="rId14" w:history="1">
        <w:r w:rsidRPr="00E403BE">
          <w:rPr>
            <w:rStyle w:val="Hyperlink"/>
            <w:lang w:bidi="ru-RU"/>
          </w:rPr>
          <w:t>LHE/26/11.GA/5</w:t>
        </w:r>
      </w:hyperlink>
      <w:r w:rsidRPr="007516A6">
        <w:rPr>
          <w:lang w:bidi="ru-RU"/>
        </w:rPr>
        <w:t>).</w:t>
      </w:r>
    </w:p>
    <w:p w14:paraId="31477B05" w14:textId="5CC9C00B" w:rsidR="00E00A66" w:rsidRPr="007516A6" w:rsidRDefault="00E00A66" w:rsidP="00E00A66">
      <w:pPr>
        <w:pStyle w:val="COMPara"/>
        <w:ind w:left="567" w:hanging="567"/>
        <w:jc w:val="both"/>
      </w:pPr>
      <w:r w:rsidRPr="007516A6">
        <w:rPr>
          <w:lang w:bidi="ru-RU"/>
        </w:rPr>
        <w:t xml:space="preserve">Секретариат оказал существенную поддержку </w:t>
      </w:r>
      <w:r w:rsidRPr="007516A6">
        <w:rPr>
          <w:u w:val="single"/>
          <w:lang w:bidi="ru-RU"/>
        </w:rPr>
        <w:t>механизмам международного сотрудничества Конвенции</w:t>
      </w:r>
      <w:r w:rsidRPr="007516A6">
        <w:rPr>
          <w:lang w:bidi="ru-RU"/>
        </w:rPr>
        <w:t xml:space="preserve">. Основная часть работы была связана с обработкой номинационных досье в рамках циклов 2024 и 2025 годов для рассмотрения их Оценочным органом, а также с проверкой технической полноты номинаций в рамках циклов 2025 и 2026 годов. Кроме того, Секретариат рассмотрел периодические доклады, а также заявки на аккредитацию и ее продление от неправительственных организаций (НПО). В соответствии с рекомендациями двадцатой сессии Комитета такие заявки на аккредитацию представлены на рассмотрение текущей сессии Ассамблеи (документ </w:t>
      </w:r>
      <w:hyperlink r:id="rId15" w:history="1">
        <w:r w:rsidRPr="00E403BE">
          <w:rPr>
            <w:rStyle w:val="Hyperlink"/>
            <w:lang w:bidi="ru-RU"/>
          </w:rPr>
          <w:t>LHE/26/11.GA/9</w:t>
        </w:r>
      </w:hyperlink>
      <w:r w:rsidRPr="007516A6">
        <w:rPr>
          <w:lang w:bidi="ru-RU"/>
        </w:rPr>
        <w:t>).</w:t>
      </w:r>
    </w:p>
    <w:p w14:paraId="1E474F8D" w14:textId="7D2708BA" w:rsidR="00E00A66" w:rsidRPr="007516A6" w:rsidRDefault="00E00A66" w:rsidP="004D3A23">
      <w:pPr>
        <w:pStyle w:val="COMPara"/>
        <w:ind w:left="567" w:hanging="567"/>
        <w:jc w:val="both"/>
        <w:rPr>
          <w:rStyle w:val="ui-provider"/>
        </w:rPr>
      </w:pPr>
      <w:r w:rsidRPr="007516A6">
        <w:rPr>
          <w:rStyle w:val="ui-provider"/>
          <w:lang w:bidi="ru-RU"/>
        </w:rPr>
        <w:t xml:space="preserve">По итогам глобального анализа механизмов включения в списки Конвенции (2018–2022 гг.) руководящие органы Конвенции отметили рост потребностей с точки зрения объема работы Секретариата по оказанию поддержки Оценочному органу и Комитету в процессе оценки и </w:t>
      </w:r>
      <w:r w:rsidRPr="00E403BE">
        <w:rPr>
          <w:rStyle w:val="ui-provider"/>
          <w:lang w:bidi="ru-RU"/>
        </w:rPr>
        <w:t>рассмотрения номинационных досье</w:t>
      </w:r>
      <w:r w:rsidRPr="007516A6">
        <w:rPr>
          <w:rStyle w:val="ui-provider"/>
          <w:lang w:bidi="ru-RU"/>
        </w:rPr>
        <w:t xml:space="preserve">. </w:t>
      </w:r>
      <w:r w:rsidRPr="00BB4645">
        <w:rPr>
          <w:rStyle w:val="ui-provider"/>
          <w:lang w:bidi="ru-RU"/>
        </w:rPr>
        <w:t xml:space="preserve">В частности, речь идет о </w:t>
      </w:r>
      <w:r w:rsidRPr="00E403BE">
        <w:rPr>
          <w:rStyle w:val="ui-provider"/>
          <w:u w:val="single"/>
          <w:lang w:bidi="ru-RU"/>
        </w:rPr>
        <w:t>числе рассмотренных досье</w:t>
      </w:r>
      <w:r w:rsidRPr="00BB4645">
        <w:rPr>
          <w:rStyle w:val="ui-provider"/>
          <w:lang w:bidi="ru-RU"/>
        </w:rPr>
        <w:t xml:space="preserve"> (всего 140 досье в рамках циклов 2024 и 2025 годов по сравнению со 121 досье в рамках циклов 2022 и 2023 годов)</w:t>
      </w:r>
      <w:r w:rsidR="004D3A23" w:rsidRPr="00E403BE">
        <w:rPr>
          <w:rStyle w:val="ui-provider"/>
          <w:lang w:bidi="ru-RU"/>
        </w:rPr>
        <w:t xml:space="preserve"> </w:t>
      </w:r>
      <w:r w:rsidR="004D3A23" w:rsidRPr="00BB4645">
        <w:rPr>
          <w:rStyle w:val="ui-provider"/>
          <w:lang w:bidi="ru-RU"/>
        </w:rPr>
        <w:t>, что отражает</w:t>
      </w:r>
      <w:r w:rsidRPr="00BB4645">
        <w:rPr>
          <w:rStyle w:val="ui-provider"/>
          <w:lang w:bidi="ru-RU"/>
        </w:rPr>
        <w:t xml:space="preserve"> как </w:t>
      </w:r>
      <w:r w:rsidRPr="00E403BE">
        <w:rPr>
          <w:rStyle w:val="ui-provider"/>
          <w:lang w:bidi="ru-RU"/>
        </w:rPr>
        <w:t xml:space="preserve">досье, рассматриваемых в рамках максимального годового лимита, установленного на уровне шестидесяти досье, </w:t>
      </w:r>
      <w:r w:rsidRPr="00BB4645">
        <w:rPr>
          <w:rStyle w:val="ui-provider"/>
          <w:lang w:bidi="ru-RU"/>
        </w:rPr>
        <w:t>так и различных категорий досье, которые запланированы к рассмотрению вне рамок годового лимита (Решения</w:t>
      </w:r>
      <w:hyperlink r:id="rId16" w:history="1">
        <w:r w:rsidRPr="00E403BE">
          <w:rPr>
            <w:rStyle w:val="Hyperlink"/>
            <w:u w:val="none"/>
            <w:lang w:bidi="ru-RU"/>
          </w:rPr>
          <w:t xml:space="preserve"> </w:t>
        </w:r>
        <w:r w:rsidRPr="00BB4645">
          <w:rPr>
            <w:rStyle w:val="Hyperlink"/>
            <w:lang w:bidi="ru-RU"/>
          </w:rPr>
          <w:t>17.COM 15</w:t>
        </w:r>
      </w:hyperlink>
      <w:r w:rsidRPr="00BB4645">
        <w:rPr>
          <w:rStyle w:val="ui-provider"/>
          <w:lang w:bidi="ru-RU"/>
        </w:rPr>
        <w:t xml:space="preserve"> и </w:t>
      </w:r>
      <w:hyperlink r:id="rId17" w:history="1">
        <w:r w:rsidRPr="00BB4645">
          <w:rPr>
            <w:rStyle w:val="Hyperlink"/>
            <w:lang w:bidi="ru-RU"/>
          </w:rPr>
          <w:t>19.COM 15</w:t>
        </w:r>
      </w:hyperlink>
      <w:r w:rsidRPr="00BB4645">
        <w:rPr>
          <w:rStyle w:val="ui-provider"/>
          <w:lang w:bidi="ru-RU"/>
        </w:rPr>
        <w:t>).</w:t>
      </w:r>
      <w:r w:rsidRPr="007516A6">
        <w:rPr>
          <w:rStyle w:val="ui-provider"/>
          <w:lang w:bidi="ru-RU"/>
        </w:rPr>
        <w:t xml:space="preserve"> Аналогичным образом, в рамках цикла 2026 года первоначально было рассмотрено </w:t>
      </w:r>
      <w:r w:rsidRPr="00E403BE">
        <w:rPr>
          <w:rStyle w:val="ui-provider"/>
          <w:lang w:bidi="ru-RU"/>
        </w:rPr>
        <w:t>71 досье</w:t>
      </w:r>
      <w:r w:rsidRPr="007516A6">
        <w:rPr>
          <w:rStyle w:val="ui-provider"/>
          <w:lang w:bidi="ru-RU"/>
        </w:rPr>
        <w:t xml:space="preserve"> (из 137, подлежавших рассмотрению), и хотя цикл 2027 года еще находится в стадии формирования (из 170 досье, подлежащих рассмотрению), в нем, вероятно, будет представлено аналогичное или даже большее число досье. Такое увеличение </w:t>
      </w:r>
      <w:r w:rsidRPr="007516A6">
        <w:rPr>
          <w:rStyle w:val="ui-provider"/>
          <w:lang w:bidi="ru-RU"/>
        </w:rPr>
        <w:lastRenderedPageBreak/>
        <w:t xml:space="preserve">числа досье за последние четыре цикла привело к увеличению рабочей нагрузки на Секретариат, что обусловлено наличием обширных процедур на этапе «проверки технической полноты», а также разнообразием номинационных материалов, которые необходимо учесть при перемещении элементов между списками и номинациями на расширенной основе. Эти растущие потребности особенно остро стоят в свете ограниченности людских ресурсов, имеющихся в распоряжении Секретариата, поэтому ввиду такого ограничения и других технических вопросов, касающихся рассмотрения досье (см. документ </w:t>
      </w:r>
      <w:hyperlink r:id="rId18" w:history="1">
        <w:r w:rsidRPr="007516A6">
          <w:rPr>
            <w:rStyle w:val="Hyperlink"/>
            <w:lang w:bidi="ru-RU"/>
          </w:rPr>
          <w:t>LHE/25/20.COM/8</w:t>
        </w:r>
      </w:hyperlink>
      <w:r w:rsidRPr="007516A6">
        <w:rPr>
          <w:rStyle w:val="ui-provider"/>
          <w:lang w:bidi="ru-RU"/>
        </w:rPr>
        <w:t xml:space="preserve">), Комитет рекомендовал текущей сессии Ассамблеи утвердить предлагаемые изменения в Оперативное руководство по выполнению Конвенции (Решение </w:t>
      </w:r>
      <w:hyperlink r:id="rId19" w:history="1">
        <w:r w:rsidRPr="007516A6">
          <w:rPr>
            <w:rStyle w:val="Hyperlink"/>
            <w:lang w:bidi="ru-RU"/>
          </w:rPr>
          <w:t>20.COM 8</w:t>
        </w:r>
      </w:hyperlink>
      <w:r w:rsidRPr="007516A6">
        <w:rPr>
          <w:rStyle w:val="ui-provider"/>
          <w:lang w:bidi="ru-RU"/>
        </w:rPr>
        <w:t xml:space="preserve"> и документ </w:t>
      </w:r>
      <w:hyperlink r:id="rId20" w:history="1">
        <w:r w:rsidRPr="00E403BE">
          <w:rPr>
            <w:rStyle w:val="Hyperlink"/>
            <w:lang w:bidi="ru-RU"/>
          </w:rPr>
          <w:t>LHE/26/11.GA/7</w:t>
        </w:r>
      </w:hyperlink>
      <w:r w:rsidRPr="007516A6">
        <w:rPr>
          <w:rStyle w:val="ui-provider"/>
          <w:lang w:bidi="ru-RU"/>
        </w:rPr>
        <w:t>). Вопрос о числе досье для рассмотрения в рамках циклов 2028 и 2029 годов будет обсуждаться в ходе двадцать первой сессии Комитета наряду с вопросами о максимальном годовом лимите и системе определения приоритетов, что потребует внесения корректировок для управления будущими циклами представления номинаций.</w:t>
      </w:r>
    </w:p>
    <w:p w14:paraId="30C39ACE" w14:textId="3ED15703" w:rsidR="00E00A66" w:rsidRPr="007516A6" w:rsidRDefault="00E00A66" w:rsidP="00E00A66">
      <w:pPr>
        <w:pStyle w:val="COMPara"/>
        <w:ind w:left="567" w:hanging="567"/>
        <w:jc w:val="both"/>
      </w:pPr>
      <w:r w:rsidRPr="007516A6">
        <w:rPr>
          <w:lang w:bidi="ru-RU"/>
        </w:rPr>
        <w:t xml:space="preserve">Секретариат также предпринял шаги для решения проблемы «недостаточного использования» Реестра надлежащей практики охраны и </w:t>
      </w:r>
      <w:r w:rsidRPr="007516A6">
        <w:rPr>
          <w:u w:val="single"/>
          <w:lang w:bidi="ru-RU"/>
        </w:rPr>
        <w:t>статьи 18 Конвенции</w:t>
      </w:r>
      <w:r w:rsidRPr="007516A6">
        <w:rPr>
          <w:lang w:bidi="ru-RU"/>
        </w:rPr>
        <w:t xml:space="preserve"> в целом. В первую очередь Секретариат поспособствовал обсуждению вопроса о более широком применении статьи 18 Конвенции, представив предварительную версию онлайн-платформы для обмена опытом сохранения наследия, полученным сообществами по всему миру (при поддержке Королевства Нидерландов и Республики Корея; см. документ </w:t>
      </w:r>
      <w:hyperlink r:id="rId21" w:history="1">
        <w:r w:rsidRPr="007516A6">
          <w:rPr>
            <w:rStyle w:val="Hyperlink"/>
            <w:lang w:bidi="ru-RU"/>
          </w:rPr>
          <w:t>LHE/25/20.COM/11</w:t>
        </w:r>
      </w:hyperlink>
      <w:r w:rsidRPr="007516A6">
        <w:rPr>
          <w:lang w:bidi="ru-RU"/>
        </w:rPr>
        <w:t xml:space="preserve">), а также накопленным сообществами опытом охраны </w:t>
      </w:r>
      <w:r w:rsidRPr="007516A6">
        <w:rPr>
          <w:u w:val="single"/>
          <w:lang w:bidi="ru-RU"/>
        </w:rPr>
        <w:t>кулинарных традиций</w:t>
      </w:r>
      <w:r w:rsidRPr="007516A6">
        <w:rPr>
          <w:lang w:bidi="ru-RU"/>
        </w:rPr>
        <w:t xml:space="preserve"> (при поддержке Королевства Саудовская Аравия). К концу 2026 года Секретариат планирует представить полную версию платформы (с 60 примерами опыта сохранения наследия). Кроме того, во исполнение Резолюции </w:t>
      </w:r>
      <w:hyperlink r:id="rId22" w:history="1">
        <w:r w:rsidRPr="007516A6">
          <w:rPr>
            <w:rStyle w:val="Hyperlink"/>
            <w:lang w:bidi="ru-RU"/>
          </w:rPr>
          <w:t>10.GA 7</w:t>
        </w:r>
      </w:hyperlink>
      <w:r w:rsidRPr="007516A6">
        <w:rPr>
          <w:lang w:bidi="ru-RU"/>
        </w:rPr>
        <w:t xml:space="preserve"> формы ICH-03 (для включения номинаций в реестр) и ICH-02 </w:t>
      </w:r>
      <w:r w:rsidR="00BB4645">
        <w:rPr>
          <w:lang w:val="en-US" w:bidi="ru-RU"/>
        </w:rPr>
        <w:t>USL</w:t>
      </w:r>
      <w:r w:rsidR="00BB4645" w:rsidRPr="00E403BE">
        <w:rPr>
          <w:lang w:bidi="ru-RU"/>
        </w:rPr>
        <w:t xml:space="preserve"> </w:t>
      </w:r>
      <w:r w:rsidR="001C297D" w:rsidRPr="00D279B1">
        <w:t xml:space="preserve">to RL </w:t>
      </w:r>
      <w:r w:rsidRPr="007516A6">
        <w:rPr>
          <w:lang w:bidi="ru-RU"/>
        </w:rPr>
        <w:t xml:space="preserve">(для перемещения элементов из Списка срочной охраны в Репрезентативный список и возможного включения соответствующего опыта охраны в реестр) были упрощены и будут использоваться начиная с цикла 2026 года (см. документ </w:t>
      </w:r>
      <w:hyperlink r:id="rId23" w:history="1">
        <w:r w:rsidRPr="007516A6">
          <w:rPr>
            <w:rStyle w:val="Hyperlink"/>
            <w:lang w:bidi="ru-RU"/>
          </w:rPr>
          <w:t>LHE/25/20.COM</w:t>
        </w:r>
        <w:r w:rsidR="00BB4645" w:rsidRPr="00E403BE">
          <w:rPr>
            <w:rStyle w:val="Hyperlink"/>
            <w:lang w:bidi="ru-RU"/>
          </w:rPr>
          <w:t>/</w:t>
        </w:r>
        <w:r w:rsidRPr="007516A6">
          <w:rPr>
            <w:rStyle w:val="Hyperlink"/>
            <w:lang w:bidi="ru-RU"/>
          </w:rPr>
          <w:t>8</w:t>
        </w:r>
      </w:hyperlink>
      <w:r w:rsidRPr="007516A6">
        <w:rPr>
          <w:lang w:bidi="ru-RU"/>
        </w:rPr>
        <w:t>).</w:t>
      </w:r>
    </w:p>
    <w:p w14:paraId="5B16AEB8" w14:textId="1F5E43E6" w:rsidR="00E00A66" w:rsidRPr="007516A6" w:rsidRDefault="00E00A66" w:rsidP="00E00A66">
      <w:pPr>
        <w:pStyle w:val="COMPara"/>
        <w:ind w:left="567" w:hanging="567"/>
        <w:jc w:val="both"/>
        <w:rPr>
          <w:rFonts w:asciiTheme="minorBidi" w:hAnsiTheme="minorBidi" w:cstheme="minorBidi"/>
        </w:rPr>
      </w:pPr>
      <w:r w:rsidRPr="007516A6">
        <w:rPr>
          <w:rFonts w:asciiTheme="minorBidi" w:hAnsiTheme="minorBidi" w:cstheme="minorBidi"/>
          <w:lang w:bidi="ru-RU"/>
        </w:rPr>
        <w:t>С</w:t>
      </w:r>
      <w:r w:rsidRPr="007516A6">
        <w:rPr>
          <w:lang w:bidi="ru-RU"/>
        </w:rPr>
        <w:t>екретариат продолжил реализацию пилотных проектов в соответствии с «Оперативными принципами</w:t>
      </w:r>
      <w:r w:rsidRPr="007516A6">
        <w:rPr>
          <w:rFonts w:asciiTheme="minorBidi" w:hAnsiTheme="minorBidi" w:cstheme="minorBidi"/>
          <w:lang w:bidi="ru-RU"/>
        </w:rPr>
        <w:t xml:space="preserve"> и методами </w:t>
      </w:r>
      <w:r w:rsidRPr="00E403BE">
        <w:rPr>
          <w:rFonts w:asciiTheme="minorBidi" w:hAnsiTheme="minorBidi" w:cstheme="minorBidi"/>
          <w:u w:val="single"/>
          <w:lang w:bidi="ru-RU"/>
        </w:rPr>
        <w:t>охраны нематериального культурного наследия в чрезвычайных ситуациях</w:t>
      </w:r>
      <w:r w:rsidRPr="007516A6">
        <w:rPr>
          <w:rFonts w:asciiTheme="minorBidi" w:hAnsiTheme="minorBidi" w:cstheme="minorBidi"/>
          <w:lang w:bidi="ru-RU"/>
        </w:rPr>
        <w:t xml:space="preserve">» (Резолюция </w:t>
      </w:r>
      <w:hyperlink r:id="rId24" w:history="1">
        <w:r w:rsidRPr="001C297D">
          <w:rPr>
            <w:rStyle w:val="Hyperlink"/>
            <w:rFonts w:asciiTheme="minorBidi" w:hAnsiTheme="minorBidi" w:cstheme="minorBidi"/>
            <w:lang w:bidi="ru-RU"/>
          </w:rPr>
          <w:t>8.GA 9</w:t>
        </w:r>
      </w:hyperlink>
      <w:r w:rsidRPr="007516A6">
        <w:rPr>
          <w:rFonts w:asciiTheme="minorBidi" w:hAnsiTheme="minorBidi" w:cstheme="minorBidi"/>
          <w:lang w:bidi="ru-RU"/>
        </w:rPr>
        <w:t>). В декабре 2025 года в пяти государствах-участниках (Багамские Острова, Белиз, Фиджи, Тонга и Вануату) был завершен многолетний проект «</w:t>
      </w:r>
      <w:hyperlink r:id="rId25" w:history="1">
        <w:r w:rsidRPr="00A45700">
          <w:rPr>
            <w:rStyle w:val="Hyperlink"/>
            <w:rFonts w:asciiTheme="minorBidi" w:hAnsiTheme="minorBidi" w:cstheme="minorBidi"/>
            <w:lang w:bidi="ru-RU"/>
          </w:rPr>
          <w:t>Укрепление потенциала в области охраны нематериального культурного наследия в чрезвычайных ситуациях в малых островных развивающихся государствах (МОСРГ) в Тихоокеанском и Карибском регионах</w:t>
        </w:r>
      </w:hyperlink>
      <w:r w:rsidRPr="007516A6">
        <w:rPr>
          <w:rFonts w:asciiTheme="minorBidi" w:hAnsiTheme="minorBidi" w:cstheme="minorBidi"/>
          <w:lang w:bidi="ru-RU"/>
        </w:rPr>
        <w:t>», реализованный при поддержке целевых фондов Японии. В контексте войны в Украине Секретариат, руководствуясь Планом действий на 2024 год и действуя при поддержке Чрезвычайного фонда наследия, а также в координации с правительством Украины, осуществил мониторинг потребностей по сохранению наследия. В частности, в июне 2025 года началась реализация второго этапа проекта, в рамках которого 100 преподавателей-инструкторов со всей Украины прошли обучение посредством участия в четырех очных семинарах-практикумах</w:t>
      </w:r>
    </w:p>
    <w:p w14:paraId="1039B98A" w14:textId="0003DD4B" w:rsidR="00E00A66" w:rsidRPr="007516A6" w:rsidRDefault="00E00A66" w:rsidP="00E00A66">
      <w:pPr>
        <w:pStyle w:val="COMPara"/>
        <w:ind w:left="567" w:hanging="567"/>
        <w:jc w:val="both"/>
      </w:pPr>
      <w:r w:rsidRPr="007516A6">
        <w:rPr>
          <w:lang w:bidi="ru-RU"/>
        </w:rPr>
        <w:t xml:space="preserve">В 2025 году завершился первый региональный цикл </w:t>
      </w:r>
      <w:r w:rsidRPr="007516A6">
        <w:rPr>
          <w:u w:val="single"/>
          <w:lang w:bidi="ru-RU"/>
        </w:rPr>
        <w:t>периодической отчетности</w:t>
      </w:r>
      <w:r w:rsidRPr="007516A6">
        <w:rPr>
          <w:lang w:bidi="ru-RU"/>
        </w:rPr>
        <w:t xml:space="preserve"> в рамках Конвенции; при этом во всех регионах был продемонстрирован высокий уровень представления докладов. Показатели представления докладов по двум последним регионам, которые должны были представить доклады в период 2024–2025 годов, составили 100% для Африки (44 из 44 ожидаемых докладов были представлены и рассмотрены в ходе девятнадцатой сессии Комитета) и 90% для Азиатско-Тихоокеанского региона (38 из 42 ожидаемых докладов были представлены и рассмотрены в ходе двадцатой сессии Комитета). Секретариат оказал этим двум регионам всестороннюю поддержку на основе индивидуального подхода к укреплению потенциала и в сотрудничестве с центрами категории 2 ЮНЕСКО в области живого наследия. В дальнейшем Комитет обратился к центрам категории 2 с просьбой продолжить оказание поддержки в осуществлении следующего цикла периодической </w:t>
      </w:r>
      <w:r w:rsidRPr="007516A6">
        <w:rPr>
          <w:lang w:bidi="ru-RU"/>
        </w:rPr>
        <w:lastRenderedPageBreak/>
        <w:t xml:space="preserve">отчетности, в частности в рамках перехода к единой глобальной системе представления докладов (Решение </w:t>
      </w:r>
      <w:hyperlink r:id="rId26" w:history="1">
        <w:r w:rsidRPr="007516A6">
          <w:rPr>
            <w:rStyle w:val="Hyperlink"/>
            <w:lang w:bidi="ru-RU"/>
          </w:rPr>
          <w:t>20.COM 6.c</w:t>
        </w:r>
      </w:hyperlink>
      <w:r w:rsidRPr="007516A6">
        <w:rPr>
          <w:lang w:bidi="ru-RU"/>
        </w:rPr>
        <w:t xml:space="preserve"> и </w:t>
      </w:r>
      <w:r w:rsidRPr="007516A6">
        <w:rPr>
          <w:rStyle w:val="ui-provider"/>
          <w:lang w:bidi="ru-RU"/>
        </w:rPr>
        <w:t xml:space="preserve">документ </w:t>
      </w:r>
      <w:hyperlink r:id="rId27" w:history="1">
        <w:r w:rsidRPr="00E403BE">
          <w:rPr>
            <w:rStyle w:val="Hyperlink"/>
            <w:lang w:bidi="ru-RU"/>
          </w:rPr>
          <w:t>LHE/26/11.GA/7</w:t>
        </w:r>
      </w:hyperlink>
      <w:r w:rsidRPr="007516A6">
        <w:rPr>
          <w:lang w:bidi="ru-RU"/>
        </w:rPr>
        <w:t>).</w:t>
      </w:r>
    </w:p>
    <w:p w14:paraId="118F9DCE" w14:textId="40A3A045" w:rsidR="00E00A66" w:rsidRPr="007516A6" w:rsidRDefault="00E00A66" w:rsidP="00E00A66">
      <w:pPr>
        <w:pStyle w:val="COMPara"/>
        <w:ind w:left="567" w:hanging="567"/>
        <w:jc w:val="both"/>
      </w:pPr>
      <w:r w:rsidRPr="007516A6">
        <w:rPr>
          <w:lang w:bidi="ru-RU"/>
        </w:rPr>
        <w:t xml:space="preserve">В рамках механизма </w:t>
      </w:r>
      <w:r w:rsidRPr="007516A6">
        <w:rPr>
          <w:u w:val="single"/>
          <w:lang w:bidi="ru-RU"/>
        </w:rPr>
        <w:t>международной помощи</w:t>
      </w:r>
      <w:r w:rsidRPr="007516A6">
        <w:rPr>
          <w:lang w:bidi="ru-RU"/>
        </w:rPr>
        <w:t xml:space="preserve"> было продолжено внедрение стратегии, утвержденной Комитетом в ходе его семнадцатой сессии (Решение </w:t>
      </w:r>
      <w:hyperlink r:id="rId28" w:history="1">
        <w:r w:rsidRPr="007516A6">
          <w:rPr>
            <w:rStyle w:val="Hyperlink"/>
            <w:lang w:bidi="ru-RU"/>
          </w:rPr>
          <w:t>17.COM 11</w:t>
        </w:r>
      </w:hyperlink>
      <w:r w:rsidRPr="007516A6">
        <w:rPr>
          <w:lang w:bidi="ru-RU"/>
        </w:rPr>
        <w:t xml:space="preserve">), в частности путем запуска пилотной оценки двух завершенных проектов, осуществленных в соответствии с указанной стратегией. Параллельно с этим Секретариат продолжил поддерживать национальные усилия по сохранению наследия: финансовую помощь впервые получили </w:t>
      </w:r>
      <w:r w:rsidR="00321DF5" w:rsidRPr="00E403BE">
        <w:rPr>
          <w:lang w:bidi="ru-RU"/>
        </w:rPr>
        <w:t>15</w:t>
      </w:r>
      <w:r w:rsidR="00321DF5" w:rsidRPr="007516A6">
        <w:rPr>
          <w:lang w:bidi="ru-RU"/>
        </w:rPr>
        <w:t xml:space="preserve"> </w:t>
      </w:r>
      <w:r w:rsidRPr="007516A6">
        <w:rPr>
          <w:lang w:bidi="ru-RU"/>
        </w:rPr>
        <w:t xml:space="preserve">государств-участников (включая пять МОСРГ), что позволило расширить географический охват механизма (документы </w:t>
      </w:r>
      <w:hyperlink r:id="rId29" w:history="1">
        <w:r w:rsidRPr="00E403BE">
          <w:rPr>
            <w:rStyle w:val="Hyperlink"/>
            <w:lang w:bidi="ru-RU"/>
          </w:rPr>
          <w:t>LHE/26/11.GA/8</w:t>
        </w:r>
      </w:hyperlink>
      <w:r w:rsidRPr="007516A6">
        <w:rPr>
          <w:lang w:bidi="ru-RU"/>
        </w:rPr>
        <w:t xml:space="preserve"> и </w:t>
      </w:r>
      <w:hyperlink r:id="rId30" w:history="1">
        <w:r w:rsidRPr="00E403BE">
          <w:rPr>
            <w:rStyle w:val="Hyperlink"/>
            <w:lang w:bidi="ru-RU"/>
          </w:rPr>
          <w:t>LHE/26/11.GA/INF.8</w:t>
        </w:r>
      </w:hyperlink>
      <w:r w:rsidRPr="007516A6">
        <w:rPr>
          <w:lang w:bidi="ru-RU"/>
        </w:rPr>
        <w:t>).</w:t>
      </w:r>
    </w:p>
    <w:p w14:paraId="4DA5A3EE" w14:textId="77777777" w:rsidR="00E00A66" w:rsidRPr="007516A6" w:rsidRDefault="00E00A66" w:rsidP="00E00A66">
      <w:pPr>
        <w:pStyle w:val="COMPara"/>
        <w:numPr>
          <w:ilvl w:val="0"/>
          <w:numId w:val="4"/>
        </w:numPr>
        <w:spacing w:before="240"/>
        <w:ind w:left="567" w:hanging="567"/>
        <w:jc w:val="both"/>
        <w:rPr>
          <w:b/>
          <w:bCs/>
        </w:rPr>
      </w:pPr>
      <w:r w:rsidRPr="007516A6">
        <w:rPr>
          <w:b/>
          <w:lang w:bidi="ru-RU"/>
        </w:rPr>
        <w:t>Оперативные мероприятия и тематические инициативы</w:t>
      </w:r>
    </w:p>
    <w:p w14:paraId="668EAEDC" w14:textId="60484447" w:rsidR="00E00A66" w:rsidRPr="007516A6" w:rsidRDefault="00E00A66" w:rsidP="00E00A66">
      <w:pPr>
        <w:pStyle w:val="COMPara"/>
        <w:ind w:left="567" w:hanging="567"/>
        <w:jc w:val="both"/>
      </w:pPr>
      <w:r w:rsidRPr="007516A6">
        <w:rPr>
          <w:lang w:bidi="ru-RU"/>
        </w:rPr>
        <w:t xml:space="preserve">Масштаб и охват </w:t>
      </w:r>
      <w:r w:rsidRPr="00E403BE">
        <w:rPr>
          <w:u w:val="single"/>
          <w:lang w:bidi="ru-RU"/>
        </w:rPr>
        <w:t>инициатив</w:t>
      </w:r>
      <w:r w:rsidRPr="007516A6">
        <w:rPr>
          <w:lang w:bidi="ru-RU"/>
        </w:rPr>
        <w:t xml:space="preserve"> Секретариата по </w:t>
      </w:r>
      <w:r w:rsidRPr="00E403BE">
        <w:rPr>
          <w:u w:val="single"/>
          <w:lang w:bidi="ru-RU"/>
        </w:rPr>
        <w:t>укреплению потенциала</w:t>
      </w:r>
      <w:r w:rsidRPr="007516A6">
        <w:rPr>
          <w:lang w:bidi="ru-RU"/>
        </w:rPr>
        <w:t xml:space="preserve"> расширились в рамках первого приоритетного направления финансирования </w:t>
      </w:r>
      <w:r w:rsidR="00F04450" w:rsidRPr="00F04450">
        <w:rPr>
          <w:lang w:bidi="ru-RU"/>
        </w:rPr>
        <w:t>Конвенции</w:t>
      </w:r>
      <w:r w:rsidRPr="007516A6">
        <w:rPr>
          <w:lang w:bidi="ru-RU"/>
        </w:rPr>
        <w:t xml:space="preserve"> (реализация которого завершилась в конце 2025 года; см. документ </w:t>
      </w:r>
      <w:hyperlink r:id="rId31" w:history="1">
        <w:r w:rsidRPr="007516A6">
          <w:rPr>
            <w:rStyle w:val="Hyperlink"/>
            <w:lang w:bidi="ru-RU"/>
          </w:rPr>
          <w:t>LHE/25/20.COM/INF.13.1</w:t>
        </w:r>
      </w:hyperlink>
      <w:r w:rsidRPr="007516A6">
        <w:rPr>
          <w:lang w:bidi="ru-RU"/>
        </w:rPr>
        <w:t>); при этом была оказана поддержка 127 государствам-членам, включая 44 африканские страны и 33 МОСРГ, в разработке новых или пересмотре существующих политик, стратегий и программ по сохранению живого наследия.</w:t>
      </w:r>
    </w:p>
    <w:p w14:paraId="0AD7201E" w14:textId="22482655" w:rsidR="00E00A66" w:rsidRPr="007516A6" w:rsidRDefault="00E00A66" w:rsidP="00E00A66">
      <w:pPr>
        <w:pStyle w:val="COMPara"/>
        <w:ind w:left="567" w:hanging="567"/>
        <w:jc w:val="both"/>
      </w:pPr>
      <w:r w:rsidRPr="007516A6">
        <w:rPr>
          <w:lang w:bidi="ru-RU"/>
        </w:rPr>
        <w:t xml:space="preserve">По завершении реализации первого приоритетного направления финансирования в рамках программы по укреплению потенциала был успешно завершен переход к гибридной модели работы, в частности благодаря запуску </w:t>
      </w:r>
      <w:r w:rsidRPr="007516A6">
        <w:rPr>
          <w:u w:val="single"/>
          <w:lang w:bidi="ru-RU"/>
        </w:rPr>
        <w:t>Учебной платформы ЮНЕСКО по сохранению живого наследия в целях устойчивого развития</w:t>
      </w:r>
      <w:r w:rsidRPr="007516A6">
        <w:rPr>
          <w:lang w:bidi="ru-RU"/>
        </w:rPr>
        <w:t xml:space="preserve">. Благодаря партнерству с Международным учебным центром Международной организации труда (МУЦ МОТ), а также с внешней компанией и экспертами-инструкторами платформа была открыта для общественности 23 мая 2025 г., а первые </w:t>
      </w:r>
      <w:hyperlink r:id="rId32" w:history="1">
        <w:r w:rsidRPr="00321DF5">
          <w:rPr>
            <w:rStyle w:val="Hyperlink"/>
            <w:lang w:bidi="ru-RU"/>
          </w:rPr>
          <w:t>три модуля</w:t>
        </w:r>
      </w:hyperlink>
      <w:r w:rsidRPr="007516A6">
        <w:rPr>
          <w:lang w:bidi="ru-RU"/>
        </w:rPr>
        <w:t xml:space="preserve"> были загружены в декабре 2025 г. и представлены в ходе двадцатой сессии Комитета. Аналогичным образом, представители </w:t>
      </w:r>
      <w:r w:rsidRPr="007516A6">
        <w:rPr>
          <w:u w:val="single"/>
          <w:lang w:bidi="ru-RU"/>
        </w:rPr>
        <w:t>глобальной сети экспертов-инструкторов</w:t>
      </w:r>
      <w:r w:rsidRPr="007516A6">
        <w:rPr>
          <w:lang w:bidi="ru-RU"/>
        </w:rPr>
        <w:t xml:space="preserve"> Конвенции прошли подготовку по тематическим направлениям Конвенции посредством участия в серии учебных вебинаров, посвященных вопросу взаимосвязи между живым наследием и (1) </w:t>
      </w:r>
      <w:hyperlink r:id="rId33" w:history="1">
        <w:r w:rsidRPr="007516A6">
          <w:rPr>
            <w:rStyle w:val="Hyperlink"/>
            <w:lang w:bidi="ru-RU"/>
          </w:rPr>
          <w:t>снижением риска бедствий</w:t>
        </w:r>
      </w:hyperlink>
      <w:r w:rsidRPr="007516A6">
        <w:rPr>
          <w:lang w:bidi="ru-RU"/>
        </w:rPr>
        <w:t xml:space="preserve"> (март 2025 г.); </w:t>
      </w:r>
      <w:hyperlink r:id="rId34" w:history="1">
        <w:r w:rsidRPr="007516A6">
          <w:rPr>
            <w:rStyle w:val="Hyperlink"/>
            <w:lang w:bidi="ru-RU"/>
          </w:rPr>
          <w:t>номинациями</w:t>
        </w:r>
      </w:hyperlink>
      <w:r w:rsidRPr="007516A6">
        <w:rPr>
          <w:lang w:bidi="ru-RU"/>
        </w:rPr>
        <w:t xml:space="preserve"> (июнь 2025 г.); и (3) </w:t>
      </w:r>
      <w:hyperlink r:id="rId35" w:history="1">
        <w:r w:rsidRPr="007516A6">
          <w:rPr>
            <w:rStyle w:val="Hyperlink"/>
            <w:lang w:bidi="ru-RU"/>
          </w:rPr>
          <w:t>образованием</w:t>
        </w:r>
      </w:hyperlink>
      <w:r w:rsidRPr="007516A6">
        <w:rPr>
          <w:lang w:bidi="ru-RU"/>
        </w:rPr>
        <w:t xml:space="preserve"> (июль 2025 г.).</w:t>
      </w:r>
    </w:p>
    <w:p w14:paraId="79F7CB7A" w14:textId="5D6A9DBC" w:rsidR="00E00A66" w:rsidRPr="007516A6" w:rsidRDefault="005847BE" w:rsidP="00E00A66">
      <w:pPr>
        <w:pStyle w:val="COMPara"/>
        <w:ind w:left="567" w:hanging="567"/>
        <w:jc w:val="both"/>
      </w:pPr>
      <w:r w:rsidRPr="005847BE">
        <w:rPr>
          <w:lang w:bidi="ru-RU"/>
        </w:rPr>
        <w:t xml:space="preserve">Программа по </w:t>
      </w:r>
      <w:r w:rsidRPr="00E403BE">
        <w:rPr>
          <w:u w:val="single"/>
          <w:lang w:bidi="ru-RU"/>
        </w:rPr>
        <w:t xml:space="preserve">охране нематериального культурного наследия </w:t>
      </w:r>
      <w:r w:rsidRPr="00321DF5">
        <w:rPr>
          <w:u w:val="single"/>
          <w:lang w:bidi="ru-RU"/>
        </w:rPr>
        <w:t>в области</w:t>
      </w:r>
      <w:r w:rsidRPr="00E403BE">
        <w:rPr>
          <w:u w:val="single"/>
          <w:lang w:bidi="ru-RU"/>
        </w:rPr>
        <w:t xml:space="preserve"> формального и неформального образования</w:t>
      </w:r>
      <w:r w:rsidRPr="005847BE">
        <w:rPr>
          <w:lang w:bidi="ru-RU"/>
        </w:rPr>
        <w:t xml:space="preserve"> осуществлялась в рамках второго приоритетного направления финансирования Конвенции в период 2022–2025 годов, завершившегося в 2025 году.</w:t>
      </w:r>
      <w:r w:rsidRPr="00E403BE">
        <w:rPr>
          <w:lang w:bidi="ru-RU"/>
        </w:rPr>
        <w:t xml:space="preserve"> </w:t>
      </w:r>
      <w:r w:rsidR="00E00A66" w:rsidRPr="007516A6">
        <w:rPr>
          <w:lang w:bidi="ru-RU"/>
        </w:rPr>
        <w:t xml:space="preserve">(документ </w:t>
      </w:r>
      <w:hyperlink r:id="rId36" w:history="1">
        <w:r w:rsidR="00E00A66" w:rsidRPr="007516A6">
          <w:rPr>
            <w:rStyle w:val="Hyperlink"/>
            <w:lang w:bidi="ru-RU"/>
          </w:rPr>
          <w:t>LHE/25/20.COM/INF.13.2</w:t>
        </w:r>
      </w:hyperlink>
      <w:r w:rsidR="00E00A66" w:rsidRPr="007516A6">
        <w:rPr>
          <w:lang w:bidi="ru-RU"/>
        </w:rPr>
        <w:t xml:space="preserve">). Программа успешно продемонстрировала, как живое наследие может помочь учащимся в различных образовательных контекстах, в частности, за счет интеграции охраны живого наследия в основные международные рамочные документы в области образования, такие как </w:t>
      </w:r>
      <w:hyperlink r:id="rId37" w:history="1">
        <w:r w:rsidR="00E00A66" w:rsidRPr="007516A6">
          <w:rPr>
            <w:rStyle w:val="Hyperlink"/>
            <w:lang w:bidi="ru-RU"/>
          </w:rPr>
          <w:t>Рамочная программа ЮНЕСКО по образованию в области культуры и искусства</w:t>
        </w:r>
      </w:hyperlink>
      <w:r w:rsidR="00E00A66" w:rsidRPr="007516A6">
        <w:rPr>
          <w:lang w:bidi="ru-RU"/>
        </w:rPr>
        <w:t xml:space="preserve"> (2024 г.). За отчетный период были также разработаны онлайн-ресурсы в этой области; среди них — </w:t>
      </w:r>
      <w:hyperlink r:id="rId38" w:history="1">
        <w:r w:rsidR="00E00A66" w:rsidRPr="007516A6">
          <w:rPr>
            <w:rStyle w:val="Hyperlink"/>
            <w:lang w:bidi="ru-RU"/>
          </w:rPr>
          <w:t>Центр обмена информацией по живому наследию и образованию</w:t>
        </w:r>
      </w:hyperlink>
      <w:r w:rsidR="00E00A66" w:rsidRPr="007516A6">
        <w:rPr>
          <w:lang w:bidi="ru-RU"/>
        </w:rPr>
        <w:t xml:space="preserve">, а также онлайн-курс под названием </w:t>
      </w:r>
      <w:hyperlink r:id="rId39" w:history="1">
        <w:r w:rsidR="00E00A66" w:rsidRPr="007516A6">
          <w:rPr>
            <w:rStyle w:val="Hyperlink"/>
            <w:lang w:bidi="ru-RU"/>
          </w:rPr>
          <w:t>«Преобразование обучения с помощью живого наследия»</w:t>
        </w:r>
      </w:hyperlink>
      <w:r w:rsidR="00E00A66" w:rsidRPr="007516A6">
        <w:rPr>
          <w:lang w:bidi="ru-RU"/>
        </w:rPr>
        <w:t>, который был представлен на Учебной платформе ЮНЕСКО в ходе двадцатой сессии Комитета.</w:t>
      </w:r>
    </w:p>
    <w:p w14:paraId="32460A72" w14:textId="5D86C5F9" w:rsidR="00E00A66" w:rsidRPr="007516A6" w:rsidRDefault="00E00A66" w:rsidP="00E00A66">
      <w:pPr>
        <w:pStyle w:val="COMPara"/>
        <w:ind w:left="567" w:hanging="567"/>
        <w:jc w:val="both"/>
      </w:pPr>
      <w:r w:rsidRPr="007516A6">
        <w:rPr>
          <w:lang w:bidi="ru-RU"/>
        </w:rPr>
        <w:t xml:space="preserve">Наконец, Секретариат поспособствовал реализации трех </w:t>
      </w:r>
      <w:r w:rsidRPr="007516A6">
        <w:rPr>
          <w:u w:val="single"/>
          <w:lang w:bidi="ru-RU"/>
        </w:rPr>
        <w:t>тематических инициатив</w:t>
      </w:r>
      <w:r w:rsidRPr="007516A6">
        <w:rPr>
          <w:lang w:bidi="ru-RU"/>
        </w:rPr>
        <w:t xml:space="preserve">, утвержденных Комитетом в 2021 году, завершив подготовку </w:t>
      </w:r>
      <w:hyperlink r:id="rId40" w:history="1">
        <w:r w:rsidRPr="007516A6">
          <w:rPr>
            <w:rStyle w:val="Hyperlink"/>
            <w:lang w:bidi="ru-RU"/>
          </w:rPr>
          <w:t>руководящих указаний</w:t>
        </w:r>
      </w:hyperlink>
      <w:r w:rsidRPr="007516A6">
        <w:rPr>
          <w:lang w:bidi="ru-RU"/>
        </w:rPr>
        <w:t xml:space="preserve"> по всем трем темам, в частности: </w:t>
      </w:r>
      <w:hyperlink r:id="rId41" w:history="1">
        <w:r w:rsidRPr="007516A6">
          <w:rPr>
            <w:rStyle w:val="Hyperlink"/>
            <w:lang w:bidi="ru-RU"/>
          </w:rPr>
          <w:t>экономические аспекты</w:t>
        </w:r>
      </w:hyperlink>
      <w:r w:rsidRPr="007516A6">
        <w:rPr>
          <w:lang w:bidi="ru-RU"/>
        </w:rPr>
        <w:t xml:space="preserve"> охраны нематериального культурного наследия, нематериальное культурное наследие и </w:t>
      </w:r>
      <w:hyperlink r:id="rId42" w:history="1">
        <w:r w:rsidRPr="007516A6">
          <w:rPr>
            <w:rStyle w:val="Hyperlink"/>
            <w:lang w:bidi="ru-RU"/>
          </w:rPr>
          <w:t>изменение климата</w:t>
        </w:r>
      </w:hyperlink>
      <w:r w:rsidRPr="007516A6">
        <w:rPr>
          <w:lang w:bidi="ru-RU"/>
        </w:rPr>
        <w:t xml:space="preserve">, а также нематериальное культурное наследие в </w:t>
      </w:r>
      <w:hyperlink r:id="rId43" w:history="1">
        <w:r w:rsidRPr="007516A6">
          <w:rPr>
            <w:rStyle w:val="Hyperlink"/>
            <w:lang w:bidi="ru-RU"/>
          </w:rPr>
          <w:t>условиях города</w:t>
        </w:r>
      </w:hyperlink>
      <w:r w:rsidRPr="007516A6">
        <w:rPr>
          <w:lang w:bidi="ru-RU"/>
        </w:rPr>
        <w:t xml:space="preserve">. Завершение работы над этими тремя руководящими указаниями обеспечило Секретариату прочную основу для выполнения более секторально ориентированной работы в этих областях (см. документ </w:t>
      </w:r>
      <w:hyperlink r:id="rId44" w:history="1">
        <w:r w:rsidRPr="007516A6">
          <w:rPr>
            <w:rStyle w:val="Hyperlink"/>
            <w:lang w:bidi="ru-RU"/>
          </w:rPr>
          <w:t>LHE/25/20.COM</w:t>
        </w:r>
        <w:r w:rsidR="00321DF5" w:rsidRPr="00E403BE">
          <w:rPr>
            <w:rStyle w:val="Hyperlink"/>
            <w:lang w:bidi="ru-RU"/>
          </w:rPr>
          <w:t>/</w:t>
        </w:r>
        <w:r w:rsidRPr="007516A6">
          <w:rPr>
            <w:rStyle w:val="Hyperlink"/>
            <w:lang w:bidi="ru-RU"/>
          </w:rPr>
          <w:t>12</w:t>
        </w:r>
      </w:hyperlink>
      <w:r w:rsidRPr="007516A6">
        <w:rPr>
          <w:lang w:bidi="ru-RU"/>
        </w:rPr>
        <w:t xml:space="preserve">). В ходе своей двадцатой сессии Комитет также одобрил начало реализации новой тематической инициативы, посвященной искусственному интеллекту и живому наследию, которая уже получила финансовую поддержку от Королевства Нидерландов и Швеции (Решения </w:t>
      </w:r>
      <w:hyperlink r:id="rId45" w:history="1">
        <w:r w:rsidRPr="007516A6">
          <w:rPr>
            <w:rStyle w:val="Hyperlink"/>
            <w:lang w:bidi="ru-RU"/>
          </w:rPr>
          <w:t>20.COM 12</w:t>
        </w:r>
      </w:hyperlink>
      <w:r w:rsidRPr="007516A6">
        <w:rPr>
          <w:lang w:bidi="ru-RU"/>
        </w:rPr>
        <w:t xml:space="preserve"> и </w:t>
      </w:r>
      <w:hyperlink r:id="rId46" w:history="1">
        <w:r w:rsidRPr="007516A6">
          <w:rPr>
            <w:rStyle w:val="Hyperlink"/>
            <w:lang w:bidi="ru-RU"/>
          </w:rPr>
          <w:t>20.COM 13</w:t>
        </w:r>
      </w:hyperlink>
      <w:r w:rsidRPr="007516A6">
        <w:rPr>
          <w:lang w:bidi="ru-RU"/>
        </w:rPr>
        <w:t>).</w:t>
      </w:r>
    </w:p>
    <w:p w14:paraId="440B8C75" w14:textId="77777777" w:rsidR="00E00A66" w:rsidRPr="007516A6" w:rsidRDefault="00E00A66" w:rsidP="00E00A66">
      <w:pPr>
        <w:pStyle w:val="COMPara"/>
        <w:numPr>
          <w:ilvl w:val="0"/>
          <w:numId w:val="4"/>
        </w:numPr>
        <w:spacing w:before="240"/>
        <w:ind w:left="567" w:hanging="567"/>
        <w:jc w:val="both"/>
        <w:rPr>
          <w:b/>
          <w:bCs/>
        </w:rPr>
      </w:pPr>
      <w:r w:rsidRPr="007516A6">
        <w:rPr>
          <w:b/>
          <w:lang w:bidi="ru-RU"/>
        </w:rPr>
        <w:lastRenderedPageBreak/>
        <w:t>Партнерство, коммуникация и информационно-просветительская деятельность</w:t>
      </w:r>
    </w:p>
    <w:p w14:paraId="0A184491" w14:textId="29381B1E" w:rsidR="00E00A66" w:rsidRPr="007516A6" w:rsidRDefault="00E00A66" w:rsidP="00E00A66">
      <w:pPr>
        <w:pStyle w:val="COMPara"/>
        <w:ind w:left="567" w:hanging="567"/>
        <w:jc w:val="both"/>
      </w:pPr>
      <w:r w:rsidRPr="007516A6">
        <w:rPr>
          <w:lang w:bidi="ru-RU"/>
        </w:rPr>
        <w:t xml:space="preserve">Секретариат продолжил укреплять свое сотрудничество с </w:t>
      </w:r>
      <w:r w:rsidRPr="007516A6">
        <w:rPr>
          <w:u w:val="single"/>
          <w:lang w:bidi="ru-RU"/>
        </w:rPr>
        <w:t>Форумом НПО по НКН</w:t>
      </w:r>
      <w:r w:rsidRPr="007516A6">
        <w:rPr>
          <w:lang w:bidi="ru-RU"/>
        </w:rPr>
        <w:t xml:space="preserve"> путем проведения регулярных встреч по обмену информацией с Исполнительным советом и рабочими группами Форума. В соответствии с Решением </w:t>
      </w:r>
      <w:hyperlink r:id="rId47" w:history="1">
        <w:r w:rsidRPr="007516A6">
          <w:rPr>
            <w:rStyle w:val="Hyperlink"/>
            <w:lang w:bidi="ru-RU"/>
          </w:rPr>
          <w:t>14.COM 15</w:t>
        </w:r>
      </w:hyperlink>
      <w:r w:rsidRPr="007516A6">
        <w:rPr>
          <w:lang w:bidi="ru-RU"/>
        </w:rPr>
        <w:t xml:space="preserve"> Секретариат завершил первый этап составления перечня сфер компетенции 60 аккредитованных НПО (которые теперь доступны на </w:t>
      </w:r>
      <w:hyperlink r:id="rId48" w:history="1">
        <w:r w:rsidRPr="007516A6">
          <w:rPr>
            <w:rStyle w:val="Hyperlink"/>
            <w:lang w:bidi="ru-RU"/>
          </w:rPr>
          <w:t>веб-странице Конвенции</w:t>
        </w:r>
      </w:hyperlink>
      <w:r w:rsidRPr="007516A6">
        <w:rPr>
          <w:lang w:bidi="ru-RU"/>
        </w:rPr>
        <w:t>), и в настоящее время проводится второй этап составления перечня (включающего 100 кратких описаний НПО).</w:t>
      </w:r>
    </w:p>
    <w:p w14:paraId="600B1CE8" w14:textId="14D3FBDC" w:rsidR="00E00A66" w:rsidRPr="007516A6" w:rsidRDefault="00E00A66" w:rsidP="005847BE">
      <w:pPr>
        <w:pStyle w:val="COMPara"/>
        <w:ind w:left="567" w:hanging="567"/>
        <w:jc w:val="both"/>
      </w:pPr>
      <w:r w:rsidRPr="007516A6">
        <w:rPr>
          <w:lang w:bidi="ru-RU"/>
        </w:rPr>
        <w:t xml:space="preserve">Секретариат также продолжил сотрудничество с </w:t>
      </w:r>
      <w:r w:rsidRPr="007516A6">
        <w:rPr>
          <w:u w:val="single"/>
          <w:lang w:bidi="ru-RU"/>
        </w:rPr>
        <w:t>центрами категории 2</w:t>
      </w:r>
      <w:r w:rsidRPr="007516A6">
        <w:rPr>
          <w:lang w:bidi="ru-RU"/>
        </w:rPr>
        <w:t xml:space="preserve"> и </w:t>
      </w:r>
      <w:r w:rsidRPr="007516A6">
        <w:rPr>
          <w:u w:val="single"/>
          <w:lang w:bidi="ru-RU"/>
        </w:rPr>
        <w:t>кафедрами ЮНЕСКО</w:t>
      </w:r>
      <w:r w:rsidRPr="007516A6">
        <w:rPr>
          <w:lang w:bidi="ru-RU"/>
        </w:rPr>
        <w:t xml:space="preserve">, работающими в области нематериального культурного наследия. Что касается центров категории 2, то 13 июня 2024 года в штаб-квартире ЮНЕСКО состоялось двенадцатое ежегодное координационное совещание, а 16 июля 2025 года — тринадцатое совещание, прошедшее в онлайн-формате. Кроме того, Секретариат обеспечил координирование процессов продления мандатов </w:t>
      </w:r>
      <w:r w:rsidR="005847BE" w:rsidRPr="005847BE">
        <w:rPr>
          <w:lang w:bidi="ru-RU"/>
        </w:rPr>
        <w:t>пяти</w:t>
      </w:r>
      <w:r w:rsidR="005847BE" w:rsidRPr="00E403BE">
        <w:rPr>
          <w:lang w:bidi="ru-RU"/>
        </w:rPr>
        <w:t xml:space="preserve"> </w:t>
      </w:r>
      <w:r w:rsidRPr="007516A6">
        <w:rPr>
          <w:lang w:bidi="ru-RU"/>
        </w:rPr>
        <w:t>центров категории 2</w:t>
      </w:r>
      <w:r w:rsidRPr="007516A6">
        <w:rPr>
          <w:rStyle w:val="FootnoteReference"/>
          <w:lang w:bidi="ru-RU"/>
        </w:rPr>
        <w:footnoteReference w:id="2"/>
      </w:r>
      <w:r w:rsidRPr="007516A6">
        <w:rPr>
          <w:lang w:bidi="ru-RU"/>
        </w:rPr>
        <w:t>. За отчетный период также были продлены мандаты пяти кафедр ЮНЕСКО/УНИТВИН и учреждена одна новая кафедра по нематериальному культурному наследию в сфере государственного и глобального управления (Варшавский университет).</w:t>
      </w:r>
    </w:p>
    <w:p w14:paraId="2560CCE5" w14:textId="32F8B83B" w:rsidR="00E00A66" w:rsidRPr="007516A6" w:rsidRDefault="00E00A66" w:rsidP="00193F61">
      <w:pPr>
        <w:pStyle w:val="COMPara"/>
        <w:ind w:left="567" w:hanging="567"/>
        <w:jc w:val="both"/>
      </w:pPr>
      <w:r w:rsidRPr="007516A6">
        <w:rPr>
          <w:lang w:bidi="ru-RU"/>
        </w:rPr>
        <w:t xml:space="preserve">В отчетный период были укреплены услуги в области стратегических </w:t>
      </w:r>
      <w:r w:rsidRPr="007516A6">
        <w:rPr>
          <w:u w:val="single"/>
          <w:lang w:bidi="ru-RU"/>
        </w:rPr>
        <w:t>коммуникаций</w:t>
      </w:r>
      <w:r w:rsidRPr="007516A6">
        <w:rPr>
          <w:lang w:bidi="ru-RU"/>
        </w:rPr>
        <w:t xml:space="preserve"> и </w:t>
      </w:r>
      <w:r w:rsidRPr="007516A6">
        <w:rPr>
          <w:u w:val="single"/>
          <w:lang w:bidi="ru-RU"/>
        </w:rPr>
        <w:t>управления знаниями</w:t>
      </w:r>
      <w:r w:rsidRPr="007516A6">
        <w:rPr>
          <w:lang w:bidi="ru-RU"/>
        </w:rPr>
        <w:t xml:space="preserve"> в соответствии с переходом Конвенции к мультимодальному подходу к сохранению наследия. В частности, в рамках празднования </w:t>
      </w:r>
      <w:hyperlink r:id="rId49" w:history="1">
        <w:r w:rsidRPr="007516A6">
          <w:rPr>
            <w:rStyle w:val="Hyperlink"/>
            <w:lang w:bidi="ru-RU"/>
          </w:rPr>
          <w:t>Международного дня нематериального культурного наследия</w:t>
        </w:r>
      </w:hyperlink>
      <w:r w:rsidRPr="007516A6">
        <w:rPr>
          <w:lang w:bidi="ru-RU"/>
        </w:rPr>
        <w:t xml:space="preserve"> (17 октября) на веб-сайте Конвенции было размещено большое количество сообщений о мероприятиях (100 мероприятий в 2024 году и 134 мероприятия в 2025 году).</w:t>
      </w:r>
      <w:r w:rsidR="00193F61" w:rsidRPr="00E403BE">
        <w:rPr>
          <w:lang w:bidi="ru-RU"/>
        </w:rPr>
        <w:t xml:space="preserve"> </w:t>
      </w:r>
      <w:r w:rsidR="00193F61" w:rsidRPr="00ED0CB9">
        <w:rPr>
          <w:lang w:bidi="ru-RU"/>
        </w:rPr>
        <w:t>Кроме того, Секретариат содействовал учреждению Премии ЮНЕСКО имени султана Хайсама за охрану нематериального культурного наследия, предложенной Султанатом Оман, которая была утверждена на 224-й сессии Исполнительного совета в апреле 2026 года.</w:t>
      </w:r>
    </w:p>
    <w:p w14:paraId="0DA13427" w14:textId="77777777" w:rsidR="00E00A66" w:rsidRPr="007516A6" w:rsidRDefault="00E00A66" w:rsidP="00E00A66">
      <w:pPr>
        <w:pStyle w:val="COMPara"/>
        <w:keepNext/>
        <w:numPr>
          <w:ilvl w:val="0"/>
          <w:numId w:val="4"/>
        </w:numPr>
        <w:spacing w:before="240"/>
        <w:ind w:left="567" w:hanging="567"/>
        <w:jc w:val="both"/>
        <w:rPr>
          <w:b/>
          <w:bCs/>
        </w:rPr>
      </w:pPr>
      <w:r w:rsidRPr="007516A6">
        <w:rPr>
          <w:b/>
          <w:lang w:bidi="ru-RU"/>
        </w:rPr>
        <w:t>Будущие направления Конвенции</w:t>
      </w:r>
    </w:p>
    <w:p w14:paraId="7C5A702A" w14:textId="4BEE9056" w:rsidR="00E00A66" w:rsidRPr="007516A6" w:rsidRDefault="00E00A66" w:rsidP="00E00A66">
      <w:pPr>
        <w:pStyle w:val="COMPara"/>
        <w:ind w:left="567" w:hanging="567"/>
        <w:jc w:val="both"/>
      </w:pPr>
      <w:r w:rsidRPr="007516A6">
        <w:rPr>
          <w:lang w:bidi="ru-RU"/>
        </w:rPr>
        <w:t xml:space="preserve">Представление настоящего доклада приходится на переломный момент для Конвенции— завершение реализации двух приоритетных направлений финансирования (2022–2025 гг.), которые до сих пор определяли тематические инициативы и оперативные мероприятия Секретариата. В соответствии с указаниями руководящих органов Конвенции Секретариат приступил к созданию основы для перспективных платформ и мероприятий, краткая характеристика которых приведена в описании двух новых приоритетных направлений финансирования (см. Решение </w:t>
      </w:r>
      <w:hyperlink r:id="rId50" w:history="1">
        <w:r w:rsidRPr="007516A6">
          <w:rPr>
            <w:rStyle w:val="Hyperlink"/>
            <w:lang w:bidi="ru-RU"/>
          </w:rPr>
          <w:t>20.COM 13</w:t>
        </w:r>
      </w:hyperlink>
      <w:r w:rsidRPr="007516A6">
        <w:rPr>
          <w:lang w:bidi="ru-RU"/>
        </w:rPr>
        <w:t>). Эти новые приоритетные направления финансирования будут положены в основы будущей стратегии укрепления потенциала, тематических инициатив и партнерских отношений в рамках Конвенции.</w:t>
      </w:r>
    </w:p>
    <w:p w14:paraId="348DFDB6" w14:textId="1665CBC8" w:rsidR="00E00A66" w:rsidRPr="007516A6" w:rsidRDefault="00E00A66" w:rsidP="00B33648">
      <w:pPr>
        <w:pStyle w:val="COMPara"/>
        <w:ind w:left="567" w:hanging="567"/>
        <w:jc w:val="both"/>
      </w:pPr>
      <w:r w:rsidRPr="007516A6">
        <w:rPr>
          <w:lang w:bidi="ru-RU"/>
        </w:rPr>
        <w:t xml:space="preserve">Новые приоритетные направления финансирования свидетельствуют об эволюции подхода Секретариата к сохранению наследия как по форме, так и по существу. </w:t>
      </w:r>
      <w:r w:rsidR="00193F61" w:rsidRPr="00193F61">
        <w:rPr>
          <w:lang w:bidi="ru-RU"/>
        </w:rPr>
        <w:t xml:space="preserve">Двадцатая годовщина Конвенции в 2023 году продемонстрировала, что живое наследие прочно </w:t>
      </w:r>
      <w:r w:rsidR="00193F61" w:rsidRPr="007516A6">
        <w:rPr>
          <w:lang w:bidi="ru-RU"/>
        </w:rPr>
        <w:t xml:space="preserve">вошло в политику и программы государств-участников </w:t>
      </w:r>
      <w:r w:rsidR="00193F61" w:rsidRPr="00193F61">
        <w:rPr>
          <w:lang w:bidi="ru-RU"/>
        </w:rPr>
        <w:t>во всех географических регионах.</w:t>
      </w:r>
      <w:r w:rsidR="00193F61" w:rsidRPr="00E403BE">
        <w:rPr>
          <w:lang w:bidi="ru-RU"/>
        </w:rPr>
        <w:t xml:space="preserve"> </w:t>
      </w:r>
      <w:r w:rsidR="00B33648" w:rsidRPr="00B33648">
        <w:rPr>
          <w:lang w:bidi="ru-RU"/>
        </w:rPr>
        <w:t>Этот успех, таким образом, требует дальнейшего совершенствования подходов к охране</w:t>
      </w:r>
      <w:r w:rsidRPr="007516A6">
        <w:rPr>
          <w:lang w:bidi="ru-RU"/>
        </w:rPr>
        <w:t xml:space="preserve"> с акцентом на обеспечение благополучия человека и расширение прав и возможностей сообществ, в основе которых лежит инклюзивность (приоритетное направление финансирования A), а также изучать новые, формирующиеся тематические области, обеспечивающие связь между живым наследием и задачами в </w:t>
      </w:r>
      <w:r w:rsidRPr="007516A6">
        <w:rPr>
          <w:lang w:bidi="ru-RU"/>
        </w:rPr>
        <w:lastRenderedPageBreak/>
        <w:t xml:space="preserve">области устойчивого развития (приоритетное направление финансирования B). Это также отражено в перспективных направлениях, сформулированных в </w:t>
      </w:r>
      <w:hyperlink r:id="rId51" w:anchor=":~:text=Outlined%20during%20the%20celebration%20of,living%20heritage%20to%20ensure%20sustainable" w:history="1">
        <w:r w:rsidR="00193F61" w:rsidRPr="00193F61">
          <w:rPr>
            <w:rStyle w:val="Hyperlink"/>
            <w:lang w:bidi="ru-RU"/>
          </w:rPr>
          <w:t>Сеульского видения</w:t>
        </w:r>
        <w:r w:rsidRPr="00193F61">
          <w:rPr>
            <w:rStyle w:val="Hyperlink"/>
            <w:lang w:bidi="ru-RU"/>
          </w:rPr>
          <w:t>»</w:t>
        </w:r>
      </w:hyperlink>
      <w:r w:rsidRPr="007516A6">
        <w:rPr>
          <w:lang w:bidi="ru-RU"/>
        </w:rPr>
        <w:t xml:space="preserve"> (2023 г.), декларациях MONDIACULT (</w:t>
      </w:r>
      <w:hyperlink r:id="rId52" w:history="1">
        <w:r w:rsidRPr="007516A6">
          <w:rPr>
            <w:rStyle w:val="Hyperlink"/>
            <w:lang w:bidi="ru-RU"/>
          </w:rPr>
          <w:t>2022 г.</w:t>
        </w:r>
      </w:hyperlink>
      <w:r w:rsidRPr="007516A6">
        <w:rPr>
          <w:lang w:bidi="ru-RU"/>
        </w:rPr>
        <w:t xml:space="preserve"> и </w:t>
      </w:r>
      <w:hyperlink r:id="rId53" w:history="1">
        <w:r w:rsidRPr="007516A6">
          <w:rPr>
            <w:rStyle w:val="Hyperlink"/>
            <w:lang w:bidi="ru-RU"/>
          </w:rPr>
          <w:t>2025 г.</w:t>
        </w:r>
      </w:hyperlink>
      <w:r w:rsidRPr="007516A6">
        <w:rPr>
          <w:lang w:bidi="ru-RU"/>
        </w:rPr>
        <w:t xml:space="preserve">), а также программных направлениях и приоритетах, изложенные в </w:t>
      </w:r>
      <w:hyperlink r:id="rId54" w:history="1">
        <w:r w:rsidRPr="007516A6">
          <w:rPr>
            <w:rStyle w:val="Hyperlink"/>
            <w:lang w:bidi="ru-RU"/>
          </w:rPr>
          <w:t>проекте программы и бюджета на 2026–2029 гг.</w:t>
        </w:r>
      </w:hyperlink>
      <w:r w:rsidRPr="007516A6">
        <w:rPr>
          <w:lang w:bidi="ru-RU"/>
        </w:rPr>
        <w:t xml:space="preserve"> (43 C/5).</w:t>
      </w:r>
    </w:p>
    <w:p w14:paraId="207BD17F" w14:textId="23BA2E68" w:rsidR="005E285E" w:rsidRPr="007516A6" w:rsidRDefault="00E00A66" w:rsidP="00E403BE">
      <w:pPr>
        <w:pStyle w:val="COMPara"/>
        <w:ind w:left="567" w:hanging="567"/>
        <w:jc w:val="both"/>
      </w:pPr>
      <w:r w:rsidRPr="007516A6">
        <w:rPr>
          <w:lang w:bidi="ru-RU"/>
        </w:rPr>
        <w:t xml:space="preserve">С этой целью Секретариат будет и впредь укреплять свои связи с другими конвенциями в области культуры, а также с другими учреждениями и программами в рамках системы ООН, обеспечивая комплексный подход к охране нематериального культурного наследия и связанных с ним аспектов. </w:t>
      </w:r>
      <w:r w:rsidR="00B33648" w:rsidRPr="00B33648">
        <w:rPr>
          <w:lang w:bidi="ru-RU"/>
        </w:rPr>
        <w:t>В качестве примера</w:t>
      </w:r>
      <w:r w:rsidRPr="007516A6">
        <w:rPr>
          <w:lang w:bidi="ru-RU"/>
        </w:rPr>
        <w:t xml:space="preserve">, Секретариат Конвенции 2003 года совместно с Секретариатом Конвенции о всемирном наследии принял участие во втором заседании Конференции ЮНЕСКО по культурному наследию в XXI веке и продолжает развивать аналогичное сотрудничество с другими программами ЮНЕСКО и учреждениями ООН в рамках своих тематических инициатив. Такое сотрудничество будет углубляться в соответствии с новыми приоритетами финансирования с целью дальнейшего включения нематериального культурного наследия в глобальную повестку дня в области устойчивого развития, как указано в первом </w:t>
      </w:r>
      <w:hyperlink r:id="rId55" w:history="1">
        <w:r w:rsidRPr="007516A6">
          <w:rPr>
            <w:rStyle w:val="Hyperlink"/>
            <w:lang w:bidi="ru-RU"/>
          </w:rPr>
          <w:t>Глобальном докладе о политике в области культуры</w:t>
        </w:r>
      </w:hyperlink>
      <w:r w:rsidRPr="007516A6">
        <w:rPr>
          <w:lang w:bidi="ru-RU"/>
        </w:rPr>
        <w:t>.</w:t>
      </w:r>
    </w:p>
    <w:p w14:paraId="30F210E9" w14:textId="77777777" w:rsidR="005E285E" w:rsidRPr="007516A6" w:rsidRDefault="005E285E" w:rsidP="005E285E">
      <w:pPr>
        <w:pStyle w:val="COMPara"/>
        <w:ind w:left="567" w:hanging="567"/>
      </w:pPr>
      <w:r w:rsidRPr="007516A6">
        <w:t>Генеральная ассамблея, возможно, пожелает принять следующую резолюцию:</w:t>
      </w:r>
    </w:p>
    <w:p w14:paraId="517F8892" w14:textId="38D413DD" w:rsidR="005E285E" w:rsidRPr="00414A14" w:rsidRDefault="005E285E" w:rsidP="005E285E">
      <w:pPr>
        <w:pStyle w:val="COMTitleDecision"/>
        <w:rPr>
          <w:rFonts w:eastAsia="SimSun"/>
        </w:rPr>
      </w:pPr>
      <w:r w:rsidRPr="007516A6">
        <w:rPr>
          <w:lang w:eastAsia="en-US"/>
        </w:rPr>
        <w:t xml:space="preserve">ПРОЕКТ РЕЗОЛЮЦИИ 11.GA </w:t>
      </w:r>
      <w:r w:rsidR="00E00A66" w:rsidRPr="00414A14">
        <w:rPr>
          <w:lang w:eastAsia="en-US" w:bidi="en-US"/>
        </w:rPr>
        <w:t>6</w:t>
      </w:r>
    </w:p>
    <w:p w14:paraId="24A71F49" w14:textId="77777777" w:rsidR="005E285E" w:rsidRPr="007516A6" w:rsidRDefault="005E285E" w:rsidP="005E285E">
      <w:pPr>
        <w:pStyle w:val="COMPreambulaDecisions"/>
        <w:rPr>
          <w:rFonts w:eastAsia="SimSun"/>
        </w:rPr>
      </w:pPr>
      <w:r w:rsidRPr="007516A6">
        <w:rPr>
          <w:lang w:eastAsia="en-US"/>
        </w:rPr>
        <w:t>Генеральная ассамблея,</w:t>
      </w:r>
    </w:p>
    <w:p w14:paraId="2B5114BB" w14:textId="77777777" w:rsidR="00E00A66" w:rsidRPr="007516A6" w:rsidRDefault="00E00A66" w:rsidP="00E00A66">
      <w:pPr>
        <w:pStyle w:val="COMParaDecision"/>
      </w:pPr>
      <w:r w:rsidRPr="007516A6">
        <w:rPr>
          <w:lang w:bidi="ru-RU"/>
        </w:rPr>
        <w:t>Рассмотрев</w:t>
      </w:r>
      <w:r w:rsidRPr="007516A6">
        <w:rPr>
          <w:u w:val="none"/>
          <w:lang w:bidi="ru-RU"/>
        </w:rPr>
        <w:t xml:space="preserve"> документ LHE/26/11.GA/6 и приложения к нему,</w:t>
      </w:r>
    </w:p>
    <w:p w14:paraId="60950460" w14:textId="014EE434" w:rsidR="00E00A66" w:rsidRPr="007516A6" w:rsidRDefault="00E00A66" w:rsidP="00E00A66">
      <w:pPr>
        <w:pStyle w:val="COMParaDecision"/>
      </w:pPr>
      <w:r w:rsidRPr="007516A6">
        <w:rPr>
          <w:lang w:bidi="ru-RU"/>
        </w:rPr>
        <w:t>Ссылаясь на</w:t>
      </w:r>
      <w:r w:rsidRPr="007516A6">
        <w:rPr>
          <w:u w:val="none"/>
          <w:lang w:bidi="ru-RU"/>
        </w:rPr>
        <w:t xml:space="preserve"> Резолюцию </w:t>
      </w:r>
      <w:hyperlink r:id="rId56" w:history="1">
        <w:r w:rsidRPr="007516A6">
          <w:rPr>
            <w:rStyle w:val="Hyperlink"/>
            <w:lang w:bidi="ru-RU"/>
          </w:rPr>
          <w:t>10.GA 6</w:t>
        </w:r>
      </w:hyperlink>
      <w:r w:rsidRPr="007516A6">
        <w:rPr>
          <w:u w:val="none"/>
          <w:lang w:bidi="ru-RU"/>
        </w:rPr>
        <w:t xml:space="preserve">, а также Решения </w:t>
      </w:r>
      <w:hyperlink r:id="rId57" w:history="1">
        <w:r w:rsidRPr="007516A6">
          <w:rPr>
            <w:rStyle w:val="Hyperlink"/>
            <w:lang w:bidi="ru-RU"/>
          </w:rPr>
          <w:t>19.COM 15</w:t>
        </w:r>
      </w:hyperlink>
      <w:r w:rsidRPr="007516A6">
        <w:rPr>
          <w:u w:val="none"/>
          <w:lang w:bidi="ru-RU"/>
        </w:rPr>
        <w:t xml:space="preserve"> и </w:t>
      </w:r>
      <w:hyperlink r:id="rId58" w:history="1">
        <w:r w:rsidRPr="007516A6">
          <w:rPr>
            <w:rStyle w:val="Hyperlink"/>
            <w:lang w:bidi="ru-RU"/>
          </w:rPr>
          <w:t>20.COM 6.c</w:t>
        </w:r>
      </w:hyperlink>
      <w:r w:rsidRPr="007516A6">
        <w:rPr>
          <w:u w:val="none"/>
          <w:lang w:bidi="ru-RU"/>
        </w:rPr>
        <w:t>,</w:t>
      </w:r>
    </w:p>
    <w:p w14:paraId="4FD5CACA" w14:textId="389319C8" w:rsidR="00E00A66" w:rsidRPr="007516A6" w:rsidRDefault="00E00A66" w:rsidP="00E00A66">
      <w:pPr>
        <w:pStyle w:val="COMParaDecision"/>
      </w:pPr>
      <w:r w:rsidRPr="007516A6">
        <w:rPr>
          <w:lang w:bidi="ru-RU"/>
        </w:rPr>
        <w:t>Ссылаясь далее на</w:t>
      </w:r>
      <w:r w:rsidRPr="007516A6">
        <w:rPr>
          <w:u w:val="none"/>
          <w:lang w:bidi="ru-RU"/>
        </w:rPr>
        <w:t xml:space="preserve"> </w:t>
      </w:r>
      <w:hyperlink r:id="rId59" w:history="1">
        <w:r w:rsidRPr="007516A6">
          <w:rPr>
            <w:rStyle w:val="Hyperlink"/>
            <w:lang w:bidi="ru-RU"/>
          </w:rPr>
          <w:t>224 EX/Решение 4.I</w:t>
        </w:r>
      </w:hyperlink>
      <w:r w:rsidRPr="007516A6">
        <w:rPr>
          <w:u w:val="none"/>
          <w:lang w:bidi="ru-RU"/>
        </w:rPr>
        <w:t xml:space="preserve"> Исполнительного совета ЮНЕСКО, а также на Оценку деятельности ЮНЕСКО в рамках Конвенции 2003 года, проведенную IOS в 2021 году, и Оценку периодической отчетности ЮНЕСКО в отношении курируемых Сектором культуры конвенций и рекомендаций, проведенную IOS в 2024 году,</w:t>
      </w:r>
    </w:p>
    <w:p w14:paraId="57D18125" w14:textId="77777777" w:rsidR="00E00A66" w:rsidRPr="007516A6" w:rsidRDefault="00E00A66" w:rsidP="00E00A66">
      <w:pPr>
        <w:pStyle w:val="COMParaDecision"/>
      </w:pPr>
      <w:r w:rsidRPr="007516A6">
        <w:rPr>
          <w:lang w:bidi="ru-RU"/>
        </w:rPr>
        <w:t>Выражает признательность</w:t>
      </w:r>
      <w:r w:rsidRPr="007516A6">
        <w:rPr>
          <w:u w:val="none"/>
          <w:lang w:bidi="ru-RU"/>
        </w:rPr>
        <w:t xml:space="preserve"> Секретариату за непрерывную поддержку, оказываемую в целях обеспечения эффективного управления Конвенцией посредством рациональной организации предусмотренных положениями Конвенции совещаний и управления механизмами международного сотрудничества, в частности за систематизацию и расширение охвата механизма международной помощи;</w:t>
      </w:r>
    </w:p>
    <w:p w14:paraId="1B545983" w14:textId="77777777" w:rsidR="00E00A66" w:rsidRPr="007516A6" w:rsidRDefault="00E00A66" w:rsidP="00E00A66">
      <w:pPr>
        <w:pStyle w:val="COMParaDecision"/>
      </w:pPr>
      <w:r w:rsidRPr="007516A6">
        <w:rPr>
          <w:lang w:bidi="ru-RU"/>
        </w:rPr>
        <w:t>Принимает к сведению</w:t>
      </w:r>
      <w:r w:rsidRPr="007516A6">
        <w:rPr>
          <w:u w:val="none"/>
          <w:lang w:bidi="ru-RU"/>
        </w:rPr>
        <w:t xml:space="preserve"> вопросы, поднятые в связи с числом и рассмотрением номинационных досье, представленных в результате растущего интереса к механизмам включения в списки Конвенции и их поддержки, и </w:t>
      </w:r>
      <w:r w:rsidRPr="007516A6">
        <w:rPr>
          <w:lang w:bidi="ru-RU"/>
        </w:rPr>
        <w:t>просит</w:t>
      </w:r>
      <w:r w:rsidRPr="007516A6">
        <w:rPr>
          <w:u w:val="none"/>
          <w:lang w:bidi="ru-RU"/>
        </w:rPr>
        <w:t xml:space="preserve"> Секретариат представить доклад о развитии ситуации для рассмотрения на двенадцатой сессии Генеральной ассамблеи с учетом обсуждений, которые состоятся в ходе двадцать первой (2026 г.) и двадцать второй (2027 г.) сессий Комитета;</w:t>
      </w:r>
    </w:p>
    <w:p w14:paraId="0DFAADBE" w14:textId="77777777" w:rsidR="00E00A66" w:rsidRPr="007516A6" w:rsidRDefault="00E00A66" w:rsidP="00E00A66">
      <w:pPr>
        <w:pStyle w:val="COMParaDecision"/>
      </w:pPr>
      <w:r w:rsidRPr="007516A6">
        <w:rPr>
          <w:lang w:bidi="ru-RU"/>
        </w:rPr>
        <w:t>С удовлетворением отмечает</w:t>
      </w:r>
      <w:r w:rsidRPr="007516A6">
        <w:rPr>
          <w:u w:val="none"/>
          <w:lang w:bidi="ru-RU"/>
        </w:rPr>
        <w:t xml:space="preserve"> завершение первого регионального цикла периодической отчетности и существенное улучшение показателей представления периодических докладов всеми регионами, а также </w:t>
      </w:r>
      <w:r w:rsidRPr="007516A6">
        <w:rPr>
          <w:lang w:bidi="ru-RU"/>
        </w:rPr>
        <w:t>призывает</w:t>
      </w:r>
      <w:r w:rsidRPr="007516A6">
        <w:rPr>
          <w:u w:val="none"/>
          <w:lang w:bidi="ru-RU"/>
        </w:rPr>
        <w:t xml:space="preserve"> Секретариат применить передовой опыт, накопленный в ходе этого цикла, ввиду перехода к единой глобальной системе представления докладов;</w:t>
      </w:r>
    </w:p>
    <w:p w14:paraId="64E7F982" w14:textId="77777777" w:rsidR="00E00A66" w:rsidRPr="007516A6" w:rsidRDefault="00E00A66" w:rsidP="00E00A66">
      <w:pPr>
        <w:pStyle w:val="COMParaDecision"/>
      </w:pPr>
      <w:r w:rsidRPr="007516A6">
        <w:rPr>
          <w:lang w:bidi="ru-RU"/>
        </w:rPr>
        <w:t>Высоко оценивает</w:t>
      </w:r>
      <w:r w:rsidRPr="007516A6">
        <w:rPr>
          <w:u w:val="none"/>
          <w:lang w:bidi="ru-RU"/>
        </w:rPr>
        <w:t xml:space="preserve"> переориентацию глобальной программы по укреплению потенциала на мультимодальный и межсекторальный подход, а также прогресс, достигнутый в рамках тематических инициатив Конвенции;</w:t>
      </w:r>
    </w:p>
    <w:p w14:paraId="325BE5DD" w14:textId="77777777" w:rsidR="00E00A66" w:rsidRPr="007516A6" w:rsidRDefault="00E00A66" w:rsidP="00E00A66">
      <w:pPr>
        <w:pStyle w:val="COMParaDecision"/>
      </w:pPr>
      <w:r w:rsidRPr="007516A6">
        <w:rPr>
          <w:lang w:bidi="ru-RU"/>
        </w:rPr>
        <w:t>Также принимает к сведению</w:t>
      </w:r>
      <w:r w:rsidRPr="007516A6">
        <w:rPr>
          <w:u w:val="none"/>
          <w:lang w:bidi="ru-RU"/>
        </w:rPr>
        <w:t xml:space="preserve"> успехи, достигнутые в рамках приоритетных направлений финансирования на 2022–2025 годы, и новые приоритетные направления финансирования Конвенции на 2026–2029 годы, а также </w:t>
      </w:r>
      <w:r w:rsidRPr="007516A6">
        <w:rPr>
          <w:lang w:bidi="ru-RU"/>
        </w:rPr>
        <w:t>предлагает</w:t>
      </w:r>
      <w:r w:rsidRPr="007516A6">
        <w:rPr>
          <w:u w:val="none"/>
          <w:lang w:bidi="ru-RU"/>
        </w:rPr>
        <w:t xml:space="preserve"> </w:t>
      </w:r>
      <w:r w:rsidRPr="007516A6">
        <w:rPr>
          <w:u w:val="none"/>
          <w:lang w:bidi="ru-RU"/>
        </w:rPr>
        <w:lastRenderedPageBreak/>
        <w:t>Секретариату продолжить согласование глобальной программы по укреплению потенциала и тематических инициатив Конвенции с их основными направлениями деятельности, углубляя при этом сотрудничество с другими программами ЮНЕСКО и системой ООН в целом;</w:t>
      </w:r>
    </w:p>
    <w:p w14:paraId="0A8E2FDF" w14:textId="77777777" w:rsidR="00E00A66" w:rsidRPr="007516A6" w:rsidRDefault="00E00A66" w:rsidP="00E00A66">
      <w:pPr>
        <w:pStyle w:val="COMParaDecision"/>
      </w:pPr>
      <w:r w:rsidRPr="007516A6">
        <w:rPr>
          <w:lang w:bidi="ru-RU"/>
        </w:rPr>
        <w:t>Также высоко оценивает</w:t>
      </w:r>
      <w:r w:rsidRPr="007516A6">
        <w:rPr>
          <w:u w:val="none"/>
          <w:lang w:bidi="ru-RU"/>
        </w:rPr>
        <w:t xml:space="preserve"> полное выполнение рекомендаций, сформулированных в Оценке деятельности ЮНЕСКО в рамках Конвенции 2003 года, проведенной IOS в 2021 году, </w:t>
      </w:r>
      <w:r w:rsidRPr="007516A6">
        <w:rPr>
          <w:lang w:bidi="ru-RU"/>
        </w:rPr>
        <w:t>благодарит</w:t>
      </w:r>
      <w:r w:rsidRPr="007516A6">
        <w:rPr>
          <w:u w:val="none"/>
          <w:lang w:bidi="ru-RU"/>
        </w:rPr>
        <w:t xml:space="preserve"> Секретариат за представленную в этом отношении отчетность и </w:t>
      </w:r>
      <w:r w:rsidRPr="007516A6">
        <w:rPr>
          <w:lang w:bidi="ru-RU"/>
        </w:rPr>
        <w:t>считает</w:t>
      </w:r>
      <w:r w:rsidRPr="007516A6">
        <w:rPr>
          <w:u w:val="none"/>
          <w:lang w:bidi="ru-RU"/>
        </w:rPr>
        <w:t>, что в будущем отчетность о выполнении рекомендаций следует представлять по мере необходимости;</w:t>
      </w:r>
    </w:p>
    <w:p w14:paraId="3A67E99E" w14:textId="535AFFD4" w:rsidR="005E285E" w:rsidRPr="007516A6" w:rsidRDefault="00E00A66" w:rsidP="00E00A66">
      <w:pPr>
        <w:pStyle w:val="COMParaDecision"/>
      </w:pPr>
      <w:r w:rsidRPr="007516A6">
        <w:rPr>
          <w:lang w:bidi="ru-RU"/>
        </w:rPr>
        <w:t>Далее просит</w:t>
      </w:r>
      <w:r w:rsidRPr="007516A6">
        <w:rPr>
          <w:u w:val="none"/>
          <w:lang w:bidi="ru-RU"/>
        </w:rPr>
        <w:t xml:space="preserve"> Секретариат представить доклад о своей деятельности за период с января 2026 года по декабрь 2027 года для рассмотрения Генеральной Ассамблеей в ходе ее двенадцатой сессии.</w:t>
      </w:r>
    </w:p>
    <w:p w14:paraId="54D13373" w14:textId="77777777" w:rsidR="002531AC" w:rsidRPr="005B70F0" w:rsidRDefault="002531AC" w:rsidP="00E403BE">
      <w:pPr>
        <w:pStyle w:val="COMParaDecision"/>
        <w:sectPr w:rsidR="002531AC" w:rsidRPr="005B70F0" w:rsidSect="00E00A66">
          <w:headerReference w:type="even" r:id="rId60"/>
          <w:headerReference w:type="default" r:id="rId61"/>
          <w:headerReference w:type="first" r:id="rId62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</w:p>
    <w:p w14:paraId="78AFA0BC" w14:textId="77777777" w:rsidR="00E00A66" w:rsidRPr="007516A6" w:rsidRDefault="00E00A66" w:rsidP="00E00A66">
      <w:pPr>
        <w:pStyle w:val="COMParaDecision"/>
        <w:numPr>
          <w:ilvl w:val="0"/>
          <w:numId w:val="0"/>
        </w:numPr>
        <w:jc w:val="center"/>
        <w:rPr>
          <w:rFonts w:asciiTheme="minorBidi" w:hAnsiTheme="minorBidi" w:cstheme="minorBidi"/>
          <w:b/>
        </w:rPr>
      </w:pPr>
      <w:bookmarkStart w:id="1" w:name="AnnexI"/>
      <w:r w:rsidRPr="007516A6">
        <w:rPr>
          <w:rFonts w:asciiTheme="minorBidi" w:hAnsiTheme="minorBidi" w:cstheme="minorBidi"/>
          <w:b/>
          <w:lang w:bidi="ru-RU"/>
        </w:rPr>
        <w:lastRenderedPageBreak/>
        <w:t>Приложение I</w:t>
      </w:r>
    </w:p>
    <w:bookmarkEnd w:id="1"/>
    <w:p w14:paraId="04B643F6" w14:textId="77777777" w:rsidR="00E00A66" w:rsidRPr="007516A6" w:rsidRDefault="00E00A66" w:rsidP="00E00A66">
      <w:pPr>
        <w:pStyle w:val="COMParaDecision"/>
        <w:numPr>
          <w:ilvl w:val="0"/>
          <w:numId w:val="0"/>
        </w:numPr>
        <w:spacing w:after="240"/>
        <w:jc w:val="center"/>
        <w:rPr>
          <w:rFonts w:asciiTheme="minorBidi" w:hAnsiTheme="minorBidi" w:cstheme="minorBidi"/>
          <w:b/>
          <w:u w:val="none"/>
        </w:rPr>
      </w:pPr>
      <w:r w:rsidRPr="007516A6">
        <w:rPr>
          <w:rFonts w:asciiTheme="minorBidi" w:hAnsiTheme="minorBidi" w:cstheme="minorBidi"/>
          <w:b/>
          <w:u w:val="none"/>
          <w:lang w:bidi="ru-RU"/>
        </w:rPr>
        <w:t>Оценка по показателю эффективности</w:t>
      </w:r>
    </w:p>
    <w:tbl>
      <w:tblPr>
        <w:tblStyle w:val="TableGrid2"/>
        <w:tblW w:w="14572" w:type="dxa"/>
        <w:tblLook w:val="04A0" w:firstRow="1" w:lastRow="0" w:firstColumn="1" w:lastColumn="0" w:noHBand="0" w:noVBand="1"/>
      </w:tblPr>
      <w:tblGrid>
        <w:gridCol w:w="3652"/>
        <w:gridCol w:w="10920"/>
      </w:tblGrid>
      <w:tr w:rsidR="00E00A66" w:rsidRPr="007516A6" w14:paraId="5D4B6CE0" w14:textId="77777777" w:rsidTr="00297070">
        <w:trPr>
          <w:cantSplit/>
        </w:trPr>
        <w:tc>
          <w:tcPr>
            <w:tcW w:w="1253" w:type="pct"/>
            <w:shd w:val="clear" w:color="auto" w:fill="808080" w:themeFill="background1" w:themeFillShade="80"/>
            <w:vAlign w:val="center"/>
          </w:tcPr>
          <w:p w14:paraId="5F59EAFD" w14:textId="77777777" w:rsidR="00E00A66" w:rsidRPr="00414A14" w:rsidRDefault="00E00A66" w:rsidP="00297070">
            <w:pPr>
              <w:keepNext/>
              <w:widowControl w:val="0"/>
              <w:spacing w:before="120" w:after="120"/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lang w:val="ru-RU"/>
              </w:rPr>
            </w:pPr>
            <w:r w:rsidRPr="00414A1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  <w:lang w:val="ru-RU" w:bidi="ru-RU"/>
              </w:rPr>
              <w:t>Показатель эффективности 1 в отношении 42</w:t>
            </w:r>
            <w:r w:rsidRPr="007516A6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  <w:lang w:bidi="ru-RU"/>
              </w:rPr>
              <w:t>C</w:t>
            </w:r>
            <w:r w:rsidRPr="00414A1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  <w:lang w:val="ru-RU" w:bidi="ru-RU"/>
              </w:rPr>
              <w:t>/5</w:t>
            </w:r>
          </w:p>
        </w:tc>
        <w:tc>
          <w:tcPr>
            <w:tcW w:w="3747" w:type="pct"/>
            <w:shd w:val="clear" w:color="auto" w:fill="808080" w:themeFill="background1" w:themeFillShade="80"/>
            <w:vAlign w:val="center"/>
          </w:tcPr>
          <w:p w14:paraId="1798D5B6" w14:textId="77777777" w:rsidR="00E00A66" w:rsidRPr="00414A14" w:rsidRDefault="00E00A66" w:rsidP="00297070">
            <w:pPr>
              <w:keepNext/>
              <w:widowControl w:val="0"/>
              <w:spacing w:before="120" w:after="120"/>
              <w:jc w:val="both"/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lang w:val="ru-RU"/>
              </w:rPr>
            </w:pPr>
            <w:r w:rsidRPr="00414A1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  <w:lang w:val="ru-RU" w:bidi="ru-RU"/>
              </w:rPr>
              <w:t>Число государств-членов с новой или пересмотренной политикой, стратегиями и программами по охране живого наследия, в том числе в рамках планов и рамочных программ в области устойчивого развития, в соответствии с Конвенцией об охране нематериального культурного наследия 2003 г.</w:t>
            </w:r>
          </w:p>
        </w:tc>
      </w:tr>
    </w:tbl>
    <w:tbl>
      <w:tblPr>
        <w:tblW w:w="14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52"/>
        <w:gridCol w:w="1676"/>
        <w:gridCol w:w="417"/>
        <w:gridCol w:w="224"/>
        <w:gridCol w:w="10277"/>
      </w:tblGrid>
      <w:tr w:rsidR="00E00A66" w:rsidRPr="007516A6" w14:paraId="4C99B2D3" w14:textId="77777777" w:rsidTr="00297070">
        <w:trPr>
          <w:tblHeader/>
        </w:trPr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319CAB56" w14:textId="77777777" w:rsidR="00E00A66" w:rsidRPr="007516A6" w:rsidRDefault="00E00A66" w:rsidP="00297070">
            <w:pPr>
              <w:widowControl w:val="0"/>
              <w:spacing w:before="60" w:after="6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en-GB"/>
              </w:rPr>
            </w:pPr>
            <w:r w:rsidRPr="007516A6">
              <w:rPr>
                <w:rFonts w:asciiTheme="minorBidi" w:hAnsiTheme="minorBidi" w:cstheme="minorBidi"/>
                <w:b/>
                <w:sz w:val="22"/>
                <w:szCs w:val="22"/>
                <w:lang w:bidi="ru-RU"/>
              </w:rPr>
              <w:t>Исходные показатели</w:t>
            </w:r>
          </w:p>
        </w:tc>
        <w:tc>
          <w:tcPr>
            <w:tcW w:w="627" w:type="pct"/>
            <w:gridSpan w:val="2"/>
            <w:shd w:val="clear" w:color="auto" w:fill="D9D9D9" w:themeFill="background1" w:themeFillShade="D9"/>
            <w:vAlign w:val="center"/>
          </w:tcPr>
          <w:p w14:paraId="6265D38A" w14:textId="77777777" w:rsidR="00E00A66" w:rsidRPr="007516A6" w:rsidRDefault="00E00A66" w:rsidP="00297070">
            <w:pPr>
              <w:widowControl w:val="0"/>
              <w:spacing w:before="60" w:after="6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en-GB"/>
              </w:rPr>
            </w:pPr>
            <w:r w:rsidRPr="007516A6">
              <w:rPr>
                <w:rFonts w:asciiTheme="minorBidi" w:eastAsia="Calibri" w:hAnsiTheme="minorBidi" w:cstheme="minorBidi"/>
                <w:b/>
                <w:sz w:val="22"/>
                <w:szCs w:val="22"/>
                <w:lang w:bidi="ru-RU"/>
              </w:rPr>
              <w:t>Целевые показатели на 2025 г.</w:t>
            </w:r>
          </w:p>
        </w:tc>
        <w:tc>
          <w:tcPr>
            <w:tcW w:w="3747" w:type="pct"/>
            <w:gridSpan w:val="3"/>
            <w:shd w:val="clear" w:color="auto" w:fill="D9D9D9" w:themeFill="background1" w:themeFillShade="D9"/>
            <w:vAlign w:val="center"/>
          </w:tcPr>
          <w:p w14:paraId="7771320A" w14:textId="77777777" w:rsidR="00E00A66" w:rsidRPr="007516A6" w:rsidRDefault="00E00A66" w:rsidP="00297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color w:val="000000"/>
                <w:sz w:val="22"/>
                <w:szCs w:val="22"/>
                <w:lang w:val="en-GB"/>
              </w:rPr>
            </w:pPr>
            <w:r w:rsidRPr="007516A6">
              <w:rPr>
                <w:rFonts w:asciiTheme="minorBidi" w:eastAsia="Calibri" w:hAnsiTheme="minorBidi" w:cstheme="minorBidi"/>
                <w:b/>
                <w:sz w:val="22"/>
                <w:szCs w:val="22"/>
                <w:lang w:bidi="ru-RU"/>
              </w:rPr>
              <w:t>Оценка прогресса:</w:t>
            </w:r>
            <w:r w:rsidRPr="007516A6">
              <w:rPr>
                <w:rFonts w:asciiTheme="minorBidi" w:eastAsia="Calibri" w:hAnsiTheme="minorBidi" w:cstheme="minorBidi"/>
                <w:b/>
                <w:sz w:val="22"/>
                <w:szCs w:val="22"/>
                <w:lang w:bidi="ru-RU"/>
              </w:rPr>
              <w:br/>
              <w:t>01/01/2024–31/12/2025 гг.</w:t>
            </w:r>
          </w:p>
        </w:tc>
      </w:tr>
      <w:tr w:rsidR="00E00A66" w:rsidRPr="007516A6" w14:paraId="7EF6574B" w14:textId="77777777" w:rsidTr="00297070">
        <w:trPr>
          <w:trHeight w:val="1498"/>
        </w:trPr>
        <w:tc>
          <w:tcPr>
            <w:tcW w:w="627" w:type="pct"/>
            <w:tcBorders>
              <w:bottom w:val="single" w:sz="4" w:space="0" w:color="auto"/>
            </w:tcBorders>
          </w:tcPr>
          <w:p w14:paraId="3F6E38F8" w14:textId="77777777" w:rsidR="00E00A66" w:rsidRPr="00414A14" w:rsidRDefault="00E00A66" w:rsidP="00297070">
            <w:pPr>
              <w:widowControl w:val="0"/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128, в том числе 38 в странах Африки и 11 в МОСРГ</w:t>
            </w:r>
          </w:p>
        </w:tc>
        <w:tc>
          <w:tcPr>
            <w:tcW w:w="627" w:type="pct"/>
            <w:gridSpan w:val="2"/>
            <w:tcBorders>
              <w:bottom w:val="single" w:sz="4" w:space="0" w:color="auto"/>
            </w:tcBorders>
          </w:tcPr>
          <w:p w14:paraId="028C66A7" w14:textId="77777777" w:rsidR="00E00A66" w:rsidRPr="00414A14" w:rsidRDefault="00E00A66" w:rsidP="00297070">
            <w:pPr>
              <w:widowControl w:val="0"/>
              <w:spacing w:before="120" w:after="120"/>
              <w:ind w:left="-28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100, в том числе 36 в странах Африки и 20 в МОСРГ</w:t>
            </w:r>
          </w:p>
        </w:tc>
        <w:tc>
          <w:tcPr>
            <w:tcW w:w="3747" w:type="pct"/>
            <w:gridSpan w:val="3"/>
            <w:tcBorders>
              <w:bottom w:val="single" w:sz="4" w:space="0" w:color="auto"/>
            </w:tcBorders>
          </w:tcPr>
          <w:p w14:paraId="5F4ABF00" w14:textId="77777777" w:rsidR="00E00A66" w:rsidRPr="00414A14" w:rsidRDefault="00E00A66" w:rsidP="00E00A66">
            <w:pPr>
              <w:pStyle w:val="ListParagraph"/>
              <w:widowControl w:val="0"/>
              <w:numPr>
                <w:ilvl w:val="0"/>
                <w:numId w:val="7"/>
              </w:numPr>
              <w:spacing w:before="120" w:after="120"/>
              <w:ind w:left="425" w:hanging="425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127 государств-членов воспользовались программой по укреплению потенциала (в том числе 44 в странах Африки и 33 в МОСРГ);</w:t>
            </w:r>
          </w:p>
          <w:p w14:paraId="518E54E5" w14:textId="77777777" w:rsidR="00E00A66" w:rsidRPr="00414A14" w:rsidRDefault="00E00A66" w:rsidP="00E00A66">
            <w:pPr>
              <w:pStyle w:val="ListParagraph"/>
              <w:widowControl w:val="0"/>
              <w:numPr>
                <w:ilvl w:val="0"/>
                <w:numId w:val="7"/>
              </w:numPr>
              <w:spacing w:before="120" w:after="120"/>
              <w:ind w:left="425" w:hanging="425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44 страны получили поддержку в подготовке периодической отчетности в Африке;</w:t>
            </w:r>
          </w:p>
          <w:p w14:paraId="5C5BA344" w14:textId="77777777" w:rsidR="00E00A66" w:rsidRPr="00414A14" w:rsidRDefault="00E00A66" w:rsidP="00E00A66">
            <w:pPr>
              <w:pStyle w:val="ListParagraph"/>
              <w:widowControl w:val="0"/>
              <w:numPr>
                <w:ilvl w:val="0"/>
                <w:numId w:val="7"/>
              </w:numPr>
              <w:spacing w:before="120" w:after="120"/>
              <w:ind w:left="425" w:hanging="425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42 страны получили поддержку в подготовке периодической отчетности в Азиатско-Тихоокеанском регионе;</w:t>
            </w:r>
          </w:p>
          <w:p w14:paraId="42934BE2" w14:textId="20E86171" w:rsidR="00E00A66" w:rsidRPr="00414A14" w:rsidRDefault="00E00A66" w:rsidP="00E00A66">
            <w:pPr>
              <w:pStyle w:val="ListParagraph"/>
              <w:widowControl w:val="0"/>
              <w:numPr>
                <w:ilvl w:val="0"/>
                <w:numId w:val="7"/>
              </w:numPr>
              <w:spacing w:before="120" w:after="120"/>
              <w:ind w:left="425" w:hanging="425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eastAsia="Calibri" w:hAnsiTheme="minorBidi" w:cstheme="minorBidi"/>
                <w:sz w:val="22"/>
                <w:szCs w:val="22"/>
                <w:lang w:bidi="ru-RU"/>
              </w:rPr>
              <w:t xml:space="preserve">укреплен потенциал глобальной сети экспертов-инструкторов в рамках </w:t>
            </w:r>
            <w:hyperlink r:id="rId63" w:history="1">
              <w:r w:rsidRPr="007516A6">
                <w:rPr>
                  <w:rStyle w:val="Hyperlink"/>
                  <w:rFonts w:asciiTheme="minorBidi" w:eastAsia="Calibri" w:hAnsiTheme="minorBidi" w:cstheme="minorBidi"/>
                  <w:sz w:val="22"/>
                  <w:szCs w:val="22"/>
                  <w:lang w:bidi="ru-RU"/>
                </w:rPr>
                <w:t>Глобальной программы подготовки 2025 года для участников глобальной сети экспертов-инструкторов</w:t>
              </w:r>
            </w:hyperlink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, одного вводного вебинара (февраль 2025 года) и трех тематических сессий, посвященных вопросам живого наследия и снижения риска бедствий (март 2025 года), подготовки номинаций к включению в списки и реестр Конвенции (июнь 2025 года), а также живого наследия и образования (июль 2025 года);</w:t>
            </w:r>
          </w:p>
          <w:p w14:paraId="27D2F153" w14:textId="77777777" w:rsidR="00E00A66" w:rsidRPr="00414A14" w:rsidRDefault="00E00A66" w:rsidP="00E00A66">
            <w:pPr>
              <w:pStyle w:val="ListParagraph"/>
              <w:widowControl w:val="0"/>
              <w:numPr>
                <w:ilvl w:val="0"/>
                <w:numId w:val="7"/>
              </w:numPr>
              <w:spacing w:before="120" w:after="120"/>
              <w:ind w:left="425" w:hanging="425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проведено 4 семинара-практикума по укреплению номинационного потенциала в 4 африканских странах в период с октября по декабрь 2025 года (еще 5 запланировано на 2026 год);</w:t>
            </w:r>
          </w:p>
          <w:p w14:paraId="6280B6EC" w14:textId="77777777" w:rsidR="00E00A66" w:rsidRPr="00414A14" w:rsidRDefault="00E00A66" w:rsidP="00E00A66">
            <w:pPr>
              <w:pStyle w:val="ListParagraph"/>
              <w:widowControl w:val="0"/>
              <w:numPr>
                <w:ilvl w:val="0"/>
                <w:numId w:val="7"/>
              </w:numPr>
              <w:spacing w:before="120" w:after="120"/>
              <w:ind w:left="425" w:hanging="425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рассмотрено 5 предложений по учреждению или продлению мандатов кафедр ЮНЕСКО в области нематериального культурного наследия.</w:t>
            </w:r>
          </w:p>
        </w:tc>
      </w:tr>
      <w:tr w:rsidR="00E00A66" w:rsidRPr="007516A6" w14:paraId="4FA78C26" w14:textId="77777777" w:rsidTr="00297070">
        <w:trPr>
          <w:trHeight w:val="367"/>
        </w:trPr>
        <w:tc>
          <w:tcPr>
            <w:tcW w:w="679" w:type="pct"/>
            <w:gridSpan w:val="2"/>
            <w:tcBorders>
              <w:left w:val="nil"/>
              <w:bottom w:val="nil"/>
              <w:right w:val="nil"/>
            </w:tcBorders>
          </w:tcPr>
          <w:p w14:paraId="4B7FD719" w14:textId="77777777" w:rsidR="00E00A66" w:rsidRPr="00414A14" w:rsidRDefault="00E00A66" w:rsidP="00297070">
            <w:pPr>
              <w:widowControl w:val="0"/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18" w:type="pct"/>
            <w:gridSpan w:val="2"/>
            <w:tcBorders>
              <w:left w:val="nil"/>
              <w:bottom w:val="nil"/>
              <w:right w:val="nil"/>
            </w:tcBorders>
          </w:tcPr>
          <w:p w14:paraId="026BC7DB" w14:textId="77777777" w:rsidR="00E00A66" w:rsidRPr="00414A14" w:rsidRDefault="00E00A66" w:rsidP="00297070">
            <w:pPr>
              <w:pStyle w:val="ListParagraph"/>
              <w:widowControl w:val="0"/>
              <w:spacing w:before="120" w:after="120"/>
              <w:ind w:left="312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7" w:type="pct"/>
            <w:tcBorders>
              <w:left w:val="nil"/>
              <w:bottom w:val="nil"/>
              <w:right w:val="nil"/>
            </w:tcBorders>
          </w:tcPr>
          <w:p w14:paraId="7BDED401" w14:textId="77777777" w:rsidR="00E00A66" w:rsidRPr="00414A14" w:rsidRDefault="00E00A66" w:rsidP="00297070">
            <w:pPr>
              <w:pStyle w:val="ListParagraph"/>
              <w:widowControl w:val="0"/>
              <w:spacing w:before="120" w:after="120"/>
              <w:ind w:left="312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526" w:type="pct"/>
            <w:tcBorders>
              <w:left w:val="nil"/>
              <w:bottom w:val="nil"/>
              <w:right w:val="nil"/>
            </w:tcBorders>
          </w:tcPr>
          <w:p w14:paraId="2E781417" w14:textId="77777777" w:rsidR="00E00A66" w:rsidRPr="00414A14" w:rsidRDefault="00E00A66" w:rsidP="00297070">
            <w:pPr>
              <w:pStyle w:val="ListParagraph"/>
              <w:widowControl w:val="0"/>
              <w:spacing w:before="120" w:after="120"/>
              <w:ind w:left="544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9B866D1" w14:textId="77777777" w:rsidR="00E00A66" w:rsidRPr="00414A14" w:rsidRDefault="00E00A66" w:rsidP="00E00A66">
      <w:r w:rsidRPr="007516A6">
        <w:rPr>
          <w:lang w:bidi="ru-RU"/>
        </w:rPr>
        <w:br w:type="page"/>
      </w:r>
    </w:p>
    <w:tbl>
      <w:tblPr>
        <w:tblStyle w:val="TableGrid2"/>
        <w:tblW w:w="14572" w:type="dxa"/>
        <w:tblLook w:val="04A0" w:firstRow="1" w:lastRow="0" w:firstColumn="1" w:lastColumn="0" w:noHBand="0" w:noVBand="1"/>
      </w:tblPr>
      <w:tblGrid>
        <w:gridCol w:w="3509"/>
        <w:gridCol w:w="11063"/>
      </w:tblGrid>
      <w:tr w:rsidR="00E00A66" w:rsidRPr="007516A6" w14:paraId="7C77B797" w14:textId="77777777" w:rsidTr="00297070">
        <w:trPr>
          <w:cantSplit/>
        </w:trPr>
        <w:tc>
          <w:tcPr>
            <w:tcW w:w="1204" w:type="pct"/>
            <w:shd w:val="clear" w:color="auto" w:fill="808080" w:themeFill="background1" w:themeFillShade="80"/>
            <w:vAlign w:val="center"/>
          </w:tcPr>
          <w:p w14:paraId="624D5809" w14:textId="77777777" w:rsidR="00E00A66" w:rsidRPr="00414A14" w:rsidRDefault="00E00A66" w:rsidP="00297070">
            <w:pPr>
              <w:keepNext/>
              <w:widowControl w:val="0"/>
              <w:spacing w:before="120" w:after="120"/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lang w:val="ru-RU"/>
              </w:rPr>
            </w:pPr>
            <w:r w:rsidRPr="00414A1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  <w:lang w:val="ru-RU" w:bidi="ru-RU"/>
              </w:rPr>
              <w:lastRenderedPageBreak/>
              <w:t>Показатель эффективности 2 в отношении 42</w:t>
            </w:r>
            <w:r w:rsidRPr="007516A6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  <w:lang w:bidi="ru-RU"/>
              </w:rPr>
              <w:t>C</w:t>
            </w:r>
            <w:r w:rsidRPr="00414A1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  <w:lang w:val="ru-RU" w:bidi="ru-RU"/>
              </w:rPr>
              <w:t>/5</w:t>
            </w:r>
          </w:p>
        </w:tc>
        <w:tc>
          <w:tcPr>
            <w:tcW w:w="3796" w:type="pct"/>
            <w:shd w:val="clear" w:color="auto" w:fill="808080" w:themeFill="background1" w:themeFillShade="80"/>
            <w:vAlign w:val="center"/>
          </w:tcPr>
          <w:p w14:paraId="4C3731A0" w14:textId="77777777" w:rsidR="00E00A66" w:rsidRPr="00414A14" w:rsidRDefault="00E00A66" w:rsidP="00297070">
            <w:pPr>
              <w:keepNext/>
              <w:widowControl w:val="0"/>
              <w:spacing w:before="120" w:after="120"/>
              <w:jc w:val="both"/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lang w:val="ru-RU"/>
              </w:rPr>
            </w:pPr>
            <w:r w:rsidRPr="00414A1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  <w:lang w:val="ru-RU" w:bidi="ru-RU"/>
              </w:rPr>
              <w:t>Число государств-членов, обеспечивающих устойчивую охрану живого наследия посредством укрепления международного сотрудничества и механизмов оказания помощи в соответствии с Конвенцией об охране нематериального культурного наследия 2003 г.</w:t>
            </w:r>
          </w:p>
        </w:tc>
      </w:tr>
    </w:tbl>
    <w:tbl>
      <w:tblPr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754"/>
        <w:gridCol w:w="11063"/>
      </w:tblGrid>
      <w:tr w:rsidR="00E00A66" w:rsidRPr="007516A6" w14:paraId="73E02AC9" w14:textId="77777777" w:rsidTr="00297070">
        <w:trPr>
          <w:tblHeader/>
        </w:trPr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17CB0E59" w14:textId="77777777" w:rsidR="00E00A66" w:rsidRPr="007516A6" w:rsidRDefault="00E00A66" w:rsidP="00297070">
            <w:pPr>
              <w:widowControl w:val="0"/>
              <w:spacing w:before="60" w:after="6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en-GB"/>
              </w:rPr>
            </w:pPr>
            <w:r w:rsidRPr="007516A6">
              <w:rPr>
                <w:rFonts w:asciiTheme="minorBidi" w:hAnsiTheme="minorBidi" w:cstheme="minorBidi"/>
                <w:b/>
                <w:sz w:val="22"/>
                <w:szCs w:val="22"/>
                <w:lang w:bidi="ru-RU"/>
              </w:rPr>
              <w:t>Исходные показатели</w:t>
            </w: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63F234C9" w14:textId="77777777" w:rsidR="00E00A66" w:rsidRPr="007516A6" w:rsidRDefault="00E00A66" w:rsidP="00297070">
            <w:pPr>
              <w:widowControl w:val="0"/>
              <w:spacing w:before="60" w:after="6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en-GB"/>
              </w:rPr>
            </w:pPr>
            <w:r w:rsidRPr="007516A6">
              <w:rPr>
                <w:rFonts w:asciiTheme="minorBidi" w:eastAsia="Calibri" w:hAnsiTheme="minorBidi" w:cstheme="minorBidi"/>
                <w:b/>
                <w:sz w:val="22"/>
                <w:szCs w:val="22"/>
                <w:lang w:bidi="ru-RU"/>
              </w:rPr>
              <w:t>Целевые показатели на 2025 г.</w:t>
            </w:r>
          </w:p>
        </w:tc>
        <w:tc>
          <w:tcPr>
            <w:tcW w:w="3796" w:type="pct"/>
            <w:shd w:val="clear" w:color="auto" w:fill="D9D9D9" w:themeFill="background1" w:themeFillShade="D9"/>
            <w:vAlign w:val="center"/>
          </w:tcPr>
          <w:p w14:paraId="5DDFF5A9" w14:textId="77777777" w:rsidR="00E00A66" w:rsidRPr="007516A6" w:rsidRDefault="00E00A66" w:rsidP="00297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color w:val="000000"/>
                <w:sz w:val="22"/>
                <w:szCs w:val="22"/>
                <w:lang w:val="en-GB"/>
              </w:rPr>
            </w:pPr>
            <w:r w:rsidRPr="007516A6">
              <w:rPr>
                <w:rFonts w:asciiTheme="minorBidi" w:eastAsia="Calibri" w:hAnsiTheme="minorBidi" w:cstheme="minorBidi"/>
                <w:b/>
                <w:sz w:val="22"/>
                <w:szCs w:val="22"/>
                <w:lang w:bidi="ru-RU"/>
              </w:rPr>
              <w:t>Оценка прогресса:</w:t>
            </w:r>
            <w:r w:rsidRPr="007516A6">
              <w:rPr>
                <w:rFonts w:asciiTheme="minorBidi" w:eastAsia="Calibri" w:hAnsiTheme="minorBidi" w:cstheme="minorBidi"/>
                <w:b/>
                <w:sz w:val="22"/>
                <w:szCs w:val="22"/>
                <w:lang w:bidi="ru-RU"/>
              </w:rPr>
              <w:br/>
              <w:t>01/01/2024–31/12/2025 гг.</w:t>
            </w:r>
          </w:p>
        </w:tc>
      </w:tr>
      <w:tr w:rsidR="00E00A66" w:rsidRPr="007516A6" w14:paraId="55B0FF3A" w14:textId="77777777" w:rsidTr="00297070">
        <w:trPr>
          <w:trHeight w:val="4361"/>
          <w:tblHeader/>
        </w:trPr>
        <w:tc>
          <w:tcPr>
            <w:tcW w:w="602" w:type="pct"/>
          </w:tcPr>
          <w:p w14:paraId="79D64B6A" w14:textId="77777777" w:rsidR="00E00A66" w:rsidRPr="00414A14" w:rsidRDefault="00E00A66" w:rsidP="00297070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123, в том числе 10 в странах Африки и 10 МОСРГ</w:t>
            </w:r>
          </w:p>
        </w:tc>
        <w:tc>
          <w:tcPr>
            <w:tcW w:w="602" w:type="pct"/>
          </w:tcPr>
          <w:p w14:paraId="2D181F04" w14:textId="77777777" w:rsidR="00E00A66" w:rsidRPr="00414A14" w:rsidRDefault="00E00A66" w:rsidP="00297070">
            <w:pPr>
              <w:widowControl w:val="0"/>
              <w:spacing w:before="60" w:after="60"/>
              <w:rPr>
                <w:rFonts w:asciiTheme="minorBidi" w:eastAsia="Calibri" w:hAnsiTheme="minorBidi" w:cstheme="minorBidi"/>
                <w:b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108, в том числе 44 в странах Африки и 10 МОСРГ</w:t>
            </w:r>
          </w:p>
        </w:tc>
        <w:tc>
          <w:tcPr>
            <w:tcW w:w="3796" w:type="pct"/>
          </w:tcPr>
          <w:p w14:paraId="116A9986" w14:textId="77777777" w:rsidR="00E00A66" w:rsidRPr="00414A14" w:rsidRDefault="00E00A66" w:rsidP="00E00A66">
            <w:pPr>
              <w:pStyle w:val="ListParagraph"/>
              <w:keepNext/>
              <w:keepLines/>
              <w:widowControl w:val="0"/>
              <w:numPr>
                <w:ilvl w:val="0"/>
                <w:numId w:val="8"/>
              </w:numPr>
              <w:spacing w:before="120" w:after="120"/>
              <w:ind w:left="323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продолжено обсуждение более широкого применения статьи 18 Конвенции;</w:t>
            </w:r>
          </w:p>
          <w:p w14:paraId="41905E94" w14:textId="77777777" w:rsidR="00E00A66" w:rsidRPr="00414A14" w:rsidRDefault="00E00A66" w:rsidP="00E00A6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23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Президиумом рассмотрено и удовлетворено 27 новых заявок на получение международной помощи, в том числе 9 из стран Африки и 6 из МОСРГ;</w:t>
            </w:r>
          </w:p>
          <w:p w14:paraId="5A8936BF" w14:textId="7E50EADD" w:rsidR="00E00A66" w:rsidRPr="00414A14" w:rsidRDefault="00E00A66" w:rsidP="00062305">
            <w:pPr>
              <w:pStyle w:val="ListParagraph"/>
              <w:widowControl w:val="0"/>
              <w:numPr>
                <w:ilvl w:val="0"/>
                <w:numId w:val="8"/>
              </w:numPr>
              <w:spacing w:before="120" w:after="120"/>
              <w:ind w:left="323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 xml:space="preserve">рассмотрено 140 номинационных досье в рамках циклов 2024 и 2025 годов и </w:t>
            </w:r>
            <w:r w:rsidR="00062305" w:rsidRPr="00062305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первоначально рассмотрено</w:t>
            </w:r>
            <w:r w:rsidR="00062305" w:rsidRPr="00E403BE">
              <w:rPr>
                <w:rFonts w:asciiTheme="minorBidi" w:hAnsiTheme="minorBidi" w:cstheme="minorBidi"/>
                <w:sz w:val="22"/>
                <w:szCs w:val="22"/>
                <w:lang w:bidi="ru-RU"/>
              </w:rPr>
              <w:t xml:space="preserve"> </w:t>
            </w:r>
            <w:r w:rsidR="00062305" w:rsidRPr="00062305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71 номинационное досье</w:t>
            </w: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 xml:space="preserve"> в рамках цикла 2026 года;</w:t>
            </w:r>
          </w:p>
          <w:p w14:paraId="5D061534" w14:textId="77777777" w:rsidR="00E00A66" w:rsidRPr="00414A14" w:rsidRDefault="00E00A66" w:rsidP="00E00A66">
            <w:pPr>
              <w:pStyle w:val="ListParagraph"/>
              <w:widowControl w:val="0"/>
              <w:numPr>
                <w:ilvl w:val="0"/>
                <w:numId w:val="8"/>
              </w:numPr>
              <w:spacing w:before="120" w:after="120"/>
              <w:ind w:left="323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зарегистрировано 205 новопредставленных номинационных досье в рамках циклов 2025 и 2026 годов;</w:t>
            </w:r>
          </w:p>
          <w:p w14:paraId="4D68413C" w14:textId="77777777" w:rsidR="00E00A66" w:rsidRPr="00414A14" w:rsidRDefault="00E00A66" w:rsidP="00E00A66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spacing w:before="120" w:after="120"/>
              <w:ind w:left="323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проанализировано 26 докладов о статусе элементов, включенных в Список срочной охраны;</w:t>
            </w:r>
          </w:p>
          <w:p w14:paraId="339B705E" w14:textId="77777777" w:rsidR="00E00A66" w:rsidRPr="00414A14" w:rsidRDefault="00E00A66" w:rsidP="00E00A66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spacing w:before="120" w:after="120"/>
              <w:ind w:left="323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проанализировано 44 доклада о выполнении Конвенции и о текущем статусе элементов, включенных в Репрезентативный список государствами-участниками в Африке;</w:t>
            </w:r>
          </w:p>
          <w:p w14:paraId="6D328A41" w14:textId="77777777" w:rsidR="00E00A66" w:rsidRPr="00414A14" w:rsidRDefault="00E00A66" w:rsidP="00E00A66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spacing w:before="120" w:after="120"/>
              <w:ind w:left="323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проанализировано 38 докладов о выполнении Конвенции и о текущем статусе элементов, включенных в Репрезентативный список государствами-участниками в Азиатско-Тихоокеанском регионе;</w:t>
            </w:r>
          </w:p>
          <w:p w14:paraId="46EEE416" w14:textId="77777777" w:rsidR="00E00A66" w:rsidRPr="007516A6" w:rsidRDefault="00E00A66" w:rsidP="00E00A66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spacing w:before="120" w:after="120"/>
              <w:ind w:left="323"/>
              <w:contextualSpacing w:val="0"/>
              <w:jc w:val="both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7516A6">
              <w:rPr>
                <w:rFonts w:asciiTheme="minorBidi" w:hAnsiTheme="minorBidi" w:cstheme="minorBidi"/>
                <w:sz w:val="22"/>
                <w:szCs w:val="22"/>
                <w:lang w:bidi="ru-RU"/>
              </w:rPr>
              <w:t>организовано 37 уставных совещаний.</w:t>
            </w:r>
          </w:p>
        </w:tc>
      </w:tr>
    </w:tbl>
    <w:p w14:paraId="03EDC440" w14:textId="77777777" w:rsidR="00E00A66" w:rsidRPr="007516A6" w:rsidRDefault="00E00A66" w:rsidP="005E285E">
      <w:pPr>
        <w:rPr>
          <w:rFonts w:ascii="Arial" w:eastAsia="SimSun" w:hAnsi="Arial" w:cs="Arial"/>
          <w:sz w:val="22"/>
          <w:szCs w:val="22"/>
          <w:u w:val="single"/>
          <w:lang w:val="en-GB"/>
        </w:rPr>
        <w:sectPr w:rsidR="00E00A66" w:rsidRPr="007516A6" w:rsidSect="00E00A66">
          <w:headerReference w:type="even" r:id="rId64"/>
          <w:headerReference w:type="default" r:id="rId65"/>
          <w:headerReference w:type="first" r:id="rId66"/>
          <w:pgSz w:w="16838" w:h="11906" w:orient="landscape" w:code="9"/>
          <w:pgMar w:top="1134" w:right="1418" w:bottom="1134" w:left="1134" w:header="397" w:footer="284" w:gutter="0"/>
          <w:cols w:space="708"/>
          <w:docGrid w:linePitch="360"/>
        </w:sectPr>
      </w:pPr>
    </w:p>
    <w:p w14:paraId="394AA552" w14:textId="77777777" w:rsidR="00E00A66" w:rsidRPr="007516A6" w:rsidRDefault="00E00A66" w:rsidP="00E00A66">
      <w:pPr>
        <w:pStyle w:val="COMParaDecision"/>
        <w:numPr>
          <w:ilvl w:val="0"/>
          <w:numId w:val="0"/>
        </w:numPr>
        <w:jc w:val="center"/>
        <w:rPr>
          <w:rFonts w:asciiTheme="minorBidi" w:hAnsiTheme="minorBidi" w:cstheme="minorBidi"/>
          <w:b/>
        </w:rPr>
      </w:pPr>
      <w:bookmarkStart w:id="2" w:name="AnnexII"/>
      <w:bookmarkStart w:id="3" w:name="_Hlk166253986"/>
      <w:r w:rsidRPr="007516A6">
        <w:rPr>
          <w:rFonts w:asciiTheme="minorBidi" w:hAnsiTheme="minorBidi" w:cstheme="minorBidi"/>
          <w:b/>
          <w:lang w:bidi="ru-RU"/>
        </w:rPr>
        <w:lastRenderedPageBreak/>
        <w:t>Приложение II</w:t>
      </w:r>
    </w:p>
    <w:bookmarkEnd w:id="2"/>
    <w:p w14:paraId="7FB50377" w14:textId="1FBFF2B1" w:rsidR="00E00A66" w:rsidRPr="007516A6" w:rsidRDefault="00E00A66" w:rsidP="00E00A66">
      <w:pPr>
        <w:pStyle w:val="COMParaDecision"/>
        <w:numPr>
          <w:ilvl w:val="0"/>
          <w:numId w:val="0"/>
        </w:numPr>
        <w:spacing w:after="0"/>
        <w:jc w:val="center"/>
        <w:rPr>
          <w:rFonts w:asciiTheme="minorBidi" w:hAnsiTheme="minorBidi" w:cstheme="minorBidi"/>
          <w:b/>
          <w:u w:val="none"/>
        </w:rPr>
      </w:pPr>
      <w:r w:rsidRPr="007516A6">
        <w:rPr>
          <w:rFonts w:asciiTheme="minorBidi" w:hAnsiTheme="minorBidi" w:cstheme="minorBidi"/>
          <w:b/>
          <w:u w:val="none"/>
          <w:lang w:bidi="ru-RU"/>
        </w:rPr>
        <w:t xml:space="preserve">Комментарий в отношении </w:t>
      </w:r>
      <w:hyperlink r:id="rId67" w:history="1">
        <w:r w:rsidRPr="007516A6">
          <w:rPr>
            <w:rFonts w:asciiTheme="minorBidi" w:hAnsiTheme="minorBidi" w:cstheme="minorBidi"/>
            <w:b/>
            <w:u w:val="none"/>
            <w:lang w:bidi="ru-RU"/>
          </w:rPr>
          <w:t>Оценки</w:t>
        </w:r>
      </w:hyperlink>
      <w:r w:rsidRPr="007516A6">
        <w:rPr>
          <w:rFonts w:asciiTheme="minorBidi" w:hAnsiTheme="minorBidi" w:cstheme="minorBidi"/>
          <w:b/>
          <w:u w:val="none"/>
          <w:lang w:bidi="ru-RU"/>
        </w:rPr>
        <w:t xml:space="preserve"> деятельности ЮНЕСКО в рамках Конвенции 2003 года, проведенной IOS в 2021 году </w:t>
      </w:r>
    </w:p>
    <w:p w14:paraId="5E52F3C6" w14:textId="77777777" w:rsidR="00E00A66" w:rsidRPr="007516A6" w:rsidRDefault="00E00A66" w:rsidP="00E00A66">
      <w:pPr>
        <w:pStyle w:val="COMParaDecision"/>
        <w:numPr>
          <w:ilvl w:val="0"/>
          <w:numId w:val="0"/>
        </w:numPr>
        <w:spacing w:after="240"/>
        <w:jc w:val="center"/>
        <w:rPr>
          <w:rFonts w:asciiTheme="minorBidi" w:hAnsiTheme="minorBidi" w:cstheme="minorBidi"/>
          <w:b/>
          <w:u w:val="none"/>
        </w:rPr>
      </w:pPr>
      <w:r w:rsidRPr="007516A6">
        <w:rPr>
          <w:rFonts w:asciiTheme="minorBidi" w:hAnsiTheme="minorBidi" w:cstheme="minorBidi"/>
          <w:b/>
          <w:u w:val="none"/>
          <w:lang w:bidi="ru-RU"/>
        </w:rPr>
        <w:t>(по состоянию на май 2026 г.)</w:t>
      </w:r>
      <w:r w:rsidRPr="007516A6">
        <w:rPr>
          <w:rStyle w:val="FootnoteReference"/>
          <w:rFonts w:asciiTheme="minorBidi" w:hAnsiTheme="minorBidi" w:cstheme="minorBidi"/>
          <w:b/>
          <w:u w:val="none"/>
          <w:lang w:bidi="ru-RU"/>
        </w:rPr>
        <w:footnoteReference w:id="3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9498"/>
      </w:tblGrid>
      <w:tr w:rsidR="00E00A66" w:rsidRPr="007516A6" w14:paraId="3B7CAF88" w14:textId="77777777" w:rsidTr="00E403BE">
        <w:trPr>
          <w:trHeight w:val="206"/>
        </w:trPr>
        <w:tc>
          <w:tcPr>
            <w:tcW w:w="1683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bookmarkEnd w:id="3"/>
          <w:p w14:paraId="2F5EE366" w14:textId="77777777" w:rsidR="00E00A66" w:rsidRPr="007516A6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16A6">
              <w:rPr>
                <w:rFonts w:ascii="Arial" w:eastAsia="Arial" w:hAnsi="Arial" w:cs="Arial"/>
                <w:b/>
                <w:lang w:bidi="ru-RU"/>
              </w:rPr>
              <w:t>Рекомендации</w:t>
            </w:r>
          </w:p>
        </w:tc>
        <w:tc>
          <w:tcPr>
            <w:tcW w:w="3317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6468C2E" w14:textId="77777777" w:rsidR="00E00A66" w:rsidRPr="007516A6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16A6">
              <w:rPr>
                <w:rFonts w:ascii="Arial" w:eastAsia="Arial" w:hAnsi="Arial" w:cs="Arial"/>
                <w:b/>
                <w:lang w:bidi="ru-RU"/>
              </w:rPr>
              <w:t>Текущий статус</w:t>
            </w:r>
          </w:p>
        </w:tc>
      </w:tr>
      <w:tr w:rsidR="00E00A66" w:rsidRPr="007516A6" w14:paraId="6348C621" w14:textId="77777777" w:rsidTr="00297070">
        <w:trPr>
          <w:trHeight w:val="1750"/>
        </w:trPr>
        <w:tc>
          <w:tcPr>
            <w:tcW w:w="1683" w:type="pct"/>
            <w:tcBorders>
              <w:bottom w:val="single" w:sz="4" w:space="0" w:color="auto"/>
            </w:tcBorders>
          </w:tcPr>
          <w:p w14:paraId="3966C0AF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Рекомендация № 1:</w:t>
            </w:r>
          </w:p>
          <w:p w14:paraId="35FACFF8" w14:textId="4DA81713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 xml:space="preserve">Секретарю Конвенции 2003 года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следует наладить взаимодействие с Межправительственным комитетом, Генеральной ассамблеей государств-участников и старшими руководителями ЮНЕСКО, с тем чтобы обратить их внимание на необходимость определения приоритетов в использовании ограниченных ресурсов Секретариата Конвенции 2003 года (Отдел живого наследия и подразделения на местах).</w:t>
            </w:r>
          </w:p>
        </w:tc>
        <w:tc>
          <w:tcPr>
            <w:tcW w:w="3317" w:type="pct"/>
            <w:tcBorders>
              <w:bottom w:val="single" w:sz="4" w:space="0" w:color="auto"/>
            </w:tcBorders>
          </w:tcPr>
          <w:p w14:paraId="72092120" w14:textId="448A02F4" w:rsidR="00E00A66" w:rsidRPr="00414A14" w:rsidRDefault="00E00A66" w:rsidP="0006230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Секретарь Конвенции 2003 года отмечает, что за последние два десятилетия в рамках Конвенции был достигнут значительный прогресс с точки зрения участия заинтересованных сторон и повышения ее узнаваемости, а также в плане расширения тематики и вклада, который охрана живого наследия вносит в международную повестку дня в области развития. Соответственно, было обеспечено более четкое определение ряда стратегических направлений, в частности, благодаря мероприятиям по празднованию 20-летия Конвенции в 2023 году, в ходе которых </w:t>
            </w:r>
            <w:r w:rsidR="00062305" w:rsidRPr="00062305">
              <w:rPr>
                <w:rFonts w:ascii="Arial" w:eastAsia="Arial" w:hAnsi="Arial" w:cs="Arial"/>
                <w:sz w:val="20"/>
                <w:szCs w:val="20"/>
                <w:lang w:bidi="ru-RU"/>
              </w:rPr>
              <w:t>было сформулировано «Сеульское видение»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, а также благодаря другим важным усилиям дискуссионного характера, предпринятым руководящими органами Конвенции в период начиная с 2021 года. В этом контексте растущих ожиданий и повышающегося спроса необходимость установления приоритетов в использовании ограниченных ресурсов Секретариата Конвенции 2003 года остается как никогда актуальной. Утверждение </w:t>
            </w:r>
            <w:r w:rsidR="00062305" w:rsidRPr="00062305">
              <w:rPr>
                <w:rFonts w:ascii="Arial" w:eastAsia="Arial" w:hAnsi="Arial" w:cs="Arial"/>
                <w:sz w:val="20"/>
                <w:szCs w:val="20"/>
                <w:lang w:bidi="ru-RU"/>
              </w:rPr>
              <w:t>двадцатой сессией Комитета в декабре 2025 года</w:t>
            </w:r>
            <w:r w:rsidR="00062305" w:rsidRPr="00E403BE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 </w:t>
            </w:r>
            <w:r w:rsidR="00062305" w:rsidRPr="00062305">
              <w:rPr>
                <w:rFonts w:ascii="Arial" w:eastAsia="Arial" w:hAnsi="Arial" w:cs="Arial"/>
                <w:sz w:val="20"/>
                <w:szCs w:val="20"/>
                <w:lang w:bidi="ru-RU"/>
              </w:rPr>
              <w:t>ового набора приоритетов финансирования</w:t>
            </w:r>
            <w:r w:rsidR="00062305" w:rsidRPr="00E403BE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(Решение </w:t>
            </w:r>
            <w:hyperlink r:id="rId68" w:history="1">
              <w:r w:rsidRPr="007516A6">
                <w:rPr>
                  <w:rStyle w:val="Hyperlink"/>
                  <w:rFonts w:ascii="Arial" w:eastAsia="Arial" w:hAnsi="Arial" w:cs="Arial"/>
                  <w:sz w:val="20"/>
                  <w:szCs w:val="20"/>
                  <w:lang w:bidi="ru-RU"/>
                </w:rPr>
                <w:t>20.COM 13</w:t>
              </w:r>
            </w:hyperlink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) служит ориентиром для доноров при планировании и обсуждении распределения ресурсов в целях обеспечения жизнеспособности Секретариата Конвенции 2003 года.</w:t>
            </w:r>
          </w:p>
        </w:tc>
      </w:tr>
      <w:tr w:rsidR="00E00A66" w:rsidRPr="007516A6" w14:paraId="70C15682" w14:textId="77777777" w:rsidTr="00297070">
        <w:trPr>
          <w:trHeight w:val="170"/>
        </w:trPr>
        <w:tc>
          <w:tcPr>
            <w:tcW w:w="1683" w:type="pct"/>
            <w:tcBorders>
              <w:bottom w:val="single" w:sz="4" w:space="0" w:color="auto"/>
            </w:tcBorders>
          </w:tcPr>
          <w:p w14:paraId="79E5C36A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Рекомендация № 2:</w:t>
            </w:r>
          </w:p>
          <w:p w14:paraId="7E86BB21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Отделу живого наследия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 следует проанализировать возможные способы использования данных, собираемых в рамках представления периодических докладов, а также стратегии их широкого внедрения в доступной и наглядной форме. Доступ к материалам должен быть бесплатным, а их поиск и использование — простыми. Необходимо обеспечить доступ к аналитическим и обзорным материалам на глобальном, региональном и национальном уровнях.</w:t>
            </w:r>
          </w:p>
        </w:tc>
        <w:tc>
          <w:tcPr>
            <w:tcW w:w="3317" w:type="pct"/>
            <w:tcBorders>
              <w:bottom w:val="single" w:sz="4" w:space="0" w:color="auto"/>
            </w:tcBorders>
          </w:tcPr>
          <w:p w14:paraId="11C5EA7C" w14:textId="633A0623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С момента представления Комитету в 2021 году (16.COM) аналитического обзора, составленного на основе докладов государств-участников из Латинской Америки и Карибского бассейна, Секретариат Конвенции 2003 года ежегодно готовит региональные аналитические материалы в соответствии с графиком представления отчетности. По каждому региону Комитету представляются два аналитических документа на английском и французском языках: «аналитический обзор» и «всеобъемлющий аналитический доклад». </w:t>
            </w:r>
            <w:r w:rsidRPr="007516A6">
              <w:rPr>
                <w:rFonts w:asciiTheme="minorBidi" w:hAnsiTheme="minorBidi"/>
                <w:sz w:val="20"/>
                <w:szCs w:val="20"/>
                <w:lang w:bidi="ru-RU"/>
              </w:rPr>
              <w:t xml:space="preserve">Все аналитические материалы доступны в Интернете как на специальной веб-странице соответствующей сессии Комитета, так и на </w:t>
            </w:r>
            <w:hyperlink r:id="rId69" w:history="1">
              <w:r w:rsidRPr="007516A6">
                <w:rPr>
                  <w:rStyle w:val="Hyperlink"/>
                  <w:rFonts w:asciiTheme="minorBidi" w:hAnsiTheme="minorBidi"/>
                  <w:sz w:val="20"/>
                  <w:szCs w:val="20"/>
                  <w:lang w:bidi="ru-RU"/>
                </w:rPr>
                <w:t>странице</w:t>
              </w:r>
            </w:hyperlink>
            <w:r w:rsidRPr="007516A6">
              <w:rPr>
                <w:rFonts w:asciiTheme="minorBidi" w:hAnsiTheme="minorBidi"/>
                <w:sz w:val="20"/>
                <w:szCs w:val="20"/>
                <w:lang w:bidi="ru-RU"/>
              </w:rPr>
              <w:t>, посвященной документам и исследованиям по периодической отчетности.</w:t>
            </w:r>
          </w:p>
        </w:tc>
      </w:tr>
      <w:tr w:rsidR="00E00A66" w:rsidRPr="007516A6" w14:paraId="73633DE8" w14:textId="77777777" w:rsidTr="00297070">
        <w:trPr>
          <w:trHeight w:val="977"/>
        </w:trPr>
        <w:tc>
          <w:tcPr>
            <w:tcW w:w="1683" w:type="pct"/>
            <w:tcBorders>
              <w:bottom w:val="single" w:sz="4" w:space="0" w:color="auto"/>
            </w:tcBorders>
          </w:tcPr>
          <w:p w14:paraId="4420B3A9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lastRenderedPageBreak/>
              <w:t>Рекомендация № 3:</w:t>
            </w:r>
          </w:p>
          <w:p w14:paraId="35992CBE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Отделу живого наследия в координации с исполнительным секретариатом Сектора культуры и секретариатами других конвенций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, в зависимости от обстоятельств, следует создать рабочие группы для решения приоритетных тематических вопросов, требующих совместных действий в рамках нескольких конвенций. К ним, в частности, следует отнести коммерциализацию и интеллектуальную собственность, культурный туризм и образование. На более позднем этапе ЮНЕСКО следует наладить взаимодействие с другими организациями, работающими в этих областях.</w:t>
            </w:r>
          </w:p>
        </w:tc>
        <w:tc>
          <w:tcPr>
            <w:tcW w:w="3317" w:type="pct"/>
            <w:tcBorders>
              <w:bottom w:val="single" w:sz="4" w:space="0" w:color="auto"/>
            </w:tcBorders>
          </w:tcPr>
          <w:p w14:paraId="50564067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Секретариат Конвенции 2003 года продолжает предпринимать усилия по развитию своей тематической деятельности в рамках Конвенции. По состоянию на декабрь 2025 года была завершена разработка руководящих указаний в рамках всех трех тематических инициатив в следующих областях: (i) экономические аспекты охраны нематериального культурного наследия, (ii) охрана нематериального культурного наследия и изменение климата, а также (iii) охрана нематериального культурного наследия в условиях города.</w:t>
            </w:r>
          </w:p>
          <w:p w14:paraId="17F17EEB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Общая цель трех инициатив заключается в том, чтобы разработать методические рекомендации по практическому и концептуальному привлечению заинтересованных сторон к работе над этими темами и использованию живого наследие в интересах устойчивого развития. В рамках всех трех инициатив применялся схожий подход, предусматривавший, в том числе, проведение кабинетного исследования, глобального обследования и совещания экспертов; при этом сами инициативы были разработаны в тесном взаимодействии с соответствующими программами и конвенциями ЮНЕСКО. В настоящее время идет реализация четвертой инициативы, посвященной живому наследию и искусственному интеллекту, которая была утверждена Комитетом в ходе его двадцатой сессии в декабре 2025 года (Решение 20.COM 12). </w:t>
            </w:r>
          </w:p>
          <w:p w14:paraId="269ECC7F" w14:textId="77777777" w:rsidR="00E00A66" w:rsidRPr="00E403BE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Кроме того, Секретариат работает над формированием базы знаний и разработкой цифровых инструментов для содействия сохранению и передаче кулинарных традиций как живого наследия, преследуя при этом долгосрочную цель — содействовать устойчивому развитию в интересах обеспечения благополучия, достоинства и творческого потенциала человека в условиях мирного и инклюзивного общества. Другие тематические области деятельности, реализуемые в рамках оперативных проектов, включают наследие и образование (см. Рекомендацию № 4) и культурный туризм.</w:t>
            </w:r>
          </w:p>
          <w:p w14:paraId="3517F6C9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Исполнительный секретариат Сектора культуры (CLT/EO) продолжает координировать деятельность существующих рабочих групп по тематическим/приоритетным областям в рамках программ Сектора.</w:t>
            </w:r>
          </w:p>
        </w:tc>
      </w:tr>
      <w:tr w:rsidR="00E00A66" w:rsidRPr="007516A6" w14:paraId="5FEC3708" w14:textId="77777777" w:rsidTr="00297070">
        <w:trPr>
          <w:trHeight w:val="1209"/>
        </w:trPr>
        <w:tc>
          <w:tcPr>
            <w:tcW w:w="1683" w:type="pct"/>
            <w:tcBorders>
              <w:bottom w:val="single" w:sz="4" w:space="0" w:color="auto"/>
            </w:tcBorders>
          </w:tcPr>
          <w:p w14:paraId="414AD2A9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Рекомендация № 4:</w:t>
            </w:r>
          </w:p>
          <w:p w14:paraId="6E806E17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 xml:space="preserve">Отделу живого наследия совместно с исполнительным секретариатом Сектора образования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следует использовать предложенную матрицу изменений в качестве инструмента для анализа и уточнения сферы охвата Программы «Живое наследие и образование».</w:t>
            </w:r>
          </w:p>
        </w:tc>
        <w:tc>
          <w:tcPr>
            <w:tcW w:w="3317" w:type="pct"/>
            <w:tcBorders>
              <w:bottom w:val="single" w:sz="4" w:space="0" w:color="auto"/>
            </w:tcBorders>
          </w:tcPr>
          <w:p w14:paraId="500C5A3F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За период начиная с 2021 года Секретариат Конвенции 2003 года наладил еще более тесное сотрудничество с Сектором образования, согласовав предложенную матрицу изменений (ToC) для Программы «Живое наследие и образование».</w:t>
            </w:r>
          </w:p>
          <w:p w14:paraId="04EF0054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На глобальном уровне такое сотрудничество привело к тому, что вопрос живого наследия был интегрирован в важные международные стандарты, в частности в Рекомендацию об образовании в духе мира, прав человека и устойчивого развития (пересмотренная Рекомендация 1974 года), а также в Рамочную программу по образованию в области культуры и искусства, принятую в ходе Всемирной конференции по образованию в области культуры и искусства (Абу-Даби, 13–15 февраля 2024 г). Ключевая роль живого наследия в обеспечении актуальности образования и содействии всесторонней охране живого наследия получила признание, чему способствовала деятельность глобального Центра обмена информацией по живому наследию и образованию, база данных которого постоянно обновляется, а также внедрение онлайн-курса для самостоятельного изучения под названием «Преобразование обучения с помощью живого наследия»,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lastRenderedPageBreak/>
              <w:t xml:space="preserve">разработанного Сектором образования совместно с Сектором культуры. </w:t>
            </w:r>
          </w:p>
        </w:tc>
      </w:tr>
      <w:tr w:rsidR="00E00A66" w:rsidRPr="007516A6" w14:paraId="6D06DDF9" w14:textId="77777777" w:rsidTr="00297070">
        <w:trPr>
          <w:trHeight w:val="1209"/>
        </w:trPr>
        <w:tc>
          <w:tcPr>
            <w:tcW w:w="1683" w:type="pct"/>
            <w:tcBorders>
              <w:bottom w:val="single" w:sz="4" w:space="0" w:color="auto"/>
            </w:tcBorders>
          </w:tcPr>
          <w:p w14:paraId="040827AB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lastRenderedPageBreak/>
              <w:t>Рекомендация № 5:</w:t>
            </w:r>
          </w:p>
          <w:p w14:paraId="47E684F7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Отделу живого наследия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 следует и впредь содействовать развитию механизма международной помощи, в частности на уровне государств-участников, которые отвечают необходимым критериям, однако еще не воспользовались таким механизмом. Работа в этом направлении должна предусматривать выход за рамки традиционных экспертных кругов в области НКН и информирование о технической поддержке, которую Секретариат может оказать заявителям и получателям помощи, а также предоставление соответствующих руководящих принципов и инструментов для разработки, реализации и представления отчетности по проектам.</w:t>
            </w:r>
          </w:p>
        </w:tc>
        <w:tc>
          <w:tcPr>
            <w:tcW w:w="3317" w:type="pct"/>
            <w:tcBorders>
              <w:bottom w:val="single" w:sz="4" w:space="0" w:color="auto"/>
            </w:tcBorders>
          </w:tcPr>
          <w:p w14:paraId="7187DA42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Последние годы ознаменовались неуклонным ростом числа действующих проектов, которое достигло 60 проектов в 2025 году по сравнению с 36 проектами в 2019 году. За тот же период число государств-участников, воспользовавшихся механизмом международной помощи, также увеличилось с 50 до 86. В целях совершенствования механизма Секретариат тесно сотрудничал с государствами-участниками для определения их потребностей в области охраны объектов и оказания им индивидуальной технической поддержки, что способствовало росту числа первичных запросов. Регулярный мониторинг и непрерывное общение с бенефициарами для обеспечения соответствия проводимых мероприятий утвержденным запросам способствовали реализации проектов. Онлайн-совещания и семинары-практикумы помогли механизму выйти на новый уровень развития и узнаваемости; при этом все доклады о ходе работы систематически анализировались для оценки воздействия, проверки соответствия целям и выявления примеров успешного опыта сохранения наследия (некоторые примеры такого опыта были включены в предварительную версию платформы для обмена положительным опытом сохранения наследия в рамках содействия более широкому применению статьи 18 Конвенции).</w:t>
            </w:r>
          </w:p>
          <w:p w14:paraId="03CD10B7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В результате этих усилий Комитет и его Президиум утвердили 27 заявок на оказание международной помощи в период 2024–2025 годов. Кроме того, шесть государств-участников получили экспертную поддержку при разработке и доработке своих заявок. Пятнадцать государств-участников, в том числе шесть из стран Африки и пять МОСРГ, впервые получили финансовую помощь, что свидетельствует о продолжающемся расширении географии охвата. Наконец, в соответствии с глобальным анализом механизмов включения в списки Конвенции был расширен охват подготовительной помощи, в результате чего в 2024 и 2025 годах было утверждено восемь заявок по сравнению с шестью заявками, утвержденными за весь период с 2014 по 2023 год.</w:t>
            </w:r>
          </w:p>
        </w:tc>
      </w:tr>
      <w:tr w:rsidR="00E00A66" w:rsidRPr="007516A6" w14:paraId="5945AD6C" w14:textId="77777777" w:rsidTr="00297070">
        <w:trPr>
          <w:trHeight w:val="1209"/>
        </w:trPr>
        <w:tc>
          <w:tcPr>
            <w:tcW w:w="1683" w:type="pct"/>
            <w:tcBorders>
              <w:bottom w:val="single" w:sz="4" w:space="0" w:color="auto"/>
            </w:tcBorders>
          </w:tcPr>
          <w:p w14:paraId="3B7E7AB7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Рекомендация № 6:</w:t>
            </w:r>
          </w:p>
          <w:p w14:paraId="7E368FA0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 xml:space="preserve">Отделу живого наследия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следует повысить качество разработки проектов, мониторинга и отчетности о результатах в соответствии с Общей системой оценки результатов. Кроме того, особое внимание следует уделять, в частности, вовлечению местных сообществ, устойчивому развитию и гендерному равенству.</w:t>
            </w:r>
          </w:p>
        </w:tc>
        <w:tc>
          <w:tcPr>
            <w:tcW w:w="3317" w:type="pct"/>
            <w:tcBorders>
              <w:bottom w:val="single" w:sz="4" w:space="0" w:color="auto"/>
            </w:tcBorders>
          </w:tcPr>
          <w:p w14:paraId="0E30E277" w14:textId="599AA33F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На семнадцатой сессии Межправительственного комитета была утверждена «Стратегия мониторинга, оценки и выявления извлеченных уроков в рамках проектов международной помощи» (Решение </w:t>
            </w:r>
            <w:hyperlink r:id="rId70" w:history="1">
              <w:r w:rsidRPr="007516A6">
                <w:rPr>
                  <w:rStyle w:val="Hyperlink"/>
                  <w:rFonts w:ascii="Arial" w:eastAsia="Arial" w:hAnsi="Arial" w:cs="Arial"/>
                  <w:sz w:val="20"/>
                  <w:szCs w:val="20"/>
                  <w:lang w:bidi="ru-RU"/>
                </w:rPr>
                <w:t>17.COM 11</w:t>
              </w:r>
            </w:hyperlink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). Основная задача стратегии заключается в том, чтобы разработать систематизированный подход, при котором мониторинг и оценка отдельных проектов в рамках международной помощи, финансируемых за счет средств Фонда охраны нематериального культурного наследия, будут также учитываться при проведении общего мониторинга и оценки механизма международной помощи. Цель — улучшить отслеживаемость эффективности механизма с точки зрения содействия выполнению Конвенции; при чем сделать это следует путем приведения его мониторинга и оценки в соответствие с Общей системой оценки результатов Конвенции 2003 года. </w:t>
            </w:r>
          </w:p>
          <w:p w14:paraId="046CB418" w14:textId="77777777" w:rsidR="00E00A66" w:rsidRPr="007516A6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Основные мероприятия в отношении системы оценки механизма международной помощи: две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lastRenderedPageBreak/>
              <w:t>оценки, включая «последовательные» полевые миссии, были проведены в период с июля по ноябрь 2024 года в Лаосской Народно-Демократической Республике (Решение 14.COM 2.BUR 5.3) и Тонге (Решение 13.COM 2.BUR 4.6). Эта, первая, серия оценок позволила Секретариату получить ценный опыт, например, в отношении: а) целесообразности увязки оценочных критериев с Общей системой оценки результатов Конвенции для измерения воздействия; b) необходимости проведения тщательной подготовки логистических аспектов миссий, таких как организация устного перевода на языки сообществ-бенефициаров; и с) способов распространения выводов оценок и обмена передовым опытом сохранения наследия. Кроме того, внедрение различных инструментов для мониторинга и определения передового опыта сохранения наследия способствовало усилению мониторинга и оценки отдельных проектов и механизмов оказания международной помощи в целом (см. Рекомендацию № 5)</w:t>
            </w:r>
          </w:p>
        </w:tc>
      </w:tr>
      <w:tr w:rsidR="00E00A66" w:rsidRPr="007516A6" w14:paraId="2D791FC2" w14:textId="77777777" w:rsidTr="00297070">
        <w:trPr>
          <w:trHeight w:val="1209"/>
        </w:trPr>
        <w:tc>
          <w:tcPr>
            <w:tcW w:w="1683" w:type="pct"/>
            <w:tcBorders>
              <w:bottom w:val="single" w:sz="4" w:space="0" w:color="auto"/>
            </w:tcBorders>
          </w:tcPr>
          <w:p w14:paraId="611AE49F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lastRenderedPageBreak/>
              <w:t>Рекомендация № 7:</w:t>
            </w:r>
          </w:p>
          <w:p w14:paraId="5FC1802D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 xml:space="preserve">Отделу живого наследия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следует укрепить сеть экспертов-инструкторов для обеспечения ее соответствия географическим и тематическим требованиям Глобальной программы по укреплению потенциала. Для этого необходимо, в том числе, провести анализ имеющихся ресурсов и определить потребности. Кроме того, необходимо, среди прочего, провести оценку текущей и прошлой деятельности существующих членов сети, а также активного участия отдельных лиц в других мероприятиях, таких как проекты международной помощи, и координаторов периодической отчетности. Необходимо создать возможности для привлечения новых членов и обмена опытом между экспертами-инструкторами.</w:t>
            </w:r>
          </w:p>
        </w:tc>
        <w:tc>
          <w:tcPr>
            <w:tcW w:w="3317" w:type="pct"/>
            <w:tcBorders>
              <w:bottom w:val="single" w:sz="4" w:space="0" w:color="auto"/>
            </w:tcBorders>
          </w:tcPr>
          <w:p w14:paraId="1D5F2514" w14:textId="2D8DDC4F" w:rsidR="00E00A66" w:rsidRPr="00414A14" w:rsidRDefault="00E00A66" w:rsidP="00EA433E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За период начиная с 2021 года глобальная сеть экспертов-инструкторов получила значительное усиление благодаря присоединению к ней девяноста пяти новых членов (60 % из которых составляют женщины), представляющих все регионы, в результате проведения конкурса на глобальном уровне. Для новых членов была организована серия ознакомительных онлайн-сессий, направленных на предоставление им основных сведений о Конвенции и сети. </w:t>
            </w:r>
            <w:r w:rsidR="00EA433E" w:rsidRPr="00EA433E">
              <w:rPr>
                <w:rFonts w:ascii="Arial" w:eastAsia="Arial" w:hAnsi="Arial" w:cs="Arial"/>
                <w:sz w:val="20"/>
                <w:szCs w:val="20"/>
                <w:lang w:bidi="ru-RU"/>
              </w:rPr>
              <w:t>Региональные вводные учебные семинары были проведены во всех регионах в сотрудничестве с центрами категории 2.</w:t>
            </w:r>
            <w:r w:rsidR="00EA433E" w:rsidRPr="00E403BE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За период начиная с 2025 года эксперты-инструкторы также прошли подготовку по тематическим направлениям Конвенции в рамках серии учебных вебинаров, посвященных взаимосвязям между живым наследием и: (1) снижением риска бедствий (март 2025 г.); (2) номинациями (июнь 2025 г.); (3) образованием (июль 2025 г.); и (4) городским контекстом (апрель 2026 г.). Пятый вебинар, посвященный живому наследию в условиях конфликтов и перемещения населения, запланирован на 4 июня 2026 года.</w:t>
            </w:r>
          </w:p>
          <w:p w14:paraId="661E24DD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Для обеспечения более адекватного реагирования на существующие потребности и пробелы в настоящее время во всех регионах в сотрудничестве с подразделениями ЮНЕСКО на местах и при поддержке центров категории 2 реализуется новая стратегия проведения региональных, адаптированных к местным условиям тренингов, посвященных вопросам выполнения Конвенции, для новых членов. Благодаря проведению двух 18-часовых онлайн-курсов, организованных в поддержку региональных циклов отчетности в Африке (2023 г.) и Азиатско-Тихоокеанском регионе (2024 г.), было расширено активное участие опытных экспертов-инструкторов в ключевых мероприятиях, в частности в отношении периодической отчетности в рамках Конвенции.</w:t>
            </w:r>
          </w:p>
        </w:tc>
      </w:tr>
      <w:tr w:rsidR="00E00A66" w:rsidRPr="007516A6" w14:paraId="16E8B39F" w14:textId="77777777" w:rsidTr="00297070">
        <w:trPr>
          <w:trHeight w:val="1209"/>
        </w:trPr>
        <w:tc>
          <w:tcPr>
            <w:tcW w:w="1683" w:type="pct"/>
            <w:tcBorders>
              <w:bottom w:val="single" w:sz="4" w:space="0" w:color="auto"/>
            </w:tcBorders>
          </w:tcPr>
          <w:p w14:paraId="1AC4176B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Рекомендация № 8:</w:t>
            </w:r>
          </w:p>
          <w:p w14:paraId="6FC3115A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 xml:space="preserve">Отделу живого наследия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следует стремиться к переходу на гибридную форму реализации Глобальной программы по укреплению потенциала, которая позволила бы сочетать онлайн-обучение с очным обучением, а также разрабатывать учебные материалы и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lastRenderedPageBreak/>
              <w:t>инструменты, максимально соответствующие этим форматам. Кроме того, в рамках программы следует продолжить диверсификацию целевых аудиторий, уделяя приоритетное внимание сообществам и гражданскому обществу, в том числе НПО, работающим с носителями НКН, и делая особый акцент на молодежь.</w:t>
            </w:r>
          </w:p>
        </w:tc>
        <w:tc>
          <w:tcPr>
            <w:tcW w:w="3317" w:type="pct"/>
            <w:tcBorders>
              <w:bottom w:val="single" w:sz="4" w:space="0" w:color="auto"/>
            </w:tcBorders>
          </w:tcPr>
          <w:p w14:paraId="297D8D5A" w14:textId="58B6F213" w:rsidR="00E00A66" w:rsidRPr="00414A14" w:rsidRDefault="00E00A66" w:rsidP="005B70F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lastRenderedPageBreak/>
              <w:t>Отдел живого наследия разработал и внедрил систему управления обучением (</w:t>
            </w:r>
            <w:r w:rsidR="005B70F0" w:rsidRPr="005B70F0">
              <w:rPr>
                <w:rFonts w:ascii="Arial" w:eastAsia="Arial" w:hAnsi="Arial" w:cs="Arial"/>
                <w:sz w:val="20"/>
                <w:szCs w:val="20"/>
                <w:lang w:bidi="ru-RU"/>
              </w:rPr>
              <w:t>СУО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) для программы по укреплению потенциала, которая в настоящее время функционирует в качестве Учебной платформы ЮНЕСКО по сохранению живого наследия в целях устойчивого развития. В рамках партнерского соглашения с Международным учебным центром Международной организации труда и в сотрудничестве со старшими экспертами-инструкторами завершена разработка трех курсов для самостоятельного изучения («Общая система оценки результатов», «Выполнение Конвенции» и «Преобразование обучения с помощью живого наследия») на Учебной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lastRenderedPageBreak/>
              <w:t xml:space="preserve">платформе. </w:t>
            </w:r>
          </w:p>
          <w:p w14:paraId="50A47FA6" w14:textId="01850CCD" w:rsidR="00E00A66" w:rsidRPr="009E7D47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В 2022 году был запущен </w:t>
            </w:r>
            <w:hyperlink r:id="rId71" w:history="1">
              <w:r w:rsidRPr="007516A6">
                <w:rPr>
                  <w:rStyle w:val="Hyperlink"/>
                  <w:rFonts w:ascii="Arial" w:eastAsia="Arial" w:hAnsi="Arial" w:cs="Arial"/>
                  <w:sz w:val="20"/>
                  <w:szCs w:val="20"/>
                  <w:lang w:bidi="ru-RU"/>
                </w:rPr>
                <w:t>массовый открытый онлайн-курс на тему «Живое наследие и устойчивое развитие»</w:t>
              </w:r>
            </w:hyperlink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. Представители сообществ, гражданского общества и неправительственных организаций систематически приглашаются к участию в семинарах-практикумах по укреплению потенциала, организуемых ЮНЕСКО.</w:t>
            </w:r>
          </w:p>
          <w:p w14:paraId="51C1E7DC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A66" w:rsidRPr="007516A6" w14:paraId="11851BC1" w14:textId="77777777" w:rsidTr="00297070">
        <w:trPr>
          <w:trHeight w:val="1209"/>
        </w:trPr>
        <w:tc>
          <w:tcPr>
            <w:tcW w:w="1683" w:type="pct"/>
            <w:tcBorders>
              <w:bottom w:val="single" w:sz="4" w:space="0" w:color="auto"/>
            </w:tcBorders>
          </w:tcPr>
          <w:p w14:paraId="783FA649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lastRenderedPageBreak/>
              <w:t>Рекомендация № 9:</w:t>
            </w:r>
          </w:p>
          <w:p w14:paraId="3CDB4252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 xml:space="preserve">Отделу живого наследия в сотрудничестве с подразделениями ЮНЕСКО на местах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следует разработать систему непрерывной поддержки государств-участников в течение цикла периодической отчетности в дополнение к уже существующему онлайн-курсам. В рамках такой системы необходимо, в том числе, обеспечить доступ к методическим рекомендациям по систематизации данных в отношении национальных координаторов и их назначению, материалам для самостоятельного изучения, а также к непрерывной технической поддержке со стороны национальных или региональных консультантов. Предоставление соответствующих методических рекомендаций можно было бы также поручить сетям, созданным в ходе работы по подготовке периодических докладов.</w:t>
            </w:r>
          </w:p>
        </w:tc>
        <w:tc>
          <w:tcPr>
            <w:tcW w:w="3317" w:type="pct"/>
            <w:tcBorders>
              <w:bottom w:val="single" w:sz="4" w:space="0" w:color="auto"/>
            </w:tcBorders>
          </w:tcPr>
          <w:p w14:paraId="428C0ABF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За период начиная с 2021 года Секретариат Конвенции организовал обучение и предоставление непрерывной поддержки еще для четырех регионов — Европы (44 </w:t>
            </w:r>
            <w:r w:rsidRPr="005B70F0">
              <w:rPr>
                <w:rFonts w:ascii="Arial" w:eastAsia="Arial" w:hAnsi="Arial" w:cs="Arial"/>
                <w:sz w:val="20"/>
                <w:szCs w:val="20"/>
                <w:lang w:bidi="ru-RU"/>
              </w:rPr>
              <w:t>координатора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 прошли обучение в 2021–2022 гг.), арабских государств (18 координаторов прошли обучение в 2022–2023 гг.), Африки (44 координатора прошли обучение в 2022–2023 гг.) и Азиатско-Тихоокеанского региона (42 координатора прошли обучение в 2024–2025 гг.). Применяемый подход является мультимодальным и сочетает в себе онлайн- и очные учебные занятия, а также непрерывную онлайн-поддержку вплоть до истечения срока подачи заявок. Мероприятия были проведены при активном участии подразделений на местах в каждом регионе и в сотрудничестве с центрами категории 2 (Региональный центр по охране нематериального культурного наследия в Юго-Восточной Европе, Шарджинский институт наследия, Региональный центр по охране нематериального культурного наследия в Африке (CRESPIAF), Международный центр по подготовке специалистов в области нематериального культурного наследия в регионе Азии и Тихого океана (CRIHAP) и Международный центр информации и сетевого взаимодействия в области нематериального культурного наследия в регионе Азии и Тихого океане (ICHCAP)). Опытные эксперты-инструктора в каждом регионе прошли подготовку по вопросам периодической отчетности, организованную Секретариатом в сотрудничестве с подразделениями ЮНЕСКО на местах, и провели мероприятия по укреплению потенциала для координаторов.</w:t>
            </w:r>
          </w:p>
        </w:tc>
      </w:tr>
      <w:tr w:rsidR="00E00A66" w:rsidRPr="007516A6" w14:paraId="2E3CDD68" w14:textId="77777777" w:rsidTr="00297070">
        <w:trPr>
          <w:trHeight w:val="1209"/>
        </w:trPr>
        <w:tc>
          <w:tcPr>
            <w:tcW w:w="1683" w:type="pct"/>
            <w:tcBorders>
              <w:bottom w:val="single" w:sz="4" w:space="0" w:color="auto"/>
            </w:tcBorders>
          </w:tcPr>
          <w:p w14:paraId="3A8670D6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Рекомендация № 10:</w:t>
            </w:r>
          </w:p>
          <w:p w14:paraId="52A3A4A6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Отделу живого наследия в сотрудничестве с Отделом управления знаниями и информационными системами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 следует создать онлайн-платформу, которая позволит облегчить управление знаниями в области НКН и мерами по его сохранению, в том числе все механизмы включения в списки, номинации, периодические доклады, проекты международной помощи, исследования, реестры и т. д. Благодаря этому инструменту пользователи должны получить возможность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lastRenderedPageBreak/>
              <w:t>искать информацию о НКН с помощью простых ключевых слов и критериев. Обработку данных можно было бы поручить партнерским сетям, таким как Форум НПО по НКН и кафедры ЮНЕСКО.</w:t>
            </w:r>
          </w:p>
        </w:tc>
        <w:tc>
          <w:tcPr>
            <w:tcW w:w="3317" w:type="pct"/>
            <w:tcBorders>
              <w:bottom w:val="single" w:sz="4" w:space="0" w:color="auto"/>
            </w:tcBorders>
          </w:tcPr>
          <w:p w14:paraId="6AF04526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lastRenderedPageBreak/>
              <w:t>Секретариат Конвенции 2003 года надлежащим образом предоставил все данные докладов в открытых форматах, что способствовали проведению всестороннего анализа и классификации в соответствии с руководящими принципами по составлению глобальных докладов по вопросам культуры, установленным MONDIACULT.</w:t>
            </w:r>
          </w:p>
          <w:p w14:paraId="1E99C2A2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В настоящее время проводится работа по перепроектированию базовой технологии управления данными с целью усиления мер безопасности и в то же время обеспечения совместимости с открытыми форматами. Эти усилия направлены на облегчение беспрепятственного обмена данными с другими организационными инструментами, что позволит обеспечить пользовательскую интеграцию и совместимость со стандартными инструментами, установленными Отделом управления знаниями и информационными системами (DBS).</w:t>
            </w:r>
          </w:p>
          <w:p w14:paraId="0BCC9633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Был расширен объем информации о НПО в отношении первой группы таких организаций; при этом планируется дальнейшее расширение в сотрудничестве с Форумом НПО. Кроме того, благодаря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lastRenderedPageBreak/>
              <w:t>тому, что кафедры ЮНЕСКО и сети УНИТВИН, работающие в области живого наследия, были представлены в каталоге, созданном на веб-сайте Конвенции, узнаваемость кафедр ЮНЕСКО выросла.</w:t>
            </w:r>
          </w:p>
          <w:p w14:paraId="42AAD1BB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В рамках продолжающегося обсуждения вопроса о более широком применении статьи 18, начатого в 2023 году (Решение 18.COM 11), в мае 2025 года была представлена предварительная версия онлайн-платформы для обмена передовым опытом сохранения наследия. Был составлен пилотный перечень из четырнадцати успешных примеров сохранения наследия, реализованных в рамках механизмов международного сотрудничества Конвенции; в настоящее время ведутся консультации с экспертами для получения обратной связи и разработки нового контента. Ожидается, что особое внимание будет также уделено различным формам кулинарных традиций в рамках онлайн-платформы.</w:t>
            </w:r>
          </w:p>
        </w:tc>
      </w:tr>
      <w:tr w:rsidR="00E00A66" w:rsidRPr="007516A6" w14:paraId="004CDA14" w14:textId="77777777" w:rsidTr="00297070">
        <w:trPr>
          <w:trHeight w:val="841"/>
        </w:trPr>
        <w:tc>
          <w:tcPr>
            <w:tcW w:w="1683" w:type="pct"/>
            <w:tcBorders>
              <w:bottom w:val="single" w:sz="4" w:space="0" w:color="auto"/>
            </w:tcBorders>
          </w:tcPr>
          <w:p w14:paraId="7006BCE3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lastRenderedPageBreak/>
              <w:t>Рекомендация № 11:</w:t>
            </w:r>
          </w:p>
          <w:p w14:paraId="4D895610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Отделу живого наследия совместно с Департаментом общественной информации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 следует изучить новые способы осуществления коммуникации и информационно-просветительской работы, ориентированные на широкую общественность и молодежь, в частности, использование для этих целей таких каналов, как социальные сети. Для этого может потребоваться создать специальную учетную запись в социальных сетях и (или) активизировать использование учетных записей ЮНЕСКО и её партнеров. Необходимо разработать визуальный стиль для контента, публикуемого отделом, с тем чтобы обеспечить его узнаваемость.</w:t>
            </w:r>
          </w:p>
        </w:tc>
        <w:tc>
          <w:tcPr>
            <w:tcW w:w="3317" w:type="pct"/>
            <w:tcBorders>
              <w:bottom w:val="single" w:sz="4" w:space="0" w:color="auto"/>
            </w:tcBorders>
          </w:tcPr>
          <w:p w14:paraId="28B7788F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За период начиная с 2021 года Отдел живого наследия активизировал свою коммуникационную деятельность в сотрудничестве с Департаментом коммуникации и взаимодействия с общественностью (CPE) и Группой по коммуникациям и глобальному мониторингу (CLT/CGM), ориентируясь на широкую общественность и, в частности, на молодежь, а также на использование социальных сетей.</w:t>
            </w:r>
          </w:p>
          <w:p w14:paraId="2198CA23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В 2024 году началась реализация онлайн-кампании на основе широкого участия, призванной побудить государства-участники обмениваться информацией о мероприятиях, связанных с Международным днем нематериального культурного наследия; эта кампания была повторно проведена в 2025 году. При этом на веб-странице Конвенции было размещена информация о большом количестве мероприятий (100 мероприятий в 2024 году и 134 мероприятия в 2025 году).</w:t>
            </w:r>
          </w:p>
          <w:p w14:paraId="7D8F5F6D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>Секретариат регулярно дает комментарии и интервью в связи с растущим числом запросов со стороны СМИ, способствуя повышению осведомленности о Конвенции. На веб-странице постоянно публикуются новости, освещающие достижения, мероприятия и проекты в рамках Конвенции, а также вклад в проведение международных дней и десятилетий или в связи с текущими проектами. Использование хэштега #LivingHeritage позволяет маркировать и идентифицировать связанные публикации. Секретариат Конвенции 2003 года также привел дизайн своего веб-сайта в соответствие с руководящими принципами, установленными Департаментом коммуникации и взаимодействия с общественностью (CPE), обеспечив более согласованный подход к использованию символики ЮНЕСКО на веб-сайтах организации. Для повышения наглядности и улучшения визуализации включенных в списки элементов используются открытые форматы; при этом планируется и в дальнейшем содействовать визуализации данных, что может повысить эффективность работы с целевыми аудиториями и усилить их вовлеченность.</w:t>
            </w:r>
          </w:p>
        </w:tc>
      </w:tr>
      <w:tr w:rsidR="00E00A66" w:rsidRPr="007516A6" w14:paraId="7541FD80" w14:textId="77777777" w:rsidTr="00297070">
        <w:trPr>
          <w:trHeight w:val="1209"/>
        </w:trPr>
        <w:tc>
          <w:tcPr>
            <w:tcW w:w="1683" w:type="pct"/>
          </w:tcPr>
          <w:p w14:paraId="1F56DFF3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>Рекомендация № 12:</w:t>
            </w:r>
          </w:p>
          <w:p w14:paraId="62DA26F9" w14:textId="77777777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b/>
                <w:sz w:val="20"/>
                <w:szCs w:val="20"/>
                <w:lang w:bidi="ru-RU"/>
              </w:rPr>
              <w:t xml:space="preserve">Отделу живого наследия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следует регулярно создавать возможности для двустороннего планирования и обмена опытом с каждым из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lastRenderedPageBreak/>
              <w:t>центров категории 2, специализирующихся на НКН, уделяя особое внимание приоритетам Секретариата и Межправительственного комитета, которые могут учитывать региональные потребности, с целью укрепления взаимодействия с этими партнерами и приведения их рабочих программ в соответствие с программами ЮНЕСКО.</w:t>
            </w:r>
          </w:p>
        </w:tc>
        <w:tc>
          <w:tcPr>
            <w:tcW w:w="3317" w:type="pct"/>
          </w:tcPr>
          <w:p w14:paraId="6616016F" w14:textId="7D71B756" w:rsidR="00E00A66" w:rsidRPr="00414A14" w:rsidRDefault="00E00A66" w:rsidP="0029707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lastRenderedPageBreak/>
              <w:t xml:space="preserve">Отдел живого наследия продолжил участвовать в организации ежегодных координационных совещаний со всеми центрами. Двенадцатое совещание состоялось в штаб-квартире ЮНЕСКО 13 июня 2024 года, а тринадцатое — в онлайн-формате 16 июля 2025 года. Центры категории 2 принимают активное участие в реализации мероприятий по укреплению потенциала в области периодической отчетности во всех регионах, выступая в качестве соорганизаторов и принимающих 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lastRenderedPageBreak/>
              <w:t xml:space="preserve">сторон учебных мероприятий: Региональный центр по охране нематериального культурного наследия Латинской Америки (CRESPIAL) в отношении цикла в Латинской Америке и Карибском бассейне (2021 г.), </w:t>
            </w:r>
            <w:r w:rsidR="00F04450" w:rsidRPr="00F04450">
              <w:rPr>
                <w:rFonts w:ascii="Arial" w:eastAsia="Arial" w:hAnsi="Arial" w:cs="Arial"/>
                <w:sz w:val="20"/>
                <w:szCs w:val="20"/>
                <w:lang w:bidi="ru-RU"/>
              </w:rPr>
              <w:t>Региональный центр по нематериальному культурному наследию Юго-Восточной Европы (RCSICH)</w:t>
            </w:r>
            <w:r w:rsidRPr="007516A6">
              <w:rPr>
                <w:rFonts w:ascii="Arial" w:eastAsia="Arial" w:hAnsi="Arial" w:cs="Arial"/>
                <w:sz w:val="20"/>
                <w:szCs w:val="20"/>
                <w:lang w:bidi="ru-RU"/>
              </w:rPr>
              <w:t xml:space="preserve"> в отношении цикла в Европе (2022 г.), Международный центр по созданию потенциала в области нематериального культурного наследия в арабских государствах (ICCBICH) в отношении цикла в арабских государствах (2023 г.), Региональный центр по охране нематериального культурного наследия в Африке (CRESPIAF) в отношении цикла в Африке (2024 г.), Международный центр информации и сетевого взаимодействия в области нематериального культурного наследия в регионе Азии и Тихого океане (ICHCAP) и Международный центр по подготовке специалистов в области нематериального культурного наследия в регионе Азии и Тихого океана (CRIHAP) в отношении цикла в Азиатско-Тихоокеанском регионе (2025 г.). Такое сотрудничество способствовало активизации обмена информацией между каждым центром и Секретариатом Конвенции 2003 года, а также повысило согласованность их деятельности с приоритетами ЮНЕСКО. Совместно с Международным исследовательским центром нематериального культурного наследия в регионе Азии и Тихого океана (IRCI) осуществлялось тематическое сотрудничество, в частности, в целях поддержки тематических инициатив Конвенции.</w:t>
            </w:r>
          </w:p>
        </w:tc>
      </w:tr>
    </w:tbl>
    <w:p w14:paraId="6D7E98CA" w14:textId="77777777" w:rsidR="00B948AD" w:rsidRDefault="00B948AD"/>
    <w:sectPr w:rsidR="00B948AD" w:rsidSect="00E00A66">
      <w:pgSz w:w="16838" w:h="11906" w:orient="landscape" w:code="9"/>
      <w:pgMar w:top="1134" w:right="1418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1F50" w14:textId="77777777" w:rsidR="00B63D61" w:rsidRDefault="00B63D61" w:rsidP="005E285E">
      <w:r>
        <w:separator/>
      </w:r>
    </w:p>
  </w:endnote>
  <w:endnote w:type="continuationSeparator" w:id="0">
    <w:p w14:paraId="206436C5" w14:textId="77777777" w:rsidR="00B63D61" w:rsidRDefault="00B63D61" w:rsidP="005E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57C4" w14:textId="77777777" w:rsidR="00B63D61" w:rsidRDefault="00B63D61" w:rsidP="005E285E">
      <w:r>
        <w:separator/>
      </w:r>
    </w:p>
  </w:footnote>
  <w:footnote w:type="continuationSeparator" w:id="0">
    <w:p w14:paraId="18D328DD" w14:textId="77777777" w:rsidR="00B63D61" w:rsidRDefault="00B63D61" w:rsidP="005E285E">
      <w:r>
        <w:continuationSeparator/>
      </w:r>
    </w:p>
  </w:footnote>
  <w:footnote w:id="1">
    <w:p w14:paraId="4342631D" w14:textId="693EDABF" w:rsidR="00E00A66" w:rsidRPr="00414A14" w:rsidRDefault="00E00A66" w:rsidP="00E00A66">
      <w:pPr>
        <w:pStyle w:val="FootnoteText"/>
        <w:ind w:left="567" w:hanging="567"/>
        <w:jc w:val="both"/>
        <w:rPr>
          <w:rFonts w:asciiTheme="minorBidi" w:hAnsiTheme="minorBidi" w:cstheme="minorBidi"/>
          <w:sz w:val="18"/>
          <w:szCs w:val="18"/>
        </w:rPr>
      </w:pPr>
      <w:r w:rsidRPr="00502368">
        <w:rPr>
          <w:rStyle w:val="FootnoteReference"/>
          <w:rFonts w:asciiTheme="minorBidi" w:hAnsiTheme="minorBidi" w:cstheme="minorBidi"/>
          <w:sz w:val="18"/>
          <w:szCs w:val="18"/>
          <w:lang w:bidi="ru-RU"/>
        </w:rPr>
        <w:footnoteRef/>
      </w:r>
      <w:r w:rsidRPr="00E957F6">
        <w:rPr>
          <w:rFonts w:asciiTheme="minorBidi" w:hAnsiTheme="minorBidi" w:cstheme="minorBidi"/>
          <w:sz w:val="18"/>
          <w:szCs w:val="18"/>
          <w:vertAlign w:val="superscript"/>
          <w:lang w:bidi="ru-RU"/>
        </w:rPr>
        <w:t>.</w:t>
      </w:r>
      <w:r w:rsidRPr="00E957F6">
        <w:rPr>
          <w:rFonts w:asciiTheme="minorBidi" w:hAnsiTheme="minorBidi" w:cstheme="minorBidi"/>
          <w:sz w:val="18"/>
          <w:szCs w:val="18"/>
          <w:lang w:bidi="ru-RU"/>
        </w:rPr>
        <w:tab/>
        <w:t xml:space="preserve">Документы </w:t>
      </w:r>
      <w:hyperlink r:id="rId1" w:history="1">
        <w:r w:rsidRPr="00E957F6">
          <w:rPr>
            <w:rStyle w:val="Hyperlink"/>
            <w:rFonts w:asciiTheme="minorBidi" w:hAnsiTheme="minorBidi" w:cstheme="minorBidi"/>
            <w:sz w:val="18"/>
            <w:szCs w:val="18"/>
            <w:lang w:bidi="ru-RU"/>
          </w:rPr>
          <w:t>LHE/21/16.COM/10 Rev.</w:t>
        </w:r>
      </w:hyperlink>
      <w:r w:rsidRPr="00E957F6">
        <w:rPr>
          <w:rFonts w:asciiTheme="minorBidi" w:hAnsiTheme="minorBidi" w:cstheme="minorBidi"/>
          <w:sz w:val="18"/>
          <w:szCs w:val="18"/>
          <w:lang w:bidi="ru-RU"/>
        </w:rPr>
        <w:t xml:space="preserve"> и </w:t>
      </w:r>
      <w:hyperlink r:id="rId2" w:history="1">
        <w:r w:rsidRPr="00B241E7">
          <w:rPr>
            <w:rStyle w:val="Hyperlink"/>
            <w:rFonts w:asciiTheme="minorBidi" w:hAnsiTheme="minorBidi" w:cstheme="minorBidi"/>
            <w:sz w:val="18"/>
            <w:szCs w:val="18"/>
            <w:lang w:bidi="ru-RU"/>
          </w:rPr>
          <w:t>LHE/21/16.COM/INF.10 Rev.</w:t>
        </w:r>
      </w:hyperlink>
      <w:r w:rsidRPr="00E957F6">
        <w:rPr>
          <w:rStyle w:val="Hyperlink"/>
          <w:rFonts w:asciiTheme="minorBidi" w:hAnsiTheme="minorBidi" w:cstheme="minorBidi"/>
          <w:color w:val="auto"/>
          <w:sz w:val="18"/>
          <w:szCs w:val="18"/>
          <w:u w:val="none"/>
          <w:lang w:bidi="ru-RU"/>
        </w:rPr>
        <w:t xml:space="preserve">; последующие действия представлены со ссылкой на Решение </w:t>
      </w:r>
      <w:hyperlink r:id="rId3" w:history="1">
        <w:r w:rsidRPr="00E957F6">
          <w:rPr>
            <w:rStyle w:val="Hyperlink"/>
            <w:rFonts w:asciiTheme="minorBidi" w:hAnsiTheme="minorBidi" w:cstheme="minorBidi"/>
            <w:sz w:val="18"/>
            <w:szCs w:val="18"/>
            <w:lang w:bidi="ru-RU"/>
          </w:rPr>
          <w:t>16.COM 10</w:t>
        </w:r>
      </w:hyperlink>
      <w:r w:rsidRPr="00E957F6">
        <w:rPr>
          <w:rStyle w:val="Hyperlink"/>
          <w:rFonts w:asciiTheme="minorBidi" w:hAnsiTheme="minorBidi" w:cstheme="minorBidi"/>
          <w:color w:val="auto"/>
          <w:sz w:val="18"/>
          <w:szCs w:val="18"/>
          <w:u w:val="none"/>
          <w:lang w:bidi="ru-RU"/>
        </w:rPr>
        <w:t xml:space="preserve"> шестнадцатой сессии Комитета.</w:t>
      </w:r>
    </w:p>
  </w:footnote>
  <w:footnote w:id="2">
    <w:p w14:paraId="64E124E0" w14:textId="0BAE10DD" w:rsidR="00E00A66" w:rsidRPr="00414A14" w:rsidRDefault="00E00A66" w:rsidP="00E00A66">
      <w:pPr>
        <w:pStyle w:val="FootnoteText"/>
        <w:ind w:left="567" w:hanging="567"/>
        <w:jc w:val="both"/>
        <w:rPr>
          <w:rFonts w:asciiTheme="minorBidi" w:hAnsiTheme="minorBidi" w:cstheme="minorBidi"/>
          <w:sz w:val="18"/>
          <w:szCs w:val="18"/>
        </w:rPr>
      </w:pPr>
      <w:r w:rsidRPr="00502368">
        <w:rPr>
          <w:rStyle w:val="FootnoteReference"/>
          <w:rFonts w:asciiTheme="minorBidi" w:hAnsiTheme="minorBidi" w:cstheme="minorBidi"/>
          <w:sz w:val="18"/>
          <w:szCs w:val="18"/>
          <w:lang w:bidi="ru-RU"/>
        </w:rPr>
        <w:footnoteRef/>
      </w:r>
      <w:r w:rsidRPr="00E957F6">
        <w:rPr>
          <w:rFonts w:asciiTheme="minorBidi" w:hAnsiTheme="minorBidi" w:cstheme="minorBidi"/>
          <w:sz w:val="18"/>
          <w:szCs w:val="18"/>
          <w:vertAlign w:val="superscript"/>
          <w:lang w:bidi="ru-RU"/>
        </w:rPr>
        <w:t>.</w:t>
      </w:r>
      <w:r w:rsidRPr="00E957F6">
        <w:rPr>
          <w:rFonts w:asciiTheme="minorBidi" w:hAnsiTheme="minorBidi" w:cstheme="minorBidi"/>
          <w:sz w:val="18"/>
          <w:szCs w:val="18"/>
          <w:lang w:bidi="ru-RU"/>
        </w:rPr>
        <w:tab/>
      </w:r>
      <w:r w:rsidR="00F04450" w:rsidRPr="00F04450">
        <w:rPr>
          <w:rFonts w:asciiTheme="minorBidi" w:hAnsiTheme="minorBidi" w:cstheme="minorBidi"/>
          <w:sz w:val="18"/>
          <w:szCs w:val="18"/>
          <w:lang w:bidi="ru-RU"/>
        </w:rPr>
        <w:t>Региональный центр по охране нематериального культурного наследия Африки (CRESPIAF)</w:t>
      </w:r>
      <w:r w:rsidR="00F04450" w:rsidRPr="00E403BE">
        <w:rPr>
          <w:rFonts w:asciiTheme="minorBidi" w:hAnsiTheme="minorBidi" w:cstheme="minorBidi"/>
          <w:sz w:val="18"/>
          <w:szCs w:val="18"/>
          <w:lang w:bidi="ru-RU"/>
        </w:rPr>
        <w:t xml:space="preserve">, </w:t>
      </w:r>
      <w:r w:rsidRPr="00107C14">
        <w:rPr>
          <w:rStyle w:val="Hyperlink"/>
          <w:rFonts w:asciiTheme="minorBidi" w:hAnsiTheme="minorBidi" w:cstheme="minorBidi"/>
          <w:color w:val="auto"/>
          <w:sz w:val="18"/>
          <w:szCs w:val="18"/>
          <w:u w:val="none"/>
          <w:lang w:bidi="ru-RU"/>
        </w:rPr>
        <w:t>Региональный центр по охране нематериального культурного наследия Латинской Америки (CRESPIAL), Международный центр по подготовке специалистов в области нематериального культурного наследия в регионе Азии и Тихого океана (CRIHAP), Международный исследовательский центр нематериального культурного наследия в регионе Азии и Тихого океана (IRCI) и Международный центр информации и сетевого взаимодействия в области нематериального культурного наследия в регионе Азии и Тихого океана (ICHCAP).</w:t>
      </w:r>
    </w:p>
  </w:footnote>
  <w:footnote w:id="3">
    <w:p w14:paraId="7FA71334" w14:textId="0ABB5A16" w:rsidR="00E00A66" w:rsidRPr="00414A14" w:rsidRDefault="00E00A66" w:rsidP="00E403BE">
      <w:pPr>
        <w:pStyle w:val="FootnoteText"/>
        <w:ind w:left="567" w:hanging="567"/>
        <w:rPr>
          <w:rFonts w:asciiTheme="minorBidi" w:hAnsiTheme="minorBidi" w:cstheme="minorBidi"/>
          <w:sz w:val="18"/>
          <w:szCs w:val="18"/>
        </w:rPr>
      </w:pPr>
      <w:r w:rsidRPr="00E957F6">
        <w:rPr>
          <w:rStyle w:val="FootnoteReference"/>
          <w:rFonts w:asciiTheme="minorBidi" w:hAnsiTheme="minorBidi" w:cstheme="minorBidi"/>
          <w:sz w:val="18"/>
          <w:szCs w:val="18"/>
          <w:lang w:bidi="ru-RU"/>
        </w:rPr>
        <w:footnoteRef/>
      </w:r>
      <w:r w:rsidRPr="00B90BF8">
        <w:rPr>
          <w:rFonts w:asciiTheme="minorBidi" w:hAnsiTheme="minorBidi" w:cstheme="minorBidi"/>
          <w:sz w:val="18"/>
          <w:szCs w:val="18"/>
          <w:lang w:bidi="ru-RU"/>
        </w:rPr>
        <w:t xml:space="preserve"> </w:t>
      </w:r>
      <w:r w:rsidR="00E403BE" w:rsidRPr="009E7D47">
        <w:rPr>
          <w:rFonts w:asciiTheme="minorBidi" w:hAnsiTheme="minorBidi" w:cstheme="minorBidi"/>
          <w:sz w:val="18"/>
          <w:szCs w:val="18"/>
          <w:lang w:bidi="ru-RU"/>
        </w:rPr>
        <w:tab/>
      </w:r>
      <w:r w:rsidRPr="00B90BF8">
        <w:rPr>
          <w:rFonts w:asciiTheme="minorBidi" w:hAnsiTheme="minorBidi" w:cstheme="minorBidi"/>
          <w:sz w:val="18"/>
          <w:szCs w:val="18"/>
          <w:lang w:bidi="ru-RU"/>
        </w:rPr>
        <w:t>Для ознакомления с предварительным комментарием руководства, представленным в 2021 году, см. документы</w:t>
      </w:r>
      <w:r w:rsidR="00062305" w:rsidRPr="00E403BE">
        <w:rPr>
          <w:rFonts w:asciiTheme="minorBidi" w:hAnsiTheme="minorBidi" w:cstheme="minorBidi"/>
          <w:sz w:val="18"/>
          <w:szCs w:val="18"/>
          <w:lang w:bidi="ru-RU"/>
        </w:rPr>
        <w:t xml:space="preserve"> </w:t>
      </w:r>
      <w:hyperlink r:id="rId4" w:history="1">
        <w:r w:rsidRPr="00962DF9">
          <w:rPr>
            <w:rStyle w:val="Hyperlink"/>
            <w:rFonts w:asciiTheme="minorBidi" w:hAnsiTheme="minorBidi" w:cstheme="minorBidi"/>
            <w:sz w:val="18"/>
            <w:szCs w:val="18"/>
            <w:lang w:bidi="ru-RU"/>
          </w:rPr>
          <w:t>LHE/21/16.COM/10 Rev</w:t>
        </w:r>
      </w:hyperlink>
      <w:r w:rsidRPr="00B90BF8">
        <w:rPr>
          <w:rFonts w:asciiTheme="minorBidi" w:hAnsiTheme="minorBidi" w:cstheme="minorBidi"/>
          <w:sz w:val="18"/>
          <w:szCs w:val="18"/>
          <w:lang w:bidi="ru-RU"/>
        </w:rPr>
        <w:t>.</w:t>
      </w:r>
      <w:hyperlink r:id="rId5" w:history="1">
        <w:r w:rsidRPr="00B90BF8">
          <w:rPr>
            <w:rStyle w:val="Hyperlink"/>
            <w:rFonts w:asciiTheme="minorBidi" w:hAnsiTheme="minorBidi" w:cstheme="minorBidi"/>
            <w:sz w:val="18"/>
            <w:szCs w:val="18"/>
            <w:lang w:bidi="ru-RU"/>
          </w:rPr>
          <w:t xml:space="preserve"> и </w:t>
        </w:r>
        <w:hyperlink r:id="rId6" w:history="1">
          <w:r w:rsidRPr="00B90BF8">
            <w:rPr>
              <w:rStyle w:val="Hyperlink"/>
              <w:rFonts w:asciiTheme="minorBidi" w:hAnsiTheme="minorBidi" w:cstheme="minorBidi"/>
              <w:sz w:val="18"/>
              <w:szCs w:val="18"/>
              <w:lang w:bidi="ru-RU"/>
            </w:rPr>
            <w:t>LHE/21/16.COM/INF.10 Rev.</w:t>
          </w:r>
        </w:hyperlink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28BE" w14:textId="77777777" w:rsidR="00E00A66" w:rsidRPr="00C23A97" w:rsidRDefault="00E00A66" w:rsidP="00C5776D">
    <w:pPr>
      <w:pStyle w:val="Header"/>
      <w:rPr>
        <w:rFonts w:ascii="Arial" w:hAnsi="Arial" w:cs="Arial"/>
        <w:lang w:val="en-GB"/>
      </w:rPr>
    </w:pPr>
    <w:r>
      <w:rPr>
        <w:rFonts w:ascii="Arial" w:eastAsia="Arial" w:hAnsi="Arial" w:cs="Arial"/>
        <w:sz w:val="20"/>
        <w:szCs w:val="20"/>
        <w:lang w:bidi="ru-RU"/>
      </w:rPr>
      <w:t xml:space="preserve">LHE/26/11.GA/6 – страница </w:t>
    </w:r>
    <w:r w:rsidRPr="00C23A97">
      <w:rPr>
        <w:rStyle w:val="PageNumber"/>
        <w:rFonts w:ascii="Arial" w:eastAsia="Arial" w:hAnsi="Arial" w:cs="Arial"/>
        <w:sz w:val="20"/>
        <w:szCs w:val="20"/>
        <w:lang w:bidi="ru-RU"/>
      </w:rPr>
      <w:fldChar w:fldCharType="begin"/>
    </w:r>
    <w:r w:rsidRPr="00C23A97">
      <w:rPr>
        <w:rStyle w:val="PageNumber"/>
        <w:rFonts w:ascii="Arial" w:eastAsia="Arial" w:hAnsi="Arial" w:cs="Arial"/>
        <w:sz w:val="20"/>
        <w:szCs w:val="20"/>
        <w:lang w:bidi="ru-RU"/>
      </w:rPr>
      <w:instrText xml:space="preserve"> PAGE </w:instrText>
    </w:r>
    <w:r w:rsidRPr="00C23A97">
      <w:rPr>
        <w:rStyle w:val="PageNumber"/>
        <w:rFonts w:ascii="Arial" w:eastAsia="Arial" w:hAnsi="Arial" w:cs="Arial"/>
        <w:sz w:val="20"/>
        <w:szCs w:val="20"/>
        <w:lang w:bidi="ru-RU"/>
      </w:rPr>
      <w:fldChar w:fldCharType="separate"/>
    </w:r>
    <w:r>
      <w:rPr>
        <w:rStyle w:val="PageNumber"/>
        <w:rFonts w:ascii="Arial" w:eastAsia="Arial" w:hAnsi="Arial" w:cs="Arial"/>
        <w:noProof/>
        <w:sz w:val="20"/>
        <w:szCs w:val="20"/>
        <w:lang w:bidi="ru-RU"/>
      </w:rPr>
      <w:t>2</w:t>
    </w:r>
    <w:r w:rsidRPr="00C23A97">
      <w:rPr>
        <w:rStyle w:val="PageNumber"/>
        <w:rFonts w:ascii="Arial" w:eastAsia="Arial" w:hAnsi="Arial" w:cs="Arial"/>
        <w:sz w:val="20"/>
        <w:szCs w:val="20"/>
        <w:lang w:bidi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135D" w14:textId="77777777" w:rsidR="00E00A66" w:rsidRPr="0063300C" w:rsidRDefault="00E00A66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eastAsia="Arial" w:hAnsi="Arial" w:cs="Arial"/>
        <w:sz w:val="20"/>
        <w:szCs w:val="20"/>
        <w:lang w:bidi="ru-RU"/>
      </w:rPr>
      <w:t xml:space="preserve">LHE/26/11.GA/6 – страница </w:t>
    </w:r>
    <w:r w:rsidRPr="0063300C">
      <w:rPr>
        <w:rStyle w:val="PageNumber"/>
        <w:rFonts w:ascii="Arial" w:eastAsia="Arial" w:hAnsi="Arial" w:cs="Arial"/>
        <w:sz w:val="20"/>
        <w:szCs w:val="20"/>
        <w:lang w:bidi="ru-RU"/>
      </w:rPr>
      <w:fldChar w:fldCharType="begin"/>
    </w:r>
    <w:r w:rsidRPr="0063300C">
      <w:rPr>
        <w:rStyle w:val="PageNumber"/>
        <w:rFonts w:ascii="Arial" w:eastAsia="Arial" w:hAnsi="Arial" w:cs="Arial"/>
        <w:sz w:val="20"/>
        <w:szCs w:val="20"/>
        <w:lang w:bidi="ru-RU"/>
      </w:rPr>
      <w:instrText xml:space="preserve"> PAGE </w:instrText>
    </w:r>
    <w:r w:rsidRPr="0063300C">
      <w:rPr>
        <w:rStyle w:val="PageNumber"/>
        <w:rFonts w:ascii="Arial" w:eastAsia="Arial" w:hAnsi="Arial" w:cs="Arial"/>
        <w:sz w:val="20"/>
        <w:szCs w:val="20"/>
        <w:lang w:bidi="ru-RU"/>
      </w:rPr>
      <w:fldChar w:fldCharType="separate"/>
    </w:r>
    <w:r>
      <w:rPr>
        <w:rStyle w:val="PageNumber"/>
        <w:rFonts w:ascii="Arial" w:eastAsia="Arial" w:hAnsi="Arial" w:cs="Arial"/>
        <w:noProof/>
        <w:sz w:val="20"/>
        <w:szCs w:val="20"/>
        <w:lang w:bidi="ru-RU"/>
      </w:rPr>
      <w:t>3</w:t>
    </w:r>
    <w:r w:rsidRPr="0063300C">
      <w:rPr>
        <w:rStyle w:val="PageNumber"/>
        <w:rFonts w:ascii="Arial" w:eastAsia="Arial" w:hAnsi="Arial" w:cs="Arial"/>
        <w:sz w:val="20"/>
        <w:szCs w:val="20"/>
        <w:lang w:bidi="ru-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F4C1" w14:textId="77777777" w:rsidR="00E00A66" w:rsidRPr="00E95AE2" w:rsidRDefault="00E00A66">
    <w:pPr>
      <w:pStyle w:val="Header"/>
      <w:rPr>
        <w:sz w:val="22"/>
        <w:szCs w:val="22"/>
        <w:lang w:val="en-GB"/>
      </w:rPr>
    </w:pPr>
    <w:r>
      <w:rPr>
        <w:noProof/>
        <w:lang w:bidi="ru-RU"/>
      </w:rPr>
      <w:drawing>
        <wp:anchor distT="0" distB="0" distL="114300" distR="114300" simplePos="0" relativeHeight="251661312" behindDoc="0" locked="0" layoutInCell="1" allowOverlap="1" wp14:anchorId="78689A11" wp14:editId="6D2638A7">
          <wp:simplePos x="0" y="0"/>
          <wp:positionH relativeFrom="margin">
            <wp:align>left</wp:align>
          </wp:positionH>
          <wp:positionV relativeFrom="paragraph">
            <wp:posOffset>92710</wp:posOffset>
          </wp:positionV>
          <wp:extent cx="1567815" cy="134556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08859A" w14:textId="77777777" w:rsidR="00E00A66" w:rsidRPr="00D7105A" w:rsidRDefault="00E00A66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eastAsia="Arial" w:hAnsi="Arial" w:cs="Arial"/>
        <w:b/>
        <w:sz w:val="44"/>
        <w:szCs w:val="44"/>
        <w:lang w:bidi="ru-RU"/>
      </w:rPr>
      <w:t>11 GA</w:t>
    </w:r>
  </w:p>
  <w:p w14:paraId="16FA3798" w14:textId="77777777" w:rsidR="00E00A66" w:rsidRPr="00D7105A" w:rsidRDefault="00E00A66" w:rsidP="00C5776D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eastAsia="Arial" w:hAnsi="Arial" w:cs="Arial"/>
        <w:b/>
        <w:sz w:val="22"/>
        <w:szCs w:val="22"/>
        <w:lang w:bidi="ru-RU"/>
      </w:rPr>
      <w:t>LHE/26/11.GA/6</w:t>
    </w:r>
  </w:p>
  <w:p w14:paraId="1833831C" w14:textId="77777777" w:rsidR="00E00A66" w:rsidRPr="00D7105A" w:rsidRDefault="00E00A66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eastAsia="Arial" w:hAnsi="Arial" w:cs="Arial"/>
        <w:b/>
        <w:sz w:val="22"/>
        <w:szCs w:val="22"/>
        <w:lang w:bidi="ru-RU"/>
      </w:rPr>
      <w:t>Париж, 18 мая 2026 г.</w:t>
    </w:r>
  </w:p>
  <w:p w14:paraId="0B398831" w14:textId="77777777" w:rsidR="00E00A66" w:rsidRPr="00F32C23" w:rsidRDefault="00E00A66" w:rsidP="00962034">
    <w:pPr>
      <w:spacing w:after="120"/>
      <w:jc w:val="right"/>
      <w:rPr>
        <w:rFonts w:ascii="Arial" w:hAnsi="Arial" w:cs="Arial"/>
        <w:b/>
        <w:sz w:val="22"/>
        <w:szCs w:val="22"/>
        <w:lang w:val="en-GB"/>
      </w:rPr>
    </w:pPr>
    <w:r w:rsidRPr="00F32C23">
      <w:rPr>
        <w:rFonts w:ascii="Arial" w:eastAsia="Arial" w:hAnsi="Arial" w:cs="Arial"/>
        <w:b/>
        <w:sz w:val="22"/>
        <w:szCs w:val="22"/>
        <w:lang w:bidi="ru-RU"/>
      </w:rPr>
      <w:t>Оригинал: английский</w:t>
    </w:r>
  </w:p>
  <w:p w14:paraId="392A6A10" w14:textId="77777777" w:rsidR="00E00A66" w:rsidRPr="00E95AE2" w:rsidRDefault="00E00A66">
    <w:pPr>
      <w:pStyle w:val="Header"/>
      <w:rPr>
        <w:sz w:val="22"/>
        <w:szCs w:val="22"/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8A91" w14:textId="5B986DC2" w:rsidR="005E285E" w:rsidRPr="00E00A66" w:rsidRDefault="005E285E" w:rsidP="00C5776D">
    <w:pPr>
      <w:pStyle w:val="Header"/>
      <w:rPr>
        <w:rFonts w:ascii="Arial" w:hAnsi="Arial" w:cs="Arial"/>
        <w:vanish/>
      </w:rPr>
    </w:pPr>
    <w:r w:rsidRPr="00E00A66">
      <w:rPr>
        <w:rFonts w:ascii="Arial" w:hAnsi="Arial"/>
        <w:vanish/>
        <w:sz w:val="20"/>
        <w:lang w:eastAsia="en-US"/>
      </w:rPr>
      <w:t>LHE/2</w:t>
    </w:r>
    <w:r w:rsidRPr="00E00A66">
      <w:rPr>
        <w:rFonts w:ascii="Arial" w:hAnsi="Arial"/>
        <w:vanish/>
        <w:sz w:val="20"/>
        <w:lang w:val="en-GB" w:eastAsia="en-GB" w:bidi="en-GB"/>
      </w:rPr>
      <w:t>6</w:t>
    </w:r>
    <w:r w:rsidRPr="00E00A66">
      <w:rPr>
        <w:rFonts w:ascii="Arial" w:hAnsi="Arial"/>
        <w:vanish/>
        <w:sz w:val="20"/>
        <w:lang w:eastAsia="en-US"/>
      </w:rPr>
      <w:t>/1</w:t>
    </w:r>
    <w:r w:rsidRPr="00E00A66">
      <w:rPr>
        <w:rFonts w:ascii="Arial" w:hAnsi="Arial"/>
        <w:vanish/>
        <w:sz w:val="20"/>
        <w:lang w:val="en-GB" w:eastAsia="en-GB" w:bidi="en-GB"/>
      </w:rPr>
      <w:t>1</w:t>
    </w:r>
    <w:r w:rsidRPr="00E00A66">
      <w:rPr>
        <w:rFonts w:ascii="Arial" w:hAnsi="Arial"/>
        <w:vanish/>
        <w:sz w:val="20"/>
        <w:lang w:eastAsia="en-US"/>
      </w:rPr>
      <w:t>.GA/</w:t>
    </w:r>
    <w:r w:rsidR="00E00A66" w:rsidRPr="00E00A66">
      <w:rPr>
        <w:rFonts w:ascii="Arial" w:hAnsi="Arial"/>
        <w:vanish/>
        <w:sz w:val="20"/>
        <w:lang w:val="en-US" w:eastAsia="en-US" w:bidi="en-US"/>
      </w:rPr>
      <w:t>6</w:t>
    </w:r>
    <w:r w:rsidRPr="00E00A66">
      <w:rPr>
        <w:rFonts w:ascii="Arial" w:hAnsi="Arial"/>
        <w:vanish/>
        <w:sz w:val="20"/>
        <w:lang w:eastAsia="en-US"/>
      </w:rPr>
      <w:t xml:space="preserve"> – страница </w:t>
    </w:r>
    <w:r w:rsidRPr="00E00A66">
      <w:rPr>
        <w:rStyle w:val="PageNumber"/>
        <w:rFonts w:ascii="Arial" w:eastAsiaTheme="majorEastAsia" w:hAnsi="Arial" w:cs="Arial"/>
        <w:vanish/>
        <w:sz w:val="20"/>
        <w:lang w:eastAsia="en-US"/>
      </w:rPr>
      <w:fldChar w:fldCharType="begin"/>
    </w:r>
    <w:r w:rsidRPr="00E00A66">
      <w:rPr>
        <w:rStyle w:val="PageNumber"/>
        <w:rFonts w:ascii="Arial" w:eastAsiaTheme="majorEastAsia" w:hAnsi="Arial" w:cs="Arial"/>
        <w:vanish/>
        <w:sz w:val="20"/>
        <w:lang w:eastAsia="en-US"/>
      </w:rPr>
      <w:instrText xml:space="preserve"> PAGE </w:instrText>
    </w:r>
    <w:r w:rsidRPr="00E00A66">
      <w:rPr>
        <w:rStyle w:val="PageNumber"/>
        <w:rFonts w:ascii="Arial" w:eastAsiaTheme="majorEastAsia" w:hAnsi="Arial" w:cs="Arial"/>
        <w:vanish/>
        <w:sz w:val="20"/>
        <w:lang w:eastAsia="en-US"/>
      </w:rPr>
      <w:fldChar w:fldCharType="separate"/>
    </w:r>
    <w:r w:rsidRPr="00E00A66">
      <w:rPr>
        <w:rStyle w:val="PageNumber"/>
        <w:rFonts w:ascii="Arial" w:eastAsiaTheme="majorEastAsia" w:hAnsi="Arial" w:cs="Arial"/>
        <w:vanish/>
        <w:sz w:val="20"/>
        <w:lang w:eastAsia="en-US"/>
      </w:rPr>
      <w:t>2</w:t>
    </w:r>
    <w:r w:rsidRPr="00E00A66">
      <w:rPr>
        <w:rStyle w:val="PageNumber"/>
        <w:rFonts w:ascii="Arial" w:eastAsiaTheme="majorEastAsia" w:hAnsi="Arial" w:cs="Arial"/>
        <w:vanish/>
        <w:sz w:val="20"/>
        <w:lang w:eastAsia="en-US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5B53" w14:textId="779F3050" w:rsidR="005E285E" w:rsidRPr="00E00A66" w:rsidRDefault="005E285E" w:rsidP="00C5776D">
    <w:pPr>
      <w:pStyle w:val="Header"/>
      <w:jc w:val="right"/>
      <w:rPr>
        <w:rFonts w:ascii="Arial" w:hAnsi="Arial" w:cs="Arial"/>
        <w:vanish/>
      </w:rPr>
    </w:pPr>
    <w:r w:rsidRPr="00E00A66">
      <w:rPr>
        <w:rFonts w:ascii="Arial" w:hAnsi="Arial"/>
        <w:vanish/>
        <w:sz w:val="20"/>
        <w:lang w:eastAsia="en-US"/>
      </w:rPr>
      <w:t>LHE/2</w:t>
    </w:r>
    <w:r w:rsidRPr="00E00A66">
      <w:rPr>
        <w:rFonts w:ascii="Arial" w:hAnsi="Arial"/>
        <w:vanish/>
        <w:sz w:val="20"/>
        <w:lang w:val="en-GB" w:eastAsia="en-GB" w:bidi="en-GB"/>
      </w:rPr>
      <w:t>6</w:t>
    </w:r>
    <w:r w:rsidRPr="00E00A66">
      <w:rPr>
        <w:rFonts w:ascii="Arial" w:hAnsi="Arial"/>
        <w:vanish/>
        <w:sz w:val="20"/>
        <w:lang w:eastAsia="en-US"/>
      </w:rPr>
      <w:t>/1</w:t>
    </w:r>
    <w:r w:rsidRPr="00E00A66">
      <w:rPr>
        <w:rFonts w:ascii="Arial" w:hAnsi="Arial"/>
        <w:vanish/>
        <w:sz w:val="20"/>
        <w:lang w:val="en-GB" w:eastAsia="en-GB" w:bidi="en-GB"/>
      </w:rPr>
      <w:t>1</w:t>
    </w:r>
    <w:r w:rsidRPr="00E00A66">
      <w:rPr>
        <w:rFonts w:ascii="Arial" w:hAnsi="Arial"/>
        <w:vanish/>
        <w:sz w:val="20"/>
        <w:lang w:eastAsia="en-US"/>
      </w:rPr>
      <w:t>.GA/</w:t>
    </w:r>
    <w:r w:rsidR="00E00A66" w:rsidRPr="00E00A66">
      <w:rPr>
        <w:rFonts w:ascii="Arial" w:hAnsi="Arial"/>
        <w:vanish/>
        <w:sz w:val="20"/>
        <w:lang w:val="en-US" w:eastAsia="en-US" w:bidi="en-US"/>
      </w:rPr>
      <w:t>6</w:t>
    </w:r>
    <w:r w:rsidRPr="00E00A66">
      <w:rPr>
        <w:rFonts w:ascii="Arial" w:hAnsi="Arial"/>
        <w:vanish/>
        <w:sz w:val="20"/>
        <w:lang w:eastAsia="en-US"/>
      </w:rPr>
      <w:t xml:space="preserve"> – страница </w:t>
    </w:r>
    <w:r w:rsidRPr="00E00A66">
      <w:rPr>
        <w:rStyle w:val="PageNumber"/>
        <w:rFonts w:ascii="Arial" w:eastAsiaTheme="majorEastAsia" w:hAnsi="Arial" w:cs="Arial"/>
        <w:vanish/>
        <w:sz w:val="20"/>
        <w:lang w:eastAsia="en-US"/>
      </w:rPr>
      <w:fldChar w:fldCharType="begin"/>
    </w:r>
    <w:r w:rsidRPr="00E00A66">
      <w:rPr>
        <w:rStyle w:val="PageNumber"/>
        <w:rFonts w:ascii="Arial" w:eastAsiaTheme="majorEastAsia" w:hAnsi="Arial" w:cs="Arial"/>
        <w:vanish/>
        <w:sz w:val="20"/>
        <w:lang w:eastAsia="en-US"/>
      </w:rPr>
      <w:instrText xml:space="preserve"> PAGE </w:instrText>
    </w:r>
    <w:r w:rsidRPr="00E00A66">
      <w:rPr>
        <w:rStyle w:val="PageNumber"/>
        <w:rFonts w:ascii="Arial" w:eastAsiaTheme="majorEastAsia" w:hAnsi="Arial" w:cs="Arial"/>
        <w:vanish/>
        <w:sz w:val="20"/>
        <w:lang w:eastAsia="en-US"/>
      </w:rPr>
      <w:fldChar w:fldCharType="separate"/>
    </w:r>
    <w:r w:rsidRPr="00E00A66">
      <w:rPr>
        <w:rStyle w:val="PageNumber"/>
        <w:rFonts w:ascii="Arial" w:eastAsiaTheme="majorEastAsia" w:hAnsi="Arial" w:cs="Arial"/>
        <w:vanish/>
        <w:sz w:val="20"/>
        <w:lang w:eastAsia="en-US"/>
      </w:rPr>
      <w:t>3</w:t>
    </w:r>
    <w:r w:rsidRPr="00E00A66">
      <w:rPr>
        <w:rStyle w:val="PageNumber"/>
        <w:rFonts w:ascii="Arial" w:eastAsiaTheme="majorEastAsia" w:hAnsi="Arial" w:cs="Arial"/>
        <w:vanish/>
        <w:sz w:val="20"/>
        <w:lang w:eastAsia="en-US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7436" w14:textId="77777777" w:rsidR="005E285E" w:rsidRPr="00E95AE2" w:rsidRDefault="005E285E">
    <w:pPr>
      <w:pStyle w:val="Header"/>
      <w:rPr>
        <w:sz w:val="22"/>
        <w:szCs w:val="22"/>
      </w:rPr>
    </w:pPr>
    <w:r>
      <w:rPr>
        <w:noProof/>
        <w:lang w:bidi="ru-RU"/>
      </w:rPr>
      <w:drawing>
        <wp:anchor distT="0" distB="0" distL="114300" distR="114300" simplePos="0" relativeHeight="251659264" behindDoc="0" locked="0" layoutInCell="1" allowOverlap="1" wp14:anchorId="723B2538" wp14:editId="620FBB05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677600" cy="1440000"/>
          <wp:effectExtent l="0" t="0" r="0" b="8255"/>
          <wp:wrapSquare wrapText="bothSides"/>
          <wp:docPr id="2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23A9F" w14:textId="76095D9D" w:rsidR="005E285E" w:rsidRPr="00E00A66" w:rsidRDefault="005E285E" w:rsidP="00C5776D">
    <w:pPr>
      <w:pStyle w:val="Header"/>
      <w:spacing w:after="520"/>
      <w:jc w:val="right"/>
      <w:rPr>
        <w:rFonts w:ascii="Arial" w:hAnsi="Arial" w:cs="Arial"/>
        <w:b/>
        <w:vanish/>
        <w:sz w:val="44"/>
        <w:szCs w:val="44"/>
      </w:rPr>
    </w:pPr>
    <w:r w:rsidRPr="00E00A66">
      <w:rPr>
        <w:rFonts w:ascii="Arial" w:hAnsi="Arial"/>
        <w:b/>
        <w:vanish/>
        <w:sz w:val="44"/>
        <w:lang w:eastAsia="en-US"/>
      </w:rPr>
      <w:t>1</w:t>
    </w:r>
    <w:r w:rsidRPr="00E00A66">
      <w:rPr>
        <w:rFonts w:ascii="Arial" w:hAnsi="Arial"/>
        <w:b/>
        <w:vanish/>
        <w:sz w:val="44"/>
        <w:lang w:val="it-IT" w:eastAsia="it-IT" w:bidi="it-IT"/>
      </w:rPr>
      <w:t>1</w:t>
    </w:r>
    <w:r w:rsidRPr="00E00A66">
      <w:rPr>
        <w:rFonts w:ascii="Arial" w:hAnsi="Arial"/>
        <w:b/>
        <w:vanish/>
        <w:sz w:val="44"/>
        <w:lang w:eastAsia="en-US"/>
      </w:rPr>
      <w:t xml:space="preserve"> GA</w:t>
    </w:r>
  </w:p>
  <w:p w14:paraId="61CFBB1A" w14:textId="6C3DB0FC" w:rsidR="005E285E" w:rsidRPr="00E00A66" w:rsidRDefault="005E285E" w:rsidP="00C5776D">
    <w:pPr>
      <w:jc w:val="right"/>
      <w:rPr>
        <w:rFonts w:ascii="Arial" w:hAnsi="Arial" w:cs="Arial"/>
        <w:b/>
        <w:vanish/>
        <w:sz w:val="22"/>
        <w:szCs w:val="22"/>
        <w:lang w:val="en-US"/>
      </w:rPr>
    </w:pPr>
    <w:r w:rsidRPr="00E00A66">
      <w:rPr>
        <w:rFonts w:ascii="Arial" w:hAnsi="Arial"/>
        <w:b/>
        <w:vanish/>
        <w:sz w:val="22"/>
        <w:lang w:eastAsia="en-US"/>
      </w:rPr>
      <w:t>LHE/2</w:t>
    </w:r>
    <w:r w:rsidRPr="00E00A66">
      <w:rPr>
        <w:rFonts w:ascii="Arial" w:hAnsi="Arial"/>
        <w:b/>
        <w:vanish/>
        <w:sz w:val="22"/>
        <w:lang w:val="it-IT" w:eastAsia="it-IT" w:bidi="it-IT"/>
      </w:rPr>
      <w:t>6</w:t>
    </w:r>
    <w:r w:rsidRPr="00E00A66">
      <w:rPr>
        <w:rFonts w:ascii="Arial" w:hAnsi="Arial"/>
        <w:b/>
        <w:vanish/>
        <w:sz w:val="22"/>
        <w:lang w:eastAsia="en-US"/>
      </w:rPr>
      <w:t>/1</w:t>
    </w:r>
    <w:r w:rsidRPr="00E00A66">
      <w:rPr>
        <w:rFonts w:ascii="Arial" w:hAnsi="Arial"/>
        <w:b/>
        <w:vanish/>
        <w:sz w:val="22"/>
        <w:lang w:val="it-IT" w:eastAsia="it-IT" w:bidi="it-IT"/>
      </w:rPr>
      <w:t>1</w:t>
    </w:r>
    <w:r w:rsidRPr="00E00A66">
      <w:rPr>
        <w:rFonts w:ascii="Arial" w:hAnsi="Arial"/>
        <w:b/>
        <w:vanish/>
        <w:sz w:val="22"/>
        <w:lang w:eastAsia="en-US"/>
      </w:rPr>
      <w:t>.GA/</w:t>
    </w:r>
    <w:r w:rsidR="00E00A66" w:rsidRPr="00E00A66">
      <w:rPr>
        <w:rFonts w:ascii="Arial" w:hAnsi="Arial"/>
        <w:b/>
        <w:vanish/>
        <w:sz w:val="22"/>
        <w:lang w:val="en-US" w:eastAsia="en-US" w:bidi="en-US"/>
      </w:rPr>
      <w:t>6</w:t>
    </w:r>
  </w:p>
  <w:p w14:paraId="7949D060" w14:textId="0632CEBB" w:rsidR="005E285E" w:rsidRPr="00E00A66" w:rsidRDefault="005E285E" w:rsidP="00655736">
    <w:pPr>
      <w:jc w:val="right"/>
      <w:rPr>
        <w:rFonts w:ascii="Arial" w:eastAsiaTheme="minorEastAsia" w:hAnsi="Arial" w:cs="Arial"/>
        <w:b/>
        <w:vanish/>
        <w:sz w:val="22"/>
        <w:szCs w:val="22"/>
        <w:lang w:val="it-IT"/>
      </w:rPr>
    </w:pPr>
    <w:r w:rsidRPr="00E00A66">
      <w:rPr>
        <w:rFonts w:ascii="Arial" w:hAnsi="Arial"/>
        <w:b/>
        <w:vanish/>
        <w:sz w:val="22"/>
        <w:lang w:eastAsia="en-US"/>
      </w:rPr>
      <w:t>Париж, 18 мая 202</w:t>
    </w:r>
    <w:r w:rsidRPr="00E00A66">
      <w:rPr>
        <w:rFonts w:ascii="Arial" w:hAnsi="Arial"/>
        <w:b/>
        <w:vanish/>
        <w:sz w:val="22"/>
        <w:lang w:val="it-IT" w:eastAsia="it-IT" w:bidi="it-IT"/>
      </w:rPr>
      <w:t xml:space="preserve">6 </w:t>
    </w:r>
    <w:r w:rsidR="00D1163A" w:rsidRPr="00E00A66">
      <w:rPr>
        <w:rFonts w:ascii="Arial" w:hAnsi="Arial" w:cs="Arial"/>
        <w:b/>
        <w:vanish/>
        <w:sz w:val="22"/>
        <w:szCs w:val="22"/>
        <w:lang w:eastAsia="en-US"/>
      </w:rPr>
      <w:t>г.</w:t>
    </w:r>
  </w:p>
  <w:p w14:paraId="1FCBDD5A" w14:textId="77777777" w:rsidR="005E285E" w:rsidRPr="00E00A66" w:rsidRDefault="005E285E" w:rsidP="00962034">
    <w:pPr>
      <w:spacing w:after="120"/>
      <w:jc w:val="right"/>
      <w:rPr>
        <w:rFonts w:ascii="Arial" w:hAnsi="Arial" w:cs="Arial"/>
        <w:b/>
        <w:vanish/>
        <w:sz w:val="22"/>
        <w:szCs w:val="22"/>
      </w:rPr>
    </w:pPr>
    <w:r w:rsidRPr="00E00A66">
      <w:rPr>
        <w:rFonts w:ascii="Arial" w:hAnsi="Arial"/>
        <w:b/>
        <w:vanish/>
        <w:sz w:val="22"/>
        <w:lang w:eastAsia="en-US"/>
      </w:rPr>
      <w:t>Оригинал: английский</w:t>
    </w:r>
  </w:p>
  <w:p w14:paraId="6AF77D84" w14:textId="77777777" w:rsidR="005E285E" w:rsidRPr="00D1163A" w:rsidRDefault="005E285E">
    <w:pPr>
      <w:pStyle w:val="Header"/>
      <w:rPr>
        <w:sz w:val="22"/>
        <w:szCs w:val="22"/>
      </w:rPr>
    </w:pPr>
  </w:p>
  <w:p w14:paraId="33971728" w14:textId="77777777" w:rsidR="005E285E" w:rsidRPr="00D1163A" w:rsidRDefault="005E285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D70"/>
    <w:multiLevelType w:val="hybridMultilevel"/>
    <w:tmpl w:val="61902B36"/>
    <w:lvl w:ilvl="0" w:tplc="040C0013">
      <w:start w:val="1"/>
      <w:numFmt w:val="upperRoman"/>
      <w:lvlText w:val="%1."/>
      <w:lvlJc w:val="righ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35B0026"/>
    <w:multiLevelType w:val="hybridMultilevel"/>
    <w:tmpl w:val="D21E4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6C5391B"/>
    <w:multiLevelType w:val="hybridMultilevel"/>
    <w:tmpl w:val="D9F8A3A2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33764642">
    <w:abstractNumId w:val="1"/>
  </w:num>
  <w:num w:numId="2" w16cid:durableId="1246129">
    <w:abstractNumId w:val="3"/>
  </w:num>
  <w:num w:numId="3" w16cid:durableId="1263951029">
    <w:abstractNumId w:val="7"/>
  </w:num>
  <w:num w:numId="4" w16cid:durableId="540821319">
    <w:abstractNumId w:val="0"/>
  </w:num>
  <w:num w:numId="5" w16cid:durableId="822628298">
    <w:abstractNumId w:val="5"/>
  </w:num>
  <w:num w:numId="6" w16cid:durableId="699629408">
    <w:abstractNumId w:val="2"/>
  </w:num>
  <w:num w:numId="7" w16cid:durableId="1198470061">
    <w:abstractNumId w:val="6"/>
  </w:num>
  <w:num w:numId="8" w16cid:durableId="2077506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5E"/>
    <w:rsid w:val="00015A42"/>
    <w:rsid w:val="00062305"/>
    <w:rsid w:val="000819FD"/>
    <w:rsid w:val="00087335"/>
    <w:rsid w:val="001048CB"/>
    <w:rsid w:val="0010599F"/>
    <w:rsid w:val="00176AD9"/>
    <w:rsid w:val="00192F1C"/>
    <w:rsid w:val="00193F61"/>
    <w:rsid w:val="001A32D3"/>
    <w:rsid w:val="001C297D"/>
    <w:rsid w:val="001F2076"/>
    <w:rsid w:val="00216487"/>
    <w:rsid w:val="002531AC"/>
    <w:rsid w:val="00285CB9"/>
    <w:rsid w:val="00321DF5"/>
    <w:rsid w:val="0036379B"/>
    <w:rsid w:val="003A686B"/>
    <w:rsid w:val="003B62E0"/>
    <w:rsid w:val="003E2FDF"/>
    <w:rsid w:val="00414A14"/>
    <w:rsid w:val="004D3A23"/>
    <w:rsid w:val="004F3DD7"/>
    <w:rsid w:val="00504DF0"/>
    <w:rsid w:val="0056536A"/>
    <w:rsid w:val="00572960"/>
    <w:rsid w:val="005847BE"/>
    <w:rsid w:val="005A1126"/>
    <w:rsid w:val="005A3565"/>
    <w:rsid w:val="005B70F0"/>
    <w:rsid w:val="005E285E"/>
    <w:rsid w:val="006237BF"/>
    <w:rsid w:val="007516A6"/>
    <w:rsid w:val="00797947"/>
    <w:rsid w:val="00817902"/>
    <w:rsid w:val="008E0382"/>
    <w:rsid w:val="009236F6"/>
    <w:rsid w:val="00962DF9"/>
    <w:rsid w:val="009E7D47"/>
    <w:rsid w:val="00A45700"/>
    <w:rsid w:val="00AD501C"/>
    <w:rsid w:val="00AF45CE"/>
    <w:rsid w:val="00B33648"/>
    <w:rsid w:val="00B37208"/>
    <w:rsid w:val="00B63D61"/>
    <w:rsid w:val="00B948AD"/>
    <w:rsid w:val="00BB4645"/>
    <w:rsid w:val="00BD7829"/>
    <w:rsid w:val="00D1163A"/>
    <w:rsid w:val="00D150C1"/>
    <w:rsid w:val="00D62933"/>
    <w:rsid w:val="00DE2916"/>
    <w:rsid w:val="00DF2D26"/>
    <w:rsid w:val="00E00A66"/>
    <w:rsid w:val="00E33BD2"/>
    <w:rsid w:val="00E403BE"/>
    <w:rsid w:val="00EA433E"/>
    <w:rsid w:val="00EC2489"/>
    <w:rsid w:val="00ED0CB9"/>
    <w:rsid w:val="00F04450"/>
    <w:rsid w:val="00F373A1"/>
    <w:rsid w:val="00FD3D59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8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85E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8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8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8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8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85E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Lapis Bulleted List,Dot pt,F5 List Paragraph,No Spacing1,List Paragraph Char Char Char,Indicator Text,Numbered Para 1,Bullet 1,List Paragraph12,Bullet Points,MAIN CONTENT,List Paragraph1,Normal bullet 2"/>
    <w:basedOn w:val="Normal"/>
    <w:link w:val="ListParagraphChar"/>
    <w:uiPriority w:val="34"/>
    <w:qFormat/>
    <w:rsid w:val="005E2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8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E28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E285E"/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paragraph" w:customStyle="1" w:styleId="Sansinterligne2">
    <w:name w:val="Sans interligne2"/>
    <w:uiPriority w:val="1"/>
    <w:rsid w:val="005E285E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PageNumber">
    <w:name w:val="page number"/>
    <w:basedOn w:val="DefaultParagraphFont"/>
    <w:semiHidden/>
    <w:rsid w:val="005E285E"/>
  </w:style>
  <w:style w:type="paragraph" w:customStyle="1" w:styleId="Sansinterligne1">
    <w:name w:val="Sans interligne1"/>
    <w:uiPriority w:val="1"/>
    <w:rsid w:val="005E285E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OMPara">
    <w:name w:val="COM Para"/>
    <w:qFormat/>
    <w:rsid w:val="005E285E"/>
    <w:pPr>
      <w:numPr>
        <w:numId w:val="1"/>
      </w:numPr>
      <w:spacing w:after="120" w:line="240" w:lineRule="auto"/>
    </w:pPr>
    <w:rPr>
      <w:rFonts w:ascii="Arial" w:eastAsia="Times New Roman" w:hAnsi="Arial" w:cs="Arial"/>
      <w:snapToGrid w:val="0"/>
      <w:kern w:val="0"/>
      <w:sz w:val="22"/>
      <w:szCs w:val="22"/>
      <w14:ligatures w14:val="none"/>
    </w:rPr>
  </w:style>
  <w:style w:type="paragraph" w:customStyle="1" w:styleId="COMTitleDecision">
    <w:name w:val="COM Title Decision"/>
    <w:basedOn w:val="Normal"/>
    <w:qFormat/>
    <w:rsid w:val="005E285E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E285E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uiPriority w:val="99"/>
    <w:qFormat/>
    <w:rsid w:val="005E285E"/>
    <w:pPr>
      <w:numPr>
        <w:numId w:val="2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E28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285E"/>
    <w:rPr>
      <w:rFonts w:ascii="Times New Roman" w:eastAsia="Times New Roman" w:hAnsi="Times New Roman" w:cs="Times New Roman"/>
      <w:kern w:val="0"/>
      <w:sz w:val="20"/>
      <w:szCs w:val="20"/>
      <w:lang w:val="ru-RU" w:eastAsia="fr-FR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5E285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E28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5E"/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character" w:styleId="Hyperlink">
    <w:name w:val="Hyperlink"/>
    <w:basedOn w:val="DefaultParagraphFont"/>
    <w:uiPriority w:val="99"/>
    <w:unhideWhenUsed/>
    <w:rsid w:val="00E00A66"/>
    <w:rPr>
      <w:color w:val="467886" w:themeColor="hyperlink"/>
      <w:u w:val="single"/>
    </w:rPr>
  </w:style>
  <w:style w:type="character" w:customStyle="1" w:styleId="ui-provider">
    <w:name w:val="ui-provider"/>
    <w:basedOn w:val="DefaultParagraphFont"/>
    <w:rsid w:val="00E00A66"/>
  </w:style>
  <w:style w:type="paragraph" w:customStyle="1" w:styleId="GAParaResolution">
    <w:name w:val="GA Para Resolution"/>
    <w:basedOn w:val="Normal"/>
    <w:qFormat/>
    <w:rsid w:val="00E00A66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E00A66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fr-FR" w:eastAsia="fr-F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(numbered (a)) Char,Lapis Bulleted List Char,Dot pt Char,F5 List Paragraph Char,No Spacing1 Char,List Paragraph Char Char Char Char,Indicator Text Char,Numbered Para 1 Char,Bullet 1 Char,List Paragraph12 Char"/>
    <w:basedOn w:val="DefaultParagraphFont"/>
    <w:link w:val="ListParagraph"/>
    <w:uiPriority w:val="34"/>
    <w:qFormat/>
    <w:locked/>
    <w:rsid w:val="00E00A66"/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table" w:styleId="TableGrid">
    <w:name w:val="Table Grid"/>
    <w:basedOn w:val="TableNormal"/>
    <w:uiPriority w:val="39"/>
    <w:rsid w:val="00E0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14A1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14A14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C2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h.unesco.org/doc/src/LHE-24-10.GA-Resolutions_RU.docx?v=1721289530" TargetMode="External"/><Relationship Id="rId18" Type="http://schemas.openxmlformats.org/officeDocument/2006/relationships/hyperlink" Target="https://ich.unesco.org/doc/src/LHE-25-20.COM-8_EN.docx?v=1764184365" TargetMode="External"/><Relationship Id="rId26" Type="http://schemas.openxmlformats.org/officeDocument/2006/relationships/hyperlink" Target="https://ich.unesco.org/en/decisions/20.COM/6.C" TargetMode="External"/><Relationship Id="rId39" Type="http://schemas.openxmlformats.org/officeDocument/2006/relationships/hyperlink" Target="https://ich.unesco.org/en/learning-platform-01397" TargetMode="External"/><Relationship Id="rId21" Type="http://schemas.openxmlformats.org/officeDocument/2006/relationships/hyperlink" Target="https://ich.unesco.org/doc/src/LHE-25-20.COM-11_EN.docx?v=1762798796" TargetMode="External"/><Relationship Id="rId34" Type="http://schemas.openxmlformats.org/officeDocument/2006/relationships/hyperlink" Target="https://ich.unesco.org/en/events/preparing-nominations-to-the-lists-and-register-of-the-convention-updated-training-materials-following-the-global-reflection-on-the-listing-mechanisms-2018-2022-01036" TargetMode="External"/><Relationship Id="rId42" Type="http://schemas.openxmlformats.org/officeDocument/2006/relationships/hyperlink" Target="https://ich.unesco.org/doc/src/68292-EN.pdf?v=1761922256" TargetMode="External"/><Relationship Id="rId47" Type="http://schemas.openxmlformats.org/officeDocument/2006/relationships/hyperlink" Target="https://ich.unesco.org/en/Decisions/14.COM/15" TargetMode="External"/><Relationship Id="rId50" Type="http://schemas.openxmlformats.org/officeDocument/2006/relationships/hyperlink" Target="https://ich.unesco.org/en/decisions/20.COM/13" TargetMode="External"/><Relationship Id="rId55" Type="http://schemas.openxmlformats.org/officeDocument/2006/relationships/hyperlink" Target="https://unesdoc.unesco.org/ark:/48223/pf0000395504/PDF/395504eng.pdf.multi" TargetMode="External"/><Relationship Id="rId63" Type="http://schemas.openxmlformats.org/officeDocument/2006/relationships/hyperlink" Target="https://ich.unesco.org/en/events/training-programme-for-the-global-facilitators-network-information-webinar-01031" TargetMode="External"/><Relationship Id="rId68" Type="http://schemas.openxmlformats.org/officeDocument/2006/relationships/hyperlink" Target="https://ich.unesco.org/en/decisions/20.COM/13" TargetMode="External"/><Relationship Id="rId7" Type="http://schemas.openxmlformats.org/officeDocument/2006/relationships/hyperlink" Target="https://ich.unesco.org/doc/src/LHE-24-10.GA-Resolutions_RU.docx?v=1721289530" TargetMode="External"/><Relationship Id="rId71" Type="http://schemas.openxmlformats.org/officeDocument/2006/relationships/hyperlink" Target="https://www.edx.org/course/living-heritage-and-sustainable-develop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ich.unesco.org/en/decisions/17.COM/15" TargetMode="External"/><Relationship Id="rId29" Type="http://schemas.openxmlformats.org/officeDocument/2006/relationships/hyperlink" Target="https://ich.unesco.org/doc/src/LHE-26-11.GA-8_RU.docx" TargetMode="External"/><Relationship Id="rId11" Type="http://schemas.openxmlformats.org/officeDocument/2006/relationships/hyperlink" Target="https://ich.unesco.org/en/schedule-of-statutory-meetings-in-2024-01334" TargetMode="External"/><Relationship Id="rId24" Type="http://schemas.openxmlformats.org/officeDocument/2006/relationships/hyperlink" Target="https://ich.unesco.org/doc/src/LHE-20-8.GA-Resolutions-RU.docx?v=1600965908" TargetMode="External"/><Relationship Id="rId32" Type="http://schemas.openxmlformats.org/officeDocument/2006/relationships/hyperlink" Target="https://capacity-building.ich.unesco.org/local/coursecatalogue/index.php?lang=ru" TargetMode="External"/><Relationship Id="rId37" Type="http://schemas.openxmlformats.org/officeDocument/2006/relationships/hyperlink" Target="https://www.unesco.org/sites/default/files/medias/fichiers/2024/02/WCCAE_UNESCO%20Framework_EN_0.pdf" TargetMode="External"/><Relationship Id="rId40" Type="http://schemas.openxmlformats.org/officeDocument/2006/relationships/hyperlink" Target="https://ich.unesco.org/en/guidance-notes-01383" TargetMode="External"/><Relationship Id="rId45" Type="http://schemas.openxmlformats.org/officeDocument/2006/relationships/hyperlink" Target="https://ich.unesco.org/en/decisions/20.COM/12" TargetMode="External"/><Relationship Id="rId53" Type="http://schemas.openxmlformats.org/officeDocument/2006/relationships/hyperlink" Target="https://www.unesco.org/sites/default/files/medias/fichiers/2025/09/rev%20RU_MONDIACULT_Outcome_Document%20Final%20SENT%20BY%20PAX%2009.09.25%5B96%5D.pdf?hub=171169" TargetMode="External"/><Relationship Id="rId58" Type="http://schemas.openxmlformats.org/officeDocument/2006/relationships/hyperlink" Target="https://ich.unesco.org/en/decisions/20.COM/6.C" TargetMode="External"/><Relationship Id="rId66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s://ich.unesco.org/doc/src/LHE-26-11.GA-9_RU.docx" TargetMode="External"/><Relationship Id="rId23" Type="http://schemas.openxmlformats.org/officeDocument/2006/relationships/hyperlink" Target="https://ich.unesco.org/doc/src/LHE-25-20.COM-8_EN.docx?v=1764184365" TargetMode="External"/><Relationship Id="rId28" Type="http://schemas.openxmlformats.org/officeDocument/2006/relationships/hyperlink" Target="https://ich.unesco.org/en/Decisions/17.COM/11" TargetMode="External"/><Relationship Id="rId36" Type="http://schemas.openxmlformats.org/officeDocument/2006/relationships/hyperlink" Target="https://ich.unesco.org/doc/src/LHE-25-20.COM-INF.13.2_EN.docx?v=1764354075" TargetMode="External"/><Relationship Id="rId49" Type="http://schemas.openxmlformats.org/officeDocument/2006/relationships/hyperlink" Target="https://ich.unesco.org/en/international-day-intangible-cultural-heritage" TargetMode="External"/><Relationship Id="rId57" Type="http://schemas.openxmlformats.org/officeDocument/2006/relationships/hyperlink" Target="https://ich.unesco.org/en/decisions/19.COM/15" TargetMode="External"/><Relationship Id="rId61" Type="http://schemas.openxmlformats.org/officeDocument/2006/relationships/header" Target="header2.xml"/><Relationship Id="rId10" Type="http://schemas.openxmlformats.org/officeDocument/2006/relationships/hyperlink" Target="https://ich.unesco.org/doc/src/LHE-26-11.GA-INF.8_EN.docx" TargetMode="External"/><Relationship Id="rId19" Type="http://schemas.openxmlformats.org/officeDocument/2006/relationships/hyperlink" Target="https://ich.unesco.org/en/decisions/20.COM/8" TargetMode="External"/><Relationship Id="rId31" Type="http://schemas.openxmlformats.org/officeDocument/2006/relationships/hyperlink" Target="https://ich.unesco.org/doc/src/LHE-25-20.COM-INF.13.1_EN.docx?v=1764354790" TargetMode="External"/><Relationship Id="rId44" Type="http://schemas.openxmlformats.org/officeDocument/2006/relationships/hyperlink" Target="https://ich.unesco.org/doc/src/LHE-25-20.COM-12_EN.docx?v=1762807751" TargetMode="External"/><Relationship Id="rId52" Type="http://schemas.openxmlformats.org/officeDocument/2006/relationships/hyperlink" Target="https://www.unesco.org/sites/default/files/medias/fichiers/2022/10/6.MONDIACULT_RU_DRAFT%20FINAL%20DECLARATION.pdf?hub=758" TargetMode="External"/><Relationship Id="rId60" Type="http://schemas.openxmlformats.org/officeDocument/2006/relationships/header" Target="header1.xml"/><Relationship Id="rId65" Type="http://schemas.openxmlformats.org/officeDocument/2006/relationships/header" Target="header5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ch.unesco.org/doc/src/LHE-21-16.COM-INF.10_Rev.-EN.pdf" TargetMode="External"/><Relationship Id="rId14" Type="http://schemas.openxmlformats.org/officeDocument/2006/relationships/hyperlink" Target="https://ich.unesco.org/doc/src/LHE-26-11.GA-5_RU.docx" TargetMode="External"/><Relationship Id="rId22" Type="http://schemas.openxmlformats.org/officeDocument/2006/relationships/hyperlink" Target="https://ich.unesco.org/doc/src/LHE-24-10.GA-Resolutions_RU.docx?v=1721289530" TargetMode="External"/><Relationship Id="rId27" Type="http://schemas.openxmlformats.org/officeDocument/2006/relationships/hyperlink" Target="https://ich.unesco.org/doc/src/LHE-26-11.GA-7_RU.docx" TargetMode="External"/><Relationship Id="rId30" Type="http://schemas.openxmlformats.org/officeDocument/2006/relationships/hyperlink" Target="https://ich.unesco.org/doc/src/LHE-26-11.GA-INF.8_EN.docx" TargetMode="External"/><Relationship Id="rId35" Type="http://schemas.openxmlformats.org/officeDocument/2006/relationships/hyperlink" Target="https://ich.unesco.org/en/events/living-heritage-and-education-training-programme-for-the-global-facilitators-network-01038" TargetMode="External"/><Relationship Id="rId43" Type="http://schemas.openxmlformats.org/officeDocument/2006/relationships/hyperlink" Target="https://ich.unesco.org/doc/src/72796-EN.pdf?v=1769168252" TargetMode="External"/><Relationship Id="rId48" Type="http://schemas.openxmlformats.org/officeDocument/2006/relationships/hyperlink" Target="https://ich.unesco.org/en/accredited-ngos" TargetMode="External"/><Relationship Id="rId56" Type="http://schemas.openxmlformats.org/officeDocument/2006/relationships/hyperlink" Target="https://ich.unesco.org/en/decisions/10.GA/6" TargetMode="External"/><Relationship Id="rId64" Type="http://schemas.openxmlformats.org/officeDocument/2006/relationships/header" Target="header4.xml"/><Relationship Id="rId69" Type="http://schemas.openxmlformats.org/officeDocument/2006/relationships/hyperlink" Target="https://ich.unesco.org/en/committee-documents-and-in-depth-studies-00862" TargetMode="External"/><Relationship Id="rId8" Type="http://schemas.openxmlformats.org/officeDocument/2006/relationships/hyperlink" Target="https://unesdoc.unesco.org/ark:/48223/pf0000397572_rus" TargetMode="External"/><Relationship Id="rId51" Type="http://schemas.openxmlformats.org/officeDocument/2006/relationships/hyperlink" Target="https://ich.unesco.org/en/seoul-vision-01330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ich.unesco.org/en/schedule-of-statutory-meetings-in-2025-01381" TargetMode="External"/><Relationship Id="rId17" Type="http://schemas.openxmlformats.org/officeDocument/2006/relationships/hyperlink" Target="https://ich.unesco.org/en/decisions/19.COM/15" TargetMode="External"/><Relationship Id="rId25" Type="http://schemas.openxmlformats.org/officeDocument/2006/relationships/hyperlink" Target="https://ich.unesco.org/en/projects/capacity-building-for-safeguarding-intangible-cultural-heritage-in-emergencies-in-small-island-developing-states-sids-in-the-pacific-and-the-caribbean-00478" TargetMode="External"/><Relationship Id="rId33" Type="http://schemas.openxmlformats.org/officeDocument/2006/relationships/hyperlink" Target="https://ich.unesco.org/en/events/training-of-trainers-on-living-heritage-and-disaster-risk-reduction-01032" TargetMode="External"/><Relationship Id="rId38" Type="http://schemas.openxmlformats.org/officeDocument/2006/relationships/hyperlink" Target="https://ich.unesco.org/en/clearinghouse-education" TargetMode="External"/><Relationship Id="rId46" Type="http://schemas.openxmlformats.org/officeDocument/2006/relationships/hyperlink" Target="https://ich.unesco.org/en/decisions/20.COM/13" TargetMode="External"/><Relationship Id="rId59" Type="http://schemas.openxmlformats.org/officeDocument/2006/relationships/hyperlink" Target="https://unesdoc.unesco.org/ark:/48223/pf0000398080_rus" TargetMode="External"/><Relationship Id="rId67" Type="http://schemas.openxmlformats.org/officeDocument/2006/relationships/hyperlink" Target="https://ich.unesco.org/doc/src/LHE-21-16.COM-INF.10_Rev.-EN.pdf" TargetMode="External"/><Relationship Id="rId20" Type="http://schemas.openxmlformats.org/officeDocument/2006/relationships/hyperlink" Target="https://ich.unesco.org/doc/src/LHE-26-11.GA-7_RU.docx" TargetMode="External"/><Relationship Id="rId41" Type="http://schemas.openxmlformats.org/officeDocument/2006/relationships/hyperlink" Target="https://ich.unesco.org/doc/src/68297-EN.pdf?v=1761922360" TargetMode="External"/><Relationship Id="rId54" Type="http://schemas.openxmlformats.org/officeDocument/2006/relationships/hyperlink" Target="https://unesdoc.unesco.org/ark:/48223/pf0000392982_rus" TargetMode="External"/><Relationship Id="rId62" Type="http://schemas.openxmlformats.org/officeDocument/2006/relationships/header" Target="header3.xml"/><Relationship Id="rId70" Type="http://schemas.openxmlformats.org/officeDocument/2006/relationships/hyperlink" Target="https://ich.unesco.org/en/decisions/17.COM/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ch.unesco.org/en/decisions/16.COM/10" TargetMode="External"/><Relationship Id="rId2" Type="http://schemas.openxmlformats.org/officeDocument/2006/relationships/hyperlink" Target="https://ich.unesco.org/doc/src/LHE-21-16.COM-INF.10_Rev.-EN.pdf" TargetMode="External"/><Relationship Id="rId1" Type="http://schemas.openxmlformats.org/officeDocument/2006/relationships/hyperlink" Target="https://ich.unesco.org/doc/src/LHE-21-16.COM-10_Rev.-EN.docx" TargetMode="External"/><Relationship Id="rId6" Type="http://schemas.openxmlformats.org/officeDocument/2006/relationships/hyperlink" Target="https://ich.unesco.org/doc/src/LHE-21-16.COM-INF.10_Rev.-EN.pdf" TargetMode="External"/><Relationship Id="rId5" Type="http://schemas.openxmlformats.org/officeDocument/2006/relationships/hyperlink" Target="https://ich.unesco.org/doc/src/LHE-21-16.COM-10_Rev.-EN.docx" TargetMode="External"/><Relationship Id="rId4" Type="http://schemas.openxmlformats.org/officeDocument/2006/relationships/hyperlink" Target="https://ich.unesco.org/doc/src/LHE-21-16.COM-10_Rev.-EN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8019</Words>
  <Characters>44108</Characters>
  <Application>Microsoft Office Word</Application>
  <DocSecurity>0</DocSecurity>
  <Lines>367</Lines>
  <Paragraphs>104</Paragraphs>
  <ScaleCrop>false</ScaleCrop>
  <Company/>
  <LinksUpToDate>false</LinksUpToDate>
  <CharactersWithSpaces>52023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2026-05-18T20:37:00Z</dcterms:created>
  <dcterms:modified xsi:type="dcterms:W3CDTF">2026-05-18T21:12:00Z</dcterms:modified>
</cp:coreProperties>
</file>