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6FC07C36" w:rsidR="00EC6F8D" w:rsidRPr="009E2F0A" w:rsidRDefault="00EC6F8D" w:rsidP="00EC6F8D">
      <w:pPr>
        <w:spacing w:before="1440"/>
        <w:jc w:val="center"/>
        <w:rPr>
          <w:rFonts w:ascii="Arial" w:hAnsi="Arial" w:cs="Arial"/>
          <w:b/>
          <w:sz w:val="22"/>
          <w:szCs w:val="22"/>
        </w:rPr>
      </w:pPr>
      <w:r w:rsidRPr="009E2F0A">
        <w:rPr>
          <w:rFonts w:ascii="Arial" w:hAnsi="Arial" w:cs="Arial"/>
          <w:b/>
          <w:sz w:val="22"/>
        </w:rPr>
        <w:t>CONVENCIÓN PARA LA SALVAGUARDIA DEL</w:t>
      </w:r>
      <w:r w:rsidRPr="009E2F0A">
        <w:rPr>
          <w:rFonts w:ascii="Arial" w:hAnsi="Arial" w:cs="Arial"/>
          <w:b/>
          <w:sz w:val="22"/>
        </w:rPr>
        <w:br/>
        <w:t>PATRIMONIO CULTURAL INMATERIAL</w:t>
      </w:r>
    </w:p>
    <w:p w14:paraId="3F72B1D3" w14:textId="37133200" w:rsidR="00EC6F8D" w:rsidRPr="009E2F0A" w:rsidRDefault="005C792B" w:rsidP="00EC6F8D">
      <w:pPr>
        <w:spacing w:before="1200"/>
        <w:jc w:val="center"/>
        <w:rPr>
          <w:rFonts w:ascii="Arial" w:hAnsi="Arial" w:cs="Arial"/>
          <w:b/>
          <w:sz w:val="22"/>
          <w:szCs w:val="22"/>
        </w:rPr>
      </w:pPr>
      <w:r w:rsidRPr="009E2F0A">
        <w:rPr>
          <w:rFonts w:ascii="Arial" w:hAnsi="Arial" w:cs="Arial"/>
          <w:b/>
          <w:sz w:val="22"/>
        </w:rPr>
        <w:t xml:space="preserve">ASAMBLEA GENERAL DE LOS </w:t>
      </w:r>
      <w:proofErr w:type="gramStart"/>
      <w:r w:rsidRPr="009E2F0A">
        <w:rPr>
          <w:rFonts w:ascii="Arial" w:hAnsi="Arial" w:cs="Arial"/>
          <w:b/>
          <w:sz w:val="22"/>
        </w:rPr>
        <w:t>ESTADOS PARTES</w:t>
      </w:r>
      <w:proofErr w:type="gramEnd"/>
      <w:r w:rsidRPr="009E2F0A">
        <w:rPr>
          <w:rFonts w:ascii="Arial" w:hAnsi="Arial" w:cs="Arial"/>
          <w:b/>
          <w:sz w:val="22"/>
        </w:rPr>
        <w:t xml:space="preserve"> EN LA CONVENCIÓN</w:t>
      </w:r>
    </w:p>
    <w:p w14:paraId="2E1CD4B4" w14:textId="761739AB" w:rsidR="00EC6F8D" w:rsidRPr="009E2F0A" w:rsidRDefault="00671799" w:rsidP="001D14FE">
      <w:pPr>
        <w:spacing w:before="840"/>
        <w:jc w:val="center"/>
        <w:rPr>
          <w:rFonts w:ascii="Arial" w:hAnsi="Arial" w:cs="Arial"/>
          <w:b/>
          <w:sz w:val="22"/>
          <w:szCs w:val="22"/>
        </w:rPr>
      </w:pPr>
      <w:r w:rsidRPr="009E2F0A">
        <w:rPr>
          <w:rFonts w:ascii="Arial" w:hAnsi="Arial" w:cs="Arial"/>
          <w:b/>
          <w:sz w:val="22"/>
        </w:rPr>
        <w:t>Undécima reunión</w:t>
      </w:r>
    </w:p>
    <w:p w14:paraId="1FD89575" w14:textId="05D2C62D" w:rsidR="00B2172B" w:rsidRPr="009E2F0A" w:rsidRDefault="005C792B" w:rsidP="00B2172B">
      <w:pPr>
        <w:jc w:val="center"/>
        <w:rPr>
          <w:rFonts w:ascii="Arial" w:hAnsi="Arial" w:cs="Arial"/>
          <w:b/>
          <w:sz w:val="22"/>
          <w:szCs w:val="22"/>
        </w:rPr>
      </w:pPr>
      <w:r w:rsidRPr="009E2F0A">
        <w:rPr>
          <w:rFonts w:ascii="Arial" w:hAnsi="Arial" w:cs="Arial"/>
          <w:b/>
          <w:sz w:val="22"/>
        </w:rPr>
        <w:t>Sede de la UNESCO, Sala I</w:t>
      </w:r>
    </w:p>
    <w:p w14:paraId="52EA6D50" w14:textId="038451F8" w:rsidR="00B2172B" w:rsidRPr="009E2F0A" w:rsidRDefault="0054535F" w:rsidP="00B2172B">
      <w:pPr>
        <w:jc w:val="center"/>
        <w:rPr>
          <w:rFonts w:ascii="Arial" w:hAnsi="Arial" w:cs="Arial"/>
          <w:b/>
          <w:sz w:val="22"/>
          <w:szCs w:val="22"/>
        </w:rPr>
      </w:pPr>
      <w:r w:rsidRPr="009E2F0A">
        <w:rPr>
          <w:rFonts w:ascii="Arial" w:hAnsi="Arial" w:cs="Arial"/>
          <w:b/>
          <w:sz w:val="22"/>
        </w:rPr>
        <w:t>17 al 18 de junio de 2026</w:t>
      </w:r>
    </w:p>
    <w:p w14:paraId="0365203A" w14:textId="3E80922A" w:rsidR="00EC6F8D" w:rsidRPr="009E2F0A" w:rsidRDefault="00EC6F8D" w:rsidP="00EC6F8D">
      <w:pPr>
        <w:pStyle w:val="Sansinterligne2"/>
        <w:spacing w:before="1200"/>
        <w:jc w:val="center"/>
        <w:rPr>
          <w:rFonts w:ascii="Arial" w:hAnsi="Arial" w:cs="Arial"/>
          <w:b/>
          <w:sz w:val="22"/>
          <w:szCs w:val="22"/>
        </w:rPr>
      </w:pPr>
      <w:r w:rsidRPr="009E2F0A">
        <w:rPr>
          <w:rFonts w:ascii="Arial" w:hAnsi="Arial" w:cs="Arial"/>
          <w:b/>
          <w:sz w:val="22"/>
          <w:u w:val="single"/>
        </w:rPr>
        <w:t>Punto 6 del orden del día provisional</w:t>
      </w:r>
      <w:r w:rsidRPr="009E2F0A">
        <w:rPr>
          <w:rFonts w:ascii="Arial" w:hAnsi="Arial" w:cs="Arial"/>
          <w:b/>
          <w:sz w:val="22"/>
        </w:rPr>
        <w:t>:</w:t>
      </w:r>
    </w:p>
    <w:p w14:paraId="59920478" w14:textId="02E26A68" w:rsidR="004A2875" w:rsidRPr="009E2F0A" w:rsidRDefault="00DC581D" w:rsidP="004A2875">
      <w:pPr>
        <w:pStyle w:val="Sansinterligne2"/>
        <w:spacing w:after="960"/>
        <w:jc w:val="center"/>
        <w:rPr>
          <w:rFonts w:ascii="Arial" w:hAnsi="Arial" w:cs="Arial"/>
          <w:bCs/>
          <w:sz w:val="22"/>
          <w:szCs w:val="22"/>
        </w:rPr>
      </w:pPr>
      <w:r w:rsidRPr="009E2F0A">
        <w:rPr>
          <w:rFonts w:ascii="Arial" w:eastAsia="Arial" w:hAnsi="Arial" w:cs="Arial"/>
          <w:b/>
          <w:sz w:val="22"/>
          <w:szCs w:val="22"/>
          <w:lang w:bidi="es-ES"/>
        </w:rPr>
        <w:t>Informe de la Secretaría sobre sus actividades (enero de 2024 a diciembre de 2025)</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9E2F0A" w14:paraId="75AC6221" w14:textId="77777777" w:rsidTr="00EC6F8D">
        <w:trPr>
          <w:jc w:val="center"/>
        </w:trPr>
        <w:tc>
          <w:tcPr>
            <w:tcW w:w="5670" w:type="dxa"/>
            <w:vAlign w:val="center"/>
          </w:tcPr>
          <w:p w14:paraId="51C260A9" w14:textId="77777777" w:rsidR="00EC6F8D" w:rsidRPr="009E2F0A" w:rsidRDefault="00EC6F8D" w:rsidP="00CA56BB">
            <w:pPr>
              <w:pStyle w:val="Sansinterligne1"/>
              <w:spacing w:before="200" w:after="200"/>
              <w:jc w:val="center"/>
              <w:rPr>
                <w:rFonts w:ascii="Arial" w:hAnsi="Arial" w:cs="Arial"/>
                <w:b/>
                <w:sz w:val="22"/>
                <w:szCs w:val="22"/>
              </w:rPr>
            </w:pPr>
            <w:r w:rsidRPr="009E2F0A">
              <w:rPr>
                <w:rFonts w:ascii="Arial" w:hAnsi="Arial" w:cs="Arial"/>
                <w:b/>
                <w:sz w:val="22"/>
              </w:rPr>
              <w:t>Resumen</w:t>
            </w:r>
          </w:p>
          <w:p w14:paraId="612E5DE6" w14:textId="273FD369" w:rsidR="00BB6EEC" w:rsidRPr="009E2F0A" w:rsidRDefault="00DC581D" w:rsidP="00BB6EEC">
            <w:pPr>
              <w:pStyle w:val="Sansinterligne1"/>
              <w:jc w:val="both"/>
              <w:rPr>
                <w:rFonts w:ascii="Arial" w:hAnsi="Arial" w:cs="Arial"/>
                <w:bCs/>
                <w:sz w:val="22"/>
                <w:szCs w:val="22"/>
              </w:rPr>
            </w:pPr>
            <w:r w:rsidRPr="009E2F0A">
              <w:rPr>
                <w:rFonts w:ascii="Arial" w:eastAsia="Arial" w:hAnsi="Arial" w:cs="Arial"/>
                <w:sz w:val="22"/>
                <w:szCs w:val="22"/>
                <w:lang w:bidi="es-ES"/>
              </w:rPr>
              <w:t>Este documento ofrece una visión general de las actividades realizadas por la Secretaría de la Convención de 2003 entre el 1 de enero de 2024 y el 31 de diciembre de 2025.</w:t>
            </w:r>
          </w:p>
          <w:p w14:paraId="290310E8" w14:textId="519B481D" w:rsidR="00EC6F8D" w:rsidRPr="009E2F0A" w:rsidRDefault="00EC6F8D" w:rsidP="00CA56BB">
            <w:pPr>
              <w:pStyle w:val="Sansinterligne2"/>
              <w:spacing w:before="200" w:after="200"/>
              <w:jc w:val="both"/>
              <w:rPr>
                <w:rFonts w:ascii="Arial" w:hAnsi="Arial" w:cs="Arial"/>
                <w:b/>
                <w:sz w:val="22"/>
                <w:szCs w:val="22"/>
              </w:rPr>
            </w:pPr>
            <w:r w:rsidRPr="009E2F0A">
              <w:rPr>
                <w:rFonts w:ascii="Arial" w:hAnsi="Arial" w:cs="Arial"/>
                <w:b/>
                <w:sz w:val="22"/>
              </w:rPr>
              <w:t xml:space="preserve">Decisión requerida: </w:t>
            </w:r>
            <w:r w:rsidRPr="009E2F0A">
              <w:rPr>
                <w:rFonts w:ascii="Arial" w:hAnsi="Arial" w:cs="Arial"/>
                <w:sz w:val="22"/>
              </w:rPr>
              <w:t>párrafo 20</w:t>
            </w:r>
          </w:p>
        </w:tc>
      </w:tr>
    </w:tbl>
    <w:p w14:paraId="713D819F" w14:textId="77777777" w:rsidR="004A2875" w:rsidRPr="009E2F0A"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rPr>
      </w:pPr>
      <w:r w:rsidRPr="009E2F0A">
        <w:rPr>
          <w:rFonts w:ascii="Arial" w:hAnsi="Arial" w:cs="Arial"/>
          <w:lang w:bidi="es-ES"/>
        </w:rPr>
        <w:br w:type="page"/>
      </w:r>
    </w:p>
    <w:p w14:paraId="6C62585F" w14:textId="1FBD00B9" w:rsidR="00F70CC5" w:rsidRPr="009E2F0A" w:rsidRDefault="00FD4BC8" w:rsidP="00F70CC5">
      <w:pPr>
        <w:pStyle w:val="COMPara"/>
        <w:numPr>
          <w:ilvl w:val="0"/>
          <w:numId w:val="0"/>
        </w:numPr>
        <w:spacing w:before="240"/>
        <w:jc w:val="both"/>
        <w:rPr>
          <w:b/>
          <w:bCs/>
        </w:rPr>
      </w:pPr>
      <w:bookmarkStart w:id="0" w:name="_Hlk124351255"/>
      <w:r w:rsidRPr="009E2F0A">
        <w:rPr>
          <w:b/>
          <w:lang w:eastAsia="fr-FR"/>
        </w:rPr>
        <w:lastRenderedPageBreak/>
        <w:t>Antecedentes</w:t>
      </w:r>
    </w:p>
    <w:bookmarkEnd w:id="0"/>
    <w:p w14:paraId="10ADC667" w14:textId="03B1E83A" w:rsidR="00DC581D" w:rsidRPr="009E2F0A" w:rsidRDefault="00DC581D" w:rsidP="00DC581D">
      <w:pPr>
        <w:pStyle w:val="COMPara"/>
        <w:ind w:left="567" w:hanging="567"/>
        <w:jc w:val="both"/>
        <w:rPr>
          <w:bCs/>
          <w:lang w:val="es-ES_tradnl"/>
        </w:rPr>
      </w:pPr>
      <w:r w:rsidRPr="009E2F0A">
        <w:rPr>
          <w:lang w:bidi="es-ES"/>
        </w:rPr>
        <w:t xml:space="preserve">Este informe se centra en el trabajo de la Secretaría de la Convención de 2003 desde enero de 2024 hasta diciembre de 2025, de conformidad con la Resolución </w:t>
      </w:r>
      <w:hyperlink r:id="rId8" w:history="1">
        <w:r w:rsidRPr="009E2F0A">
          <w:rPr>
            <w:rStyle w:val="Hyperlink"/>
            <w:lang w:bidi="es-ES"/>
          </w:rPr>
          <w:t>10.GA 6</w:t>
        </w:r>
      </w:hyperlink>
      <w:r w:rsidRPr="009E2F0A">
        <w:rPr>
          <w:lang w:bidi="es-ES"/>
        </w:rPr>
        <w:t xml:space="preserve">. El periodo sobre el que se informa se ajusta a otros procesos de presentación de informes de la UNESCO, es decir, el </w:t>
      </w:r>
      <w:hyperlink r:id="rId9" w:history="1">
        <w:r w:rsidR="00C57591" w:rsidRPr="009E2F0A">
          <w:rPr>
            <w:rStyle w:val="Hyperlink"/>
            <w:lang w:bidi="es-ES"/>
          </w:rPr>
          <w:t xml:space="preserve">informe del </w:t>
        </w:r>
        <w:proofErr w:type="gramStart"/>
        <w:r w:rsidR="00C57591" w:rsidRPr="009E2F0A">
          <w:rPr>
            <w:rStyle w:val="Hyperlink"/>
            <w:lang w:bidi="es-ES"/>
          </w:rPr>
          <w:t>Director General</w:t>
        </w:r>
        <w:proofErr w:type="gramEnd"/>
      </w:hyperlink>
      <w:r w:rsidRPr="009E2F0A">
        <w:rPr>
          <w:lang w:bidi="es-ES"/>
        </w:rPr>
        <w:t xml:space="preserve"> sobre la ejecución del programa aprobado por la Conferencia General (EX/4). En el </w:t>
      </w:r>
      <w:hyperlink w:anchor="AnnexI" w:history="1">
        <w:r w:rsidRPr="009E2F0A">
          <w:rPr>
            <w:rStyle w:val="Hyperlink"/>
            <w:lang w:bidi="es-ES"/>
          </w:rPr>
          <w:t>anexo I</w:t>
        </w:r>
      </w:hyperlink>
      <w:r w:rsidRPr="009E2F0A">
        <w:rPr>
          <w:lang w:bidi="es-ES"/>
        </w:rPr>
        <w:t xml:space="preserve"> se demuestra la contribución del trabajo de la Secretaría al marco de resultados del 42 C/5 y, en concreto, a los indicadores de rendimiento del resultado </w:t>
      </w:r>
      <w:proofErr w:type="gramStart"/>
      <w:r w:rsidRPr="009E2F0A">
        <w:rPr>
          <w:lang w:bidi="es-ES"/>
        </w:rPr>
        <w:t>5.CLT</w:t>
      </w:r>
      <w:proofErr w:type="gramEnd"/>
      <w:r w:rsidRPr="009E2F0A">
        <w:rPr>
          <w:lang w:bidi="es-ES"/>
        </w:rPr>
        <w:t xml:space="preserve">4 en el marco del Gran Programa IV. En el </w:t>
      </w:r>
      <w:hyperlink w:anchor="AnnexII" w:history="1">
        <w:r w:rsidRPr="009E2F0A">
          <w:rPr>
            <w:rStyle w:val="Hyperlink"/>
            <w:lang w:bidi="es-ES"/>
          </w:rPr>
          <w:t>anexo II</w:t>
        </w:r>
      </w:hyperlink>
      <w:r w:rsidRPr="009E2F0A">
        <w:rPr>
          <w:lang w:bidi="es-ES"/>
        </w:rPr>
        <w:t xml:space="preserve"> se ofrece un seguimiento de las doce recomendaciones de la </w:t>
      </w:r>
      <w:hyperlink r:id="rId10" w:history="1">
        <w:r w:rsidRPr="009E2F0A">
          <w:rPr>
            <w:rStyle w:val="Hyperlink"/>
            <w:lang w:bidi="es-ES"/>
          </w:rPr>
          <w:t>evaluación del IOS de 2021</w:t>
        </w:r>
      </w:hyperlink>
      <w:r w:rsidRPr="009E2F0A">
        <w:rPr>
          <w:lang w:bidi="es-ES"/>
        </w:rPr>
        <w:t xml:space="preserve"> de la acción de la UNESCO en el marco de la Convención de 2003</w:t>
      </w:r>
      <w:r w:rsidRPr="009E2F0A">
        <w:rPr>
          <w:rStyle w:val="FootnoteReference"/>
          <w:lang w:bidi="es-ES"/>
        </w:rPr>
        <w:footnoteReference w:id="1"/>
      </w:r>
      <w:r w:rsidRPr="009E2F0A">
        <w:rPr>
          <w:lang w:bidi="es-ES"/>
        </w:rPr>
        <w:t xml:space="preserve">. Este informe debe leerse junto con el informe financiero del Fondo de la Convención para la Salvaguardia del Patrimonio Cultural Inmaterial para el mismo periodo en cuestión (documento </w:t>
      </w:r>
      <w:hyperlink r:id="rId11" w:history="1">
        <w:r w:rsidRPr="009E2F0A">
          <w:rPr>
            <w:rStyle w:val="Hyperlink"/>
            <w:lang w:bidi="es-ES"/>
          </w:rPr>
          <w:t>LHE/26/11.GA/INF.8</w:t>
        </w:r>
      </w:hyperlink>
      <w:r w:rsidRPr="009E2F0A">
        <w:rPr>
          <w:lang w:bidi="es-ES"/>
        </w:rPr>
        <w:t>).</w:t>
      </w:r>
    </w:p>
    <w:p w14:paraId="75A109B3" w14:textId="77777777" w:rsidR="00DC581D" w:rsidRPr="009E2F0A" w:rsidRDefault="00DC581D" w:rsidP="00DC581D">
      <w:pPr>
        <w:pStyle w:val="COMPara"/>
        <w:ind w:left="567" w:hanging="567"/>
        <w:jc w:val="both"/>
        <w:rPr>
          <w:bCs/>
          <w:lang w:val="es-ES_tradnl"/>
        </w:rPr>
      </w:pPr>
      <w:r w:rsidRPr="009E2F0A">
        <w:rPr>
          <w:lang w:bidi="es-ES"/>
        </w:rPr>
        <w:t>Las actividades principales de la Secretaría se centraron en la gobernanza de la Convención (Sección I), las actividades operativas y las iniciativas temáticas (Sección II), así como las asociaciones, las comunicaciones y la divulgación (Sección III). Este informe también incluye un breve resumen de las futuras orientaciones de la Convención y sus sinergias con otras convenciones y programas (Sección IV).</w:t>
      </w:r>
    </w:p>
    <w:p w14:paraId="3DFDFF47" w14:textId="4A26C66B" w:rsidR="00DC581D" w:rsidRPr="009E2F0A" w:rsidRDefault="00A37645" w:rsidP="009E2F0A">
      <w:pPr>
        <w:pStyle w:val="COMPara"/>
        <w:numPr>
          <w:ilvl w:val="0"/>
          <w:numId w:val="0"/>
        </w:numPr>
        <w:tabs>
          <w:tab w:val="left" w:pos="567"/>
        </w:tabs>
        <w:spacing w:before="240"/>
        <w:ind w:left="-142" w:firstLine="142"/>
        <w:jc w:val="both"/>
        <w:rPr>
          <w:b/>
          <w:bCs/>
        </w:rPr>
      </w:pPr>
      <w:r w:rsidRPr="009E2F0A">
        <w:rPr>
          <w:b/>
          <w:lang w:bidi="es-ES"/>
        </w:rPr>
        <w:t>I.</w:t>
      </w:r>
      <w:r w:rsidRPr="009E2F0A">
        <w:rPr>
          <w:b/>
          <w:lang w:bidi="es-ES"/>
        </w:rPr>
        <w:tab/>
      </w:r>
      <w:r w:rsidR="00DC581D" w:rsidRPr="009E2F0A">
        <w:rPr>
          <w:b/>
          <w:lang w:bidi="es-ES"/>
        </w:rPr>
        <w:t>Gobernanza de la Convención</w:t>
      </w:r>
    </w:p>
    <w:p w14:paraId="54372C52" w14:textId="2BA861B3" w:rsidR="00DC581D" w:rsidRPr="009E2F0A" w:rsidRDefault="00DC581D" w:rsidP="00DC581D">
      <w:pPr>
        <w:pStyle w:val="COMPara"/>
        <w:ind w:left="567" w:hanging="567"/>
        <w:jc w:val="both"/>
      </w:pPr>
      <w:r w:rsidRPr="009E2F0A">
        <w:rPr>
          <w:lang w:bidi="es-ES"/>
        </w:rPr>
        <w:t xml:space="preserve">La Secretaría garantizó el apoyo administrativo, logístico y sustancial a los órganos rectores de la Convención organizando treinta y siete reuniones estatutarias. El calendario anual de reuniones estatutarias de </w:t>
      </w:r>
      <w:hyperlink r:id="rId12" w:history="1">
        <w:r w:rsidRPr="009E2F0A">
          <w:rPr>
            <w:rStyle w:val="Hyperlink"/>
            <w:lang w:bidi="es-ES"/>
          </w:rPr>
          <w:t>2024</w:t>
        </w:r>
      </w:hyperlink>
      <w:r w:rsidRPr="009E2F0A">
        <w:rPr>
          <w:lang w:bidi="es-ES"/>
        </w:rPr>
        <w:t xml:space="preserve"> y </w:t>
      </w:r>
      <w:hyperlink r:id="rId13" w:history="1">
        <w:r w:rsidRPr="009E2F0A">
          <w:rPr>
            <w:rStyle w:val="Hyperlink"/>
            <w:lang w:bidi="es-ES"/>
          </w:rPr>
          <w:t>2025</w:t>
        </w:r>
      </w:hyperlink>
      <w:r w:rsidRPr="009E2F0A">
        <w:rPr>
          <w:lang w:bidi="es-ES"/>
        </w:rPr>
        <w:t xml:space="preserve"> se publicó y se actualizó de manera periódica en la página web de la Convención. Además, durante el periodo de presentación de informes se terminó la revisión de las Directrices Operativas de la Convención de 2003 (Resolución </w:t>
      </w:r>
      <w:hyperlink r:id="rId14" w:history="1">
        <w:r w:rsidRPr="009E2F0A">
          <w:rPr>
            <w:rStyle w:val="Hyperlink"/>
            <w:lang w:bidi="es-ES"/>
          </w:rPr>
          <w:t>10.GA</w:t>
        </w:r>
        <w:r w:rsidR="00A2658B" w:rsidRPr="009E2F0A">
          <w:rPr>
            <w:rStyle w:val="Hyperlink"/>
            <w:lang w:bidi="es-ES"/>
          </w:rPr>
          <w:t> </w:t>
        </w:r>
        <w:r w:rsidRPr="009E2F0A">
          <w:rPr>
            <w:rStyle w:val="Hyperlink"/>
            <w:lang w:bidi="es-ES"/>
          </w:rPr>
          <w:t>7</w:t>
        </w:r>
      </w:hyperlink>
      <w:r w:rsidRPr="009E2F0A">
        <w:rPr>
          <w:lang w:bidi="es-ES"/>
        </w:rPr>
        <w:t xml:space="preserve">). Se presenta el informe sobre las actividades del Comité de enero de 2024 a diciembre de 2025 en esta reunión de la Asamblea (documento </w:t>
      </w:r>
      <w:hyperlink r:id="rId15" w:history="1">
        <w:r w:rsidRPr="009E2F0A">
          <w:rPr>
            <w:rStyle w:val="Hyperlink"/>
            <w:lang w:bidi="es-ES"/>
          </w:rPr>
          <w:t>LHE/26/11.GA/5</w:t>
        </w:r>
      </w:hyperlink>
      <w:r w:rsidRPr="009E2F0A">
        <w:rPr>
          <w:lang w:bidi="es-ES"/>
        </w:rPr>
        <w:t>).</w:t>
      </w:r>
    </w:p>
    <w:p w14:paraId="63AC2459" w14:textId="28FA3805" w:rsidR="00DC581D" w:rsidRPr="009E2F0A" w:rsidRDefault="00DC581D" w:rsidP="00DC581D">
      <w:pPr>
        <w:pStyle w:val="COMPara"/>
        <w:ind w:left="567" w:hanging="567"/>
        <w:jc w:val="both"/>
      </w:pPr>
      <w:r w:rsidRPr="009E2F0A">
        <w:rPr>
          <w:lang w:bidi="es-ES"/>
        </w:rPr>
        <w:t xml:space="preserve">La Secretaría prestó un apoyo sustancial a los </w:t>
      </w:r>
      <w:r w:rsidRPr="009E2F0A">
        <w:rPr>
          <w:u w:val="single"/>
          <w:lang w:bidi="es-ES"/>
        </w:rPr>
        <w:t>mecanismos de cooperación internacional de la Convención</w:t>
      </w:r>
      <w:r w:rsidRPr="009E2F0A">
        <w:rPr>
          <w:lang w:bidi="es-ES"/>
        </w:rPr>
        <w:t xml:space="preserve">. La carga de trabajo principal consistió en la tramitación de los expedientes de candidatura en los ciclos 2024 y 2025 para su evaluación por el Órgano de Evaluación, además de comprobar la integridad técnica de las candidaturas en los ciclos 2025 y 2026. Además, la Secretaría tramitó los informes periódicos, así como las solicitudes de acreditación y renovación de las organizaciones no gubernamentales (ONG). Estas solicitudes de acreditación, siguiendo las recomendaciones de la vigésima reunión del Comité, se presentan a esta reunión de la Asamblea (documento </w:t>
      </w:r>
      <w:hyperlink r:id="rId16" w:history="1">
        <w:r w:rsidRPr="009E2F0A">
          <w:rPr>
            <w:rStyle w:val="Hyperlink"/>
            <w:lang w:bidi="es-ES"/>
          </w:rPr>
          <w:t>LHE/26/11.GA/9</w:t>
        </w:r>
      </w:hyperlink>
      <w:r w:rsidRPr="009E2F0A">
        <w:rPr>
          <w:lang w:bidi="es-ES"/>
        </w:rPr>
        <w:t>).</w:t>
      </w:r>
    </w:p>
    <w:p w14:paraId="5DFB4D03" w14:textId="74FB998E" w:rsidR="00DC581D" w:rsidRPr="009E2F0A" w:rsidRDefault="00DC581D" w:rsidP="00DC581D">
      <w:pPr>
        <w:pStyle w:val="COMPara"/>
        <w:ind w:left="567" w:hanging="567"/>
        <w:jc w:val="both"/>
        <w:rPr>
          <w:rStyle w:val="ui-provider"/>
        </w:rPr>
      </w:pPr>
      <w:r w:rsidRPr="009E2F0A">
        <w:rPr>
          <w:rStyle w:val="ui-provider"/>
          <w:lang w:bidi="es-ES"/>
        </w:rPr>
        <w:t xml:space="preserve">Tras la reflexión global sobre los mecanismos de inclusión en las Listas de la Convención (2018-2022), los órganos rectores de la Convención han observado un aumento de las exigencias en cuanto al alcance de la labor de la Secretaría en apoyo del Órgano de Evaluación y del Comité en su evaluación y examen de los expedientes de candidatura. En particular, la </w:t>
      </w:r>
      <w:r w:rsidRPr="009E2F0A">
        <w:rPr>
          <w:rStyle w:val="ui-provider"/>
          <w:u w:val="single"/>
          <w:lang w:bidi="es-ES"/>
        </w:rPr>
        <w:t>cantidad de expedientes tratados</w:t>
      </w:r>
      <w:r w:rsidRPr="009E2F0A">
        <w:rPr>
          <w:rStyle w:val="ui-provider"/>
          <w:lang w:bidi="es-ES"/>
        </w:rPr>
        <w:t xml:space="preserve"> (140 expedientes en total en los ciclos 2024 y 2025, frente a 121 expedientes en los ciclos 2022 y 2023). Refleja tanto los expedientes tratados dentro del límite máximo anual de sesenta como las diferentes categorías de expedientes que deben tratarse fuera del límite máximo anual (Decisiones </w:t>
      </w:r>
      <w:hyperlink r:id="rId17" w:history="1">
        <w:r w:rsidRPr="009E2F0A">
          <w:rPr>
            <w:rStyle w:val="Hyperlink"/>
            <w:lang w:bidi="es-ES"/>
          </w:rPr>
          <w:t>17.COM 15</w:t>
        </w:r>
      </w:hyperlink>
      <w:r w:rsidRPr="009E2F0A">
        <w:rPr>
          <w:rStyle w:val="ui-provider"/>
          <w:lang w:bidi="es-ES"/>
        </w:rPr>
        <w:t xml:space="preserve"> y </w:t>
      </w:r>
      <w:hyperlink r:id="rId18" w:history="1">
        <w:r w:rsidRPr="009E2F0A">
          <w:rPr>
            <w:rStyle w:val="Hyperlink"/>
            <w:lang w:bidi="es-ES"/>
          </w:rPr>
          <w:t>19.COM 15</w:t>
        </w:r>
      </w:hyperlink>
      <w:r w:rsidRPr="009E2F0A">
        <w:rPr>
          <w:rStyle w:val="ui-provider"/>
          <w:lang w:bidi="es-ES"/>
        </w:rPr>
        <w:t xml:space="preserve">). Asimismo, en el ciclo 2026 se han tratado en un principio 71 expedientes (de un total de 137 expedientes que había que considerar) y, aunque el ciclo 2027 aún se está estableciendo (de un total de 170 expedientes que hay que considerar), es probable que cuente con una cantidad parecida o superior de expedientes. Este aumento del número de candidaturas durante los últimos cuatro ciclos ha supuesto una mayor carga de trabajo para la Secretaría, lo que refleja los extensos procedimientos que implica la fase de "comprobación de integridad técnica", así como la diversidad de materiales de candidatura </w:t>
      </w:r>
      <w:proofErr w:type="gramStart"/>
      <w:r w:rsidRPr="009E2F0A">
        <w:rPr>
          <w:rStyle w:val="ui-provider"/>
          <w:lang w:bidi="es-ES"/>
        </w:rPr>
        <w:t>a</w:t>
      </w:r>
      <w:proofErr w:type="gramEnd"/>
      <w:r w:rsidRPr="009E2F0A">
        <w:rPr>
          <w:rStyle w:val="ui-provider"/>
          <w:lang w:bidi="es-ES"/>
        </w:rPr>
        <w:t xml:space="preserve"> tener en cuenta en el traspaso de elementos entre las Listas y las candidaturas de forma amplia. Estas necesidades de ampliación son especialmente acuciantes, teniendo en cuenta los limitados </w:t>
      </w:r>
      <w:r w:rsidRPr="009E2F0A">
        <w:rPr>
          <w:rStyle w:val="ui-provider"/>
          <w:lang w:bidi="es-ES"/>
        </w:rPr>
        <w:lastRenderedPageBreak/>
        <w:t xml:space="preserve">recursos humanos de que dispone la Secretaría, y en vista de esta limitación y de otras cuestiones técnicas relativas al tratamiento de los expedientes (véase el documento </w:t>
      </w:r>
      <w:hyperlink r:id="rId19" w:history="1">
        <w:r w:rsidRPr="009E2F0A">
          <w:rPr>
            <w:rStyle w:val="Hyperlink"/>
            <w:lang w:bidi="es-ES"/>
          </w:rPr>
          <w:t>LHE/25/20</w:t>
        </w:r>
      </w:hyperlink>
      <w:hyperlink r:id="rId20" w:history="1">
        <w:r w:rsidRPr="009E2F0A">
          <w:rPr>
            <w:rStyle w:val="Hyperlink"/>
            <w:lang w:bidi="es-ES"/>
          </w:rPr>
          <w:t>.COM/8</w:t>
        </w:r>
      </w:hyperlink>
      <w:r w:rsidRPr="009E2F0A">
        <w:rPr>
          <w:rStyle w:val="ui-provider"/>
          <w:lang w:bidi="es-ES"/>
        </w:rPr>
        <w:t xml:space="preserve">), el Comité ha recomendado que la presente reunión de la Asamblea apruebe las revisiones propuestas de las Directrices Operativas para la Aplicación de la Convención (Decisión </w:t>
      </w:r>
      <w:hyperlink r:id="rId21" w:history="1">
        <w:r w:rsidRPr="009E2F0A">
          <w:rPr>
            <w:rStyle w:val="Hyperlink"/>
            <w:lang w:bidi="es-ES"/>
          </w:rPr>
          <w:t>20.COM 8</w:t>
        </w:r>
      </w:hyperlink>
      <w:r w:rsidRPr="009E2F0A">
        <w:rPr>
          <w:rStyle w:val="ui-provider"/>
          <w:lang w:bidi="es-ES"/>
        </w:rPr>
        <w:t xml:space="preserve"> y documento </w:t>
      </w:r>
      <w:hyperlink r:id="rId22" w:history="1">
        <w:r w:rsidRPr="009E2F0A">
          <w:rPr>
            <w:rStyle w:val="Hyperlink"/>
            <w:lang w:bidi="es-ES"/>
          </w:rPr>
          <w:t>LHE/26/11.GA/7</w:t>
        </w:r>
      </w:hyperlink>
      <w:r w:rsidRPr="009E2F0A">
        <w:rPr>
          <w:rStyle w:val="ui-provider"/>
          <w:lang w:bidi="es-ES"/>
        </w:rPr>
        <w:t xml:space="preserve">). El número de expedientes para los ciclos 2028 y 2029 </w:t>
      </w:r>
      <w:r w:rsidR="0000133C" w:rsidRPr="009E2F0A">
        <w:rPr>
          <w:rStyle w:val="ui-provider"/>
          <w:lang w:bidi="es-ES"/>
        </w:rPr>
        <w:t>para su discusión</w:t>
      </w:r>
      <w:r w:rsidRPr="009E2F0A">
        <w:rPr>
          <w:rStyle w:val="ui-provider"/>
          <w:lang w:bidi="es-ES"/>
        </w:rPr>
        <w:t xml:space="preserve"> en la vigesimoprimera reunión del Comité, junto con las cuestiones del límite máximo anual y el sistema de priorización que requerirían ajustes para administrar los futuros ciclos de candidaturas.</w:t>
      </w:r>
    </w:p>
    <w:p w14:paraId="0CC64E66" w14:textId="684460DE" w:rsidR="00DC581D" w:rsidRPr="009E2F0A" w:rsidRDefault="00DC581D" w:rsidP="00DC581D">
      <w:pPr>
        <w:pStyle w:val="COMPara"/>
        <w:ind w:left="567" w:hanging="567"/>
        <w:jc w:val="both"/>
      </w:pPr>
      <w:r w:rsidRPr="009E2F0A">
        <w:rPr>
          <w:lang w:bidi="es-ES"/>
        </w:rPr>
        <w:t xml:space="preserve">La Secretaría también ha tomado medidas para abordar la "infrautilización" del Registro de Buenas Prácticas de Salvaguardia y del </w:t>
      </w:r>
      <w:r w:rsidRPr="009E2F0A">
        <w:rPr>
          <w:u w:val="single"/>
          <w:lang w:bidi="es-ES"/>
        </w:rPr>
        <w:t>Artículo 18 de la Convención</w:t>
      </w:r>
      <w:r w:rsidRPr="009E2F0A">
        <w:rPr>
          <w:lang w:bidi="es-ES"/>
        </w:rPr>
        <w:t xml:space="preserve"> en su conjunto. En primer lugar, la Secretaría ha avanzado en la reflexión sobre una aplicación más amplia del Artículo 18 de la Convención, con el lanzamiento de la versión preliminar de una </w:t>
      </w:r>
      <w:hyperlink r:id="rId23" w:history="1">
        <w:r w:rsidRPr="009E2F0A">
          <w:rPr>
            <w:rStyle w:val="Hyperlink"/>
            <w:lang w:bidi="es-ES"/>
          </w:rPr>
          <w:t>plataforma en línea para compartir experiencias de salvaguardia</w:t>
        </w:r>
      </w:hyperlink>
      <w:r w:rsidRPr="009E2F0A">
        <w:rPr>
          <w:lang w:bidi="es-ES"/>
        </w:rPr>
        <w:t xml:space="preserve"> de comunidades de todo el mundo (apoyada por el Reino de los Países Bajos y la República de Corea; véase el documento </w:t>
      </w:r>
      <w:hyperlink r:id="rId24" w:history="1">
        <w:r w:rsidRPr="009E2F0A">
          <w:rPr>
            <w:rStyle w:val="Hyperlink"/>
            <w:lang w:bidi="es-ES"/>
          </w:rPr>
          <w:t>LHE/25/20.COM/11</w:t>
        </w:r>
      </w:hyperlink>
      <w:r w:rsidRPr="009E2F0A">
        <w:rPr>
          <w:lang w:bidi="es-ES"/>
        </w:rPr>
        <w:t xml:space="preserve">), así como experiencias comunitarias de salvaguardia de </w:t>
      </w:r>
      <w:r w:rsidRPr="009E2F0A">
        <w:rPr>
          <w:u w:val="single"/>
          <w:lang w:bidi="es-ES"/>
        </w:rPr>
        <w:t>las prácticas alimentarias</w:t>
      </w:r>
      <w:r w:rsidRPr="009E2F0A">
        <w:rPr>
          <w:lang w:bidi="es-ES"/>
        </w:rPr>
        <w:t xml:space="preserve"> (apoyada por el Reino de Arabia Saud</w:t>
      </w:r>
      <w:r w:rsidR="00172529" w:rsidRPr="009E2F0A">
        <w:rPr>
          <w:lang w:bidi="es-ES"/>
        </w:rPr>
        <w:t>ita</w:t>
      </w:r>
      <w:r w:rsidRPr="009E2F0A">
        <w:rPr>
          <w:lang w:bidi="es-ES"/>
        </w:rPr>
        <w:t xml:space="preserve">). La Secretaría tiene previsto lanzar la versión completa de la plataforma (con 60 experiencias de salvaguardia) a finales de 2026. Además, y en respuesta a la Resolución </w:t>
      </w:r>
      <w:hyperlink r:id="rId25" w:history="1">
        <w:r w:rsidRPr="009E2F0A">
          <w:rPr>
            <w:rStyle w:val="Hyperlink"/>
            <w:lang w:bidi="es-ES"/>
          </w:rPr>
          <w:t>10.GA 7</w:t>
        </w:r>
      </w:hyperlink>
      <w:r w:rsidRPr="009E2F0A">
        <w:rPr>
          <w:lang w:bidi="es-ES"/>
        </w:rPr>
        <w:t xml:space="preserve">, se han simplificado los formularios ICH-03 (para las candidaturas al Registro) e ICH-02 USL a RL (para el traspaso de elementos de la Lista de Salvaguardia Urgente a la Lista Representativa, y la posible inclusión de la experiencia de salvaguardia relevante en el Registro), y se utilizarán a partir del ciclo 2026 en adelante (véase el documento </w:t>
      </w:r>
      <w:hyperlink r:id="rId26" w:history="1">
        <w:r w:rsidRPr="009E2F0A">
          <w:rPr>
            <w:rStyle w:val="Hyperlink"/>
            <w:lang w:bidi="es-ES"/>
          </w:rPr>
          <w:t>LHE/25/20.COM</w:t>
        </w:r>
        <w:r w:rsidR="00EA6AC9" w:rsidRPr="009E2F0A">
          <w:rPr>
            <w:rStyle w:val="Hyperlink"/>
            <w:lang w:bidi="es-ES"/>
          </w:rPr>
          <w:t>/</w:t>
        </w:r>
        <w:r w:rsidRPr="009E2F0A">
          <w:rPr>
            <w:rStyle w:val="Hyperlink"/>
            <w:lang w:bidi="es-ES"/>
          </w:rPr>
          <w:t>8</w:t>
        </w:r>
      </w:hyperlink>
      <w:r w:rsidRPr="009E2F0A">
        <w:rPr>
          <w:lang w:bidi="es-ES"/>
        </w:rPr>
        <w:t>).</w:t>
      </w:r>
    </w:p>
    <w:p w14:paraId="2EBA5E85" w14:textId="731F3138" w:rsidR="00DC581D" w:rsidRPr="009E2F0A" w:rsidRDefault="00DC581D" w:rsidP="00376C5F">
      <w:pPr>
        <w:pStyle w:val="COMPara"/>
        <w:ind w:left="567" w:hanging="567"/>
        <w:jc w:val="both"/>
        <w:rPr>
          <w:lang w:val="es-ES_tradnl"/>
        </w:rPr>
      </w:pPr>
      <w:r w:rsidRPr="009E2F0A">
        <w:rPr>
          <w:lang w:bidi="es-ES"/>
        </w:rPr>
        <w:t xml:space="preserve">La Secretaría continuó ejecutando proyectos piloto en consonancia con los principios y las modalidades operacionales para la </w:t>
      </w:r>
      <w:r w:rsidRPr="009E2F0A">
        <w:rPr>
          <w:u w:val="single"/>
          <w:lang w:bidi="es-ES"/>
        </w:rPr>
        <w:t>salvaguardia del patrimonio cultural inmaterial en situaciones de emergencia</w:t>
      </w:r>
      <w:r w:rsidRPr="009E2F0A">
        <w:rPr>
          <w:lang w:bidi="es-ES"/>
        </w:rPr>
        <w:t xml:space="preserve"> (Resolución </w:t>
      </w:r>
      <w:hyperlink r:id="rId27" w:history="1">
        <w:r w:rsidRPr="009E2F0A">
          <w:rPr>
            <w:rStyle w:val="Hyperlink"/>
            <w:lang w:bidi="es-ES"/>
          </w:rPr>
          <w:t>8.GA 9</w:t>
        </w:r>
      </w:hyperlink>
      <w:r w:rsidRPr="009E2F0A">
        <w:rPr>
          <w:lang w:bidi="es-ES"/>
        </w:rPr>
        <w:t>). El proyecto plurianual</w:t>
      </w:r>
      <w:r w:rsidR="0021438A" w:rsidRPr="009E2F0A">
        <w:rPr>
          <w:sz w:val="21"/>
          <w:szCs w:val="21"/>
          <w:lang w:val="es-ES_tradnl" w:eastAsia="zh-CN"/>
        </w:rPr>
        <w:t xml:space="preserve"> </w:t>
      </w:r>
      <w:hyperlink r:id="rId28" w:history="1">
        <w:r w:rsidR="0021438A" w:rsidRPr="009E2F0A">
          <w:rPr>
            <w:rStyle w:val="Hyperlink"/>
            <w:lang w:val="es-ES_tradnl"/>
          </w:rPr>
          <w:t>“Fortalecimiento de capacidades para la salvaguardia del patrimonio cultural inmaterial en situaciones de emergencia en los pequeños Estados insulares en desarrollo (PEID) en el Pacífico y el Caribe”</w:t>
        </w:r>
        <w:r w:rsidRPr="009E2F0A">
          <w:rPr>
            <w:rStyle w:val="Hyperlink"/>
            <w:lang w:bidi="es-ES"/>
          </w:rPr>
          <w:t>,</w:t>
        </w:r>
      </w:hyperlink>
      <w:r w:rsidRPr="009E2F0A">
        <w:rPr>
          <w:lang w:bidi="es-ES"/>
        </w:rPr>
        <w:t xml:space="preserve"> financiado por el Fondo Fiduciario del Japón, se completó en cinco Estados Partes (Bahamas, Belice, Fi</w:t>
      </w:r>
      <w:r w:rsidR="00376C5F" w:rsidRPr="009E2F0A">
        <w:rPr>
          <w:lang w:bidi="es-ES"/>
        </w:rPr>
        <w:t>j</w:t>
      </w:r>
      <w:r w:rsidRPr="009E2F0A">
        <w:rPr>
          <w:lang w:bidi="es-ES"/>
        </w:rPr>
        <w:t>i, Tonga y Vanuatu) en diciembre de 2025. En el contexto de la guerra en Ucrania, la Secretaría se coordinó con el Gobierno de Ucrania para hacer un seguimiento de las necesidades de salvaguardia, basándose en el Plan de Acción 2024 y con el apoyo del Fondo de Emergencia para el Patrimonio. En particular, la segunda fase del proyecto se puso en marcha en junio de 2025, con la formación de 100 formadores de docentes de toda Ucrania en cuatro talleres presenciales.</w:t>
      </w:r>
    </w:p>
    <w:p w14:paraId="3EC8E863" w14:textId="3E02494A" w:rsidR="00DC581D" w:rsidRPr="009E2F0A" w:rsidRDefault="00DC581D" w:rsidP="00DC581D">
      <w:pPr>
        <w:pStyle w:val="COMPara"/>
        <w:ind w:left="567" w:hanging="567"/>
        <w:jc w:val="both"/>
      </w:pPr>
      <w:r w:rsidRPr="009E2F0A">
        <w:rPr>
          <w:lang w:bidi="es-ES"/>
        </w:rPr>
        <w:t xml:space="preserve">El primer ciclo regional de </w:t>
      </w:r>
      <w:r w:rsidRPr="009E2F0A">
        <w:rPr>
          <w:u w:val="single"/>
          <w:lang w:bidi="es-ES"/>
        </w:rPr>
        <w:t>presentación de informes periódicos</w:t>
      </w:r>
      <w:r w:rsidRPr="009E2F0A">
        <w:rPr>
          <w:lang w:bidi="es-ES"/>
        </w:rPr>
        <w:t xml:space="preserve"> de la Convención terminó en 2025, tras lograr un elevado índice de presentación de informes en todas las regiones. Las tasas de presentación de informes de las dos últimas regiones en el periodo 2024-2025 fueron del 100 % para África (se presentaron y examinaron 44 de los 44 informes previstos antes de la decimonovena reunión del Comité) y del 90 % para Asia y el Pacífico (se presentaron y examinaron 38 de los 42 informes previstos antes de la vigésima reunión del Comité). La Secretaría apoyó estrechamente a estas dos regiones con un enfoque adaptado de fortalecimiento de capacidades, en cooperación con los centros de categoría 2 de la UNESCO en la esfera del patrimonio vivo. </w:t>
      </w:r>
      <w:r w:rsidR="004627D0" w:rsidRPr="009E2F0A">
        <w:rPr>
          <w:lang w:bidi="es-ES"/>
        </w:rPr>
        <w:t>En adelante</w:t>
      </w:r>
      <w:r w:rsidRPr="009E2F0A">
        <w:rPr>
          <w:lang w:bidi="es-ES"/>
        </w:rPr>
        <w:t xml:space="preserve">, el Comité ha </w:t>
      </w:r>
      <w:r w:rsidR="004627D0" w:rsidRPr="009E2F0A">
        <w:rPr>
          <w:lang w:bidi="es-ES"/>
        </w:rPr>
        <w:t xml:space="preserve">solicitado </w:t>
      </w:r>
      <w:r w:rsidRPr="009E2F0A">
        <w:rPr>
          <w:lang w:bidi="es-ES"/>
        </w:rPr>
        <w:t xml:space="preserve">a los Centros de Categoría 2 que sigan apoyando la aplicación del próximo ciclo de presentación de informes periódicos, en particular para avanzar hacia un único sistema de presentación global (Decisión </w:t>
      </w:r>
      <w:hyperlink r:id="rId29" w:history="1">
        <w:r w:rsidRPr="009E2F0A">
          <w:rPr>
            <w:rStyle w:val="Hyperlink"/>
            <w:lang w:bidi="es-ES"/>
          </w:rPr>
          <w:t>20.COM 6.c</w:t>
        </w:r>
      </w:hyperlink>
      <w:r w:rsidRPr="009E2F0A">
        <w:rPr>
          <w:lang w:bidi="es-ES"/>
        </w:rPr>
        <w:t xml:space="preserve"> y </w:t>
      </w:r>
      <w:r w:rsidRPr="009E2F0A">
        <w:rPr>
          <w:rStyle w:val="ui-provider"/>
          <w:lang w:bidi="es-ES"/>
        </w:rPr>
        <w:t xml:space="preserve">documento </w:t>
      </w:r>
      <w:hyperlink r:id="rId30" w:history="1">
        <w:r w:rsidRPr="009E2F0A">
          <w:rPr>
            <w:rStyle w:val="Hyperlink"/>
            <w:lang w:bidi="es-ES"/>
          </w:rPr>
          <w:t>LHE/26/11.GA/7</w:t>
        </w:r>
      </w:hyperlink>
      <w:r w:rsidRPr="009E2F0A">
        <w:rPr>
          <w:lang w:bidi="es-ES"/>
        </w:rPr>
        <w:t>)</w:t>
      </w:r>
    </w:p>
    <w:p w14:paraId="3C87F029" w14:textId="4DC36B6E" w:rsidR="00DC581D" w:rsidRPr="009E2F0A" w:rsidRDefault="00DC581D" w:rsidP="00DC581D">
      <w:pPr>
        <w:pStyle w:val="COMPara"/>
        <w:ind w:left="567" w:hanging="567"/>
        <w:jc w:val="both"/>
      </w:pPr>
      <w:r w:rsidRPr="009E2F0A">
        <w:rPr>
          <w:lang w:bidi="es-ES"/>
        </w:rPr>
        <w:t xml:space="preserve">El mecanismo de </w:t>
      </w:r>
      <w:r w:rsidRPr="009E2F0A">
        <w:rPr>
          <w:u w:val="single"/>
          <w:lang w:bidi="es-ES"/>
        </w:rPr>
        <w:t>asistencia internacional</w:t>
      </w:r>
      <w:r w:rsidRPr="009E2F0A">
        <w:rPr>
          <w:lang w:bidi="es-ES"/>
        </w:rPr>
        <w:t xml:space="preserve"> continuó con la puesta en práctica de la estrategia aprobada por el Comité en su decimoséptima reunión (Decisión </w:t>
      </w:r>
      <w:hyperlink r:id="rId31" w:history="1">
        <w:r w:rsidRPr="009E2F0A">
          <w:rPr>
            <w:rStyle w:val="Hyperlink"/>
            <w:lang w:bidi="es-ES"/>
          </w:rPr>
          <w:t>17.COM 11</w:t>
        </w:r>
      </w:hyperlink>
      <w:r w:rsidRPr="009E2F0A">
        <w:rPr>
          <w:lang w:bidi="es-ES"/>
        </w:rPr>
        <w:t xml:space="preserve">), en particular con la puesta en marcha del ejercicio piloto de evaluación de dos proyectos finalizados, realizado en consonancia con la estrategia mencionada. Al mismo tiempo, la Secretaría continuó apoyando las iniciativas nacionales de salvaguardia, y </w:t>
      </w:r>
      <w:r w:rsidR="00FD2743" w:rsidRPr="009E2F0A">
        <w:rPr>
          <w:lang w:bidi="es-ES"/>
        </w:rPr>
        <w:t>15</w:t>
      </w:r>
      <w:r w:rsidRPr="009E2F0A">
        <w:rPr>
          <w:lang w:bidi="es-ES"/>
        </w:rPr>
        <w:t xml:space="preserve"> </w:t>
      </w:r>
      <w:proofErr w:type="gramStart"/>
      <w:r w:rsidRPr="009E2F0A">
        <w:rPr>
          <w:lang w:bidi="es-ES"/>
        </w:rPr>
        <w:t>Estados Partes</w:t>
      </w:r>
      <w:proofErr w:type="gramEnd"/>
      <w:r w:rsidRPr="009E2F0A">
        <w:rPr>
          <w:lang w:bidi="es-ES"/>
        </w:rPr>
        <w:t xml:space="preserve"> (entre ellos cinco del PEID) recibieron ayuda financiera por primera vez, ampliando así el alcance geográfico del mecanismo (documentos </w:t>
      </w:r>
      <w:hyperlink r:id="rId32" w:history="1">
        <w:r w:rsidRPr="009E2F0A">
          <w:rPr>
            <w:rStyle w:val="Hyperlink"/>
            <w:lang w:bidi="es-ES"/>
          </w:rPr>
          <w:t>LHE/26/11.GA/8</w:t>
        </w:r>
      </w:hyperlink>
      <w:r w:rsidRPr="009E2F0A">
        <w:rPr>
          <w:lang w:bidi="es-ES"/>
        </w:rPr>
        <w:t xml:space="preserve"> y </w:t>
      </w:r>
      <w:hyperlink r:id="rId33" w:history="1">
        <w:r w:rsidRPr="009E2F0A">
          <w:rPr>
            <w:rStyle w:val="Hyperlink"/>
            <w:lang w:bidi="es-ES"/>
          </w:rPr>
          <w:t>LHE/26/11.GA/INF.8</w:t>
        </w:r>
      </w:hyperlink>
      <w:r w:rsidRPr="009E2F0A">
        <w:rPr>
          <w:lang w:bidi="es-ES"/>
        </w:rPr>
        <w:t>).</w:t>
      </w:r>
    </w:p>
    <w:p w14:paraId="461538B3" w14:textId="328804EA" w:rsidR="00DC581D" w:rsidRPr="009E2F0A" w:rsidRDefault="0044085E" w:rsidP="009E2F0A">
      <w:pPr>
        <w:pStyle w:val="COMPara"/>
        <w:numPr>
          <w:ilvl w:val="0"/>
          <w:numId w:val="0"/>
        </w:numPr>
        <w:tabs>
          <w:tab w:val="left" w:pos="567"/>
        </w:tabs>
        <w:spacing w:before="240"/>
        <w:ind w:left="-142" w:firstLine="142"/>
        <w:jc w:val="both"/>
        <w:rPr>
          <w:b/>
          <w:bCs/>
        </w:rPr>
      </w:pPr>
      <w:r w:rsidRPr="009E2F0A">
        <w:rPr>
          <w:b/>
          <w:lang w:bidi="es-ES"/>
        </w:rPr>
        <w:lastRenderedPageBreak/>
        <w:t>II.</w:t>
      </w:r>
      <w:r w:rsidRPr="009E2F0A">
        <w:rPr>
          <w:b/>
          <w:lang w:bidi="es-ES"/>
        </w:rPr>
        <w:tab/>
      </w:r>
      <w:r w:rsidR="00DC581D" w:rsidRPr="009E2F0A">
        <w:rPr>
          <w:b/>
          <w:lang w:bidi="es-ES"/>
        </w:rPr>
        <w:t>Actividades operativas e iniciativas temáticas</w:t>
      </w:r>
    </w:p>
    <w:p w14:paraId="372D02C5" w14:textId="039C8998" w:rsidR="00DC581D" w:rsidRPr="009E2F0A" w:rsidRDefault="00DC581D" w:rsidP="00DC581D">
      <w:pPr>
        <w:pStyle w:val="COMPara"/>
        <w:ind w:left="567" w:hanging="567"/>
        <w:jc w:val="both"/>
      </w:pPr>
      <w:r w:rsidRPr="009E2F0A">
        <w:rPr>
          <w:lang w:bidi="es-ES"/>
        </w:rPr>
        <w:t xml:space="preserve">Desde el punto de vista operativo, las </w:t>
      </w:r>
      <w:r w:rsidRPr="009E2F0A">
        <w:rPr>
          <w:u w:val="single"/>
          <w:lang w:bidi="es-ES"/>
        </w:rPr>
        <w:t>iniciativas de fortalecimiento de capacidades</w:t>
      </w:r>
      <w:r w:rsidRPr="009E2F0A">
        <w:rPr>
          <w:lang w:bidi="es-ES"/>
        </w:rPr>
        <w:t xml:space="preserve"> de la Secretaría ampliaron su ámbito y alcance en el marco de la primera prioridad de financiación de la Convención (que terminó a finales de 2025, véase el documento </w:t>
      </w:r>
      <w:hyperlink r:id="rId34" w:history="1">
        <w:r w:rsidRPr="009E2F0A">
          <w:rPr>
            <w:rStyle w:val="Hyperlink"/>
            <w:lang w:bidi="es-ES"/>
          </w:rPr>
          <w:t>LHE/25/20.COM/INF.13.1</w:t>
        </w:r>
      </w:hyperlink>
      <w:r w:rsidRPr="009E2F0A">
        <w:rPr>
          <w:lang w:bidi="es-ES"/>
        </w:rPr>
        <w:t>), con el apoyo prestado a 127 Estados Miembros, entre ellos 44 de África y 33 del PEID, para elaborar políticas, estrategias y programas nuevos o revisados destinados a salvaguardar el patrimonio vivo.</w:t>
      </w:r>
    </w:p>
    <w:p w14:paraId="54D00DF1" w14:textId="4B509E38" w:rsidR="00DC581D" w:rsidRPr="009E2F0A" w:rsidRDefault="00DC581D" w:rsidP="00DC581D">
      <w:pPr>
        <w:pStyle w:val="COMPara"/>
        <w:ind w:left="567" w:hanging="567"/>
        <w:jc w:val="both"/>
      </w:pPr>
      <w:r w:rsidRPr="009E2F0A">
        <w:rPr>
          <w:lang w:bidi="es-ES"/>
        </w:rPr>
        <w:t xml:space="preserve">Al finalizar la primera prioridad de financiación, el programa de fortalecimiento de capacidades ha completado de manera eficaz su transición a una modalidad híbrida, en particular con la puesta en marcha de la </w:t>
      </w:r>
      <w:r w:rsidRPr="009E2F0A">
        <w:rPr>
          <w:u w:val="single"/>
          <w:lang w:bidi="es-ES"/>
        </w:rPr>
        <w:t>Plataforma de Aprendizaje de la UNESCO para la salvaguardia del patrimonio vivo para el desarrollo sostenible</w:t>
      </w:r>
      <w:r w:rsidRPr="009E2F0A">
        <w:rPr>
          <w:lang w:bidi="es-ES"/>
        </w:rPr>
        <w:t xml:space="preserve">. Gracias a una asociación con el Centro Internacional de Formación de la Organización Internacional del Trabajo (CIF-OIT), así como con una empresa externa y facilitadores, la plataforma se puso a disposición del público el 23 de mayo de 2025, y los </w:t>
      </w:r>
      <w:hyperlink r:id="rId35" w:history="1">
        <w:r w:rsidRPr="009E2F0A">
          <w:rPr>
            <w:rStyle w:val="Hyperlink"/>
            <w:lang w:bidi="es-ES"/>
          </w:rPr>
          <w:t>tres</w:t>
        </w:r>
        <w:r w:rsidRPr="009E2F0A">
          <w:rPr>
            <w:rStyle w:val="Hyperlink"/>
          </w:rPr>
          <w:t xml:space="preserve"> primeros módulos</w:t>
        </w:r>
      </w:hyperlink>
      <w:r w:rsidRPr="009E2F0A">
        <w:rPr>
          <w:lang w:bidi="es-ES"/>
        </w:rPr>
        <w:t xml:space="preserve"> se cargaron en diciembre de 2025 y se presentaron en la vigésima reunión del Comité. En la misma línea, la </w:t>
      </w:r>
      <w:r w:rsidRPr="009E2F0A">
        <w:rPr>
          <w:u w:val="single"/>
          <w:lang w:bidi="es-ES"/>
        </w:rPr>
        <w:t>red mundial de facilitadores</w:t>
      </w:r>
      <w:r w:rsidRPr="009E2F0A">
        <w:rPr>
          <w:lang w:bidi="es-ES"/>
        </w:rPr>
        <w:t xml:space="preserve"> de la Convención recibió formación en los ámbitos temáticos de la Convención, a través de una serie de seminarios web de formación sobre las conexiones entre el patrimonio vivo y (1) </w:t>
      </w:r>
      <w:hyperlink r:id="rId36" w:history="1">
        <w:r w:rsidRPr="009E2F0A">
          <w:rPr>
            <w:rStyle w:val="Hyperlink"/>
            <w:lang w:bidi="es-ES"/>
          </w:rPr>
          <w:t>la reducción del riesgo de desastres</w:t>
        </w:r>
      </w:hyperlink>
      <w:r w:rsidRPr="009E2F0A">
        <w:rPr>
          <w:lang w:bidi="es-ES"/>
        </w:rPr>
        <w:t xml:space="preserve"> (marzo de 2025); (2) </w:t>
      </w:r>
      <w:hyperlink r:id="rId37" w:history="1">
        <w:r w:rsidRPr="009E2F0A">
          <w:rPr>
            <w:rStyle w:val="Hyperlink"/>
            <w:lang w:bidi="es-ES"/>
          </w:rPr>
          <w:t>las candidaturas</w:t>
        </w:r>
      </w:hyperlink>
      <w:r w:rsidRPr="009E2F0A">
        <w:rPr>
          <w:lang w:bidi="es-ES"/>
        </w:rPr>
        <w:t xml:space="preserve"> (junio de 2025); y (3) </w:t>
      </w:r>
      <w:hyperlink r:id="rId38" w:history="1">
        <w:r w:rsidRPr="009E2F0A">
          <w:rPr>
            <w:rStyle w:val="Hyperlink"/>
            <w:lang w:bidi="es-ES"/>
          </w:rPr>
          <w:t>la educación</w:t>
        </w:r>
      </w:hyperlink>
      <w:r w:rsidRPr="009E2F0A">
        <w:rPr>
          <w:lang w:bidi="es-ES"/>
        </w:rPr>
        <w:t xml:space="preserve"> (julio de 2025).</w:t>
      </w:r>
    </w:p>
    <w:p w14:paraId="4CB3B03D" w14:textId="0A49D43C" w:rsidR="00DC581D" w:rsidRPr="009E2F0A" w:rsidRDefault="00DC581D" w:rsidP="00DC581D">
      <w:pPr>
        <w:pStyle w:val="COMPara"/>
        <w:ind w:left="567" w:hanging="567"/>
        <w:jc w:val="both"/>
      </w:pPr>
      <w:r w:rsidRPr="009E2F0A">
        <w:rPr>
          <w:lang w:bidi="es-ES"/>
        </w:rPr>
        <w:t xml:space="preserve">El programa sobre la </w:t>
      </w:r>
      <w:r w:rsidRPr="009E2F0A">
        <w:rPr>
          <w:u w:val="single"/>
          <w:lang w:bidi="es-ES"/>
        </w:rPr>
        <w:t>salvaguardia del patrimonio cultural inmaterial en la educación formal y no formal</w:t>
      </w:r>
      <w:r w:rsidRPr="009E2F0A">
        <w:rPr>
          <w:lang w:bidi="es-ES"/>
        </w:rPr>
        <w:t xml:space="preserve"> también terminó a finales de 2025, como segunda prioridad de financiación en el marco de la Convención entre 2022-2025 (documento </w:t>
      </w:r>
      <w:hyperlink r:id="rId39" w:history="1">
        <w:r w:rsidRPr="009E2F0A">
          <w:rPr>
            <w:rStyle w:val="Hyperlink"/>
            <w:lang w:bidi="es-ES"/>
          </w:rPr>
          <w:t>LHE/25/20.COM/INF.13.2</w:t>
        </w:r>
      </w:hyperlink>
      <w:r w:rsidRPr="009E2F0A">
        <w:rPr>
          <w:lang w:bidi="es-ES"/>
        </w:rPr>
        <w:t xml:space="preserve">). El programa ha demostrado con éxito cómo el patrimonio vivo puede servir de apoyo a los alumnos en diversos contextos educativos, en particular mediante la integración de la salvaguardia del patrimonio vivo en los principales marcos educativos internacionales, como el </w:t>
      </w:r>
      <w:hyperlink r:id="rId40" w:history="1">
        <w:r w:rsidRPr="009E2F0A">
          <w:rPr>
            <w:rStyle w:val="Hyperlink"/>
            <w:lang w:bidi="es-ES"/>
          </w:rPr>
          <w:t xml:space="preserve">Marco de la UNESCO para la Educación </w:t>
        </w:r>
        <w:r w:rsidR="00EA62F4" w:rsidRPr="009E2F0A">
          <w:rPr>
            <w:rStyle w:val="Hyperlink"/>
            <w:lang w:bidi="es-ES"/>
          </w:rPr>
          <w:t xml:space="preserve">Artística y </w:t>
        </w:r>
        <w:r w:rsidRPr="009E2F0A">
          <w:rPr>
            <w:rStyle w:val="Hyperlink"/>
            <w:lang w:bidi="es-ES"/>
          </w:rPr>
          <w:t>Cultural</w:t>
        </w:r>
      </w:hyperlink>
      <w:r w:rsidRPr="009E2F0A">
        <w:rPr>
          <w:lang w:bidi="es-ES"/>
        </w:rPr>
        <w:t xml:space="preserve"> (2024). También se han desarrollado recursos en línea en este ámbito durante el periodo que abarca el informe; esto incluye el </w:t>
      </w:r>
      <w:hyperlink r:id="rId41" w:history="1">
        <w:r w:rsidRPr="009E2F0A">
          <w:rPr>
            <w:rStyle w:val="Hyperlink"/>
            <w:lang w:bidi="es-ES"/>
          </w:rPr>
          <w:t>Centro de Intercambio de Información sobre patrimonio vivo y educación</w:t>
        </w:r>
      </w:hyperlink>
      <w:r w:rsidRPr="009E2F0A">
        <w:rPr>
          <w:lang w:bidi="es-ES"/>
        </w:rPr>
        <w:t xml:space="preserve">, así como un curso en línea titulado </w:t>
      </w:r>
      <w:hyperlink r:id="rId42" w:history="1">
        <w:r w:rsidRPr="009E2F0A">
          <w:rPr>
            <w:rStyle w:val="Hyperlink"/>
            <w:lang w:bidi="es-ES"/>
          </w:rPr>
          <w:t>"Transformar el aprendizaje con el patrimonio vivo",</w:t>
        </w:r>
      </w:hyperlink>
      <w:r w:rsidRPr="009E2F0A">
        <w:rPr>
          <w:lang w:bidi="es-ES"/>
        </w:rPr>
        <w:t xml:space="preserve"> que se publicó en la Plataforma de Aprendizaje de la UNESCO en la vigésima sesión del Comité.</w:t>
      </w:r>
    </w:p>
    <w:p w14:paraId="247CFE43" w14:textId="4D5FC0D0" w:rsidR="00DC581D" w:rsidRPr="009E2F0A" w:rsidRDefault="00DC581D" w:rsidP="00DC581D">
      <w:pPr>
        <w:pStyle w:val="COMPara"/>
        <w:ind w:left="567" w:hanging="567"/>
        <w:jc w:val="both"/>
      </w:pPr>
      <w:r w:rsidRPr="009E2F0A">
        <w:rPr>
          <w:lang w:bidi="es-ES"/>
        </w:rPr>
        <w:t xml:space="preserve">Por último, la Secretaría avanzó en la aplicación de las tres </w:t>
      </w:r>
      <w:r w:rsidRPr="009E2F0A">
        <w:rPr>
          <w:u w:val="single"/>
          <w:lang w:bidi="es-ES"/>
        </w:rPr>
        <w:t>iniciativas temáticas</w:t>
      </w:r>
      <w:r w:rsidRPr="009E2F0A">
        <w:rPr>
          <w:lang w:bidi="es-ES"/>
        </w:rPr>
        <w:t xml:space="preserve"> aprobadas por el Comité en 2021, con la finalización de </w:t>
      </w:r>
      <w:hyperlink r:id="rId43" w:history="1">
        <w:r w:rsidRPr="009E2F0A">
          <w:rPr>
            <w:rStyle w:val="Hyperlink"/>
            <w:lang w:bidi="es-ES"/>
          </w:rPr>
          <w:t>notas de orientación</w:t>
        </w:r>
      </w:hyperlink>
      <w:r w:rsidRPr="009E2F0A">
        <w:rPr>
          <w:lang w:bidi="es-ES"/>
        </w:rPr>
        <w:t xml:space="preserve"> para los tres temas: las </w:t>
      </w:r>
      <w:hyperlink r:id="rId44" w:history="1">
        <w:r w:rsidRPr="009E2F0A">
          <w:rPr>
            <w:rStyle w:val="Hyperlink"/>
            <w:lang w:bidi="es-ES"/>
          </w:rPr>
          <w:t>dimensiones económicas</w:t>
        </w:r>
      </w:hyperlink>
      <w:r w:rsidRPr="009E2F0A">
        <w:rPr>
          <w:lang w:bidi="es-ES"/>
        </w:rPr>
        <w:t xml:space="preserve"> de la salvaguardia del patrimonio cultural inmaterial, el patrimonio cultural inmaterial y el </w:t>
      </w:r>
      <w:hyperlink r:id="rId45" w:history="1">
        <w:r w:rsidRPr="009E2F0A">
          <w:rPr>
            <w:rStyle w:val="Hyperlink"/>
            <w:lang w:bidi="es-ES"/>
          </w:rPr>
          <w:t>cambio climático</w:t>
        </w:r>
      </w:hyperlink>
      <w:r w:rsidRPr="009E2F0A">
        <w:rPr>
          <w:lang w:bidi="es-ES"/>
        </w:rPr>
        <w:t xml:space="preserve">, y el patrimonio cultural inmaterial en </w:t>
      </w:r>
      <w:hyperlink r:id="rId46" w:history="1">
        <w:r w:rsidRPr="009E2F0A">
          <w:rPr>
            <w:rStyle w:val="Hyperlink"/>
            <w:lang w:bidi="es-ES"/>
          </w:rPr>
          <w:t>contextos urbanos</w:t>
        </w:r>
      </w:hyperlink>
      <w:r w:rsidRPr="009E2F0A">
        <w:rPr>
          <w:lang w:bidi="es-ES"/>
        </w:rPr>
        <w:t xml:space="preserve">. La finalización de las tres notas de orientación ha proporcionado a la Secretaría una base firme para realizar una labor más específica de cada sector en estos ámbitos (véase el documento </w:t>
      </w:r>
      <w:hyperlink r:id="rId47" w:history="1">
        <w:r w:rsidRPr="009E2F0A">
          <w:rPr>
            <w:rStyle w:val="Hyperlink"/>
            <w:lang w:bidi="es-ES"/>
          </w:rPr>
          <w:t>LHE/25/20.COM</w:t>
        </w:r>
        <w:r w:rsidR="00A904D2" w:rsidRPr="009E2F0A">
          <w:rPr>
            <w:rStyle w:val="Hyperlink"/>
            <w:lang w:bidi="es-ES"/>
          </w:rPr>
          <w:t>/</w:t>
        </w:r>
        <w:r w:rsidRPr="009E2F0A">
          <w:rPr>
            <w:rStyle w:val="Hyperlink"/>
            <w:lang w:bidi="es-ES"/>
          </w:rPr>
          <w:t>12</w:t>
        </w:r>
      </w:hyperlink>
      <w:r w:rsidRPr="009E2F0A">
        <w:rPr>
          <w:lang w:bidi="es-ES"/>
        </w:rPr>
        <w:t xml:space="preserve">). En su vigésima reunión, el Comité también aprobó la puesta en marcha de una nueva iniciativa temática sobre inteligencia artificial y patrimonio vivo, que ya ha recibido apoyo financiero del Reino de los Países Bajos y Suecia (Decisiones </w:t>
      </w:r>
      <w:hyperlink r:id="rId48" w:history="1">
        <w:r w:rsidRPr="009E2F0A">
          <w:rPr>
            <w:rStyle w:val="Hyperlink"/>
            <w:lang w:bidi="es-ES"/>
          </w:rPr>
          <w:t>20.COM 12</w:t>
        </w:r>
      </w:hyperlink>
      <w:r w:rsidRPr="009E2F0A">
        <w:rPr>
          <w:lang w:bidi="es-ES"/>
        </w:rPr>
        <w:t xml:space="preserve"> y </w:t>
      </w:r>
      <w:hyperlink r:id="rId49" w:history="1">
        <w:r w:rsidRPr="009E2F0A">
          <w:rPr>
            <w:rStyle w:val="Hyperlink"/>
            <w:lang w:bidi="es-ES"/>
          </w:rPr>
          <w:t>20.COM 13</w:t>
        </w:r>
      </w:hyperlink>
      <w:r w:rsidRPr="009E2F0A">
        <w:rPr>
          <w:lang w:bidi="es-ES"/>
        </w:rPr>
        <w:t>).</w:t>
      </w:r>
    </w:p>
    <w:p w14:paraId="6A330B9B" w14:textId="76AA34F6" w:rsidR="00DC581D" w:rsidRPr="009E2F0A" w:rsidRDefault="00CD4AAD" w:rsidP="009E2F0A">
      <w:pPr>
        <w:pStyle w:val="COMPara"/>
        <w:numPr>
          <w:ilvl w:val="0"/>
          <w:numId w:val="0"/>
        </w:numPr>
        <w:tabs>
          <w:tab w:val="left" w:pos="567"/>
        </w:tabs>
        <w:spacing w:before="240"/>
        <w:ind w:left="-142" w:firstLine="142"/>
        <w:jc w:val="both"/>
        <w:rPr>
          <w:b/>
          <w:bCs/>
        </w:rPr>
      </w:pPr>
      <w:r w:rsidRPr="009E2F0A">
        <w:rPr>
          <w:b/>
          <w:lang w:bidi="es-ES"/>
        </w:rPr>
        <w:t>III.</w:t>
      </w:r>
      <w:r w:rsidRPr="009E2F0A">
        <w:rPr>
          <w:b/>
          <w:lang w:bidi="es-ES"/>
        </w:rPr>
        <w:tab/>
      </w:r>
      <w:r w:rsidR="00DC581D" w:rsidRPr="009E2F0A">
        <w:rPr>
          <w:b/>
          <w:lang w:bidi="es-ES"/>
        </w:rPr>
        <w:t>Asociaciones, comunicaciones y divulgación</w:t>
      </w:r>
    </w:p>
    <w:p w14:paraId="43512D26" w14:textId="02C7B212" w:rsidR="00DC581D" w:rsidRPr="009E2F0A" w:rsidRDefault="00DC581D" w:rsidP="00DC581D">
      <w:pPr>
        <w:pStyle w:val="COMPara"/>
        <w:ind w:left="567" w:hanging="567"/>
        <w:jc w:val="both"/>
      </w:pPr>
      <w:r w:rsidRPr="009E2F0A">
        <w:rPr>
          <w:lang w:bidi="es-ES"/>
        </w:rPr>
        <w:t xml:space="preserve">La Secretaría siguió reforzando su colaboración con el </w:t>
      </w:r>
      <w:r w:rsidRPr="009E2F0A">
        <w:rPr>
          <w:u w:val="single"/>
          <w:lang w:bidi="es-ES"/>
        </w:rPr>
        <w:t>Foro de ONG del PCI</w:t>
      </w:r>
      <w:r w:rsidRPr="009E2F0A">
        <w:rPr>
          <w:lang w:bidi="es-ES"/>
        </w:rPr>
        <w:t xml:space="preserve"> con reuniones periódicas de intercambio de información con el Consejo Ejecutivo y los Grupos de Trabajo del Foro. En consonancia con la Decisión </w:t>
      </w:r>
      <w:hyperlink r:id="rId50" w:history="1">
        <w:r w:rsidRPr="009E2F0A">
          <w:rPr>
            <w:rStyle w:val="Hyperlink"/>
            <w:lang w:bidi="es-ES"/>
          </w:rPr>
          <w:t>14.COM 15</w:t>
        </w:r>
      </w:hyperlink>
      <w:r w:rsidRPr="009E2F0A">
        <w:rPr>
          <w:lang w:bidi="es-ES"/>
        </w:rPr>
        <w:t xml:space="preserve">, la Secretaría ha completado la primera fase de cartografía de los ámbitos de competencia de 60 ONG acreditadas (que ya están disponibles en </w:t>
      </w:r>
      <w:hyperlink r:id="rId51" w:history="1">
        <w:r w:rsidRPr="009E2F0A">
          <w:rPr>
            <w:rStyle w:val="Hyperlink"/>
            <w:lang w:bidi="es-ES"/>
          </w:rPr>
          <w:t>la página web de la Convención</w:t>
        </w:r>
      </w:hyperlink>
      <w:r w:rsidRPr="009E2F0A">
        <w:rPr>
          <w:lang w:bidi="es-ES"/>
        </w:rPr>
        <w:t>) y la segunda fase de cartografía (de 100 perfiles de ONG) está actualmente en curso.</w:t>
      </w:r>
    </w:p>
    <w:p w14:paraId="1C3DDD9A" w14:textId="6D74BC2F" w:rsidR="00DC581D" w:rsidRPr="009E2F0A" w:rsidRDefault="00DC581D" w:rsidP="00DC581D">
      <w:pPr>
        <w:pStyle w:val="COMPara"/>
        <w:ind w:left="567" w:hanging="567"/>
        <w:jc w:val="both"/>
      </w:pPr>
      <w:r w:rsidRPr="009E2F0A">
        <w:rPr>
          <w:lang w:bidi="es-ES"/>
        </w:rPr>
        <w:t xml:space="preserve">La Secretaría prosiguió también su colaboración con </w:t>
      </w:r>
      <w:r w:rsidRPr="009E2F0A">
        <w:rPr>
          <w:u w:val="single"/>
          <w:lang w:bidi="es-ES"/>
        </w:rPr>
        <w:t>los Centros de Categoría 2</w:t>
      </w:r>
      <w:r w:rsidRPr="009E2F0A">
        <w:rPr>
          <w:lang w:bidi="es-ES"/>
        </w:rPr>
        <w:t xml:space="preserve"> y las </w:t>
      </w:r>
      <w:r w:rsidRPr="009E2F0A">
        <w:rPr>
          <w:u w:val="single"/>
          <w:lang w:bidi="es-ES"/>
        </w:rPr>
        <w:t>Cátedras UNESCO</w:t>
      </w:r>
      <w:r w:rsidRPr="009E2F0A">
        <w:rPr>
          <w:lang w:bidi="es-ES"/>
        </w:rPr>
        <w:t xml:space="preserve"> que trabajan en el ámbito del patrimonio cultural inmaterial. Por lo que respecta a los Centros de Categoría 2, la duodécima reunión anual de coordinación se celebró en la Sede de la UNESCO el 13 de junio de 2024, mientras que la decimotercera reunión se celebró en línea el 16 de julio de 2025. Además, la Secretaría coordinó los procesos de </w:t>
      </w:r>
      <w:r w:rsidRPr="009E2F0A">
        <w:rPr>
          <w:lang w:bidi="es-ES"/>
        </w:rPr>
        <w:lastRenderedPageBreak/>
        <w:t xml:space="preserve">renovación de </w:t>
      </w:r>
      <w:r w:rsidR="00C75C71" w:rsidRPr="009E2F0A">
        <w:rPr>
          <w:lang w:bidi="es-ES"/>
        </w:rPr>
        <w:t xml:space="preserve">cinco </w:t>
      </w:r>
      <w:r w:rsidRPr="009E2F0A">
        <w:rPr>
          <w:lang w:bidi="es-ES"/>
        </w:rPr>
        <w:t>Centros de Categoría 2</w:t>
      </w:r>
      <w:r w:rsidRPr="009E2F0A">
        <w:rPr>
          <w:rStyle w:val="FootnoteReference"/>
          <w:lang w:bidi="es-ES"/>
        </w:rPr>
        <w:footnoteReference w:id="2"/>
      </w:r>
      <w:r w:rsidRPr="009E2F0A">
        <w:rPr>
          <w:lang w:bidi="es-ES"/>
        </w:rPr>
        <w:t>. Durante el periodo de presentación de informes también se renovaron cinco Cátedras UNESCO/UNITWIN y se creó una nueva Cátedra sobre Patrimonio Cultural Inmaterial en la Gobernanza Pública y Global (Universidad de Varsovia).</w:t>
      </w:r>
    </w:p>
    <w:p w14:paraId="0C6B2BC6" w14:textId="170428FF" w:rsidR="00DC581D" w:rsidRPr="009E2F0A" w:rsidRDefault="00DC581D" w:rsidP="00DC581D">
      <w:pPr>
        <w:pStyle w:val="COMPara"/>
        <w:ind w:left="567" w:hanging="567"/>
        <w:jc w:val="both"/>
      </w:pPr>
      <w:r w:rsidRPr="009E2F0A">
        <w:rPr>
          <w:u w:val="single"/>
          <w:lang w:bidi="es-ES"/>
        </w:rPr>
        <w:t>Los servicios de comunicación</w:t>
      </w:r>
      <w:r w:rsidRPr="009E2F0A">
        <w:rPr>
          <w:lang w:bidi="es-ES"/>
        </w:rPr>
        <w:t xml:space="preserve"> estratégica y </w:t>
      </w:r>
      <w:r w:rsidRPr="009E2F0A">
        <w:rPr>
          <w:u w:val="single"/>
          <w:lang w:bidi="es-ES"/>
        </w:rPr>
        <w:t>gestión del conocimiento</w:t>
      </w:r>
      <w:r w:rsidRPr="009E2F0A">
        <w:rPr>
          <w:lang w:bidi="es-ES"/>
        </w:rPr>
        <w:t xml:space="preserve"> se reforzaron durante el periodo de presentación de informes, en consonancia con el cambio de la Convención hacia un enfoque multimodal de la salvaguardia. En particular, las celebraciones del </w:t>
      </w:r>
      <w:hyperlink r:id="rId52" w:history="1">
        <w:r w:rsidRPr="009E2F0A">
          <w:rPr>
            <w:rStyle w:val="Hyperlink"/>
            <w:lang w:bidi="es-ES"/>
          </w:rPr>
          <w:t>Día Internacional del Patrimonio Cultural Inmaterial</w:t>
        </w:r>
      </w:hyperlink>
      <w:r w:rsidRPr="009E2F0A">
        <w:rPr>
          <w:lang w:bidi="es-ES"/>
        </w:rPr>
        <w:t xml:space="preserve"> (17 de octubre) incluyeron un gran número de actividades compartidas en la página web de la Convención (100 actividades en 2024 y 134 actividades en 2025).</w:t>
      </w:r>
      <w:r w:rsidR="00353924" w:rsidRPr="009E2F0A">
        <w:rPr>
          <w:lang w:bidi="es-ES"/>
        </w:rPr>
        <w:t xml:space="preserve"> </w:t>
      </w:r>
      <w:r w:rsidR="00CB6774" w:rsidRPr="009E2F0A">
        <w:rPr>
          <w:lang w:bidi="es-ES"/>
        </w:rPr>
        <w:t>Asimismo, la Secretaría apoyó el establecimiento del Premio UNESCO–Sultán Haitham para la Salvaguardia del Patrimonio Cultural Inmaterial, propuesto por el Sultanato de Omán, y dicho Premio fue aprobado por la 224ª reunión del Consejo Ejecutivo en abril de 2026.</w:t>
      </w:r>
    </w:p>
    <w:p w14:paraId="067B01B5" w14:textId="32644200" w:rsidR="00DC581D" w:rsidRPr="009E2F0A" w:rsidRDefault="00B123E2" w:rsidP="009E2F0A">
      <w:pPr>
        <w:pStyle w:val="COMPara"/>
        <w:numPr>
          <w:ilvl w:val="0"/>
          <w:numId w:val="0"/>
        </w:numPr>
        <w:tabs>
          <w:tab w:val="left" w:pos="567"/>
        </w:tabs>
        <w:spacing w:before="240"/>
        <w:ind w:left="-142" w:firstLine="142"/>
        <w:jc w:val="both"/>
        <w:rPr>
          <w:b/>
          <w:bCs/>
        </w:rPr>
      </w:pPr>
      <w:r w:rsidRPr="009E2F0A">
        <w:rPr>
          <w:b/>
          <w:lang w:bidi="es-ES"/>
        </w:rPr>
        <w:t>IV.</w:t>
      </w:r>
      <w:r w:rsidRPr="009E2F0A">
        <w:rPr>
          <w:b/>
          <w:lang w:bidi="es-ES"/>
        </w:rPr>
        <w:tab/>
      </w:r>
      <w:r w:rsidR="00DC581D" w:rsidRPr="009E2F0A">
        <w:rPr>
          <w:b/>
          <w:lang w:bidi="es-ES"/>
        </w:rPr>
        <w:t xml:space="preserve">Orientaciones </w:t>
      </w:r>
      <w:r w:rsidR="00354447" w:rsidRPr="009E2F0A">
        <w:rPr>
          <w:b/>
          <w:lang w:bidi="es-ES"/>
        </w:rPr>
        <w:t>futuras</w:t>
      </w:r>
      <w:r w:rsidR="00DC581D" w:rsidRPr="009E2F0A">
        <w:rPr>
          <w:b/>
          <w:lang w:bidi="es-ES"/>
        </w:rPr>
        <w:t xml:space="preserve"> de la Convención</w:t>
      </w:r>
    </w:p>
    <w:p w14:paraId="37FD27C3" w14:textId="3FE227FA" w:rsidR="00DC581D" w:rsidRPr="009E2F0A" w:rsidRDefault="00DC581D" w:rsidP="00DC581D">
      <w:pPr>
        <w:pStyle w:val="COMPara"/>
        <w:ind w:left="567" w:hanging="567"/>
        <w:jc w:val="both"/>
      </w:pPr>
      <w:r w:rsidRPr="009E2F0A">
        <w:rPr>
          <w:lang w:bidi="es-ES"/>
        </w:rPr>
        <w:t xml:space="preserve">El presente informe llega en un momento crucial para la Convención porque terminan las dos prioridades de financiación (2022-2025) que han definido hasta ahora las iniciativas temáticas y las actividades operativas de la Secretaría. En respuesta a las orientaciones de los órganos rectores de la Convención, la Secretaría ha empezado a sentar las bases de plataformas y actividades de futuro que se resumen en las dos nuevas prioridades de financiación (véase la Decisión </w:t>
      </w:r>
      <w:hyperlink r:id="rId53" w:history="1">
        <w:r w:rsidRPr="009E2F0A">
          <w:rPr>
            <w:rStyle w:val="Hyperlink"/>
            <w:lang w:bidi="es-ES"/>
          </w:rPr>
          <w:t>20.COM 13</w:t>
        </w:r>
      </w:hyperlink>
      <w:r w:rsidRPr="009E2F0A">
        <w:rPr>
          <w:lang w:bidi="es-ES"/>
        </w:rPr>
        <w:t>). Estas nuevas prioridades de financiación informarán la futura estrategia de fortalecimiento de capacidades, las iniciativas temáticas y las asociaciones de la Convención.</w:t>
      </w:r>
    </w:p>
    <w:p w14:paraId="05EB47B9" w14:textId="3F74D84B" w:rsidR="00DC581D" w:rsidRPr="009E2F0A" w:rsidRDefault="00DC581D" w:rsidP="00DC581D">
      <w:pPr>
        <w:pStyle w:val="COMPara"/>
        <w:ind w:left="567" w:hanging="567"/>
        <w:jc w:val="both"/>
      </w:pPr>
      <w:r w:rsidRPr="009E2F0A">
        <w:rPr>
          <w:lang w:bidi="es-ES"/>
        </w:rPr>
        <w:t xml:space="preserve">Las nuevas prioridades de financiación demuestran una evolución del enfoque de la Secretaría en materia de salvaguardia, tanto en la forma como en el fondo. El vigésimo aniversario de la Convención en 2023 demostró que el patrimonio vivo está firmemente arraigado en las políticas y programas de los </w:t>
      </w:r>
      <w:proofErr w:type="gramStart"/>
      <w:r w:rsidRPr="009E2F0A">
        <w:rPr>
          <w:lang w:bidi="es-ES"/>
        </w:rPr>
        <w:t>Estados Partes</w:t>
      </w:r>
      <w:proofErr w:type="gramEnd"/>
      <w:r w:rsidRPr="009E2F0A">
        <w:rPr>
          <w:lang w:bidi="es-ES"/>
        </w:rPr>
        <w:t xml:space="preserve"> de todas las regiones geográficas. Por lo tanto, este éxito requiere un mayor perfeccionamiento de los enfoques de salvaguardia, centrados en el bienestar humano y el empoderamiento de la comunidad, que sitúan la inclusión en el centro (Prioridad de financiación A), así como el estudio de nuevos ámbitos temáticos emergentes que conectan el patrimonio vivo y los desafíos del desarrollo sostenible (Prioridad de financiación B). También es un reflejo de las orientaciones de futuro que surgieron de la </w:t>
      </w:r>
      <w:hyperlink r:id="rId54" w:anchor=":~:text=Outlined%20during%20the%20celebration%20of,living%20heritage%20to%20ensure%20sustainable" w:history="1">
        <w:r w:rsidRPr="009E2F0A">
          <w:rPr>
            <w:rStyle w:val="Hyperlink"/>
            <w:lang w:bidi="es-ES"/>
          </w:rPr>
          <w:t>Visión de Seúl</w:t>
        </w:r>
      </w:hyperlink>
      <w:r w:rsidRPr="009E2F0A">
        <w:rPr>
          <w:lang w:bidi="es-ES"/>
        </w:rPr>
        <w:t xml:space="preserve"> (2023), las Declaraciones de MONDIACULT</w:t>
      </w:r>
      <w:hyperlink r:id="rId55" w:history="1">
        <w:r w:rsidRPr="009E2F0A">
          <w:rPr>
            <w:rStyle w:val="Hyperlink"/>
            <w:color w:val="auto"/>
            <w:u w:val="none"/>
            <w:lang w:bidi="es-ES"/>
          </w:rPr>
          <w:t>(</w:t>
        </w:r>
        <w:r w:rsidRPr="009E2F0A">
          <w:rPr>
            <w:rStyle w:val="Hyperlink"/>
            <w:lang w:bidi="es-ES"/>
          </w:rPr>
          <w:t>2022</w:t>
        </w:r>
      </w:hyperlink>
      <w:r w:rsidRPr="009E2F0A">
        <w:rPr>
          <w:lang w:bidi="es-ES"/>
        </w:rPr>
        <w:t xml:space="preserve"> y </w:t>
      </w:r>
      <w:hyperlink r:id="rId56" w:history="1">
        <w:r w:rsidRPr="009E2F0A">
          <w:rPr>
            <w:rStyle w:val="Hyperlink"/>
            <w:lang w:bidi="es-ES"/>
          </w:rPr>
          <w:t>2025</w:t>
        </w:r>
      </w:hyperlink>
      <w:r w:rsidRPr="009E2F0A">
        <w:rPr>
          <w:lang w:bidi="es-ES"/>
        </w:rPr>
        <w:t xml:space="preserve">), así como las orientaciones y prioridades programáticas esbozadas en el </w:t>
      </w:r>
      <w:hyperlink r:id="rId57" w:history="1">
        <w:r w:rsidRPr="009E2F0A">
          <w:rPr>
            <w:rStyle w:val="Hyperlink"/>
            <w:lang w:bidi="es-ES"/>
          </w:rPr>
          <w:t>Proyecto de Programa y Presupuesto para 2026-2029</w:t>
        </w:r>
      </w:hyperlink>
      <w:r w:rsidRPr="009E2F0A">
        <w:rPr>
          <w:lang w:bidi="es-ES"/>
        </w:rPr>
        <w:t xml:space="preserve"> (43 C/5).</w:t>
      </w:r>
    </w:p>
    <w:p w14:paraId="1C99DE41" w14:textId="009A8413" w:rsidR="00D63318" w:rsidRPr="009E2F0A" w:rsidRDefault="002254F4" w:rsidP="00A2658B">
      <w:pPr>
        <w:pStyle w:val="COMPara"/>
        <w:ind w:left="567" w:hanging="567"/>
        <w:jc w:val="both"/>
      </w:pPr>
      <w:r w:rsidRPr="009E2F0A">
        <w:rPr>
          <w:lang w:bidi="es-ES"/>
        </w:rPr>
        <w:t>A tal efecto</w:t>
      </w:r>
      <w:r w:rsidR="00DC581D" w:rsidRPr="009E2F0A">
        <w:rPr>
          <w:lang w:bidi="es-ES"/>
        </w:rPr>
        <w:t>, la Secretaría seguirá reforzando sus vínculos con otras convenciones sobre cultura y otras agencias y programas del sistema de las Naciones Unidas, para garantizar así un enfoque holístico de la salvaguardia del patrimonio cultural inmaterial y sus dimensiones asociadas. A modo de ejemplo, la Secretaría de la Convención de 2003 ha participado junto con la Secretaría de la Convención del Patrimonio Mundial en la segunda edición de la Conferencia de la UNESCO sobre el Patrimonio Cultural en el siglo XXI, y sigue manteniendo una cooperación parecida con otros programas de la UNESCO y organismos de las Naciones Unidas en sus iniciativas temáticas. Esta cooperación se intensificará siguiendo la línea de las nuevas prioridades de financiación, con vistas a seguir integrando el patrimonio cultural inmaterial en la agenda y mundial de desarrollo sostenible, tal como se señala en el primer</w:t>
      </w:r>
      <w:hyperlink r:id="rId58" w:history="1">
        <w:r w:rsidR="00DC581D" w:rsidRPr="009E2F0A">
          <w:rPr>
            <w:rStyle w:val="Hyperlink"/>
            <w:lang w:bidi="es-ES"/>
          </w:rPr>
          <w:t xml:space="preserve"> Informe Mundial sobre Políticas Culturales</w:t>
        </w:r>
      </w:hyperlink>
    </w:p>
    <w:p w14:paraId="50D3EAFF" w14:textId="3A349EC1" w:rsidR="00D95C4C" w:rsidRPr="009E2F0A" w:rsidRDefault="005C792B" w:rsidP="009E2F0A">
      <w:pPr>
        <w:pStyle w:val="COMPara"/>
        <w:keepNext/>
        <w:ind w:left="567" w:hanging="567"/>
      </w:pPr>
      <w:r w:rsidRPr="009E2F0A">
        <w:rPr>
          <w:lang w:eastAsia="fr-FR"/>
        </w:rPr>
        <w:lastRenderedPageBreak/>
        <w:t>La Asamblea General podría aprobar la siguiente resolución:</w:t>
      </w:r>
    </w:p>
    <w:p w14:paraId="6CEB1E9D" w14:textId="2A87C62B" w:rsidR="00D95C4C" w:rsidRPr="009E2F0A" w:rsidRDefault="004A34A0" w:rsidP="001D14FE">
      <w:pPr>
        <w:pStyle w:val="COMTitleDecision"/>
        <w:rPr>
          <w:rFonts w:eastAsia="SimSun"/>
        </w:rPr>
      </w:pPr>
      <w:r w:rsidRPr="009E2F0A">
        <w:t>PROYECTO DE RESOLUCIÓN 11.GA 6</w:t>
      </w:r>
    </w:p>
    <w:p w14:paraId="13024F0B" w14:textId="5181E164" w:rsidR="00D95C4C" w:rsidRPr="009E2F0A" w:rsidRDefault="005C792B" w:rsidP="00285BB4">
      <w:pPr>
        <w:pStyle w:val="COMPreambulaDecisions"/>
        <w:rPr>
          <w:rFonts w:eastAsia="SimSun"/>
        </w:rPr>
      </w:pPr>
      <w:r w:rsidRPr="009E2F0A">
        <w:t>La Asamblea General,</w:t>
      </w:r>
    </w:p>
    <w:p w14:paraId="7642BD61" w14:textId="77777777" w:rsidR="00DC581D" w:rsidRPr="009E2F0A" w:rsidRDefault="00DC581D" w:rsidP="00DC581D">
      <w:pPr>
        <w:pStyle w:val="COMParaDecision"/>
      </w:pPr>
      <w:r w:rsidRPr="009E2F0A">
        <w:rPr>
          <w:lang w:bidi="es-ES"/>
        </w:rPr>
        <w:t>Habiendo examinado</w:t>
      </w:r>
      <w:r w:rsidRPr="009E2F0A">
        <w:rPr>
          <w:u w:val="none"/>
          <w:lang w:bidi="es-ES"/>
        </w:rPr>
        <w:t xml:space="preserve"> el documento LHE/26/11.GA/6 y sus anexos,</w:t>
      </w:r>
    </w:p>
    <w:p w14:paraId="7968216E" w14:textId="42C983AD" w:rsidR="00DC581D" w:rsidRPr="009E2F0A" w:rsidRDefault="00DC581D" w:rsidP="00DC581D">
      <w:pPr>
        <w:pStyle w:val="COMParaDecision"/>
      </w:pPr>
      <w:r w:rsidRPr="009E2F0A">
        <w:rPr>
          <w:lang w:bidi="es-ES"/>
        </w:rPr>
        <w:t>Recordando</w:t>
      </w:r>
      <w:r w:rsidRPr="009E2F0A">
        <w:rPr>
          <w:u w:val="none"/>
          <w:lang w:bidi="es-ES"/>
        </w:rPr>
        <w:t xml:space="preserve"> la Resolución </w:t>
      </w:r>
      <w:hyperlink r:id="rId59" w:history="1">
        <w:r w:rsidRPr="009E2F0A">
          <w:rPr>
            <w:rStyle w:val="Hyperlink"/>
            <w:lang w:bidi="es-ES"/>
          </w:rPr>
          <w:t>10.GA 6</w:t>
        </w:r>
      </w:hyperlink>
      <w:r w:rsidRPr="009E2F0A">
        <w:rPr>
          <w:u w:val="none"/>
          <w:lang w:bidi="es-ES"/>
        </w:rPr>
        <w:t xml:space="preserve">, así como las Decisiones </w:t>
      </w:r>
      <w:hyperlink r:id="rId60" w:history="1">
        <w:r w:rsidRPr="009E2F0A">
          <w:rPr>
            <w:rStyle w:val="Hyperlink"/>
            <w:lang w:bidi="es-ES"/>
          </w:rPr>
          <w:t>19.COM 15</w:t>
        </w:r>
      </w:hyperlink>
      <w:r w:rsidRPr="009E2F0A">
        <w:rPr>
          <w:u w:val="none"/>
          <w:lang w:bidi="es-ES"/>
        </w:rPr>
        <w:t xml:space="preserve"> y </w:t>
      </w:r>
      <w:hyperlink r:id="rId61" w:history="1">
        <w:r w:rsidRPr="009E2F0A">
          <w:rPr>
            <w:rStyle w:val="Hyperlink"/>
            <w:lang w:bidi="es-ES"/>
          </w:rPr>
          <w:t>20.COM 6.c</w:t>
        </w:r>
      </w:hyperlink>
      <w:r w:rsidRPr="009E2F0A">
        <w:rPr>
          <w:u w:val="none"/>
          <w:lang w:bidi="es-ES"/>
        </w:rPr>
        <w:t>,</w:t>
      </w:r>
    </w:p>
    <w:p w14:paraId="2AD76815" w14:textId="47CD5539" w:rsidR="00DC581D" w:rsidRPr="009E2F0A" w:rsidRDefault="00DC581D" w:rsidP="00DC581D">
      <w:pPr>
        <w:pStyle w:val="COMParaDecision"/>
      </w:pPr>
      <w:r w:rsidRPr="009E2F0A">
        <w:rPr>
          <w:lang w:bidi="es-ES"/>
        </w:rPr>
        <w:t>Recordando también</w:t>
      </w:r>
      <w:r w:rsidRPr="009E2F0A">
        <w:rPr>
          <w:u w:val="none"/>
          <w:lang w:bidi="es-ES"/>
        </w:rPr>
        <w:t xml:space="preserve"> </w:t>
      </w:r>
      <w:hyperlink r:id="rId62" w:history="1">
        <w:r w:rsidRPr="009E2F0A">
          <w:rPr>
            <w:rStyle w:val="Hyperlink"/>
            <w:lang w:bidi="es-ES"/>
          </w:rPr>
          <w:t xml:space="preserve">224 EX/Decisión </w:t>
        </w:r>
        <w:proofErr w:type="gramStart"/>
        <w:r w:rsidRPr="009E2F0A">
          <w:rPr>
            <w:rStyle w:val="Hyperlink"/>
            <w:lang w:bidi="es-ES"/>
          </w:rPr>
          <w:t>4.I</w:t>
        </w:r>
        <w:proofErr w:type="gramEnd"/>
      </w:hyperlink>
      <w:r w:rsidRPr="009E2F0A">
        <w:rPr>
          <w:u w:val="none"/>
          <w:lang w:bidi="es-ES"/>
        </w:rPr>
        <w:t xml:space="preserve"> del Consejo Ejecutivo de la UNESCO, así como la evaluación del IOS de 2021, acerca de la acción de la UNESCO en el marco de la Convención de 2003, y de 2024, acerca de los informes periódicos de la UNESCO sobre las convenciones y recomendaciones del Sector de Cultura,</w:t>
      </w:r>
    </w:p>
    <w:p w14:paraId="24C0AF7E" w14:textId="77777777" w:rsidR="00DC581D" w:rsidRPr="009E2F0A" w:rsidRDefault="00DC581D" w:rsidP="00DC581D">
      <w:pPr>
        <w:pStyle w:val="COMParaDecision"/>
      </w:pPr>
      <w:r w:rsidRPr="009E2F0A">
        <w:rPr>
          <w:lang w:bidi="es-ES"/>
        </w:rPr>
        <w:t>Encomia</w:t>
      </w:r>
      <w:r w:rsidRPr="009E2F0A">
        <w:rPr>
          <w:u w:val="none"/>
          <w:lang w:bidi="es-ES"/>
        </w:rPr>
        <w:t xml:space="preserve"> a la Secretaría por el continuo apoyo prestado a la buena gobernanza de la Convención, mediante la organización eficiente de las reuniones estatutarias y la gestión de los mecanismos de cooperación internacional, en particular la sistematización y ampliación del alcance del mecanismo de asistencia internacional;</w:t>
      </w:r>
    </w:p>
    <w:p w14:paraId="0F1941A7" w14:textId="77777777" w:rsidR="00DC581D" w:rsidRPr="009E2F0A" w:rsidRDefault="00DC581D" w:rsidP="00DC581D">
      <w:pPr>
        <w:pStyle w:val="COMParaDecision"/>
      </w:pPr>
      <w:r w:rsidRPr="009E2F0A">
        <w:rPr>
          <w:lang w:bidi="es-ES"/>
        </w:rPr>
        <w:t>Toma nota</w:t>
      </w:r>
      <w:r w:rsidRPr="009E2F0A">
        <w:rPr>
          <w:u w:val="none"/>
          <w:lang w:bidi="es-ES"/>
        </w:rPr>
        <w:t xml:space="preserve"> de las cuestiones planteadas en relación con la cantidad y el tratamiento de los expedientes de candidatura presentados como consecuencia del creciente interés y apoyo a los mecanismos de inclusión en las Listas de la Convención, y </w:t>
      </w:r>
      <w:r w:rsidRPr="009E2F0A">
        <w:rPr>
          <w:lang w:bidi="es-ES"/>
        </w:rPr>
        <w:t>solicita</w:t>
      </w:r>
      <w:r w:rsidRPr="009E2F0A">
        <w:rPr>
          <w:u w:val="none"/>
          <w:lang w:bidi="es-ES"/>
        </w:rPr>
        <w:t xml:space="preserve"> a la Secretaría que informe sobre la evolución de la situación para su examen en la duodécima reunión de la Asamblea General, teniendo en cuenta los debates que se celebrarán en las sesiones vigesimoprimera (2026) y vigesimosegunda (2027) del Comité;</w:t>
      </w:r>
    </w:p>
    <w:p w14:paraId="56F86514" w14:textId="77777777" w:rsidR="00DC581D" w:rsidRPr="009E2F0A" w:rsidRDefault="00DC581D" w:rsidP="00DC581D">
      <w:pPr>
        <w:pStyle w:val="COMParaDecision"/>
      </w:pPr>
      <w:r w:rsidRPr="009E2F0A">
        <w:rPr>
          <w:lang w:bidi="es-ES"/>
        </w:rPr>
        <w:t>Toma nota con satisfacción</w:t>
      </w:r>
      <w:r w:rsidRPr="009E2F0A">
        <w:rPr>
          <w:u w:val="none"/>
          <w:lang w:bidi="es-ES"/>
        </w:rPr>
        <w:t xml:space="preserve"> de la finalización del primer ciclo regional de presentación de informes periódicos y de la mejora sustancial en las tasas de presentación de informes periódicos de todas las regiones, e </w:t>
      </w:r>
      <w:r w:rsidRPr="009E2F0A">
        <w:rPr>
          <w:lang w:bidi="es-ES"/>
        </w:rPr>
        <w:t>invita</w:t>
      </w:r>
      <w:r w:rsidRPr="009E2F0A">
        <w:rPr>
          <w:u w:val="none"/>
          <w:lang w:bidi="es-ES"/>
        </w:rPr>
        <w:t xml:space="preserve"> a la Secretaría a que adapte las mejores prácticas de este ciclo con vistas al paso al sistema mundial único de presentación de informes;</w:t>
      </w:r>
    </w:p>
    <w:p w14:paraId="124AA010" w14:textId="77777777" w:rsidR="00DC581D" w:rsidRPr="009E2F0A" w:rsidRDefault="00DC581D" w:rsidP="00DC581D">
      <w:pPr>
        <w:pStyle w:val="COMParaDecision"/>
      </w:pPr>
      <w:r w:rsidRPr="009E2F0A">
        <w:rPr>
          <w:lang w:bidi="es-ES"/>
        </w:rPr>
        <w:t>Aprecia</w:t>
      </w:r>
      <w:r w:rsidRPr="009E2F0A">
        <w:rPr>
          <w:u w:val="none"/>
          <w:lang w:bidi="es-ES"/>
        </w:rPr>
        <w:t xml:space="preserve"> la reorientación del programa mundial de fortalecimiento de capacidades hacia un enfoque multimodal e intersectorial, así como los progresos realizados en el marco de las iniciativas temáticas de la Convención;</w:t>
      </w:r>
    </w:p>
    <w:p w14:paraId="53EB3996" w14:textId="77777777" w:rsidR="00DC581D" w:rsidRPr="009E2F0A" w:rsidRDefault="00DC581D" w:rsidP="00DC581D">
      <w:pPr>
        <w:pStyle w:val="COMParaDecision"/>
      </w:pPr>
      <w:r w:rsidRPr="009E2F0A">
        <w:rPr>
          <w:lang w:bidi="es-ES"/>
        </w:rPr>
        <w:t>Toma nota también</w:t>
      </w:r>
      <w:r w:rsidRPr="009E2F0A">
        <w:rPr>
          <w:u w:val="none"/>
          <w:lang w:bidi="es-ES"/>
        </w:rPr>
        <w:t xml:space="preserve"> de los logros alcanzados dentro de las prioridades de financiación para 2022–2025, así como de las nuevas prioridades de financiación de la Convención para 2026–2029, e </w:t>
      </w:r>
      <w:r w:rsidRPr="009E2F0A">
        <w:rPr>
          <w:lang w:bidi="es-ES"/>
        </w:rPr>
        <w:t>invita</w:t>
      </w:r>
      <w:r w:rsidRPr="009E2F0A">
        <w:rPr>
          <w:u w:val="none"/>
          <w:lang w:bidi="es-ES"/>
        </w:rPr>
        <w:t xml:space="preserve"> a la Secretaría a seguir alineando el programa mundial de fortalecimiento de capacidades y las iniciativas temáticas de la Convención con sus principales ámbitos de acción, profundizando al mismo tiempo su cooperación con otros programas de la UNESCO y con el sistema de las Naciones Unidas en general;</w:t>
      </w:r>
    </w:p>
    <w:p w14:paraId="020D1D0B" w14:textId="77777777" w:rsidR="00DC581D" w:rsidRPr="009E2F0A" w:rsidRDefault="00DC581D" w:rsidP="00DC581D">
      <w:pPr>
        <w:pStyle w:val="COMParaDecision"/>
      </w:pPr>
      <w:r w:rsidRPr="009E2F0A">
        <w:rPr>
          <w:lang w:bidi="es-ES"/>
        </w:rPr>
        <w:t>Aprecia también</w:t>
      </w:r>
      <w:r w:rsidRPr="009E2F0A">
        <w:rPr>
          <w:u w:val="none"/>
          <w:lang w:bidi="es-ES"/>
        </w:rPr>
        <w:t xml:space="preserve"> la plena aplicación de las recomendaciones formuladas por el IOS en su evaluación de 2021 sobre la acción de la UNESCO en el marco de la Convención de 2003, </w:t>
      </w:r>
      <w:r w:rsidRPr="009E2F0A">
        <w:rPr>
          <w:lang w:bidi="es-ES"/>
        </w:rPr>
        <w:t>agradece</w:t>
      </w:r>
      <w:r w:rsidRPr="009E2F0A">
        <w:rPr>
          <w:u w:val="none"/>
          <w:lang w:bidi="es-ES"/>
        </w:rPr>
        <w:t xml:space="preserve"> a la Secretaría sus informes al respecto y </w:t>
      </w:r>
      <w:r w:rsidRPr="009E2F0A">
        <w:rPr>
          <w:lang w:bidi="es-ES"/>
        </w:rPr>
        <w:t>considera</w:t>
      </w:r>
      <w:r w:rsidRPr="009E2F0A">
        <w:rPr>
          <w:u w:val="none"/>
          <w:lang w:bidi="es-ES"/>
        </w:rPr>
        <w:t xml:space="preserve"> que los futuros informes sobre la aplicación de las recomendaciones deberían presentarse en función de las necesidades;</w:t>
      </w:r>
    </w:p>
    <w:p w14:paraId="104D6EA7" w14:textId="77777777" w:rsidR="00DC581D" w:rsidRPr="009E2F0A" w:rsidRDefault="00DC581D" w:rsidP="00DC581D">
      <w:pPr>
        <w:pStyle w:val="COMParaDecision"/>
      </w:pPr>
      <w:r w:rsidRPr="009E2F0A">
        <w:rPr>
          <w:lang w:bidi="es-ES"/>
        </w:rPr>
        <w:t>Solicita</w:t>
      </w:r>
      <w:r w:rsidRPr="009E2F0A">
        <w:rPr>
          <w:u w:val="none"/>
          <w:lang w:bidi="es-ES"/>
        </w:rPr>
        <w:t xml:space="preserve"> que la Secretaría informe sobre sus actividades durante el periodo comprendido entre enero de 2026 y diciembre de 2027 para que la Asamblea General las examine en su duodécima reunión.</w:t>
      </w:r>
    </w:p>
    <w:p w14:paraId="059AB22C" w14:textId="77777777" w:rsidR="00DC581D" w:rsidRPr="009E2F0A" w:rsidRDefault="00DC581D" w:rsidP="00DC581D">
      <w:pPr>
        <w:pStyle w:val="COMParaDecision"/>
        <w:numPr>
          <w:ilvl w:val="0"/>
          <w:numId w:val="0"/>
        </w:numPr>
        <w:ind w:left="1134" w:hanging="567"/>
        <w:sectPr w:rsidR="00DC581D" w:rsidRPr="009E2F0A" w:rsidSect="00DC581D">
          <w:headerReference w:type="even" r:id="rId63"/>
          <w:headerReference w:type="default" r:id="rId64"/>
          <w:headerReference w:type="first" r:id="rId65"/>
          <w:pgSz w:w="11906" w:h="16838" w:code="9"/>
          <w:pgMar w:top="1418" w:right="1134" w:bottom="1134" w:left="1134" w:header="397" w:footer="284" w:gutter="0"/>
          <w:cols w:space="708"/>
          <w:titlePg/>
          <w:docGrid w:linePitch="360"/>
        </w:sectPr>
      </w:pPr>
    </w:p>
    <w:p w14:paraId="1AB1E9A0" w14:textId="77777777" w:rsidR="00DC581D" w:rsidRPr="009E2F0A" w:rsidRDefault="00DC581D" w:rsidP="00DC581D">
      <w:pPr>
        <w:pStyle w:val="COMParaDecision"/>
        <w:numPr>
          <w:ilvl w:val="0"/>
          <w:numId w:val="0"/>
        </w:numPr>
        <w:jc w:val="center"/>
        <w:rPr>
          <w:b/>
        </w:rPr>
      </w:pPr>
      <w:bookmarkStart w:id="1" w:name="AnnexI"/>
      <w:r w:rsidRPr="009E2F0A">
        <w:rPr>
          <w:b/>
          <w:lang w:bidi="es-ES"/>
        </w:rPr>
        <w:lastRenderedPageBreak/>
        <w:t>Anexo I</w:t>
      </w:r>
    </w:p>
    <w:bookmarkEnd w:id="1"/>
    <w:p w14:paraId="365C55F9" w14:textId="77777777" w:rsidR="00DC581D" w:rsidRPr="009E2F0A" w:rsidRDefault="00DC581D" w:rsidP="00DC581D">
      <w:pPr>
        <w:pStyle w:val="COMParaDecision"/>
        <w:numPr>
          <w:ilvl w:val="0"/>
          <w:numId w:val="0"/>
        </w:numPr>
        <w:spacing w:after="240"/>
        <w:jc w:val="center"/>
        <w:rPr>
          <w:b/>
          <w:u w:val="none"/>
        </w:rPr>
      </w:pPr>
      <w:r w:rsidRPr="009E2F0A">
        <w:rPr>
          <w:b/>
          <w:u w:val="none"/>
          <w:lang w:bidi="es-ES"/>
        </w:rPr>
        <w:t>Evaluación por indicador de resultado</w:t>
      </w:r>
    </w:p>
    <w:tbl>
      <w:tblPr>
        <w:tblStyle w:val="TableGrid2"/>
        <w:tblW w:w="14572" w:type="dxa"/>
        <w:tblLook w:val="04A0" w:firstRow="1" w:lastRow="0" w:firstColumn="1" w:lastColumn="0" w:noHBand="0" w:noVBand="1"/>
      </w:tblPr>
      <w:tblGrid>
        <w:gridCol w:w="3652"/>
        <w:gridCol w:w="10920"/>
      </w:tblGrid>
      <w:tr w:rsidR="00DC581D" w:rsidRPr="009E2F0A" w14:paraId="67DB41BB" w14:textId="77777777" w:rsidTr="008C63D4">
        <w:trPr>
          <w:cantSplit/>
        </w:trPr>
        <w:tc>
          <w:tcPr>
            <w:tcW w:w="1253" w:type="pct"/>
            <w:shd w:val="clear" w:color="auto" w:fill="808080" w:themeFill="background1" w:themeFillShade="80"/>
            <w:vAlign w:val="center"/>
          </w:tcPr>
          <w:p w14:paraId="0F5B09CD" w14:textId="77777777" w:rsidR="00DC581D" w:rsidRPr="009E2F0A" w:rsidRDefault="00DC581D" w:rsidP="008C63D4">
            <w:pPr>
              <w:keepNext/>
              <w:widowControl w:val="0"/>
              <w:spacing w:before="120" w:after="120"/>
              <w:rPr>
                <w:rFonts w:ascii="Arial" w:hAnsi="Arial" w:cs="Arial"/>
                <w:b/>
                <w:bCs/>
                <w:color w:val="FFFFFF" w:themeColor="background1"/>
                <w:sz w:val="22"/>
                <w:szCs w:val="22"/>
                <w:lang w:val="en-GB"/>
              </w:rPr>
            </w:pPr>
            <w:r w:rsidRPr="009E2F0A">
              <w:rPr>
                <w:rFonts w:ascii="Arial" w:hAnsi="Arial" w:cs="Arial"/>
                <w:b/>
                <w:color w:val="FFFFFF" w:themeColor="background1"/>
                <w:sz w:val="22"/>
                <w:szCs w:val="22"/>
                <w:lang w:val="es-ES" w:bidi="es-ES"/>
              </w:rPr>
              <w:t>42C/5 Indicador de resultado 1</w:t>
            </w:r>
          </w:p>
        </w:tc>
        <w:tc>
          <w:tcPr>
            <w:tcW w:w="3747" w:type="pct"/>
            <w:shd w:val="clear" w:color="auto" w:fill="808080" w:themeFill="background1" w:themeFillShade="80"/>
            <w:vAlign w:val="center"/>
          </w:tcPr>
          <w:p w14:paraId="3293B6DE" w14:textId="77777777" w:rsidR="00DC581D" w:rsidRPr="009E2F0A" w:rsidRDefault="00DC581D" w:rsidP="008C63D4">
            <w:pPr>
              <w:keepNext/>
              <w:widowControl w:val="0"/>
              <w:spacing w:before="120" w:after="120"/>
              <w:jc w:val="both"/>
              <w:rPr>
                <w:rFonts w:ascii="Arial" w:hAnsi="Arial" w:cs="Arial"/>
                <w:b/>
                <w:bCs/>
                <w:color w:val="FFFFFF" w:themeColor="background1"/>
                <w:sz w:val="22"/>
                <w:szCs w:val="22"/>
                <w:lang w:val="es-ES_tradnl"/>
              </w:rPr>
            </w:pPr>
            <w:r w:rsidRPr="009E2F0A">
              <w:rPr>
                <w:rFonts w:ascii="Arial" w:hAnsi="Arial" w:cs="Arial"/>
                <w:b/>
                <w:color w:val="FFFFFF" w:themeColor="background1"/>
                <w:sz w:val="22"/>
                <w:szCs w:val="22"/>
                <w:lang w:val="es-ES" w:bidi="es-ES"/>
              </w:rPr>
              <w:t>Número de Estados Miembros con políticas, estrategias y programas nuevos o revisados para salvaguardar el patrimonio vivo, incluso dentro de planes y marcos de desarrollo sostenible, en consonancia con la Convención para la Salvaguardia del Patrimonio Cultural Inmaterial de 2003</w:t>
            </w:r>
          </w:p>
        </w:tc>
      </w:tr>
    </w:tbl>
    <w:tbl>
      <w:tblPr>
        <w:tblW w:w="1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52"/>
        <w:gridCol w:w="1676"/>
        <w:gridCol w:w="417"/>
        <w:gridCol w:w="224"/>
        <w:gridCol w:w="10277"/>
      </w:tblGrid>
      <w:tr w:rsidR="00DC581D" w:rsidRPr="009E2F0A" w14:paraId="75C1DFBA" w14:textId="77777777" w:rsidTr="008C63D4">
        <w:trPr>
          <w:tblHeader/>
        </w:trPr>
        <w:tc>
          <w:tcPr>
            <w:tcW w:w="627" w:type="pct"/>
            <w:shd w:val="clear" w:color="auto" w:fill="D9D9D9" w:themeFill="background1" w:themeFillShade="D9"/>
            <w:vAlign w:val="center"/>
          </w:tcPr>
          <w:p w14:paraId="61759007" w14:textId="77777777" w:rsidR="00DC581D" w:rsidRPr="009E2F0A" w:rsidRDefault="00DC581D" w:rsidP="008C63D4">
            <w:pPr>
              <w:widowControl w:val="0"/>
              <w:spacing w:before="60" w:after="60"/>
              <w:jc w:val="center"/>
              <w:rPr>
                <w:rFonts w:ascii="Arial" w:eastAsia="Calibri" w:hAnsi="Arial" w:cs="Arial"/>
                <w:b/>
                <w:sz w:val="22"/>
                <w:szCs w:val="22"/>
                <w:lang w:val="en-GB"/>
              </w:rPr>
            </w:pPr>
            <w:r w:rsidRPr="009E2F0A">
              <w:rPr>
                <w:rFonts w:ascii="Arial" w:hAnsi="Arial" w:cs="Arial"/>
                <w:b/>
                <w:sz w:val="22"/>
                <w:szCs w:val="22"/>
                <w:lang w:bidi="es-ES"/>
              </w:rPr>
              <w:t>Bases de referencia</w:t>
            </w:r>
          </w:p>
        </w:tc>
        <w:tc>
          <w:tcPr>
            <w:tcW w:w="627" w:type="pct"/>
            <w:gridSpan w:val="2"/>
            <w:shd w:val="clear" w:color="auto" w:fill="D9D9D9" w:themeFill="background1" w:themeFillShade="D9"/>
            <w:vAlign w:val="center"/>
          </w:tcPr>
          <w:p w14:paraId="7623485D" w14:textId="77777777" w:rsidR="00DC581D" w:rsidRPr="009E2F0A" w:rsidRDefault="00DC581D" w:rsidP="008C63D4">
            <w:pPr>
              <w:widowControl w:val="0"/>
              <w:spacing w:before="60" w:after="60"/>
              <w:jc w:val="center"/>
              <w:rPr>
                <w:rFonts w:ascii="Arial" w:eastAsia="Calibri" w:hAnsi="Arial" w:cs="Arial"/>
                <w:b/>
                <w:sz w:val="22"/>
                <w:szCs w:val="22"/>
                <w:lang w:val="en-GB"/>
              </w:rPr>
            </w:pPr>
            <w:r w:rsidRPr="009E2F0A">
              <w:rPr>
                <w:rFonts w:ascii="Arial" w:eastAsia="Calibri" w:hAnsi="Arial" w:cs="Arial"/>
                <w:b/>
                <w:sz w:val="22"/>
                <w:szCs w:val="22"/>
                <w:lang w:bidi="es-ES"/>
              </w:rPr>
              <w:t>Metas 2025</w:t>
            </w:r>
          </w:p>
        </w:tc>
        <w:tc>
          <w:tcPr>
            <w:tcW w:w="3747" w:type="pct"/>
            <w:gridSpan w:val="3"/>
            <w:shd w:val="clear" w:color="auto" w:fill="D9D9D9" w:themeFill="background1" w:themeFillShade="D9"/>
            <w:vAlign w:val="center"/>
          </w:tcPr>
          <w:p w14:paraId="429C003C" w14:textId="77777777" w:rsidR="00DC581D" w:rsidRPr="009E2F0A" w:rsidRDefault="00DC581D" w:rsidP="008C63D4">
            <w:pPr>
              <w:widowControl w:val="0"/>
              <w:autoSpaceDE w:val="0"/>
              <w:autoSpaceDN w:val="0"/>
              <w:adjustRightInd w:val="0"/>
              <w:jc w:val="center"/>
              <w:rPr>
                <w:rFonts w:ascii="Arial" w:eastAsia="Calibri" w:hAnsi="Arial" w:cs="Arial"/>
                <w:b/>
                <w:color w:val="000000"/>
                <w:sz w:val="22"/>
                <w:szCs w:val="22"/>
                <w:lang w:val="es-ES_tradnl"/>
              </w:rPr>
            </w:pPr>
            <w:r w:rsidRPr="009E2F0A">
              <w:rPr>
                <w:rFonts w:ascii="Arial" w:eastAsia="Calibri" w:hAnsi="Arial" w:cs="Arial"/>
                <w:b/>
                <w:sz w:val="22"/>
                <w:szCs w:val="22"/>
                <w:lang w:bidi="es-ES"/>
              </w:rPr>
              <w:t>Evaluación del progreso:</w:t>
            </w:r>
            <w:r w:rsidRPr="009E2F0A">
              <w:rPr>
                <w:rFonts w:ascii="Arial" w:eastAsia="Calibri" w:hAnsi="Arial" w:cs="Arial"/>
                <w:b/>
                <w:sz w:val="22"/>
                <w:szCs w:val="22"/>
                <w:lang w:bidi="es-ES"/>
              </w:rPr>
              <w:br/>
              <w:t>Del 01/01/2024 al 31/12/2025</w:t>
            </w:r>
          </w:p>
        </w:tc>
      </w:tr>
      <w:tr w:rsidR="00DC581D" w:rsidRPr="009E2F0A" w14:paraId="5D52EA6B" w14:textId="77777777" w:rsidTr="008C63D4">
        <w:trPr>
          <w:trHeight w:val="1498"/>
        </w:trPr>
        <w:tc>
          <w:tcPr>
            <w:tcW w:w="627" w:type="pct"/>
            <w:tcBorders>
              <w:bottom w:val="single" w:sz="4" w:space="0" w:color="auto"/>
            </w:tcBorders>
          </w:tcPr>
          <w:p w14:paraId="29B0CBEC" w14:textId="77777777" w:rsidR="00DC581D" w:rsidRPr="009E2F0A" w:rsidRDefault="00DC581D" w:rsidP="008C63D4">
            <w:pPr>
              <w:widowControl w:val="0"/>
              <w:spacing w:before="120" w:after="120"/>
              <w:rPr>
                <w:rFonts w:ascii="Arial" w:hAnsi="Arial" w:cs="Arial"/>
                <w:sz w:val="22"/>
                <w:szCs w:val="22"/>
                <w:lang w:val="es-ES_tradnl"/>
              </w:rPr>
            </w:pPr>
            <w:r w:rsidRPr="009E2F0A">
              <w:rPr>
                <w:rFonts w:ascii="Arial" w:hAnsi="Arial" w:cs="Arial"/>
                <w:sz w:val="22"/>
                <w:szCs w:val="22"/>
                <w:lang w:bidi="es-ES"/>
              </w:rPr>
              <w:t>128, incluidos 38 en África y 11 PEID</w:t>
            </w:r>
          </w:p>
        </w:tc>
        <w:tc>
          <w:tcPr>
            <w:tcW w:w="627" w:type="pct"/>
            <w:gridSpan w:val="2"/>
            <w:tcBorders>
              <w:bottom w:val="single" w:sz="4" w:space="0" w:color="auto"/>
            </w:tcBorders>
          </w:tcPr>
          <w:p w14:paraId="7E8BDF31" w14:textId="77777777" w:rsidR="00DC581D" w:rsidRPr="009E2F0A" w:rsidRDefault="00DC581D" w:rsidP="008C63D4">
            <w:pPr>
              <w:widowControl w:val="0"/>
              <w:spacing w:before="120" w:after="120"/>
              <w:ind w:left="-28"/>
              <w:rPr>
                <w:rFonts w:ascii="Arial" w:hAnsi="Arial" w:cs="Arial"/>
                <w:sz w:val="22"/>
                <w:szCs w:val="22"/>
                <w:lang w:val="es-ES_tradnl"/>
              </w:rPr>
            </w:pPr>
            <w:r w:rsidRPr="009E2F0A">
              <w:rPr>
                <w:rFonts w:ascii="Arial" w:hAnsi="Arial" w:cs="Arial"/>
                <w:sz w:val="22"/>
                <w:szCs w:val="22"/>
                <w:lang w:bidi="es-ES"/>
              </w:rPr>
              <w:t>100, incluidos 36 en África y 20 PEID</w:t>
            </w:r>
          </w:p>
        </w:tc>
        <w:tc>
          <w:tcPr>
            <w:tcW w:w="3747" w:type="pct"/>
            <w:gridSpan w:val="3"/>
            <w:tcBorders>
              <w:bottom w:val="single" w:sz="4" w:space="0" w:color="auto"/>
            </w:tcBorders>
          </w:tcPr>
          <w:p w14:paraId="56FE5F6C" w14:textId="77777777" w:rsidR="00DC581D" w:rsidRPr="009E2F0A" w:rsidRDefault="00DC581D" w:rsidP="00DC581D">
            <w:pPr>
              <w:pStyle w:val="ListParagraph"/>
              <w:widowControl w:val="0"/>
              <w:numPr>
                <w:ilvl w:val="0"/>
                <w:numId w:val="23"/>
              </w:numPr>
              <w:spacing w:before="120" w:after="120"/>
              <w:ind w:left="425" w:hanging="425"/>
              <w:contextualSpacing w:val="0"/>
              <w:jc w:val="both"/>
              <w:rPr>
                <w:rFonts w:ascii="Arial" w:hAnsi="Arial" w:cs="Arial"/>
                <w:sz w:val="22"/>
                <w:szCs w:val="22"/>
                <w:lang w:val="es-ES_tradnl"/>
              </w:rPr>
            </w:pPr>
            <w:r w:rsidRPr="009E2F0A">
              <w:rPr>
                <w:rFonts w:ascii="Arial" w:hAnsi="Arial" w:cs="Arial"/>
                <w:sz w:val="22"/>
                <w:szCs w:val="22"/>
                <w:lang w:bidi="es-ES"/>
              </w:rPr>
              <w:t xml:space="preserve">127 </w:t>
            </w:r>
            <w:proofErr w:type="gramStart"/>
            <w:r w:rsidRPr="009E2F0A">
              <w:rPr>
                <w:rFonts w:ascii="Arial" w:hAnsi="Arial" w:cs="Arial"/>
                <w:sz w:val="22"/>
                <w:szCs w:val="22"/>
                <w:lang w:bidi="es-ES"/>
              </w:rPr>
              <w:t>Estados</w:t>
            </w:r>
            <w:proofErr w:type="gramEnd"/>
            <w:r w:rsidRPr="009E2F0A">
              <w:rPr>
                <w:rFonts w:ascii="Arial" w:hAnsi="Arial" w:cs="Arial"/>
                <w:sz w:val="22"/>
                <w:szCs w:val="22"/>
                <w:lang w:bidi="es-ES"/>
              </w:rPr>
              <w:t xml:space="preserve"> Miembros se beneficiaron del programa de fortalecimiento de capacidades (incluidos 44 en África y 33 PEID);</w:t>
            </w:r>
          </w:p>
          <w:p w14:paraId="779F9F8D" w14:textId="77777777" w:rsidR="00DC581D" w:rsidRPr="009E2F0A" w:rsidRDefault="00DC581D" w:rsidP="00DC581D">
            <w:pPr>
              <w:pStyle w:val="ListParagraph"/>
              <w:widowControl w:val="0"/>
              <w:numPr>
                <w:ilvl w:val="0"/>
                <w:numId w:val="23"/>
              </w:numPr>
              <w:spacing w:before="120" w:after="120"/>
              <w:ind w:left="425" w:hanging="425"/>
              <w:contextualSpacing w:val="0"/>
              <w:jc w:val="both"/>
              <w:rPr>
                <w:rFonts w:ascii="Arial" w:hAnsi="Arial" w:cs="Arial"/>
                <w:sz w:val="22"/>
                <w:szCs w:val="22"/>
                <w:lang w:val="es-ES_tradnl"/>
              </w:rPr>
            </w:pPr>
            <w:r w:rsidRPr="009E2F0A">
              <w:rPr>
                <w:rFonts w:ascii="Arial" w:hAnsi="Arial" w:cs="Arial"/>
                <w:sz w:val="22"/>
                <w:szCs w:val="22"/>
                <w:lang w:bidi="es-ES"/>
              </w:rPr>
              <w:t>44 países recibieron apoyo para el ejercicio de presentación de informes periódicos en África;</w:t>
            </w:r>
          </w:p>
          <w:p w14:paraId="41B8E4F3" w14:textId="2B4B34B0" w:rsidR="00DC581D" w:rsidRPr="009E2F0A" w:rsidRDefault="00DC581D" w:rsidP="00DC581D">
            <w:pPr>
              <w:pStyle w:val="ListParagraph"/>
              <w:widowControl w:val="0"/>
              <w:numPr>
                <w:ilvl w:val="0"/>
                <w:numId w:val="23"/>
              </w:numPr>
              <w:spacing w:before="120" w:after="120"/>
              <w:ind w:left="425" w:hanging="425"/>
              <w:contextualSpacing w:val="0"/>
              <w:jc w:val="both"/>
              <w:rPr>
                <w:rFonts w:ascii="Arial" w:hAnsi="Arial" w:cs="Arial"/>
                <w:sz w:val="22"/>
                <w:szCs w:val="22"/>
                <w:lang w:val="es-ES_tradnl"/>
              </w:rPr>
            </w:pPr>
            <w:r w:rsidRPr="009E2F0A">
              <w:rPr>
                <w:rFonts w:ascii="Arial" w:hAnsi="Arial" w:cs="Arial"/>
                <w:sz w:val="22"/>
                <w:szCs w:val="22"/>
                <w:lang w:bidi="es-ES"/>
              </w:rPr>
              <w:t xml:space="preserve">42 países recibieron apoyo para el ejercicio de presentación de informes periódicos en </w:t>
            </w:r>
            <w:r w:rsidR="002650D8" w:rsidRPr="009E2F0A">
              <w:rPr>
                <w:rFonts w:ascii="Arial" w:hAnsi="Arial" w:cs="Arial"/>
                <w:sz w:val="22"/>
                <w:szCs w:val="22"/>
                <w:lang w:bidi="es-ES"/>
              </w:rPr>
              <w:t>Asia</w:t>
            </w:r>
            <w:r w:rsidRPr="009E2F0A">
              <w:rPr>
                <w:rFonts w:ascii="Arial" w:hAnsi="Arial" w:cs="Arial"/>
                <w:sz w:val="22"/>
                <w:szCs w:val="22"/>
                <w:lang w:bidi="es-ES"/>
              </w:rPr>
              <w:t xml:space="preserve"> y el Pacífico;</w:t>
            </w:r>
          </w:p>
          <w:p w14:paraId="6D341A83" w14:textId="5FAB1644" w:rsidR="00DC581D" w:rsidRPr="009E2F0A" w:rsidRDefault="00DC581D" w:rsidP="00DC581D">
            <w:pPr>
              <w:pStyle w:val="ListParagraph"/>
              <w:widowControl w:val="0"/>
              <w:numPr>
                <w:ilvl w:val="0"/>
                <w:numId w:val="23"/>
              </w:numPr>
              <w:spacing w:before="120" w:after="120"/>
              <w:ind w:left="425" w:hanging="425"/>
              <w:contextualSpacing w:val="0"/>
              <w:jc w:val="both"/>
              <w:rPr>
                <w:rFonts w:ascii="Arial" w:hAnsi="Arial" w:cs="Arial"/>
                <w:sz w:val="22"/>
                <w:szCs w:val="22"/>
                <w:lang w:val="es-ES_tradnl"/>
              </w:rPr>
            </w:pPr>
            <w:r w:rsidRPr="009E2F0A">
              <w:rPr>
                <w:rFonts w:ascii="Arial" w:eastAsia="Calibri" w:hAnsi="Arial" w:cs="Arial"/>
                <w:sz w:val="22"/>
                <w:szCs w:val="22"/>
                <w:lang w:bidi="es-ES"/>
              </w:rPr>
              <w:t xml:space="preserve">La capacidad de la red mundial de facilitadores se reforzó mediante el </w:t>
            </w:r>
            <w:hyperlink r:id="rId66" w:history="1">
              <w:r w:rsidRPr="009E2F0A">
                <w:rPr>
                  <w:rStyle w:val="Hyperlink"/>
                  <w:rFonts w:ascii="Arial" w:eastAsia="Calibri" w:hAnsi="Arial" w:cs="Arial"/>
                  <w:sz w:val="22"/>
                  <w:szCs w:val="22"/>
                  <w:lang w:bidi="es-ES"/>
                </w:rPr>
                <w:t>Programa Mundial de Capacitación 2025 para la red mundial de facilitadores</w:t>
              </w:r>
            </w:hyperlink>
            <w:r w:rsidRPr="009E2F0A">
              <w:rPr>
                <w:rFonts w:ascii="Arial" w:hAnsi="Arial" w:cs="Arial"/>
                <w:sz w:val="22"/>
                <w:szCs w:val="22"/>
                <w:lang w:bidi="es-ES"/>
              </w:rPr>
              <w:t>, con un seminario web introductorio (febrero de 2025) y tres sesiones temáticas centradas en el patrimonio vivo y la reducción del riesgo de desastres (marzo de 2025), la preparación de candidaturas para las Listas y el Registro de la Convención (junio de 2025), y el patrimonio vivo y la educación (julio de 2025);</w:t>
            </w:r>
          </w:p>
          <w:p w14:paraId="02EA0470" w14:textId="77777777" w:rsidR="00DC581D" w:rsidRPr="009E2F0A" w:rsidRDefault="00DC581D" w:rsidP="00DC581D">
            <w:pPr>
              <w:pStyle w:val="ListParagraph"/>
              <w:widowControl w:val="0"/>
              <w:numPr>
                <w:ilvl w:val="0"/>
                <w:numId w:val="23"/>
              </w:numPr>
              <w:spacing w:before="120" w:after="120"/>
              <w:ind w:left="425" w:hanging="425"/>
              <w:contextualSpacing w:val="0"/>
              <w:jc w:val="both"/>
              <w:rPr>
                <w:rFonts w:ascii="Arial" w:hAnsi="Arial" w:cs="Arial"/>
                <w:sz w:val="22"/>
                <w:szCs w:val="22"/>
                <w:lang w:val="es-ES_tradnl"/>
              </w:rPr>
            </w:pPr>
            <w:r w:rsidRPr="009E2F0A">
              <w:rPr>
                <w:rFonts w:ascii="Arial" w:hAnsi="Arial" w:cs="Arial"/>
                <w:sz w:val="22"/>
                <w:szCs w:val="22"/>
                <w:lang w:bidi="es-ES"/>
              </w:rPr>
              <w:t>4 talleres de fortalecimiento de capacidades sobre candidaturas en 4 países africanos realizados entre octubre y diciembre de 2025 (con 5 más previstos en 2026);</w:t>
            </w:r>
          </w:p>
          <w:p w14:paraId="66B8DF14" w14:textId="77777777" w:rsidR="00DC581D" w:rsidRPr="009E2F0A" w:rsidRDefault="00DC581D" w:rsidP="00DC581D">
            <w:pPr>
              <w:pStyle w:val="ListParagraph"/>
              <w:widowControl w:val="0"/>
              <w:numPr>
                <w:ilvl w:val="0"/>
                <w:numId w:val="23"/>
              </w:numPr>
              <w:spacing w:before="120" w:after="120"/>
              <w:ind w:left="425" w:hanging="425"/>
              <w:contextualSpacing w:val="0"/>
              <w:jc w:val="both"/>
              <w:rPr>
                <w:rFonts w:ascii="Arial" w:hAnsi="Arial" w:cs="Arial"/>
                <w:sz w:val="22"/>
                <w:szCs w:val="22"/>
                <w:lang w:val="es-ES_tradnl"/>
              </w:rPr>
            </w:pPr>
            <w:r w:rsidRPr="009E2F0A">
              <w:rPr>
                <w:rFonts w:ascii="Arial" w:hAnsi="Arial" w:cs="Arial"/>
                <w:sz w:val="22"/>
                <w:szCs w:val="22"/>
                <w:lang w:bidi="es-ES"/>
              </w:rPr>
              <w:t>5 propuestas tramitadas para la creación o renovación de Cátedras UNESCO en el ámbito del patrimonio cultural inmaterial.</w:t>
            </w:r>
          </w:p>
        </w:tc>
      </w:tr>
      <w:tr w:rsidR="00DC581D" w:rsidRPr="009E2F0A" w14:paraId="093DBF6B" w14:textId="77777777" w:rsidTr="008C63D4">
        <w:trPr>
          <w:trHeight w:val="367"/>
        </w:trPr>
        <w:tc>
          <w:tcPr>
            <w:tcW w:w="679" w:type="pct"/>
            <w:gridSpan w:val="2"/>
            <w:tcBorders>
              <w:left w:val="nil"/>
              <w:bottom w:val="nil"/>
              <w:right w:val="nil"/>
            </w:tcBorders>
          </w:tcPr>
          <w:p w14:paraId="50F7E7C8" w14:textId="77777777" w:rsidR="00DC581D" w:rsidRPr="009E2F0A" w:rsidRDefault="00DC581D" w:rsidP="008C63D4">
            <w:pPr>
              <w:widowControl w:val="0"/>
              <w:spacing w:before="120" w:after="120"/>
              <w:rPr>
                <w:rFonts w:ascii="Arial" w:hAnsi="Arial" w:cs="Arial"/>
                <w:sz w:val="22"/>
                <w:szCs w:val="22"/>
                <w:lang w:val="es-ES_tradnl"/>
              </w:rPr>
            </w:pPr>
          </w:p>
        </w:tc>
        <w:tc>
          <w:tcPr>
            <w:tcW w:w="718" w:type="pct"/>
            <w:gridSpan w:val="2"/>
            <w:tcBorders>
              <w:left w:val="nil"/>
              <w:bottom w:val="nil"/>
              <w:right w:val="nil"/>
            </w:tcBorders>
          </w:tcPr>
          <w:p w14:paraId="5183C67C" w14:textId="77777777" w:rsidR="00DC581D" w:rsidRPr="009E2F0A" w:rsidRDefault="00DC581D" w:rsidP="008C63D4">
            <w:pPr>
              <w:pStyle w:val="ListParagraph"/>
              <w:widowControl w:val="0"/>
              <w:spacing w:before="120" w:after="120"/>
              <w:ind w:left="312"/>
              <w:contextualSpacing w:val="0"/>
              <w:rPr>
                <w:rFonts w:ascii="Arial" w:hAnsi="Arial" w:cs="Arial"/>
                <w:sz w:val="22"/>
                <w:szCs w:val="22"/>
                <w:lang w:val="es-ES_tradnl"/>
              </w:rPr>
            </w:pPr>
          </w:p>
        </w:tc>
        <w:tc>
          <w:tcPr>
            <w:tcW w:w="77" w:type="pct"/>
            <w:tcBorders>
              <w:left w:val="nil"/>
              <w:bottom w:val="nil"/>
              <w:right w:val="nil"/>
            </w:tcBorders>
          </w:tcPr>
          <w:p w14:paraId="4762734A" w14:textId="77777777" w:rsidR="00DC581D" w:rsidRPr="009E2F0A" w:rsidRDefault="00DC581D" w:rsidP="008C63D4">
            <w:pPr>
              <w:pStyle w:val="ListParagraph"/>
              <w:widowControl w:val="0"/>
              <w:spacing w:before="120" w:after="120"/>
              <w:ind w:left="312"/>
              <w:contextualSpacing w:val="0"/>
              <w:rPr>
                <w:rFonts w:ascii="Arial" w:hAnsi="Arial" w:cs="Arial"/>
                <w:sz w:val="22"/>
                <w:szCs w:val="22"/>
                <w:lang w:val="es-ES_tradnl"/>
              </w:rPr>
            </w:pPr>
          </w:p>
        </w:tc>
        <w:tc>
          <w:tcPr>
            <w:tcW w:w="3526" w:type="pct"/>
            <w:tcBorders>
              <w:left w:val="nil"/>
              <w:bottom w:val="nil"/>
              <w:right w:val="nil"/>
            </w:tcBorders>
          </w:tcPr>
          <w:p w14:paraId="26EDBB78" w14:textId="77777777" w:rsidR="00DC581D" w:rsidRPr="009E2F0A" w:rsidRDefault="00DC581D" w:rsidP="008C63D4">
            <w:pPr>
              <w:pStyle w:val="ListParagraph"/>
              <w:widowControl w:val="0"/>
              <w:spacing w:before="120" w:after="120"/>
              <w:ind w:left="544"/>
              <w:contextualSpacing w:val="0"/>
              <w:rPr>
                <w:rFonts w:ascii="Arial" w:hAnsi="Arial" w:cs="Arial"/>
                <w:sz w:val="22"/>
                <w:szCs w:val="22"/>
                <w:lang w:val="es-ES_tradnl"/>
              </w:rPr>
            </w:pPr>
          </w:p>
        </w:tc>
      </w:tr>
    </w:tbl>
    <w:p w14:paraId="20E510AA" w14:textId="77777777" w:rsidR="00DC581D" w:rsidRPr="009E2F0A" w:rsidRDefault="00DC581D" w:rsidP="00DC581D">
      <w:pPr>
        <w:rPr>
          <w:rFonts w:ascii="Arial" w:hAnsi="Arial" w:cs="Arial"/>
          <w:lang w:val="es-ES_tradnl"/>
        </w:rPr>
      </w:pPr>
      <w:r w:rsidRPr="009E2F0A">
        <w:rPr>
          <w:rFonts w:ascii="Arial" w:hAnsi="Arial" w:cs="Arial"/>
          <w:lang w:bidi="es-ES"/>
        </w:rPr>
        <w:br w:type="page"/>
      </w:r>
    </w:p>
    <w:tbl>
      <w:tblPr>
        <w:tblStyle w:val="TableGrid2"/>
        <w:tblW w:w="14572" w:type="dxa"/>
        <w:tblLook w:val="04A0" w:firstRow="1" w:lastRow="0" w:firstColumn="1" w:lastColumn="0" w:noHBand="0" w:noVBand="1"/>
      </w:tblPr>
      <w:tblGrid>
        <w:gridCol w:w="3509"/>
        <w:gridCol w:w="11063"/>
      </w:tblGrid>
      <w:tr w:rsidR="00DC581D" w:rsidRPr="009E2F0A" w14:paraId="7711F898" w14:textId="77777777" w:rsidTr="008C63D4">
        <w:trPr>
          <w:cantSplit/>
        </w:trPr>
        <w:tc>
          <w:tcPr>
            <w:tcW w:w="1204" w:type="pct"/>
            <w:shd w:val="clear" w:color="auto" w:fill="808080" w:themeFill="background1" w:themeFillShade="80"/>
            <w:vAlign w:val="center"/>
          </w:tcPr>
          <w:p w14:paraId="0EBD045B" w14:textId="77777777" w:rsidR="00DC581D" w:rsidRPr="009E2F0A" w:rsidRDefault="00DC581D" w:rsidP="008C63D4">
            <w:pPr>
              <w:keepNext/>
              <w:widowControl w:val="0"/>
              <w:spacing w:before="120" w:after="120"/>
              <w:rPr>
                <w:rFonts w:ascii="Arial" w:hAnsi="Arial" w:cs="Arial"/>
                <w:b/>
                <w:bCs/>
                <w:color w:val="FFFFFF" w:themeColor="background1"/>
                <w:sz w:val="22"/>
                <w:szCs w:val="22"/>
                <w:lang w:val="en-GB"/>
              </w:rPr>
            </w:pPr>
            <w:r w:rsidRPr="009E2F0A">
              <w:rPr>
                <w:rFonts w:ascii="Arial" w:hAnsi="Arial" w:cs="Arial"/>
                <w:b/>
                <w:color w:val="FFFFFF" w:themeColor="background1"/>
                <w:sz w:val="22"/>
                <w:szCs w:val="22"/>
                <w:lang w:val="es-ES" w:bidi="es-ES"/>
              </w:rPr>
              <w:lastRenderedPageBreak/>
              <w:t>42C/5 Indicador de resultado 2</w:t>
            </w:r>
          </w:p>
        </w:tc>
        <w:tc>
          <w:tcPr>
            <w:tcW w:w="3796" w:type="pct"/>
            <w:shd w:val="clear" w:color="auto" w:fill="808080" w:themeFill="background1" w:themeFillShade="80"/>
            <w:vAlign w:val="center"/>
          </w:tcPr>
          <w:p w14:paraId="045CCC30" w14:textId="77777777" w:rsidR="00DC581D" w:rsidRPr="009E2F0A" w:rsidRDefault="00DC581D" w:rsidP="008C63D4">
            <w:pPr>
              <w:keepNext/>
              <w:widowControl w:val="0"/>
              <w:spacing w:before="120" w:after="120"/>
              <w:jc w:val="both"/>
              <w:rPr>
                <w:rFonts w:ascii="Arial" w:hAnsi="Arial" w:cs="Arial"/>
                <w:b/>
                <w:bCs/>
                <w:color w:val="FFFFFF" w:themeColor="background1"/>
                <w:sz w:val="22"/>
                <w:szCs w:val="22"/>
                <w:lang w:val="es-ES_tradnl"/>
              </w:rPr>
            </w:pPr>
            <w:r w:rsidRPr="009E2F0A">
              <w:rPr>
                <w:rFonts w:ascii="Arial" w:hAnsi="Arial" w:cs="Arial"/>
                <w:b/>
                <w:color w:val="FFFFFF" w:themeColor="background1"/>
                <w:sz w:val="22"/>
                <w:szCs w:val="22"/>
                <w:lang w:val="es-ES" w:bidi="es-ES"/>
              </w:rPr>
              <w:t>Número de Estados Miembros que salvaguardan de forma sostenible el patrimonio vivo mediante mecanismos mejorados de cooperación y asistencia internacionales de la Convención para la Salvaguardia del Patrimonio Cultural Inmaterial de 2003</w:t>
            </w:r>
          </w:p>
        </w:tc>
      </w:tr>
    </w:tbl>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4"/>
        <w:gridCol w:w="11063"/>
      </w:tblGrid>
      <w:tr w:rsidR="00DC581D" w:rsidRPr="009E2F0A" w14:paraId="252E3BAC" w14:textId="77777777" w:rsidTr="008C63D4">
        <w:trPr>
          <w:tblHeader/>
        </w:trPr>
        <w:tc>
          <w:tcPr>
            <w:tcW w:w="602" w:type="pct"/>
            <w:shd w:val="clear" w:color="auto" w:fill="D9D9D9" w:themeFill="background1" w:themeFillShade="D9"/>
            <w:vAlign w:val="center"/>
          </w:tcPr>
          <w:p w14:paraId="077AD10A" w14:textId="77777777" w:rsidR="00DC581D" w:rsidRPr="009E2F0A" w:rsidRDefault="00DC581D" w:rsidP="008C63D4">
            <w:pPr>
              <w:widowControl w:val="0"/>
              <w:spacing w:before="60" w:after="60"/>
              <w:jc w:val="center"/>
              <w:rPr>
                <w:rFonts w:ascii="Arial" w:eastAsia="Calibri" w:hAnsi="Arial" w:cs="Arial"/>
                <w:b/>
                <w:sz w:val="22"/>
                <w:szCs w:val="22"/>
                <w:lang w:val="en-GB"/>
              </w:rPr>
            </w:pPr>
            <w:r w:rsidRPr="009E2F0A">
              <w:rPr>
                <w:rFonts w:ascii="Arial" w:hAnsi="Arial" w:cs="Arial"/>
                <w:b/>
                <w:sz w:val="22"/>
                <w:szCs w:val="22"/>
                <w:lang w:bidi="es-ES"/>
              </w:rPr>
              <w:t>Bases de referencia</w:t>
            </w:r>
          </w:p>
        </w:tc>
        <w:tc>
          <w:tcPr>
            <w:tcW w:w="602" w:type="pct"/>
            <w:shd w:val="clear" w:color="auto" w:fill="D9D9D9" w:themeFill="background1" w:themeFillShade="D9"/>
            <w:vAlign w:val="center"/>
          </w:tcPr>
          <w:p w14:paraId="0DB21CD1" w14:textId="77777777" w:rsidR="00DC581D" w:rsidRPr="009E2F0A" w:rsidRDefault="00DC581D" w:rsidP="008C63D4">
            <w:pPr>
              <w:widowControl w:val="0"/>
              <w:spacing w:before="60" w:after="60"/>
              <w:jc w:val="center"/>
              <w:rPr>
                <w:rFonts w:ascii="Arial" w:eastAsia="Calibri" w:hAnsi="Arial" w:cs="Arial"/>
                <w:b/>
                <w:sz w:val="22"/>
                <w:szCs w:val="22"/>
                <w:lang w:val="en-GB"/>
              </w:rPr>
            </w:pPr>
            <w:r w:rsidRPr="009E2F0A">
              <w:rPr>
                <w:rFonts w:ascii="Arial" w:eastAsia="Calibri" w:hAnsi="Arial" w:cs="Arial"/>
                <w:b/>
                <w:sz w:val="22"/>
                <w:szCs w:val="22"/>
                <w:lang w:bidi="es-ES"/>
              </w:rPr>
              <w:t>Metas 2025</w:t>
            </w:r>
          </w:p>
        </w:tc>
        <w:tc>
          <w:tcPr>
            <w:tcW w:w="3796" w:type="pct"/>
            <w:shd w:val="clear" w:color="auto" w:fill="D9D9D9" w:themeFill="background1" w:themeFillShade="D9"/>
            <w:vAlign w:val="center"/>
          </w:tcPr>
          <w:p w14:paraId="0508298A" w14:textId="77777777" w:rsidR="00DC581D" w:rsidRPr="009E2F0A" w:rsidRDefault="00DC581D" w:rsidP="008C63D4">
            <w:pPr>
              <w:widowControl w:val="0"/>
              <w:autoSpaceDE w:val="0"/>
              <w:autoSpaceDN w:val="0"/>
              <w:adjustRightInd w:val="0"/>
              <w:jc w:val="center"/>
              <w:rPr>
                <w:rFonts w:ascii="Arial" w:eastAsia="Calibri" w:hAnsi="Arial" w:cs="Arial"/>
                <w:b/>
                <w:color w:val="000000"/>
                <w:sz w:val="22"/>
                <w:szCs w:val="22"/>
                <w:lang w:val="es-ES_tradnl"/>
              </w:rPr>
            </w:pPr>
            <w:r w:rsidRPr="009E2F0A">
              <w:rPr>
                <w:rFonts w:ascii="Arial" w:eastAsia="Calibri" w:hAnsi="Arial" w:cs="Arial"/>
                <w:b/>
                <w:sz w:val="22"/>
                <w:szCs w:val="22"/>
                <w:lang w:bidi="es-ES"/>
              </w:rPr>
              <w:t>Evaluación del progreso:</w:t>
            </w:r>
            <w:r w:rsidRPr="009E2F0A">
              <w:rPr>
                <w:rFonts w:ascii="Arial" w:eastAsia="Calibri" w:hAnsi="Arial" w:cs="Arial"/>
                <w:b/>
                <w:sz w:val="22"/>
                <w:szCs w:val="22"/>
                <w:lang w:bidi="es-ES"/>
              </w:rPr>
              <w:br/>
              <w:t>Del 01/01/2024 al 31/12/2025</w:t>
            </w:r>
          </w:p>
        </w:tc>
      </w:tr>
      <w:tr w:rsidR="00DC581D" w:rsidRPr="009E2F0A" w14:paraId="40FB0FA0" w14:textId="77777777" w:rsidTr="008C63D4">
        <w:trPr>
          <w:trHeight w:val="4361"/>
          <w:tblHeader/>
        </w:trPr>
        <w:tc>
          <w:tcPr>
            <w:tcW w:w="602" w:type="pct"/>
          </w:tcPr>
          <w:p w14:paraId="79B3F339" w14:textId="77777777" w:rsidR="00DC581D" w:rsidRPr="009E2F0A" w:rsidRDefault="00DC581D" w:rsidP="008C63D4">
            <w:pPr>
              <w:widowControl w:val="0"/>
              <w:spacing w:before="60" w:after="60"/>
              <w:rPr>
                <w:rFonts w:ascii="Arial" w:hAnsi="Arial" w:cs="Arial"/>
                <w:b/>
                <w:bCs/>
                <w:sz w:val="22"/>
                <w:szCs w:val="22"/>
                <w:lang w:val="es-ES_tradnl"/>
              </w:rPr>
            </w:pPr>
            <w:r w:rsidRPr="009E2F0A">
              <w:rPr>
                <w:rFonts w:ascii="Arial" w:hAnsi="Arial" w:cs="Arial"/>
                <w:sz w:val="22"/>
                <w:szCs w:val="22"/>
                <w:lang w:bidi="es-ES"/>
              </w:rPr>
              <w:t>123, incluidos 10 en África y 10 PEID</w:t>
            </w:r>
          </w:p>
        </w:tc>
        <w:tc>
          <w:tcPr>
            <w:tcW w:w="602" w:type="pct"/>
          </w:tcPr>
          <w:p w14:paraId="0786C553" w14:textId="77777777" w:rsidR="00DC581D" w:rsidRPr="009E2F0A" w:rsidRDefault="00DC581D" w:rsidP="008C63D4">
            <w:pPr>
              <w:widowControl w:val="0"/>
              <w:spacing w:before="60" w:after="60"/>
              <w:rPr>
                <w:rFonts w:ascii="Arial" w:eastAsia="Calibri" w:hAnsi="Arial" w:cs="Arial"/>
                <w:b/>
                <w:sz w:val="22"/>
                <w:szCs w:val="22"/>
                <w:lang w:val="es-ES_tradnl"/>
              </w:rPr>
            </w:pPr>
            <w:r w:rsidRPr="009E2F0A">
              <w:rPr>
                <w:rFonts w:ascii="Arial" w:hAnsi="Arial" w:cs="Arial"/>
                <w:sz w:val="22"/>
                <w:szCs w:val="22"/>
                <w:lang w:bidi="es-ES"/>
              </w:rPr>
              <w:t>108, incluidos 44 en África y 10 PEID</w:t>
            </w:r>
          </w:p>
        </w:tc>
        <w:tc>
          <w:tcPr>
            <w:tcW w:w="3796" w:type="pct"/>
          </w:tcPr>
          <w:p w14:paraId="584CBF1E" w14:textId="77777777" w:rsidR="00DC581D" w:rsidRPr="009E2F0A" w:rsidRDefault="00DC581D" w:rsidP="00DC581D">
            <w:pPr>
              <w:pStyle w:val="ListParagraph"/>
              <w:keepNext/>
              <w:keepLines/>
              <w:widowControl w:val="0"/>
              <w:numPr>
                <w:ilvl w:val="0"/>
                <w:numId w:val="24"/>
              </w:numPr>
              <w:spacing w:before="120" w:after="120"/>
              <w:ind w:left="323"/>
              <w:contextualSpacing w:val="0"/>
              <w:jc w:val="both"/>
              <w:rPr>
                <w:rFonts w:ascii="Arial" w:hAnsi="Arial" w:cs="Arial"/>
                <w:sz w:val="22"/>
                <w:szCs w:val="22"/>
                <w:lang w:val="es-ES_tradnl"/>
              </w:rPr>
            </w:pPr>
            <w:r w:rsidRPr="009E2F0A">
              <w:rPr>
                <w:rFonts w:ascii="Arial" w:hAnsi="Arial" w:cs="Arial"/>
                <w:sz w:val="22"/>
                <w:szCs w:val="22"/>
                <w:lang w:bidi="es-ES"/>
              </w:rPr>
              <w:t>Prosiguió la reflexión sobre una aplicación más amplia del Artículo 18 de la Convención;</w:t>
            </w:r>
          </w:p>
          <w:p w14:paraId="134CC40F" w14:textId="77777777" w:rsidR="00DC581D" w:rsidRPr="009E2F0A" w:rsidRDefault="00DC581D" w:rsidP="00DC581D">
            <w:pPr>
              <w:pStyle w:val="ListParagraph"/>
              <w:widowControl w:val="0"/>
              <w:numPr>
                <w:ilvl w:val="0"/>
                <w:numId w:val="24"/>
              </w:numPr>
              <w:autoSpaceDE w:val="0"/>
              <w:autoSpaceDN w:val="0"/>
              <w:adjustRightInd w:val="0"/>
              <w:ind w:left="323"/>
              <w:rPr>
                <w:rFonts w:ascii="Arial" w:hAnsi="Arial" w:cs="Arial"/>
                <w:sz w:val="22"/>
                <w:szCs w:val="22"/>
                <w:lang w:val="es-ES_tradnl"/>
              </w:rPr>
            </w:pPr>
            <w:r w:rsidRPr="009E2F0A">
              <w:rPr>
                <w:rFonts w:ascii="Arial" w:hAnsi="Arial" w:cs="Arial"/>
                <w:sz w:val="22"/>
                <w:szCs w:val="22"/>
                <w:lang w:bidi="es-ES"/>
              </w:rPr>
              <w:t>La Mesa tramitó y aprobó 27 nuevas solicitudes de asistencia internacional, incluidas 9 de África y 6 PEID;</w:t>
            </w:r>
          </w:p>
          <w:p w14:paraId="030A24FB" w14:textId="7F311AA0" w:rsidR="00DC581D" w:rsidRPr="009E2F0A" w:rsidRDefault="00DC581D" w:rsidP="00DC581D">
            <w:pPr>
              <w:pStyle w:val="ListParagraph"/>
              <w:widowControl w:val="0"/>
              <w:numPr>
                <w:ilvl w:val="0"/>
                <w:numId w:val="24"/>
              </w:numPr>
              <w:spacing w:before="120" w:after="120"/>
              <w:ind w:left="323"/>
              <w:contextualSpacing w:val="0"/>
              <w:jc w:val="both"/>
              <w:rPr>
                <w:rFonts w:ascii="Arial" w:hAnsi="Arial" w:cs="Arial"/>
                <w:sz w:val="22"/>
                <w:szCs w:val="22"/>
                <w:lang w:val="es-ES_tradnl"/>
              </w:rPr>
            </w:pPr>
            <w:r w:rsidRPr="009E2F0A">
              <w:rPr>
                <w:rFonts w:ascii="Arial" w:hAnsi="Arial" w:cs="Arial"/>
                <w:sz w:val="22"/>
                <w:szCs w:val="22"/>
                <w:lang w:bidi="es-ES"/>
              </w:rPr>
              <w:t xml:space="preserve">140 expedientes de candidatura tratados dentro de los ciclos 2024 y 2025 y </w:t>
            </w:r>
            <w:r w:rsidR="005618A9" w:rsidRPr="009E2F0A">
              <w:rPr>
                <w:rFonts w:ascii="Arial" w:hAnsi="Arial" w:cs="Arial"/>
                <w:sz w:val="22"/>
                <w:szCs w:val="22"/>
                <w:lang w:bidi="es-ES"/>
              </w:rPr>
              <w:t>71</w:t>
            </w:r>
            <w:r w:rsidRPr="009E2F0A">
              <w:rPr>
                <w:rFonts w:ascii="Arial" w:hAnsi="Arial" w:cs="Arial"/>
                <w:sz w:val="22"/>
                <w:szCs w:val="22"/>
                <w:lang w:bidi="es-ES"/>
              </w:rPr>
              <w:t xml:space="preserve"> expedientes de candidatura </w:t>
            </w:r>
            <w:r w:rsidR="005618A9" w:rsidRPr="009E2F0A">
              <w:rPr>
                <w:rFonts w:ascii="Arial" w:hAnsi="Arial" w:cs="Arial"/>
                <w:sz w:val="22"/>
                <w:szCs w:val="22"/>
                <w:lang w:bidi="es-ES"/>
              </w:rPr>
              <w:t xml:space="preserve">inicialmente </w:t>
            </w:r>
            <w:r w:rsidRPr="009E2F0A">
              <w:rPr>
                <w:rFonts w:ascii="Arial" w:hAnsi="Arial" w:cs="Arial"/>
                <w:sz w:val="22"/>
                <w:szCs w:val="22"/>
                <w:lang w:bidi="es-ES"/>
              </w:rPr>
              <w:t>tratados para el ciclo 2026;</w:t>
            </w:r>
          </w:p>
          <w:p w14:paraId="37396722" w14:textId="77777777" w:rsidR="00DC581D" w:rsidRPr="009E2F0A" w:rsidRDefault="00DC581D" w:rsidP="00DC581D">
            <w:pPr>
              <w:pStyle w:val="ListParagraph"/>
              <w:widowControl w:val="0"/>
              <w:numPr>
                <w:ilvl w:val="0"/>
                <w:numId w:val="24"/>
              </w:numPr>
              <w:spacing w:before="120" w:after="120"/>
              <w:ind w:left="323"/>
              <w:contextualSpacing w:val="0"/>
              <w:jc w:val="both"/>
              <w:rPr>
                <w:rFonts w:ascii="Arial" w:hAnsi="Arial" w:cs="Arial"/>
                <w:sz w:val="22"/>
                <w:szCs w:val="22"/>
                <w:lang w:val="es-ES_tradnl"/>
              </w:rPr>
            </w:pPr>
            <w:r w:rsidRPr="009E2F0A">
              <w:rPr>
                <w:rFonts w:ascii="Arial" w:hAnsi="Arial" w:cs="Arial"/>
                <w:sz w:val="22"/>
                <w:szCs w:val="22"/>
                <w:lang w:bidi="es-ES"/>
              </w:rPr>
              <w:t>205 expedientes de candidatura recién presentados para los ciclos 2025 y 2026 registrados;</w:t>
            </w:r>
          </w:p>
          <w:p w14:paraId="303654CD" w14:textId="77777777" w:rsidR="00DC581D" w:rsidRPr="009E2F0A" w:rsidRDefault="00DC581D" w:rsidP="00DC581D">
            <w:pPr>
              <w:pStyle w:val="ListParagraph"/>
              <w:keepNext/>
              <w:widowControl w:val="0"/>
              <w:numPr>
                <w:ilvl w:val="0"/>
                <w:numId w:val="24"/>
              </w:numPr>
              <w:spacing w:before="120" w:after="120"/>
              <w:ind w:left="323"/>
              <w:contextualSpacing w:val="0"/>
              <w:jc w:val="both"/>
              <w:rPr>
                <w:rFonts w:ascii="Arial" w:hAnsi="Arial" w:cs="Arial"/>
                <w:sz w:val="22"/>
                <w:szCs w:val="22"/>
                <w:lang w:val="es-ES_tradnl"/>
              </w:rPr>
            </w:pPr>
            <w:r w:rsidRPr="009E2F0A">
              <w:rPr>
                <w:rFonts w:ascii="Arial" w:hAnsi="Arial" w:cs="Arial"/>
                <w:sz w:val="22"/>
                <w:szCs w:val="22"/>
                <w:lang w:bidi="es-ES"/>
              </w:rPr>
              <w:t>Se analizaron 26 informes sobre la situación de los elementos inscritos en la Lista de Salvaguardia Urgente;</w:t>
            </w:r>
          </w:p>
          <w:p w14:paraId="2F6017F6" w14:textId="77777777" w:rsidR="00DC581D" w:rsidRPr="009E2F0A" w:rsidRDefault="00DC581D" w:rsidP="00DC581D">
            <w:pPr>
              <w:pStyle w:val="ListParagraph"/>
              <w:keepNext/>
              <w:widowControl w:val="0"/>
              <w:numPr>
                <w:ilvl w:val="0"/>
                <w:numId w:val="24"/>
              </w:numPr>
              <w:spacing w:before="120" w:after="120"/>
              <w:ind w:left="323"/>
              <w:contextualSpacing w:val="0"/>
              <w:jc w:val="both"/>
              <w:rPr>
                <w:rFonts w:ascii="Arial" w:hAnsi="Arial" w:cs="Arial"/>
                <w:sz w:val="22"/>
                <w:szCs w:val="22"/>
                <w:lang w:val="es-ES_tradnl"/>
              </w:rPr>
            </w:pPr>
            <w:r w:rsidRPr="009E2F0A">
              <w:rPr>
                <w:rFonts w:ascii="Arial" w:hAnsi="Arial" w:cs="Arial"/>
                <w:sz w:val="22"/>
                <w:szCs w:val="22"/>
                <w:lang w:bidi="es-ES"/>
              </w:rPr>
              <w:t xml:space="preserve">Se analizaron 44 informes sobre la aplicación de la Convención y sobre la situación actual de los elementos inscritos en la Lista Representativa por </w:t>
            </w:r>
            <w:proofErr w:type="gramStart"/>
            <w:r w:rsidRPr="009E2F0A">
              <w:rPr>
                <w:rFonts w:ascii="Arial" w:hAnsi="Arial" w:cs="Arial"/>
                <w:sz w:val="22"/>
                <w:szCs w:val="22"/>
                <w:lang w:bidi="es-ES"/>
              </w:rPr>
              <w:t>Estados Partes</w:t>
            </w:r>
            <w:proofErr w:type="gramEnd"/>
            <w:r w:rsidRPr="009E2F0A">
              <w:rPr>
                <w:rFonts w:ascii="Arial" w:hAnsi="Arial" w:cs="Arial"/>
                <w:sz w:val="22"/>
                <w:szCs w:val="22"/>
                <w:lang w:bidi="es-ES"/>
              </w:rPr>
              <w:t xml:space="preserve"> de África;</w:t>
            </w:r>
          </w:p>
          <w:p w14:paraId="148409E4" w14:textId="77777777" w:rsidR="00DC581D" w:rsidRPr="009E2F0A" w:rsidRDefault="00DC581D" w:rsidP="00DC581D">
            <w:pPr>
              <w:pStyle w:val="ListParagraph"/>
              <w:keepNext/>
              <w:widowControl w:val="0"/>
              <w:numPr>
                <w:ilvl w:val="0"/>
                <w:numId w:val="24"/>
              </w:numPr>
              <w:spacing w:before="120" w:after="120"/>
              <w:ind w:left="323"/>
              <w:contextualSpacing w:val="0"/>
              <w:jc w:val="both"/>
              <w:rPr>
                <w:rFonts w:ascii="Arial" w:hAnsi="Arial" w:cs="Arial"/>
                <w:sz w:val="22"/>
                <w:szCs w:val="22"/>
                <w:lang w:val="es-ES_tradnl"/>
              </w:rPr>
            </w:pPr>
            <w:r w:rsidRPr="009E2F0A">
              <w:rPr>
                <w:rFonts w:ascii="Arial" w:hAnsi="Arial" w:cs="Arial"/>
                <w:sz w:val="22"/>
                <w:szCs w:val="22"/>
                <w:lang w:bidi="es-ES"/>
              </w:rPr>
              <w:t xml:space="preserve">Se analizaron 38 informes sobre la aplicación de la Convención y sobre la situación actual de los elementos inscritos en la Lista Representativa por </w:t>
            </w:r>
            <w:proofErr w:type="gramStart"/>
            <w:r w:rsidRPr="009E2F0A">
              <w:rPr>
                <w:rFonts w:ascii="Arial" w:hAnsi="Arial" w:cs="Arial"/>
                <w:sz w:val="22"/>
                <w:szCs w:val="22"/>
                <w:lang w:bidi="es-ES"/>
              </w:rPr>
              <w:t>Estados Partes</w:t>
            </w:r>
            <w:proofErr w:type="gramEnd"/>
            <w:r w:rsidRPr="009E2F0A">
              <w:rPr>
                <w:rFonts w:ascii="Arial" w:hAnsi="Arial" w:cs="Arial"/>
                <w:sz w:val="22"/>
                <w:szCs w:val="22"/>
                <w:lang w:bidi="es-ES"/>
              </w:rPr>
              <w:t xml:space="preserve"> en Asia y el Pacífico;</w:t>
            </w:r>
          </w:p>
          <w:p w14:paraId="287C3B48" w14:textId="77777777" w:rsidR="00DC581D" w:rsidRPr="009E2F0A" w:rsidRDefault="00DC581D" w:rsidP="00DC581D">
            <w:pPr>
              <w:pStyle w:val="ListParagraph"/>
              <w:keepNext/>
              <w:widowControl w:val="0"/>
              <w:numPr>
                <w:ilvl w:val="0"/>
                <w:numId w:val="24"/>
              </w:numPr>
              <w:spacing w:before="120" w:after="120"/>
              <w:ind w:left="323"/>
              <w:contextualSpacing w:val="0"/>
              <w:jc w:val="both"/>
              <w:rPr>
                <w:rFonts w:ascii="Arial" w:hAnsi="Arial" w:cs="Arial"/>
                <w:sz w:val="22"/>
                <w:szCs w:val="22"/>
                <w:lang w:val="en-GB"/>
              </w:rPr>
            </w:pPr>
            <w:r w:rsidRPr="009E2F0A">
              <w:rPr>
                <w:rFonts w:ascii="Arial" w:hAnsi="Arial" w:cs="Arial"/>
                <w:sz w:val="22"/>
                <w:szCs w:val="22"/>
                <w:lang w:bidi="es-ES"/>
              </w:rPr>
              <w:t>Se organizaron 37 reuniones estatutarias.</w:t>
            </w:r>
          </w:p>
        </w:tc>
      </w:tr>
    </w:tbl>
    <w:p w14:paraId="7A933820" w14:textId="77777777" w:rsidR="00DC581D" w:rsidRPr="009E2F0A" w:rsidRDefault="00DC581D" w:rsidP="00DC581D">
      <w:pPr>
        <w:widowControl w:val="0"/>
        <w:spacing w:before="120" w:after="120"/>
        <w:jc w:val="both"/>
        <w:rPr>
          <w:rFonts w:ascii="Arial" w:eastAsia="SimSun" w:hAnsi="Arial" w:cs="Arial"/>
          <w:sz w:val="22"/>
          <w:szCs w:val="22"/>
          <w:lang w:val="en-GB"/>
        </w:rPr>
        <w:sectPr w:rsidR="00DC581D" w:rsidRPr="009E2F0A" w:rsidSect="00DC581D">
          <w:pgSz w:w="16838" w:h="11906" w:orient="landscape" w:code="9"/>
          <w:pgMar w:top="1138" w:right="1411" w:bottom="1138" w:left="1138" w:header="403" w:footer="288" w:gutter="0"/>
          <w:cols w:space="708"/>
          <w:docGrid w:linePitch="360"/>
        </w:sectPr>
      </w:pPr>
    </w:p>
    <w:p w14:paraId="7CDD1D01" w14:textId="77777777" w:rsidR="00DC581D" w:rsidRPr="009E2F0A" w:rsidRDefault="00DC581D" w:rsidP="00DC581D">
      <w:pPr>
        <w:pStyle w:val="COMParaDecision"/>
        <w:numPr>
          <w:ilvl w:val="0"/>
          <w:numId w:val="0"/>
        </w:numPr>
        <w:jc w:val="center"/>
        <w:rPr>
          <w:b/>
        </w:rPr>
      </w:pPr>
      <w:bookmarkStart w:id="2" w:name="AnnexII"/>
      <w:bookmarkStart w:id="3" w:name="_Hlk166253986"/>
      <w:r w:rsidRPr="009E2F0A">
        <w:rPr>
          <w:b/>
          <w:lang w:bidi="es-ES"/>
        </w:rPr>
        <w:lastRenderedPageBreak/>
        <w:t>Anexo II</w:t>
      </w:r>
    </w:p>
    <w:bookmarkEnd w:id="2"/>
    <w:p w14:paraId="49AEB975" w14:textId="36E47345" w:rsidR="00DC581D" w:rsidRPr="009E2F0A" w:rsidRDefault="00DC581D" w:rsidP="00DC581D">
      <w:pPr>
        <w:pStyle w:val="COMParaDecision"/>
        <w:numPr>
          <w:ilvl w:val="0"/>
          <w:numId w:val="0"/>
        </w:numPr>
        <w:spacing w:after="0"/>
        <w:jc w:val="center"/>
        <w:rPr>
          <w:b/>
          <w:u w:val="none"/>
        </w:rPr>
      </w:pPr>
      <w:r w:rsidRPr="009E2F0A">
        <w:rPr>
          <w:b/>
          <w:u w:val="none"/>
          <w:lang w:bidi="es-ES"/>
        </w:rPr>
        <w:t xml:space="preserve">Respuesta a la </w:t>
      </w:r>
      <w:hyperlink r:id="rId67" w:history="1">
        <w:r w:rsidRPr="009E2F0A">
          <w:rPr>
            <w:b/>
            <w:u w:val="none"/>
            <w:lang w:bidi="es-ES"/>
          </w:rPr>
          <w:t>Evaluación del IOS de 2021</w:t>
        </w:r>
      </w:hyperlink>
      <w:r w:rsidRPr="009E2F0A">
        <w:rPr>
          <w:b/>
          <w:u w:val="none"/>
          <w:lang w:bidi="es-ES"/>
        </w:rPr>
        <w:t xml:space="preserve"> de la acción de la UNESCO en el marco de la Convención de 2003</w:t>
      </w:r>
    </w:p>
    <w:p w14:paraId="4F0D8E5A" w14:textId="5CFD3300" w:rsidR="00DC581D" w:rsidRPr="009E2F0A" w:rsidRDefault="00DC581D" w:rsidP="00DC581D">
      <w:pPr>
        <w:pStyle w:val="COMParaDecision"/>
        <w:numPr>
          <w:ilvl w:val="0"/>
          <w:numId w:val="0"/>
        </w:numPr>
        <w:spacing w:after="240"/>
        <w:jc w:val="center"/>
        <w:rPr>
          <w:b/>
          <w:u w:val="none"/>
        </w:rPr>
      </w:pPr>
      <w:r w:rsidRPr="009E2F0A">
        <w:rPr>
          <w:b/>
          <w:u w:val="none"/>
          <w:lang w:bidi="es-ES"/>
        </w:rPr>
        <w:t>(</w:t>
      </w:r>
      <w:r w:rsidR="0014531A" w:rsidRPr="009E2F0A">
        <w:rPr>
          <w:b/>
          <w:u w:val="none"/>
          <w:lang w:bidi="es-ES"/>
        </w:rPr>
        <w:t xml:space="preserve">hasta </w:t>
      </w:r>
      <w:r w:rsidRPr="009E2F0A">
        <w:rPr>
          <w:b/>
          <w:u w:val="none"/>
          <w:lang w:bidi="es-ES"/>
        </w:rPr>
        <w:t>mayo de 2026)</w:t>
      </w:r>
      <w:r w:rsidRPr="009E2F0A">
        <w:rPr>
          <w:rStyle w:val="FootnoteReference"/>
          <w:b/>
          <w:u w:val="none"/>
          <w:lang w:bidi="es-ES"/>
        </w:rPr>
        <w:footnoteReference w:id="3"/>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9498"/>
      </w:tblGrid>
      <w:tr w:rsidR="00DC581D" w:rsidRPr="009E2F0A" w14:paraId="517057FC" w14:textId="77777777" w:rsidTr="008C63D4">
        <w:trPr>
          <w:trHeight w:val="206"/>
        </w:trPr>
        <w:tc>
          <w:tcPr>
            <w:tcW w:w="1683" w:type="pct"/>
            <w:tcBorders>
              <w:bottom w:val="single" w:sz="4" w:space="0" w:color="auto"/>
            </w:tcBorders>
            <w:shd w:val="clear" w:color="auto" w:fill="B6DDE8" w:themeFill="accent5" w:themeFillTint="66"/>
            <w:vAlign w:val="center"/>
          </w:tcPr>
          <w:bookmarkEnd w:id="3"/>
          <w:p w14:paraId="561AEC29" w14:textId="77777777" w:rsidR="00DC581D" w:rsidRPr="009E2F0A" w:rsidRDefault="00DC581D" w:rsidP="008C63D4">
            <w:pPr>
              <w:widowControl w:val="0"/>
              <w:spacing w:before="120" w:after="120"/>
              <w:jc w:val="both"/>
              <w:rPr>
                <w:rFonts w:ascii="Arial" w:hAnsi="Arial" w:cs="Arial"/>
                <w:b/>
                <w:bCs/>
                <w:sz w:val="18"/>
                <w:szCs w:val="18"/>
                <w:lang w:val="en-GB"/>
              </w:rPr>
            </w:pPr>
            <w:r w:rsidRPr="009E2F0A">
              <w:rPr>
                <w:rFonts w:ascii="Arial" w:eastAsia="Arial" w:hAnsi="Arial" w:cs="Arial"/>
                <w:b/>
                <w:lang w:bidi="es-ES"/>
              </w:rPr>
              <w:t>Recomendaciones</w:t>
            </w:r>
          </w:p>
        </w:tc>
        <w:tc>
          <w:tcPr>
            <w:tcW w:w="3317" w:type="pct"/>
            <w:tcBorders>
              <w:bottom w:val="single" w:sz="4" w:space="0" w:color="auto"/>
            </w:tcBorders>
            <w:shd w:val="clear" w:color="auto" w:fill="B6DDE8" w:themeFill="accent5" w:themeFillTint="66"/>
            <w:vAlign w:val="center"/>
          </w:tcPr>
          <w:p w14:paraId="61E2B616" w14:textId="77777777" w:rsidR="00DC581D" w:rsidRPr="009E2F0A" w:rsidRDefault="00DC581D" w:rsidP="008C63D4">
            <w:pPr>
              <w:widowControl w:val="0"/>
              <w:spacing w:before="120" w:after="120"/>
              <w:jc w:val="both"/>
              <w:rPr>
                <w:rFonts w:ascii="Arial" w:hAnsi="Arial" w:cs="Arial"/>
                <w:sz w:val="18"/>
                <w:szCs w:val="18"/>
              </w:rPr>
            </w:pPr>
            <w:r w:rsidRPr="009E2F0A">
              <w:rPr>
                <w:rFonts w:ascii="Arial" w:eastAsia="Arial" w:hAnsi="Arial" w:cs="Arial"/>
                <w:b/>
                <w:lang w:bidi="es-ES"/>
              </w:rPr>
              <w:t>Estado actual</w:t>
            </w:r>
          </w:p>
        </w:tc>
      </w:tr>
      <w:tr w:rsidR="00DC581D" w:rsidRPr="009E2F0A" w14:paraId="1C68B0DB" w14:textId="77777777" w:rsidTr="008C63D4">
        <w:trPr>
          <w:trHeight w:val="1750"/>
        </w:trPr>
        <w:tc>
          <w:tcPr>
            <w:tcW w:w="1683" w:type="pct"/>
            <w:tcBorders>
              <w:bottom w:val="single" w:sz="4" w:space="0" w:color="auto"/>
            </w:tcBorders>
          </w:tcPr>
          <w:p w14:paraId="5DEC5143" w14:textId="77777777" w:rsidR="00DC581D" w:rsidRPr="009E2F0A" w:rsidRDefault="00DC581D" w:rsidP="008C63D4">
            <w:pPr>
              <w:widowControl w:val="0"/>
              <w:spacing w:before="120" w:after="120"/>
              <w:jc w:val="both"/>
              <w:rPr>
                <w:rFonts w:ascii="Arial" w:hAnsi="Arial" w:cs="Arial"/>
                <w:b/>
                <w:bCs/>
                <w:sz w:val="20"/>
                <w:szCs w:val="20"/>
                <w:lang w:val="es-ES_tradnl"/>
              </w:rPr>
            </w:pPr>
            <w:r w:rsidRPr="009E2F0A">
              <w:rPr>
                <w:rFonts w:ascii="Arial" w:eastAsia="Arial" w:hAnsi="Arial" w:cs="Arial"/>
                <w:b/>
                <w:sz w:val="20"/>
                <w:szCs w:val="20"/>
                <w:lang w:bidi="es-ES"/>
              </w:rPr>
              <w:t>Recomendación 1:</w:t>
            </w:r>
          </w:p>
          <w:p w14:paraId="4DF654B3"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La </w:t>
            </w:r>
            <w:r w:rsidRPr="009E2F0A">
              <w:rPr>
                <w:rFonts w:ascii="Arial" w:eastAsia="Arial" w:hAnsi="Arial" w:cs="Arial"/>
                <w:b/>
                <w:sz w:val="20"/>
                <w:szCs w:val="20"/>
                <w:lang w:bidi="es-ES"/>
              </w:rPr>
              <w:t>Secretaría de la Convención</w:t>
            </w:r>
            <w:r w:rsidRPr="009E2F0A">
              <w:rPr>
                <w:rFonts w:ascii="Arial" w:eastAsia="Arial" w:hAnsi="Arial" w:cs="Arial"/>
                <w:sz w:val="20"/>
                <w:szCs w:val="20"/>
                <w:lang w:bidi="es-ES"/>
              </w:rPr>
              <w:t xml:space="preserve"> </w:t>
            </w:r>
            <w:r w:rsidRPr="009E2F0A">
              <w:rPr>
                <w:rFonts w:ascii="Arial" w:eastAsia="Arial" w:hAnsi="Arial" w:cs="Arial"/>
                <w:b/>
                <w:sz w:val="20"/>
                <w:szCs w:val="20"/>
                <w:lang w:bidi="es-ES"/>
              </w:rPr>
              <w:t>de 2003</w:t>
            </w:r>
            <w:r w:rsidRPr="009E2F0A">
              <w:rPr>
                <w:rFonts w:ascii="Arial" w:eastAsia="Arial" w:hAnsi="Arial" w:cs="Arial"/>
                <w:sz w:val="20"/>
                <w:szCs w:val="20"/>
                <w:lang w:bidi="es-ES"/>
              </w:rPr>
              <w:t xml:space="preserve"> debería comprometerse con el Comité Intergubernamental, la Asamblea General de los </w:t>
            </w:r>
            <w:proofErr w:type="gramStart"/>
            <w:r w:rsidRPr="009E2F0A">
              <w:rPr>
                <w:rFonts w:ascii="Arial" w:eastAsia="Arial" w:hAnsi="Arial" w:cs="Arial"/>
                <w:sz w:val="20"/>
                <w:szCs w:val="20"/>
                <w:lang w:bidi="es-ES"/>
              </w:rPr>
              <w:t>Estados Partes</w:t>
            </w:r>
            <w:proofErr w:type="gramEnd"/>
            <w:r w:rsidRPr="009E2F0A">
              <w:rPr>
                <w:rFonts w:ascii="Arial" w:eastAsia="Arial" w:hAnsi="Arial" w:cs="Arial"/>
                <w:sz w:val="20"/>
                <w:szCs w:val="20"/>
                <w:lang w:bidi="es-ES"/>
              </w:rPr>
              <w:t xml:space="preserve"> y la dirección superior de la UNESCO para llamar su atención sobre la necesidad de establecer prioridades para el uso de los limitados recursos de la Secretaría de la Convención de 2003 (Entidad del Patrimonio Vivo y Oficinas fuera de la Sede).</w:t>
            </w:r>
          </w:p>
        </w:tc>
        <w:tc>
          <w:tcPr>
            <w:tcW w:w="3317" w:type="pct"/>
            <w:tcBorders>
              <w:bottom w:val="single" w:sz="4" w:space="0" w:color="auto"/>
            </w:tcBorders>
          </w:tcPr>
          <w:p w14:paraId="7E1C3D4D" w14:textId="70F6287D"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La Secretaría de la Convención de 2003 señala que la Convención ha hecho avances significativos en las dos últimas décadas, tanto en términos de participación y visibilidad de las partes interesadas como de expansión temática y de la contribución que la salvaguardia del patrimonio vivo aporta a la agenda internacional de desarrollo. En consecuencia, se han definido mejor una serie de ámbitos estratégicos, especialmente a través del vigésimo aniversario celebrado en 2023, que estableció la "Visión de Seúl" y otras reflexiones clave de los órganos rectores de la Convención desde 2021. En este contexto de expectativas crecientes y aumento de la demanda, la necesidad de establecer prioridades para el uso de los limitados recursos de la Secretaría de la Convención de 2003 sigue siendo tan crítica como siempre. La aprobación por parte de la vigésima reunión del Comité de un nuevo conjunto de prioridades de financiación en diciembre de 2025 (Decisión </w:t>
            </w:r>
            <w:hyperlink r:id="rId68" w:history="1">
              <w:r w:rsidRPr="009E2F0A">
                <w:rPr>
                  <w:rStyle w:val="Hyperlink"/>
                  <w:rFonts w:ascii="Arial" w:eastAsia="Arial" w:hAnsi="Arial" w:cs="Arial"/>
                  <w:sz w:val="20"/>
                  <w:szCs w:val="20"/>
                  <w:lang w:bidi="es-ES"/>
                </w:rPr>
                <w:t>20.COM 13</w:t>
              </w:r>
            </w:hyperlink>
            <w:r w:rsidRPr="009E2F0A">
              <w:rPr>
                <w:rFonts w:ascii="Arial" w:eastAsia="Arial" w:hAnsi="Arial" w:cs="Arial"/>
                <w:sz w:val="20"/>
                <w:szCs w:val="20"/>
                <w:lang w:bidi="es-ES"/>
              </w:rPr>
              <w:t>) proporciona orientación a los contribuyentes a la hora de planificar y debatir la asignación de recursos para la sostenibilidad de la Secretaría de la Convención de 2003.</w:t>
            </w:r>
          </w:p>
        </w:tc>
      </w:tr>
      <w:tr w:rsidR="00DC581D" w:rsidRPr="009E2F0A" w14:paraId="58915CBD" w14:textId="77777777" w:rsidTr="008C63D4">
        <w:trPr>
          <w:trHeight w:val="170"/>
        </w:trPr>
        <w:tc>
          <w:tcPr>
            <w:tcW w:w="1683" w:type="pct"/>
            <w:tcBorders>
              <w:bottom w:val="single" w:sz="4" w:space="0" w:color="auto"/>
            </w:tcBorders>
          </w:tcPr>
          <w:p w14:paraId="77557B07" w14:textId="77777777" w:rsidR="00DC581D" w:rsidRPr="009E2F0A" w:rsidRDefault="00DC581D" w:rsidP="008C63D4">
            <w:pPr>
              <w:widowControl w:val="0"/>
              <w:spacing w:before="120" w:after="120"/>
              <w:jc w:val="both"/>
              <w:rPr>
                <w:rFonts w:ascii="Arial" w:hAnsi="Arial" w:cs="Arial"/>
                <w:b/>
                <w:bCs/>
                <w:sz w:val="20"/>
                <w:szCs w:val="20"/>
                <w:lang w:val="es-ES_tradnl"/>
              </w:rPr>
            </w:pPr>
            <w:r w:rsidRPr="009E2F0A">
              <w:rPr>
                <w:rFonts w:ascii="Arial" w:eastAsia="Arial" w:hAnsi="Arial" w:cs="Arial"/>
                <w:b/>
                <w:sz w:val="20"/>
                <w:szCs w:val="20"/>
                <w:lang w:bidi="es-ES"/>
              </w:rPr>
              <w:t>Recomendación 2:</w:t>
            </w:r>
          </w:p>
          <w:p w14:paraId="255DA199"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La </w:t>
            </w:r>
            <w:r w:rsidRPr="009E2F0A">
              <w:rPr>
                <w:rFonts w:ascii="Arial" w:eastAsia="Arial" w:hAnsi="Arial" w:cs="Arial"/>
                <w:b/>
                <w:sz w:val="20"/>
                <w:szCs w:val="20"/>
                <w:lang w:bidi="es-ES"/>
              </w:rPr>
              <w:t>Entidad del Patrimonio Vivo</w:t>
            </w:r>
            <w:r w:rsidRPr="009E2F0A">
              <w:rPr>
                <w:rFonts w:ascii="Arial" w:eastAsia="Arial" w:hAnsi="Arial" w:cs="Arial"/>
                <w:sz w:val="20"/>
                <w:szCs w:val="20"/>
                <w:lang w:bidi="es-ES"/>
              </w:rPr>
              <w:t xml:space="preserve"> debe reflexionar sobre los posibles usos de los datos recabados a través de informes periódicos, así como sobre las estrategias para hacerlos ampliamente accesibles de una forma digerible y visual. Los contenidos deben ser de libre acceso y fáciles de buscar y utilizar. Los análisis y sinopsis mundiales, regionales y nacionales deben estar disponibles.</w:t>
            </w:r>
          </w:p>
        </w:tc>
        <w:tc>
          <w:tcPr>
            <w:tcW w:w="3317" w:type="pct"/>
            <w:tcBorders>
              <w:bottom w:val="single" w:sz="4" w:space="0" w:color="auto"/>
            </w:tcBorders>
          </w:tcPr>
          <w:p w14:paraId="140D2D59" w14:textId="6D944E4D"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Desde la presentación al Comité en 2021 (16.COM) del resumen analítico a partir de los informes de los </w:t>
            </w:r>
            <w:proofErr w:type="gramStart"/>
            <w:r w:rsidRPr="009E2F0A">
              <w:rPr>
                <w:rFonts w:ascii="Arial" w:eastAsia="Arial" w:hAnsi="Arial" w:cs="Arial"/>
                <w:sz w:val="20"/>
                <w:szCs w:val="20"/>
                <w:lang w:bidi="es-ES"/>
              </w:rPr>
              <w:t>Estados Partes</w:t>
            </w:r>
            <w:proofErr w:type="gramEnd"/>
            <w:r w:rsidRPr="009E2F0A">
              <w:rPr>
                <w:rFonts w:ascii="Arial" w:eastAsia="Arial" w:hAnsi="Arial" w:cs="Arial"/>
                <w:sz w:val="20"/>
                <w:szCs w:val="20"/>
                <w:lang w:bidi="es-ES"/>
              </w:rPr>
              <w:t xml:space="preserve"> de América Latina y el Caribe, la Secretaría de la Convención de 2003 ha procurado elaborar análisis regionales cada año, de acuerdo con el calendario de presentación de informes. Para cada región, se presentan al Comité dos productos analíticos en inglés y francés: un "resumen analítico" y un "informe analítico completo". </w:t>
            </w:r>
            <w:r w:rsidRPr="009E2F0A">
              <w:rPr>
                <w:rFonts w:ascii="Arial" w:hAnsi="Arial" w:cs="Arial"/>
                <w:sz w:val="20"/>
                <w:szCs w:val="20"/>
                <w:lang w:bidi="es-ES"/>
              </w:rPr>
              <w:t xml:space="preserve">Todos los productos analíticos están disponibles en línea, tanto en la página web específica de la correspondiente reunión del Comité, como en la </w:t>
            </w:r>
            <w:hyperlink r:id="rId69" w:history="1">
              <w:r w:rsidRPr="009E2F0A">
                <w:rPr>
                  <w:rStyle w:val="Hyperlink"/>
                  <w:rFonts w:ascii="Arial" w:hAnsi="Arial" w:cs="Arial"/>
                  <w:sz w:val="20"/>
                  <w:szCs w:val="20"/>
                  <w:lang w:bidi="es-ES"/>
                </w:rPr>
                <w:t>página</w:t>
              </w:r>
            </w:hyperlink>
            <w:r w:rsidRPr="009E2F0A">
              <w:rPr>
                <w:rFonts w:ascii="Arial" w:hAnsi="Arial" w:cs="Arial"/>
                <w:sz w:val="20"/>
                <w:szCs w:val="20"/>
                <w:lang w:bidi="es-ES"/>
              </w:rPr>
              <w:t xml:space="preserve"> dedicada a los documentos y estudios sobre los informes periódicos.</w:t>
            </w:r>
          </w:p>
        </w:tc>
      </w:tr>
      <w:tr w:rsidR="00DC581D" w:rsidRPr="009E2F0A" w14:paraId="49E8528F" w14:textId="77777777" w:rsidTr="008C63D4">
        <w:trPr>
          <w:trHeight w:val="977"/>
        </w:trPr>
        <w:tc>
          <w:tcPr>
            <w:tcW w:w="1683" w:type="pct"/>
            <w:tcBorders>
              <w:bottom w:val="single" w:sz="4" w:space="0" w:color="auto"/>
            </w:tcBorders>
          </w:tcPr>
          <w:p w14:paraId="5B9F9B58" w14:textId="77777777" w:rsidR="00DC581D" w:rsidRPr="009E2F0A" w:rsidRDefault="00DC581D" w:rsidP="008C63D4">
            <w:pPr>
              <w:widowControl w:val="0"/>
              <w:spacing w:before="120" w:after="120"/>
              <w:jc w:val="both"/>
              <w:rPr>
                <w:rFonts w:ascii="Arial" w:hAnsi="Arial" w:cs="Arial"/>
                <w:b/>
                <w:bCs/>
                <w:sz w:val="20"/>
                <w:szCs w:val="20"/>
                <w:lang w:val="es-ES_tradnl"/>
              </w:rPr>
            </w:pPr>
            <w:r w:rsidRPr="009E2F0A">
              <w:rPr>
                <w:rFonts w:ascii="Arial" w:eastAsia="Arial" w:hAnsi="Arial" w:cs="Arial"/>
                <w:b/>
                <w:sz w:val="20"/>
                <w:szCs w:val="20"/>
                <w:lang w:bidi="es-ES"/>
              </w:rPr>
              <w:t>Recomendación 3:</w:t>
            </w:r>
          </w:p>
          <w:p w14:paraId="15177343"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La </w:t>
            </w:r>
            <w:r w:rsidRPr="009E2F0A">
              <w:rPr>
                <w:rFonts w:ascii="Arial" w:eastAsia="Arial" w:hAnsi="Arial" w:cs="Arial"/>
                <w:b/>
                <w:sz w:val="20"/>
                <w:szCs w:val="20"/>
                <w:lang w:bidi="es-ES"/>
              </w:rPr>
              <w:t>Entidad del Patrimonio Vivo, en coordinación con la Oficina Ejecutiva del Sector de Cultura y otras Secretarías de Convenciones</w:t>
            </w:r>
            <w:r w:rsidRPr="009E2F0A">
              <w:rPr>
                <w:rFonts w:ascii="Arial" w:eastAsia="Arial" w:hAnsi="Arial" w:cs="Arial"/>
                <w:sz w:val="20"/>
                <w:szCs w:val="20"/>
                <w:lang w:bidi="es-ES"/>
              </w:rPr>
              <w:t xml:space="preserve">, según proceda, debería crear grupos de trabajo para abordar áreas temáticas prioritarias que requieran una respuesta conjunta de varias Convenciones. </w:t>
            </w:r>
            <w:r w:rsidRPr="009E2F0A">
              <w:rPr>
                <w:rFonts w:ascii="Arial" w:eastAsia="Arial" w:hAnsi="Arial" w:cs="Arial"/>
                <w:sz w:val="20"/>
                <w:szCs w:val="20"/>
                <w:lang w:bidi="es-ES"/>
              </w:rPr>
              <w:lastRenderedPageBreak/>
              <w:t>Entre ellos, debería incluirse la comercialización y la propiedad intelectual, el turismo cultural y la educación. En una fase posterior, la UNESCO debería colaborar con otras organizaciones que trabajen en estos ámbitos.</w:t>
            </w:r>
          </w:p>
        </w:tc>
        <w:tc>
          <w:tcPr>
            <w:tcW w:w="3317" w:type="pct"/>
            <w:tcBorders>
              <w:bottom w:val="single" w:sz="4" w:space="0" w:color="auto"/>
            </w:tcBorders>
          </w:tcPr>
          <w:p w14:paraId="3FAD8138"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lastRenderedPageBreak/>
              <w:t xml:space="preserve">La Secretaría de la Convención de 2003 sigue impulsando su labor temática en el marco de la Convención. En diciembre de 2025, las tres iniciativas temáticas en los ámbitos de (i) las dimensiones económicas de la salvaguardia del patrimonio cultural inmaterial, (ii) la salvaguardia del patrimonio cultural inmaterial y el cambio climático, y (iii) </w:t>
            </w:r>
            <w:proofErr w:type="gramStart"/>
            <w:r w:rsidRPr="009E2F0A">
              <w:rPr>
                <w:rFonts w:ascii="Arial" w:eastAsia="Arial" w:hAnsi="Arial" w:cs="Arial"/>
                <w:sz w:val="20"/>
                <w:szCs w:val="20"/>
                <w:lang w:bidi="es-ES"/>
              </w:rPr>
              <w:t>la salvaguardia del patrimonio cultural inmaterial en contextos urbanos habían</w:t>
            </w:r>
            <w:proofErr w:type="gramEnd"/>
            <w:r w:rsidRPr="009E2F0A">
              <w:rPr>
                <w:rFonts w:ascii="Arial" w:eastAsia="Arial" w:hAnsi="Arial" w:cs="Arial"/>
                <w:sz w:val="20"/>
                <w:szCs w:val="20"/>
                <w:lang w:bidi="es-ES"/>
              </w:rPr>
              <w:t xml:space="preserve"> terminado de elaborar sus notas de orientación.</w:t>
            </w:r>
          </w:p>
          <w:p w14:paraId="7E431DCD"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El objetivo general de las tres iniciativas es elaborar orientaciones sobre cómo implicar en un sentido práctico y conceptual a las partes interesadas en estos temas y aprovechar el patrimonio vivo para el </w:t>
            </w:r>
            <w:r w:rsidRPr="009E2F0A">
              <w:rPr>
                <w:rFonts w:ascii="Arial" w:eastAsia="Arial" w:hAnsi="Arial" w:cs="Arial"/>
                <w:sz w:val="20"/>
                <w:szCs w:val="20"/>
                <w:lang w:bidi="es-ES"/>
              </w:rPr>
              <w:lastRenderedPageBreak/>
              <w:t xml:space="preserve">desarrollo sostenible. Las tres iniciativas han seguido un planteamiento parecido, que incluye un estudio documental, una encuesta mundial y una reunión de expertos, y se han desarrollado en sinergia con los programas y convenciones relevantes de la UNESCO. Una cuarta iniciativa sobre el patrimonio vivo y la inteligencia artificial ya está en marcha, tras haber sido aprobada por el Comité en su vigésima reunión de diciembre de 2025 (Decisión 20.COM 12). </w:t>
            </w:r>
          </w:p>
          <w:p w14:paraId="6FDB4738"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Además, la Secretaría está generando conocimiento y desarrollando herramientas digitales para apoyar la salvaguardia y transmisión de prácticas alimentarias como patrimonio vivo, con el objetivo a largo plazo de fomentar el desarrollo sostenible para el bienestar humano, la dignidad y la creatividad en sociedades pacíficas e inclusivas. Otros ámbitos temáticos de intervención, adoptados a través de proyectos operativos son el patrimonio y la educación (véase la Recomendación 4) y el turismo cultural.</w:t>
            </w:r>
          </w:p>
          <w:p w14:paraId="4A481206"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La Oficina Ejecutiva del Sector de Cultura (CLT/EO) sigue coordinando los actuales grupos de trabajo para los ámbitos temáticos/prioritarios de todos los programas del Sector.</w:t>
            </w:r>
          </w:p>
        </w:tc>
      </w:tr>
      <w:tr w:rsidR="00DC581D" w:rsidRPr="009E2F0A" w14:paraId="1FFA5D03" w14:textId="77777777" w:rsidTr="008C63D4">
        <w:trPr>
          <w:trHeight w:val="1209"/>
        </w:trPr>
        <w:tc>
          <w:tcPr>
            <w:tcW w:w="1683" w:type="pct"/>
            <w:tcBorders>
              <w:bottom w:val="single" w:sz="4" w:space="0" w:color="auto"/>
            </w:tcBorders>
          </w:tcPr>
          <w:p w14:paraId="70B424BE" w14:textId="77777777" w:rsidR="00DC581D" w:rsidRPr="009E2F0A" w:rsidRDefault="00DC581D" w:rsidP="008C63D4">
            <w:pPr>
              <w:widowControl w:val="0"/>
              <w:spacing w:before="120" w:after="120"/>
              <w:jc w:val="both"/>
              <w:rPr>
                <w:rFonts w:ascii="Arial" w:hAnsi="Arial" w:cs="Arial"/>
                <w:b/>
                <w:bCs/>
                <w:sz w:val="20"/>
                <w:szCs w:val="20"/>
                <w:lang w:val="es-ES_tradnl"/>
              </w:rPr>
            </w:pPr>
            <w:r w:rsidRPr="009E2F0A">
              <w:rPr>
                <w:rFonts w:ascii="Arial" w:eastAsia="Arial" w:hAnsi="Arial" w:cs="Arial"/>
                <w:b/>
                <w:sz w:val="20"/>
                <w:szCs w:val="20"/>
                <w:lang w:bidi="es-ES"/>
              </w:rPr>
              <w:lastRenderedPageBreak/>
              <w:t>Recomendación 4:</w:t>
            </w:r>
          </w:p>
          <w:p w14:paraId="49F28356" w14:textId="77777777" w:rsidR="00DC581D" w:rsidRPr="009E2F0A" w:rsidRDefault="00DC581D" w:rsidP="008C63D4">
            <w:pPr>
              <w:widowControl w:val="0"/>
              <w:spacing w:before="120" w:after="120"/>
              <w:jc w:val="both"/>
              <w:rPr>
                <w:rFonts w:ascii="Arial" w:hAnsi="Arial" w:cs="Arial"/>
                <w:b/>
                <w:bCs/>
                <w:sz w:val="20"/>
                <w:szCs w:val="20"/>
                <w:lang w:val="es-ES_tradnl"/>
              </w:rPr>
            </w:pPr>
            <w:r w:rsidRPr="009E2F0A">
              <w:rPr>
                <w:rFonts w:ascii="Arial" w:eastAsia="Arial" w:hAnsi="Arial" w:cs="Arial"/>
                <w:sz w:val="20"/>
                <w:szCs w:val="20"/>
                <w:lang w:bidi="es-ES"/>
              </w:rPr>
              <w:t xml:space="preserve">La </w:t>
            </w:r>
            <w:r w:rsidRPr="009E2F0A">
              <w:rPr>
                <w:rFonts w:ascii="Arial" w:eastAsia="Arial" w:hAnsi="Arial" w:cs="Arial"/>
                <w:b/>
                <w:sz w:val="20"/>
                <w:szCs w:val="20"/>
                <w:lang w:bidi="es-ES"/>
              </w:rPr>
              <w:t xml:space="preserve">Entidad del Patrimonio Vivo junto con la Oficina Ejecutiva del Sector de Educación </w:t>
            </w:r>
            <w:r w:rsidRPr="009E2F0A">
              <w:rPr>
                <w:rFonts w:ascii="Arial" w:eastAsia="Arial" w:hAnsi="Arial" w:cs="Arial"/>
                <w:sz w:val="20"/>
                <w:szCs w:val="20"/>
                <w:lang w:bidi="es-ES"/>
              </w:rPr>
              <w:t>deberían utilizar la Teoría del Cambio propuesta como herramienta para reflexionar y afinar el alcance del Programa de Patrimonio Vivo y Educación.</w:t>
            </w:r>
          </w:p>
        </w:tc>
        <w:tc>
          <w:tcPr>
            <w:tcW w:w="3317" w:type="pct"/>
            <w:tcBorders>
              <w:bottom w:val="single" w:sz="4" w:space="0" w:color="auto"/>
            </w:tcBorders>
          </w:tcPr>
          <w:p w14:paraId="77A54CE3"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Desde 2021, la Secretaría de la Convención de 2003 ha reforzado aún más su colaboración con el Sector de Educación, ajustando la Teoría del Cambio (TdC) propuesta al programa Patrimonio Vivo y Educación.</w:t>
            </w:r>
          </w:p>
          <w:p w14:paraId="1B8387B8"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A escala mundial, esta colaboración condujo a la integración del patrimonio vivo en importantes normas internacionales, en particular la Recomendación sobre la Educación para la Paz, los Derechos Humanos y el Desarrollo Sostenible (Recomendación revisada de 1974) y, en segundo lugar, el Marco para la Educación Cultural y Artística adoptado en la Conferencia Mundial sobre Educación Cultural y Artística (Abu Dhabi, 13 a 15 de febrero de 2024). Se reconoce el papel clave del patrimonio vivo para la relevancia educativa y la promoción de una amplia salvaguardia del patrimonio vivo, con el apoyo de un centro de intercambio de información mundial sobre el patrimonio vivo y la educación que se actualiza continuamente y un curso en línea a un ritmo personalizado titulado "Transformar el aprendizaje con el patrimonio vivo", desarrollado conjuntamente por los Sectores de Cultura y Educación.</w:t>
            </w:r>
          </w:p>
        </w:tc>
      </w:tr>
      <w:tr w:rsidR="00DC581D" w:rsidRPr="009E2F0A" w14:paraId="01DE3B54" w14:textId="77777777" w:rsidTr="008C63D4">
        <w:trPr>
          <w:trHeight w:val="1209"/>
        </w:trPr>
        <w:tc>
          <w:tcPr>
            <w:tcW w:w="1683" w:type="pct"/>
            <w:tcBorders>
              <w:bottom w:val="single" w:sz="4" w:space="0" w:color="auto"/>
            </w:tcBorders>
          </w:tcPr>
          <w:p w14:paraId="62CEF449" w14:textId="77777777" w:rsidR="00DC581D" w:rsidRPr="009E2F0A" w:rsidRDefault="00DC581D" w:rsidP="008C63D4">
            <w:pPr>
              <w:widowControl w:val="0"/>
              <w:spacing w:before="120" w:after="120"/>
              <w:jc w:val="both"/>
              <w:rPr>
                <w:rFonts w:ascii="Arial" w:hAnsi="Arial" w:cs="Arial"/>
                <w:b/>
                <w:bCs/>
                <w:sz w:val="20"/>
                <w:szCs w:val="20"/>
                <w:lang w:val="es-ES_tradnl"/>
              </w:rPr>
            </w:pPr>
            <w:r w:rsidRPr="009E2F0A">
              <w:rPr>
                <w:rFonts w:ascii="Arial" w:eastAsia="Arial" w:hAnsi="Arial" w:cs="Arial"/>
                <w:b/>
                <w:sz w:val="20"/>
                <w:szCs w:val="20"/>
                <w:lang w:bidi="es-ES"/>
              </w:rPr>
              <w:t>Recomendación 5:</w:t>
            </w:r>
          </w:p>
          <w:p w14:paraId="387E7733"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La </w:t>
            </w:r>
            <w:r w:rsidRPr="009E2F0A">
              <w:rPr>
                <w:rFonts w:ascii="Arial" w:eastAsia="Arial" w:hAnsi="Arial" w:cs="Arial"/>
                <w:b/>
                <w:sz w:val="20"/>
                <w:szCs w:val="20"/>
                <w:lang w:bidi="es-ES"/>
              </w:rPr>
              <w:t xml:space="preserve">Entidad del Patrimonio Vivo </w:t>
            </w:r>
            <w:r w:rsidRPr="009E2F0A">
              <w:rPr>
                <w:rFonts w:ascii="Arial" w:eastAsia="Arial" w:hAnsi="Arial" w:cs="Arial"/>
                <w:sz w:val="20"/>
                <w:szCs w:val="20"/>
                <w:lang w:bidi="es-ES"/>
              </w:rPr>
              <w:t xml:space="preserve">debe seguir promoviendo el mecanismo de asistencia internacional, en particular entre los </w:t>
            </w:r>
            <w:proofErr w:type="gramStart"/>
            <w:r w:rsidRPr="009E2F0A">
              <w:rPr>
                <w:rFonts w:ascii="Arial" w:eastAsia="Arial" w:hAnsi="Arial" w:cs="Arial"/>
                <w:sz w:val="20"/>
                <w:szCs w:val="20"/>
                <w:lang w:bidi="es-ES"/>
              </w:rPr>
              <w:t>Estados Partes</w:t>
            </w:r>
            <w:proofErr w:type="gramEnd"/>
            <w:r w:rsidRPr="009E2F0A">
              <w:rPr>
                <w:rFonts w:ascii="Arial" w:eastAsia="Arial" w:hAnsi="Arial" w:cs="Arial"/>
                <w:sz w:val="20"/>
                <w:szCs w:val="20"/>
                <w:lang w:bidi="es-ES"/>
              </w:rPr>
              <w:t xml:space="preserve"> que reúnan los requisitos y que no lo hayan solicitado. Para ello, habría que ir más allá de los círculos tradicionales de expertos del PCI y dar a conocer el apoyo técnico que puede prestar la Secretaría a los solicitantes y beneficiarios, así como las directrices y herramientas relevantes para el diseño, la aplicación y la presentación de informes sobre los proyectos.</w:t>
            </w:r>
          </w:p>
        </w:tc>
        <w:tc>
          <w:tcPr>
            <w:tcW w:w="3317" w:type="pct"/>
            <w:tcBorders>
              <w:bottom w:val="single" w:sz="4" w:space="0" w:color="auto"/>
            </w:tcBorders>
          </w:tcPr>
          <w:p w14:paraId="66AFC1D5"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En los últimos años, la cantidad de proyectos activos no ha parado de crecer, pasando de treinta y seis proyectos en curso en 2019 a sesenta proyectos en 2025. Durante el mismo periodo, el número de </w:t>
            </w:r>
            <w:proofErr w:type="gramStart"/>
            <w:r w:rsidRPr="009E2F0A">
              <w:rPr>
                <w:rFonts w:ascii="Arial" w:eastAsia="Arial" w:hAnsi="Arial" w:cs="Arial"/>
                <w:sz w:val="20"/>
                <w:szCs w:val="20"/>
                <w:lang w:bidi="es-ES"/>
              </w:rPr>
              <w:t>Estados Partes</w:t>
            </w:r>
            <w:proofErr w:type="gramEnd"/>
            <w:r w:rsidRPr="009E2F0A">
              <w:rPr>
                <w:rFonts w:ascii="Arial" w:eastAsia="Arial" w:hAnsi="Arial" w:cs="Arial"/>
                <w:sz w:val="20"/>
                <w:szCs w:val="20"/>
                <w:lang w:bidi="es-ES"/>
              </w:rPr>
              <w:t xml:space="preserve"> beneficiarios también ha aumentado, de cincuenta a ochenta y seis. Para mejorar el mecanismo, la Secretaría colaboró estrechamente con los </w:t>
            </w:r>
            <w:proofErr w:type="gramStart"/>
            <w:r w:rsidRPr="009E2F0A">
              <w:rPr>
                <w:rFonts w:ascii="Arial" w:eastAsia="Arial" w:hAnsi="Arial" w:cs="Arial"/>
                <w:sz w:val="20"/>
                <w:szCs w:val="20"/>
                <w:lang w:bidi="es-ES"/>
              </w:rPr>
              <w:t>Estados Partes</w:t>
            </w:r>
            <w:proofErr w:type="gramEnd"/>
            <w:r w:rsidRPr="009E2F0A">
              <w:rPr>
                <w:rFonts w:ascii="Arial" w:eastAsia="Arial" w:hAnsi="Arial" w:cs="Arial"/>
                <w:sz w:val="20"/>
                <w:szCs w:val="20"/>
                <w:lang w:bidi="es-ES"/>
              </w:rPr>
              <w:t xml:space="preserve"> para determinar sus necesidades en materia de salvaguardia y proporcionarles apoyo técnico personalizado, lo que contribuyó a aumentar el número de solicitudes presentadas por primera vez. La ejecución del proyecto se apoyó con un seguimiento regular y una comunicación continua con los beneficiarios para garantizar que las actividades se ajustasen a las solicitudes aprobadas. Las reuniones y los talleres en línea promovieron el mecanismo y aumentaron su visibilidad, mientras que todos los informes de progreso se revisaron sistemáticamente para evaluar los efectos, verificar la adecuación a los objetivos e identificar buenas experiencias de salvaguardia (algunas de las cuales se incluyeron en la versión preliminar de la plataforma para compartir buenas experiencias de salvaguardia en apoyo de una aplicación más amplia del Artículo 18 de la Convención).</w:t>
            </w:r>
          </w:p>
          <w:p w14:paraId="7FABEE34"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Estas iniciativas dieron lugar a la aprobación por parte del Comité y su Mesa de veintisiete solicitudes de </w:t>
            </w:r>
            <w:r w:rsidRPr="009E2F0A">
              <w:rPr>
                <w:rFonts w:ascii="Arial" w:eastAsia="Arial" w:hAnsi="Arial" w:cs="Arial"/>
                <w:sz w:val="20"/>
                <w:szCs w:val="20"/>
                <w:lang w:bidi="es-ES"/>
              </w:rPr>
              <w:lastRenderedPageBreak/>
              <w:t xml:space="preserve">asistencia internacional en 2024 – 2025. Además, seis </w:t>
            </w:r>
            <w:proofErr w:type="gramStart"/>
            <w:r w:rsidRPr="009E2F0A">
              <w:rPr>
                <w:rFonts w:ascii="Arial" w:eastAsia="Arial" w:hAnsi="Arial" w:cs="Arial"/>
                <w:sz w:val="20"/>
                <w:szCs w:val="20"/>
                <w:lang w:bidi="es-ES"/>
              </w:rPr>
              <w:t>Estados Partes</w:t>
            </w:r>
            <w:proofErr w:type="gramEnd"/>
            <w:r w:rsidRPr="009E2F0A">
              <w:rPr>
                <w:rFonts w:ascii="Arial" w:eastAsia="Arial" w:hAnsi="Arial" w:cs="Arial"/>
                <w:sz w:val="20"/>
                <w:szCs w:val="20"/>
                <w:lang w:bidi="es-ES"/>
              </w:rPr>
              <w:t xml:space="preserve"> recibieron el apoyo de expertos para desarrollar y revisar sus solicitudes. Quince </w:t>
            </w:r>
            <w:proofErr w:type="gramStart"/>
            <w:r w:rsidRPr="009E2F0A">
              <w:rPr>
                <w:rFonts w:ascii="Arial" w:eastAsia="Arial" w:hAnsi="Arial" w:cs="Arial"/>
                <w:sz w:val="20"/>
                <w:szCs w:val="20"/>
                <w:lang w:bidi="es-ES"/>
              </w:rPr>
              <w:t>Estados Partes</w:t>
            </w:r>
            <w:proofErr w:type="gramEnd"/>
            <w:r w:rsidRPr="009E2F0A">
              <w:rPr>
                <w:rFonts w:ascii="Arial" w:eastAsia="Arial" w:hAnsi="Arial" w:cs="Arial"/>
                <w:sz w:val="20"/>
                <w:szCs w:val="20"/>
                <w:lang w:bidi="es-ES"/>
              </w:rPr>
              <w:t>, entre ellos seis de África y cinco PEID, recibieron ayuda financiera por primera vez, demostrando así la continua expansión de su alcance geográfico. Por último, se amplió el alcance de la asistencia preparatoria en consonancia con la reflexión mundial realizada sobre los mecanismos de inclusión en las Listas de la Convención, con ocho solicitudes aprobadas en 2024 y 2025 frente a un total de seis entre 2014 y 2023.</w:t>
            </w:r>
          </w:p>
        </w:tc>
      </w:tr>
      <w:tr w:rsidR="00DC581D" w:rsidRPr="009E2F0A" w14:paraId="2B2C639A" w14:textId="77777777" w:rsidTr="008C63D4">
        <w:trPr>
          <w:trHeight w:val="1209"/>
        </w:trPr>
        <w:tc>
          <w:tcPr>
            <w:tcW w:w="1683" w:type="pct"/>
            <w:tcBorders>
              <w:bottom w:val="single" w:sz="4" w:space="0" w:color="auto"/>
            </w:tcBorders>
          </w:tcPr>
          <w:p w14:paraId="4596B180" w14:textId="77777777" w:rsidR="00DC581D" w:rsidRPr="009E2F0A" w:rsidRDefault="00DC581D" w:rsidP="008C63D4">
            <w:pPr>
              <w:widowControl w:val="0"/>
              <w:spacing w:before="120" w:after="120"/>
              <w:jc w:val="both"/>
              <w:rPr>
                <w:rFonts w:ascii="Arial" w:hAnsi="Arial" w:cs="Arial"/>
                <w:b/>
                <w:bCs/>
                <w:sz w:val="20"/>
                <w:szCs w:val="20"/>
                <w:lang w:val="es-ES_tradnl"/>
              </w:rPr>
            </w:pPr>
            <w:r w:rsidRPr="009E2F0A">
              <w:rPr>
                <w:rFonts w:ascii="Arial" w:eastAsia="Arial" w:hAnsi="Arial" w:cs="Arial"/>
                <w:b/>
                <w:sz w:val="20"/>
                <w:szCs w:val="20"/>
                <w:lang w:bidi="es-ES"/>
              </w:rPr>
              <w:lastRenderedPageBreak/>
              <w:t>Recomendación 6:</w:t>
            </w:r>
          </w:p>
          <w:p w14:paraId="412446E1"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La </w:t>
            </w:r>
            <w:r w:rsidRPr="009E2F0A">
              <w:rPr>
                <w:rFonts w:ascii="Arial" w:eastAsia="Arial" w:hAnsi="Arial" w:cs="Arial"/>
                <w:b/>
                <w:sz w:val="20"/>
                <w:szCs w:val="20"/>
                <w:lang w:bidi="es-ES"/>
              </w:rPr>
              <w:t xml:space="preserve">Entidad del Patrimonio Vivo </w:t>
            </w:r>
            <w:r w:rsidRPr="009E2F0A">
              <w:rPr>
                <w:rFonts w:ascii="Arial" w:eastAsia="Arial" w:hAnsi="Arial" w:cs="Arial"/>
                <w:sz w:val="20"/>
                <w:szCs w:val="20"/>
                <w:lang w:bidi="es-ES"/>
              </w:rPr>
              <w:t>debe reforzar la calidad del diseño de los proyectos, el seguimiento y la información sobre los resultados para adecuarse al Marco General de Resultados. Además, debe prestarse especial atención a la participación comunitaria, el desarrollo sostenible y la igualdad de género, entre otros ámbitos.</w:t>
            </w:r>
          </w:p>
        </w:tc>
        <w:tc>
          <w:tcPr>
            <w:tcW w:w="3317" w:type="pct"/>
            <w:tcBorders>
              <w:bottom w:val="single" w:sz="4" w:space="0" w:color="auto"/>
            </w:tcBorders>
          </w:tcPr>
          <w:p w14:paraId="27C00C3E" w14:textId="794C79B5"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La "Estrategia para el seguimiento, la evaluación y la identificación de las lecciones aprendidas en los proyectos de asistencia internacional" fue aprobada por la decimoséptima reunión del Comité Intergubernamental (Decisión </w:t>
            </w:r>
            <w:hyperlink r:id="rId70" w:history="1">
              <w:r w:rsidRPr="009E2F0A">
                <w:rPr>
                  <w:rStyle w:val="Hyperlink"/>
                  <w:rFonts w:ascii="Arial" w:eastAsia="Arial" w:hAnsi="Arial" w:cs="Arial"/>
                  <w:sz w:val="20"/>
                  <w:szCs w:val="20"/>
                  <w:lang w:bidi="es-ES"/>
                </w:rPr>
                <w:t>17.COM 11</w:t>
              </w:r>
            </w:hyperlink>
            <w:r w:rsidRPr="009E2F0A">
              <w:rPr>
                <w:rFonts w:ascii="Arial" w:eastAsia="Arial" w:hAnsi="Arial" w:cs="Arial"/>
                <w:sz w:val="20"/>
                <w:szCs w:val="20"/>
                <w:lang w:bidi="es-ES"/>
              </w:rPr>
              <w:t xml:space="preserve">). El principal objetivo de la estrategia es establecer un enfoque sistematizado mediante el cual el seguimiento y la evaluación de los distintos proyectos de asistencia internacional </w:t>
            </w:r>
            <w:r w:rsidR="007B10EF" w:rsidRPr="009E2F0A">
              <w:rPr>
                <w:rFonts w:ascii="Arial" w:eastAsia="Arial" w:hAnsi="Arial" w:cs="Arial"/>
                <w:sz w:val="20"/>
                <w:szCs w:val="20"/>
                <w:lang w:bidi="es-ES"/>
              </w:rPr>
              <w:t>financiados en el marco</w:t>
            </w:r>
            <w:r w:rsidRPr="009E2F0A">
              <w:rPr>
                <w:rFonts w:ascii="Arial" w:eastAsia="Arial" w:hAnsi="Arial" w:cs="Arial"/>
                <w:sz w:val="20"/>
                <w:szCs w:val="20"/>
                <w:lang w:bidi="es-ES"/>
              </w:rPr>
              <w:t xml:space="preserve"> del Fondo del Patrimonio Cultural Inmaterial se incorporen también al seguimiento y la evaluación generales del mecanismo de asistencia internacional. El objetivo es hacer un mejor seguimiento de la eficacia del mecanismo a la hora de contribuir a la aplicación de la Convención, y hacerlo alineando su seguimiento y evaluación con el Marco General de Resultados de la Convención de 2003. </w:t>
            </w:r>
          </w:p>
          <w:p w14:paraId="0DA26C96"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Las principales acciones relativas al sistema de evaluación del mecanismo de asistencia internacional son las siguientes: entre julio y noviembre de 2024 se llevaron a cabo dos evaluaciones, incluidas misiones sobre el terreno "en paralelo", en la República Democrática Popular Lao (Decisión 14.COM 2.BUR 5.3) y Tonga (Decisión 13.COM 2.BUR 4.6). Esta primera tanda de evaluaciones aportó valiosas experiencias a la Secretaría relacionadas con, por ejemplo: a) la pertinencia de vincular los puntos de evaluación al Marco de Resultados general de la Convención para medir los efectos; b) la necesidad de preparar cuidadosamente los aspectos logísticos de las misiones, como organizar la interpretación en las lenguas de las comunidades beneficiarias; y c) cómo difundir las conclusiones de las evaluaciones y compartir las buenas prácticas de salvaguardia. Además, se ha reforzado el seguimiento y la evaluación de los proyectos individuales y de los mecanismos generales de asistencia internacional mediante la aplicación de diversas herramientas de seguimiento y la identificación de buenas experiencias de salvaguardia (véase la Recomendación 5).</w:t>
            </w:r>
          </w:p>
        </w:tc>
      </w:tr>
      <w:tr w:rsidR="00DC581D" w:rsidRPr="009E2F0A" w14:paraId="67E7F88C" w14:textId="77777777" w:rsidTr="008C63D4">
        <w:trPr>
          <w:trHeight w:val="1209"/>
        </w:trPr>
        <w:tc>
          <w:tcPr>
            <w:tcW w:w="1683" w:type="pct"/>
            <w:tcBorders>
              <w:bottom w:val="single" w:sz="4" w:space="0" w:color="auto"/>
            </w:tcBorders>
          </w:tcPr>
          <w:p w14:paraId="60F5CBC2" w14:textId="77777777" w:rsidR="00DC581D" w:rsidRPr="009E2F0A" w:rsidRDefault="00DC581D" w:rsidP="008C63D4">
            <w:pPr>
              <w:widowControl w:val="0"/>
              <w:spacing w:before="120" w:after="120"/>
              <w:jc w:val="both"/>
              <w:rPr>
                <w:rFonts w:ascii="Arial" w:hAnsi="Arial" w:cs="Arial"/>
                <w:b/>
                <w:bCs/>
                <w:sz w:val="20"/>
                <w:szCs w:val="20"/>
                <w:lang w:val="es-ES_tradnl"/>
              </w:rPr>
            </w:pPr>
            <w:r w:rsidRPr="009E2F0A">
              <w:rPr>
                <w:rFonts w:ascii="Arial" w:eastAsia="Arial" w:hAnsi="Arial" w:cs="Arial"/>
                <w:b/>
                <w:sz w:val="20"/>
                <w:szCs w:val="20"/>
                <w:lang w:bidi="es-ES"/>
              </w:rPr>
              <w:t>Recomendación7:</w:t>
            </w:r>
          </w:p>
          <w:p w14:paraId="5096AFE3"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La </w:t>
            </w:r>
            <w:r w:rsidRPr="009E2F0A">
              <w:rPr>
                <w:rFonts w:ascii="Arial" w:eastAsia="Arial" w:hAnsi="Arial" w:cs="Arial"/>
                <w:b/>
                <w:sz w:val="20"/>
                <w:szCs w:val="20"/>
                <w:lang w:bidi="es-ES"/>
              </w:rPr>
              <w:t xml:space="preserve">Entidad del Patrimonio Vivo </w:t>
            </w:r>
            <w:r w:rsidRPr="009E2F0A">
              <w:rPr>
                <w:rFonts w:ascii="Arial" w:eastAsia="Arial" w:hAnsi="Arial" w:cs="Arial"/>
                <w:sz w:val="20"/>
                <w:szCs w:val="20"/>
                <w:lang w:bidi="es-ES"/>
              </w:rPr>
              <w:t xml:space="preserve">debería reforzar la red de facilitadores para garantizar que cumple los requisitos geográficos y temáticos del Programa Mundial de Fortalecimiento de Capacidades. Esto debería implicar una cartografía de las capacidades existentes y la identificación de las necesidades. Además, debería incluir una evaluación de la actividad actual y anterior de los actuales miembros de la red, así como de la </w:t>
            </w:r>
            <w:proofErr w:type="gramStart"/>
            <w:r w:rsidRPr="009E2F0A">
              <w:rPr>
                <w:rFonts w:ascii="Arial" w:eastAsia="Arial" w:hAnsi="Arial" w:cs="Arial"/>
                <w:sz w:val="20"/>
                <w:szCs w:val="20"/>
                <w:lang w:bidi="es-ES"/>
              </w:rPr>
              <w:t>participación activa</w:t>
            </w:r>
            <w:proofErr w:type="gramEnd"/>
            <w:r w:rsidRPr="009E2F0A">
              <w:rPr>
                <w:rFonts w:ascii="Arial" w:eastAsia="Arial" w:hAnsi="Arial" w:cs="Arial"/>
                <w:sz w:val="20"/>
                <w:szCs w:val="20"/>
                <w:lang w:bidi="es-ES"/>
              </w:rPr>
              <w:t xml:space="preserve"> de personas en otras actividades como proyectos de </w:t>
            </w:r>
            <w:r w:rsidRPr="009E2F0A">
              <w:rPr>
                <w:rFonts w:ascii="Arial" w:eastAsia="Arial" w:hAnsi="Arial" w:cs="Arial"/>
                <w:sz w:val="20"/>
                <w:szCs w:val="20"/>
                <w:lang w:bidi="es-ES"/>
              </w:rPr>
              <w:lastRenderedPageBreak/>
              <w:t>asistencia internacional y puntos de enlace sobre informes periódicos, entre otros. Deben crearse oportunidades para los nuevos miembros e intercambios entre facilitadores.</w:t>
            </w:r>
          </w:p>
        </w:tc>
        <w:tc>
          <w:tcPr>
            <w:tcW w:w="3317" w:type="pct"/>
            <w:tcBorders>
              <w:bottom w:val="single" w:sz="4" w:space="0" w:color="auto"/>
            </w:tcBorders>
          </w:tcPr>
          <w:p w14:paraId="3FE66C36"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lastRenderedPageBreak/>
              <w:t>Desde 2021, la red mundial de facilitadores se ha reforzado de manera significativa con noventa y cinco nuevos miembros (60% mujeres) de todas las regiones tras una convocatoria mundial de manifestaciones de interés en participar en ella. Se impartieron una serie de sesiones de orientación en línea a los nuevos miembros para dotarles de los conocimientos básicos sobre la Convención y la red. Desde 2025, los facilitadores también han recibido formación sobre los ámbitos temáticos de la Convención, a través de una serie de seminarios web de formación sobre las relaciones entre el patrimonio vivo y (1) la reducción del riesgo de desastres (marzo de 2025); (2) las candidaturas (junio de 2025); (3) la educación (julio de 2025) y (4) los contextos urbanos (abril de 2026). Está previsto un quinto seminario web sobre patrimonio vivo en situaciones de conflicto y desplazamiento el 4 de junio de 2026.</w:t>
            </w:r>
          </w:p>
          <w:p w14:paraId="05D217CE" w14:textId="05E61FF9" w:rsidR="00DC581D" w:rsidRPr="009E2F0A" w:rsidRDefault="00DC581D" w:rsidP="008E2552">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Para dar una respuesta más relevante respecto de las necesidades y lagunas existentes, actualmente se está aplicando en todas las regiones una nueva estrategia de formación regional contextualizada sobre </w:t>
            </w:r>
            <w:r w:rsidRPr="009E2F0A">
              <w:rPr>
                <w:rFonts w:ascii="Arial" w:eastAsia="Arial" w:hAnsi="Arial" w:cs="Arial"/>
                <w:sz w:val="20"/>
                <w:szCs w:val="20"/>
                <w:lang w:bidi="es-ES"/>
              </w:rPr>
              <w:lastRenderedPageBreak/>
              <w:t xml:space="preserve">la aplicación de la Convención para los nuevos miembros, en cooperación con las </w:t>
            </w:r>
            <w:r w:rsidR="008E2552" w:rsidRPr="009E2F0A">
              <w:rPr>
                <w:rFonts w:ascii="Arial" w:eastAsia="Arial" w:hAnsi="Arial" w:cs="Arial"/>
                <w:sz w:val="20"/>
                <w:szCs w:val="20"/>
                <w:lang w:val="es-ES_tradnl" w:bidi="es-ES"/>
              </w:rPr>
              <w:t>Oficinas fuera de la Sede de la UNESCO</w:t>
            </w:r>
            <w:r w:rsidRPr="009E2F0A">
              <w:rPr>
                <w:rFonts w:ascii="Arial" w:eastAsia="Arial" w:hAnsi="Arial" w:cs="Arial"/>
                <w:sz w:val="20"/>
                <w:szCs w:val="20"/>
                <w:lang w:bidi="es-ES"/>
              </w:rPr>
              <w:t xml:space="preserve"> y con el apoyo de los Centros de Categoría 2. Se ha mejorado la </w:t>
            </w:r>
            <w:proofErr w:type="gramStart"/>
            <w:r w:rsidRPr="009E2F0A">
              <w:rPr>
                <w:rFonts w:ascii="Arial" w:eastAsia="Arial" w:hAnsi="Arial" w:cs="Arial"/>
                <w:sz w:val="20"/>
                <w:szCs w:val="20"/>
                <w:lang w:bidi="es-ES"/>
              </w:rPr>
              <w:t>participación activa</w:t>
            </w:r>
            <w:proofErr w:type="gramEnd"/>
            <w:r w:rsidRPr="009E2F0A">
              <w:rPr>
                <w:rFonts w:ascii="Arial" w:eastAsia="Arial" w:hAnsi="Arial" w:cs="Arial"/>
                <w:sz w:val="20"/>
                <w:szCs w:val="20"/>
                <w:lang w:bidi="es-ES"/>
              </w:rPr>
              <w:t xml:space="preserve"> de facilitadores experimentados en actividades clave, en particular las relativas a la presentación de informes periódicos en virtud de la Convención, mediante dos cursos en línea de 18 horas realizados en apoyo de los ciclos regionales de presentación de informes en África (2023) y Asia y el Pacífico (2024).</w:t>
            </w:r>
          </w:p>
        </w:tc>
      </w:tr>
      <w:tr w:rsidR="00DC581D" w:rsidRPr="009E2F0A" w14:paraId="6B02CC39" w14:textId="77777777" w:rsidTr="008C63D4">
        <w:trPr>
          <w:trHeight w:val="1209"/>
        </w:trPr>
        <w:tc>
          <w:tcPr>
            <w:tcW w:w="1683" w:type="pct"/>
            <w:tcBorders>
              <w:bottom w:val="single" w:sz="4" w:space="0" w:color="auto"/>
            </w:tcBorders>
          </w:tcPr>
          <w:p w14:paraId="49371456"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b/>
                <w:sz w:val="20"/>
                <w:szCs w:val="20"/>
                <w:lang w:bidi="es-ES"/>
              </w:rPr>
              <w:lastRenderedPageBreak/>
              <w:t>Recomendación 8:</w:t>
            </w:r>
          </w:p>
          <w:p w14:paraId="6113FC49"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b/>
                <w:sz w:val="20"/>
                <w:szCs w:val="20"/>
                <w:lang w:bidi="es-ES"/>
              </w:rPr>
              <w:t>La Entidad del Patrimonio Vivo</w:t>
            </w:r>
            <w:r w:rsidRPr="009E2F0A">
              <w:rPr>
                <w:rFonts w:ascii="Arial" w:eastAsia="Arial" w:hAnsi="Arial" w:cs="Arial"/>
                <w:sz w:val="20"/>
                <w:szCs w:val="20"/>
                <w:lang w:bidi="es-ES"/>
              </w:rPr>
              <w:t xml:space="preserve"> debería tratar de adaptar el Programa Mundial de Fortalecimiento de Capacidades a una modalidad híbrida, combinando el aprendizaje en línea con la formación presencial y desarrollando los materiales y herramientas de aprendizaje que mejor se adapten a estos diferentes contextos. Además, el programa debería seguir diversificando sus destinatarios y dar prioridad a las comunidades, la sociedad civil, incluidas las ONG que trabajan con cargos públicos del PCI, y dirigirse específicamente a juventud.</w:t>
            </w:r>
          </w:p>
        </w:tc>
        <w:tc>
          <w:tcPr>
            <w:tcW w:w="3317" w:type="pct"/>
            <w:tcBorders>
              <w:bottom w:val="single" w:sz="4" w:space="0" w:color="auto"/>
            </w:tcBorders>
          </w:tcPr>
          <w:p w14:paraId="56C25C94"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La Entidad del Patrimonio Vivo ha diseñado y establecido el Sistema de Gestión del Aprendizaje (SGA) para el programa de fortalecimiento de capacidades, que ahora se ha puesto en marcha en forma de la Plataforma de Aprendizaje de la UNESCO para la salvaguardia del patrimonio vivo para el desarrollo sostenible. Se ha finalizado el desarrollo de 3 cursos con un ritmo personalizado (Marco General de Resultados, Aplicación de la Convención y Transformación del Aprendizaje con el Patrimonio Vivo) en la Plataforma de Aprendizaje, mediante un acuerdo de asociación con el Centro Internacional de Formación de la Organización Internacional del Trabajo y en colaboración con facilitadores de alto nivel. </w:t>
            </w:r>
          </w:p>
          <w:p w14:paraId="063C3D84" w14:textId="686559D0" w:rsidR="00EB7ED5" w:rsidRPr="009E2F0A" w:rsidRDefault="00DC581D" w:rsidP="00EB7ED5">
            <w:pPr>
              <w:widowControl w:val="0"/>
              <w:spacing w:before="120" w:after="120"/>
              <w:jc w:val="both"/>
              <w:rPr>
                <w:rFonts w:ascii="Arial" w:eastAsia="Arial" w:hAnsi="Arial" w:cs="Arial"/>
                <w:sz w:val="20"/>
                <w:szCs w:val="20"/>
                <w:lang w:val="es-ES_tradnl" w:bidi="es-ES"/>
              </w:rPr>
            </w:pPr>
            <w:r w:rsidRPr="009E2F0A">
              <w:rPr>
                <w:rFonts w:ascii="Arial" w:eastAsia="Arial" w:hAnsi="Arial" w:cs="Arial"/>
                <w:sz w:val="20"/>
                <w:szCs w:val="20"/>
                <w:lang w:bidi="es-ES"/>
              </w:rPr>
              <w:t xml:space="preserve">El </w:t>
            </w:r>
            <w:hyperlink r:id="rId71" w:history="1">
              <w:r w:rsidRPr="009E2F0A">
                <w:rPr>
                  <w:rStyle w:val="Hyperlink"/>
                  <w:rFonts w:ascii="Arial" w:eastAsia="Arial" w:hAnsi="Arial" w:cs="Arial"/>
                  <w:sz w:val="20"/>
                  <w:szCs w:val="20"/>
                  <w:lang w:bidi="es-ES"/>
                </w:rPr>
                <w:t>CEMA sobre Patrimonio Vivo y Desarrollo Sostenible</w:t>
              </w:r>
            </w:hyperlink>
            <w:r w:rsidRPr="009E2F0A">
              <w:rPr>
                <w:rFonts w:ascii="Arial" w:eastAsia="Arial" w:hAnsi="Arial" w:cs="Arial"/>
                <w:sz w:val="20"/>
                <w:szCs w:val="20"/>
                <w:lang w:bidi="es-ES"/>
              </w:rPr>
              <w:t xml:space="preserve"> se puso en marcha en 2022. Se invita sistemáticamente a las comunidades, la sociedad civil y las organizaciones no gubernamentales a participar en talleres de fortalecimiento de capacidades organizados por la UNESCO </w:t>
            </w:r>
            <w:r w:rsidR="00EB7ED5" w:rsidRPr="009E2F0A">
              <w:rPr>
                <w:rFonts w:ascii="Arial" w:eastAsia="Arial" w:hAnsi="Arial" w:cs="Arial"/>
                <w:sz w:val="20"/>
                <w:szCs w:val="20"/>
                <w:lang w:val="es-ES_tradnl" w:bidi="es-ES"/>
              </w:rPr>
              <w:t>(aproximadamente 8.000 participantes se inscribieron en el curso)</w:t>
            </w:r>
            <w:r w:rsidR="00F607AE" w:rsidRPr="009E2F0A">
              <w:rPr>
                <w:rFonts w:ascii="Arial" w:eastAsia="Arial" w:hAnsi="Arial" w:cs="Arial"/>
                <w:sz w:val="20"/>
                <w:szCs w:val="20"/>
                <w:lang w:val="es-ES_tradnl" w:bidi="es-ES"/>
              </w:rPr>
              <w:t>.</w:t>
            </w:r>
          </w:p>
          <w:p w14:paraId="79666E5B" w14:textId="5010B2D0" w:rsidR="00DC581D" w:rsidRPr="009E2F0A" w:rsidRDefault="00DC581D" w:rsidP="008C63D4">
            <w:pPr>
              <w:widowControl w:val="0"/>
              <w:spacing w:before="120" w:after="120"/>
              <w:jc w:val="both"/>
              <w:rPr>
                <w:rFonts w:ascii="Arial" w:hAnsi="Arial" w:cs="Arial"/>
                <w:sz w:val="20"/>
                <w:szCs w:val="20"/>
                <w:lang w:val="es-ES_tradnl"/>
              </w:rPr>
            </w:pPr>
          </w:p>
          <w:p w14:paraId="69A49C08" w14:textId="77777777" w:rsidR="00DC581D" w:rsidRPr="009E2F0A" w:rsidRDefault="00DC581D" w:rsidP="008C63D4">
            <w:pPr>
              <w:widowControl w:val="0"/>
              <w:spacing w:before="120" w:after="120"/>
              <w:jc w:val="both"/>
              <w:rPr>
                <w:rFonts w:ascii="Arial" w:hAnsi="Arial" w:cs="Arial"/>
                <w:sz w:val="20"/>
                <w:szCs w:val="20"/>
                <w:lang w:val="es-ES_tradnl"/>
              </w:rPr>
            </w:pPr>
          </w:p>
        </w:tc>
      </w:tr>
      <w:tr w:rsidR="00DC581D" w:rsidRPr="009E2F0A" w14:paraId="0D298B81" w14:textId="77777777" w:rsidTr="008C63D4">
        <w:trPr>
          <w:trHeight w:val="1209"/>
        </w:trPr>
        <w:tc>
          <w:tcPr>
            <w:tcW w:w="1683" w:type="pct"/>
            <w:tcBorders>
              <w:bottom w:val="single" w:sz="4" w:space="0" w:color="auto"/>
            </w:tcBorders>
          </w:tcPr>
          <w:p w14:paraId="6561A76F" w14:textId="77777777" w:rsidR="00DC581D" w:rsidRPr="009E2F0A" w:rsidRDefault="00DC581D" w:rsidP="008C63D4">
            <w:pPr>
              <w:widowControl w:val="0"/>
              <w:spacing w:before="120" w:after="120"/>
              <w:jc w:val="both"/>
              <w:rPr>
                <w:rFonts w:ascii="Arial" w:hAnsi="Arial" w:cs="Arial"/>
                <w:b/>
                <w:bCs/>
                <w:sz w:val="20"/>
                <w:szCs w:val="20"/>
                <w:lang w:val="es-ES_tradnl"/>
              </w:rPr>
            </w:pPr>
            <w:r w:rsidRPr="009E2F0A">
              <w:rPr>
                <w:rFonts w:ascii="Arial" w:eastAsia="Arial" w:hAnsi="Arial" w:cs="Arial"/>
                <w:b/>
                <w:sz w:val="20"/>
                <w:szCs w:val="20"/>
                <w:lang w:bidi="es-ES"/>
              </w:rPr>
              <w:t>Recomendación 9:</w:t>
            </w:r>
          </w:p>
          <w:p w14:paraId="6E61298F" w14:textId="77777777" w:rsidR="00DC581D" w:rsidRPr="009E2F0A" w:rsidRDefault="00DC581D" w:rsidP="008C63D4">
            <w:pPr>
              <w:widowControl w:val="0"/>
              <w:spacing w:before="120" w:after="120"/>
              <w:jc w:val="both"/>
              <w:rPr>
                <w:rFonts w:ascii="Arial" w:hAnsi="Arial" w:cs="Arial"/>
                <w:b/>
                <w:bCs/>
                <w:sz w:val="20"/>
                <w:szCs w:val="20"/>
                <w:lang w:val="es-ES_tradnl"/>
              </w:rPr>
            </w:pPr>
            <w:r w:rsidRPr="009E2F0A">
              <w:rPr>
                <w:rFonts w:ascii="Arial" w:eastAsia="Arial" w:hAnsi="Arial" w:cs="Arial"/>
                <w:sz w:val="20"/>
                <w:szCs w:val="20"/>
                <w:lang w:bidi="es-ES"/>
              </w:rPr>
              <w:t xml:space="preserve">La </w:t>
            </w:r>
            <w:r w:rsidRPr="009E2F0A">
              <w:rPr>
                <w:rFonts w:ascii="Arial" w:eastAsia="Arial" w:hAnsi="Arial" w:cs="Arial"/>
                <w:b/>
                <w:sz w:val="20"/>
                <w:szCs w:val="20"/>
                <w:lang w:bidi="es-ES"/>
              </w:rPr>
              <w:t>Entidad del Patrimonio Vivo, en cooperación con las Oficinas fuera de la Sede de la UNESCO</w:t>
            </w:r>
            <w:r w:rsidRPr="009E2F0A">
              <w:rPr>
                <w:rFonts w:ascii="Arial" w:eastAsia="Arial" w:hAnsi="Arial" w:cs="Arial"/>
                <w:sz w:val="20"/>
                <w:szCs w:val="20"/>
                <w:lang w:bidi="es-ES"/>
              </w:rPr>
              <w:t xml:space="preserve">, debería desarrollar un sistema de apoyo continuo a los </w:t>
            </w:r>
            <w:proofErr w:type="gramStart"/>
            <w:r w:rsidRPr="009E2F0A">
              <w:rPr>
                <w:rFonts w:ascii="Arial" w:eastAsia="Arial" w:hAnsi="Arial" w:cs="Arial"/>
                <w:sz w:val="20"/>
                <w:szCs w:val="20"/>
                <w:lang w:bidi="es-ES"/>
              </w:rPr>
              <w:t>Estados Partes</w:t>
            </w:r>
            <w:proofErr w:type="gramEnd"/>
            <w:r w:rsidRPr="009E2F0A">
              <w:rPr>
                <w:rFonts w:ascii="Arial" w:eastAsia="Arial" w:hAnsi="Arial" w:cs="Arial"/>
                <w:sz w:val="20"/>
                <w:szCs w:val="20"/>
                <w:lang w:bidi="es-ES"/>
              </w:rPr>
              <w:t xml:space="preserve"> durante el ciclo de presentación de informes periódicos, además de la formación en línea que ya se imparte. Debería incluir orientaciones sobre los perfiles y la designación de puntos de enlace nacionales, materiales para el autoaprendizaje y la prestación de apoyo técnico continuo por parte de especialistas nacionales o regionales. Las redes creadas durante los ejercicios de presentación de informes periódicos también podrían encargarse de proporcionar orientación al respecto.</w:t>
            </w:r>
          </w:p>
        </w:tc>
        <w:tc>
          <w:tcPr>
            <w:tcW w:w="3317" w:type="pct"/>
            <w:tcBorders>
              <w:bottom w:val="single" w:sz="4" w:space="0" w:color="auto"/>
            </w:tcBorders>
          </w:tcPr>
          <w:p w14:paraId="208443CB" w14:textId="13336FE9"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Desde 2021, la Secretaría de la Convención ha ofrecido formación y apoyo continuo a otras cuatro regiones: Europa (44 puntos </w:t>
            </w:r>
            <w:r w:rsidR="00EB7ED5" w:rsidRPr="009E2F0A">
              <w:rPr>
                <w:rFonts w:ascii="Arial" w:eastAsia="Arial" w:hAnsi="Arial" w:cs="Arial"/>
                <w:sz w:val="20"/>
                <w:szCs w:val="20"/>
                <w:lang w:bidi="es-ES"/>
              </w:rPr>
              <w:t>focales</w:t>
            </w:r>
            <w:r w:rsidRPr="009E2F0A">
              <w:rPr>
                <w:rFonts w:ascii="Arial" w:eastAsia="Arial" w:hAnsi="Arial" w:cs="Arial"/>
                <w:sz w:val="20"/>
                <w:szCs w:val="20"/>
                <w:lang w:bidi="es-ES"/>
              </w:rPr>
              <w:t xml:space="preserve"> formados en 2021-2022), los Estados árabes (18 puntos de enlace formados en 2022-2023), África (44 puntos de enlace formados en 2022-2023), y Asia y el Pacífico (42 puntos de enlace formados en 2024-2025). El enfoque adoptado es multimodal, combinando sesiones de formación en línea y presenciales, así como un apoyo constante en línea hasta la fecha límite de presentación. Las actividades se han llevado a cabo con la participación activa de las oficinas sobre el terreno de cada región y en cooperación con Centros de Categoría 2 (Centro Regional para la Salvaguardia del Patrimonio Cultural Inmaterial en Europa Sudoriental, Instituto del Patrimonio de Sharjah, Centro Regional para la Salvaguardia del Patrimonio Cultural Inmaterial de África (CRESPIAF), Centro Internacional de Capacitación para el Patrimonio Cultural Inmaterial en la Región Asia-Pacífico (CRIHAP) y Centro Internacional de Información y Redes por el Patrimonio Cultural Inmaterial en la Región Asia-Pacífico (ICHCAP)). La Secretaría formó a facilitadores experimentados de cada región en la elaboración de informes periódicos en colaboración con las oficinas de la UNESCO fuera de la Sede y ha dirigido actividades de fortalecimiento de capacidades para los puntos de enlace.</w:t>
            </w:r>
          </w:p>
        </w:tc>
      </w:tr>
      <w:tr w:rsidR="00DC581D" w:rsidRPr="009E2F0A" w14:paraId="3CB64D3E" w14:textId="77777777" w:rsidTr="008C63D4">
        <w:trPr>
          <w:trHeight w:val="1209"/>
        </w:trPr>
        <w:tc>
          <w:tcPr>
            <w:tcW w:w="1683" w:type="pct"/>
            <w:tcBorders>
              <w:bottom w:val="single" w:sz="4" w:space="0" w:color="auto"/>
            </w:tcBorders>
          </w:tcPr>
          <w:p w14:paraId="0DD995A7" w14:textId="77777777" w:rsidR="00DC581D" w:rsidRPr="009E2F0A" w:rsidRDefault="00DC581D" w:rsidP="008C63D4">
            <w:pPr>
              <w:widowControl w:val="0"/>
              <w:spacing w:before="120" w:after="120"/>
              <w:jc w:val="both"/>
              <w:rPr>
                <w:rFonts w:ascii="Arial" w:hAnsi="Arial" w:cs="Arial"/>
                <w:b/>
                <w:bCs/>
                <w:sz w:val="20"/>
                <w:szCs w:val="20"/>
                <w:lang w:val="es-ES_tradnl"/>
              </w:rPr>
            </w:pPr>
            <w:r w:rsidRPr="009E2F0A">
              <w:rPr>
                <w:rFonts w:ascii="Arial" w:eastAsia="Arial" w:hAnsi="Arial" w:cs="Arial"/>
                <w:b/>
                <w:sz w:val="20"/>
                <w:szCs w:val="20"/>
                <w:lang w:bidi="es-ES"/>
              </w:rPr>
              <w:lastRenderedPageBreak/>
              <w:t>Recomendación 10:</w:t>
            </w:r>
          </w:p>
          <w:p w14:paraId="6F4EED93" w14:textId="3758EDF9" w:rsidR="00DC581D" w:rsidRPr="009E2F0A" w:rsidRDefault="00DC581D" w:rsidP="00DE17DA">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La </w:t>
            </w:r>
            <w:r w:rsidRPr="009E2F0A">
              <w:rPr>
                <w:rFonts w:ascii="Arial" w:eastAsia="Arial" w:hAnsi="Arial" w:cs="Arial"/>
                <w:b/>
                <w:sz w:val="20"/>
                <w:szCs w:val="20"/>
                <w:lang w:bidi="es-ES"/>
              </w:rPr>
              <w:t>Entidad del Patrimonio Vivo, en cooperación con la Mesa de Soluciones Digitales</w:t>
            </w:r>
            <w:r w:rsidRPr="009E2F0A">
              <w:rPr>
                <w:rFonts w:ascii="Arial" w:eastAsia="Arial" w:hAnsi="Arial" w:cs="Arial"/>
                <w:sz w:val="20"/>
                <w:szCs w:val="20"/>
                <w:lang w:bidi="es-ES"/>
              </w:rPr>
              <w:t xml:space="preserve">, debería proporcionar una plataforma en línea para facilitar la gestión del conocimiento sobre el PCI y las medidas de salvaguardia de todos los mecanismos de </w:t>
            </w:r>
            <w:r w:rsidR="00DE17DA" w:rsidRPr="009E2F0A">
              <w:rPr>
                <w:rFonts w:ascii="Arial" w:eastAsia="Arial" w:hAnsi="Arial" w:cs="Arial"/>
                <w:sz w:val="20"/>
                <w:szCs w:val="20"/>
                <w:lang w:val="es-ES_tradnl" w:bidi="es-ES"/>
              </w:rPr>
              <w:t>inscripción</w:t>
            </w:r>
            <w:r w:rsidRPr="009E2F0A">
              <w:rPr>
                <w:rFonts w:ascii="Arial" w:eastAsia="Arial" w:hAnsi="Arial" w:cs="Arial"/>
                <w:sz w:val="20"/>
                <w:szCs w:val="20"/>
                <w:lang w:bidi="es-ES"/>
              </w:rPr>
              <w:t xml:space="preserve"> en las Listas, candidaturas, informes periódicos, proyectos de asistencia internacional, investigación e inventarios, entre otros. Esta herramienta debe permitir que los usuarios busquen información sobre el PCI utilizando palabras clave y criterios sencillos. Se podría confiar el tratamiento de los datos a redes asociadas, como el Foro de ONG del PCI y las Cátedras UNESCO.</w:t>
            </w:r>
          </w:p>
        </w:tc>
        <w:tc>
          <w:tcPr>
            <w:tcW w:w="3317" w:type="pct"/>
            <w:tcBorders>
              <w:bottom w:val="single" w:sz="4" w:space="0" w:color="auto"/>
            </w:tcBorders>
          </w:tcPr>
          <w:p w14:paraId="41FD0C4D"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La Secretaría de la Convención de 2003 ha proporcionado todos los datos de los informes en formatos abiertos, lo que ha facilitado un análisis exhaustivo y una categorización acorde con las orientaciones para elaborar informes culturales mundiales establecidas por MONDIACULT.</w:t>
            </w:r>
          </w:p>
          <w:p w14:paraId="23CDAF08" w14:textId="69AE495D" w:rsidR="00DC581D" w:rsidRPr="009E2F0A" w:rsidRDefault="00DC581D" w:rsidP="008A48D8">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Se está rediseñando la tecnología subyacente para la gestión de datos para mejorar las medidas de seguridad y garantizar al mismo tiempo la compatibilidad con formatos abiertos. La finalidad de este rediseño es facilitar el intercambio de datos sin fisuras con otras herramientas de la organización, permitiendo integraciones personalizadas e interoperabilidad con las herramientas estándar establecidas por la </w:t>
            </w:r>
            <w:r w:rsidR="008A48D8" w:rsidRPr="009E2F0A">
              <w:rPr>
                <w:rFonts w:ascii="Arial" w:eastAsia="Arial" w:hAnsi="Arial" w:cs="Arial"/>
                <w:sz w:val="20"/>
                <w:szCs w:val="20"/>
                <w:lang w:val="es-ES_tradnl" w:bidi="es-ES"/>
              </w:rPr>
              <w:t>Oficina de Soluciones Digitales para la Gestión (DBS).</w:t>
            </w:r>
          </w:p>
          <w:p w14:paraId="24C07D35"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El alcance de la información sobre ONG se ha ampliado para una cohorte inicial de ONG, y la previsión es lograr una expansión continua en colaboración con el Foro de ONG. Además, las Cátedras UNESCO han logrado una mayor visibilidad gracias a la creación de un directorio en el sitio web de la Convención, dedicado a mostrar las Cátedras UNESCO y las Redes UNITWIN centradas en el patrimonio vivo.</w:t>
            </w:r>
          </w:p>
          <w:p w14:paraId="07900FAE" w14:textId="5E4161CE"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Dentro de la reflexión actual sobre una aplicación más amplia del Artículo 18, iniciada en 2023, (Decisión 18.COM 11), en mayo de 2025 se lanzó la versión preliminar de una plataforma en línea para compartir buenas experiencias de salvaguardia. Se ha elaborado un conjunto piloto de catorce buenas experiencias de salvaguardia aplicadas a través de los mecanismos de cooperación internacional de la Convención, y se están </w:t>
            </w:r>
            <w:r w:rsidR="00EE693D" w:rsidRPr="009E2F0A">
              <w:rPr>
                <w:rFonts w:ascii="Arial" w:eastAsia="Arial" w:hAnsi="Arial" w:cs="Arial"/>
                <w:sz w:val="20"/>
                <w:szCs w:val="20"/>
                <w:lang w:bidi="es-ES"/>
              </w:rPr>
              <w:t xml:space="preserve">llevando a cabo </w:t>
            </w:r>
            <w:r w:rsidRPr="009E2F0A">
              <w:rPr>
                <w:rFonts w:ascii="Arial" w:eastAsia="Arial" w:hAnsi="Arial" w:cs="Arial"/>
                <w:sz w:val="20"/>
                <w:szCs w:val="20"/>
                <w:lang w:bidi="es-ES"/>
              </w:rPr>
              <w:t>consultas con expertos para recabar opiniones y elaborar nuevos contenidos. También se espera que dentro de la plataforma en línea se preste atención a las diversas prácticas alimentarias.</w:t>
            </w:r>
          </w:p>
        </w:tc>
      </w:tr>
      <w:tr w:rsidR="00DC581D" w:rsidRPr="009E2F0A" w14:paraId="4B5BFCA3" w14:textId="77777777" w:rsidTr="008C63D4">
        <w:trPr>
          <w:trHeight w:val="841"/>
        </w:trPr>
        <w:tc>
          <w:tcPr>
            <w:tcW w:w="1683" w:type="pct"/>
            <w:tcBorders>
              <w:bottom w:val="single" w:sz="4" w:space="0" w:color="auto"/>
            </w:tcBorders>
          </w:tcPr>
          <w:p w14:paraId="38BE24DB" w14:textId="77777777" w:rsidR="00DC581D" w:rsidRPr="009E2F0A" w:rsidRDefault="00DC581D" w:rsidP="008C63D4">
            <w:pPr>
              <w:widowControl w:val="0"/>
              <w:spacing w:before="120" w:after="120"/>
              <w:jc w:val="both"/>
              <w:rPr>
                <w:rFonts w:ascii="Arial" w:hAnsi="Arial" w:cs="Arial"/>
                <w:b/>
                <w:bCs/>
                <w:sz w:val="20"/>
                <w:szCs w:val="20"/>
                <w:lang w:val="es-ES_tradnl"/>
              </w:rPr>
            </w:pPr>
            <w:r w:rsidRPr="009E2F0A">
              <w:rPr>
                <w:rFonts w:ascii="Arial" w:eastAsia="Arial" w:hAnsi="Arial" w:cs="Arial"/>
                <w:b/>
                <w:sz w:val="20"/>
                <w:szCs w:val="20"/>
                <w:lang w:bidi="es-ES"/>
              </w:rPr>
              <w:t>Recomendación 11:</w:t>
            </w:r>
          </w:p>
          <w:p w14:paraId="7198BD86"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La </w:t>
            </w:r>
            <w:r w:rsidRPr="009E2F0A">
              <w:rPr>
                <w:rFonts w:ascii="Arial" w:eastAsia="Arial" w:hAnsi="Arial" w:cs="Arial"/>
                <w:b/>
                <w:sz w:val="20"/>
                <w:szCs w:val="20"/>
                <w:lang w:bidi="es-ES"/>
              </w:rPr>
              <w:t>Entidad del Patrimonio Vivo, junto con el Departamento de Información Pública</w:t>
            </w:r>
            <w:r w:rsidRPr="009E2F0A">
              <w:rPr>
                <w:rFonts w:ascii="Arial" w:eastAsia="Arial" w:hAnsi="Arial" w:cs="Arial"/>
                <w:sz w:val="20"/>
                <w:szCs w:val="20"/>
                <w:lang w:bidi="es-ES"/>
              </w:rPr>
              <w:t>, debería estudiar nuevas vías de comunicación y divulgación dirigidas al público en general y a la juventud en particular mediante el uso de canales como las redes sociales. Puede implicar la creación de una cuenta específica en las redes sociales o un mayor uso de otras cuentas de la UNESCO y sus socios. Hay que desarrollar una identidad visual para los contenidos de la Entidad que garantice su seguimiento.</w:t>
            </w:r>
          </w:p>
        </w:tc>
        <w:tc>
          <w:tcPr>
            <w:tcW w:w="3317" w:type="pct"/>
            <w:tcBorders>
              <w:bottom w:val="single" w:sz="4" w:space="0" w:color="auto"/>
            </w:tcBorders>
          </w:tcPr>
          <w:p w14:paraId="0BABA0F7"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Desde 2021, la Entidad del Patrimonio Vivo ha mejorado sus iniciativas de comunicación en colaboración con la División de Comunicación y Participación Pública (CPE) y con la Unidad de Comunicación y Seguimiento Global (CLT/CGM), para dirigirse al público en general y a la juventud en particular, a través de las redes sociales.</w:t>
            </w:r>
          </w:p>
          <w:p w14:paraId="524ACAC4"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En 2024, se puso en marcha una campaña participativa en línea para animar a los </w:t>
            </w:r>
            <w:proofErr w:type="gramStart"/>
            <w:r w:rsidRPr="009E2F0A">
              <w:rPr>
                <w:rFonts w:ascii="Arial" w:eastAsia="Arial" w:hAnsi="Arial" w:cs="Arial"/>
                <w:sz w:val="20"/>
                <w:szCs w:val="20"/>
                <w:lang w:bidi="es-ES"/>
              </w:rPr>
              <w:t>Estados Partes</w:t>
            </w:r>
            <w:proofErr w:type="gramEnd"/>
            <w:r w:rsidRPr="009E2F0A">
              <w:rPr>
                <w:rFonts w:ascii="Arial" w:eastAsia="Arial" w:hAnsi="Arial" w:cs="Arial"/>
                <w:sz w:val="20"/>
                <w:szCs w:val="20"/>
                <w:lang w:bidi="es-ES"/>
              </w:rPr>
              <w:t xml:space="preserve"> a compartir actividades relacionadas con el Día Internacional del Patrimonio Cultural Inmaterial, que se repitió en 2025, con un elevado número de actividades compartidas en la página web de la Convención (100 actividades en 2024 y 134 actividades en 2025).</w:t>
            </w:r>
          </w:p>
          <w:p w14:paraId="1A51B365"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La Secretaría ofrece respuestas y entrevistas con regularidad a un mayor número de solicitudes de medios de comunicación, lo que contribuye a dar a conocer mejor la Convención. En la página web se publican continuamente noticias que destacan los logros, actividades y proyectos realizados en el marco de la Convención, así como las contribuciones a los Días y Décadas Internacionales, o relacionados con los proyectos en curso. El uso </w:t>
            </w:r>
            <w:proofErr w:type="gramStart"/>
            <w:r w:rsidRPr="009E2F0A">
              <w:rPr>
                <w:rFonts w:ascii="Arial" w:eastAsia="Arial" w:hAnsi="Arial" w:cs="Arial"/>
                <w:sz w:val="20"/>
                <w:szCs w:val="20"/>
                <w:lang w:bidi="es-ES"/>
              </w:rPr>
              <w:t>del hashtag</w:t>
            </w:r>
            <w:proofErr w:type="gramEnd"/>
            <w:r w:rsidRPr="009E2F0A">
              <w:rPr>
                <w:rFonts w:ascii="Arial" w:eastAsia="Arial" w:hAnsi="Arial" w:cs="Arial"/>
                <w:sz w:val="20"/>
                <w:szCs w:val="20"/>
                <w:lang w:bidi="es-ES"/>
              </w:rPr>
              <w:t xml:space="preserve"> #LivingHeritage permite etiquetar e identificar las publicaciones relacionadas. La Secretaría de la Convención de 2003 también ha adaptado el diseño de su página web a las orientaciones ofrecidas por la CPE, de manera que la imagen de marca es más cohesionada para las páginas web de la UNESCO. Existen formatos abiertos para mejorar la visibilidad y visualización de los elementos inscritos y está previsto seguir facilitando una visualización de los datos que pueda aumentar los efectos y la participación del público destinatario.</w:t>
            </w:r>
          </w:p>
        </w:tc>
      </w:tr>
      <w:tr w:rsidR="00DC581D" w:rsidRPr="00A2658B" w14:paraId="3F1182C8" w14:textId="77777777" w:rsidTr="008C63D4">
        <w:trPr>
          <w:trHeight w:val="1209"/>
        </w:trPr>
        <w:tc>
          <w:tcPr>
            <w:tcW w:w="1683" w:type="pct"/>
          </w:tcPr>
          <w:p w14:paraId="22F7D5FA" w14:textId="77777777" w:rsidR="00DC581D" w:rsidRPr="009E2F0A" w:rsidRDefault="00DC581D" w:rsidP="008C63D4">
            <w:pPr>
              <w:widowControl w:val="0"/>
              <w:spacing w:before="120" w:after="120"/>
              <w:jc w:val="both"/>
              <w:rPr>
                <w:rFonts w:ascii="Arial" w:hAnsi="Arial" w:cs="Arial"/>
                <w:b/>
                <w:bCs/>
                <w:sz w:val="20"/>
                <w:szCs w:val="20"/>
                <w:lang w:val="es-ES_tradnl"/>
              </w:rPr>
            </w:pPr>
            <w:r w:rsidRPr="009E2F0A">
              <w:rPr>
                <w:rFonts w:ascii="Arial" w:eastAsia="Arial" w:hAnsi="Arial" w:cs="Arial"/>
                <w:b/>
                <w:sz w:val="20"/>
                <w:szCs w:val="20"/>
                <w:lang w:bidi="es-ES"/>
              </w:rPr>
              <w:lastRenderedPageBreak/>
              <w:t>Recomendación 12:</w:t>
            </w:r>
          </w:p>
          <w:p w14:paraId="18D8ACB7" w14:textId="77777777" w:rsidR="00DC581D" w:rsidRPr="009E2F0A" w:rsidRDefault="00DC581D" w:rsidP="008C63D4">
            <w:pPr>
              <w:widowControl w:val="0"/>
              <w:spacing w:before="120" w:after="120"/>
              <w:jc w:val="both"/>
              <w:rPr>
                <w:rFonts w:ascii="Arial" w:hAnsi="Arial" w:cs="Arial"/>
                <w:sz w:val="20"/>
                <w:szCs w:val="20"/>
                <w:lang w:val="es-ES_tradnl"/>
              </w:rPr>
            </w:pPr>
            <w:r w:rsidRPr="009E2F0A">
              <w:rPr>
                <w:rFonts w:ascii="Arial" w:eastAsia="Arial" w:hAnsi="Arial" w:cs="Arial"/>
                <w:b/>
                <w:sz w:val="20"/>
                <w:szCs w:val="20"/>
                <w:lang w:bidi="es-ES"/>
              </w:rPr>
              <w:t>La Entidad del Patrimonio Vivo</w:t>
            </w:r>
            <w:r w:rsidRPr="009E2F0A">
              <w:rPr>
                <w:rFonts w:ascii="Arial" w:eastAsia="Arial" w:hAnsi="Arial" w:cs="Arial"/>
                <w:sz w:val="20"/>
                <w:szCs w:val="20"/>
                <w:lang w:bidi="es-ES"/>
              </w:rPr>
              <w:t xml:space="preserve"> debería introducir oportunidades regulares para la planificación bilateral y el intercambio con cada uno de los Centros de Categoría 2 especializados en el PCI, centrándose en las prioridades de la Secretaría y del Comité Intergubernamental que estar al corriente de las necesidades regionales, con el fin de reforzar el compromiso de estos socios y la alineación de sus programas de trabajo con los de la UNESCO.</w:t>
            </w:r>
          </w:p>
        </w:tc>
        <w:tc>
          <w:tcPr>
            <w:tcW w:w="3317" w:type="pct"/>
          </w:tcPr>
          <w:p w14:paraId="4B66BA9A" w14:textId="1DF14C83" w:rsidR="00DC581D" w:rsidRPr="00A2658B" w:rsidRDefault="00DC581D" w:rsidP="00031A2F">
            <w:pPr>
              <w:widowControl w:val="0"/>
              <w:spacing w:before="120" w:after="120"/>
              <w:jc w:val="both"/>
              <w:rPr>
                <w:rFonts w:ascii="Arial" w:hAnsi="Arial" w:cs="Arial"/>
                <w:sz w:val="20"/>
                <w:szCs w:val="20"/>
                <w:lang w:val="es-ES_tradnl"/>
              </w:rPr>
            </w:pPr>
            <w:r w:rsidRPr="009E2F0A">
              <w:rPr>
                <w:rFonts w:ascii="Arial" w:eastAsia="Arial" w:hAnsi="Arial" w:cs="Arial"/>
                <w:sz w:val="20"/>
                <w:szCs w:val="20"/>
                <w:lang w:bidi="es-ES"/>
              </w:rPr>
              <w:t xml:space="preserve">La Entidad del Patrimonio Vivo ha seguido coorganizando las reuniones anuales de coordinación con todos los Centros. La duodécima reunión se celebró en la sede de la UNESCO el 13 de junio de 2024 y la decimotercera, en línea, el 16 de julio de 2025. Los Centros de Categoría 2 han participado activamente en el despliegue del fortalecimiento de capacidades para la elaboración de informes periódicos en todas las regiones, coorganizando y acogiendo actividades de formación: Centro Regional para la Salvaguardia del Patrimonio Cultural Inmaterial de América Latina (CRESPIAL) para el ciclo de América Latina y el Caribe (2021), </w:t>
            </w:r>
            <w:r w:rsidR="00031A2F" w:rsidRPr="009E2F0A">
              <w:rPr>
                <w:rFonts w:ascii="Arial" w:eastAsia="Arial" w:hAnsi="Arial" w:cs="Arial"/>
                <w:sz w:val="20"/>
                <w:szCs w:val="20"/>
                <w:lang w:val="es-ES_tradnl" w:bidi="es-ES"/>
              </w:rPr>
              <w:t xml:space="preserve">Centro Regional para la Salvaguardia del Patrimonio Cultural Inmaterial en Europa Sudoriental (RCSICH) </w:t>
            </w:r>
            <w:r w:rsidRPr="009E2F0A">
              <w:rPr>
                <w:rFonts w:ascii="Arial" w:eastAsia="Arial" w:hAnsi="Arial" w:cs="Arial"/>
                <w:sz w:val="20"/>
                <w:szCs w:val="20"/>
                <w:lang w:bidi="es-ES"/>
              </w:rPr>
              <w:t>para el ciclo de Europa (2022), Centro Internacional para el Fortalecimiento de Capacidades en materia de Patrimonio Cultural Inmaterial en los Estados árabes (ICCBICH) para el ciclo de los Estados Árabes (2023), Centro Regional para la Salvaguardia del Patrimonio Cultural Inmaterial de África (CRESPIAF) para el ciclo de África (2024), Centro Internacional de Información y Redes sobre el Patrimonio Cultural Inmaterial para la Región Asia y el Pacífico (ICHCAP) y Centro Internacional de Formación sobre el Patrimonio Cultural Inmaterial para la Región Asia y el Pacífico (CRIHAP) para el ciclo de Asia y el Pacífico (2025). Estas colaboraciones han mejorado el intercambio entre cada Centro y la Secretaría de la Convención de 2003, y han reforzado la adecuación de su labor a las prioridades de la UNESCO. Con el Centro Internacional de Investigación sobre el Patrimonio Cultural Inmaterial de la Región Asia-Pacífico (IRCI) se llevaron a cabo colaboraciones temáticas, especialmente en apoyo de las iniciativas temáticas de la Convención.</w:t>
            </w:r>
          </w:p>
        </w:tc>
      </w:tr>
    </w:tbl>
    <w:p w14:paraId="1B08DF9D" w14:textId="1DD30E85" w:rsidR="00190205" w:rsidRPr="00A2658B" w:rsidRDefault="00190205" w:rsidP="00A2658B">
      <w:pPr>
        <w:pStyle w:val="COMParaDecision"/>
        <w:numPr>
          <w:ilvl w:val="0"/>
          <w:numId w:val="0"/>
        </w:numPr>
        <w:ind w:left="1134"/>
        <w:rPr>
          <w:lang w:val="es-ES_tradnl"/>
        </w:rPr>
      </w:pPr>
    </w:p>
    <w:sectPr w:rsidR="00190205" w:rsidRPr="00A2658B" w:rsidSect="00FD69C8">
      <w:headerReference w:type="even" r:id="rId72"/>
      <w:headerReference w:type="default" r:id="rId73"/>
      <w:headerReference w:type="first" r:id="rId74"/>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E4B2" w14:textId="77777777" w:rsidR="004F0996" w:rsidRDefault="004F0996" w:rsidP="00655736">
      <w:r>
        <w:separator/>
      </w:r>
    </w:p>
  </w:endnote>
  <w:endnote w:type="continuationSeparator" w:id="0">
    <w:p w14:paraId="1D1FB963" w14:textId="77777777" w:rsidR="004F0996" w:rsidRDefault="004F099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FFC5" w14:textId="77777777" w:rsidR="004F0996" w:rsidRDefault="004F0996" w:rsidP="00655736">
      <w:r>
        <w:separator/>
      </w:r>
    </w:p>
  </w:footnote>
  <w:footnote w:type="continuationSeparator" w:id="0">
    <w:p w14:paraId="557ED812" w14:textId="77777777" w:rsidR="004F0996" w:rsidRDefault="004F0996" w:rsidP="00655736">
      <w:r>
        <w:continuationSeparator/>
      </w:r>
    </w:p>
  </w:footnote>
  <w:footnote w:id="1">
    <w:p w14:paraId="4BBEDDD7" w14:textId="54ECD081" w:rsidR="00DC581D" w:rsidRPr="0045323D" w:rsidRDefault="00DC581D" w:rsidP="00DC581D">
      <w:pPr>
        <w:pStyle w:val="FootnoteText"/>
        <w:ind w:left="567" w:hanging="567"/>
        <w:jc w:val="both"/>
        <w:rPr>
          <w:rFonts w:asciiTheme="minorBidi" w:hAnsiTheme="minorBidi" w:cstheme="minorBidi"/>
          <w:sz w:val="18"/>
          <w:szCs w:val="18"/>
          <w:lang w:val="es-ES_tradnl"/>
        </w:rPr>
      </w:pPr>
      <w:r w:rsidRPr="00502368">
        <w:rPr>
          <w:rStyle w:val="FootnoteReference"/>
          <w:rFonts w:asciiTheme="minorBidi" w:hAnsiTheme="minorBidi" w:cstheme="minorBidi"/>
          <w:sz w:val="18"/>
          <w:szCs w:val="18"/>
          <w:lang w:bidi="es-ES"/>
        </w:rPr>
        <w:footnoteRef/>
      </w:r>
      <w:r w:rsidRPr="00E957F6">
        <w:rPr>
          <w:rFonts w:asciiTheme="minorBidi" w:hAnsiTheme="minorBidi" w:cstheme="minorBidi"/>
          <w:sz w:val="18"/>
          <w:szCs w:val="18"/>
          <w:vertAlign w:val="superscript"/>
          <w:lang w:bidi="es-ES"/>
        </w:rPr>
        <w:t>.</w:t>
      </w:r>
      <w:r w:rsidRPr="00E957F6">
        <w:rPr>
          <w:rFonts w:asciiTheme="minorBidi" w:hAnsiTheme="minorBidi" w:cstheme="minorBidi"/>
          <w:sz w:val="18"/>
          <w:szCs w:val="18"/>
          <w:lang w:bidi="es-ES"/>
        </w:rPr>
        <w:tab/>
        <w:t xml:space="preserve">Documentos </w:t>
      </w:r>
      <w:hyperlink r:id="rId1" w:history="1">
        <w:r w:rsidRPr="00E957F6">
          <w:rPr>
            <w:rStyle w:val="Hyperlink"/>
            <w:rFonts w:asciiTheme="minorBidi" w:hAnsiTheme="minorBidi" w:cstheme="minorBidi"/>
            <w:sz w:val="18"/>
            <w:szCs w:val="18"/>
            <w:lang w:bidi="es-ES"/>
          </w:rPr>
          <w:t>LHE/21/16.COM/10 Rev.</w:t>
        </w:r>
      </w:hyperlink>
      <w:r w:rsidRPr="00E957F6">
        <w:rPr>
          <w:rFonts w:asciiTheme="minorBidi" w:hAnsiTheme="minorBidi" w:cstheme="minorBidi"/>
          <w:sz w:val="18"/>
          <w:szCs w:val="18"/>
          <w:lang w:bidi="es-ES"/>
        </w:rPr>
        <w:t xml:space="preserve"> y </w:t>
      </w:r>
      <w:hyperlink r:id="rId2" w:history="1">
        <w:r w:rsidRPr="00B241E7">
          <w:rPr>
            <w:rStyle w:val="Hyperlink"/>
            <w:rFonts w:asciiTheme="minorBidi" w:hAnsiTheme="minorBidi" w:cstheme="minorBidi"/>
            <w:sz w:val="18"/>
            <w:szCs w:val="18"/>
            <w:lang w:bidi="es-ES"/>
          </w:rPr>
          <w:t>LHE/21/16.COM/INF.10 Rev.</w:t>
        </w:r>
      </w:hyperlink>
      <w:r w:rsidRPr="00E957F6">
        <w:rPr>
          <w:rStyle w:val="Hyperlink"/>
          <w:rFonts w:asciiTheme="minorBidi" w:hAnsiTheme="minorBidi" w:cstheme="minorBidi"/>
          <w:color w:val="auto"/>
          <w:sz w:val="18"/>
          <w:szCs w:val="18"/>
          <w:u w:val="none"/>
          <w:lang w:bidi="es-ES"/>
        </w:rPr>
        <w:t xml:space="preserve">; el seguimiento se realiza con referencia a la Decisión </w:t>
      </w:r>
      <w:hyperlink r:id="rId3" w:history="1">
        <w:r w:rsidRPr="00E957F6">
          <w:rPr>
            <w:rStyle w:val="Hyperlink"/>
            <w:rFonts w:asciiTheme="minorBidi" w:hAnsiTheme="minorBidi" w:cstheme="minorBidi"/>
            <w:sz w:val="18"/>
            <w:szCs w:val="18"/>
            <w:lang w:bidi="es-ES"/>
          </w:rPr>
          <w:t>16.COM 10</w:t>
        </w:r>
      </w:hyperlink>
      <w:r w:rsidRPr="00E957F6">
        <w:rPr>
          <w:rStyle w:val="Hyperlink"/>
          <w:rFonts w:asciiTheme="minorBidi" w:hAnsiTheme="minorBidi" w:cstheme="minorBidi"/>
          <w:color w:val="auto"/>
          <w:sz w:val="18"/>
          <w:szCs w:val="18"/>
          <w:u w:val="none"/>
          <w:lang w:bidi="es-ES"/>
        </w:rPr>
        <w:t xml:space="preserve"> por la decimosexta reunión del Comité.</w:t>
      </w:r>
    </w:p>
  </w:footnote>
  <w:footnote w:id="2">
    <w:p w14:paraId="74515B2B" w14:textId="04DCF33B" w:rsidR="00DC581D" w:rsidRPr="0045323D" w:rsidRDefault="00DC581D" w:rsidP="00C75C71">
      <w:pPr>
        <w:pStyle w:val="FootnoteText"/>
        <w:ind w:left="567" w:hanging="567"/>
        <w:jc w:val="both"/>
        <w:rPr>
          <w:rFonts w:asciiTheme="minorBidi" w:hAnsiTheme="minorBidi" w:cstheme="minorBidi"/>
          <w:sz w:val="18"/>
          <w:szCs w:val="18"/>
          <w:lang w:val="es-ES_tradnl" w:bidi="es-ES"/>
        </w:rPr>
      </w:pPr>
      <w:r w:rsidRPr="00502368">
        <w:rPr>
          <w:rStyle w:val="FootnoteReference"/>
          <w:rFonts w:asciiTheme="minorBidi" w:hAnsiTheme="minorBidi" w:cstheme="minorBidi"/>
          <w:sz w:val="18"/>
          <w:szCs w:val="18"/>
          <w:lang w:bidi="es-ES"/>
        </w:rPr>
        <w:footnoteRef/>
      </w:r>
      <w:r w:rsidRPr="00E957F6">
        <w:rPr>
          <w:rFonts w:asciiTheme="minorBidi" w:hAnsiTheme="minorBidi" w:cstheme="minorBidi"/>
          <w:sz w:val="18"/>
          <w:szCs w:val="18"/>
          <w:vertAlign w:val="superscript"/>
          <w:lang w:bidi="es-ES"/>
        </w:rPr>
        <w:t>.</w:t>
      </w:r>
      <w:r w:rsidRPr="00E957F6">
        <w:rPr>
          <w:rFonts w:asciiTheme="minorBidi" w:hAnsiTheme="minorBidi" w:cstheme="minorBidi"/>
          <w:sz w:val="18"/>
          <w:szCs w:val="18"/>
          <w:lang w:bidi="es-ES"/>
        </w:rPr>
        <w:tab/>
      </w:r>
      <w:r w:rsidR="00C75C71" w:rsidRPr="00A2658B">
        <w:rPr>
          <w:rFonts w:asciiTheme="minorBidi" w:hAnsiTheme="minorBidi" w:cstheme="minorBidi"/>
          <w:sz w:val="18"/>
          <w:szCs w:val="18"/>
          <w:lang w:val="es-ES_tradnl" w:bidi="es-ES"/>
        </w:rPr>
        <w:t>Centro Regional para la Salvaguardia del Patrimonio Cultural Inmaterial en África (CRESPIAF)</w:t>
      </w:r>
      <w:r w:rsidR="00C75C71">
        <w:rPr>
          <w:rStyle w:val="Hyperlink"/>
          <w:rFonts w:asciiTheme="minorBidi" w:hAnsiTheme="minorBidi" w:cstheme="minorBidi"/>
          <w:color w:val="auto"/>
          <w:sz w:val="18"/>
          <w:szCs w:val="18"/>
          <w:u w:val="none"/>
          <w:lang w:bidi="es-ES"/>
        </w:rPr>
        <w:t>,</w:t>
      </w:r>
      <w:r w:rsidRPr="00107C14">
        <w:rPr>
          <w:rStyle w:val="Hyperlink"/>
          <w:rFonts w:asciiTheme="minorBidi" w:hAnsiTheme="minorBidi" w:cstheme="minorBidi"/>
          <w:color w:val="auto"/>
          <w:sz w:val="18"/>
          <w:szCs w:val="18"/>
          <w:u w:val="none"/>
          <w:lang w:bidi="es-ES"/>
        </w:rPr>
        <w:t>Centro Regional para la Salvaguardia del Patrimonio Cultural Inmaterial de América Latina (CRESPIAL), Centro Internacional de Formación sobre el Patrimonio Cultural Inmaterial en la Región Asia y el Pacífico (CRIHAP), Centro Internacional de Investigaciones para el Patrimonio Cultural Inmaterial en la Región Asia y el Pacífico (IRCI), y Centro Internacional de Información y Redes sobre el Patrimonio Cultural Inmaterial en la Región Asia y el Pacífico (ICHCAP).</w:t>
      </w:r>
    </w:p>
  </w:footnote>
  <w:footnote w:id="3">
    <w:p w14:paraId="44E0D251" w14:textId="75B8CDFD" w:rsidR="00DC581D" w:rsidRPr="0045323D" w:rsidRDefault="00DC581D" w:rsidP="00DC581D">
      <w:pPr>
        <w:pStyle w:val="FootnoteText"/>
        <w:rPr>
          <w:rFonts w:asciiTheme="minorBidi" w:hAnsiTheme="minorBidi" w:cstheme="minorBidi"/>
          <w:sz w:val="18"/>
          <w:szCs w:val="18"/>
          <w:lang w:val="es-ES_tradnl"/>
        </w:rPr>
      </w:pPr>
      <w:r w:rsidRPr="00E957F6">
        <w:rPr>
          <w:rStyle w:val="FootnoteReference"/>
          <w:rFonts w:asciiTheme="minorBidi" w:hAnsiTheme="minorBidi" w:cstheme="minorBidi"/>
          <w:sz w:val="18"/>
          <w:szCs w:val="18"/>
          <w:lang w:bidi="es-ES"/>
        </w:rPr>
        <w:footnoteRef/>
      </w:r>
      <w:r w:rsidRPr="00B90BF8">
        <w:rPr>
          <w:rFonts w:asciiTheme="minorBidi" w:hAnsiTheme="minorBidi" w:cstheme="minorBidi"/>
          <w:sz w:val="18"/>
          <w:szCs w:val="18"/>
          <w:lang w:bidi="es-ES"/>
        </w:rPr>
        <w:t xml:space="preserve"> </w:t>
      </w:r>
      <w:r w:rsidR="00A2658B">
        <w:rPr>
          <w:rFonts w:asciiTheme="minorBidi" w:hAnsiTheme="minorBidi" w:cstheme="minorBidi"/>
          <w:sz w:val="18"/>
          <w:szCs w:val="18"/>
          <w:lang w:bidi="es-ES"/>
        </w:rPr>
        <w:tab/>
      </w:r>
      <w:r w:rsidRPr="00B90BF8">
        <w:rPr>
          <w:rFonts w:asciiTheme="minorBidi" w:hAnsiTheme="minorBidi" w:cstheme="minorBidi"/>
          <w:sz w:val="18"/>
          <w:szCs w:val="18"/>
          <w:lang w:bidi="es-ES"/>
        </w:rPr>
        <w:t xml:space="preserve">Véanse los documentos </w:t>
      </w:r>
      <w:hyperlink r:id="rId4" w:history="1">
        <w:r w:rsidRPr="00B90BF8">
          <w:rPr>
            <w:rStyle w:val="Hyperlink"/>
            <w:rFonts w:asciiTheme="minorBidi" w:hAnsiTheme="minorBidi" w:cstheme="minorBidi"/>
            <w:sz w:val="18"/>
            <w:szCs w:val="18"/>
            <w:lang w:bidi="es-ES"/>
          </w:rPr>
          <w:t>LHE/21/16.COM/10 Rev.</w:t>
        </w:r>
      </w:hyperlink>
      <w:r w:rsidRPr="00B90BF8">
        <w:rPr>
          <w:rFonts w:asciiTheme="minorBidi" w:hAnsiTheme="minorBidi" w:cstheme="minorBidi"/>
          <w:sz w:val="18"/>
          <w:szCs w:val="18"/>
          <w:lang w:bidi="es-ES"/>
        </w:rPr>
        <w:t xml:space="preserve"> y </w:t>
      </w:r>
      <w:hyperlink r:id="rId5" w:history="1">
        <w:r w:rsidRPr="00B90BF8">
          <w:rPr>
            <w:rStyle w:val="Hyperlink"/>
            <w:rFonts w:asciiTheme="minorBidi" w:hAnsiTheme="minorBidi" w:cstheme="minorBidi"/>
            <w:sz w:val="18"/>
            <w:szCs w:val="18"/>
            <w:lang w:bidi="es-ES"/>
          </w:rPr>
          <w:t>LHE/21/16.COM/INF.10 Rev.</w:t>
        </w:r>
      </w:hyperlink>
      <w:r w:rsidRPr="00B90BF8">
        <w:rPr>
          <w:rFonts w:asciiTheme="minorBidi" w:hAnsiTheme="minorBidi" w:cstheme="minorBidi"/>
          <w:sz w:val="18"/>
          <w:szCs w:val="18"/>
          <w:lang w:bidi="es-ES"/>
        </w:rPr>
        <w:t xml:space="preserve"> para consultar la respuesta inicial de la dirección dada en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4AA2" w14:textId="77777777" w:rsidR="00DC581D" w:rsidRPr="00C23A97" w:rsidRDefault="00DC581D" w:rsidP="00C5776D">
    <w:pPr>
      <w:pStyle w:val="Header"/>
      <w:rPr>
        <w:rFonts w:ascii="Arial" w:hAnsi="Arial" w:cs="Arial"/>
        <w:lang w:val="en-GB"/>
      </w:rPr>
    </w:pPr>
    <w:r>
      <w:rPr>
        <w:rFonts w:ascii="Arial" w:eastAsia="Arial" w:hAnsi="Arial" w:cs="Arial"/>
        <w:sz w:val="20"/>
        <w:szCs w:val="20"/>
        <w:lang w:bidi="es-ES"/>
      </w:rPr>
      <w:t xml:space="preserve">LHE/26/11.GA/6 – página </w:t>
    </w:r>
    <w:r w:rsidRPr="00C23A97">
      <w:rPr>
        <w:rStyle w:val="PageNumber"/>
        <w:rFonts w:ascii="Arial" w:eastAsia="Arial" w:hAnsi="Arial" w:cs="Arial"/>
        <w:sz w:val="20"/>
        <w:szCs w:val="20"/>
        <w:lang w:bidi="es-ES"/>
      </w:rPr>
      <w:fldChar w:fldCharType="begin"/>
    </w:r>
    <w:r w:rsidRPr="00C23A97">
      <w:rPr>
        <w:rStyle w:val="PageNumber"/>
        <w:rFonts w:ascii="Arial" w:eastAsia="Arial" w:hAnsi="Arial" w:cs="Arial"/>
        <w:sz w:val="20"/>
        <w:szCs w:val="20"/>
        <w:lang w:bidi="es-ES"/>
      </w:rPr>
      <w:instrText xml:space="preserve"> PAGE </w:instrText>
    </w:r>
    <w:r w:rsidRPr="00C23A97">
      <w:rPr>
        <w:rStyle w:val="PageNumber"/>
        <w:rFonts w:ascii="Arial" w:eastAsia="Arial" w:hAnsi="Arial" w:cs="Arial"/>
        <w:sz w:val="20"/>
        <w:szCs w:val="20"/>
        <w:lang w:bidi="es-ES"/>
      </w:rPr>
      <w:fldChar w:fldCharType="separate"/>
    </w:r>
    <w:r>
      <w:rPr>
        <w:rStyle w:val="PageNumber"/>
        <w:rFonts w:ascii="Arial" w:eastAsia="Arial" w:hAnsi="Arial" w:cs="Arial"/>
        <w:noProof/>
        <w:sz w:val="20"/>
        <w:szCs w:val="20"/>
        <w:lang w:bidi="es-ES"/>
      </w:rPr>
      <w:t>2</w:t>
    </w:r>
    <w:r w:rsidRPr="00C23A97">
      <w:rPr>
        <w:rStyle w:val="PageNumber"/>
        <w:rFonts w:ascii="Arial" w:eastAsia="Arial" w:hAnsi="Arial" w:cs="Arial"/>
        <w:sz w:val="20"/>
        <w:szCs w:val="20"/>
        <w:lang w:bidi="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526B" w14:textId="77777777" w:rsidR="00DC581D" w:rsidRPr="0063300C" w:rsidRDefault="00DC581D" w:rsidP="00C5776D">
    <w:pPr>
      <w:pStyle w:val="Header"/>
      <w:jc w:val="right"/>
      <w:rPr>
        <w:rFonts w:ascii="Arial" w:hAnsi="Arial" w:cs="Arial"/>
        <w:lang w:val="en-GB"/>
      </w:rPr>
    </w:pPr>
    <w:r>
      <w:rPr>
        <w:rFonts w:ascii="Arial" w:eastAsia="Arial" w:hAnsi="Arial" w:cs="Arial"/>
        <w:sz w:val="20"/>
        <w:szCs w:val="20"/>
        <w:lang w:bidi="es-ES"/>
      </w:rPr>
      <w:t xml:space="preserve">LHE/26/11.GA/6 – página </w:t>
    </w:r>
    <w:r w:rsidRPr="0063300C">
      <w:rPr>
        <w:rStyle w:val="PageNumber"/>
        <w:rFonts w:ascii="Arial" w:eastAsia="Arial" w:hAnsi="Arial" w:cs="Arial"/>
        <w:sz w:val="20"/>
        <w:szCs w:val="20"/>
        <w:lang w:bidi="es-ES"/>
      </w:rPr>
      <w:fldChar w:fldCharType="begin"/>
    </w:r>
    <w:r w:rsidRPr="0063300C">
      <w:rPr>
        <w:rStyle w:val="PageNumber"/>
        <w:rFonts w:ascii="Arial" w:eastAsia="Arial" w:hAnsi="Arial" w:cs="Arial"/>
        <w:sz w:val="20"/>
        <w:szCs w:val="20"/>
        <w:lang w:bidi="es-ES"/>
      </w:rPr>
      <w:instrText xml:space="preserve"> PAGE </w:instrText>
    </w:r>
    <w:r w:rsidRPr="0063300C">
      <w:rPr>
        <w:rStyle w:val="PageNumber"/>
        <w:rFonts w:ascii="Arial" w:eastAsia="Arial" w:hAnsi="Arial" w:cs="Arial"/>
        <w:sz w:val="20"/>
        <w:szCs w:val="20"/>
        <w:lang w:bidi="es-ES"/>
      </w:rPr>
      <w:fldChar w:fldCharType="separate"/>
    </w:r>
    <w:r>
      <w:rPr>
        <w:rStyle w:val="PageNumber"/>
        <w:rFonts w:ascii="Arial" w:eastAsia="Arial" w:hAnsi="Arial" w:cs="Arial"/>
        <w:noProof/>
        <w:sz w:val="20"/>
        <w:szCs w:val="20"/>
        <w:lang w:bidi="es-ES"/>
      </w:rPr>
      <w:t>3</w:t>
    </w:r>
    <w:r w:rsidRPr="0063300C">
      <w:rPr>
        <w:rStyle w:val="PageNumber"/>
        <w:rFonts w:ascii="Arial" w:eastAsia="Arial" w:hAnsi="Arial" w:cs="Arial"/>
        <w:sz w:val="20"/>
        <w:szCs w:val="20"/>
        <w:lang w:bidi="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1EB6" w14:textId="3BC001B0" w:rsidR="00DC581D" w:rsidRPr="00E95AE2" w:rsidRDefault="00C75C9E">
    <w:pPr>
      <w:pStyle w:val="Header"/>
      <w:rPr>
        <w:sz w:val="22"/>
        <w:szCs w:val="22"/>
        <w:lang w:val="en-GB"/>
      </w:rPr>
    </w:pPr>
    <w:r>
      <w:rPr>
        <w:noProof/>
      </w:rPr>
      <w:drawing>
        <wp:anchor distT="0" distB="0" distL="114300" distR="114300" simplePos="0" relativeHeight="251665408" behindDoc="0" locked="0" layoutInCell="1" allowOverlap="1" wp14:anchorId="2C45086C" wp14:editId="705DE864">
          <wp:simplePos x="0" y="0"/>
          <wp:positionH relativeFrom="margin">
            <wp:posOffset>-4181</wp:posOffset>
          </wp:positionH>
          <wp:positionV relativeFrom="paragraph">
            <wp:posOffset>6350</wp:posOffset>
          </wp:positionV>
          <wp:extent cx="1638935" cy="1379855"/>
          <wp:effectExtent l="0" t="0" r="0" b="0"/>
          <wp:wrapSquare wrapText="bothSides"/>
          <wp:docPr id="2" name="Imag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1379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8EF1F3" w14:textId="73EC3E2A" w:rsidR="00DC581D" w:rsidRPr="00D7105A" w:rsidRDefault="00DC581D" w:rsidP="00C5776D">
    <w:pPr>
      <w:pStyle w:val="Header"/>
      <w:spacing w:after="520"/>
      <w:jc w:val="right"/>
      <w:rPr>
        <w:rFonts w:ascii="Arial" w:hAnsi="Arial" w:cs="Arial"/>
        <w:b/>
        <w:sz w:val="44"/>
        <w:szCs w:val="44"/>
        <w:lang w:val="pt-PT"/>
      </w:rPr>
    </w:pPr>
    <w:r>
      <w:rPr>
        <w:rFonts w:ascii="Arial" w:eastAsia="Arial" w:hAnsi="Arial" w:cs="Arial"/>
        <w:b/>
        <w:sz w:val="44"/>
        <w:szCs w:val="44"/>
        <w:lang w:bidi="es-ES"/>
      </w:rPr>
      <w:t>11 GA</w:t>
    </w:r>
  </w:p>
  <w:p w14:paraId="13E4DC35" w14:textId="77777777" w:rsidR="00DC581D" w:rsidRPr="00D7105A" w:rsidRDefault="00DC581D" w:rsidP="00C5776D">
    <w:pPr>
      <w:jc w:val="right"/>
      <w:rPr>
        <w:rFonts w:ascii="Arial" w:hAnsi="Arial" w:cs="Arial"/>
        <w:b/>
        <w:sz w:val="22"/>
        <w:szCs w:val="22"/>
        <w:lang w:val="pt-PT"/>
      </w:rPr>
    </w:pPr>
    <w:r w:rsidRPr="00D7105A">
      <w:rPr>
        <w:rFonts w:ascii="Arial" w:eastAsia="Arial" w:hAnsi="Arial" w:cs="Arial"/>
        <w:b/>
        <w:sz w:val="22"/>
        <w:szCs w:val="22"/>
        <w:lang w:bidi="es-ES"/>
      </w:rPr>
      <w:t>LHE/26/11.GA/6</w:t>
    </w:r>
  </w:p>
  <w:p w14:paraId="4DE0AA81" w14:textId="77777777" w:rsidR="00DC581D" w:rsidRPr="00D7105A" w:rsidRDefault="00DC581D" w:rsidP="00655736">
    <w:pPr>
      <w:jc w:val="right"/>
      <w:rPr>
        <w:rFonts w:ascii="Arial" w:eastAsiaTheme="minorEastAsia" w:hAnsi="Arial" w:cs="Arial"/>
        <w:b/>
        <w:sz w:val="22"/>
        <w:szCs w:val="22"/>
        <w:lang w:val="pt-PT" w:eastAsia="ko-KR"/>
      </w:rPr>
    </w:pPr>
    <w:r w:rsidRPr="00D7105A">
      <w:rPr>
        <w:rFonts w:ascii="Arial" w:eastAsia="Arial" w:hAnsi="Arial" w:cs="Arial"/>
        <w:b/>
        <w:sz w:val="22"/>
        <w:szCs w:val="22"/>
        <w:lang w:bidi="es-ES"/>
      </w:rPr>
      <w:t>París, 18 de mayo de 2026</w:t>
    </w:r>
  </w:p>
  <w:p w14:paraId="3EF9FB1E" w14:textId="4F5D3281" w:rsidR="00DC581D" w:rsidRPr="00F32C23" w:rsidRDefault="00DC581D" w:rsidP="00962034">
    <w:pPr>
      <w:spacing w:after="120"/>
      <w:jc w:val="right"/>
      <w:rPr>
        <w:rFonts w:ascii="Arial" w:hAnsi="Arial" w:cs="Arial"/>
        <w:b/>
        <w:sz w:val="22"/>
        <w:szCs w:val="22"/>
        <w:lang w:val="en-GB"/>
      </w:rPr>
    </w:pPr>
    <w:r w:rsidRPr="00F32C23">
      <w:rPr>
        <w:rFonts w:ascii="Arial" w:eastAsia="Arial" w:hAnsi="Arial" w:cs="Arial"/>
        <w:b/>
        <w:sz w:val="22"/>
        <w:szCs w:val="22"/>
        <w:lang w:bidi="es-ES"/>
      </w:rPr>
      <w:t xml:space="preserve">Original: </w:t>
    </w:r>
    <w:r w:rsidR="00C75C9E" w:rsidRPr="00F32C23">
      <w:rPr>
        <w:rFonts w:ascii="Arial" w:eastAsia="Arial" w:hAnsi="Arial" w:cs="Arial"/>
        <w:b/>
        <w:sz w:val="22"/>
        <w:szCs w:val="22"/>
        <w:lang w:bidi="es-ES"/>
      </w:rPr>
      <w:t>inglés</w:t>
    </w:r>
  </w:p>
  <w:p w14:paraId="17238917" w14:textId="77777777" w:rsidR="00DC581D" w:rsidRPr="00E95AE2" w:rsidRDefault="00DC581D">
    <w:pPr>
      <w:pStyle w:val="Header"/>
      <w:rPr>
        <w:sz w:val="22"/>
        <w:szCs w:val="22"/>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78474324" w:rsidR="00D95C4C" w:rsidRPr="00DC581D" w:rsidRDefault="00C5776D" w:rsidP="00C5776D">
    <w:pPr>
      <w:pStyle w:val="Header"/>
      <w:rPr>
        <w:rFonts w:ascii="Arial" w:hAnsi="Arial" w:cs="Arial"/>
        <w:vanish/>
      </w:rPr>
    </w:pPr>
    <w:r w:rsidRPr="00DC581D">
      <w:rPr>
        <w:rFonts w:ascii="Arial" w:hAnsi="Arial"/>
        <w:vanish/>
        <w:sz w:val="20"/>
      </w:rPr>
      <w:t xml:space="preserve">LHE/26/11.GA/6 – página </w:t>
    </w:r>
    <w:r w:rsidR="00D95C4C" w:rsidRPr="00DC581D">
      <w:rPr>
        <w:rStyle w:val="PageNumber"/>
        <w:rFonts w:ascii="Arial" w:hAnsi="Arial" w:cs="Arial"/>
        <w:vanish/>
        <w:sz w:val="20"/>
      </w:rPr>
      <w:fldChar w:fldCharType="begin"/>
    </w:r>
    <w:r w:rsidR="00D95C4C" w:rsidRPr="00DC581D">
      <w:rPr>
        <w:rStyle w:val="PageNumber"/>
        <w:rFonts w:ascii="Arial" w:hAnsi="Arial" w:cs="Arial"/>
        <w:vanish/>
        <w:sz w:val="20"/>
      </w:rPr>
      <w:instrText xml:space="preserve"> PAGE </w:instrText>
    </w:r>
    <w:r w:rsidR="00D95C4C" w:rsidRPr="00DC581D">
      <w:rPr>
        <w:rStyle w:val="PageNumber"/>
        <w:rFonts w:ascii="Arial" w:hAnsi="Arial" w:cs="Arial"/>
        <w:vanish/>
        <w:sz w:val="20"/>
      </w:rPr>
      <w:fldChar w:fldCharType="separate"/>
    </w:r>
    <w:r w:rsidR="006E75EB" w:rsidRPr="00DC581D">
      <w:rPr>
        <w:rStyle w:val="PageNumber"/>
        <w:rFonts w:ascii="Arial" w:hAnsi="Arial" w:cs="Arial"/>
        <w:vanish/>
        <w:sz w:val="20"/>
      </w:rPr>
      <w:t>2</w:t>
    </w:r>
    <w:r w:rsidR="00D95C4C" w:rsidRPr="00DC581D">
      <w:rPr>
        <w:rStyle w:val="PageNumber"/>
        <w:rFonts w:ascii="Arial" w:hAnsi="Arial" w:cs="Arial"/>
        <w:vanish/>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6EEADD70" w:rsidR="00D95C4C" w:rsidRPr="00DC581D" w:rsidRDefault="00C5776D" w:rsidP="00C5776D">
    <w:pPr>
      <w:pStyle w:val="Header"/>
      <w:jc w:val="right"/>
      <w:rPr>
        <w:rFonts w:ascii="Arial" w:hAnsi="Arial" w:cs="Arial"/>
        <w:vanish/>
      </w:rPr>
    </w:pPr>
    <w:r w:rsidRPr="00DC581D">
      <w:rPr>
        <w:rFonts w:ascii="Arial" w:hAnsi="Arial"/>
        <w:vanish/>
        <w:sz w:val="20"/>
      </w:rPr>
      <w:t xml:space="preserve">LHE/26/11.GA/6 – página </w:t>
    </w:r>
    <w:r w:rsidR="004A34A0" w:rsidRPr="00DC581D">
      <w:rPr>
        <w:rStyle w:val="PageNumber"/>
        <w:rFonts w:ascii="Arial" w:hAnsi="Arial" w:cs="Arial"/>
        <w:vanish/>
        <w:sz w:val="20"/>
      </w:rPr>
      <w:fldChar w:fldCharType="begin"/>
    </w:r>
    <w:r w:rsidR="004A34A0" w:rsidRPr="00DC581D">
      <w:rPr>
        <w:rStyle w:val="PageNumber"/>
        <w:rFonts w:ascii="Arial" w:hAnsi="Arial" w:cs="Arial"/>
        <w:vanish/>
        <w:sz w:val="20"/>
      </w:rPr>
      <w:instrText xml:space="preserve"> PAGE </w:instrText>
    </w:r>
    <w:r w:rsidR="004A34A0" w:rsidRPr="00DC581D">
      <w:rPr>
        <w:rStyle w:val="PageNumber"/>
        <w:rFonts w:ascii="Arial" w:hAnsi="Arial" w:cs="Arial"/>
        <w:vanish/>
        <w:sz w:val="20"/>
      </w:rPr>
      <w:fldChar w:fldCharType="separate"/>
    </w:r>
    <w:r w:rsidR="00190205" w:rsidRPr="00DC581D">
      <w:rPr>
        <w:rStyle w:val="PageNumber"/>
        <w:rFonts w:ascii="Arial" w:hAnsi="Arial" w:cs="Arial"/>
        <w:vanish/>
        <w:sz w:val="20"/>
      </w:rPr>
      <w:t>3</w:t>
    </w:r>
    <w:r w:rsidR="004A34A0" w:rsidRPr="00DC581D">
      <w:rPr>
        <w:rStyle w:val="PageNumber"/>
        <w:rFonts w:ascii="Arial" w:hAnsi="Arial" w:cs="Arial"/>
        <w:vanish/>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50838DBA" w:rsidR="00D95C4C" w:rsidRPr="00E95AE2" w:rsidRDefault="000875B4">
    <w:pPr>
      <w:pStyle w:val="Header"/>
      <w:rPr>
        <w:sz w:val="22"/>
        <w:szCs w:val="22"/>
      </w:rPr>
    </w:pPr>
    <w:r>
      <w:rPr>
        <w:noProof/>
        <w:lang w:bidi="es-ES"/>
      </w:rPr>
      <w:drawing>
        <wp:anchor distT="0" distB="0" distL="114300" distR="114300" simplePos="0" relativeHeight="251661312" behindDoc="0" locked="0" layoutInCell="1" allowOverlap="1" wp14:anchorId="38876ACA" wp14:editId="7B03A841">
          <wp:simplePos x="0" y="0"/>
          <wp:positionH relativeFrom="margin">
            <wp:posOffset>-558</wp:posOffset>
          </wp:positionH>
          <wp:positionV relativeFrom="paragraph">
            <wp:posOffset>102058</wp:posOffset>
          </wp:positionV>
          <wp:extent cx="1709420" cy="1439545"/>
          <wp:effectExtent l="0" t="0" r="5080" b="8255"/>
          <wp:wrapSquare wrapText="bothSides"/>
          <wp:docPr id="629001896" name="Imag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7B917" w14:textId="6DA8A611" w:rsidR="00D95C4C" w:rsidRPr="00DC581D" w:rsidRDefault="005C792B" w:rsidP="00C5776D">
    <w:pPr>
      <w:pStyle w:val="Header"/>
      <w:spacing w:after="520"/>
      <w:jc w:val="right"/>
      <w:rPr>
        <w:rFonts w:ascii="Arial" w:hAnsi="Arial" w:cs="Arial"/>
        <w:b/>
        <w:vanish/>
        <w:sz w:val="44"/>
        <w:szCs w:val="44"/>
        <w:lang w:val="pt-BR"/>
      </w:rPr>
    </w:pPr>
    <w:r w:rsidRPr="00DC581D">
      <w:rPr>
        <w:rFonts w:ascii="Arial" w:hAnsi="Arial"/>
        <w:b/>
        <w:vanish/>
        <w:sz w:val="44"/>
        <w:lang w:val="pt-BR" w:eastAsia="pt-BR" w:bidi="pt-BR"/>
      </w:rPr>
      <w:t>11 GA</w:t>
    </w:r>
  </w:p>
  <w:p w14:paraId="306484B8" w14:textId="4E5D97C1" w:rsidR="00D95C4C" w:rsidRPr="00DC581D" w:rsidRDefault="00C5776D" w:rsidP="00C5776D">
    <w:pPr>
      <w:jc w:val="right"/>
      <w:rPr>
        <w:rFonts w:ascii="Arial" w:hAnsi="Arial" w:cs="Arial"/>
        <w:b/>
        <w:vanish/>
        <w:sz w:val="22"/>
        <w:szCs w:val="22"/>
        <w:lang w:val="pt-BR"/>
      </w:rPr>
    </w:pPr>
    <w:r w:rsidRPr="00DC581D">
      <w:rPr>
        <w:rFonts w:ascii="Arial" w:hAnsi="Arial"/>
        <w:b/>
        <w:vanish/>
        <w:sz w:val="22"/>
        <w:lang w:val="pt-BR" w:eastAsia="pt-BR" w:bidi="pt-BR"/>
      </w:rPr>
      <w:t>LHE/26/11.GA/6</w:t>
    </w:r>
  </w:p>
  <w:p w14:paraId="1B4446C3" w14:textId="71EDF218" w:rsidR="00D95C4C" w:rsidRPr="00DC581D" w:rsidRDefault="00D95C4C" w:rsidP="00655736">
    <w:pPr>
      <w:jc w:val="right"/>
      <w:rPr>
        <w:rFonts w:ascii="Arial" w:eastAsiaTheme="minorEastAsia" w:hAnsi="Arial" w:cs="Arial"/>
        <w:b/>
        <w:vanish/>
        <w:sz w:val="22"/>
        <w:szCs w:val="22"/>
        <w:lang w:val="pt-BR"/>
      </w:rPr>
    </w:pPr>
    <w:r w:rsidRPr="00DC581D">
      <w:rPr>
        <w:rFonts w:ascii="Arial" w:hAnsi="Arial"/>
        <w:b/>
        <w:vanish/>
        <w:sz w:val="22"/>
        <w:lang w:val="pt-BR" w:eastAsia="pt-BR" w:bidi="pt-BR"/>
      </w:rPr>
      <w:t>París, 18 de mayo de 2026</w:t>
    </w:r>
  </w:p>
  <w:p w14:paraId="255B57FF" w14:textId="1D72292B" w:rsidR="00D95C4C" w:rsidRPr="00DC581D" w:rsidRDefault="00D95C4C" w:rsidP="00962034">
    <w:pPr>
      <w:spacing w:after="120"/>
      <w:jc w:val="right"/>
      <w:rPr>
        <w:rFonts w:ascii="Arial" w:hAnsi="Arial" w:cs="Arial"/>
        <w:b/>
        <w:vanish/>
        <w:sz w:val="22"/>
        <w:szCs w:val="22"/>
      </w:rPr>
    </w:pPr>
    <w:r w:rsidRPr="00DC581D">
      <w:rPr>
        <w:rFonts w:ascii="Arial" w:hAnsi="Arial"/>
        <w:b/>
        <w:vanish/>
        <w:sz w:val="22"/>
      </w:rPr>
      <w:t>Original: inglés</w:t>
    </w:r>
  </w:p>
  <w:p w14:paraId="3C4B8B1B" w14:textId="77777777" w:rsidR="00D95C4C" w:rsidRPr="00DC581D" w:rsidRDefault="00D95C4C">
    <w:pPr>
      <w:pStyle w:val="Header"/>
      <w:rPr>
        <w:vanish/>
        <w:sz w:val="22"/>
        <w:szCs w:val="22"/>
      </w:rPr>
    </w:pPr>
  </w:p>
  <w:p w14:paraId="3C997849" w14:textId="77777777" w:rsidR="007F171D" w:rsidRPr="00DC581D" w:rsidRDefault="007F171D">
    <w:pPr>
      <w:pStyle w:val="Header"/>
      <w:rPr>
        <w:vanish/>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35B0026"/>
    <w:multiLevelType w:val="hybridMultilevel"/>
    <w:tmpl w:val="D21E4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6C5391B"/>
    <w:multiLevelType w:val="hybridMultilevel"/>
    <w:tmpl w:val="D9F8A3A2"/>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2"/>
  </w:num>
  <w:num w:numId="2" w16cid:durableId="699629408">
    <w:abstractNumId w:val="6"/>
  </w:num>
  <w:num w:numId="3" w16cid:durableId="164177712">
    <w:abstractNumId w:val="2"/>
  </w:num>
  <w:num w:numId="4" w16cid:durableId="1416590798">
    <w:abstractNumId w:val="15"/>
  </w:num>
  <w:num w:numId="5" w16cid:durableId="1762608160">
    <w:abstractNumId w:val="13"/>
  </w:num>
  <w:num w:numId="6" w16cid:durableId="2146270374">
    <w:abstractNumId w:val="0"/>
  </w:num>
  <w:num w:numId="7" w16cid:durableId="1113592211">
    <w:abstractNumId w:val="3"/>
  </w:num>
  <w:num w:numId="8" w16cid:durableId="1920598164">
    <w:abstractNumId w:val="10"/>
  </w:num>
  <w:num w:numId="9" w16cid:durableId="1533764642">
    <w:abstractNumId w:val="5"/>
  </w:num>
  <w:num w:numId="10" w16cid:durableId="1246129">
    <w:abstractNumId w:val="7"/>
  </w:num>
  <w:num w:numId="11" w16cid:durableId="111829808">
    <w:abstractNumId w:val="9"/>
  </w:num>
  <w:num w:numId="12" w16cid:durableId="1088770206">
    <w:abstractNumId w:val="8"/>
  </w:num>
  <w:num w:numId="13" w16cid:durableId="1263951029">
    <w:abstractNumId w:val="16"/>
  </w:num>
  <w:num w:numId="14" w16cid:durableId="395903570">
    <w:abstractNumId w:val="4"/>
  </w:num>
  <w:num w:numId="15" w16cid:durableId="1857570918">
    <w:abstractNumId w:val="5"/>
  </w:num>
  <w:num w:numId="16" w16cid:durableId="248199808">
    <w:abstractNumId w:val="5"/>
  </w:num>
  <w:num w:numId="17" w16cid:durableId="350380342">
    <w:abstractNumId w:val="5"/>
  </w:num>
  <w:num w:numId="18" w16cid:durableId="944581980">
    <w:abstractNumId w:val="5"/>
  </w:num>
  <w:num w:numId="19" w16cid:durableId="772675100">
    <w:abstractNumId w:val="5"/>
  </w:num>
  <w:num w:numId="20" w16cid:durableId="1253010311">
    <w:abstractNumId w:val="5"/>
  </w:num>
  <w:num w:numId="21" w16cid:durableId="540821319">
    <w:abstractNumId w:val="1"/>
  </w:num>
  <w:num w:numId="22" w16cid:durableId="2046514942">
    <w:abstractNumId w:val="5"/>
  </w:num>
  <w:num w:numId="23" w16cid:durableId="1198470061">
    <w:abstractNumId w:val="14"/>
  </w:num>
  <w:num w:numId="24" w16cid:durableId="2077506205">
    <w:abstractNumId w:val="11"/>
  </w:num>
  <w:num w:numId="25" w16cid:durableId="1950696157">
    <w:abstractNumId w:val="5"/>
  </w:num>
  <w:num w:numId="26" w16cid:durableId="286619905">
    <w:abstractNumId w:val="5"/>
  </w:num>
  <w:num w:numId="27" w16cid:durableId="279342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33C"/>
    <w:rsid w:val="000048ED"/>
    <w:rsid w:val="00014915"/>
    <w:rsid w:val="000211DF"/>
    <w:rsid w:val="0003000E"/>
    <w:rsid w:val="00031A2F"/>
    <w:rsid w:val="00041A66"/>
    <w:rsid w:val="00042D88"/>
    <w:rsid w:val="0005176E"/>
    <w:rsid w:val="000765F7"/>
    <w:rsid w:val="0007725F"/>
    <w:rsid w:val="00077AB7"/>
    <w:rsid w:val="000819FD"/>
    <w:rsid w:val="00081CD8"/>
    <w:rsid w:val="000875B4"/>
    <w:rsid w:val="000A7F0E"/>
    <w:rsid w:val="000B1C8F"/>
    <w:rsid w:val="000B7D5D"/>
    <w:rsid w:val="000C0D61"/>
    <w:rsid w:val="000F3624"/>
    <w:rsid w:val="000F3A3F"/>
    <w:rsid w:val="00102557"/>
    <w:rsid w:val="00115A36"/>
    <w:rsid w:val="001200B3"/>
    <w:rsid w:val="0014531A"/>
    <w:rsid w:val="00147A38"/>
    <w:rsid w:val="00164D56"/>
    <w:rsid w:val="00167B10"/>
    <w:rsid w:val="00172529"/>
    <w:rsid w:val="0017402F"/>
    <w:rsid w:val="00190205"/>
    <w:rsid w:val="00196C1B"/>
    <w:rsid w:val="001B0F73"/>
    <w:rsid w:val="001C2DB7"/>
    <w:rsid w:val="001D14FE"/>
    <w:rsid w:val="001D5C04"/>
    <w:rsid w:val="001E7F54"/>
    <w:rsid w:val="001F26CF"/>
    <w:rsid w:val="0020398D"/>
    <w:rsid w:val="002054C4"/>
    <w:rsid w:val="0021438A"/>
    <w:rsid w:val="00222A2D"/>
    <w:rsid w:val="00223029"/>
    <w:rsid w:val="002254F4"/>
    <w:rsid w:val="002334C4"/>
    <w:rsid w:val="00234745"/>
    <w:rsid w:val="002351A6"/>
    <w:rsid w:val="002407AF"/>
    <w:rsid w:val="00245501"/>
    <w:rsid w:val="00254B26"/>
    <w:rsid w:val="0026221A"/>
    <w:rsid w:val="002650D8"/>
    <w:rsid w:val="0027466B"/>
    <w:rsid w:val="00280CC6"/>
    <w:rsid w:val="002814F6"/>
    <w:rsid w:val="002838A5"/>
    <w:rsid w:val="00285BB4"/>
    <w:rsid w:val="0029614E"/>
    <w:rsid w:val="002A6853"/>
    <w:rsid w:val="002C09E3"/>
    <w:rsid w:val="002C6A2C"/>
    <w:rsid w:val="002D09FB"/>
    <w:rsid w:val="002D1244"/>
    <w:rsid w:val="00316047"/>
    <w:rsid w:val="0031748F"/>
    <w:rsid w:val="00337CEB"/>
    <w:rsid w:val="00344B58"/>
    <w:rsid w:val="0034539A"/>
    <w:rsid w:val="00345CB4"/>
    <w:rsid w:val="00353924"/>
    <w:rsid w:val="00354447"/>
    <w:rsid w:val="00375D42"/>
    <w:rsid w:val="00376C5F"/>
    <w:rsid w:val="00394EA6"/>
    <w:rsid w:val="003A0433"/>
    <w:rsid w:val="003D069C"/>
    <w:rsid w:val="003D18F0"/>
    <w:rsid w:val="003D7646"/>
    <w:rsid w:val="003F113A"/>
    <w:rsid w:val="003F3E63"/>
    <w:rsid w:val="003F5E0A"/>
    <w:rsid w:val="004028EE"/>
    <w:rsid w:val="00407480"/>
    <w:rsid w:val="00414643"/>
    <w:rsid w:val="004268CD"/>
    <w:rsid w:val="00427B3F"/>
    <w:rsid w:val="004313C4"/>
    <w:rsid w:val="0044085E"/>
    <w:rsid w:val="004421E5"/>
    <w:rsid w:val="004453B1"/>
    <w:rsid w:val="00452284"/>
    <w:rsid w:val="0045323D"/>
    <w:rsid w:val="00457C8E"/>
    <w:rsid w:val="004627D0"/>
    <w:rsid w:val="00467366"/>
    <w:rsid w:val="00476CCF"/>
    <w:rsid w:val="00480175"/>
    <w:rsid w:val="004856CA"/>
    <w:rsid w:val="00487E67"/>
    <w:rsid w:val="004906B7"/>
    <w:rsid w:val="0049705E"/>
    <w:rsid w:val="004A2875"/>
    <w:rsid w:val="004A34A0"/>
    <w:rsid w:val="004C7C82"/>
    <w:rsid w:val="004D727F"/>
    <w:rsid w:val="004F0996"/>
    <w:rsid w:val="005008A8"/>
    <w:rsid w:val="00502BA7"/>
    <w:rsid w:val="00517FD8"/>
    <w:rsid w:val="00526B7B"/>
    <w:rsid w:val="005274D2"/>
    <w:rsid w:val="005308CE"/>
    <w:rsid w:val="0053318C"/>
    <w:rsid w:val="0054535F"/>
    <w:rsid w:val="00545698"/>
    <w:rsid w:val="005618A9"/>
    <w:rsid w:val="0057439C"/>
    <w:rsid w:val="00590EEB"/>
    <w:rsid w:val="005960FA"/>
    <w:rsid w:val="005B0127"/>
    <w:rsid w:val="005B7A35"/>
    <w:rsid w:val="005C4B73"/>
    <w:rsid w:val="005C5123"/>
    <w:rsid w:val="005C792B"/>
    <w:rsid w:val="005E1D2B"/>
    <w:rsid w:val="005E7074"/>
    <w:rsid w:val="005F2BAF"/>
    <w:rsid w:val="00600D93"/>
    <w:rsid w:val="00616283"/>
    <w:rsid w:val="006237BF"/>
    <w:rsid w:val="00626BEA"/>
    <w:rsid w:val="006328E9"/>
    <w:rsid w:val="0063300C"/>
    <w:rsid w:val="006468AA"/>
    <w:rsid w:val="00651A5B"/>
    <w:rsid w:val="00655736"/>
    <w:rsid w:val="00656CDE"/>
    <w:rsid w:val="00663B8D"/>
    <w:rsid w:val="00671799"/>
    <w:rsid w:val="00696C8D"/>
    <w:rsid w:val="006A2AC2"/>
    <w:rsid w:val="006A3617"/>
    <w:rsid w:val="006A7988"/>
    <w:rsid w:val="006B4452"/>
    <w:rsid w:val="006B6D4F"/>
    <w:rsid w:val="006E46E4"/>
    <w:rsid w:val="006E75EB"/>
    <w:rsid w:val="006F2B0A"/>
    <w:rsid w:val="007065A5"/>
    <w:rsid w:val="00717DA5"/>
    <w:rsid w:val="00724CA9"/>
    <w:rsid w:val="007333D0"/>
    <w:rsid w:val="00735C7E"/>
    <w:rsid w:val="00741089"/>
    <w:rsid w:val="00744484"/>
    <w:rsid w:val="00747566"/>
    <w:rsid w:val="00761C04"/>
    <w:rsid w:val="00764C0C"/>
    <w:rsid w:val="00773188"/>
    <w:rsid w:val="00783782"/>
    <w:rsid w:val="00784B8C"/>
    <w:rsid w:val="007879E1"/>
    <w:rsid w:val="007A7657"/>
    <w:rsid w:val="007B10EF"/>
    <w:rsid w:val="007C7A23"/>
    <w:rsid w:val="007D594B"/>
    <w:rsid w:val="007E5173"/>
    <w:rsid w:val="007E57AA"/>
    <w:rsid w:val="007F171D"/>
    <w:rsid w:val="008018E0"/>
    <w:rsid w:val="00802AA5"/>
    <w:rsid w:val="00823A11"/>
    <w:rsid w:val="0085405E"/>
    <w:rsid w:val="0085414A"/>
    <w:rsid w:val="00857EB9"/>
    <w:rsid w:val="0086269D"/>
    <w:rsid w:val="0086543A"/>
    <w:rsid w:val="008724E5"/>
    <w:rsid w:val="008765C9"/>
    <w:rsid w:val="00884A9D"/>
    <w:rsid w:val="0088512B"/>
    <w:rsid w:val="008A2B2D"/>
    <w:rsid w:val="008A48D8"/>
    <w:rsid w:val="008A4E1E"/>
    <w:rsid w:val="008A6458"/>
    <w:rsid w:val="008B4AE8"/>
    <w:rsid w:val="008C296C"/>
    <w:rsid w:val="008C63D4"/>
    <w:rsid w:val="008D4305"/>
    <w:rsid w:val="008E1A85"/>
    <w:rsid w:val="008E2552"/>
    <w:rsid w:val="008E344F"/>
    <w:rsid w:val="009163A7"/>
    <w:rsid w:val="009174E8"/>
    <w:rsid w:val="00937D53"/>
    <w:rsid w:val="00946D0B"/>
    <w:rsid w:val="00955877"/>
    <w:rsid w:val="00962034"/>
    <w:rsid w:val="00994FA4"/>
    <w:rsid w:val="009A18CD"/>
    <w:rsid w:val="009C78EF"/>
    <w:rsid w:val="009D5428"/>
    <w:rsid w:val="009E2F0A"/>
    <w:rsid w:val="00A12558"/>
    <w:rsid w:val="00A13903"/>
    <w:rsid w:val="00A2658B"/>
    <w:rsid w:val="00A26AD4"/>
    <w:rsid w:val="00A34ED5"/>
    <w:rsid w:val="00A37645"/>
    <w:rsid w:val="00A45DBF"/>
    <w:rsid w:val="00A725CF"/>
    <w:rsid w:val="00A755A2"/>
    <w:rsid w:val="00A75782"/>
    <w:rsid w:val="00A904D2"/>
    <w:rsid w:val="00A91430"/>
    <w:rsid w:val="00AA0825"/>
    <w:rsid w:val="00AA590D"/>
    <w:rsid w:val="00AA6660"/>
    <w:rsid w:val="00AB2C36"/>
    <w:rsid w:val="00AB6DDE"/>
    <w:rsid w:val="00AB70B6"/>
    <w:rsid w:val="00AC18C1"/>
    <w:rsid w:val="00AD1A86"/>
    <w:rsid w:val="00AD5C46"/>
    <w:rsid w:val="00AE103E"/>
    <w:rsid w:val="00AF0A07"/>
    <w:rsid w:val="00AF4AEC"/>
    <w:rsid w:val="00AF625E"/>
    <w:rsid w:val="00B123E2"/>
    <w:rsid w:val="00B139BE"/>
    <w:rsid w:val="00B2172B"/>
    <w:rsid w:val="00B25B1E"/>
    <w:rsid w:val="00B34428"/>
    <w:rsid w:val="00B677BB"/>
    <w:rsid w:val="00B917D2"/>
    <w:rsid w:val="00B97EB3"/>
    <w:rsid w:val="00BA0AD3"/>
    <w:rsid w:val="00BA241A"/>
    <w:rsid w:val="00BB04AF"/>
    <w:rsid w:val="00BB6EEC"/>
    <w:rsid w:val="00BD52C9"/>
    <w:rsid w:val="00BE6354"/>
    <w:rsid w:val="00C009A6"/>
    <w:rsid w:val="00C03463"/>
    <w:rsid w:val="00C043E0"/>
    <w:rsid w:val="00C138D1"/>
    <w:rsid w:val="00C2243C"/>
    <w:rsid w:val="00C23A97"/>
    <w:rsid w:val="00C45002"/>
    <w:rsid w:val="00C52EBE"/>
    <w:rsid w:val="00C57591"/>
    <w:rsid w:val="00C5776D"/>
    <w:rsid w:val="00C64855"/>
    <w:rsid w:val="00C70EA7"/>
    <w:rsid w:val="00C7433F"/>
    <w:rsid w:val="00C7516E"/>
    <w:rsid w:val="00C75770"/>
    <w:rsid w:val="00C75C71"/>
    <w:rsid w:val="00C75C9E"/>
    <w:rsid w:val="00C811F7"/>
    <w:rsid w:val="00C96446"/>
    <w:rsid w:val="00C973B6"/>
    <w:rsid w:val="00CA56BB"/>
    <w:rsid w:val="00CB0542"/>
    <w:rsid w:val="00CB6774"/>
    <w:rsid w:val="00CC2DB6"/>
    <w:rsid w:val="00CD0696"/>
    <w:rsid w:val="00CD4AAD"/>
    <w:rsid w:val="00D00B2B"/>
    <w:rsid w:val="00D24877"/>
    <w:rsid w:val="00D63318"/>
    <w:rsid w:val="00D64D9C"/>
    <w:rsid w:val="00D65B31"/>
    <w:rsid w:val="00D7105A"/>
    <w:rsid w:val="00D8250F"/>
    <w:rsid w:val="00D86BB3"/>
    <w:rsid w:val="00D95C4C"/>
    <w:rsid w:val="00DA36ED"/>
    <w:rsid w:val="00DB12A9"/>
    <w:rsid w:val="00DC0943"/>
    <w:rsid w:val="00DC3B17"/>
    <w:rsid w:val="00DC49CB"/>
    <w:rsid w:val="00DC581D"/>
    <w:rsid w:val="00DE17DA"/>
    <w:rsid w:val="00DE2916"/>
    <w:rsid w:val="00DE34F1"/>
    <w:rsid w:val="00DE3C92"/>
    <w:rsid w:val="00DE6160"/>
    <w:rsid w:val="00DF45AE"/>
    <w:rsid w:val="00DF4942"/>
    <w:rsid w:val="00E05BC4"/>
    <w:rsid w:val="00E2125F"/>
    <w:rsid w:val="00E244E1"/>
    <w:rsid w:val="00E4150C"/>
    <w:rsid w:val="00E45854"/>
    <w:rsid w:val="00E50FDD"/>
    <w:rsid w:val="00E61D8C"/>
    <w:rsid w:val="00E627B1"/>
    <w:rsid w:val="00E70169"/>
    <w:rsid w:val="00E9376C"/>
    <w:rsid w:val="00E95AE2"/>
    <w:rsid w:val="00EA335E"/>
    <w:rsid w:val="00EA528C"/>
    <w:rsid w:val="00EA580C"/>
    <w:rsid w:val="00EA62F4"/>
    <w:rsid w:val="00EA6AC9"/>
    <w:rsid w:val="00EB7ED5"/>
    <w:rsid w:val="00EC6F8D"/>
    <w:rsid w:val="00ED39B2"/>
    <w:rsid w:val="00EE49F4"/>
    <w:rsid w:val="00EE693D"/>
    <w:rsid w:val="00EF34E2"/>
    <w:rsid w:val="00F30DC6"/>
    <w:rsid w:val="00F31F96"/>
    <w:rsid w:val="00F32C23"/>
    <w:rsid w:val="00F53DE9"/>
    <w:rsid w:val="00F576CB"/>
    <w:rsid w:val="00F607AE"/>
    <w:rsid w:val="00F7035D"/>
    <w:rsid w:val="00F70CC5"/>
    <w:rsid w:val="00F71A02"/>
    <w:rsid w:val="00FA0BB1"/>
    <w:rsid w:val="00FA0D63"/>
    <w:rsid w:val="00FD1226"/>
    <w:rsid w:val="00FD2743"/>
    <w:rsid w:val="00FD4BC8"/>
    <w:rsid w:val="00FD4D78"/>
    <w:rsid w:val="00FD69C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s-ES"/>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s-ES"/>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uiPriority w:val="99"/>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numbered (a)),Lapis Bulleted List,Dot pt,F5 List Paragraph,No Spacing1,List Paragraph Char Char Char,Indicator Text,Numbered Para 1,Bullet 1,List Paragraph12,Bullet Points,MAIN CONTENT,List Paragraph1,Normal bullet 2"/>
    <w:basedOn w:val="Normal"/>
    <w:link w:val="ListParagraphChar"/>
    <w:uiPriority w:val="34"/>
    <w:qFormat/>
    <w:rsid w:val="004A2875"/>
    <w:pPr>
      <w:ind w:left="720"/>
      <w:contextualSpacing/>
    </w:pPr>
  </w:style>
  <w:style w:type="paragraph" w:styleId="FootnoteText">
    <w:name w:val="footnote text"/>
    <w:basedOn w:val="Normal"/>
    <w:link w:val="FootnoteTextChar"/>
    <w:uiPriority w:val="99"/>
    <w:unhideWhenUsed/>
    <w:rsid w:val="004313C4"/>
    <w:rPr>
      <w:sz w:val="20"/>
      <w:szCs w:val="20"/>
    </w:rPr>
  </w:style>
  <w:style w:type="character" w:customStyle="1" w:styleId="FootnoteTextChar">
    <w:name w:val="Footnote Text Char"/>
    <w:basedOn w:val="DefaultParagraphFont"/>
    <w:link w:val="FootnoteText"/>
    <w:uiPriority w:val="99"/>
    <w:rsid w:val="004313C4"/>
    <w:rPr>
      <w:rFonts w:ascii="Times New Roman" w:eastAsia="Times New Roman" w:hAnsi="Times New Roman"/>
    </w:rPr>
  </w:style>
  <w:style w:type="character" w:styleId="FootnoteReference">
    <w:name w:val="footnote reference"/>
    <w:basedOn w:val="DefaultParagraphFont"/>
    <w:uiPriority w:val="99"/>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rPr>
  </w:style>
  <w:style w:type="paragraph" w:styleId="Revision">
    <w:name w:val="Revision"/>
    <w:hidden/>
    <w:uiPriority w:val="99"/>
    <w:semiHidden/>
    <w:rsid w:val="0003000E"/>
    <w:rPr>
      <w:rFonts w:ascii="Times New Roman" w:eastAsia="Times New Roman" w:hAnsi="Times New Roman"/>
      <w:sz w:val="24"/>
      <w:szCs w:val="24"/>
    </w:rPr>
  </w:style>
  <w:style w:type="character" w:styleId="Hyperlink">
    <w:name w:val="Hyperlink"/>
    <w:basedOn w:val="DefaultParagraphFont"/>
    <w:uiPriority w:val="99"/>
    <w:unhideWhenUsed/>
    <w:rsid w:val="00DC581D"/>
    <w:rPr>
      <w:color w:val="0000FF" w:themeColor="hyperlink"/>
      <w:u w:val="single"/>
    </w:rPr>
  </w:style>
  <w:style w:type="character" w:customStyle="1" w:styleId="ui-provider">
    <w:name w:val="ui-provider"/>
    <w:basedOn w:val="DefaultParagraphFont"/>
    <w:rsid w:val="00DC581D"/>
  </w:style>
  <w:style w:type="table" w:customStyle="1" w:styleId="TableGrid2">
    <w:name w:val="Table Grid2"/>
    <w:basedOn w:val="TableNormal"/>
    <w:next w:val="TableGrid"/>
    <w:uiPriority w:val="59"/>
    <w:rsid w:val="00DC581D"/>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basedOn w:val="DefaultParagraphFont"/>
    <w:link w:val="ListParagraph"/>
    <w:uiPriority w:val="34"/>
    <w:qFormat/>
    <w:locked/>
    <w:rsid w:val="00DC581D"/>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37645"/>
    <w:rPr>
      <w:color w:val="800080" w:themeColor="followedHyperlink"/>
      <w:u w:val="single"/>
    </w:rPr>
  </w:style>
  <w:style w:type="character" w:styleId="UnresolvedMention">
    <w:name w:val="Unresolved Mention"/>
    <w:basedOn w:val="DefaultParagraphFont"/>
    <w:uiPriority w:val="99"/>
    <w:semiHidden/>
    <w:unhideWhenUsed/>
    <w:rsid w:val="003D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s/calendario-de-reuniones-estatutarias-en-2025-01381" TargetMode="External"/><Relationship Id="rId18" Type="http://schemas.openxmlformats.org/officeDocument/2006/relationships/hyperlink" Target="https://ich.unesco.org/en/decisions/19.COM/15" TargetMode="External"/><Relationship Id="rId26" Type="http://schemas.openxmlformats.org/officeDocument/2006/relationships/hyperlink" Target="https://ich.unesco.org/doc/src/LHE-25-20.COM-8_EN.docx?v=1764184365" TargetMode="External"/><Relationship Id="rId39" Type="http://schemas.openxmlformats.org/officeDocument/2006/relationships/hyperlink" Target="https://ich.unesco.org/doc/src/LHE-25-20.COM-INF.13.2_EN.docx?v=1764354075" TargetMode="External"/><Relationship Id="rId21" Type="http://schemas.openxmlformats.org/officeDocument/2006/relationships/hyperlink" Target="https://ich.unesco.org/en/decisions/20.COM/8" TargetMode="External"/><Relationship Id="rId34" Type="http://schemas.openxmlformats.org/officeDocument/2006/relationships/hyperlink" Target="https://ich.unesco.org/doc/src/LHE-25-20.COM-INF.13.1_EN.docx?v=1764354790" TargetMode="External"/><Relationship Id="rId42" Type="http://schemas.openxmlformats.org/officeDocument/2006/relationships/hyperlink" Target="https://ich.unesco.org/en/learning-platform-01397" TargetMode="External"/><Relationship Id="rId47" Type="http://schemas.openxmlformats.org/officeDocument/2006/relationships/hyperlink" Target="https://ich.unesco.org/doc/src/LHE-25-20.COM-12_EN.docx?v=1762807751" TargetMode="External"/><Relationship Id="rId50" Type="http://schemas.openxmlformats.org/officeDocument/2006/relationships/hyperlink" Target="https://ich.unesco.org/en/Decisions/14.COM/15" TargetMode="External"/><Relationship Id="rId55" Type="http://schemas.openxmlformats.org/officeDocument/2006/relationships/hyperlink" Target="https://www.unesco.org/sites/default/files/medias/fichiers/2022/10/6.MONDIACULT_ES_DRAFT%20FINAL%20DECLARATION.pdf?hub=758" TargetMode="External"/><Relationship Id="rId63" Type="http://schemas.openxmlformats.org/officeDocument/2006/relationships/header" Target="header1.xml"/><Relationship Id="rId68" Type="http://schemas.openxmlformats.org/officeDocument/2006/relationships/hyperlink" Target="https://ich.unesco.org/en/decisions/20.COM/13"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edx.org/course/living-heritage-and-sustainable-development" TargetMode="External"/><Relationship Id="rId2" Type="http://schemas.openxmlformats.org/officeDocument/2006/relationships/numbering" Target="numbering.xml"/><Relationship Id="rId16" Type="http://schemas.openxmlformats.org/officeDocument/2006/relationships/hyperlink" Target="https://ich.unesco.org/doc/src/LHE-26-11.GA-9_ES.docx" TargetMode="External"/><Relationship Id="rId29" Type="http://schemas.openxmlformats.org/officeDocument/2006/relationships/hyperlink" Target="https://ich.unesco.org/en/decisions/20.COM/6.C" TargetMode="External"/><Relationship Id="rId11" Type="http://schemas.openxmlformats.org/officeDocument/2006/relationships/hyperlink" Target="https://ich.unesco.org/doc/src/LHE-26-11.GA-INF.8_EN.docx" TargetMode="External"/><Relationship Id="rId24" Type="http://schemas.openxmlformats.org/officeDocument/2006/relationships/hyperlink" Target="https://ich.unesco.org/doc/src/LHE-25-20.COM-11_EN.docx?v=1762798796" TargetMode="External"/><Relationship Id="rId32" Type="http://schemas.openxmlformats.org/officeDocument/2006/relationships/hyperlink" Target="https://ich.unesco.org/doc/src/LHE-26-11.GA-8_ES.docx" TargetMode="External"/><Relationship Id="rId37" Type="http://schemas.openxmlformats.org/officeDocument/2006/relationships/hyperlink" Target="https://ich.unesco.org/en/events/preparing-nominations-to-the-lists-and-register-of-the-convention-updated-training-materials-following-the-global-reflection-on-the-listing-mechanisms-2018-2022-01036" TargetMode="External"/><Relationship Id="rId40" Type="http://schemas.openxmlformats.org/officeDocument/2006/relationships/hyperlink" Target="https://www.unesco.org/sites/default/files/medias/fichiers/2024/02/WCCAE_UNESCO%20Framework_EN_0.pdf" TargetMode="External"/><Relationship Id="rId45" Type="http://schemas.openxmlformats.org/officeDocument/2006/relationships/hyperlink" Target="https://ich.unesco.org/doc/src/68292-EN.pdf?v=1761922256" TargetMode="External"/><Relationship Id="rId53" Type="http://schemas.openxmlformats.org/officeDocument/2006/relationships/hyperlink" Target="https://ich.unesco.org/en/decisions/20.COM/13" TargetMode="External"/><Relationship Id="rId58" Type="http://schemas.openxmlformats.org/officeDocument/2006/relationships/hyperlink" Target="https://unesdoc.unesco.org/ark:/48223/pf0000395709" TargetMode="External"/><Relationship Id="rId66" Type="http://schemas.openxmlformats.org/officeDocument/2006/relationships/hyperlink" Target="https://ich.unesco.org/en/events/training-programme-for-the-global-facilitators-network-information-webinar-01031" TargetMode="External"/><Relationship Id="rId7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ich.unesco.org/doc/src/LHE-26-11.GA-5_ES.docx" TargetMode="External"/><Relationship Id="rId23" Type="http://schemas.openxmlformats.org/officeDocument/2006/relationships/hyperlink" Target="https://ich.unesco.org/en/sharing-good-safeguarding-experiences" TargetMode="External"/><Relationship Id="rId28" Type="http://schemas.openxmlformats.org/officeDocument/2006/relationships/hyperlink" Target="https://ich.unesco.org/en/projects/capacity-building-for-safeguarding-intangible-cultural-heritage-in-emergencies-in-small-island-developing-states-sids-in-the-pacific-and-the-caribbean-00478" TargetMode="External"/><Relationship Id="rId36" Type="http://schemas.openxmlformats.org/officeDocument/2006/relationships/hyperlink" Target="https://ich.unesco.org/en/events/training-of-trainers-on-living-heritage-and-disaster-risk-reduction-01032" TargetMode="External"/><Relationship Id="rId49" Type="http://schemas.openxmlformats.org/officeDocument/2006/relationships/hyperlink" Target="https://ich.unesco.org/en/decisions/20.COM/13" TargetMode="External"/><Relationship Id="rId57" Type="http://schemas.openxmlformats.org/officeDocument/2006/relationships/hyperlink" Target="https://unesdoc.unesco.org/ark:/48223/pf0000392982_spa" TargetMode="External"/><Relationship Id="rId61" Type="http://schemas.openxmlformats.org/officeDocument/2006/relationships/hyperlink" Target="https://ich.unesco.org/en/decisions/20.COM/6.C" TargetMode="External"/><Relationship Id="rId10" Type="http://schemas.openxmlformats.org/officeDocument/2006/relationships/hyperlink" Target="https://ich.unesco.org/doc/src/LHE-21-16.COM-INF.10_Rev.-EN.pdf" TargetMode="External"/><Relationship Id="rId19" Type="http://schemas.openxmlformats.org/officeDocument/2006/relationships/hyperlink" Target="https://ich.unesco.org/doc/src/LHE-25-20.COM-8_EN.docx?v=1764184365" TargetMode="External"/><Relationship Id="rId31" Type="http://schemas.openxmlformats.org/officeDocument/2006/relationships/hyperlink" Target="https://ich.unesco.org/en/Decisions/17.COM/11" TargetMode="External"/><Relationship Id="rId44" Type="http://schemas.openxmlformats.org/officeDocument/2006/relationships/hyperlink" Target="https://ich.unesco.org/doc/src/68297-EN.pdf?v=1761922360" TargetMode="External"/><Relationship Id="rId52" Type="http://schemas.openxmlformats.org/officeDocument/2006/relationships/hyperlink" Target="https://ich.unesco.org/en/international-day-intangible-cultural-heritage" TargetMode="External"/><Relationship Id="rId60" Type="http://schemas.openxmlformats.org/officeDocument/2006/relationships/hyperlink" Target="https://ich.unesco.org/en/decisions/19.COM/15" TargetMode="External"/><Relationship Id="rId65" Type="http://schemas.openxmlformats.org/officeDocument/2006/relationships/header" Target="header3.xml"/><Relationship Id="rId73"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unesdoc.unesco.org/ark:/48223/pf0000397572_spa" TargetMode="External"/><Relationship Id="rId14" Type="http://schemas.openxmlformats.org/officeDocument/2006/relationships/hyperlink" Target="https://ich.unesco.org/doc/src/LHE-24-10.GA-Resolutions_SP.docx?v=1721290553" TargetMode="External"/><Relationship Id="rId22" Type="http://schemas.openxmlformats.org/officeDocument/2006/relationships/hyperlink" Target="https://ich.unesco.org/doc/src/LHE-26-11.GA-7_ES.docx" TargetMode="External"/><Relationship Id="rId27" Type="http://schemas.openxmlformats.org/officeDocument/2006/relationships/hyperlink" Target="https://ich.unesco.org/doc/src/LHE-20-8.GA-Resolutions-ES.docx?v=1600965916" TargetMode="External"/><Relationship Id="rId30" Type="http://schemas.openxmlformats.org/officeDocument/2006/relationships/hyperlink" Target="https://ich.unesco.org/doc/src/LHE-26-11.GA-7_ES.docx" TargetMode="External"/><Relationship Id="rId35" Type="http://schemas.openxmlformats.org/officeDocument/2006/relationships/hyperlink" Target="https://capacity-building.ich.unesco.org/local/coursecatalogue/index.php?lang=es" TargetMode="External"/><Relationship Id="rId43" Type="http://schemas.openxmlformats.org/officeDocument/2006/relationships/hyperlink" Target="https://ich.unesco.org/en/guidance-notes-01383" TargetMode="External"/><Relationship Id="rId48" Type="http://schemas.openxmlformats.org/officeDocument/2006/relationships/hyperlink" Target="https://ich.unesco.org/en/decisions/20.COM/12" TargetMode="External"/><Relationship Id="rId56" Type="http://schemas.openxmlformats.org/officeDocument/2006/relationships/hyperlink" Target="https://www.unesco.org/sites/default/files/medias/fichiers/2025/09/ES%20MONDIACULT%20Documento%20Final%2027.09.25.pdf?hub=171169" TargetMode="External"/><Relationship Id="rId64" Type="http://schemas.openxmlformats.org/officeDocument/2006/relationships/header" Target="header2.xml"/><Relationship Id="rId69" Type="http://schemas.openxmlformats.org/officeDocument/2006/relationships/hyperlink" Target="https://ich.unesco.org/en/committee-documents-and-in-depth-studies-00862" TargetMode="External"/><Relationship Id="rId8" Type="http://schemas.openxmlformats.org/officeDocument/2006/relationships/hyperlink" Target="https://ich.unesco.org/doc/src/LHE-24-10.GA-Resolutions_SP.docx?v=1721290553" TargetMode="External"/><Relationship Id="rId51" Type="http://schemas.openxmlformats.org/officeDocument/2006/relationships/hyperlink" Target="https://ich.unesco.org/en/accredited-ngos"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ich.unesco.org/es/calendario-de-reuniones-estatutorias-en-2024-01334" TargetMode="External"/><Relationship Id="rId17" Type="http://schemas.openxmlformats.org/officeDocument/2006/relationships/hyperlink" Target="https://ich.unesco.org/en/decisions/17.COM/15" TargetMode="External"/><Relationship Id="rId25" Type="http://schemas.openxmlformats.org/officeDocument/2006/relationships/hyperlink" Target="https://ich.unesco.org/doc/src/LHE-24-10.GA-Resolutions_SP.docx?v=1721290553" TargetMode="External"/><Relationship Id="rId33" Type="http://schemas.openxmlformats.org/officeDocument/2006/relationships/hyperlink" Target="https://ich.unesco.org/doc/src/LHE-26-11.GA-INF.8_EN.docx" TargetMode="External"/><Relationship Id="rId38" Type="http://schemas.openxmlformats.org/officeDocument/2006/relationships/hyperlink" Target="https://ich.unesco.org/en/events/living-heritage-and-education-training-programme-for-the-global-facilitators-network-01038" TargetMode="External"/><Relationship Id="rId46" Type="http://schemas.openxmlformats.org/officeDocument/2006/relationships/hyperlink" Target="https://ich.unesco.org/doc/src/72796-EN.pdf?v=1769168252" TargetMode="External"/><Relationship Id="rId59" Type="http://schemas.openxmlformats.org/officeDocument/2006/relationships/hyperlink" Target="https://ich.unesco.org/doc/src/LHE-24-10.GA-Resolutions_SP.docx?v=1721290553" TargetMode="External"/><Relationship Id="rId67" Type="http://schemas.openxmlformats.org/officeDocument/2006/relationships/hyperlink" Target="https://ich.unesco.org/doc/src/LHE-21-16.COM-INF.10_Rev.-EN.pdf" TargetMode="External"/><Relationship Id="rId20" Type="http://schemas.openxmlformats.org/officeDocument/2006/relationships/hyperlink" Target="https://ich.unesco.org/doc/src/LHE-25-20.COM-8_EN.docx?v=1764184365" TargetMode="External"/><Relationship Id="rId41" Type="http://schemas.openxmlformats.org/officeDocument/2006/relationships/hyperlink" Target="https://ich.unesco.org/es/recursos-educacion" TargetMode="External"/><Relationship Id="rId54" Type="http://schemas.openxmlformats.org/officeDocument/2006/relationships/hyperlink" Target="https://ich.unesco.org/en/seoul-vision-01330" TargetMode="External"/><Relationship Id="rId62" Type="http://schemas.openxmlformats.org/officeDocument/2006/relationships/hyperlink" Target="https://unesdoc.unesco.org/ark:/48223/pf0000398080_spa" TargetMode="External"/><Relationship Id="rId70" Type="http://schemas.openxmlformats.org/officeDocument/2006/relationships/hyperlink" Target="https://ich.unesco.org/en/decisions/17.COM/11"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decisions/16.COM/10" TargetMode="External"/><Relationship Id="rId2" Type="http://schemas.openxmlformats.org/officeDocument/2006/relationships/hyperlink" Target="https://ich.unesco.org/doc/src/LHE-21-16.COM-INF.10_Rev.-EN.pdf" TargetMode="External"/><Relationship Id="rId1" Type="http://schemas.openxmlformats.org/officeDocument/2006/relationships/hyperlink" Target="https://ich.unesco.org/doc/src/LHE-21-16.COM-10_Rev.-EN.docx" TargetMode="External"/><Relationship Id="rId5" Type="http://schemas.openxmlformats.org/officeDocument/2006/relationships/hyperlink" Target="https://ich.unesco.org/doc/src/LHE-21-16.COM-INF.10_Rev.-EN.pdf" TargetMode="External"/><Relationship Id="rId4" Type="http://schemas.openxmlformats.org/officeDocument/2006/relationships/hyperlink" Target="https://ich.unesco.org/doc/src/LHE-21-16.COM-10_Rev.-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8100</Words>
  <Characters>44551</Characters>
  <Application>Microsoft Office Word</Application>
  <DocSecurity>0</DocSecurity>
  <Lines>371</Lines>
  <Paragraphs>105</Paragraphs>
  <ScaleCrop>false</ScaleCrop>
  <Company/>
  <LinksUpToDate>false</LinksUpToDate>
  <CharactersWithSpaces>52546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2026-05-18T20:34:00Z</dcterms:created>
  <dcterms:modified xsi:type="dcterms:W3CDTF">2026-05-18T21:14:00Z</dcterms:modified>
</cp:coreProperties>
</file>