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0F2BF8" w:rsidRDefault="00EC6F8D" w:rsidP="0072052C">
      <w:pPr>
        <w:spacing w:before="1440"/>
        <w:jc w:val="center"/>
        <w:rPr>
          <w:rFonts w:ascii="Arial" w:hAnsi="Arial" w:cs="Arial"/>
          <w:b/>
          <w:sz w:val="22"/>
          <w:szCs w:val="22"/>
          <w:lang w:val="en-GB"/>
        </w:rPr>
      </w:pPr>
      <w:r w:rsidRPr="000F2BF8">
        <w:rPr>
          <w:rFonts w:ascii="Arial" w:hAnsi="Arial" w:cs="Arial"/>
          <w:b/>
          <w:sz w:val="22"/>
          <w:szCs w:val="22"/>
          <w:lang w:val="en-GB"/>
        </w:rPr>
        <w:t>CONVENTION FOR THE SAFEGUARDING OF THE</w:t>
      </w:r>
      <w:r w:rsidRPr="000F2BF8">
        <w:rPr>
          <w:rFonts w:ascii="Arial" w:hAnsi="Arial" w:cs="Arial"/>
          <w:b/>
          <w:sz w:val="22"/>
          <w:szCs w:val="22"/>
          <w:lang w:val="en-GB"/>
        </w:rPr>
        <w:br/>
        <w:t>INTANGIBLE CULTURAL HERITAGE</w:t>
      </w:r>
    </w:p>
    <w:p w14:paraId="3F72B1D3" w14:textId="37133200" w:rsidR="00EC6F8D" w:rsidRPr="000F2BF8" w:rsidRDefault="005C792B" w:rsidP="0072052C">
      <w:pPr>
        <w:spacing w:before="1200"/>
        <w:jc w:val="center"/>
        <w:rPr>
          <w:rFonts w:ascii="Arial" w:hAnsi="Arial" w:cs="Arial"/>
          <w:b/>
          <w:sz w:val="22"/>
          <w:szCs w:val="22"/>
          <w:lang w:val="en-GB"/>
        </w:rPr>
      </w:pPr>
      <w:r w:rsidRPr="000F2BF8">
        <w:rPr>
          <w:rFonts w:ascii="Arial" w:hAnsi="Arial" w:cs="Arial"/>
          <w:b/>
          <w:sz w:val="22"/>
          <w:szCs w:val="22"/>
          <w:lang w:val="en-GB"/>
        </w:rPr>
        <w:t>GENERAL ASSEMBLY OF THE STATES PARTIES TO THE CONVENTION</w:t>
      </w:r>
    </w:p>
    <w:p w14:paraId="2E1CD4B4" w14:textId="762C97E8" w:rsidR="00EC6F8D" w:rsidRPr="000F2BF8" w:rsidRDefault="0026085B" w:rsidP="0072052C">
      <w:pPr>
        <w:spacing w:before="840"/>
        <w:jc w:val="center"/>
        <w:rPr>
          <w:rFonts w:ascii="Arial" w:hAnsi="Arial" w:cs="Arial"/>
          <w:b/>
          <w:sz w:val="22"/>
          <w:szCs w:val="22"/>
          <w:lang w:val="en-GB"/>
        </w:rPr>
      </w:pPr>
      <w:r w:rsidRPr="000F2BF8">
        <w:rPr>
          <w:rFonts w:ascii="Arial" w:eastAsiaTheme="minorEastAsia" w:hAnsi="Arial" w:cs="Arial"/>
          <w:b/>
          <w:sz w:val="22"/>
          <w:szCs w:val="22"/>
          <w:lang w:val="en-GB" w:eastAsia="ko-KR"/>
        </w:rPr>
        <w:t>Eleventh</w:t>
      </w:r>
      <w:r w:rsidR="00B2172B" w:rsidRPr="000F2BF8">
        <w:rPr>
          <w:rFonts w:ascii="Arial" w:eastAsiaTheme="minorEastAsia" w:hAnsi="Arial" w:cs="Arial"/>
          <w:b/>
          <w:sz w:val="22"/>
          <w:szCs w:val="22"/>
          <w:lang w:val="en-GB" w:eastAsia="ko-KR"/>
        </w:rPr>
        <w:t xml:space="preserve"> </w:t>
      </w:r>
      <w:r w:rsidR="00EC6F8D" w:rsidRPr="000F2BF8">
        <w:rPr>
          <w:rFonts w:ascii="Arial" w:hAnsi="Arial" w:cs="Arial"/>
          <w:b/>
          <w:sz w:val="22"/>
          <w:szCs w:val="22"/>
          <w:lang w:val="en-GB"/>
        </w:rPr>
        <w:t>session</w:t>
      </w:r>
    </w:p>
    <w:p w14:paraId="1FD89575" w14:textId="05D2C62D" w:rsidR="00B2172B" w:rsidRPr="000F2BF8" w:rsidRDefault="005C792B" w:rsidP="0072052C">
      <w:pPr>
        <w:jc w:val="center"/>
        <w:rPr>
          <w:rFonts w:ascii="Arial" w:hAnsi="Arial" w:cs="Arial"/>
          <w:b/>
          <w:sz w:val="22"/>
          <w:szCs w:val="22"/>
          <w:lang w:val="en-GB"/>
        </w:rPr>
      </w:pPr>
      <w:r w:rsidRPr="000F2BF8">
        <w:rPr>
          <w:rFonts w:ascii="Arial" w:hAnsi="Arial" w:cs="Arial"/>
          <w:b/>
          <w:sz w:val="22"/>
          <w:szCs w:val="22"/>
          <w:lang w:val="en-GB"/>
        </w:rPr>
        <w:t>UNESCO Headquarters, Room I</w:t>
      </w:r>
    </w:p>
    <w:p w14:paraId="52EA6D50" w14:textId="46BCF87A" w:rsidR="00B2172B" w:rsidRPr="000F2BF8" w:rsidRDefault="00544C93" w:rsidP="0072052C">
      <w:pPr>
        <w:jc w:val="center"/>
        <w:rPr>
          <w:rFonts w:ascii="Arial" w:hAnsi="Arial" w:cs="Arial"/>
          <w:b/>
          <w:sz w:val="22"/>
          <w:szCs w:val="22"/>
          <w:lang w:val="en-GB"/>
        </w:rPr>
      </w:pPr>
      <w:r w:rsidRPr="000F2BF8">
        <w:rPr>
          <w:rFonts w:ascii="Arial" w:hAnsi="Arial" w:cs="Arial"/>
          <w:b/>
          <w:sz w:val="22"/>
          <w:szCs w:val="22"/>
          <w:lang w:val="en-GB"/>
        </w:rPr>
        <w:t>17</w:t>
      </w:r>
      <w:r w:rsidR="0026221A" w:rsidRPr="000F2BF8">
        <w:rPr>
          <w:rFonts w:ascii="Arial" w:hAnsi="Arial" w:cs="Arial"/>
          <w:b/>
          <w:sz w:val="22"/>
          <w:szCs w:val="22"/>
          <w:lang w:val="en-GB"/>
        </w:rPr>
        <w:t xml:space="preserve"> to </w:t>
      </w:r>
      <w:r w:rsidRPr="000F2BF8">
        <w:rPr>
          <w:rFonts w:ascii="Arial" w:hAnsi="Arial" w:cs="Arial"/>
          <w:b/>
          <w:sz w:val="22"/>
          <w:szCs w:val="22"/>
          <w:lang w:val="en-GB"/>
        </w:rPr>
        <w:t>18</w:t>
      </w:r>
      <w:r w:rsidR="0054535F" w:rsidRPr="000F2BF8">
        <w:rPr>
          <w:rFonts w:ascii="Arial" w:hAnsi="Arial" w:cs="Arial"/>
          <w:b/>
          <w:sz w:val="22"/>
          <w:szCs w:val="22"/>
          <w:lang w:val="en-GB"/>
        </w:rPr>
        <w:t xml:space="preserve"> June</w:t>
      </w:r>
      <w:r w:rsidR="00B2172B" w:rsidRPr="000F2BF8">
        <w:rPr>
          <w:rFonts w:ascii="Arial" w:hAnsi="Arial" w:cs="Arial"/>
          <w:b/>
          <w:sz w:val="22"/>
          <w:szCs w:val="22"/>
          <w:lang w:val="en-GB"/>
        </w:rPr>
        <w:t xml:space="preserve"> 202</w:t>
      </w:r>
      <w:r w:rsidR="0026085B" w:rsidRPr="000F2BF8">
        <w:rPr>
          <w:rFonts w:ascii="Arial" w:hAnsi="Arial" w:cs="Arial"/>
          <w:b/>
          <w:sz w:val="22"/>
          <w:szCs w:val="22"/>
          <w:lang w:val="en-GB"/>
        </w:rPr>
        <w:t>6</w:t>
      </w:r>
    </w:p>
    <w:p w14:paraId="0365203A" w14:textId="5392815A" w:rsidR="00EC6F8D" w:rsidRPr="000F2BF8" w:rsidRDefault="00EC6F8D" w:rsidP="0072052C">
      <w:pPr>
        <w:pStyle w:val="Sansinterligne2"/>
        <w:spacing w:before="1200"/>
        <w:jc w:val="center"/>
        <w:rPr>
          <w:rFonts w:ascii="Arial" w:hAnsi="Arial" w:cs="Arial"/>
          <w:b/>
          <w:sz w:val="22"/>
          <w:szCs w:val="22"/>
          <w:lang w:val="en-GB"/>
        </w:rPr>
      </w:pPr>
      <w:r w:rsidRPr="000F2BF8">
        <w:rPr>
          <w:rFonts w:ascii="Arial" w:hAnsi="Arial" w:cs="Arial"/>
          <w:b/>
          <w:sz w:val="22"/>
          <w:szCs w:val="22"/>
          <w:u w:val="single"/>
          <w:lang w:val="en-GB"/>
        </w:rPr>
        <w:t xml:space="preserve">Item </w:t>
      </w:r>
      <w:r w:rsidR="00AB5A60" w:rsidRPr="000F2BF8">
        <w:rPr>
          <w:rFonts w:ascii="Arial" w:hAnsi="Arial" w:cs="Arial"/>
          <w:b/>
          <w:sz w:val="22"/>
          <w:szCs w:val="22"/>
          <w:u w:val="single"/>
          <w:lang w:val="en-GB"/>
        </w:rPr>
        <w:t>6</w:t>
      </w:r>
      <w:r w:rsidR="00651A5B" w:rsidRPr="000F2BF8">
        <w:rPr>
          <w:rFonts w:ascii="Arial" w:hAnsi="Arial" w:cs="Arial"/>
          <w:b/>
          <w:sz w:val="22"/>
          <w:szCs w:val="22"/>
          <w:u w:val="single"/>
          <w:lang w:val="en-GB"/>
        </w:rPr>
        <w:t xml:space="preserve"> </w:t>
      </w:r>
      <w:r w:rsidRPr="000F2BF8">
        <w:rPr>
          <w:rFonts w:ascii="Arial" w:hAnsi="Arial" w:cs="Arial"/>
          <w:b/>
          <w:sz w:val="22"/>
          <w:szCs w:val="22"/>
          <w:u w:val="single"/>
          <w:lang w:val="en-GB"/>
        </w:rPr>
        <w:t xml:space="preserve">of the </w:t>
      </w:r>
      <w:r w:rsidR="00937D53" w:rsidRPr="000F2BF8">
        <w:rPr>
          <w:rFonts w:ascii="Arial" w:hAnsi="Arial" w:cs="Arial"/>
          <w:b/>
          <w:sz w:val="22"/>
          <w:szCs w:val="22"/>
          <w:u w:val="single"/>
          <w:lang w:val="en-GB"/>
        </w:rPr>
        <w:t>p</w:t>
      </w:r>
      <w:r w:rsidRPr="000F2BF8">
        <w:rPr>
          <w:rFonts w:ascii="Arial" w:hAnsi="Arial" w:cs="Arial"/>
          <w:b/>
          <w:sz w:val="22"/>
          <w:szCs w:val="22"/>
          <w:u w:val="single"/>
          <w:lang w:val="en-GB"/>
        </w:rPr>
        <w:t xml:space="preserve">rovisional </w:t>
      </w:r>
      <w:r w:rsidR="00937D53" w:rsidRPr="000F2BF8">
        <w:rPr>
          <w:rFonts w:ascii="Arial" w:hAnsi="Arial" w:cs="Arial"/>
          <w:b/>
          <w:sz w:val="22"/>
          <w:szCs w:val="22"/>
          <w:u w:val="single"/>
          <w:lang w:val="en-GB"/>
        </w:rPr>
        <w:t>a</w:t>
      </w:r>
      <w:r w:rsidRPr="000F2BF8">
        <w:rPr>
          <w:rFonts w:ascii="Arial" w:hAnsi="Arial" w:cs="Arial"/>
          <w:b/>
          <w:sz w:val="22"/>
          <w:szCs w:val="22"/>
          <w:u w:val="single"/>
          <w:lang w:val="en-GB"/>
        </w:rPr>
        <w:t>genda</w:t>
      </w:r>
      <w:r w:rsidRPr="000F2BF8">
        <w:rPr>
          <w:rFonts w:ascii="Arial" w:hAnsi="Arial" w:cs="Arial"/>
          <w:b/>
          <w:sz w:val="22"/>
          <w:szCs w:val="22"/>
          <w:lang w:val="en-GB"/>
        </w:rPr>
        <w:t>:</w:t>
      </w:r>
    </w:p>
    <w:p w14:paraId="59920478" w14:textId="12F79667" w:rsidR="004A2875" w:rsidRPr="000F2BF8" w:rsidRDefault="00AB5A60" w:rsidP="0072052C">
      <w:pPr>
        <w:pStyle w:val="Sansinterligne2"/>
        <w:spacing w:after="960"/>
        <w:jc w:val="center"/>
        <w:rPr>
          <w:rFonts w:ascii="Arial" w:hAnsi="Arial" w:cs="Arial"/>
          <w:bCs/>
          <w:sz w:val="22"/>
          <w:szCs w:val="22"/>
          <w:lang w:val="en-GB"/>
        </w:rPr>
      </w:pPr>
      <w:r w:rsidRPr="000F2BF8">
        <w:rPr>
          <w:rFonts w:ascii="Arial" w:hAnsi="Arial" w:cs="Arial"/>
          <w:b/>
          <w:sz w:val="22"/>
          <w:szCs w:val="22"/>
          <w:lang w:val="en-GB"/>
        </w:rPr>
        <w:t>Report by the Secretariat on its activities (January 2024 to December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F2BF8" w14:paraId="75AC6221" w14:textId="77777777" w:rsidTr="00EC6F8D">
        <w:trPr>
          <w:jc w:val="center"/>
        </w:trPr>
        <w:tc>
          <w:tcPr>
            <w:tcW w:w="5670" w:type="dxa"/>
            <w:vAlign w:val="center"/>
          </w:tcPr>
          <w:p w14:paraId="51C260A9" w14:textId="77777777" w:rsidR="00EC6F8D" w:rsidRPr="000F2BF8" w:rsidRDefault="00EC6F8D" w:rsidP="0072052C">
            <w:pPr>
              <w:pStyle w:val="Sansinterligne1"/>
              <w:spacing w:before="200" w:after="200"/>
              <w:jc w:val="center"/>
              <w:rPr>
                <w:rFonts w:ascii="Arial" w:hAnsi="Arial" w:cs="Arial"/>
                <w:b/>
                <w:sz w:val="22"/>
                <w:szCs w:val="22"/>
                <w:lang w:val="en-GB"/>
              </w:rPr>
            </w:pPr>
            <w:r w:rsidRPr="000F2BF8">
              <w:rPr>
                <w:rFonts w:ascii="Arial" w:hAnsi="Arial" w:cs="Arial"/>
                <w:b/>
                <w:sz w:val="22"/>
                <w:szCs w:val="22"/>
                <w:lang w:val="en-GB"/>
              </w:rPr>
              <w:t>Summary</w:t>
            </w:r>
          </w:p>
          <w:p w14:paraId="612E5DE6" w14:textId="6FF445E3" w:rsidR="00BB6EEC" w:rsidRPr="000F2BF8" w:rsidRDefault="00CB0D44" w:rsidP="0072052C">
            <w:pPr>
              <w:pStyle w:val="Sansinterligne1"/>
              <w:jc w:val="both"/>
              <w:rPr>
                <w:rFonts w:ascii="Arial" w:hAnsi="Arial" w:cs="Arial"/>
                <w:bCs/>
                <w:sz w:val="22"/>
                <w:szCs w:val="22"/>
                <w:lang w:val="en-GB"/>
              </w:rPr>
            </w:pPr>
            <w:r w:rsidRPr="000F2BF8">
              <w:rPr>
                <w:rFonts w:ascii="Arial" w:hAnsi="Arial" w:cs="Arial"/>
                <w:sz w:val="22"/>
                <w:szCs w:val="22"/>
                <w:lang w:val="en-GB"/>
              </w:rPr>
              <w:t>This document provides an overview of the activities undertaken by the Secretariat of the 2003 Convention from 1 January 2024 to 31 December 2025.</w:t>
            </w:r>
          </w:p>
          <w:p w14:paraId="290310E8" w14:textId="1084D941" w:rsidR="00EC6F8D" w:rsidRPr="000F2BF8" w:rsidRDefault="00EC6F8D" w:rsidP="0072052C">
            <w:pPr>
              <w:pStyle w:val="Sansinterligne2"/>
              <w:spacing w:before="200" w:after="200"/>
              <w:jc w:val="both"/>
              <w:rPr>
                <w:rFonts w:ascii="Arial" w:hAnsi="Arial" w:cs="Arial"/>
                <w:b/>
                <w:sz w:val="22"/>
                <w:szCs w:val="22"/>
                <w:lang w:val="en-GB"/>
              </w:rPr>
            </w:pPr>
            <w:r w:rsidRPr="000F2BF8">
              <w:rPr>
                <w:rFonts w:ascii="Arial" w:hAnsi="Arial" w:cs="Arial"/>
                <w:b/>
                <w:sz w:val="22"/>
                <w:szCs w:val="22"/>
                <w:lang w:val="en-GB"/>
              </w:rPr>
              <w:t xml:space="preserve">Decision required: </w:t>
            </w:r>
            <w:r w:rsidRPr="000F2BF8">
              <w:rPr>
                <w:rFonts w:ascii="Arial" w:hAnsi="Arial" w:cs="Arial"/>
                <w:bCs/>
                <w:sz w:val="22"/>
                <w:szCs w:val="22"/>
                <w:lang w:val="en-GB"/>
              </w:rPr>
              <w:t xml:space="preserve">paragraph </w:t>
            </w:r>
            <w:r w:rsidR="006F1835" w:rsidRPr="000F2BF8">
              <w:rPr>
                <w:rFonts w:ascii="Arial" w:hAnsi="Arial" w:cs="Arial"/>
                <w:bCs/>
                <w:sz w:val="22"/>
                <w:szCs w:val="22"/>
                <w:lang w:val="en-GB"/>
              </w:rPr>
              <w:t>20</w:t>
            </w:r>
          </w:p>
        </w:tc>
      </w:tr>
    </w:tbl>
    <w:p w14:paraId="713D819F" w14:textId="77777777" w:rsidR="004A2875" w:rsidRPr="000F2BF8" w:rsidRDefault="00655736" w:rsidP="0072052C">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0F2BF8">
        <w:rPr>
          <w:rFonts w:ascii="Arial" w:hAnsi="Arial" w:cs="Arial"/>
          <w:lang w:val="en-GB"/>
        </w:rPr>
        <w:br w:type="page"/>
      </w:r>
    </w:p>
    <w:p w14:paraId="6C62585F" w14:textId="1FBD00B9" w:rsidR="00F70CC5" w:rsidRPr="000F2BF8" w:rsidRDefault="00FD4BC8" w:rsidP="0072052C">
      <w:pPr>
        <w:pStyle w:val="COMPara"/>
        <w:numPr>
          <w:ilvl w:val="0"/>
          <w:numId w:val="0"/>
        </w:numPr>
        <w:spacing w:before="240"/>
        <w:jc w:val="both"/>
        <w:rPr>
          <w:b/>
          <w:bCs/>
        </w:rPr>
      </w:pPr>
      <w:bookmarkStart w:id="0" w:name="_Hlk124351255"/>
      <w:r w:rsidRPr="000F2BF8">
        <w:rPr>
          <w:b/>
          <w:bCs/>
        </w:rPr>
        <w:lastRenderedPageBreak/>
        <w:t>Background</w:t>
      </w:r>
    </w:p>
    <w:bookmarkEnd w:id="0"/>
    <w:p w14:paraId="24FF4646" w14:textId="43BD801B" w:rsidR="00CB0D44" w:rsidRPr="000F2BF8" w:rsidRDefault="00CB0D44" w:rsidP="0072052C">
      <w:pPr>
        <w:pStyle w:val="COMPara"/>
        <w:ind w:left="567" w:hanging="567"/>
        <w:jc w:val="both"/>
        <w:rPr>
          <w:bCs/>
        </w:rPr>
      </w:pPr>
      <w:r w:rsidRPr="000F2BF8">
        <w:t xml:space="preserve">The present report focuses on the work of the Secretariat of the 2003 Convention from January 2024 to December 2025 pursuant to Resolution </w:t>
      </w:r>
      <w:hyperlink r:id="rId8" w:history="1">
        <w:r w:rsidRPr="000F2BF8">
          <w:rPr>
            <w:rStyle w:val="Hyperlink"/>
          </w:rPr>
          <w:t>10.GA 6</w:t>
        </w:r>
      </w:hyperlink>
      <w:r w:rsidRPr="000F2BF8">
        <w:t xml:space="preserve">. </w:t>
      </w:r>
      <w:r w:rsidRPr="000F2BF8">
        <w:rPr>
          <w:bCs/>
        </w:rPr>
        <w:t xml:space="preserve">The reporting period is aligned with UNESCO’s other reporting processes, namely the </w:t>
      </w:r>
      <w:hyperlink r:id="rId9" w:history="1">
        <w:r w:rsidRPr="000F2BF8">
          <w:rPr>
            <w:rStyle w:val="Hyperlink"/>
            <w:bCs/>
          </w:rPr>
          <w:t>Director-General’s report</w:t>
        </w:r>
      </w:hyperlink>
      <w:r w:rsidRPr="000F2BF8">
        <w:rPr>
          <w:bCs/>
        </w:rPr>
        <w:t xml:space="preserve"> on the execution of the programme adopted by the General Conference (EX/4). </w:t>
      </w:r>
      <w:hyperlink w:anchor="AnnexI" w:history="1">
        <w:r w:rsidRPr="000F2BF8">
          <w:rPr>
            <w:rStyle w:val="Hyperlink"/>
            <w:bCs/>
          </w:rPr>
          <w:t>Annex I</w:t>
        </w:r>
      </w:hyperlink>
      <w:r w:rsidRPr="000F2BF8">
        <w:rPr>
          <w:bCs/>
        </w:rPr>
        <w:t xml:space="preserve"> demonstrates the contribution of the Secretariat’s work to the 4</w:t>
      </w:r>
      <w:r w:rsidR="001F353E" w:rsidRPr="000F2BF8">
        <w:rPr>
          <w:bCs/>
        </w:rPr>
        <w:t>2</w:t>
      </w:r>
      <w:r w:rsidR="00AF49D1" w:rsidRPr="000F2BF8">
        <w:rPr>
          <w:bCs/>
        </w:rPr>
        <w:t xml:space="preserve"> </w:t>
      </w:r>
      <w:r w:rsidRPr="000F2BF8">
        <w:rPr>
          <w:bCs/>
        </w:rPr>
        <w:t xml:space="preserve">C/5 results framework and, more specifically, to the performance indicators </w:t>
      </w:r>
      <w:r w:rsidRPr="000F2BF8">
        <w:rPr>
          <w:bCs/>
          <w:iCs/>
        </w:rPr>
        <w:t xml:space="preserve">under Outcome 5.CLT4 of Major Programme IV. </w:t>
      </w:r>
      <w:hyperlink w:anchor="AnnexII" w:history="1">
        <w:r w:rsidRPr="000F2BF8">
          <w:rPr>
            <w:rStyle w:val="Hyperlink"/>
            <w:bCs/>
            <w:iCs/>
          </w:rPr>
          <w:t>Annex II</w:t>
        </w:r>
      </w:hyperlink>
      <w:r w:rsidRPr="000F2BF8">
        <w:rPr>
          <w:bCs/>
          <w:iCs/>
        </w:rPr>
        <w:t xml:space="preserve"> provides a follow-up on the twelve recommendations of the </w:t>
      </w:r>
      <w:hyperlink r:id="rId10" w:history="1">
        <w:r w:rsidRPr="000F2BF8">
          <w:rPr>
            <w:rStyle w:val="Hyperlink"/>
            <w:bCs/>
            <w:iCs/>
          </w:rPr>
          <w:t>2021 IOS Evaluation</w:t>
        </w:r>
      </w:hyperlink>
      <w:r w:rsidRPr="000F2BF8">
        <w:rPr>
          <w:bCs/>
          <w:iCs/>
        </w:rPr>
        <w:t xml:space="preserve"> of UNESCO’s action in the framework of the 2003 Convention</w:t>
      </w:r>
      <w:r w:rsidRPr="000F2BF8">
        <w:rPr>
          <w:rStyle w:val="FootnoteReference"/>
          <w:bCs/>
          <w:iCs/>
        </w:rPr>
        <w:footnoteReference w:id="1"/>
      </w:r>
      <w:r w:rsidRPr="000F2BF8">
        <w:rPr>
          <w:bCs/>
          <w:iCs/>
        </w:rPr>
        <w:t>. Th</w:t>
      </w:r>
      <w:r w:rsidR="00A75AF9" w:rsidRPr="000F2BF8">
        <w:rPr>
          <w:bCs/>
          <w:iCs/>
        </w:rPr>
        <w:t>is</w:t>
      </w:r>
      <w:r w:rsidRPr="000F2BF8">
        <w:rPr>
          <w:bCs/>
          <w:iCs/>
        </w:rPr>
        <w:t xml:space="preserve"> report should also be read alongside the financial report of the Convention’s Fund for the Safeguarding of the Intangible Cultural Heritage with the same reporting period (document </w:t>
      </w:r>
      <w:hyperlink r:id="rId11" w:history="1">
        <w:r w:rsidR="0053296F" w:rsidRPr="000F2BF8">
          <w:rPr>
            <w:rStyle w:val="Hyperlink"/>
            <w:bCs/>
            <w:iCs/>
          </w:rPr>
          <w:t>LHE/26/11.GA/INF.8</w:t>
        </w:r>
      </w:hyperlink>
      <w:r w:rsidRPr="000F2BF8">
        <w:rPr>
          <w:bCs/>
          <w:iCs/>
        </w:rPr>
        <w:t>).</w:t>
      </w:r>
    </w:p>
    <w:p w14:paraId="7037B89A" w14:textId="7AFE2EF9" w:rsidR="00CB0D44" w:rsidRPr="000F2BF8" w:rsidRDefault="00CB0D44" w:rsidP="0072052C">
      <w:pPr>
        <w:pStyle w:val="COMPara"/>
        <w:ind w:left="567" w:hanging="567"/>
        <w:jc w:val="both"/>
        <w:rPr>
          <w:bCs/>
        </w:rPr>
      </w:pPr>
      <w:r w:rsidRPr="000F2BF8">
        <w:rPr>
          <w:bCs/>
          <w:iCs/>
        </w:rPr>
        <w:t xml:space="preserve">The Secretariat’s core activities focused on the </w:t>
      </w:r>
      <w:r w:rsidR="006D60A9" w:rsidRPr="000F2BF8">
        <w:rPr>
          <w:bCs/>
          <w:iCs/>
        </w:rPr>
        <w:t>governance</w:t>
      </w:r>
      <w:r w:rsidRPr="000F2BF8">
        <w:rPr>
          <w:bCs/>
          <w:iCs/>
        </w:rPr>
        <w:t xml:space="preserve"> of the Convention (</w:t>
      </w:r>
      <w:r w:rsidR="009B2F36" w:rsidRPr="000F2BF8">
        <w:rPr>
          <w:bCs/>
          <w:iCs/>
        </w:rPr>
        <w:t>S</w:t>
      </w:r>
      <w:r w:rsidRPr="000F2BF8">
        <w:rPr>
          <w:bCs/>
          <w:iCs/>
        </w:rPr>
        <w:t xml:space="preserve">ection I), operational activities </w:t>
      </w:r>
      <w:r w:rsidR="00F576A4" w:rsidRPr="000F2BF8">
        <w:rPr>
          <w:bCs/>
          <w:iCs/>
        </w:rPr>
        <w:t xml:space="preserve">and thematic initiatives </w:t>
      </w:r>
      <w:r w:rsidRPr="000F2BF8">
        <w:rPr>
          <w:bCs/>
          <w:iCs/>
        </w:rPr>
        <w:t>(</w:t>
      </w:r>
      <w:r w:rsidR="009B2F36" w:rsidRPr="000F2BF8">
        <w:rPr>
          <w:bCs/>
          <w:iCs/>
        </w:rPr>
        <w:t>S</w:t>
      </w:r>
      <w:r w:rsidRPr="000F2BF8">
        <w:rPr>
          <w:bCs/>
          <w:iCs/>
        </w:rPr>
        <w:t>ection II), as well as partnerships, communications and outreach (</w:t>
      </w:r>
      <w:r w:rsidR="009B2F36" w:rsidRPr="000F2BF8">
        <w:rPr>
          <w:bCs/>
          <w:iCs/>
        </w:rPr>
        <w:t>S</w:t>
      </w:r>
      <w:r w:rsidRPr="000F2BF8">
        <w:rPr>
          <w:bCs/>
          <w:iCs/>
        </w:rPr>
        <w:t>ection I</w:t>
      </w:r>
      <w:r w:rsidR="00A75AF9" w:rsidRPr="000F2BF8">
        <w:rPr>
          <w:bCs/>
          <w:iCs/>
        </w:rPr>
        <w:t>II</w:t>
      </w:r>
      <w:r w:rsidRPr="000F2BF8">
        <w:rPr>
          <w:bCs/>
          <w:iCs/>
        </w:rPr>
        <w:t>). Th</w:t>
      </w:r>
      <w:r w:rsidR="00A75AF9" w:rsidRPr="000F2BF8">
        <w:rPr>
          <w:bCs/>
          <w:iCs/>
        </w:rPr>
        <w:t>is</w:t>
      </w:r>
      <w:r w:rsidRPr="000F2BF8">
        <w:rPr>
          <w:bCs/>
          <w:iCs/>
        </w:rPr>
        <w:t xml:space="preserve"> report also </w:t>
      </w:r>
      <w:r w:rsidR="00A75AF9" w:rsidRPr="000F2BF8">
        <w:rPr>
          <w:bCs/>
          <w:iCs/>
        </w:rPr>
        <w:t>includes a brief overview of the Convention’s future direction</w:t>
      </w:r>
      <w:r w:rsidR="000303FB" w:rsidRPr="000F2BF8">
        <w:rPr>
          <w:bCs/>
          <w:iCs/>
        </w:rPr>
        <w:t>s</w:t>
      </w:r>
      <w:r w:rsidR="00A75AF9" w:rsidRPr="000F2BF8">
        <w:rPr>
          <w:bCs/>
          <w:iCs/>
        </w:rPr>
        <w:t xml:space="preserve"> and its synergies with other </w:t>
      </w:r>
      <w:r w:rsidR="00D045C1" w:rsidRPr="000F2BF8">
        <w:rPr>
          <w:bCs/>
          <w:iCs/>
        </w:rPr>
        <w:t>c</w:t>
      </w:r>
      <w:r w:rsidR="00A75AF9" w:rsidRPr="000F2BF8">
        <w:rPr>
          <w:bCs/>
          <w:iCs/>
        </w:rPr>
        <w:t>onventions and programmes</w:t>
      </w:r>
      <w:r w:rsidRPr="000F2BF8">
        <w:rPr>
          <w:bCs/>
          <w:iCs/>
        </w:rPr>
        <w:t xml:space="preserve"> (</w:t>
      </w:r>
      <w:r w:rsidR="009B2F36" w:rsidRPr="000F2BF8">
        <w:rPr>
          <w:bCs/>
          <w:iCs/>
        </w:rPr>
        <w:t>S</w:t>
      </w:r>
      <w:r w:rsidRPr="000F2BF8">
        <w:rPr>
          <w:bCs/>
          <w:iCs/>
        </w:rPr>
        <w:t xml:space="preserve">ection </w:t>
      </w:r>
      <w:r w:rsidR="00A75AF9" w:rsidRPr="000F2BF8">
        <w:rPr>
          <w:bCs/>
          <w:iCs/>
        </w:rPr>
        <w:t>I</w:t>
      </w:r>
      <w:r w:rsidRPr="000F2BF8">
        <w:rPr>
          <w:bCs/>
          <w:iCs/>
        </w:rPr>
        <w:t>V).</w:t>
      </w:r>
    </w:p>
    <w:p w14:paraId="123B6521" w14:textId="67DC2017" w:rsidR="00F70CC5" w:rsidRPr="000F2BF8" w:rsidRDefault="006D60A9" w:rsidP="0072052C">
      <w:pPr>
        <w:pStyle w:val="COMPara"/>
        <w:numPr>
          <w:ilvl w:val="0"/>
          <w:numId w:val="21"/>
        </w:numPr>
        <w:spacing w:before="240"/>
        <w:ind w:left="567" w:hanging="567"/>
        <w:jc w:val="both"/>
        <w:rPr>
          <w:b/>
          <w:bCs/>
        </w:rPr>
      </w:pPr>
      <w:r w:rsidRPr="000F2BF8">
        <w:rPr>
          <w:b/>
          <w:bCs/>
        </w:rPr>
        <w:t>Governance of the Convention</w:t>
      </w:r>
    </w:p>
    <w:p w14:paraId="6F06A1EF" w14:textId="045D0CCF" w:rsidR="006D60A9" w:rsidRPr="000F2BF8" w:rsidRDefault="006D60A9" w:rsidP="0072052C">
      <w:pPr>
        <w:pStyle w:val="COMPara"/>
        <w:ind w:left="567" w:hanging="567"/>
        <w:jc w:val="both"/>
      </w:pPr>
      <w:r w:rsidRPr="000F2BF8">
        <w:t>The Secretariat ensured administrative, logistical and substantive support for the governing bodies of the Convention by organizing thirty-</w:t>
      </w:r>
      <w:r w:rsidR="001D5A0C" w:rsidRPr="000F2BF8">
        <w:t>seven</w:t>
      </w:r>
      <w:r w:rsidRPr="000F2BF8">
        <w:t xml:space="preserve"> statutory meetings. The annual Schedule of statutory meetings was made available for </w:t>
      </w:r>
      <w:hyperlink r:id="rId12" w:history="1">
        <w:r w:rsidRPr="000F2BF8">
          <w:rPr>
            <w:rStyle w:val="Hyperlink"/>
          </w:rPr>
          <w:t>2024</w:t>
        </w:r>
      </w:hyperlink>
      <w:r w:rsidRPr="000F2BF8">
        <w:t xml:space="preserve"> and </w:t>
      </w:r>
      <w:hyperlink r:id="rId13" w:history="1">
        <w:r w:rsidRPr="000F2BF8">
          <w:rPr>
            <w:rStyle w:val="Hyperlink"/>
          </w:rPr>
          <w:t>2025</w:t>
        </w:r>
      </w:hyperlink>
      <w:r w:rsidRPr="000F2BF8">
        <w:t xml:space="preserve">, and updated regularly through the website of the Convention. Furthermore, the reporting period saw the conclusion of the revision of the </w:t>
      </w:r>
      <w:r w:rsidR="005C6A7F" w:rsidRPr="000F2BF8">
        <w:t>Operational Directives</w:t>
      </w:r>
      <w:r w:rsidRPr="000F2BF8">
        <w:t xml:space="preserve"> of the 2003 Convention (Resolution </w:t>
      </w:r>
      <w:hyperlink r:id="rId14" w:history="1">
        <w:r w:rsidRPr="000F2BF8">
          <w:rPr>
            <w:rStyle w:val="Hyperlink"/>
          </w:rPr>
          <w:t xml:space="preserve">10.GA </w:t>
        </w:r>
        <w:r w:rsidR="005C6A7F" w:rsidRPr="000F2BF8">
          <w:rPr>
            <w:rStyle w:val="Hyperlink"/>
          </w:rPr>
          <w:t>7</w:t>
        </w:r>
      </w:hyperlink>
      <w:r w:rsidRPr="000F2BF8">
        <w:t xml:space="preserve">). The report on the Committee’s activities from January </w:t>
      </w:r>
      <w:r w:rsidR="00AF49D1" w:rsidRPr="000F2BF8">
        <w:t>2024</w:t>
      </w:r>
      <w:r w:rsidRPr="000F2BF8">
        <w:t xml:space="preserve"> to December </w:t>
      </w:r>
      <w:r w:rsidR="00AF49D1" w:rsidRPr="000F2BF8">
        <w:t>2025</w:t>
      </w:r>
      <w:r w:rsidRPr="000F2BF8">
        <w:t xml:space="preserve"> is </w:t>
      </w:r>
      <w:r w:rsidR="00EF5B00" w:rsidRPr="000F2BF8">
        <w:t>submitted</w:t>
      </w:r>
      <w:r w:rsidRPr="000F2BF8">
        <w:t xml:space="preserve"> to the present session of the Assembly (document </w:t>
      </w:r>
      <w:hyperlink r:id="rId15" w:history="1">
        <w:r w:rsidRPr="000F2BF8">
          <w:rPr>
            <w:rStyle w:val="Hyperlink"/>
          </w:rPr>
          <w:t>LHE/2</w:t>
        </w:r>
        <w:r w:rsidR="00AF49D1" w:rsidRPr="000F2BF8">
          <w:rPr>
            <w:rStyle w:val="Hyperlink"/>
          </w:rPr>
          <w:t>6</w:t>
        </w:r>
        <w:r w:rsidRPr="000F2BF8">
          <w:rPr>
            <w:rStyle w:val="Hyperlink"/>
          </w:rPr>
          <w:t>/1</w:t>
        </w:r>
        <w:r w:rsidR="00AF49D1" w:rsidRPr="000F2BF8">
          <w:rPr>
            <w:rStyle w:val="Hyperlink"/>
          </w:rPr>
          <w:t>1</w:t>
        </w:r>
        <w:r w:rsidRPr="000F2BF8">
          <w:rPr>
            <w:rStyle w:val="Hyperlink"/>
          </w:rPr>
          <w:t>.GA/5</w:t>
        </w:r>
      </w:hyperlink>
      <w:r w:rsidRPr="000F2BF8">
        <w:t>).</w:t>
      </w:r>
    </w:p>
    <w:p w14:paraId="1BD27DED" w14:textId="4375476E" w:rsidR="006D60A9" w:rsidRPr="000F2BF8" w:rsidRDefault="006D60A9" w:rsidP="0072052C">
      <w:pPr>
        <w:pStyle w:val="COMPara"/>
        <w:ind w:left="567" w:hanging="567"/>
        <w:jc w:val="both"/>
      </w:pPr>
      <w:r w:rsidRPr="000F2BF8">
        <w:t xml:space="preserve">The Secretariat provided substantial support to the </w:t>
      </w:r>
      <w:r w:rsidRPr="000F2BF8">
        <w:rPr>
          <w:u w:val="single"/>
        </w:rPr>
        <w:t>international cooperation mechanisms of the Convention</w:t>
      </w:r>
      <w:r w:rsidRPr="000F2BF8">
        <w:t xml:space="preserve">. The primary workload concerned the processing of nomination files under the </w:t>
      </w:r>
      <w:r w:rsidR="0004657A" w:rsidRPr="000F2BF8">
        <w:t>2024</w:t>
      </w:r>
      <w:r w:rsidRPr="000F2BF8">
        <w:t xml:space="preserve"> and </w:t>
      </w:r>
      <w:r w:rsidR="0004657A" w:rsidRPr="000F2BF8">
        <w:t>2025</w:t>
      </w:r>
      <w:r w:rsidRPr="000F2BF8">
        <w:t xml:space="preserve"> cycles for assessment by the Evaluation Body, while checking the technical completeness of nominations under the </w:t>
      </w:r>
      <w:r w:rsidR="00D279B1" w:rsidRPr="000F2BF8">
        <w:t xml:space="preserve">2025 and </w:t>
      </w:r>
      <w:r w:rsidR="0004657A" w:rsidRPr="000F2BF8">
        <w:t>2026</w:t>
      </w:r>
      <w:r w:rsidRPr="000F2BF8">
        <w:t xml:space="preserve"> cycle</w:t>
      </w:r>
      <w:r w:rsidR="00D279B1" w:rsidRPr="000F2BF8">
        <w:t>s</w:t>
      </w:r>
      <w:r w:rsidRPr="000F2BF8">
        <w:t xml:space="preserve">. </w:t>
      </w:r>
      <w:r w:rsidR="00B93674" w:rsidRPr="000F2BF8">
        <w:t>In addition</w:t>
      </w:r>
      <w:r w:rsidRPr="000F2BF8">
        <w:t xml:space="preserve">, the Secretariat processed periodic reports, </w:t>
      </w:r>
      <w:r w:rsidR="008067C9" w:rsidRPr="000F2BF8">
        <w:t>as well as</w:t>
      </w:r>
      <w:r w:rsidRPr="000F2BF8">
        <w:t xml:space="preserve"> accreditation and renewal requests from non-governmental organizations (NGOs). These accreditation requests, following the recommendations by the </w:t>
      </w:r>
      <w:r w:rsidR="004F099A" w:rsidRPr="000F2BF8">
        <w:t>twentieth</w:t>
      </w:r>
      <w:r w:rsidRPr="000F2BF8">
        <w:t xml:space="preserve"> session of the Committee, are </w:t>
      </w:r>
      <w:r w:rsidR="009A1679" w:rsidRPr="000F2BF8">
        <w:t>submitted</w:t>
      </w:r>
      <w:r w:rsidRPr="000F2BF8">
        <w:t xml:space="preserve"> to the present session of the Assembly (document </w:t>
      </w:r>
      <w:hyperlink r:id="rId16" w:history="1">
        <w:r w:rsidR="0004657A" w:rsidRPr="000F2BF8">
          <w:rPr>
            <w:rStyle w:val="Hyperlink"/>
          </w:rPr>
          <w:t>LHE/26/11.GA/9</w:t>
        </w:r>
      </w:hyperlink>
      <w:r w:rsidRPr="000F2BF8">
        <w:t>).</w:t>
      </w:r>
    </w:p>
    <w:p w14:paraId="11C23327" w14:textId="45D4204C" w:rsidR="002832A8" w:rsidRPr="000F2BF8" w:rsidRDefault="000849F8" w:rsidP="0072052C">
      <w:pPr>
        <w:pStyle w:val="COMPara"/>
        <w:ind w:left="567" w:hanging="567"/>
        <w:jc w:val="both"/>
        <w:rPr>
          <w:rStyle w:val="ui-provider"/>
        </w:rPr>
      </w:pPr>
      <w:r w:rsidRPr="000F2BF8">
        <w:rPr>
          <w:rStyle w:val="ui-provider"/>
        </w:rPr>
        <w:t>Following</w:t>
      </w:r>
      <w:r w:rsidR="00342D8D" w:rsidRPr="000F2BF8">
        <w:rPr>
          <w:rStyle w:val="ui-provider"/>
        </w:rPr>
        <w:t xml:space="preserve"> the global reflection on the listing mechanisms of the Convention</w:t>
      </w:r>
      <w:r w:rsidR="00FC4011" w:rsidRPr="000F2BF8">
        <w:rPr>
          <w:rStyle w:val="ui-provider"/>
        </w:rPr>
        <w:t xml:space="preserve"> (2018-2022)</w:t>
      </w:r>
      <w:r w:rsidR="00342D8D" w:rsidRPr="000F2BF8">
        <w:rPr>
          <w:rStyle w:val="ui-provider"/>
        </w:rPr>
        <w:t xml:space="preserve">, the governing bodies of the Convention </w:t>
      </w:r>
      <w:r w:rsidRPr="000F2BF8">
        <w:rPr>
          <w:rStyle w:val="ui-provider"/>
        </w:rPr>
        <w:t xml:space="preserve">have observed increasing demands on the scope of the Secretariat’s work in support of the Evaluation Body and the Committee in their </w:t>
      </w:r>
      <w:r w:rsidR="00D045C1" w:rsidRPr="000F2BF8">
        <w:rPr>
          <w:rStyle w:val="ui-provider"/>
        </w:rPr>
        <w:t xml:space="preserve">evaluation and </w:t>
      </w:r>
      <w:r w:rsidRPr="000F2BF8">
        <w:rPr>
          <w:rStyle w:val="ui-provider"/>
        </w:rPr>
        <w:t xml:space="preserve">examination of nomination files. </w:t>
      </w:r>
      <w:r w:rsidR="002832A8" w:rsidRPr="000F2BF8">
        <w:rPr>
          <w:rStyle w:val="ui-provider"/>
        </w:rPr>
        <w:t xml:space="preserve">In particular, the </w:t>
      </w:r>
      <w:r w:rsidR="002832A8" w:rsidRPr="000F2BF8">
        <w:rPr>
          <w:rStyle w:val="ui-provider"/>
          <w:u w:val="single"/>
        </w:rPr>
        <w:t>number of files treated</w:t>
      </w:r>
      <w:r w:rsidR="009A1E16" w:rsidRPr="000F2BF8">
        <w:rPr>
          <w:rStyle w:val="ui-provider"/>
        </w:rPr>
        <w:t xml:space="preserve"> </w:t>
      </w:r>
      <w:r w:rsidR="002832A8" w:rsidRPr="000F2BF8">
        <w:rPr>
          <w:rStyle w:val="ui-provider"/>
        </w:rPr>
        <w:t>(140 files in total over the 2024 and 2025 cycles</w:t>
      </w:r>
      <w:r w:rsidR="00DE0251" w:rsidRPr="000F2BF8">
        <w:rPr>
          <w:rStyle w:val="ui-provider"/>
        </w:rPr>
        <w:t>, against 121 files over the 2022 and 2023 cycles) reflects both the</w:t>
      </w:r>
      <w:r w:rsidR="004B2C80" w:rsidRPr="000F2BF8">
        <w:rPr>
          <w:rStyle w:val="ui-provider"/>
        </w:rPr>
        <w:t xml:space="preserve"> files treated under the</w:t>
      </w:r>
      <w:r w:rsidR="00DE0251" w:rsidRPr="000F2BF8">
        <w:rPr>
          <w:rStyle w:val="ui-provider"/>
        </w:rPr>
        <w:t xml:space="preserve"> annual ceiling of sixty as well as the different categories of files that are to be treated outside the annual ceiling (Decisions </w:t>
      </w:r>
      <w:hyperlink r:id="rId17" w:history="1">
        <w:r w:rsidR="00DE0251" w:rsidRPr="000F2BF8">
          <w:rPr>
            <w:rStyle w:val="Hyperlink"/>
          </w:rPr>
          <w:t>17.COM 15</w:t>
        </w:r>
      </w:hyperlink>
      <w:r w:rsidR="00DE0251" w:rsidRPr="000F2BF8">
        <w:rPr>
          <w:rStyle w:val="ui-provider"/>
        </w:rPr>
        <w:t xml:space="preserve"> and </w:t>
      </w:r>
      <w:hyperlink r:id="rId18" w:history="1">
        <w:r w:rsidR="00DE0251" w:rsidRPr="000F2BF8">
          <w:rPr>
            <w:rStyle w:val="Hyperlink"/>
          </w:rPr>
          <w:t>19.COM 15</w:t>
        </w:r>
      </w:hyperlink>
      <w:r w:rsidR="00DE0251" w:rsidRPr="000F2BF8">
        <w:rPr>
          <w:rStyle w:val="ui-provider"/>
        </w:rPr>
        <w:t xml:space="preserve">). </w:t>
      </w:r>
      <w:r w:rsidR="001C103F" w:rsidRPr="000F2BF8">
        <w:rPr>
          <w:rStyle w:val="ui-provider"/>
        </w:rPr>
        <w:t xml:space="preserve">Likewise, the 2026 </w:t>
      </w:r>
      <w:r w:rsidR="00F65B75" w:rsidRPr="000F2BF8">
        <w:rPr>
          <w:rStyle w:val="ui-provider"/>
        </w:rPr>
        <w:t>cycle has</w:t>
      </w:r>
      <w:r w:rsidR="00E6674C" w:rsidRPr="000F2BF8">
        <w:rPr>
          <w:rStyle w:val="ui-provider"/>
        </w:rPr>
        <w:t xml:space="preserve"> seen</w:t>
      </w:r>
      <w:r w:rsidR="00F65B75" w:rsidRPr="000F2BF8">
        <w:rPr>
          <w:rStyle w:val="ui-provider"/>
        </w:rPr>
        <w:t xml:space="preserve"> </w:t>
      </w:r>
      <w:r w:rsidR="004B2C80" w:rsidRPr="000F2BF8">
        <w:rPr>
          <w:rStyle w:val="ui-provider"/>
        </w:rPr>
        <w:t xml:space="preserve">71 </w:t>
      </w:r>
      <w:r w:rsidR="00F65B75" w:rsidRPr="000F2BF8">
        <w:rPr>
          <w:rStyle w:val="ui-provider"/>
        </w:rPr>
        <w:t>files</w:t>
      </w:r>
      <w:r w:rsidR="004B2C80" w:rsidRPr="000F2BF8">
        <w:rPr>
          <w:rStyle w:val="ui-provider"/>
        </w:rPr>
        <w:t xml:space="preserve"> initially</w:t>
      </w:r>
      <w:r w:rsidR="00F65B75" w:rsidRPr="000F2BF8">
        <w:rPr>
          <w:rStyle w:val="ui-provider"/>
        </w:rPr>
        <w:t xml:space="preserve"> treated</w:t>
      </w:r>
      <w:r w:rsidR="00C54425" w:rsidRPr="000F2BF8">
        <w:rPr>
          <w:rStyle w:val="ui-provider"/>
        </w:rPr>
        <w:t xml:space="preserve"> (out of 137 files that had to be considered)</w:t>
      </w:r>
      <w:r w:rsidR="00F65B75" w:rsidRPr="000F2BF8">
        <w:rPr>
          <w:rStyle w:val="ui-provider"/>
        </w:rPr>
        <w:t xml:space="preserve">, and while the 2027 cycle is still </w:t>
      </w:r>
      <w:r w:rsidR="00C54425" w:rsidRPr="000F2BF8">
        <w:rPr>
          <w:rStyle w:val="ui-provider"/>
        </w:rPr>
        <w:t>being established (out of 170 files that need to be considered)</w:t>
      </w:r>
      <w:r w:rsidR="00F65B75" w:rsidRPr="000F2BF8">
        <w:rPr>
          <w:rStyle w:val="ui-provider"/>
        </w:rPr>
        <w:t>, it is likely to feature a similar or greater number of files</w:t>
      </w:r>
      <w:r w:rsidR="00F02F7C" w:rsidRPr="000F2BF8">
        <w:rPr>
          <w:rStyle w:val="ui-provider"/>
        </w:rPr>
        <w:t xml:space="preserve">. </w:t>
      </w:r>
      <w:r w:rsidR="001D0B4C" w:rsidRPr="000F2BF8">
        <w:rPr>
          <w:rStyle w:val="ui-provider"/>
        </w:rPr>
        <w:t>These increased numbers</w:t>
      </w:r>
      <w:r w:rsidR="00F65B75" w:rsidRPr="000F2BF8">
        <w:rPr>
          <w:rStyle w:val="ui-provider"/>
        </w:rPr>
        <w:t xml:space="preserve"> over the past four cycles</w:t>
      </w:r>
      <w:r w:rsidR="00F02F7C" w:rsidRPr="000F2BF8">
        <w:rPr>
          <w:rStyle w:val="ui-provider"/>
        </w:rPr>
        <w:t xml:space="preserve"> </w:t>
      </w:r>
      <w:r w:rsidR="00A66AB8" w:rsidRPr="000F2BF8">
        <w:rPr>
          <w:rStyle w:val="ui-provider"/>
        </w:rPr>
        <w:t>ha</w:t>
      </w:r>
      <w:r w:rsidR="001D0B4C" w:rsidRPr="000F2BF8">
        <w:rPr>
          <w:rStyle w:val="ui-provider"/>
        </w:rPr>
        <w:t xml:space="preserve">ve </w:t>
      </w:r>
      <w:r w:rsidR="00D045C1" w:rsidRPr="000F2BF8">
        <w:rPr>
          <w:rStyle w:val="ui-provider"/>
        </w:rPr>
        <w:t xml:space="preserve">resulted in </w:t>
      </w:r>
      <w:r w:rsidR="00F02F7C" w:rsidRPr="000F2BF8">
        <w:rPr>
          <w:rStyle w:val="ui-provider"/>
        </w:rPr>
        <w:t>a heavier workload for the Secretariat, reflecting the extensive procedures involved in the ‘technical completeness check’ phase</w:t>
      </w:r>
      <w:r w:rsidR="00A66AB8" w:rsidRPr="000F2BF8">
        <w:rPr>
          <w:rStyle w:val="ui-provider"/>
        </w:rPr>
        <w:t xml:space="preserve">, as well as the diversity of nomination materials to be considered </w:t>
      </w:r>
      <w:r w:rsidR="001D0B4C" w:rsidRPr="000F2BF8">
        <w:rPr>
          <w:rStyle w:val="ui-provider"/>
        </w:rPr>
        <w:t>in</w:t>
      </w:r>
      <w:r w:rsidR="00A66AB8" w:rsidRPr="000F2BF8">
        <w:rPr>
          <w:rStyle w:val="ui-provider"/>
        </w:rPr>
        <w:t xml:space="preserve"> the transfer of elements between the Lists and nominations on an extended basis</w:t>
      </w:r>
      <w:r w:rsidR="00DD2062" w:rsidRPr="000F2BF8">
        <w:rPr>
          <w:rStyle w:val="ui-provider"/>
        </w:rPr>
        <w:t xml:space="preserve">. </w:t>
      </w:r>
      <w:r w:rsidRPr="000F2BF8">
        <w:rPr>
          <w:rStyle w:val="ui-provider"/>
        </w:rPr>
        <w:t xml:space="preserve">These </w:t>
      </w:r>
      <w:r w:rsidR="00A179BB" w:rsidRPr="000F2BF8">
        <w:rPr>
          <w:rStyle w:val="ui-provider"/>
        </w:rPr>
        <w:t>expanding</w:t>
      </w:r>
      <w:r w:rsidRPr="000F2BF8">
        <w:rPr>
          <w:rStyle w:val="ui-provider"/>
        </w:rPr>
        <w:t xml:space="preserve"> needs are particularly acute, in light of the limited human resources available to the Secretariat</w:t>
      </w:r>
      <w:r w:rsidR="00F65B75" w:rsidRPr="000F2BF8">
        <w:rPr>
          <w:rStyle w:val="ui-provider"/>
        </w:rPr>
        <w:t xml:space="preserve">, and in view of this </w:t>
      </w:r>
      <w:r w:rsidR="00C54425" w:rsidRPr="000F2BF8">
        <w:rPr>
          <w:rStyle w:val="ui-provider"/>
        </w:rPr>
        <w:t xml:space="preserve">constraint </w:t>
      </w:r>
      <w:r w:rsidR="00F65B75" w:rsidRPr="000F2BF8">
        <w:rPr>
          <w:rStyle w:val="ui-provider"/>
        </w:rPr>
        <w:t xml:space="preserve">and other </w:t>
      </w:r>
      <w:r w:rsidR="006B2BF9" w:rsidRPr="000F2BF8">
        <w:rPr>
          <w:rStyle w:val="ui-provider"/>
        </w:rPr>
        <w:t xml:space="preserve">technical </w:t>
      </w:r>
      <w:r w:rsidR="00F65B75" w:rsidRPr="000F2BF8">
        <w:rPr>
          <w:rStyle w:val="ui-provider"/>
        </w:rPr>
        <w:t>issues concerning the treatment of files</w:t>
      </w:r>
      <w:r w:rsidR="00DD2062" w:rsidRPr="000F2BF8">
        <w:rPr>
          <w:rStyle w:val="ui-provider"/>
        </w:rPr>
        <w:t xml:space="preserve"> (see document </w:t>
      </w:r>
      <w:hyperlink r:id="rId19" w:history="1">
        <w:r w:rsidR="00DD2062" w:rsidRPr="000F2BF8">
          <w:rPr>
            <w:rStyle w:val="Hyperlink"/>
          </w:rPr>
          <w:t>LHE/25/20.COM/8</w:t>
        </w:r>
      </w:hyperlink>
      <w:r w:rsidR="00DD2062" w:rsidRPr="000F2BF8">
        <w:rPr>
          <w:rStyle w:val="ui-provider"/>
        </w:rPr>
        <w:t>)</w:t>
      </w:r>
      <w:r w:rsidR="00F65B75" w:rsidRPr="000F2BF8">
        <w:rPr>
          <w:rStyle w:val="ui-provider"/>
        </w:rPr>
        <w:t xml:space="preserve">, the Committee has recommended that the present session of the Assembly approve the proposed revisions to the Operational Directives for the Implementation of the Convention (Decision </w:t>
      </w:r>
      <w:hyperlink r:id="rId20" w:history="1">
        <w:r w:rsidR="00F65B75" w:rsidRPr="000F2BF8">
          <w:rPr>
            <w:rStyle w:val="Hyperlink"/>
          </w:rPr>
          <w:t>20.COM 8</w:t>
        </w:r>
      </w:hyperlink>
      <w:r w:rsidR="00F65B75" w:rsidRPr="000F2BF8">
        <w:rPr>
          <w:rStyle w:val="ui-provider"/>
        </w:rPr>
        <w:t xml:space="preserve"> and document </w:t>
      </w:r>
      <w:hyperlink r:id="rId21" w:history="1">
        <w:r w:rsidR="00F65B75" w:rsidRPr="000F2BF8">
          <w:rPr>
            <w:rStyle w:val="Hyperlink"/>
          </w:rPr>
          <w:t>LHE/26/11.GA/7</w:t>
        </w:r>
      </w:hyperlink>
      <w:r w:rsidR="00F65B75" w:rsidRPr="000F2BF8">
        <w:rPr>
          <w:rStyle w:val="ui-provider"/>
        </w:rPr>
        <w:t>).</w:t>
      </w:r>
      <w:r w:rsidR="00090EF3" w:rsidRPr="000F2BF8">
        <w:rPr>
          <w:rStyle w:val="ui-provider"/>
        </w:rPr>
        <w:t xml:space="preserve"> The number of files for the 2028 and 2029 cycles are to be discussed by the twenty-first session of the Committee together with the issues of the annual ceiling and prioritization system that would require adjustments to administer future cycle</w:t>
      </w:r>
      <w:r w:rsidR="004B2C80" w:rsidRPr="000F2BF8">
        <w:rPr>
          <w:rStyle w:val="ui-provider"/>
        </w:rPr>
        <w:t>s</w:t>
      </w:r>
      <w:r w:rsidR="00090EF3" w:rsidRPr="000F2BF8">
        <w:rPr>
          <w:rStyle w:val="ui-provider"/>
        </w:rPr>
        <w:t xml:space="preserve"> of nominations.</w:t>
      </w:r>
    </w:p>
    <w:p w14:paraId="4AC33137" w14:textId="07ECB5DD" w:rsidR="00ED5C10" w:rsidRPr="000F2BF8" w:rsidRDefault="00ED5C10" w:rsidP="0072052C">
      <w:pPr>
        <w:pStyle w:val="COMPara"/>
        <w:ind w:left="567" w:hanging="567"/>
        <w:jc w:val="both"/>
      </w:pPr>
      <w:r w:rsidRPr="000F2BF8">
        <w:t xml:space="preserve">The Secretariat </w:t>
      </w:r>
      <w:r w:rsidR="0048227D" w:rsidRPr="000F2BF8">
        <w:t xml:space="preserve">has also taken steps to address the ‘under-utilization’ of the Register of Good Safeguarding Practices and of </w:t>
      </w:r>
      <w:r w:rsidR="0048227D" w:rsidRPr="000F2BF8">
        <w:rPr>
          <w:u w:val="single"/>
        </w:rPr>
        <w:t>Article 18 of the Convention</w:t>
      </w:r>
      <w:r w:rsidR="0048227D" w:rsidRPr="000F2BF8">
        <w:t xml:space="preserve"> as a whole. In the first instance, the Secretariat has</w:t>
      </w:r>
      <w:r w:rsidRPr="000F2BF8">
        <w:t xml:space="preserve"> advance</w:t>
      </w:r>
      <w:r w:rsidR="0048227D" w:rsidRPr="000F2BF8">
        <w:t>d</w:t>
      </w:r>
      <w:r w:rsidRPr="000F2BF8">
        <w:t xml:space="preserve"> the reflection on a broader implementation of Article 18 of the Convention, with the launch of the preliminary version of an </w:t>
      </w:r>
      <w:hyperlink r:id="rId22" w:history="1">
        <w:r w:rsidRPr="000F2BF8">
          <w:rPr>
            <w:rStyle w:val="Hyperlink"/>
          </w:rPr>
          <w:t>online platform for sharing safeguarding experiences</w:t>
        </w:r>
      </w:hyperlink>
      <w:r w:rsidRPr="000F2BF8">
        <w:t xml:space="preserve"> from communities around the world (supported by the Kingdom of the Netherlands</w:t>
      </w:r>
      <w:r w:rsidR="00D045C1" w:rsidRPr="000F2BF8">
        <w:t xml:space="preserve"> and</w:t>
      </w:r>
      <w:r w:rsidRPr="000F2BF8">
        <w:t xml:space="preserve"> Republic of Korea; see document </w:t>
      </w:r>
      <w:hyperlink r:id="rId23" w:history="1">
        <w:r w:rsidRPr="000F2BF8">
          <w:rPr>
            <w:rStyle w:val="Hyperlink"/>
          </w:rPr>
          <w:t>LHE/25/20.COM/</w:t>
        </w:r>
        <w:r w:rsidR="0048227D" w:rsidRPr="000F2BF8">
          <w:rPr>
            <w:rStyle w:val="Hyperlink"/>
          </w:rPr>
          <w:t>11</w:t>
        </w:r>
      </w:hyperlink>
      <w:r w:rsidR="0048227D" w:rsidRPr="000F2BF8">
        <w:t xml:space="preserve">), as well as community-led experiences in safeguarding </w:t>
      </w:r>
      <w:r w:rsidR="0048227D" w:rsidRPr="000F2BF8">
        <w:rPr>
          <w:u w:val="single"/>
        </w:rPr>
        <w:t>foodways</w:t>
      </w:r>
      <w:r w:rsidR="00D045C1" w:rsidRPr="000F2BF8">
        <w:t xml:space="preserve"> (supported by the Kingdom of Saudi Arabia)</w:t>
      </w:r>
      <w:r w:rsidR="0048227D" w:rsidRPr="000F2BF8">
        <w:t xml:space="preserve">. </w:t>
      </w:r>
      <w:r w:rsidR="00D045C1" w:rsidRPr="000F2BF8">
        <w:t>T</w:t>
      </w:r>
      <w:r w:rsidR="0048227D" w:rsidRPr="000F2BF8">
        <w:t>he Secretariat plans to launch the</w:t>
      </w:r>
      <w:r w:rsidR="008D6AD6" w:rsidRPr="000F2BF8">
        <w:t xml:space="preserve"> full version of the</w:t>
      </w:r>
      <w:r w:rsidR="0048227D" w:rsidRPr="000F2BF8">
        <w:t xml:space="preserve"> platform (with 60 safeguarding experiences) by end-2026. In </w:t>
      </w:r>
      <w:r w:rsidR="00D0554D" w:rsidRPr="000F2BF8">
        <w:t>addition</w:t>
      </w:r>
      <w:r w:rsidR="0048227D" w:rsidRPr="000F2BF8">
        <w:t xml:space="preserve">, </w:t>
      </w:r>
      <w:r w:rsidR="00361E09" w:rsidRPr="000F2BF8">
        <w:t xml:space="preserve">and in response to </w:t>
      </w:r>
      <w:r w:rsidR="00D54CDA" w:rsidRPr="000F2BF8">
        <w:t xml:space="preserve">Resolution </w:t>
      </w:r>
      <w:hyperlink r:id="rId24" w:history="1">
        <w:r w:rsidR="00D54CDA" w:rsidRPr="000F2BF8">
          <w:rPr>
            <w:rStyle w:val="Hyperlink"/>
          </w:rPr>
          <w:t>10.GA 7</w:t>
        </w:r>
      </w:hyperlink>
      <w:r w:rsidR="00D54CDA" w:rsidRPr="000F2BF8">
        <w:t xml:space="preserve">, Forms ICH-03 (for nominations to the Register) and ICH-02 USL to RL (for the transfer of elements from the Urgent Safeguarding List to </w:t>
      </w:r>
      <w:r w:rsidR="006565E6" w:rsidRPr="000F2BF8">
        <w:t xml:space="preserve">the </w:t>
      </w:r>
      <w:r w:rsidR="00D54CDA" w:rsidRPr="000F2BF8">
        <w:t>Representative List, and possible inclusion of the relevant safeguarding experience in the Register) have been simplified, and will be in use from the 2026 cycle onwards (</w:t>
      </w:r>
      <w:r w:rsidR="00131EFF" w:rsidRPr="000F2BF8">
        <w:t xml:space="preserve">see </w:t>
      </w:r>
      <w:r w:rsidR="00D54CDA" w:rsidRPr="000F2BF8">
        <w:t xml:space="preserve">document </w:t>
      </w:r>
      <w:hyperlink r:id="rId25" w:history="1">
        <w:r w:rsidR="006565E6" w:rsidRPr="000F2BF8">
          <w:rPr>
            <w:rStyle w:val="Hyperlink"/>
          </w:rPr>
          <w:t>LHE/25/20.COM/8</w:t>
        </w:r>
      </w:hyperlink>
      <w:r w:rsidR="00D54CDA" w:rsidRPr="000F2BF8">
        <w:t>).</w:t>
      </w:r>
    </w:p>
    <w:p w14:paraId="5A5C1F66" w14:textId="4AC6DC77" w:rsidR="00610A03" w:rsidRPr="000F2BF8" w:rsidRDefault="00342D8D" w:rsidP="0072052C">
      <w:pPr>
        <w:pStyle w:val="COMPara"/>
        <w:ind w:left="567" w:hanging="567"/>
        <w:jc w:val="both"/>
      </w:pPr>
      <w:r w:rsidRPr="000F2BF8">
        <w:t xml:space="preserve">The Secretariat continued to implement pilot projects in line with the Operational </w:t>
      </w:r>
      <w:r w:rsidR="00E51A42" w:rsidRPr="000F2BF8">
        <w:t>P</w:t>
      </w:r>
      <w:r w:rsidRPr="000F2BF8">
        <w:t xml:space="preserve">rinciples and </w:t>
      </w:r>
      <w:r w:rsidR="00E51A42" w:rsidRPr="000F2BF8">
        <w:t>M</w:t>
      </w:r>
      <w:r w:rsidRPr="000F2BF8">
        <w:t xml:space="preserve">odalities for </w:t>
      </w:r>
      <w:r w:rsidRPr="000F2BF8">
        <w:rPr>
          <w:u w:val="single"/>
        </w:rPr>
        <w:t>safeguarding intangible cultural heritage in emergencies</w:t>
      </w:r>
      <w:r w:rsidRPr="000F2BF8">
        <w:t xml:space="preserve"> (Resolution </w:t>
      </w:r>
      <w:hyperlink r:id="rId26" w:history="1">
        <w:r w:rsidRPr="000F2BF8">
          <w:rPr>
            <w:rStyle w:val="Hyperlink"/>
          </w:rPr>
          <w:t>8.GA 9</w:t>
        </w:r>
      </w:hyperlink>
      <w:r w:rsidRPr="000F2BF8">
        <w:t xml:space="preserve">). </w:t>
      </w:r>
      <w:r w:rsidR="00155D5B" w:rsidRPr="000F2BF8">
        <w:t>T</w:t>
      </w:r>
      <w:r w:rsidRPr="000F2BF8">
        <w:t xml:space="preserve">he multi-year project </w:t>
      </w:r>
      <w:r w:rsidR="00114743" w:rsidRPr="000F2BF8">
        <w:t>‘</w:t>
      </w:r>
      <w:hyperlink r:id="rId27" w:history="1">
        <w:r w:rsidRPr="000F2BF8">
          <w:rPr>
            <w:rStyle w:val="Hyperlink"/>
          </w:rPr>
          <w:t>Capacity building for safeguarding intangible cultural heritage in emergencies in Small Island Developing States (SIDS) in the Pacific and the Caribbean</w:t>
        </w:r>
      </w:hyperlink>
      <w:r w:rsidR="00114743" w:rsidRPr="000F2BF8">
        <w:t>’</w:t>
      </w:r>
      <w:r w:rsidR="00155D5B" w:rsidRPr="000F2BF8">
        <w:t xml:space="preserve">, </w:t>
      </w:r>
      <w:r w:rsidR="00FB0D1C" w:rsidRPr="000F2BF8">
        <w:t>supported</w:t>
      </w:r>
      <w:r w:rsidRPr="000F2BF8">
        <w:t xml:space="preserve"> by the Japan Funds-in-Trust, </w:t>
      </w:r>
      <w:r w:rsidR="00155D5B" w:rsidRPr="000F2BF8">
        <w:t>was completed</w:t>
      </w:r>
      <w:r w:rsidRPr="000F2BF8">
        <w:t xml:space="preserve"> in five States Parties (The Bahamas, Belize, Fiji, Tonga and Vanuatu)</w:t>
      </w:r>
      <w:r w:rsidR="000350D5" w:rsidRPr="000F2BF8">
        <w:t xml:space="preserve"> in December 2025</w:t>
      </w:r>
      <w:r w:rsidRPr="000F2BF8">
        <w:t xml:space="preserve">. In the context of the war in Ukraine, the Secretariat </w:t>
      </w:r>
      <w:r w:rsidR="00610A03" w:rsidRPr="000F2BF8">
        <w:t>coordinated with the Government of Ukraine to monitor safeguarding needs, guided by the 2024 Action Plan</w:t>
      </w:r>
      <w:r w:rsidR="00364462" w:rsidRPr="000F2BF8">
        <w:t xml:space="preserve"> and with the support of the Heritage Emergency Fund. In particular, the second phase of the project</w:t>
      </w:r>
      <w:r w:rsidR="00BC61B3" w:rsidRPr="000F2BF8">
        <w:t xml:space="preserve"> was launched in June 2025, with 100 teacher-trainers from across Ukraine having been trained in four in-person workshops.</w:t>
      </w:r>
    </w:p>
    <w:p w14:paraId="237F2A6B" w14:textId="4A04AC87" w:rsidR="00342D8D" w:rsidRPr="000F2BF8" w:rsidRDefault="00342D8D" w:rsidP="0072052C">
      <w:pPr>
        <w:pStyle w:val="COMPara"/>
        <w:ind w:left="567" w:hanging="567"/>
        <w:jc w:val="both"/>
      </w:pPr>
      <w:r w:rsidRPr="000F2BF8">
        <w:t xml:space="preserve">The Convention’s first regional cycle of </w:t>
      </w:r>
      <w:r w:rsidRPr="000F2BF8">
        <w:rPr>
          <w:u w:val="single"/>
        </w:rPr>
        <w:t>periodic reporting</w:t>
      </w:r>
      <w:r w:rsidRPr="000F2BF8">
        <w:t xml:space="preserve"> concluded in 2025, having achieved a high submission rate of reports</w:t>
      </w:r>
      <w:r w:rsidR="00B60101" w:rsidRPr="000F2BF8">
        <w:t xml:space="preserve"> across all regions</w:t>
      </w:r>
      <w:r w:rsidRPr="000F2BF8">
        <w:t xml:space="preserve">. The submission rates of the final two regions to report over the 2024-2025 period were </w:t>
      </w:r>
      <w:r w:rsidR="00B60101" w:rsidRPr="000F2BF8">
        <w:t xml:space="preserve">100% </w:t>
      </w:r>
      <w:r w:rsidRPr="000F2BF8">
        <w:t>for Africa</w:t>
      </w:r>
      <w:r w:rsidR="0017270C" w:rsidRPr="000F2BF8">
        <w:t xml:space="preserve"> </w:t>
      </w:r>
      <w:r w:rsidRPr="000F2BF8">
        <w:t>(</w:t>
      </w:r>
      <w:r w:rsidR="00B60101" w:rsidRPr="000F2BF8">
        <w:t>44</w:t>
      </w:r>
      <w:r w:rsidRPr="000F2BF8">
        <w:t xml:space="preserve"> out of 44 expected reports were submitted and examined by the nineteenth session of the Committee) and 90% for Asia and the Pacific</w:t>
      </w:r>
      <w:r w:rsidR="0017270C" w:rsidRPr="000F2BF8">
        <w:t xml:space="preserve"> </w:t>
      </w:r>
      <w:r w:rsidRPr="000F2BF8">
        <w:t>(38 out of 42 expected reports were submitted and examined by the twentieth session of the Committee). The Secretariat supported these two regions closely with a tailored capacity-building approach, in cooperation with UNESCO Category 2 Centres in the field of living heritage.</w:t>
      </w:r>
      <w:r w:rsidR="002A42ED" w:rsidRPr="000F2BF8">
        <w:t xml:space="preserve"> Moving forward, the Committee has asked that </w:t>
      </w:r>
      <w:r w:rsidR="003F5757" w:rsidRPr="000F2BF8">
        <w:t>C</w:t>
      </w:r>
      <w:r w:rsidR="002A42ED" w:rsidRPr="000F2BF8">
        <w:t xml:space="preserve">ategory 2 </w:t>
      </w:r>
      <w:r w:rsidR="003F5757" w:rsidRPr="000F2BF8">
        <w:t>C</w:t>
      </w:r>
      <w:r w:rsidR="002A42ED" w:rsidRPr="000F2BF8">
        <w:t xml:space="preserve">entres continue to support the implementation of the next cycle of periodic reporting, particularly in the </w:t>
      </w:r>
      <w:r w:rsidR="00343AC7" w:rsidRPr="000F2BF8">
        <w:t xml:space="preserve">move </w:t>
      </w:r>
      <w:r w:rsidR="002A42ED" w:rsidRPr="000F2BF8">
        <w:t xml:space="preserve">towards a single global submission system (Decision </w:t>
      </w:r>
      <w:hyperlink r:id="rId28" w:history="1">
        <w:r w:rsidR="002A42ED" w:rsidRPr="000F2BF8">
          <w:rPr>
            <w:rStyle w:val="Hyperlink"/>
          </w:rPr>
          <w:t>20.COM 6.c</w:t>
        </w:r>
      </w:hyperlink>
      <w:r w:rsidR="002339C6" w:rsidRPr="000F2BF8">
        <w:t xml:space="preserve"> and </w:t>
      </w:r>
      <w:r w:rsidR="002339C6" w:rsidRPr="000F2BF8">
        <w:rPr>
          <w:rStyle w:val="ui-provider"/>
        </w:rPr>
        <w:t xml:space="preserve">document </w:t>
      </w:r>
      <w:hyperlink r:id="rId29" w:history="1">
        <w:r w:rsidR="002339C6" w:rsidRPr="000F2BF8">
          <w:rPr>
            <w:rStyle w:val="Hyperlink"/>
          </w:rPr>
          <w:t>LHE/26/11.GA/7</w:t>
        </w:r>
      </w:hyperlink>
      <w:r w:rsidR="002A42ED" w:rsidRPr="000F2BF8">
        <w:t>)</w:t>
      </w:r>
    </w:p>
    <w:p w14:paraId="02295069" w14:textId="4B6D2A3D" w:rsidR="006D60A9" w:rsidRPr="000F2BF8" w:rsidRDefault="002A42ED" w:rsidP="0072052C">
      <w:pPr>
        <w:pStyle w:val="COMPara"/>
        <w:ind w:left="567" w:hanging="567"/>
        <w:jc w:val="both"/>
      </w:pPr>
      <w:r w:rsidRPr="000F2BF8">
        <w:t xml:space="preserve">The </w:t>
      </w:r>
      <w:r w:rsidRPr="000F2BF8">
        <w:rPr>
          <w:u w:val="single"/>
        </w:rPr>
        <w:t>International Assistance</w:t>
      </w:r>
      <w:r w:rsidRPr="000F2BF8">
        <w:t xml:space="preserve"> mechanism </w:t>
      </w:r>
      <w:r w:rsidR="00D425CF" w:rsidRPr="000F2BF8">
        <w:t xml:space="preserve">continued its operationalization of the strategy approved by the Committee at its seventeenth session (Decision </w:t>
      </w:r>
      <w:hyperlink r:id="rId30" w:history="1">
        <w:r w:rsidR="00D425CF" w:rsidRPr="000F2BF8">
          <w:rPr>
            <w:rStyle w:val="Hyperlink"/>
          </w:rPr>
          <w:t>17.COM 11</w:t>
        </w:r>
      </w:hyperlink>
      <w:r w:rsidR="00D425CF" w:rsidRPr="000F2BF8">
        <w:t>)</w:t>
      </w:r>
      <w:r w:rsidR="0053296F" w:rsidRPr="000F2BF8">
        <w:t xml:space="preserve">, particularly with the launch of the pilot evaluation exercise for two completed projects carried out in line with the aforementioned strategy. In tandem, the Secretariat continued to support national safeguarding efforts, </w:t>
      </w:r>
      <w:r w:rsidR="009A2578" w:rsidRPr="000F2BF8">
        <w:t xml:space="preserve">with </w:t>
      </w:r>
      <w:r w:rsidR="008128A0" w:rsidRPr="000F2BF8">
        <w:t xml:space="preserve">15 </w:t>
      </w:r>
      <w:r w:rsidR="009A2578" w:rsidRPr="000F2BF8">
        <w:t xml:space="preserve">States Parties (including five SIDS) receiving financial assistance for the first time, thereby broadening the mechanism’s geographical reach (documents </w:t>
      </w:r>
      <w:hyperlink r:id="rId31" w:history="1">
        <w:r w:rsidR="009A2578" w:rsidRPr="000F2BF8">
          <w:rPr>
            <w:rStyle w:val="Hyperlink"/>
          </w:rPr>
          <w:t>LHE/26/11.GA/8</w:t>
        </w:r>
      </w:hyperlink>
      <w:r w:rsidR="009A2578" w:rsidRPr="000F2BF8">
        <w:t xml:space="preserve"> and </w:t>
      </w:r>
      <w:hyperlink r:id="rId32" w:history="1">
        <w:r w:rsidR="009A2578" w:rsidRPr="000F2BF8">
          <w:rPr>
            <w:rStyle w:val="Hyperlink"/>
          </w:rPr>
          <w:t>LHE/26/11.GA/INF.8</w:t>
        </w:r>
      </w:hyperlink>
      <w:r w:rsidR="009A2578" w:rsidRPr="000F2BF8">
        <w:t>).</w:t>
      </w:r>
    </w:p>
    <w:p w14:paraId="77321678" w14:textId="52C441C2" w:rsidR="00D63318" w:rsidRPr="000F2BF8" w:rsidRDefault="00AE2766" w:rsidP="0072052C">
      <w:pPr>
        <w:pStyle w:val="COMPara"/>
        <w:numPr>
          <w:ilvl w:val="0"/>
          <w:numId w:val="21"/>
        </w:numPr>
        <w:spacing w:before="240"/>
        <w:ind w:left="567" w:hanging="567"/>
        <w:jc w:val="both"/>
        <w:rPr>
          <w:b/>
          <w:bCs/>
        </w:rPr>
      </w:pPr>
      <w:r w:rsidRPr="000F2BF8">
        <w:rPr>
          <w:b/>
          <w:bCs/>
        </w:rPr>
        <w:t>Operational activities and thematic initiatives</w:t>
      </w:r>
    </w:p>
    <w:p w14:paraId="1AD5C246" w14:textId="305B9514" w:rsidR="00D63318" w:rsidRPr="000F2BF8" w:rsidRDefault="00AE2766" w:rsidP="0072052C">
      <w:pPr>
        <w:pStyle w:val="COMPara"/>
        <w:ind w:left="567" w:hanging="567"/>
        <w:jc w:val="both"/>
      </w:pPr>
      <w:r w:rsidRPr="000F2BF8">
        <w:t xml:space="preserve">Operationally, the Secretariat’s </w:t>
      </w:r>
      <w:r w:rsidRPr="000F2BF8">
        <w:rPr>
          <w:u w:val="single"/>
        </w:rPr>
        <w:t>capacity-building initiatives</w:t>
      </w:r>
      <w:r w:rsidRPr="000F2BF8">
        <w:t xml:space="preserve"> have widened in both scope</w:t>
      </w:r>
      <w:r w:rsidR="004B62A5" w:rsidRPr="000F2BF8">
        <w:t xml:space="preserve"> </w:t>
      </w:r>
      <w:r w:rsidRPr="000F2BF8">
        <w:t xml:space="preserve">and reach under the first funding priority </w:t>
      </w:r>
      <w:r w:rsidR="00AB1551" w:rsidRPr="000F2BF8">
        <w:t xml:space="preserve">of </w:t>
      </w:r>
      <w:r w:rsidRPr="000F2BF8">
        <w:t>the Convention</w:t>
      </w:r>
      <w:r w:rsidR="009751C9" w:rsidRPr="000F2BF8">
        <w:t xml:space="preserve"> (which concluded in end-2025; see document </w:t>
      </w:r>
      <w:hyperlink r:id="rId33" w:history="1">
        <w:r w:rsidR="009751C9" w:rsidRPr="000F2BF8">
          <w:rPr>
            <w:rStyle w:val="Hyperlink"/>
          </w:rPr>
          <w:t>LHE/25/20.COM/INF.13.1</w:t>
        </w:r>
      </w:hyperlink>
      <w:r w:rsidR="009751C9" w:rsidRPr="000F2BF8">
        <w:t>)</w:t>
      </w:r>
      <w:r w:rsidRPr="000F2BF8">
        <w:t>, with support provided to 127 Member States, including 44 in Africa and 33 SIDS, to develop new or revised policies, strategies, and programmes to safeguard living heritage.</w:t>
      </w:r>
    </w:p>
    <w:p w14:paraId="172360F8" w14:textId="35FA4159" w:rsidR="00D340C6" w:rsidRPr="000F2BF8" w:rsidRDefault="000B7CEF" w:rsidP="0072052C">
      <w:pPr>
        <w:pStyle w:val="COMPara"/>
        <w:ind w:left="567" w:hanging="567"/>
        <w:jc w:val="both"/>
      </w:pPr>
      <w:r w:rsidRPr="000F2BF8">
        <w:lastRenderedPageBreak/>
        <w:t>At the conclusion of the first funding priority, t</w:t>
      </w:r>
      <w:r w:rsidR="00D340C6" w:rsidRPr="000F2BF8">
        <w:t xml:space="preserve">he </w:t>
      </w:r>
      <w:r w:rsidR="001D5A0C" w:rsidRPr="000F2BF8">
        <w:t xml:space="preserve">capacity-building </w:t>
      </w:r>
      <w:r w:rsidR="00D340C6" w:rsidRPr="000F2BF8">
        <w:t xml:space="preserve">programme has </w:t>
      </w:r>
      <w:r w:rsidR="00EE12FE" w:rsidRPr="000F2BF8">
        <w:t>effectively completed</w:t>
      </w:r>
      <w:r w:rsidR="00D340C6" w:rsidRPr="000F2BF8">
        <w:t xml:space="preserve"> its transition to a hybrid modality, particularly with the launch of the </w:t>
      </w:r>
      <w:r w:rsidR="0092257C" w:rsidRPr="000F2BF8">
        <w:rPr>
          <w:u w:val="single"/>
        </w:rPr>
        <w:t>UNESCO Learning Platform for safeguarding living heritage for sustainable development</w:t>
      </w:r>
      <w:r w:rsidR="0092257C" w:rsidRPr="000F2BF8">
        <w:t xml:space="preserve">. Through a partnership with the International Training Centre of the International Labour Organization (ITC-ILO), as well as an external company and facilitators, the platform was launched </w:t>
      </w:r>
      <w:r w:rsidR="00A06B4D" w:rsidRPr="000F2BF8">
        <w:t xml:space="preserve">for the public </w:t>
      </w:r>
      <w:r w:rsidR="0092257C" w:rsidRPr="000F2BF8">
        <w:t xml:space="preserve">on 23 May 2025, and the first </w:t>
      </w:r>
      <w:hyperlink r:id="rId34" w:history="1">
        <w:r w:rsidR="0092257C" w:rsidRPr="000F2BF8">
          <w:rPr>
            <w:rStyle w:val="Hyperlink"/>
          </w:rPr>
          <w:t>three modules</w:t>
        </w:r>
      </w:hyperlink>
      <w:r w:rsidR="0092257C" w:rsidRPr="000F2BF8">
        <w:t xml:space="preserve"> were </w:t>
      </w:r>
      <w:r w:rsidR="00A06B4D" w:rsidRPr="000F2BF8">
        <w:t>uploaded</w:t>
      </w:r>
      <w:r w:rsidR="0092257C" w:rsidRPr="000F2BF8">
        <w:t xml:space="preserve"> in December 2025 </w:t>
      </w:r>
      <w:r w:rsidR="00343AC7" w:rsidRPr="000F2BF8">
        <w:t xml:space="preserve">and presented </w:t>
      </w:r>
      <w:r w:rsidR="0092257C" w:rsidRPr="000F2BF8">
        <w:t>at the twentieth session of the Committee.</w:t>
      </w:r>
      <w:r w:rsidR="00A06B4D" w:rsidRPr="000F2BF8">
        <w:t xml:space="preserve"> In the same vein, the</w:t>
      </w:r>
      <w:r w:rsidR="00F94F41" w:rsidRPr="000F2BF8">
        <w:t xml:space="preserve"> Convention’s</w:t>
      </w:r>
      <w:r w:rsidR="00A06B4D" w:rsidRPr="000F2BF8">
        <w:t xml:space="preserve"> </w:t>
      </w:r>
      <w:r w:rsidR="00A06B4D" w:rsidRPr="000F2BF8">
        <w:rPr>
          <w:u w:val="single"/>
        </w:rPr>
        <w:t>global network of facilitators</w:t>
      </w:r>
      <w:r w:rsidR="00A06B4D" w:rsidRPr="000F2BF8">
        <w:t xml:space="preserve"> received training in the thematic areas of the Convention, via a series of training webinars on the connections between living heritage and (1) </w:t>
      </w:r>
      <w:hyperlink r:id="rId35" w:history="1">
        <w:r w:rsidR="00A06B4D" w:rsidRPr="000F2BF8">
          <w:rPr>
            <w:rStyle w:val="Hyperlink"/>
          </w:rPr>
          <w:t>disaster risk reduction</w:t>
        </w:r>
      </w:hyperlink>
      <w:r w:rsidR="00A06B4D" w:rsidRPr="000F2BF8">
        <w:t xml:space="preserve"> (March 2025); (2) </w:t>
      </w:r>
      <w:hyperlink r:id="rId36" w:history="1">
        <w:r w:rsidR="00A06B4D" w:rsidRPr="000F2BF8">
          <w:rPr>
            <w:rStyle w:val="Hyperlink"/>
          </w:rPr>
          <w:t>nominations</w:t>
        </w:r>
      </w:hyperlink>
      <w:r w:rsidR="00A06B4D" w:rsidRPr="000F2BF8">
        <w:t xml:space="preserve"> (June 2025); and </w:t>
      </w:r>
      <w:r w:rsidR="00DF5379" w:rsidRPr="000F2BF8">
        <w:t xml:space="preserve">(3) </w:t>
      </w:r>
      <w:hyperlink r:id="rId37" w:history="1">
        <w:r w:rsidR="00A06B4D" w:rsidRPr="000F2BF8">
          <w:rPr>
            <w:rStyle w:val="Hyperlink"/>
          </w:rPr>
          <w:t>education</w:t>
        </w:r>
      </w:hyperlink>
      <w:r w:rsidR="00A06B4D" w:rsidRPr="000F2BF8">
        <w:t xml:space="preserve"> (July 2025).</w:t>
      </w:r>
    </w:p>
    <w:p w14:paraId="067BDEE1" w14:textId="2196A1A4" w:rsidR="0092257C" w:rsidRPr="000F2BF8" w:rsidRDefault="005E01CF" w:rsidP="0072052C">
      <w:pPr>
        <w:pStyle w:val="COMPara"/>
        <w:ind w:left="567" w:hanging="567"/>
        <w:jc w:val="both"/>
      </w:pPr>
      <w:r w:rsidRPr="000F2BF8">
        <w:t>The</w:t>
      </w:r>
      <w:r w:rsidR="0092257C" w:rsidRPr="000F2BF8">
        <w:t xml:space="preserve"> programme on </w:t>
      </w:r>
      <w:r w:rsidR="0092257C" w:rsidRPr="000F2BF8">
        <w:rPr>
          <w:u w:val="single"/>
        </w:rPr>
        <w:t>safeguarding intangible cultural heritage in formal and non-formal education</w:t>
      </w:r>
      <w:r w:rsidR="0092257C" w:rsidRPr="000F2BF8">
        <w:t xml:space="preserve"> </w:t>
      </w:r>
      <w:r w:rsidR="00246993" w:rsidRPr="000F2BF8">
        <w:t xml:space="preserve">was implemented under </w:t>
      </w:r>
      <w:r w:rsidRPr="000F2BF8">
        <w:t xml:space="preserve">the second funding priority </w:t>
      </w:r>
      <w:r w:rsidR="00246993" w:rsidRPr="000F2BF8">
        <w:t>of</w:t>
      </w:r>
      <w:r w:rsidRPr="000F2BF8">
        <w:t xml:space="preserve"> the Convention (</w:t>
      </w:r>
      <w:r w:rsidR="00FF4790" w:rsidRPr="000F2BF8">
        <w:t xml:space="preserve">document </w:t>
      </w:r>
      <w:hyperlink r:id="rId38" w:history="1">
        <w:r w:rsidR="00FF4790" w:rsidRPr="000F2BF8">
          <w:rPr>
            <w:rStyle w:val="Hyperlink"/>
          </w:rPr>
          <w:t>LHE/25/20.COM/INF.13.2</w:t>
        </w:r>
      </w:hyperlink>
      <w:r w:rsidRPr="000F2BF8">
        <w:t>)</w:t>
      </w:r>
      <w:r w:rsidR="00246993" w:rsidRPr="000F2BF8">
        <w:t>, which came to an end in 2025</w:t>
      </w:r>
      <w:r w:rsidRPr="000F2BF8">
        <w:t>. The programme has</w:t>
      </w:r>
      <w:r w:rsidR="00DD2062" w:rsidRPr="000F2BF8">
        <w:t xml:space="preserve"> successfully</w:t>
      </w:r>
      <w:r w:rsidRPr="000F2BF8">
        <w:t xml:space="preserve"> </w:t>
      </w:r>
      <w:r w:rsidR="00DD2062" w:rsidRPr="000F2BF8">
        <w:t>demonstrated</w:t>
      </w:r>
      <w:r w:rsidR="00FF4790" w:rsidRPr="000F2BF8">
        <w:t xml:space="preserve"> how</w:t>
      </w:r>
      <w:r w:rsidRPr="000F2BF8">
        <w:t xml:space="preserve"> </w:t>
      </w:r>
      <w:r w:rsidR="00FF4790" w:rsidRPr="000F2BF8">
        <w:t xml:space="preserve">living heritage can support learners in a variety of educational contexts, particularly through the integration of living heritage safeguarding into major international education frameworks such as the </w:t>
      </w:r>
      <w:hyperlink r:id="rId39" w:history="1">
        <w:r w:rsidR="00FF4790" w:rsidRPr="000F2BF8">
          <w:rPr>
            <w:rStyle w:val="Hyperlink"/>
          </w:rPr>
          <w:t>UNESCO Framework for Culture and Arts Education</w:t>
        </w:r>
      </w:hyperlink>
      <w:r w:rsidR="00FF4790" w:rsidRPr="000F2BF8">
        <w:t xml:space="preserve"> (2024). Online resources in this area have also been developed over the reporting period; </w:t>
      </w:r>
      <w:r w:rsidR="003B4661" w:rsidRPr="000F2BF8">
        <w:t>this includes</w:t>
      </w:r>
      <w:r w:rsidR="00FF4790" w:rsidRPr="000F2BF8">
        <w:t xml:space="preserve"> </w:t>
      </w:r>
      <w:r w:rsidR="00DA291A" w:rsidRPr="000F2BF8">
        <w:t xml:space="preserve">the </w:t>
      </w:r>
      <w:hyperlink r:id="rId40" w:history="1">
        <w:r w:rsidR="00DA291A" w:rsidRPr="000F2BF8">
          <w:rPr>
            <w:rStyle w:val="Hyperlink"/>
          </w:rPr>
          <w:t>Clearinghouse on living heritage and education</w:t>
        </w:r>
      </w:hyperlink>
      <w:r w:rsidR="00DA291A" w:rsidRPr="000F2BF8">
        <w:t xml:space="preserve"> as well as </w:t>
      </w:r>
      <w:r w:rsidR="00FF4790" w:rsidRPr="000F2BF8">
        <w:t xml:space="preserve">an online course entitled </w:t>
      </w:r>
      <w:hyperlink r:id="rId41" w:history="1">
        <w:r w:rsidR="00FF4790" w:rsidRPr="000F2BF8">
          <w:rPr>
            <w:rStyle w:val="Hyperlink"/>
          </w:rPr>
          <w:t>‘Transforming Learning with Living Heritage’</w:t>
        </w:r>
      </w:hyperlink>
      <w:r w:rsidR="003B4661" w:rsidRPr="000F2BF8">
        <w:t>,</w:t>
      </w:r>
      <w:r w:rsidR="00FF4790" w:rsidRPr="000F2BF8">
        <w:t xml:space="preserve"> </w:t>
      </w:r>
      <w:r w:rsidR="00DA291A" w:rsidRPr="000F2BF8">
        <w:t xml:space="preserve">which </w:t>
      </w:r>
      <w:r w:rsidR="00FF4790" w:rsidRPr="000F2BF8">
        <w:t>was released on the UNESCO Learning Platform at the twentieth session of the Committee.</w:t>
      </w:r>
    </w:p>
    <w:p w14:paraId="1D36AEA9" w14:textId="79843EE7" w:rsidR="005E01CF" w:rsidRPr="000F2BF8" w:rsidRDefault="005E01CF" w:rsidP="0072052C">
      <w:pPr>
        <w:pStyle w:val="COMPara"/>
        <w:ind w:left="567" w:hanging="567"/>
        <w:jc w:val="both"/>
      </w:pPr>
      <w:r w:rsidRPr="000F2BF8">
        <w:t xml:space="preserve">Finally, the Secretariat advanced the implementation of the three </w:t>
      </w:r>
      <w:r w:rsidRPr="000F2BF8">
        <w:rPr>
          <w:u w:val="single"/>
        </w:rPr>
        <w:t>thematic initiatives</w:t>
      </w:r>
      <w:r w:rsidRPr="000F2BF8">
        <w:t xml:space="preserve"> approved by the Committee in 2021, with the completion of </w:t>
      </w:r>
      <w:hyperlink r:id="rId42" w:history="1">
        <w:r w:rsidRPr="000F2BF8">
          <w:rPr>
            <w:rStyle w:val="Hyperlink"/>
          </w:rPr>
          <w:t>guidance notes</w:t>
        </w:r>
      </w:hyperlink>
      <w:r w:rsidRPr="000F2BF8">
        <w:t xml:space="preserve"> </w:t>
      </w:r>
      <w:r w:rsidR="00C00F88" w:rsidRPr="000F2BF8">
        <w:t>for</w:t>
      </w:r>
      <w:r w:rsidRPr="000F2BF8">
        <w:t xml:space="preserve"> all three topics</w:t>
      </w:r>
      <w:r w:rsidR="00313ADD" w:rsidRPr="000F2BF8">
        <w:t xml:space="preserve"> – namely, </w:t>
      </w:r>
      <w:r w:rsidRPr="000F2BF8">
        <w:t xml:space="preserve">the </w:t>
      </w:r>
      <w:hyperlink r:id="rId43" w:history="1">
        <w:r w:rsidRPr="000F2BF8">
          <w:rPr>
            <w:rStyle w:val="Hyperlink"/>
          </w:rPr>
          <w:t>economic dimensions</w:t>
        </w:r>
      </w:hyperlink>
      <w:r w:rsidRPr="000F2BF8">
        <w:t xml:space="preserve"> of safeguarding intangible cultural heritage, intangible cultural heritage and </w:t>
      </w:r>
      <w:hyperlink r:id="rId44" w:history="1">
        <w:r w:rsidRPr="000F2BF8">
          <w:rPr>
            <w:rStyle w:val="Hyperlink"/>
          </w:rPr>
          <w:t>climate change</w:t>
        </w:r>
      </w:hyperlink>
      <w:r w:rsidRPr="000F2BF8">
        <w:t xml:space="preserve">, and </w:t>
      </w:r>
      <w:r w:rsidR="00072C50" w:rsidRPr="000F2BF8">
        <w:t xml:space="preserve">intangible cultural heritage in </w:t>
      </w:r>
      <w:hyperlink r:id="rId45" w:history="1">
        <w:r w:rsidR="00072C50" w:rsidRPr="000F2BF8">
          <w:rPr>
            <w:rStyle w:val="Hyperlink"/>
          </w:rPr>
          <w:t>urban contexts</w:t>
        </w:r>
      </w:hyperlink>
      <w:r w:rsidR="00072C50" w:rsidRPr="000F2BF8">
        <w:t xml:space="preserve">. The completion of the three guidance notes has provided the Secretariat with a firm foundation for more sector-specific work in </w:t>
      </w:r>
      <w:r w:rsidR="00313ADD" w:rsidRPr="000F2BF8">
        <w:t>these areas</w:t>
      </w:r>
      <w:r w:rsidR="007056A3" w:rsidRPr="000F2BF8">
        <w:t xml:space="preserve"> </w:t>
      </w:r>
      <w:r w:rsidR="00072C50" w:rsidRPr="000F2BF8">
        <w:t xml:space="preserve">(see document </w:t>
      </w:r>
      <w:hyperlink r:id="rId46" w:history="1">
        <w:r w:rsidR="00A1417A" w:rsidRPr="000F2BF8">
          <w:rPr>
            <w:rStyle w:val="Hyperlink"/>
          </w:rPr>
          <w:t>LHE/25/20.COM/12</w:t>
        </w:r>
      </w:hyperlink>
      <w:r w:rsidR="00072C50" w:rsidRPr="000F2BF8">
        <w:t xml:space="preserve">). At </w:t>
      </w:r>
      <w:r w:rsidR="00343AC7" w:rsidRPr="000F2BF8">
        <w:t xml:space="preserve">its twentieth </w:t>
      </w:r>
      <w:r w:rsidR="00072C50" w:rsidRPr="000F2BF8">
        <w:t xml:space="preserve">session, the Committee also approved the launch of a new thematic initiative on artificial intelligence and living heritage, </w:t>
      </w:r>
      <w:r w:rsidR="00343AC7" w:rsidRPr="000F2BF8">
        <w:t xml:space="preserve">that has already received financial </w:t>
      </w:r>
      <w:r w:rsidR="00072C50" w:rsidRPr="000F2BF8">
        <w:t xml:space="preserve">support </w:t>
      </w:r>
      <w:r w:rsidR="00343AC7" w:rsidRPr="000F2BF8">
        <w:t>from</w:t>
      </w:r>
      <w:r w:rsidR="00072C50" w:rsidRPr="000F2BF8">
        <w:t xml:space="preserve"> the Kingdom of the Netherlands and Sweden (Decision</w:t>
      </w:r>
      <w:r w:rsidR="003D2712" w:rsidRPr="000F2BF8">
        <w:t>s</w:t>
      </w:r>
      <w:r w:rsidR="00072C50" w:rsidRPr="000F2BF8">
        <w:t xml:space="preserve"> </w:t>
      </w:r>
      <w:hyperlink r:id="rId47" w:history="1">
        <w:r w:rsidR="00072C50" w:rsidRPr="000F2BF8">
          <w:rPr>
            <w:rStyle w:val="Hyperlink"/>
          </w:rPr>
          <w:t>20.COM 12</w:t>
        </w:r>
      </w:hyperlink>
      <w:r w:rsidR="00072C50" w:rsidRPr="000F2BF8">
        <w:t xml:space="preserve"> and </w:t>
      </w:r>
      <w:hyperlink r:id="rId48" w:history="1">
        <w:r w:rsidR="00072C50" w:rsidRPr="000F2BF8">
          <w:rPr>
            <w:rStyle w:val="Hyperlink"/>
          </w:rPr>
          <w:t>20.COM 13</w:t>
        </w:r>
      </w:hyperlink>
      <w:r w:rsidR="00072C50" w:rsidRPr="000F2BF8">
        <w:t>).</w:t>
      </w:r>
    </w:p>
    <w:p w14:paraId="4F673F7C" w14:textId="51D63686" w:rsidR="00D425D5" w:rsidRPr="000F2BF8" w:rsidRDefault="00D425D5" w:rsidP="0072052C">
      <w:pPr>
        <w:pStyle w:val="COMPara"/>
        <w:numPr>
          <w:ilvl w:val="0"/>
          <w:numId w:val="21"/>
        </w:numPr>
        <w:spacing w:before="240"/>
        <w:ind w:left="567" w:hanging="567"/>
        <w:jc w:val="both"/>
        <w:rPr>
          <w:b/>
          <w:bCs/>
        </w:rPr>
      </w:pPr>
      <w:r w:rsidRPr="000F2BF8">
        <w:rPr>
          <w:b/>
          <w:bCs/>
        </w:rPr>
        <w:t>Partnerships, communications and outreach</w:t>
      </w:r>
    </w:p>
    <w:p w14:paraId="46FB5A21" w14:textId="54054822" w:rsidR="00D425D5" w:rsidRPr="000F2BF8" w:rsidRDefault="002E69E1" w:rsidP="0072052C">
      <w:pPr>
        <w:pStyle w:val="COMPara"/>
        <w:ind w:left="567" w:hanging="567"/>
        <w:jc w:val="both"/>
      </w:pPr>
      <w:r w:rsidRPr="000F2BF8">
        <w:t xml:space="preserve">The Secretariat continued to strengthen its collaboration with the </w:t>
      </w:r>
      <w:r w:rsidRPr="000F2BF8">
        <w:rPr>
          <w:u w:val="single"/>
        </w:rPr>
        <w:t>ICH NGO Forum</w:t>
      </w:r>
      <w:r w:rsidRPr="000F2BF8">
        <w:t>,</w:t>
      </w:r>
      <w:r w:rsidR="00974E2B" w:rsidRPr="000F2BF8">
        <w:t xml:space="preserve"> through regular information-sharing meetings with the Forum’s Executive Board and Working Groups. In line with Decision </w:t>
      </w:r>
      <w:hyperlink r:id="rId49" w:history="1">
        <w:r w:rsidR="00974E2B" w:rsidRPr="000F2BF8">
          <w:rPr>
            <w:rStyle w:val="Hyperlink"/>
          </w:rPr>
          <w:t>14.COM 15</w:t>
        </w:r>
      </w:hyperlink>
      <w:r w:rsidR="00974E2B" w:rsidRPr="000F2BF8">
        <w:t>, the Secretariat has completed the first phase of</w:t>
      </w:r>
      <w:r w:rsidRPr="000F2BF8">
        <w:t xml:space="preserve"> mapping the domains of competencies of</w:t>
      </w:r>
      <w:r w:rsidR="00974E2B" w:rsidRPr="000F2BF8">
        <w:t xml:space="preserve"> 60 </w:t>
      </w:r>
      <w:r w:rsidRPr="000F2BF8">
        <w:t>accredited NGO</w:t>
      </w:r>
      <w:r w:rsidR="00B40976" w:rsidRPr="000F2BF8">
        <w:t>s (</w:t>
      </w:r>
      <w:r w:rsidR="00974E2B" w:rsidRPr="000F2BF8">
        <w:t xml:space="preserve">which are now available on the </w:t>
      </w:r>
      <w:hyperlink r:id="rId50" w:history="1">
        <w:r w:rsidR="00974E2B" w:rsidRPr="000F2BF8">
          <w:rPr>
            <w:rStyle w:val="Hyperlink"/>
          </w:rPr>
          <w:t>Convention’s webpage</w:t>
        </w:r>
      </w:hyperlink>
      <w:r w:rsidR="00974E2B" w:rsidRPr="000F2BF8">
        <w:t>) and the second phase of mapping (of 100 NGO profiles) is currently underway.</w:t>
      </w:r>
    </w:p>
    <w:p w14:paraId="00088C9F" w14:textId="58B1B37D" w:rsidR="005D19E0" w:rsidRPr="000F2BF8" w:rsidRDefault="00D54CDA" w:rsidP="0072052C">
      <w:pPr>
        <w:pStyle w:val="COMPara"/>
        <w:ind w:left="567" w:hanging="567"/>
        <w:jc w:val="both"/>
      </w:pPr>
      <w:r w:rsidRPr="000F2BF8">
        <w:t xml:space="preserve">The Secretariat also continued its collaboration with </w:t>
      </w:r>
      <w:r w:rsidR="00803060" w:rsidRPr="000F2BF8">
        <w:rPr>
          <w:u w:val="single"/>
        </w:rPr>
        <w:t>Category 2 Centres</w:t>
      </w:r>
      <w:r w:rsidRPr="000F2BF8">
        <w:t xml:space="preserve"> and </w:t>
      </w:r>
      <w:r w:rsidRPr="000F2BF8">
        <w:rPr>
          <w:u w:val="single"/>
        </w:rPr>
        <w:t>UNESCO Chairs</w:t>
      </w:r>
      <w:r w:rsidRPr="000F2BF8">
        <w:t xml:space="preserve"> working in the field of intangible cultural heritage.</w:t>
      </w:r>
      <w:r w:rsidR="00803060" w:rsidRPr="000F2BF8">
        <w:t xml:space="preserve"> </w:t>
      </w:r>
      <w:r w:rsidRPr="000F2BF8">
        <w:t>With regards to the Category 2 Centres, the</w:t>
      </w:r>
      <w:r w:rsidR="00803060" w:rsidRPr="000F2BF8">
        <w:t xml:space="preserve"> twelfth annual coordination meeting was held at </w:t>
      </w:r>
      <w:r w:rsidR="005D19E0" w:rsidRPr="000F2BF8">
        <w:t>UNESCO Headquarters on 13 June 2024</w:t>
      </w:r>
      <w:r w:rsidR="00803060" w:rsidRPr="000F2BF8">
        <w:t xml:space="preserve">, while the thirteenth meeting was held online </w:t>
      </w:r>
      <w:r w:rsidR="005D19E0" w:rsidRPr="000F2BF8">
        <w:t>on 16 July 2025</w:t>
      </w:r>
      <w:r w:rsidR="00803060" w:rsidRPr="000F2BF8">
        <w:t xml:space="preserve">. In addition, the Secretariat coordinated renewal processes for </w:t>
      </w:r>
      <w:r w:rsidR="00A1417A" w:rsidRPr="000F2BF8">
        <w:t xml:space="preserve">five </w:t>
      </w:r>
      <w:r w:rsidR="005D19E0" w:rsidRPr="000F2BF8">
        <w:t>Category 2 Centres</w:t>
      </w:r>
      <w:r w:rsidR="00107C14" w:rsidRPr="000F2BF8">
        <w:rPr>
          <w:rStyle w:val="FootnoteReference"/>
          <w:bCs/>
          <w:iCs/>
        </w:rPr>
        <w:footnoteReference w:id="2"/>
      </w:r>
      <w:r w:rsidR="00107C14" w:rsidRPr="000F2BF8">
        <w:t xml:space="preserve">. </w:t>
      </w:r>
      <w:r w:rsidR="005D19E0" w:rsidRPr="000F2BF8">
        <w:t>Th</w:t>
      </w:r>
      <w:r w:rsidRPr="000F2BF8">
        <w:t>e</w:t>
      </w:r>
      <w:r w:rsidR="005D19E0" w:rsidRPr="000F2BF8">
        <w:t xml:space="preserve"> reporting period also </w:t>
      </w:r>
      <w:r w:rsidR="003B4661" w:rsidRPr="000F2BF8">
        <w:t>saw</w:t>
      </w:r>
      <w:r w:rsidR="005D19E0" w:rsidRPr="000F2BF8">
        <w:t xml:space="preserve"> the </w:t>
      </w:r>
      <w:r w:rsidR="003B4661" w:rsidRPr="000F2BF8">
        <w:t>renewal of five UNESCO/UNITWIN Chairs, and the establishment of one new Chair on Intangible Cultural Heritage in Public and Global Governance (University of Warsaw).</w:t>
      </w:r>
    </w:p>
    <w:p w14:paraId="06552BDC" w14:textId="052514E8" w:rsidR="00ED5C10" w:rsidRPr="000F2BF8" w:rsidRDefault="005D19E0" w:rsidP="0072052C">
      <w:pPr>
        <w:pStyle w:val="COMPara"/>
        <w:ind w:left="567" w:hanging="567"/>
        <w:jc w:val="both"/>
      </w:pPr>
      <w:r w:rsidRPr="000F2BF8">
        <w:t xml:space="preserve">Strategic </w:t>
      </w:r>
      <w:r w:rsidRPr="000F2BF8">
        <w:rPr>
          <w:u w:val="single"/>
        </w:rPr>
        <w:t>communications</w:t>
      </w:r>
      <w:r w:rsidRPr="000F2BF8">
        <w:t xml:space="preserve"> and </w:t>
      </w:r>
      <w:r w:rsidRPr="000F2BF8">
        <w:rPr>
          <w:u w:val="single"/>
        </w:rPr>
        <w:t>knowledge management services</w:t>
      </w:r>
      <w:r w:rsidRPr="000F2BF8">
        <w:t xml:space="preserve"> were strengthened over the reporting period, in line with the Convention’s shift to a multi-modal approach to safeguarding.</w:t>
      </w:r>
      <w:r w:rsidR="00ED5C10" w:rsidRPr="000F2BF8">
        <w:t xml:space="preserve"> In particular, the celebrations of the </w:t>
      </w:r>
      <w:hyperlink r:id="rId51" w:history="1">
        <w:r w:rsidR="00ED5C10" w:rsidRPr="000F2BF8">
          <w:rPr>
            <w:rStyle w:val="Hyperlink"/>
          </w:rPr>
          <w:t>International Day of the Intangible Cultural Heritage</w:t>
        </w:r>
      </w:hyperlink>
      <w:r w:rsidR="00ED5C10" w:rsidRPr="000F2BF8">
        <w:t xml:space="preserve"> (17</w:t>
      </w:r>
      <w:r w:rsidR="00D70933" w:rsidRPr="000F2BF8">
        <w:t> </w:t>
      </w:r>
      <w:r w:rsidR="00ED5C10" w:rsidRPr="000F2BF8">
        <w:t>October) saw a high number of activities being shared on the webpage of the Convention (100 activities in 2024 and 134 activities in 2025)</w:t>
      </w:r>
      <w:r w:rsidR="00361E09" w:rsidRPr="000F2BF8">
        <w:t>.</w:t>
      </w:r>
      <w:r w:rsidR="0000093B" w:rsidRPr="000F2BF8">
        <w:t xml:space="preserve"> Furthermore, the Secretariat </w:t>
      </w:r>
      <w:r w:rsidR="007E5EA4" w:rsidRPr="000F2BF8">
        <w:t xml:space="preserve">supported </w:t>
      </w:r>
      <w:r w:rsidR="0000093B" w:rsidRPr="000F2BF8">
        <w:t xml:space="preserve">the </w:t>
      </w:r>
      <w:r w:rsidR="0000093B" w:rsidRPr="000F2BF8">
        <w:lastRenderedPageBreak/>
        <w:t xml:space="preserve">establishment of the UNESCO-Sultan Haitham Prize for Intangible Cultural Heritage Safeguarding, </w:t>
      </w:r>
      <w:r w:rsidR="007E5EA4" w:rsidRPr="000F2BF8">
        <w:t>proposed by the Sultanate of Oman and this Prize</w:t>
      </w:r>
      <w:r w:rsidR="0000093B" w:rsidRPr="000F2BF8">
        <w:t xml:space="preserve"> was approved by the 224th session of the Executive Board in April 2026.</w:t>
      </w:r>
    </w:p>
    <w:p w14:paraId="157DC55D" w14:textId="1645C50E" w:rsidR="00610A03" w:rsidRPr="000F2BF8" w:rsidRDefault="00610A03" w:rsidP="0072052C">
      <w:pPr>
        <w:pStyle w:val="COMPara"/>
        <w:keepNext/>
        <w:numPr>
          <w:ilvl w:val="0"/>
          <w:numId w:val="21"/>
        </w:numPr>
        <w:spacing w:before="240"/>
        <w:ind w:left="567" w:hanging="567"/>
        <w:jc w:val="both"/>
        <w:rPr>
          <w:b/>
          <w:bCs/>
        </w:rPr>
      </w:pPr>
      <w:r w:rsidRPr="000F2BF8">
        <w:rPr>
          <w:b/>
          <w:bCs/>
        </w:rPr>
        <w:t>Future directions of the Convention</w:t>
      </w:r>
    </w:p>
    <w:p w14:paraId="15092FD8" w14:textId="08F2236D" w:rsidR="00610A03" w:rsidRPr="000F2BF8" w:rsidRDefault="00610A03" w:rsidP="0072052C">
      <w:pPr>
        <w:pStyle w:val="COMPara"/>
        <w:ind w:left="567" w:hanging="567"/>
        <w:jc w:val="both"/>
      </w:pPr>
      <w:r w:rsidRPr="000F2BF8">
        <w:t>Th</w:t>
      </w:r>
      <w:r w:rsidR="002E69E1" w:rsidRPr="000F2BF8">
        <w:t>e</w:t>
      </w:r>
      <w:r w:rsidRPr="000F2BF8">
        <w:t xml:space="preserve"> present report comes at a turning point for the Convention, with the conclusion of the two funding priorities</w:t>
      </w:r>
      <w:r w:rsidR="006B61E6" w:rsidRPr="000F2BF8">
        <w:t xml:space="preserve"> (2022-2025)</w:t>
      </w:r>
      <w:r w:rsidRPr="000F2BF8">
        <w:t xml:space="preserve"> that have hitherto defined the thematic initiatives and operational activities of the Secretariat</w:t>
      </w:r>
      <w:r w:rsidR="006B61E6" w:rsidRPr="000F2BF8">
        <w:t xml:space="preserve">. </w:t>
      </w:r>
      <w:r w:rsidR="00F4180D" w:rsidRPr="000F2BF8">
        <w:t>In response to the directions established by the governing bodies of the Convention, the Secretariat has begun laying the groundwork for future-looking platforms and activities that are summarized in the two new funding priorities</w:t>
      </w:r>
      <w:r w:rsidR="006B61E6" w:rsidRPr="000F2BF8">
        <w:t xml:space="preserve"> (see </w:t>
      </w:r>
      <w:r w:rsidR="000B7CEF" w:rsidRPr="000F2BF8">
        <w:t xml:space="preserve">Decision </w:t>
      </w:r>
      <w:hyperlink r:id="rId52" w:history="1">
        <w:r w:rsidR="000B7CEF" w:rsidRPr="000F2BF8">
          <w:rPr>
            <w:rStyle w:val="Hyperlink"/>
          </w:rPr>
          <w:t>20.COM 13</w:t>
        </w:r>
      </w:hyperlink>
      <w:r w:rsidR="006B61E6" w:rsidRPr="000F2BF8">
        <w:t>)</w:t>
      </w:r>
      <w:r w:rsidR="00F4180D" w:rsidRPr="000F2BF8">
        <w:t>.</w:t>
      </w:r>
      <w:r w:rsidR="006B61E6" w:rsidRPr="000F2BF8">
        <w:t xml:space="preserve"> The</w:t>
      </w:r>
      <w:r w:rsidR="007E0EE6" w:rsidRPr="000F2BF8">
        <w:t>se new</w:t>
      </w:r>
      <w:r w:rsidR="006B61E6" w:rsidRPr="000F2BF8">
        <w:t xml:space="preserve"> funding priorities will inform the future capacity-building strategy, thematic initiatives, </w:t>
      </w:r>
      <w:r w:rsidR="00072C50" w:rsidRPr="000F2BF8">
        <w:t>and the Convention’s partnerships.</w:t>
      </w:r>
    </w:p>
    <w:p w14:paraId="2E5D1A7D" w14:textId="343FA910" w:rsidR="006B61E6" w:rsidRPr="000F2BF8" w:rsidRDefault="006B61E6" w:rsidP="0072052C">
      <w:pPr>
        <w:pStyle w:val="COMPara"/>
        <w:ind w:left="567" w:hanging="567"/>
        <w:jc w:val="both"/>
      </w:pPr>
      <w:r w:rsidRPr="000F2BF8">
        <w:t xml:space="preserve">The new funding priorities </w:t>
      </w:r>
      <w:r w:rsidR="002A42ED" w:rsidRPr="000F2BF8">
        <w:t xml:space="preserve">demonstrate an evolution in the Secretariat’s approach to safeguarding, in both form and substance. The twentieth anniversary of the Convention in 2023 illustrated that living heritage has become firmly embedded in the policies and programmes of States Parties across all geographical regions. This success therefore necessitates a </w:t>
      </w:r>
      <w:r w:rsidR="009C53FC" w:rsidRPr="000F2BF8">
        <w:t xml:space="preserve">further refinement </w:t>
      </w:r>
      <w:r w:rsidR="002A42ED" w:rsidRPr="000F2BF8">
        <w:t xml:space="preserve">in safeguarding approaches, </w:t>
      </w:r>
      <w:r w:rsidR="009C53FC" w:rsidRPr="000F2BF8">
        <w:t>with a foc</w:t>
      </w:r>
      <w:r w:rsidR="00721EAA" w:rsidRPr="000F2BF8">
        <w:t>us on human wellbeing and community empowerment which places inclusion at its core</w:t>
      </w:r>
      <w:r w:rsidR="002A42ED" w:rsidRPr="000F2BF8">
        <w:t xml:space="preserve"> (Funding Priority A) as well as exploration of new, emerging thematic areas that connect living heritage and the challenges of sustainable development (Funding Priority B). This also reflects the </w:t>
      </w:r>
      <w:r w:rsidR="000B7CEF" w:rsidRPr="000F2BF8">
        <w:t>forward-looking directions</w:t>
      </w:r>
      <w:r w:rsidR="002A42ED" w:rsidRPr="000F2BF8">
        <w:t xml:space="preserve"> that emerged from the</w:t>
      </w:r>
      <w:r w:rsidR="00BB1D1E" w:rsidRPr="000F2BF8">
        <w:t xml:space="preserve"> </w:t>
      </w:r>
      <w:hyperlink r:id="rId53" w:anchor=":~:text=Outlined%20during%20the%20celebration%20of,living%20heritage%20to%20ensure%20sustainable" w:history="1">
        <w:r w:rsidR="00BB1D1E" w:rsidRPr="000F2BF8">
          <w:rPr>
            <w:rStyle w:val="Hyperlink"/>
          </w:rPr>
          <w:t>Seoul Vision</w:t>
        </w:r>
      </w:hyperlink>
      <w:r w:rsidR="00BB1D1E" w:rsidRPr="000F2BF8">
        <w:t xml:space="preserve"> </w:t>
      </w:r>
      <w:r w:rsidR="00FB7D3B" w:rsidRPr="000F2BF8">
        <w:t>(2023)</w:t>
      </w:r>
      <w:r w:rsidR="00BB1D1E" w:rsidRPr="000F2BF8">
        <w:t>, the</w:t>
      </w:r>
      <w:r w:rsidR="002A42ED" w:rsidRPr="000F2BF8">
        <w:t xml:space="preserve"> MONDIACULT Declarations </w:t>
      </w:r>
      <w:r w:rsidR="00FB7D3B" w:rsidRPr="000F2BF8">
        <w:t>(</w:t>
      </w:r>
      <w:hyperlink r:id="rId54" w:history="1">
        <w:r w:rsidR="002A42ED" w:rsidRPr="000F2BF8">
          <w:rPr>
            <w:rStyle w:val="Hyperlink"/>
          </w:rPr>
          <w:t>2022</w:t>
        </w:r>
      </w:hyperlink>
      <w:r w:rsidR="002A42ED" w:rsidRPr="000F2BF8">
        <w:t xml:space="preserve"> and </w:t>
      </w:r>
      <w:hyperlink r:id="rId55" w:history="1">
        <w:r w:rsidR="002A42ED" w:rsidRPr="000F2BF8">
          <w:rPr>
            <w:rStyle w:val="Hyperlink"/>
          </w:rPr>
          <w:t>2025</w:t>
        </w:r>
      </w:hyperlink>
      <w:r w:rsidR="00FB7D3B" w:rsidRPr="000F2BF8">
        <w:t>)</w:t>
      </w:r>
      <w:r w:rsidR="002A42ED" w:rsidRPr="000F2BF8">
        <w:t xml:space="preserve">, as well as the programmatic directions and priorities outlined in the </w:t>
      </w:r>
      <w:hyperlink r:id="rId56" w:history="1">
        <w:r w:rsidR="002A42ED" w:rsidRPr="000F2BF8">
          <w:rPr>
            <w:rStyle w:val="Hyperlink"/>
          </w:rPr>
          <w:t>Draft Programme and Budget for 2026-2029</w:t>
        </w:r>
      </w:hyperlink>
      <w:r w:rsidR="002A42ED" w:rsidRPr="000F2BF8">
        <w:t xml:space="preserve"> (43 C/5).</w:t>
      </w:r>
    </w:p>
    <w:p w14:paraId="4D5D1D58" w14:textId="1A2C80F2" w:rsidR="002A42ED" w:rsidRPr="000F2BF8" w:rsidRDefault="002A42ED" w:rsidP="0072052C">
      <w:pPr>
        <w:pStyle w:val="COMPara"/>
        <w:ind w:left="567" w:hanging="567"/>
        <w:jc w:val="both"/>
      </w:pPr>
      <w:r w:rsidRPr="000F2BF8">
        <w:t xml:space="preserve">To that end, the Secretariat </w:t>
      </w:r>
      <w:r w:rsidR="002E69E1" w:rsidRPr="000F2BF8">
        <w:t xml:space="preserve">will continue to </w:t>
      </w:r>
      <w:r w:rsidR="00100BB8" w:rsidRPr="000F2BF8">
        <w:t xml:space="preserve">further </w:t>
      </w:r>
      <w:r w:rsidR="002E69E1" w:rsidRPr="000F2BF8">
        <w:t xml:space="preserve">strengthen its linkages with other Culture Conventions and other agencies and programmes within the UN system, </w:t>
      </w:r>
      <w:r w:rsidR="00180B2B" w:rsidRPr="000F2BF8">
        <w:t>ensuring</w:t>
      </w:r>
      <w:r w:rsidR="002E69E1" w:rsidRPr="000F2BF8">
        <w:t xml:space="preserve"> a holistic approach to safeguarding intangible cultural heritage and its associated dimensions. As an example, the Secretariat </w:t>
      </w:r>
      <w:r w:rsidR="008B7A26" w:rsidRPr="000F2BF8">
        <w:t xml:space="preserve">of the 2003 Convention </w:t>
      </w:r>
      <w:r w:rsidR="002E69E1" w:rsidRPr="000F2BF8">
        <w:t xml:space="preserve">has participated together with the </w:t>
      </w:r>
      <w:r w:rsidR="008B7A26" w:rsidRPr="000F2BF8">
        <w:t xml:space="preserve">Secretariat of the </w:t>
      </w:r>
      <w:r w:rsidR="002E69E1" w:rsidRPr="000F2BF8">
        <w:t>World Heritage Convention</w:t>
      </w:r>
      <w:r w:rsidR="008B7A26" w:rsidRPr="000F2BF8">
        <w:t xml:space="preserve"> in the second edition of the UNESCO Conference on Cultural Heritage in the 21</w:t>
      </w:r>
      <w:r w:rsidR="008B7A26" w:rsidRPr="000F2BF8">
        <w:rPr>
          <w:vertAlign w:val="superscript"/>
        </w:rPr>
        <w:t>st</w:t>
      </w:r>
      <w:r w:rsidR="008B7A26" w:rsidRPr="000F2BF8">
        <w:t xml:space="preserve"> Century</w:t>
      </w:r>
      <w:r w:rsidR="002E69E1" w:rsidRPr="000F2BF8">
        <w:t>, and continues to pursue similar cooperation with other</w:t>
      </w:r>
      <w:r w:rsidR="00897C26" w:rsidRPr="000F2BF8">
        <w:t xml:space="preserve"> UNESCO</w:t>
      </w:r>
      <w:r w:rsidR="002E69E1" w:rsidRPr="000F2BF8">
        <w:t xml:space="preserve"> programmes and </w:t>
      </w:r>
      <w:r w:rsidR="00897C26" w:rsidRPr="000F2BF8">
        <w:t xml:space="preserve">UN </w:t>
      </w:r>
      <w:r w:rsidR="002E69E1" w:rsidRPr="000F2BF8">
        <w:t xml:space="preserve">agencies in its thematic initiatives. Such cooperation will be deepened in line with the new funding priorities, </w:t>
      </w:r>
      <w:r w:rsidR="00897C26" w:rsidRPr="000F2BF8">
        <w:t>with a view to further embedding intangible cultural heritage within the global sustainable development agenda</w:t>
      </w:r>
      <w:r w:rsidR="00FB7D3B" w:rsidRPr="000F2BF8">
        <w:t xml:space="preserve">, as outlined in the first </w:t>
      </w:r>
      <w:hyperlink r:id="rId57" w:history="1">
        <w:r w:rsidR="00FB7D3B" w:rsidRPr="000F2BF8">
          <w:rPr>
            <w:rStyle w:val="Hyperlink"/>
          </w:rPr>
          <w:t>Global Report on Cultural Policies</w:t>
        </w:r>
      </w:hyperlink>
      <w:r w:rsidR="00FB7D3B" w:rsidRPr="000F2BF8">
        <w:t>.</w:t>
      </w:r>
    </w:p>
    <w:p w14:paraId="50D3EAFF" w14:textId="3A349EC1" w:rsidR="00D95C4C" w:rsidRPr="000F2BF8" w:rsidRDefault="005C792B" w:rsidP="0072052C">
      <w:pPr>
        <w:pStyle w:val="COMPara"/>
        <w:ind w:left="567" w:hanging="567"/>
      </w:pPr>
      <w:r w:rsidRPr="000F2BF8">
        <w:t>The General Assembly may wish to adopt the following resolution:</w:t>
      </w:r>
    </w:p>
    <w:p w14:paraId="6CEB1E9D" w14:textId="43F6FFAD" w:rsidR="00D95C4C" w:rsidRPr="000F2BF8" w:rsidRDefault="004A34A0" w:rsidP="0072052C">
      <w:pPr>
        <w:pStyle w:val="COMTitleDecision"/>
        <w:rPr>
          <w:rFonts w:eastAsia="SimSun"/>
        </w:rPr>
      </w:pPr>
      <w:r w:rsidRPr="000F2BF8">
        <w:t xml:space="preserve">DRAFT </w:t>
      </w:r>
      <w:r w:rsidR="005C792B" w:rsidRPr="000F2BF8">
        <w:t>RESOLUTION</w:t>
      </w:r>
      <w:r w:rsidR="00CB0542" w:rsidRPr="000F2BF8">
        <w:t xml:space="preserve"> 1</w:t>
      </w:r>
      <w:r w:rsidR="0026085B" w:rsidRPr="000F2BF8">
        <w:t>1</w:t>
      </w:r>
      <w:r w:rsidR="00EC6F8D" w:rsidRPr="000F2BF8">
        <w:t>.</w:t>
      </w:r>
      <w:r w:rsidR="005C792B" w:rsidRPr="000F2BF8">
        <w:t>GA</w:t>
      </w:r>
      <w:r w:rsidR="00517FD8" w:rsidRPr="000F2BF8">
        <w:t xml:space="preserve"> </w:t>
      </w:r>
      <w:r w:rsidR="00CB0D44" w:rsidRPr="000F2BF8">
        <w:t>6</w:t>
      </w:r>
    </w:p>
    <w:p w14:paraId="13024F0B" w14:textId="5181E164" w:rsidR="00D95C4C" w:rsidRPr="000F2BF8" w:rsidRDefault="005C792B" w:rsidP="0072052C">
      <w:pPr>
        <w:pStyle w:val="COMPreambulaDecisions"/>
        <w:rPr>
          <w:rFonts w:eastAsia="SimSun"/>
        </w:rPr>
      </w:pPr>
      <w:r w:rsidRPr="000F2BF8">
        <w:t>The General Assembly,</w:t>
      </w:r>
    </w:p>
    <w:p w14:paraId="5A9F22F3" w14:textId="52FC3DD2" w:rsidR="0057439C" w:rsidRPr="000F2BF8" w:rsidRDefault="00D95C4C" w:rsidP="0072052C">
      <w:pPr>
        <w:pStyle w:val="COMParaDecision"/>
      </w:pPr>
      <w:r w:rsidRPr="000F2BF8">
        <w:t>Having examined</w:t>
      </w:r>
      <w:r w:rsidRPr="000F2BF8">
        <w:rPr>
          <w:u w:val="none"/>
        </w:rPr>
        <w:t xml:space="preserve"> </w:t>
      </w:r>
      <w:r w:rsidR="00480175" w:rsidRPr="000F2BF8">
        <w:rPr>
          <w:u w:val="none"/>
        </w:rPr>
        <w:t>d</w:t>
      </w:r>
      <w:r w:rsidRPr="000F2BF8">
        <w:rPr>
          <w:u w:val="none"/>
        </w:rPr>
        <w:t>oc</w:t>
      </w:r>
      <w:r w:rsidR="00CB0542" w:rsidRPr="000F2BF8">
        <w:rPr>
          <w:u w:val="none"/>
        </w:rPr>
        <w:t xml:space="preserve">ument </w:t>
      </w:r>
      <w:r w:rsidR="00C5776D" w:rsidRPr="000F2BF8">
        <w:rPr>
          <w:u w:val="none"/>
        </w:rPr>
        <w:t>LHE</w:t>
      </w:r>
      <w:r w:rsidR="00CB0542" w:rsidRPr="000F2BF8">
        <w:rPr>
          <w:u w:val="none"/>
        </w:rPr>
        <w:t>/</w:t>
      </w:r>
      <w:r w:rsidR="00D7105A" w:rsidRPr="000F2BF8">
        <w:rPr>
          <w:u w:val="none"/>
        </w:rPr>
        <w:t>2</w:t>
      </w:r>
      <w:r w:rsidR="0026085B" w:rsidRPr="000F2BF8">
        <w:rPr>
          <w:u w:val="none"/>
        </w:rPr>
        <w:t>6</w:t>
      </w:r>
      <w:r w:rsidR="00337CEB" w:rsidRPr="000F2BF8">
        <w:rPr>
          <w:u w:val="none"/>
        </w:rPr>
        <w:t>/1</w:t>
      </w:r>
      <w:r w:rsidR="0026085B" w:rsidRPr="000F2BF8">
        <w:rPr>
          <w:u w:val="none"/>
        </w:rPr>
        <w:t>1</w:t>
      </w:r>
      <w:r w:rsidR="00EC6F8D" w:rsidRPr="000F2BF8">
        <w:rPr>
          <w:u w:val="none"/>
        </w:rPr>
        <w:t>.</w:t>
      </w:r>
      <w:r w:rsidR="005C792B" w:rsidRPr="000F2BF8">
        <w:rPr>
          <w:u w:val="none"/>
        </w:rPr>
        <w:t>GA</w:t>
      </w:r>
      <w:r w:rsidR="004A34A0" w:rsidRPr="000F2BF8">
        <w:rPr>
          <w:u w:val="none"/>
        </w:rPr>
        <w:t>/</w:t>
      </w:r>
      <w:r w:rsidR="00CB0D44" w:rsidRPr="000F2BF8">
        <w:rPr>
          <w:u w:val="none"/>
        </w:rPr>
        <w:t>6</w:t>
      </w:r>
      <w:r w:rsidR="00977985" w:rsidRPr="000F2BF8">
        <w:rPr>
          <w:u w:val="none"/>
        </w:rPr>
        <w:t xml:space="preserve"> and its annexes,</w:t>
      </w:r>
    </w:p>
    <w:p w14:paraId="260CA8D5" w14:textId="07EF8F5D" w:rsidR="0057439C" w:rsidRPr="000F2BF8" w:rsidRDefault="0057439C" w:rsidP="0072052C">
      <w:pPr>
        <w:pStyle w:val="COMParaDecision"/>
      </w:pPr>
      <w:r w:rsidRPr="000F2BF8">
        <w:t>Recallin</w:t>
      </w:r>
      <w:r w:rsidR="00517FD8" w:rsidRPr="000F2BF8">
        <w:t>g</w:t>
      </w:r>
      <w:r w:rsidR="00517FD8" w:rsidRPr="000F2BF8">
        <w:rPr>
          <w:u w:val="none"/>
        </w:rPr>
        <w:t xml:space="preserve"> </w:t>
      </w:r>
      <w:r w:rsidR="00977985" w:rsidRPr="000F2BF8">
        <w:rPr>
          <w:u w:val="none"/>
        </w:rPr>
        <w:t xml:space="preserve">Resolution </w:t>
      </w:r>
      <w:hyperlink r:id="rId58" w:history="1">
        <w:r w:rsidR="00977985" w:rsidRPr="000F2BF8">
          <w:rPr>
            <w:rStyle w:val="Hyperlink"/>
          </w:rPr>
          <w:t>10.GA 6</w:t>
        </w:r>
      </w:hyperlink>
      <w:r w:rsidR="00977985" w:rsidRPr="000F2BF8">
        <w:rPr>
          <w:u w:val="none"/>
        </w:rPr>
        <w:t xml:space="preserve">, </w:t>
      </w:r>
      <w:r w:rsidR="00FB7D3B" w:rsidRPr="000F2BF8">
        <w:rPr>
          <w:u w:val="none"/>
        </w:rPr>
        <w:t xml:space="preserve">as well as Decisions </w:t>
      </w:r>
      <w:hyperlink r:id="rId59" w:history="1">
        <w:r w:rsidR="00FB7D3B" w:rsidRPr="000F2BF8">
          <w:rPr>
            <w:rStyle w:val="Hyperlink"/>
          </w:rPr>
          <w:t>19.COM 15</w:t>
        </w:r>
      </w:hyperlink>
      <w:r w:rsidR="00FB7D3B" w:rsidRPr="000F2BF8">
        <w:rPr>
          <w:u w:val="none"/>
        </w:rPr>
        <w:t xml:space="preserve"> and </w:t>
      </w:r>
      <w:hyperlink r:id="rId60" w:history="1">
        <w:r w:rsidR="00FB7D3B" w:rsidRPr="000F2BF8">
          <w:rPr>
            <w:rStyle w:val="Hyperlink"/>
          </w:rPr>
          <w:t>20.COM 6.c</w:t>
        </w:r>
      </w:hyperlink>
      <w:r w:rsidR="00FB7D3B" w:rsidRPr="000F2BF8">
        <w:rPr>
          <w:u w:val="none"/>
        </w:rPr>
        <w:t>,</w:t>
      </w:r>
    </w:p>
    <w:p w14:paraId="26AA27DD" w14:textId="33E059D8" w:rsidR="005C792B" w:rsidRPr="000F2BF8" w:rsidRDefault="005C792B" w:rsidP="0072052C">
      <w:pPr>
        <w:pStyle w:val="COMParaDecision"/>
      </w:pPr>
      <w:r w:rsidRPr="000F2BF8">
        <w:t>Further recalling</w:t>
      </w:r>
      <w:r w:rsidRPr="000F2BF8">
        <w:rPr>
          <w:u w:val="none"/>
        </w:rPr>
        <w:t xml:space="preserve"> </w:t>
      </w:r>
      <w:hyperlink r:id="rId61" w:history="1">
        <w:r w:rsidR="00FB7D3B" w:rsidRPr="000F2BF8">
          <w:rPr>
            <w:rStyle w:val="Hyperlink"/>
          </w:rPr>
          <w:t xml:space="preserve">224 EX/Decision </w:t>
        </w:r>
        <w:r w:rsidR="00125C5A" w:rsidRPr="000F2BF8">
          <w:rPr>
            <w:rStyle w:val="Hyperlink"/>
          </w:rPr>
          <w:t>4.I</w:t>
        </w:r>
      </w:hyperlink>
      <w:r w:rsidR="00125C5A" w:rsidRPr="000F2BF8">
        <w:rPr>
          <w:u w:val="none"/>
        </w:rPr>
        <w:t xml:space="preserve"> </w:t>
      </w:r>
      <w:r w:rsidR="00FB7D3B" w:rsidRPr="000F2BF8">
        <w:rPr>
          <w:u w:val="none"/>
        </w:rPr>
        <w:t>of the Executive Board of UNESCO, as well as the 2021 IOS Evaluation of UNESCO’s action in the framework of the 2003 Convention and the 2024 IOS Evaluation of UNESCO’s periodic reporting on the Culture Sector’s Conventions and Recommendations,</w:t>
      </w:r>
    </w:p>
    <w:p w14:paraId="34FE2B4C" w14:textId="2B4A517A" w:rsidR="00F662B6" w:rsidRPr="000F2BF8" w:rsidRDefault="00977985" w:rsidP="0072052C">
      <w:pPr>
        <w:pStyle w:val="COMParaDecision"/>
      </w:pPr>
      <w:r w:rsidRPr="000F2BF8">
        <w:t>Commends</w:t>
      </w:r>
      <w:r w:rsidR="00517FD8" w:rsidRPr="000F2BF8">
        <w:rPr>
          <w:u w:val="none"/>
        </w:rPr>
        <w:t xml:space="preserve"> </w:t>
      </w:r>
      <w:r w:rsidRPr="000F2BF8">
        <w:rPr>
          <w:u w:val="none"/>
        </w:rPr>
        <w:t>the Secretariat for the continued support provided for the sound governance of the Convention, through the efficient organization of statutory meetings and management of international cooperation m</w:t>
      </w:r>
      <w:r w:rsidR="000127DC" w:rsidRPr="000F2BF8">
        <w:rPr>
          <w:u w:val="none"/>
        </w:rPr>
        <w:t>e</w:t>
      </w:r>
      <w:r w:rsidRPr="000F2BF8">
        <w:rPr>
          <w:u w:val="none"/>
        </w:rPr>
        <w:t>chanisms</w:t>
      </w:r>
      <w:r w:rsidR="00BB6EEC" w:rsidRPr="000F2BF8">
        <w:rPr>
          <w:u w:val="none"/>
        </w:rPr>
        <w:t>,</w:t>
      </w:r>
      <w:r w:rsidR="002544A6" w:rsidRPr="000F2BF8">
        <w:rPr>
          <w:u w:val="none"/>
        </w:rPr>
        <w:t xml:space="preserve"> particularly the systematization and expanded reach of the International Assistance mechanism</w:t>
      </w:r>
      <w:r w:rsidR="00213454" w:rsidRPr="000F2BF8">
        <w:rPr>
          <w:u w:val="none"/>
        </w:rPr>
        <w:t>;</w:t>
      </w:r>
    </w:p>
    <w:p w14:paraId="4EB5C413" w14:textId="789B2FCE" w:rsidR="00D95C4C" w:rsidRPr="000F2BF8" w:rsidRDefault="00F662B6" w:rsidP="0072052C">
      <w:pPr>
        <w:pStyle w:val="COMParaDecision"/>
      </w:pPr>
      <w:r w:rsidRPr="000F2BF8">
        <w:t>T</w:t>
      </w:r>
      <w:r w:rsidR="009A7392" w:rsidRPr="000F2BF8">
        <w:t>akes note</w:t>
      </w:r>
      <w:r w:rsidR="009A7392" w:rsidRPr="000F2BF8">
        <w:rPr>
          <w:u w:val="none"/>
        </w:rPr>
        <w:t xml:space="preserve"> of the issues raised concerning the </w:t>
      </w:r>
      <w:r w:rsidRPr="000F2BF8">
        <w:rPr>
          <w:u w:val="none"/>
        </w:rPr>
        <w:t xml:space="preserve">number </w:t>
      </w:r>
      <w:r w:rsidR="00E142FD" w:rsidRPr="000F2BF8">
        <w:rPr>
          <w:u w:val="none"/>
        </w:rPr>
        <w:t xml:space="preserve">and </w:t>
      </w:r>
      <w:r w:rsidR="009A7392" w:rsidRPr="000F2BF8">
        <w:rPr>
          <w:u w:val="none"/>
        </w:rPr>
        <w:t xml:space="preserve">treatment of </w:t>
      </w:r>
      <w:r w:rsidR="00E142FD" w:rsidRPr="000F2BF8">
        <w:rPr>
          <w:u w:val="none"/>
        </w:rPr>
        <w:t xml:space="preserve">nomination </w:t>
      </w:r>
      <w:r w:rsidR="009A7392" w:rsidRPr="000F2BF8">
        <w:rPr>
          <w:u w:val="none"/>
        </w:rPr>
        <w:t xml:space="preserve">files submitted </w:t>
      </w:r>
      <w:r w:rsidR="00E142FD" w:rsidRPr="000F2BF8">
        <w:rPr>
          <w:u w:val="none"/>
        </w:rPr>
        <w:t xml:space="preserve">as a result of increasing interest </w:t>
      </w:r>
      <w:r w:rsidR="00D279B1" w:rsidRPr="000F2BF8">
        <w:rPr>
          <w:u w:val="none"/>
        </w:rPr>
        <w:t xml:space="preserve">in </w:t>
      </w:r>
      <w:r w:rsidR="00E142FD" w:rsidRPr="000F2BF8">
        <w:rPr>
          <w:u w:val="none"/>
        </w:rPr>
        <w:t xml:space="preserve">and support </w:t>
      </w:r>
      <w:r w:rsidR="00D279B1" w:rsidRPr="000F2BF8">
        <w:rPr>
          <w:u w:val="none"/>
        </w:rPr>
        <w:t xml:space="preserve">for </w:t>
      </w:r>
      <w:r w:rsidR="00E142FD" w:rsidRPr="000F2BF8">
        <w:rPr>
          <w:u w:val="none"/>
        </w:rPr>
        <w:t xml:space="preserve">the listing mechanisms of the Convention, </w:t>
      </w:r>
      <w:r w:rsidRPr="000F2BF8">
        <w:rPr>
          <w:u w:val="none"/>
        </w:rPr>
        <w:t xml:space="preserve">and </w:t>
      </w:r>
      <w:r w:rsidRPr="000F2BF8">
        <w:t>requests</w:t>
      </w:r>
      <w:r w:rsidRPr="000F2BF8">
        <w:rPr>
          <w:u w:val="none"/>
        </w:rPr>
        <w:t xml:space="preserve"> that the Secretariat report</w:t>
      </w:r>
      <w:r w:rsidR="00213454" w:rsidRPr="000F2BF8">
        <w:rPr>
          <w:u w:val="none"/>
        </w:rPr>
        <w:t xml:space="preserve"> on</w:t>
      </w:r>
      <w:r w:rsidRPr="000F2BF8">
        <w:rPr>
          <w:u w:val="none"/>
        </w:rPr>
        <w:t xml:space="preserve"> the </w:t>
      </w:r>
      <w:r w:rsidR="00021A72" w:rsidRPr="000F2BF8">
        <w:rPr>
          <w:u w:val="none"/>
        </w:rPr>
        <w:t xml:space="preserve">evolution of </w:t>
      </w:r>
      <w:r w:rsidR="00213454" w:rsidRPr="000F2BF8">
        <w:rPr>
          <w:u w:val="none"/>
        </w:rPr>
        <w:t xml:space="preserve">the </w:t>
      </w:r>
      <w:r w:rsidRPr="000F2BF8">
        <w:rPr>
          <w:u w:val="none"/>
        </w:rPr>
        <w:t xml:space="preserve">situation for examination by the twelfth session of the General Assembly, taking into account the </w:t>
      </w:r>
      <w:r w:rsidRPr="000F2BF8">
        <w:rPr>
          <w:u w:val="none"/>
        </w:rPr>
        <w:lastRenderedPageBreak/>
        <w:t>discussions to be held at the twenty-</w:t>
      </w:r>
      <w:r w:rsidR="00021A72" w:rsidRPr="000F2BF8">
        <w:rPr>
          <w:u w:val="none"/>
        </w:rPr>
        <w:t xml:space="preserve">first (2026) and twenty-second (2027) </w:t>
      </w:r>
      <w:r w:rsidR="00FB2939" w:rsidRPr="000F2BF8">
        <w:rPr>
          <w:u w:val="none"/>
        </w:rPr>
        <w:t xml:space="preserve">sessions </w:t>
      </w:r>
      <w:r w:rsidR="00021A72" w:rsidRPr="000F2BF8">
        <w:rPr>
          <w:u w:val="none"/>
        </w:rPr>
        <w:t>of the Committee</w:t>
      </w:r>
      <w:r w:rsidR="009A7392" w:rsidRPr="000F2BF8">
        <w:rPr>
          <w:u w:val="none"/>
        </w:rPr>
        <w:t>;</w:t>
      </w:r>
    </w:p>
    <w:p w14:paraId="68DFB69F" w14:textId="4FB7B16B" w:rsidR="002544A6" w:rsidRPr="000F2BF8" w:rsidRDefault="002544A6" w:rsidP="0072052C">
      <w:pPr>
        <w:pStyle w:val="COMParaDecision"/>
      </w:pPr>
      <w:r w:rsidRPr="000F2BF8">
        <w:t>Notes with satisfaction</w:t>
      </w:r>
      <w:r w:rsidRPr="000F2BF8">
        <w:rPr>
          <w:u w:val="none"/>
        </w:rPr>
        <w:t xml:space="preserve"> the completion of the first regional cycle of periodic reporting and the substantially improved submission rates of periodic reports from all regions, and </w:t>
      </w:r>
      <w:r w:rsidRPr="000F2BF8">
        <w:t>encourages</w:t>
      </w:r>
      <w:r w:rsidRPr="000F2BF8">
        <w:rPr>
          <w:u w:val="none"/>
        </w:rPr>
        <w:t xml:space="preserve"> the Secretariat to adapt best practices</w:t>
      </w:r>
      <w:r w:rsidR="00004175" w:rsidRPr="000F2BF8">
        <w:rPr>
          <w:u w:val="none"/>
        </w:rPr>
        <w:t xml:space="preserve"> from this cycle</w:t>
      </w:r>
      <w:r w:rsidRPr="000F2BF8">
        <w:rPr>
          <w:u w:val="none"/>
        </w:rPr>
        <w:t xml:space="preserve"> </w:t>
      </w:r>
      <w:r w:rsidR="00114743" w:rsidRPr="000F2BF8">
        <w:rPr>
          <w:u w:val="none"/>
        </w:rPr>
        <w:t xml:space="preserve">in view of </w:t>
      </w:r>
      <w:r w:rsidRPr="000F2BF8">
        <w:rPr>
          <w:u w:val="none"/>
        </w:rPr>
        <w:t xml:space="preserve">the </w:t>
      </w:r>
      <w:r w:rsidR="00114743" w:rsidRPr="000F2BF8">
        <w:rPr>
          <w:u w:val="none"/>
        </w:rPr>
        <w:t>move to the</w:t>
      </w:r>
      <w:r w:rsidRPr="000F2BF8">
        <w:rPr>
          <w:u w:val="none"/>
        </w:rPr>
        <w:t xml:space="preserve"> single global submission system for reporting;</w:t>
      </w:r>
    </w:p>
    <w:p w14:paraId="4FA6B0A6" w14:textId="7C1D4D62" w:rsidR="00B43196" w:rsidRPr="000F2BF8" w:rsidRDefault="002544A6" w:rsidP="0072052C">
      <w:pPr>
        <w:pStyle w:val="COMParaDecision"/>
      </w:pPr>
      <w:r w:rsidRPr="000F2BF8">
        <w:t>Appreciates</w:t>
      </w:r>
      <w:r w:rsidR="00B43196" w:rsidRPr="000F2BF8">
        <w:rPr>
          <w:u w:val="none"/>
        </w:rPr>
        <w:t xml:space="preserve"> the reorientation of the global capacity-building programme to a multi-modal and intersectoral approach, as well as the progress made under the thematic initiatives of the Convention</w:t>
      </w:r>
      <w:r w:rsidRPr="000F2BF8">
        <w:rPr>
          <w:u w:val="none"/>
        </w:rPr>
        <w:t>;</w:t>
      </w:r>
    </w:p>
    <w:p w14:paraId="024E8F30" w14:textId="6DE76FB5" w:rsidR="00D95C4C" w:rsidRPr="000F2BF8" w:rsidRDefault="002544A6" w:rsidP="0072052C">
      <w:pPr>
        <w:pStyle w:val="COMParaDecision"/>
      </w:pPr>
      <w:r w:rsidRPr="000F2BF8">
        <w:t xml:space="preserve">Also takes </w:t>
      </w:r>
      <w:r w:rsidR="00710379" w:rsidRPr="000F2BF8">
        <w:t>note</w:t>
      </w:r>
      <w:r w:rsidR="005B7A35" w:rsidRPr="000F2BF8">
        <w:rPr>
          <w:u w:val="none"/>
        </w:rPr>
        <w:t xml:space="preserve"> </w:t>
      </w:r>
      <w:r w:rsidR="00710379" w:rsidRPr="000F2BF8">
        <w:rPr>
          <w:u w:val="none"/>
        </w:rPr>
        <w:t>of the</w:t>
      </w:r>
      <w:r w:rsidR="005C60A4" w:rsidRPr="000F2BF8">
        <w:rPr>
          <w:u w:val="none"/>
        </w:rPr>
        <w:t xml:space="preserve"> achievements made under the funding priorities for 2022–2025 as well as the</w:t>
      </w:r>
      <w:r w:rsidR="00710379" w:rsidRPr="000F2BF8">
        <w:rPr>
          <w:u w:val="none"/>
        </w:rPr>
        <w:t xml:space="preserve"> new funding priorities of the Convention</w:t>
      </w:r>
      <w:r w:rsidR="005C60A4" w:rsidRPr="000F2BF8">
        <w:rPr>
          <w:u w:val="none"/>
        </w:rPr>
        <w:t xml:space="preserve"> for 2026–2029</w:t>
      </w:r>
      <w:r w:rsidR="00710379" w:rsidRPr="000F2BF8">
        <w:rPr>
          <w:u w:val="none"/>
        </w:rPr>
        <w:t xml:space="preserve">, and </w:t>
      </w:r>
      <w:r w:rsidR="009A7392" w:rsidRPr="000F2BF8">
        <w:t>invites</w:t>
      </w:r>
      <w:r w:rsidRPr="000F2BF8">
        <w:rPr>
          <w:u w:val="none"/>
        </w:rPr>
        <w:t xml:space="preserve"> the Secretariat to continue aligning the global capacity-building programme and thematic initiatives of the Convention with </w:t>
      </w:r>
      <w:r w:rsidR="009A7392" w:rsidRPr="000F2BF8">
        <w:rPr>
          <w:u w:val="none"/>
        </w:rPr>
        <w:t>their</w:t>
      </w:r>
      <w:r w:rsidRPr="000F2BF8">
        <w:rPr>
          <w:u w:val="none"/>
        </w:rPr>
        <w:t xml:space="preserve"> main areas of action</w:t>
      </w:r>
      <w:r w:rsidR="009A7392" w:rsidRPr="000F2BF8">
        <w:rPr>
          <w:u w:val="none"/>
        </w:rPr>
        <w:t>, while deepening its cooperation with other UNESCO programmes and the wider UN system</w:t>
      </w:r>
      <w:r w:rsidRPr="000F2BF8">
        <w:rPr>
          <w:u w:val="none"/>
        </w:rPr>
        <w:t>;</w:t>
      </w:r>
    </w:p>
    <w:p w14:paraId="012AF55A" w14:textId="09459ED0" w:rsidR="002544A6" w:rsidRPr="000F2BF8" w:rsidRDefault="009A7392" w:rsidP="0072052C">
      <w:pPr>
        <w:pStyle w:val="COMParaDecision"/>
      </w:pPr>
      <w:r w:rsidRPr="000F2BF8">
        <w:t>Also appreciates</w:t>
      </w:r>
      <w:r w:rsidR="002544A6" w:rsidRPr="000F2BF8">
        <w:rPr>
          <w:u w:val="none"/>
        </w:rPr>
        <w:t xml:space="preserve"> the full implementation of the recommendations made by the 2021 IOS Evaluation on UNESCO’s action in the framework of the 2003 Convention, </w:t>
      </w:r>
      <w:r w:rsidR="002544A6" w:rsidRPr="000F2BF8">
        <w:t>thanks</w:t>
      </w:r>
      <w:r w:rsidR="002544A6" w:rsidRPr="000F2BF8">
        <w:rPr>
          <w:u w:val="none"/>
        </w:rPr>
        <w:t xml:space="preserve"> the Secretariat for its reporting in this regard</w:t>
      </w:r>
      <w:r w:rsidR="00F662B6" w:rsidRPr="000F2BF8">
        <w:rPr>
          <w:u w:val="none"/>
        </w:rPr>
        <w:t>,</w:t>
      </w:r>
      <w:r w:rsidR="00114743" w:rsidRPr="000F2BF8">
        <w:rPr>
          <w:u w:val="none"/>
        </w:rPr>
        <w:t xml:space="preserve"> and </w:t>
      </w:r>
      <w:r w:rsidR="00F662B6" w:rsidRPr="000F2BF8">
        <w:t>considers</w:t>
      </w:r>
      <w:r w:rsidR="00F662B6" w:rsidRPr="000F2BF8">
        <w:rPr>
          <w:u w:val="none"/>
        </w:rPr>
        <w:t xml:space="preserve"> that future reporting on the implementation of the recommendations </w:t>
      </w:r>
      <w:r w:rsidR="00D279B1" w:rsidRPr="000F2BF8">
        <w:rPr>
          <w:u w:val="none"/>
        </w:rPr>
        <w:t>is</w:t>
      </w:r>
      <w:r w:rsidR="00CF521E" w:rsidRPr="000F2BF8">
        <w:rPr>
          <w:u w:val="none"/>
        </w:rPr>
        <w:t xml:space="preserve"> </w:t>
      </w:r>
      <w:r w:rsidR="00F662B6" w:rsidRPr="000F2BF8">
        <w:rPr>
          <w:u w:val="none"/>
        </w:rPr>
        <w:t xml:space="preserve">to be </w:t>
      </w:r>
      <w:r w:rsidR="00D279B1" w:rsidRPr="000F2BF8">
        <w:rPr>
          <w:u w:val="none"/>
        </w:rPr>
        <w:t xml:space="preserve">provided </w:t>
      </w:r>
      <w:r w:rsidR="00F662B6" w:rsidRPr="000F2BF8">
        <w:rPr>
          <w:u w:val="none"/>
        </w:rPr>
        <w:t>on an as-needed basis</w:t>
      </w:r>
      <w:r w:rsidR="002544A6" w:rsidRPr="000F2BF8">
        <w:rPr>
          <w:u w:val="none"/>
        </w:rPr>
        <w:t>;</w:t>
      </w:r>
    </w:p>
    <w:p w14:paraId="1AD7C4F5" w14:textId="6B72D7BB" w:rsidR="00D95C4C" w:rsidRPr="000F2BF8" w:rsidRDefault="00710379" w:rsidP="0072052C">
      <w:pPr>
        <w:pStyle w:val="COMParaDecision"/>
      </w:pPr>
      <w:r w:rsidRPr="000F2BF8">
        <w:t>Further requests</w:t>
      </w:r>
      <w:r w:rsidRPr="000F2BF8">
        <w:rPr>
          <w:u w:val="none"/>
        </w:rPr>
        <w:t xml:space="preserve"> that the Secretariat report on its activities for the period between January 2026 and December 2027 for examination by the General Assembly at its twelfth session.</w:t>
      </w:r>
    </w:p>
    <w:p w14:paraId="4758992F" w14:textId="77777777" w:rsidR="00791396" w:rsidRPr="000F2BF8" w:rsidRDefault="00791396" w:rsidP="0072052C">
      <w:pPr>
        <w:pStyle w:val="COMParaDecision"/>
        <w:numPr>
          <w:ilvl w:val="0"/>
          <w:numId w:val="0"/>
        </w:numPr>
        <w:ind w:left="1134" w:hanging="567"/>
        <w:sectPr w:rsidR="00791396" w:rsidRPr="000F2BF8" w:rsidSect="00655736">
          <w:headerReference w:type="even" r:id="rId62"/>
          <w:headerReference w:type="default" r:id="rId63"/>
          <w:headerReference w:type="first" r:id="rId64"/>
          <w:pgSz w:w="11906" w:h="16838" w:code="9"/>
          <w:pgMar w:top="1418" w:right="1134" w:bottom="1134" w:left="1134" w:header="397" w:footer="284" w:gutter="0"/>
          <w:cols w:space="708"/>
          <w:titlePg/>
          <w:docGrid w:linePitch="360"/>
        </w:sectPr>
      </w:pPr>
    </w:p>
    <w:p w14:paraId="7954D0EA" w14:textId="77777777" w:rsidR="00791396" w:rsidRPr="000F2BF8" w:rsidRDefault="00791396" w:rsidP="0072052C">
      <w:pPr>
        <w:pStyle w:val="COMParaDecision"/>
        <w:numPr>
          <w:ilvl w:val="0"/>
          <w:numId w:val="0"/>
        </w:numPr>
        <w:jc w:val="center"/>
        <w:rPr>
          <w:b/>
        </w:rPr>
      </w:pPr>
      <w:bookmarkStart w:id="2" w:name="AnnexI"/>
      <w:r w:rsidRPr="000F2BF8">
        <w:rPr>
          <w:b/>
        </w:rPr>
        <w:lastRenderedPageBreak/>
        <w:t>Annex I</w:t>
      </w:r>
    </w:p>
    <w:bookmarkEnd w:id="2"/>
    <w:p w14:paraId="45DF8C01" w14:textId="77777777" w:rsidR="00791396" w:rsidRPr="000F2BF8" w:rsidRDefault="00791396" w:rsidP="0072052C">
      <w:pPr>
        <w:pStyle w:val="COMParaDecision"/>
        <w:numPr>
          <w:ilvl w:val="0"/>
          <w:numId w:val="0"/>
        </w:numPr>
        <w:spacing w:after="240"/>
        <w:jc w:val="center"/>
        <w:rPr>
          <w:b/>
          <w:u w:val="none"/>
        </w:rPr>
      </w:pPr>
      <w:r w:rsidRPr="000F2BF8">
        <w:rPr>
          <w:b/>
          <w:u w:val="none"/>
        </w:rPr>
        <w:t>Assessment by performance indicator</w:t>
      </w:r>
    </w:p>
    <w:tbl>
      <w:tblPr>
        <w:tblStyle w:val="TableGrid2"/>
        <w:tblW w:w="14572" w:type="dxa"/>
        <w:tblLook w:val="04A0" w:firstRow="1" w:lastRow="0" w:firstColumn="1" w:lastColumn="0" w:noHBand="0" w:noVBand="1"/>
      </w:tblPr>
      <w:tblGrid>
        <w:gridCol w:w="3652"/>
        <w:gridCol w:w="10920"/>
      </w:tblGrid>
      <w:tr w:rsidR="00791396" w:rsidRPr="000F2BF8" w14:paraId="2BA2E846" w14:textId="77777777" w:rsidTr="004F2FC7">
        <w:trPr>
          <w:cantSplit/>
        </w:trPr>
        <w:tc>
          <w:tcPr>
            <w:tcW w:w="1253" w:type="pct"/>
            <w:shd w:val="clear" w:color="auto" w:fill="808080" w:themeFill="background1" w:themeFillShade="80"/>
            <w:vAlign w:val="center"/>
          </w:tcPr>
          <w:p w14:paraId="2C0AEAE4" w14:textId="53858C1A" w:rsidR="00791396" w:rsidRPr="000F2BF8" w:rsidRDefault="00791396" w:rsidP="0072052C">
            <w:pPr>
              <w:keepNext/>
              <w:widowControl w:val="0"/>
              <w:spacing w:before="120" w:after="120"/>
              <w:rPr>
                <w:rFonts w:ascii="Arial" w:hAnsi="Arial" w:cs="Arial"/>
                <w:b/>
                <w:bCs/>
                <w:color w:val="FFFFFF" w:themeColor="background1"/>
                <w:sz w:val="22"/>
                <w:szCs w:val="22"/>
                <w:lang w:val="en-GB"/>
              </w:rPr>
            </w:pPr>
            <w:r w:rsidRPr="000F2BF8">
              <w:rPr>
                <w:rFonts w:ascii="Arial" w:hAnsi="Arial" w:cs="Arial"/>
                <w:b/>
                <w:bCs/>
                <w:color w:val="FFFFFF" w:themeColor="background1"/>
                <w:sz w:val="22"/>
                <w:szCs w:val="22"/>
                <w:lang w:val="en-GB"/>
              </w:rPr>
              <w:t>4</w:t>
            </w:r>
            <w:r w:rsidR="00655AF1" w:rsidRPr="000F2BF8">
              <w:rPr>
                <w:rFonts w:ascii="Arial" w:hAnsi="Arial" w:cs="Arial"/>
                <w:b/>
                <w:bCs/>
                <w:color w:val="FFFFFF" w:themeColor="background1"/>
                <w:sz w:val="22"/>
                <w:szCs w:val="22"/>
                <w:lang w:val="en-GB"/>
              </w:rPr>
              <w:t>2</w:t>
            </w:r>
            <w:r w:rsidRPr="000F2BF8">
              <w:rPr>
                <w:rFonts w:ascii="Arial" w:hAnsi="Arial" w:cs="Arial"/>
                <w:b/>
                <w:bCs/>
                <w:color w:val="FFFFFF" w:themeColor="background1"/>
                <w:sz w:val="22"/>
                <w:szCs w:val="22"/>
                <w:lang w:val="en-GB"/>
              </w:rPr>
              <w:t>C/5 Performance Indicator 1</w:t>
            </w:r>
          </w:p>
        </w:tc>
        <w:tc>
          <w:tcPr>
            <w:tcW w:w="3747" w:type="pct"/>
            <w:shd w:val="clear" w:color="auto" w:fill="808080" w:themeFill="background1" w:themeFillShade="80"/>
            <w:vAlign w:val="center"/>
          </w:tcPr>
          <w:p w14:paraId="39E1EF37" w14:textId="77777777" w:rsidR="00791396" w:rsidRPr="000F2BF8" w:rsidRDefault="00791396" w:rsidP="0072052C">
            <w:pPr>
              <w:keepNext/>
              <w:widowControl w:val="0"/>
              <w:spacing w:before="120" w:after="120"/>
              <w:jc w:val="both"/>
              <w:rPr>
                <w:rFonts w:ascii="Arial" w:hAnsi="Arial" w:cs="Arial"/>
                <w:b/>
                <w:bCs/>
                <w:color w:val="FFFFFF" w:themeColor="background1"/>
                <w:sz w:val="22"/>
                <w:szCs w:val="22"/>
                <w:lang w:val="en-GB"/>
              </w:rPr>
            </w:pPr>
            <w:r w:rsidRPr="000F2BF8">
              <w:rPr>
                <w:rFonts w:ascii="Arial" w:hAnsi="Arial" w:cs="Arial"/>
                <w:b/>
                <w:bCs/>
                <w:color w:val="FFFFFF" w:themeColor="background1"/>
                <w:sz w:val="22"/>
                <w:szCs w:val="22"/>
                <w:lang w:val="en-GB"/>
              </w:rPr>
              <w:t>Number of Member States with new or revised policies, strategies and programmes to safeguard living heritage, including within sustainable development plans and frameworks, in line with the 2003 Convention for the Safeguarding of the Intangible Cultural Heritage</w:t>
            </w:r>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791396" w:rsidRPr="000F2BF8" w14:paraId="5EB3E799" w14:textId="77777777" w:rsidTr="004F2FC7">
        <w:trPr>
          <w:tblHeader/>
        </w:trPr>
        <w:tc>
          <w:tcPr>
            <w:tcW w:w="627" w:type="pct"/>
            <w:shd w:val="clear" w:color="auto" w:fill="D9D9D9" w:themeFill="background1" w:themeFillShade="D9"/>
            <w:vAlign w:val="center"/>
          </w:tcPr>
          <w:p w14:paraId="23B5905C" w14:textId="77777777" w:rsidR="00791396" w:rsidRPr="000F2BF8" w:rsidRDefault="00791396" w:rsidP="0072052C">
            <w:pPr>
              <w:widowControl w:val="0"/>
              <w:spacing w:before="60" w:after="60"/>
              <w:jc w:val="center"/>
              <w:rPr>
                <w:rFonts w:ascii="Arial" w:eastAsia="Calibri" w:hAnsi="Arial" w:cs="Arial"/>
                <w:b/>
                <w:sz w:val="22"/>
                <w:szCs w:val="22"/>
                <w:lang w:val="en-GB"/>
              </w:rPr>
            </w:pPr>
            <w:r w:rsidRPr="000F2BF8">
              <w:rPr>
                <w:rFonts w:ascii="Arial" w:hAnsi="Arial" w:cs="Arial"/>
                <w:b/>
                <w:bCs/>
                <w:sz w:val="22"/>
                <w:szCs w:val="22"/>
                <w:lang w:val="en-GB"/>
              </w:rPr>
              <w:t>Baselines</w:t>
            </w:r>
          </w:p>
        </w:tc>
        <w:tc>
          <w:tcPr>
            <w:tcW w:w="627" w:type="pct"/>
            <w:gridSpan w:val="2"/>
            <w:shd w:val="clear" w:color="auto" w:fill="D9D9D9" w:themeFill="background1" w:themeFillShade="D9"/>
            <w:vAlign w:val="center"/>
          </w:tcPr>
          <w:p w14:paraId="076FE57A" w14:textId="78BE6499" w:rsidR="00791396" w:rsidRPr="000F2BF8" w:rsidRDefault="00791396" w:rsidP="0072052C">
            <w:pPr>
              <w:widowControl w:val="0"/>
              <w:spacing w:before="60" w:after="60"/>
              <w:jc w:val="center"/>
              <w:rPr>
                <w:rFonts w:ascii="Arial" w:eastAsia="Calibri" w:hAnsi="Arial" w:cs="Arial"/>
                <w:b/>
                <w:sz w:val="22"/>
                <w:szCs w:val="22"/>
                <w:lang w:val="en-GB"/>
              </w:rPr>
            </w:pPr>
            <w:r w:rsidRPr="000F2BF8">
              <w:rPr>
                <w:rFonts w:ascii="Arial" w:eastAsia="Calibri" w:hAnsi="Arial" w:cs="Arial"/>
                <w:b/>
                <w:sz w:val="22"/>
                <w:szCs w:val="22"/>
                <w:lang w:val="en-GB"/>
              </w:rPr>
              <w:t>Targets 202</w:t>
            </w:r>
            <w:r w:rsidR="00655AF1" w:rsidRPr="000F2BF8">
              <w:rPr>
                <w:rFonts w:ascii="Arial" w:eastAsia="Calibri" w:hAnsi="Arial" w:cs="Arial"/>
                <w:b/>
                <w:sz w:val="22"/>
                <w:szCs w:val="22"/>
                <w:lang w:val="en-GB"/>
              </w:rPr>
              <w:t>5</w:t>
            </w:r>
          </w:p>
        </w:tc>
        <w:tc>
          <w:tcPr>
            <w:tcW w:w="3747" w:type="pct"/>
            <w:gridSpan w:val="3"/>
            <w:shd w:val="clear" w:color="auto" w:fill="D9D9D9" w:themeFill="background1" w:themeFillShade="D9"/>
            <w:vAlign w:val="center"/>
          </w:tcPr>
          <w:p w14:paraId="6AC33ACE" w14:textId="08D392CA" w:rsidR="00791396" w:rsidRPr="000F2BF8" w:rsidRDefault="00791396" w:rsidP="0072052C">
            <w:pPr>
              <w:widowControl w:val="0"/>
              <w:autoSpaceDE w:val="0"/>
              <w:autoSpaceDN w:val="0"/>
              <w:adjustRightInd w:val="0"/>
              <w:jc w:val="center"/>
              <w:rPr>
                <w:rFonts w:ascii="Arial" w:eastAsia="Calibri" w:hAnsi="Arial" w:cs="Arial"/>
                <w:b/>
                <w:color w:val="000000"/>
                <w:sz w:val="22"/>
                <w:szCs w:val="22"/>
                <w:lang w:val="en-GB"/>
              </w:rPr>
            </w:pPr>
            <w:r w:rsidRPr="000F2BF8">
              <w:rPr>
                <w:rFonts w:ascii="Arial" w:eastAsia="Calibri" w:hAnsi="Arial" w:cs="Arial"/>
                <w:b/>
                <w:sz w:val="22"/>
                <w:szCs w:val="22"/>
                <w:lang w:val="en-GB"/>
              </w:rPr>
              <w:t>Assessment of progress:</w:t>
            </w:r>
            <w:r w:rsidRPr="000F2BF8">
              <w:rPr>
                <w:rFonts w:ascii="Arial" w:eastAsia="Calibri" w:hAnsi="Arial" w:cs="Arial"/>
                <w:b/>
                <w:sz w:val="22"/>
                <w:szCs w:val="22"/>
                <w:lang w:val="en-GB"/>
              </w:rPr>
              <w:br/>
              <w:t>01/01/202</w:t>
            </w:r>
            <w:r w:rsidR="00655AF1" w:rsidRPr="000F2BF8">
              <w:rPr>
                <w:rFonts w:ascii="Arial" w:eastAsia="Calibri" w:hAnsi="Arial" w:cs="Arial"/>
                <w:b/>
                <w:sz w:val="22"/>
                <w:szCs w:val="22"/>
                <w:lang w:val="en-GB"/>
              </w:rPr>
              <w:t>4</w:t>
            </w:r>
            <w:r w:rsidRPr="000F2BF8">
              <w:rPr>
                <w:rFonts w:ascii="Arial" w:eastAsia="Calibri" w:hAnsi="Arial" w:cs="Arial"/>
                <w:b/>
                <w:sz w:val="22"/>
                <w:szCs w:val="22"/>
                <w:lang w:val="en-GB"/>
              </w:rPr>
              <w:t xml:space="preserve"> to 31/12/202</w:t>
            </w:r>
            <w:r w:rsidR="00655AF1" w:rsidRPr="000F2BF8">
              <w:rPr>
                <w:rFonts w:ascii="Arial" w:eastAsia="Calibri" w:hAnsi="Arial" w:cs="Arial"/>
                <w:b/>
                <w:sz w:val="22"/>
                <w:szCs w:val="22"/>
                <w:lang w:val="en-GB"/>
              </w:rPr>
              <w:t>5</w:t>
            </w:r>
          </w:p>
        </w:tc>
      </w:tr>
      <w:tr w:rsidR="00791396" w:rsidRPr="000F2BF8" w14:paraId="7E34275D" w14:textId="77777777" w:rsidTr="004F2FC7">
        <w:trPr>
          <w:trHeight w:val="1498"/>
        </w:trPr>
        <w:tc>
          <w:tcPr>
            <w:tcW w:w="627" w:type="pct"/>
            <w:tcBorders>
              <w:bottom w:val="single" w:sz="4" w:space="0" w:color="auto"/>
            </w:tcBorders>
          </w:tcPr>
          <w:p w14:paraId="36C8AE9A" w14:textId="56618DED" w:rsidR="00791396" w:rsidRPr="000F2BF8" w:rsidRDefault="008B1BA5" w:rsidP="0072052C">
            <w:pPr>
              <w:widowControl w:val="0"/>
              <w:spacing w:before="120" w:after="120"/>
              <w:rPr>
                <w:rFonts w:ascii="Arial" w:hAnsi="Arial" w:cs="Arial"/>
                <w:sz w:val="22"/>
                <w:szCs w:val="22"/>
                <w:lang w:val="en-GB"/>
              </w:rPr>
            </w:pPr>
            <w:r w:rsidRPr="000F2BF8">
              <w:rPr>
                <w:rFonts w:ascii="Arial" w:hAnsi="Arial" w:cs="Arial"/>
                <w:sz w:val="22"/>
                <w:szCs w:val="22"/>
                <w:lang w:val="en-GB"/>
              </w:rPr>
              <w:t>128</w:t>
            </w:r>
            <w:r w:rsidR="00791396" w:rsidRPr="000F2BF8">
              <w:rPr>
                <w:rFonts w:ascii="Arial" w:hAnsi="Arial" w:cs="Arial"/>
                <w:sz w:val="22"/>
                <w:szCs w:val="22"/>
                <w:lang w:val="en-GB"/>
              </w:rPr>
              <w:t xml:space="preserve">, including </w:t>
            </w:r>
            <w:r w:rsidRPr="000F2BF8">
              <w:rPr>
                <w:rFonts w:ascii="Arial" w:hAnsi="Arial" w:cs="Arial"/>
                <w:sz w:val="22"/>
                <w:szCs w:val="22"/>
                <w:lang w:val="en-GB"/>
              </w:rPr>
              <w:t>38</w:t>
            </w:r>
            <w:r w:rsidR="00791396" w:rsidRPr="000F2BF8">
              <w:rPr>
                <w:rFonts w:ascii="Arial" w:hAnsi="Arial" w:cs="Arial"/>
                <w:sz w:val="22"/>
                <w:szCs w:val="22"/>
                <w:lang w:val="en-GB"/>
              </w:rPr>
              <w:t xml:space="preserve"> in Africa and </w:t>
            </w:r>
            <w:r w:rsidRPr="000F2BF8">
              <w:rPr>
                <w:rFonts w:ascii="Arial" w:hAnsi="Arial" w:cs="Arial"/>
                <w:sz w:val="22"/>
                <w:szCs w:val="22"/>
                <w:lang w:val="en-GB"/>
              </w:rPr>
              <w:t>11</w:t>
            </w:r>
            <w:r w:rsidR="00791396" w:rsidRPr="000F2BF8">
              <w:rPr>
                <w:rFonts w:ascii="Arial" w:hAnsi="Arial" w:cs="Arial"/>
                <w:sz w:val="22"/>
                <w:szCs w:val="22"/>
                <w:lang w:val="en-GB"/>
              </w:rPr>
              <w:t xml:space="preserve"> SIDS</w:t>
            </w:r>
          </w:p>
        </w:tc>
        <w:tc>
          <w:tcPr>
            <w:tcW w:w="627" w:type="pct"/>
            <w:gridSpan w:val="2"/>
            <w:tcBorders>
              <w:bottom w:val="single" w:sz="4" w:space="0" w:color="auto"/>
            </w:tcBorders>
          </w:tcPr>
          <w:p w14:paraId="4BDF1180" w14:textId="7A181EB2" w:rsidR="00791396" w:rsidRPr="000F2BF8" w:rsidRDefault="008B1BA5" w:rsidP="0072052C">
            <w:pPr>
              <w:widowControl w:val="0"/>
              <w:spacing w:before="120" w:after="120"/>
              <w:ind w:left="-28"/>
              <w:rPr>
                <w:rFonts w:ascii="Arial" w:hAnsi="Arial" w:cs="Arial"/>
                <w:sz w:val="22"/>
                <w:szCs w:val="22"/>
                <w:lang w:val="en-GB"/>
              </w:rPr>
            </w:pPr>
            <w:r w:rsidRPr="000F2BF8">
              <w:rPr>
                <w:rFonts w:ascii="Arial" w:hAnsi="Arial" w:cs="Arial"/>
                <w:sz w:val="22"/>
                <w:szCs w:val="22"/>
                <w:lang w:val="en-GB"/>
              </w:rPr>
              <w:t>100</w:t>
            </w:r>
            <w:r w:rsidR="00791396" w:rsidRPr="000F2BF8">
              <w:rPr>
                <w:rFonts w:ascii="Arial" w:hAnsi="Arial" w:cs="Arial"/>
                <w:sz w:val="22"/>
                <w:szCs w:val="22"/>
                <w:lang w:val="en-GB"/>
              </w:rPr>
              <w:t xml:space="preserve">, including </w:t>
            </w:r>
            <w:r w:rsidRPr="000F2BF8">
              <w:rPr>
                <w:rFonts w:ascii="Arial" w:hAnsi="Arial" w:cs="Arial"/>
                <w:sz w:val="22"/>
                <w:szCs w:val="22"/>
                <w:lang w:val="en-GB"/>
              </w:rPr>
              <w:t>36</w:t>
            </w:r>
            <w:r w:rsidR="00791396" w:rsidRPr="000F2BF8">
              <w:rPr>
                <w:rFonts w:ascii="Arial" w:hAnsi="Arial" w:cs="Arial"/>
                <w:sz w:val="22"/>
                <w:szCs w:val="22"/>
                <w:lang w:val="en-GB"/>
              </w:rPr>
              <w:t xml:space="preserve"> in Africa and </w:t>
            </w:r>
            <w:r w:rsidRPr="000F2BF8">
              <w:rPr>
                <w:rFonts w:ascii="Arial" w:hAnsi="Arial" w:cs="Arial"/>
                <w:sz w:val="22"/>
                <w:szCs w:val="22"/>
                <w:lang w:val="en-GB"/>
              </w:rPr>
              <w:t>20</w:t>
            </w:r>
            <w:r w:rsidR="00791396" w:rsidRPr="000F2BF8">
              <w:rPr>
                <w:rFonts w:ascii="Arial" w:hAnsi="Arial" w:cs="Arial"/>
                <w:sz w:val="22"/>
                <w:szCs w:val="22"/>
                <w:lang w:val="en-GB"/>
              </w:rPr>
              <w:t xml:space="preserve"> SIDS</w:t>
            </w:r>
          </w:p>
        </w:tc>
        <w:tc>
          <w:tcPr>
            <w:tcW w:w="3747" w:type="pct"/>
            <w:gridSpan w:val="3"/>
            <w:tcBorders>
              <w:bottom w:val="single" w:sz="4" w:space="0" w:color="auto"/>
            </w:tcBorders>
          </w:tcPr>
          <w:p w14:paraId="47AF473F" w14:textId="0730A865" w:rsidR="00791396" w:rsidRPr="000F2BF8" w:rsidRDefault="00B15030"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hAnsi="Arial" w:cs="Arial"/>
                <w:sz w:val="22"/>
                <w:szCs w:val="22"/>
                <w:lang w:val="en-GB"/>
              </w:rPr>
              <w:t>127</w:t>
            </w:r>
            <w:r w:rsidR="00791396" w:rsidRPr="000F2BF8">
              <w:rPr>
                <w:rFonts w:ascii="Arial" w:hAnsi="Arial" w:cs="Arial"/>
                <w:sz w:val="22"/>
                <w:szCs w:val="22"/>
                <w:lang w:val="en-GB"/>
              </w:rPr>
              <w:t xml:space="preserve"> Member States benefitted from the capacity-building programme (including </w:t>
            </w:r>
            <w:r w:rsidRPr="000F2BF8">
              <w:rPr>
                <w:rFonts w:ascii="Arial" w:hAnsi="Arial" w:cs="Arial"/>
                <w:sz w:val="22"/>
                <w:szCs w:val="22"/>
                <w:lang w:val="en-GB"/>
              </w:rPr>
              <w:t>44</w:t>
            </w:r>
            <w:r w:rsidR="00791396" w:rsidRPr="000F2BF8">
              <w:rPr>
                <w:rFonts w:ascii="Arial" w:hAnsi="Arial" w:cs="Arial"/>
                <w:sz w:val="22"/>
                <w:szCs w:val="22"/>
                <w:lang w:val="en-GB"/>
              </w:rPr>
              <w:t xml:space="preserve"> in Africa and </w:t>
            </w:r>
            <w:r w:rsidRPr="000F2BF8">
              <w:rPr>
                <w:rFonts w:ascii="Arial" w:hAnsi="Arial" w:cs="Arial"/>
                <w:sz w:val="22"/>
                <w:szCs w:val="22"/>
                <w:lang w:val="en-GB"/>
              </w:rPr>
              <w:t>33</w:t>
            </w:r>
            <w:r w:rsidR="00791396" w:rsidRPr="000F2BF8">
              <w:rPr>
                <w:rFonts w:ascii="Arial" w:hAnsi="Arial" w:cs="Arial"/>
                <w:sz w:val="22"/>
                <w:szCs w:val="22"/>
                <w:lang w:val="en-GB"/>
              </w:rPr>
              <w:t xml:space="preserve"> SIDS);</w:t>
            </w:r>
          </w:p>
          <w:p w14:paraId="2A4D1D5F" w14:textId="532041B8" w:rsidR="00791396" w:rsidRPr="000F2BF8" w:rsidRDefault="00B15030"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hAnsi="Arial" w:cs="Arial"/>
                <w:sz w:val="22"/>
                <w:szCs w:val="22"/>
                <w:lang w:val="en-GB"/>
              </w:rPr>
              <w:t>44</w:t>
            </w:r>
            <w:r w:rsidR="00791396" w:rsidRPr="000F2BF8">
              <w:rPr>
                <w:rFonts w:ascii="Arial" w:hAnsi="Arial" w:cs="Arial"/>
                <w:sz w:val="22"/>
                <w:szCs w:val="22"/>
                <w:lang w:val="en-GB"/>
              </w:rPr>
              <w:t xml:space="preserve"> countries received support for the periodic reporting exercise in </w:t>
            </w:r>
            <w:r w:rsidRPr="000F2BF8">
              <w:rPr>
                <w:rFonts w:ascii="Arial" w:hAnsi="Arial" w:cs="Arial"/>
                <w:sz w:val="22"/>
                <w:szCs w:val="22"/>
                <w:lang w:val="en-GB"/>
              </w:rPr>
              <w:t>Africa</w:t>
            </w:r>
            <w:r w:rsidR="00791396" w:rsidRPr="000F2BF8">
              <w:rPr>
                <w:rFonts w:ascii="Arial" w:hAnsi="Arial" w:cs="Arial"/>
                <w:sz w:val="22"/>
                <w:szCs w:val="22"/>
                <w:lang w:val="en-GB"/>
              </w:rPr>
              <w:t>;</w:t>
            </w:r>
          </w:p>
          <w:p w14:paraId="6B6C850C" w14:textId="073A40E2" w:rsidR="00791396" w:rsidRPr="000F2BF8" w:rsidRDefault="00B15030"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hAnsi="Arial" w:cs="Arial"/>
                <w:sz w:val="22"/>
                <w:szCs w:val="22"/>
                <w:lang w:val="en-GB"/>
              </w:rPr>
              <w:t>42</w:t>
            </w:r>
            <w:r w:rsidR="00791396" w:rsidRPr="000F2BF8">
              <w:rPr>
                <w:rFonts w:ascii="Arial" w:hAnsi="Arial" w:cs="Arial"/>
                <w:sz w:val="22"/>
                <w:szCs w:val="22"/>
                <w:lang w:val="en-GB"/>
              </w:rPr>
              <w:t xml:space="preserve"> countries received support for the periodic reporting exercise in </w:t>
            </w:r>
            <w:r w:rsidRPr="000F2BF8">
              <w:rPr>
                <w:rFonts w:ascii="Arial" w:hAnsi="Arial" w:cs="Arial"/>
                <w:sz w:val="22"/>
                <w:szCs w:val="22"/>
                <w:lang w:val="en-GB"/>
              </w:rPr>
              <w:t>Asia and the Pacific</w:t>
            </w:r>
            <w:r w:rsidR="00791396" w:rsidRPr="000F2BF8">
              <w:rPr>
                <w:rFonts w:ascii="Arial" w:hAnsi="Arial" w:cs="Arial"/>
                <w:sz w:val="22"/>
                <w:szCs w:val="22"/>
                <w:lang w:val="en-GB"/>
              </w:rPr>
              <w:t>;</w:t>
            </w:r>
          </w:p>
          <w:p w14:paraId="3D391EC3" w14:textId="0370FF08" w:rsidR="00791396" w:rsidRPr="000F2BF8" w:rsidRDefault="004A4EE5"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eastAsia="Calibri" w:hAnsi="Arial" w:cs="Arial"/>
                <w:sz w:val="22"/>
                <w:szCs w:val="22"/>
                <w:lang w:val="en-GB"/>
              </w:rPr>
              <w:t xml:space="preserve">Capacity of the </w:t>
            </w:r>
            <w:r w:rsidR="006444AF" w:rsidRPr="000F2BF8">
              <w:rPr>
                <w:rFonts w:ascii="Arial" w:eastAsia="Calibri" w:hAnsi="Arial" w:cs="Arial"/>
                <w:sz w:val="22"/>
                <w:szCs w:val="22"/>
                <w:lang w:val="en-GB"/>
              </w:rPr>
              <w:t>g</w:t>
            </w:r>
            <w:r w:rsidRPr="000F2BF8">
              <w:rPr>
                <w:rFonts w:ascii="Arial" w:eastAsia="Calibri" w:hAnsi="Arial" w:cs="Arial"/>
                <w:sz w:val="22"/>
                <w:szCs w:val="22"/>
                <w:lang w:val="en-GB"/>
              </w:rPr>
              <w:t xml:space="preserve">lobal facilitators’ network was strengthened through the </w:t>
            </w:r>
            <w:hyperlink r:id="rId65" w:history="1">
              <w:r w:rsidR="00237661" w:rsidRPr="000F2BF8">
                <w:rPr>
                  <w:rStyle w:val="Hyperlink"/>
                  <w:rFonts w:ascii="Arial" w:eastAsia="Calibri" w:hAnsi="Arial" w:cs="Arial"/>
                  <w:sz w:val="22"/>
                  <w:szCs w:val="22"/>
                  <w:lang w:val="en-GB"/>
                </w:rPr>
                <w:t>2025 Global Training Programme for the global facilitators’ network</w:t>
              </w:r>
            </w:hyperlink>
            <w:r w:rsidRPr="000F2BF8">
              <w:rPr>
                <w:rFonts w:ascii="Arial" w:hAnsi="Arial" w:cs="Arial"/>
                <w:sz w:val="22"/>
                <w:szCs w:val="22"/>
                <w:lang w:val="en-GB"/>
              </w:rPr>
              <w:t>,</w:t>
            </w:r>
            <w:r w:rsidRPr="000F2BF8">
              <w:rPr>
                <w:rFonts w:ascii="Arial" w:eastAsia="Calibri" w:hAnsi="Arial" w:cs="Arial"/>
                <w:sz w:val="22"/>
                <w:szCs w:val="22"/>
                <w:lang w:val="en-GB"/>
              </w:rPr>
              <w:t xml:space="preserve"> over one introductory webinar (February 2025)</w:t>
            </w:r>
            <w:r w:rsidR="006444AF" w:rsidRPr="000F2BF8">
              <w:rPr>
                <w:rFonts w:ascii="Arial" w:eastAsia="Calibri" w:hAnsi="Arial" w:cs="Arial"/>
                <w:sz w:val="22"/>
                <w:szCs w:val="22"/>
                <w:lang w:val="en-GB"/>
              </w:rPr>
              <w:t xml:space="preserve"> </w:t>
            </w:r>
            <w:r w:rsidRPr="000F2BF8">
              <w:rPr>
                <w:rFonts w:ascii="Arial" w:eastAsia="Calibri" w:hAnsi="Arial" w:cs="Arial"/>
                <w:sz w:val="22"/>
                <w:szCs w:val="22"/>
                <w:lang w:val="en-GB"/>
              </w:rPr>
              <w:t xml:space="preserve">and three thematic sessions focusing on living heritage and disaster risk reduction (March 2025), preparing nominations </w:t>
            </w:r>
            <w:r w:rsidR="006444AF" w:rsidRPr="000F2BF8">
              <w:rPr>
                <w:rFonts w:ascii="Arial" w:eastAsia="Calibri" w:hAnsi="Arial" w:cs="Arial"/>
                <w:sz w:val="22"/>
                <w:szCs w:val="22"/>
                <w:lang w:val="en-GB"/>
              </w:rPr>
              <w:t>for</w:t>
            </w:r>
            <w:r w:rsidRPr="000F2BF8">
              <w:rPr>
                <w:rFonts w:ascii="Arial" w:eastAsia="Calibri" w:hAnsi="Arial" w:cs="Arial"/>
                <w:sz w:val="22"/>
                <w:szCs w:val="22"/>
                <w:lang w:val="en-GB"/>
              </w:rPr>
              <w:t xml:space="preserve"> the Lists and Register of the Convention (June 2025), and living heritage and education (July 2025)</w:t>
            </w:r>
            <w:r w:rsidR="00791396" w:rsidRPr="000F2BF8">
              <w:rPr>
                <w:rFonts w:ascii="Arial" w:hAnsi="Arial" w:cs="Arial"/>
                <w:sz w:val="22"/>
                <w:szCs w:val="22"/>
                <w:lang w:val="en-GB"/>
              </w:rPr>
              <w:t>;</w:t>
            </w:r>
          </w:p>
          <w:p w14:paraId="5559910E" w14:textId="4EEA366D" w:rsidR="00791396" w:rsidRPr="000F2BF8" w:rsidRDefault="00A42D4B"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hAnsi="Arial" w:cs="Arial"/>
                <w:sz w:val="22"/>
                <w:szCs w:val="22"/>
                <w:lang w:val="en-GB"/>
              </w:rPr>
              <w:t>4 c</w:t>
            </w:r>
            <w:r w:rsidR="00A94D5D" w:rsidRPr="000F2BF8">
              <w:rPr>
                <w:rFonts w:ascii="Arial" w:hAnsi="Arial" w:cs="Arial"/>
                <w:sz w:val="22"/>
                <w:szCs w:val="22"/>
                <w:lang w:val="en-GB"/>
              </w:rPr>
              <w:t>apacity</w:t>
            </w:r>
            <w:r w:rsidR="00C94F28" w:rsidRPr="000F2BF8">
              <w:rPr>
                <w:rFonts w:ascii="Arial" w:hAnsi="Arial" w:cs="Arial"/>
                <w:sz w:val="22"/>
                <w:szCs w:val="22"/>
                <w:lang w:val="en-GB"/>
              </w:rPr>
              <w:t>-</w:t>
            </w:r>
            <w:r w:rsidR="00A94D5D" w:rsidRPr="000F2BF8">
              <w:rPr>
                <w:rFonts w:ascii="Arial" w:hAnsi="Arial" w:cs="Arial"/>
                <w:sz w:val="22"/>
                <w:szCs w:val="22"/>
                <w:lang w:val="en-GB"/>
              </w:rPr>
              <w:t xml:space="preserve">building workshops on nominations in </w:t>
            </w:r>
            <w:r w:rsidRPr="000F2BF8">
              <w:rPr>
                <w:rFonts w:ascii="Arial" w:hAnsi="Arial" w:cs="Arial"/>
                <w:sz w:val="22"/>
                <w:szCs w:val="22"/>
                <w:lang w:val="en-GB"/>
              </w:rPr>
              <w:t>4</w:t>
            </w:r>
            <w:r w:rsidR="00A94D5D" w:rsidRPr="000F2BF8">
              <w:rPr>
                <w:rFonts w:ascii="Arial" w:hAnsi="Arial" w:cs="Arial"/>
                <w:sz w:val="22"/>
                <w:szCs w:val="22"/>
                <w:lang w:val="en-GB"/>
              </w:rPr>
              <w:t xml:space="preserve"> African countries carried out between October and </w:t>
            </w:r>
            <w:r w:rsidRPr="000F2BF8">
              <w:rPr>
                <w:rFonts w:ascii="Arial" w:hAnsi="Arial" w:cs="Arial"/>
                <w:sz w:val="22"/>
                <w:szCs w:val="22"/>
                <w:lang w:val="en-GB"/>
              </w:rPr>
              <w:t>December</w:t>
            </w:r>
            <w:r w:rsidR="00A94D5D" w:rsidRPr="000F2BF8">
              <w:rPr>
                <w:rFonts w:ascii="Arial" w:hAnsi="Arial" w:cs="Arial"/>
                <w:sz w:val="22"/>
                <w:szCs w:val="22"/>
                <w:lang w:val="en-GB"/>
              </w:rPr>
              <w:t xml:space="preserve"> 2025</w:t>
            </w:r>
            <w:r w:rsidRPr="000F2BF8">
              <w:rPr>
                <w:rFonts w:ascii="Arial" w:hAnsi="Arial" w:cs="Arial"/>
                <w:sz w:val="22"/>
                <w:szCs w:val="22"/>
                <w:lang w:val="en-GB"/>
              </w:rPr>
              <w:t xml:space="preserve"> (with 5 more scheduled in 2026)</w:t>
            </w:r>
            <w:r w:rsidR="00791396" w:rsidRPr="000F2BF8">
              <w:rPr>
                <w:rFonts w:ascii="Arial" w:hAnsi="Arial" w:cs="Arial"/>
                <w:sz w:val="22"/>
                <w:szCs w:val="22"/>
                <w:lang w:val="en-GB"/>
              </w:rPr>
              <w:t>;</w:t>
            </w:r>
          </w:p>
          <w:p w14:paraId="681EBC8C" w14:textId="7767DD74" w:rsidR="00791396" w:rsidRPr="000F2BF8" w:rsidRDefault="005E5B92" w:rsidP="0072052C">
            <w:pPr>
              <w:pStyle w:val="ListParagraph"/>
              <w:widowControl w:val="0"/>
              <w:numPr>
                <w:ilvl w:val="0"/>
                <w:numId w:val="25"/>
              </w:numPr>
              <w:spacing w:before="120" w:after="120"/>
              <w:ind w:left="425" w:hanging="425"/>
              <w:contextualSpacing w:val="0"/>
              <w:jc w:val="both"/>
              <w:rPr>
                <w:rFonts w:ascii="Arial" w:hAnsi="Arial" w:cs="Arial"/>
                <w:sz w:val="22"/>
                <w:szCs w:val="22"/>
                <w:lang w:val="en-GB"/>
              </w:rPr>
            </w:pPr>
            <w:r w:rsidRPr="000F2BF8">
              <w:rPr>
                <w:rFonts w:ascii="Arial" w:hAnsi="Arial" w:cs="Arial"/>
                <w:sz w:val="22"/>
                <w:szCs w:val="22"/>
                <w:lang w:val="en-GB"/>
              </w:rPr>
              <w:t>5</w:t>
            </w:r>
            <w:r w:rsidR="00791396" w:rsidRPr="000F2BF8">
              <w:rPr>
                <w:rFonts w:ascii="Arial" w:hAnsi="Arial" w:cs="Arial"/>
                <w:sz w:val="22"/>
                <w:szCs w:val="22"/>
                <w:lang w:val="en-GB"/>
              </w:rPr>
              <w:t xml:space="preserve"> proposals processed for the establishment or renewal of UNESCO Chairs in the field of intangible cultural heritage.</w:t>
            </w:r>
          </w:p>
        </w:tc>
      </w:tr>
      <w:tr w:rsidR="00791396" w:rsidRPr="000F2BF8" w14:paraId="4B524ED7" w14:textId="77777777" w:rsidTr="004F2FC7">
        <w:trPr>
          <w:trHeight w:val="367"/>
        </w:trPr>
        <w:tc>
          <w:tcPr>
            <w:tcW w:w="679" w:type="pct"/>
            <w:gridSpan w:val="2"/>
            <w:tcBorders>
              <w:left w:val="nil"/>
              <w:bottom w:val="nil"/>
              <w:right w:val="nil"/>
            </w:tcBorders>
          </w:tcPr>
          <w:p w14:paraId="31D71931" w14:textId="77777777" w:rsidR="00791396" w:rsidRPr="000F2BF8" w:rsidRDefault="00791396" w:rsidP="0072052C">
            <w:pPr>
              <w:widowControl w:val="0"/>
              <w:spacing w:before="120" w:after="120"/>
              <w:rPr>
                <w:rFonts w:ascii="Arial" w:hAnsi="Arial" w:cs="Arial"/>
                <w:sz w:val="22"/>
                <w:szCs w:val="22"/>
                <w:lang w:val="en-GB"/>
              </w:rPr>
            </w:pPr>
          </w:p>
        </w:tc>
        <w:tc>
          <w:tcPr>
            <w:tcW w:w="718" w:type="pct"/>
            <w:gridSpan w:val="2"/>
            <w:tcBorders>
              <w:left w:val="nil"/>
              <w:bottom w:val="nil"/>
              <w:right w:val="nil"/>
            </w:tcBorders>
          </w:tcPr>
          <w:p w14:paraId="03D17904" w14:textId="77777777" w:rsidR="00791396" w:rsidRPr="000F2BF8" w:rsidRDefault="00791396" w:rsidP="0072052C">
            <w:pPr>
              <w:pStyle w:val="ListParagraph"/>
              <w:widowControl w:val="0"/>
              <w:spacing w:before="120" w:after="120"/>
              <w:ind w:left="312"/>
              <w:contextualSpacing w:val="0"/>
              <w:rPr>
                <w:rFonts w:ascii="Arial" w:hAnsi="Arial" w:cs="Arial"/>
                <w:sz w:val="22"/>
                <w:szCs w:val="22"/>
                <w:lang w:val="en-GB"/>
              </w:rPr>
            </w:pPr>
          </w:p>
        </w:tc>
        <w:tc>
          <w:tcPr>
            <w:tcW w:w="77" w:type="pct"/>
            <w:tcBorders>
              <w:left w:val="nil"/>
              <w:bottom w:val="nil"/>
              <w:right w:val="nil"/>
            </w:tcBorders>
          </w:tcPr>
          <w:p w14:paraId="161C4F92" w14:textId="77777777" w:rsidR="00791396" w:rsidRPr="000F2BF8" w:rsidRDefault="00791396" w:rsidP="0072052C">
            <w:pPr>
              <w:pStyle w:val="ListParagraph"/>
              <w:widowControl w:val="0"/>
              <w:spacing w:before="120" w:after="120"/>
              <w:ind w:left="312"/>
              <w:contextualSpacing w:val="0"/>
              <w:rPr>
                <w:rFonts w:ascii="Arial" w:hAnsi="Arial" w:cs="Arial"/>
                <w:sz w:val="22"/>
                <w:szCs w:val="22"/>
                <w:lang w:val="en-GB"/>
              </w:rPr>
            </w:pPr>
          </w:p>
        </w:tc>
        <w:tc>
          <w:tcPr>
            <w:tcW w:w="3526" w:type="pct"/>
            <w:tcBorders>
              <w:left w:val="nil"/>
              <w:bottom w:val="nil"/>
              <w:right w:val="nil"/>
            </w:tcBorders>
          </w:tcPr>
          <w:p w14:paraId="57254198" w14:textId="77777777" w:rsidR="00791396" w:rsidRPr="000F2BF8" w:rsidRDefault="00791396" w:rsidP="0072052C">
            <w:pPr>
              <w:pStyle w:val="ListParagraph"/>
              <w:widowControl w:val="0"/>
              <w:spacing w:before="120" w:after="120"/>
              <w:ind w:left="544"/>
              <w:contextualSpacing w:val="0"/>
              <w:rPr>
                <w:rFonts w:ascii="Arial" w:hAnsi="Arial" w:cs="Arial"/>
                <w:sz w:val="22"/>
                <w:szCs w:val="22"/>
                <w:lang w:val="en-GB"/>
              </w:rPr>
            </w:pPr>
          </w:p>
        </w:tc>
      </w:tr>
    </w:tbl>
    <w:p w14:paraId="2FA77A27" w14:textId="77777777" w:rsidR="00791396" w:rsidRPr="000F2BF8" w:rsidRDefault="00791396" w:rsidP="0072052C">
      <w:pPr>
        <w:rPr>
          <w:rFonts w:ascii="Arial" w:hAnsi="Arial" w:cs="Arial"/>
          <w:lang w:val="en-GB"/>
        </w:rPr>
      </w:pPr>
      <w:r w:rsidRPr="000F2BF8">
        <w:rPr>
          <w:rFonts w:ascii="Arial" w:hAnsi="Arial" w:cs="Arial"/>
          <w:lang w:val="en-GB"/>
        </w:rPr>
        <w:br w:type="page"/>
      </w:r>
    </w:p>
    <w:tbl>
      <w:tblPr>
        <w:tblStyle w:val="TableGrid2"/>
        <w:tblW w:w="14572" w:type="dxa"/>
        <w:tblLook w:val="04A0" w:firstRow="1" w:lastRow="0" w:firstColumn="1" w:lastColumn="0" w:noHBand="0" w:noVBand="1"/>
      </w:tblPr>
      <w:tblGrid>
        <w:gridCol w:w="3509"/>
        <w:gridCol w:w="11063"/>
      </w:tblGrid>
      <w:tr w:rsidR="00791396" w:rsidRPr="000F2BF8" w14:paraId="338D749A" w14:textId="77777777" w:rsidTr="004F2FC7">
        <w:trPr>
          <w:cantSplit/>
        </w:trPr>
        <w:tc>
          <w:tcPr>
            <w:tcW w:w="1204" w:type="pct"/>
            <w:shd w:val="clear" w:color="auto" w:fill="808080" w:themeFill="background1" w:themeFillShade="80"/>
            <w:vAlign w:val="center"/>
          </w:tcPr>
          <w:p w14:paraId="47060129" w14:textId="3DA25F51" w:rsidR="00791396" w:rsidRPr="000F2BF8" w:rsidRDefault="00791396" w:rsidP="0072052C">
            <w:pPr>
              <w:keepNext/>
              <w:widowControl w:val="0"/>
              <w:spacing w:before="120" w:after="120"/>
              <w:rPr>
                <w:rFonts w:ascii="Arial" w:hAnsi="Arial" w:cs="Arial"/>
                <w:b/>
                <w:bCs/>
                <w:color w:val="FFFFFF" w:themeColor="background1"/>
                <w:sz w:val="22"/>
                <w:szCs w:val="22"/>
                <w:lang w:val="en-GB"/>
              </w:rPr>
            </w:pPr>
            <w:r w:rsidRPr="000F2BF8">
              <w:rPr>
                <w:rFonts w:ascii="Arial" w:hAnsi="Arial" w:cs="Arial"/>
                <w:b/>
                <w:bCs/>
                <w:color w:val="FFFFFF" w:themeColor="background1"/>
                <w:sz w:val="22"/>
                <w:szCs w:val="22"/>
                <w:lang w:val="en-GB"/>
              </w:rPr>
              <w:lastRenderedPageBreak/>
              <w:t>4</w:t>
            </w:r>
            <w:r w:rsidR="00655AF1" w:rsidRPr="000F2BF8">
              <w:rPr>
                <w:rFonts w:ascii="Arial" w:hAnsi="Arial" w:cs="Arial"/>
                <w:b/>
                <w:bCs/>
                <w:color w:val="FFFFFF" w:themeColor="background1"/>
                <w:sz w:val="22"/>
                <w:szCs w:val="22"/>
                <w:lang w:val="en-GB"/>
              </w:rPr>
              <w:t>2</w:t>
            </w:r>
            <w:r w:rsidRPr="000F2BF8">
              <w:rPr>
                <w:rFonts w:ascii="Arial" w:hAnsi="Arial" w:cs="Arial"/>
                <w:b/>
                <w:bCs/>
                <w:color w:val="FFFFFF" w:themeColor="background1"/>
                <w:sz w:val="22"/>
                <w:szCs w:val="22"/>
                <w:lang w:val="en-GB"/>
              </w:rPr>
              <w:t>C/5 Performance Indicator 2</w:t>
            </w:r>
          </w:p>
        </w:tc>
        <w:tc>
          <w:tcPr>
            <w:tcW w:w="3796" w:type="pct"/>
            <w:shd w:val="clear" w:color="auto" w:fill="808080" w:themeFill="background1" w:themeFillShade="80"/>
            <w:vAlign w:val="center"/>
          </w:tcPr>
          <w:p w14:paraId="4C675750" w14:textId="77777777" w:rsidR="00791396" w:rsidRPr="000F2BF8" w:rsidRDefault="00791396" w:rsidP="0072052C">
            <w:pPr>
              <w:keepNext/>
              <w:widowControl w:val="0"/>
              <w:spacing w:before="120" w:after="120"/>
              <w:jc w:val="both"/>
              <w:rPr>
                <w:rFonts w:ascii="Arial" w:hAnsi="Arial" w:cs="Arial"/>
                <w:b/>
                <w:bCs/>
                <w:color w:val="FFFFFF" w:themeColor="background1"/>
                <w:sz w:val="22"/>
                <w:szCs w:val="22"/>
                <w:lang w:val="en-GB"/>
              </w:rPr>
            </w:pPr>
            <w:r w:rsidRPr="000F2BF8">
              <w:rPr>
                <w:rFonts w:ascii="Arial" w:hAnsi="Arial" w:cs="Arial"/>
                <w:b/>
                <w:bCs/>
                <w:color w:val="FFFFFF" w:themeColor="background1"/>
                <w:sz w:val="22"/>
                <w:szCs w:val="22"/>
                <w:lang w:val="en-GB"/>
              </w:rPr>
              <w:t>Number of Member States sustainably safeguarding living heritage through enhanced international cooperation and assistance mechanisms of the 2003 Convention for the Safeguarding of the Intangible Cultural Heritage</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791396" w:rsidRPr="000F2BF8" w14:paraId="66A08692" w14:textId="77777777" w:rsidTr="004F2FC7">
        <w:trPr>
          <w:tblHeader/>
        </w:trPr>
        <w:tc>
          <w:tcPr>
            <w:tcW w:w="602" w:type="pct"/>
            <w:shd w:val="clear" w:color="auto" w:fill="D9D9D9" w:themeFill="background1" w:themeFillShade="D9"/>
            <w:vAlign w:val="center"/>
          </w:tcPr>
          <w:p w14:paraId="54BEF7EF" w14:textId="77777777" w:rsidR="00791396" w:rsidRPr="000F2BF8" w:rsidRDefault="00791396" w:rsidP="0072052C">
            <w:pPr>
              <w:widowControl w:val="0"/>
              <w:spacing w:before="60" w:after="60"/>
              <w:jc w:val="center"/>
              <w:rPr>
                <w:rFonts w:ascii="Arial" w:eastAsia="Calibri" w:hAnsi="Arial" w:cs="Arial"/>
                <w:b/>
                <w:sz w:val="22"/>
                <w:szCs w:val="22"/>
                <w:lang w:val="en-GB"/>
              </w:rPr>
            </w:pPr>
            <w:r w:rsidRPr="000F2BF8">
              <w:rPr>
                <w:rFonts w:ascii="Arial" w:hAnsi="Arial" w:cs="Arial"/>
                <w:b/>
                <w:bCs/>
                <w:sz w:val="22"/>
                <w:szCs w:val="22"/>
                <w:lang w:val="en-GB"/>
              </w:rPr>
              <w:t>Baselines</w:t>
            </w:r>
          </w:p>
        </w:tc>
        <w:tc>
          <w:tcPr>
            <w:tcW w:w="602" w:type="pct"/>
            <w:shd w:val="clear" w:color="auto" w:fill="D9D9D9" w:themeFill="background1" w:themeFillShade="D9"/>
            <w:vAlign w:val="center"/>
          </w:tcPr>
          <w:p w14:paraId="3D3A6A4F" w14:textId="430A6C8C" w:rsidR="00791396" w:rsidRPr="000F2BF8" w:rsidRDefault="00791396" w:rsidP="0072052C">
            <w:pPr>
              <w:widowControl w:val="0"/>
              <w:spacing w:before="60" w:after="60"/>
              <w:jc w:val="center"/>
              <w:rPr>
                <w:rFonts w:ascii="Arial" w:eastAsia="Calibri" w:hAnsi="Arial" w:cs="Arial"/>
                <w:b/>
                <w:sz w:val="22"/>
                <w:szCs w:val="22"/>
                <w:lang w:val="en-GB"/>
              </w:rPr>
            </w:pPr>
            <w:r w:rsidRPr="000F2BF8">
              <w:rPr>
                <w:rFonts w:ascii="Arial" w:eastAsia="Calibri" w:hAnsi="Arial" w:cs="Arial"/>
                <w:b/>
                <w:sz w:val="22"/>
                <w:szCs w:val="22"/>
                <w:lang w:val="en-GB"/>
              </w:rPr>
              <w:t>Targets 202</w:t>
            </w:r>
            <w:r w:rsidR="00655AF1" w:rsidRPr="000F2BF8">
              <w:rPr>
                <w:rFonts w:ascii="Arial" w:eastAsia="Calibri" w:hAnsi="Arial" w:cs="Arial"/>
                <w:b/>
                <w:sz w:val="22"/>
                <w:szCs w:val="22"/>
                <w:lang w:val="en-GB"/>
              </w:rPr>
              <w:t>5</w:t>
            </w:r>
          </w:p>
        </w:tc>
        <w:tc>
          <w:tcPr>
            <w:tcW w:w="3796" w:type="pct"/>
            <w:shd w:val="clear" w:color="auto" w:fill="D9D9D9" w:themeFill="background1" w:themeFillShade="D9"/>
            <w:vAlign w:val="center"/>
          </w:tcPr>
          <w:p w14:paraId="050D346A" w14:textId="6725DEC0" w:rsidR="00791396" w:rsidRPr="000F2BF8" w:rsidRDefault="00791396" w:rsidP="0072052C">
            <w:pPr>
              <w:widowControl w:val="0"/>
              <w:autoSpaceDE w:val="0"/>
              <w:autoSpaceDN w:val="0"/>
              <w:adjustRightInd w:val="0"/>
              <w:jc w:val="center"/>
              <w:rPr>
                <w:rFonts w:ascii="Arial" w:eastAsia="Calibri" w:hAnsi="Arial" w:cs="Arial"/>
                <w:b/>
                <w:color w:val="000000"/>
                <w:sz w:val="22"/>
                <w:szCs w:val="22"/>
                <w:lang w:val="en-GB"/>
              </w:rPr>
            </w:pPr>
            <w:r w:rsidRPr="000F2BF8">
              <w:rPr>
                <w:rFonts w:ascii="Arial" w:eastAsia="Calibri" w:hAnsi="Arial" w:cs="Arial"/>
                <w:b/>
                <w:sz w:val="22"/>
                <w:szCs w:val="22"/>
                <w:lang w:val="en-GB"/>
              </w:rPr>
              <w:t>Assessment of progress:</w:t>
            </w:r>
            <w:r w:rsidRPr="000F2BF8">
              <w:rPr>
                <w:rFonts w:ascii="Arial" w:eastAsia="Calibri" w:hAnsi="Arial" w:cs="Arial"/>
                <w:b/>
                <w:sz w:val="22"/>
                <w:szCs w:val="22"/>
                <w:lang w:val="en-GB"/>
              </w:rPr>
              <w:br/>
              <w:t>01/01/202</w:t>
            </w:r>
            <w:r w:rsidR="00655AF1" w:rsidRPr="000F2BF8">
              <w:rPr>
                <w:rFonts w:ascii="Arial" w:eastAsia="Calibri" w:hAnsi="Arial" w:cs="Arial"/>
                <w:b/>
                <w:sz w:val="22"/>
                <w:szCs w:val="22"/>
                <w:lang w:val="en-GB"/>
              </w:rPr>
              <w:t>4</w:t>
            </w:r>
            <w:r w:rsidRPr="000F2BF8">
              <w:rPr>
                <w:rFonts w:ascii="Arial" w:eastAsia="Calibri" w:hAnsi="Arial" w:cs="Arial"/>
                <w:b/>
                <w:sz w:val="22"/>
                <w:szCs w:val="22"/>
                <w:lang w:val="en-GB"/>
              </w:rPr>
              <w:t xml:space="preserve"> to 31/12/202</w:t>
            </w:r>
            <w:r w:rsidR="00655AF1" w:rsidRPr="000F2BF8">
              <w:rPr>
                <w:rFonts w:ascii="Arial" w:eastAsia="Calibri" w:hAnsi="Arial" w:cs="Arial"/>
                <w:b/>
                <w:sz w:val="22"/>
                <w:szCs w:val="22"/>
                <w:lang w:val="en-GB"/>
              </w:rPr>
              <w:t>5</w:t>
            </w:r>
          </w:p>
        </w:tc>
      </w:tr>
      <w:tr w:rsidR="00791396" w:rsidRPr="000F2BF8" w14:paraId="60B9C626" w14:textId="77777777" w:rsidTr="004F2FC7">
        <w:trPr>
          <w:trHeight w:val="4361"/>
          <w:tblHeader/>
        </w:trPr>
        <w:tc>
          <w:tcPr>
            <w:tcW w:w="602" w:type="pct"/>
          </w:tcPr>
          <w:p w14:paraId="3757747E" w14:textId="4D6B65A4" w:rsidR="00791396" w:rsidRPr="000F2BF8" w:rsidRDefault="008B1BA5" w:rsidP="0072052C">
            <w:pPr>
              <w:widowControl w:val="0"/>
              <w:spacing w:before="60" w:after="60"/>
              <w:rPr>
                <w:rFonts w:ascii="Arial" w:hAnsi="Arial" w:cs="Arial"/>
                <w:b/>
                <w:bCs/>
                <w:sz w:val="22"/>
                <w:szCs w:val="22"/>
                <w:lang w:val="en-GB"/>
              </w:rPr>
            </w:pPr>
            <w:r w:rsidRPr="000F2BF8">
              <w:rPr>
                <w:rFonts w:ascii="Arial" w:hAnsi="Arial" w:cs="Arial"/>
                <w:sz w:val="22"/>
                <w:szCs w:val="22"/>
                <w:lang w:val="en-GB"/>
              </w:rPr>
              <w:t>123</w:t>
            </w:r>
            <w:r w:rsidR="00791396" w:rsidRPr="000F2BF8">
              <w:rPr>
                <w:rFonts w:ascii="Arial" w:hAnsi="Arial" w:cs="Arial"/>
                <w:sz w:val="22"/>
                <w:szCs w:val="22"/>
                <w:lang w:val="en-GB"/>
              </w:rPr>
              <w:t xml:space="preserve">, including </w:t>
            </w:r>
            <w:r w:rsidRPr="000F2BF8">
              <w:rPr>
                <w:rFonts w:ascii="Arial" w:hAnsi="Arial" w:cs="Arial"/>
                <w:sz w:val="22"/>
                <w:szCs w:val="22"/>
                <w:lang w:val="en-GB"/>
              </w:rPr>
              <w:t>10</w:t>
            </w:r>
            <w:r w:rsidR="00791396" w:rsidRPr="000F2BF8">
              <w:rPr>
                <w:rFonts w:ascii="Arial" w:hAnsi="Arial" w:cs="Arial"/>
                <w:sz w:val="22"/>
                <w:szCs w:val="22"/>
                <w:lang w:val="en-GB"/>
              </w:rPr>
              <w:t xml:space="preserve"> in Africa and </w:t>
            </w:r>
            <w:r w:rsidRPr="000F2BF8">
              <w:rPr>
                <w:rFonts w:ascii="Arial" w:hAnsi="Arial" w:cs="Arial"/>
                <w:sz w:val="22"/>
                <w:szCs w:val="22"/>
                <w:lang w:val="en-GB"/>
              </w:rPr>
              <w:t>10</w:t>
            </w:r>
            <w:r w:rsidR="00791396" w:rsidRPr="000F2BF8">
              <w:rPr>
                <w:rFonts w:ascii="Arial" w:hAnsi="Arial" w:cs="Arial"/>
                <w:sz w:val="22"/>
                <w:szCs w:val="22"/>
                <w:lang w:val="en-GB"/>
              </w:rPr>
              <w:t xml:space="preserve"> SIDS</w:t>
            </w:r>
          </w:p>
        </w:tc>
        <w:tc>
          <w:tcPr>
            <w:tcW w:w="602" w:type="pct"/>
          </w:tcPr>
          <w:p w14:paraId="311CDD5E" w14:textId="0B5D47FA" w:rsidR="00791396" w:rsidRPr="000F2BF8" w:rsidRDefault="008B1BA5" w:rsidP="0072052C">
            <w:pPr>
              <w:widowControl w:val="0"/>
              <w:spacing w:before="60" w:after="60"/>
              <w:rPr>
                <w:rFonts w:ascii="Arial" w:eastAsia="Calibri" w:hAnsi="Arial" w:cs="Arial"/>
                <w:b/>
                <w:sz w:val="22"/>
                <w:szCs w:val="22"/>
                <w:lang w:val="en-GB"/>
              </w:rPr>
            </w:pPr>
            <w:r w:rsidRPr="000F2BF8">
              <w:rPr>
                <w:rFonts w:ascii="Arial" w:hAnsi="Arial" w:cs="Arial"/>
                <w:sz w:val="22"/>
                <w:szCs w:val="22"/>
                <w:lang w:val="en-GB"/>
              </w:rPr>
              <w:t>108</w:t>
            </w:r>
            <w:r w:rsidR="00791396" w:rsidRPr="000F2BF8">
              <w:rPr>
                <w:rFonts w:ascii="Arial" w:hAnsi="Arial" w:cs="Arial"/>
                <w:sz w:val="22"/>
                <w:szCs w:val="22"/>
                <w:lang w:val="en-GB"/>
              </w:rPr>
              <w:t xml:space="preserve">, including </w:t>
            </w:r>
            <w:r w:rsidRPr="000F2BF8">
              <w:rPr>
                <w:rFonts w:ascii="Arial" w:hAnsi="Arial" w:cs="Arial"/>
                <w:sz w:val="22"/>
                <w:szCs w:val="22"/>
                <w:lang w:val="en-GB"/>
              </w:rPr>
              <w:t>44</w:t>
            </w:r>
            <w:r w:rsidR="00791396" w:rsidRPr="000F2BF8">
              <w:rPr>
                <w:rFonts w:ascii="Arial" w:hAnsi="Arial" w:cs="Arial"/>
                <w:sz w:val="22"/>
                <w:szCs w:val="22"/>
                <w:lang w:val="en-GB"/>
              </w:rPr>
              <w:t xml:space="preserve"> in Africa and </w:t>
            </w:r>
            <w:r w:rsidRPr="000F2BF8">
              <w:rPr>
                <w:rFonts w:ascii="Arial" w:hAnsi="Arial" w:cs="Arial"/>
                <w:sz w:val="22"/>
                <w:szCs w:val="22"/>
                <w:lang w:val="en-GB"/>
              </w:rPr>
              <w:t>10</w:t>
            </w:r>
            <w:r w:rsidR="00791396" w:rsidRPr="000F2BF8">
              <w:rPr>
                <w:rFonts w:ascii="Arial" w:hAnsi="Arial" w:cs="Arial"/>
                <w:sz w:val="22"/>
                <w:szCs w:val="22"/>
                <w:lang w:val="en-GB"/>
              </w:rPr>
              <w:t xml:space="preserve"> SIDS</w:t>
            </w:r>
          </w:p>
        </w:tc>
        <w:tc>
          <w:tcPr>
            <w:tcW w:w="3796" w:type="pct"/>
          </w:tcPr>
          <w:p w14:paraId="3B651F96" w14:textId="451C6162" w:rsidR="00791396" w:rsidRPr="000F2BF8" w:rsidRDefault="006444AF" w:rsidP="0072052C">
            <w:pPr>
              <w:pStyle w:val="ListParagraph"/>
              <w:keepNext/>
              <w:keepLines/>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R</w:t>
            </w:r>
            <w:r w:rsidR="00791396" w:rsidRPr="000F2BF8">
              <w:rPr>
                <w:rFonts w:ascii="Arial" w:hAnsi="Arial" w:cs="Arial"/>
                <w:sz w:val="22"/>
                <w:szCs w:val="22"/>
                <w:lang w:val="en-GB"/>
              </w:rPr>
              <w:t xml:space="preserve">eflection on </w:t>
            </w:r>
            <w:r w:rsidRPr="000F2BF8">
              <w:rPr>
                <w:rFonts w:ascii="Arial" w:hAnsi="Arial" w:cs="Arial"/>
                <w:sz w:val="22"/>
                <w:szCs w:val="22"/>
                <w:lang w:val="en-GB"/>
              </w:rPr>
              <w:t>a broader implementation of Article 18 of the</w:t>
            </w:r>
            <w:r w:rsidR="00791396" w:rsidRPr="000F2BF8">
              <w:rPr>
                <w:rFonts w:ascii="Arial" w:hAnsi="Arial" w:cs="Arial"/>
                <w:sz w:val="22"/>
                <w:szCs w:val="22"/>
                <w:lang w:val="en-GB"/>
              </w:rPr>
              <w:t xml:space="preserve"> Convention </w:t>
            </w:r>
            <w:r w:rsidRPr="000F2BF8">
              <w:rPr>
                <w:rFonts w:ascii="Arial" w:hAnsi="Arial" w:cs="Arial"/>
                <w:sz w:val="22"/>
                <w:szCs w:val="22"/>
                <w:lang w:val="en-GB"/>
              </w:rPr>
              <w:t>continued</w:t>
            </w:r>
            <w:r w:rsidR="00791396" w:rsidRPr="000F2BF8">
              <w:rPr>
                <w:rFonts w:ascii="Arial" w:hAnsi="Arial" w:cs="Arial"/>
                <w:sz w:val="22"/>
                <w:szCs w:val="22"/>
                <w:lang w:val="en-GB"/>
              </w:rPr>
              <w:t>;</w:t>
            </w:r>
          </w:p>
          <w:p w14:paraId="31799F6D" w14:textId="4EE5FF77" w:rsidR="00791396" w:rsidRPr="000F2BF8" w:rsidRDefault="006F73A0" w:rsidP="0072052C">
            <w:pPr>
              <w:pStyle w:val="ListParagraph"/>
              <w:widowControl w:val="0"/>
              <w:numPr>
                <w:ilvl w:val="0"/>
                <w:numId w:val="26"/>
              </w:numPr>
              <w:autoSpaceDE w:val="0"/>
              <w:autoSpaceDN w:val="0"/>
              <w:adjustRightInd w:val="0"/>
              <w:ind w:left="323"/>
              <w:rPr>
                <w:rFonts w:ascii="Arial" w:hAnsi="Arial" w:cs="Arial"/>
                <w:sz w:val="22"/>
                <w:szCs w:val="22"/>
                <w:lang w:val="en-GB"/>
              </w:rPr>
            </w:pPr>
            <w:r w:rsidRPr="000F2BF8">
              <w:rPr>
                <w:rFonts w:ascii="Arial" w:hAnsi="Arial" w:cs="Arial"/>
                <w:sz w:val="22"/>
                <w:szCs w:val="22"/>
                <w:lang w:val="en-GB"/>
              </w:rPr>
              <w:t xml:space="preserve">27 </w:t>
            </w:r>
            <w:r w:rsidR="00791396" w:rsidRPr="000F2BF8">
              <w:rPr>
                <w:rFonts w:ascii="Arial" w:hAnsi="Arial" w:cs="Arial"/>
                <w:sz w:val="22"/>
                <w:szCs w:val="22"/>
                <w:lang w:val="en-GB"/>
              </w:rPr>
              <w:t xml:space="preserve">new International Assistance requests processed and granted by the Bureau, including </w:t>
            </w:r>
            <w:r w:rsidRPr="000F2BF8">
              <w:rPr>
                <w:rFonts w:ascii="Arial" w:hAnsi="Arial" w:cs="Arial"/>
                <w:sz w:val="22"/>
                <w:szCs w:val="22"/>
                <w:lang w:val="en-GB"/>
              </w:rPr>
              <w:t xml:space="preserve">9 </w:t>
            </w:r>
            <w:r w:rsidR="00791396" w:rsidRPr="000F2BF8">
              <w:rPr>
                <w:rFonts w:ascii="Arial" w:hAnsi="Arial" w:cs="Arial"/>
                <w:sz w:val="22"/>
                <w:szCs w:val="22"/>
                <w:lang w:val="en-GB"/>
              </w:rPr>
              <w:t xml:space="preserve">from Africa and </w:t>
            </w:r>
            <w:r w:rsidRPr="000F2BF8">
              <w:rPr>
                <w:rFonts w:ascii="Arial" w:hAnsi="Arial" w:cs="Arial"/>
                <w:sz w:val="22"/>
                <w:szCs w:val="22"/>
                <w:lang w:val="en-GB"/>
              </w:rPr>
              <w:t xml:space="preserve">6 </w:t>
            </w:r>
            <w:r w:rsidR="00791396" w:rsidRPr="000F2BF8">
              <w:rPr>
                <w:rFonts w:ascii="Arial" w:hAnsi="Arial" w:cs="Arial"/>
                <w:sz w:val="22"/>
                <w:szCs w:val="22"/>
                <w:lang w:val="en-GB"/>
              </w:rPr>
              <w:t>from SIDS;</w:t>
            </w:r>
          </w:p>
          <w:p w14:paraId="21E5DB96" w14:textId="028BDF49" w:rsidR="00791396" w:rsidRPr="000F2BF8" w:rsidRDefault="00540649" w:rsidP="0072052C">
            <w:pPr>
              <w:pStyle w:val="ListParagraph"/>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140</w:t>
            </w:r>
            <w:r w:rsidR="00791396" w:rsidRPr="000F2BF8">
              <w:rPr>
                <w:rFonts w:ascii="Arial" w:hAnsi="Arial" w:cs="Arial"/>
                <w:sz w:val="22"/>
                <w:szCs w:val="22"/>
                <w:lang w:val="en-GB"/>
              </w:rPr>
              <w:t xml:space="preserve"> nomination files treated under the </w:t>
            </w:r>
            <w:r w:rsidR="000156DD" w:rsidRPr="000F2BF8">
              <w:rPr>
                <w:rFonts w:ascii="Arial" w:hAnsi="Arial" w:cs="Arial"/>
                <w:sz w:val="22"/>
                <w:szCs w:val="22"/>
                <w:lang w:val="en-GB"/>
              </w:rPr>
              <w:t>2024</w:t>
            </w:r>
            <w:r w:rsidR="00791396" w:rsidRPr="000F2BF8">
              <w:rPr>
                <w:rFonts w:ascii="Arial" w:hAnsi="Arial" w:cs="Arial"/>
                <w:sz w:val="22"/>
                <w:szCs w:val="22"/>
                <w:lang w:val="en-GB"/>
              </w:rPr>
              <w:t xml:space="preserve"> and </w:t>
            </w:r>
            <w:r w:rsidR="000156DD" w:rsidRPr="000F2BF8">
              <w:rPr>
                <w:rFonts w:ascii="Arial" w:hAnsi="Arial" w:cs="Arial"/>
                <w:sz w:val="22"/>
                <w:szCs w:val="22"/>
                <w:lang w:val="en-GB"/>
              </w:rPr>
              <w:t>2025</w:t>
            </w:r>
            <w:r w:rsidR="00791396" w:rsidRPr="000F2BF8">
              <w:rPr>
                <w:rFonts w:ascii="Arial" w:hAnsi="Arial" w:cs="Arial"/>
                <w:sz w:val="22"/>
                <w:szCs w:val="22"/>
                <w:lang w:val="en-GB"/>
              </w:rPr>
              <w:t xml:space="preserve"> cycles and </w:t>
            </w:r>
            <w:r w:rsidR="005F4081" w:rsidRPr="000F2BF8">
              <w:rPr>
                <w:rFonts w:ascii="Arial" w:hAnsi="Arial" w:cs="Arial"/>
                <w:sz w:val="22"/>
                <w:szCs w:val="22"/>
                <w:lang w:val="en-GB"/>
              </w:rPr>
              <w:t xml:space="preserve">71 </w:t>
            </w:r>
            <w:r w:rsidR="00791396" w:rsidRPr="000F2BF8">
              <w:rPr>
                <w:rFonts w:ascii="Arial" w:hAnsi="Arial" w:cs="Arial"/>
                <w:sz w:val="22"/>
                <w:szCs w:val="22"/>
                <w:lang w:val="en-GB"/>
              </w:rPr>
              <w:t xml:space="preserve">nomination files </w:t>
            </w:r>
            <w:r w:rsidR="005F4081" w:rsidRPr="000F2BF8">
              <w:rPr>
                <w:rFonts w:ascii="Arial" w:hAnsi="Arial" w:cs="Arial"/>
                <w:sz w:val="22"/>
                <w:szCs w:val="22"/>
                <w:lang w:val="en-GB"/>
              </w:rPr>
              <w:t xml:space="preserve">initially </w:t>
            </w:r>
            <w:r w:rsidR="00791396" w:rsidRPr="000F2BF8">
              <w:rPr>
                <w:rFonts w:ascii="Arial" w:hAnsi="Arial" w:cs="Arial"/>
                <w:sz w:val="22"/>
                <w:szCs w:val="22"/>
                <w:lang w:val="en-GB"/>
              </w:rPr>
              <w:t xml:space="preserve">treated for the </w:t>
            </w:r>
            <w:r w:rsidR="004C7FB0" w:rsidRPr="000F2BF8">
              <w:rPr>
                <w:rFonts w:ascii="Arial" w:hAnsi="Arial" w:cs="Arial"/>
                <w:sz w:val="22"/>
                <w:szCs w:val="22"/>
                <w:lang w:val="en-GB"/>
              </w:rPr>
              <w:t>202</w:t>
            </w:r>
            <w:r w:rsidRPr="000F2BF8">
              <w:rPr>
                <w:rFonts w:ascii="Arial" w:hAnsi="Arial" w:cs="Arial"/>
                <w:sz w:val="22"/>
                <w:szCs w:val="22"/>
                <w:lang w:val="en-GB"/>
              </w:rPr>
              <w:t>6</w:t>
            </w:r>
            <w:r w:rsidR="00791396" w:rsidRPr="000F2BF8">
              <w:rPr>
                <w:rFonts w:ascii="Arial" w:hAnsi="Arial" w:cs="Arial"/>
                <w:sz w:val="22"/>
                <w:szCs w:val="22"/>
                <w:lang w:val="en-GB"/>
              </w:rPr>
              <w:t xml:space="preserve"> cycle;</w:t>
            </w:r>
          </w:p>
          <w:p w14:paraId="0A25CBCF" w14:textId="0D306E4C" w:rsidR="00791396" w:rsidRPr="000F2BF8" w:rsidRDefault="005D3250" w:rsidP="0072052C">
            <w:pPr>
              <w:pStyle w:val="ListParagraph"/>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205</w:t>
            </w:r>
            <w:r w:rsidR="00791396" w:rsidRPr="000F2BF8">
              <w:rPr>
                <w:rFonts w:ascii="Arial" w:hAnsi="Arial" w:cs="Arial"/>
                <w:sz w:val="22"/>
                <w:szCs w:val="22"/>
                <w:lang w:val="en-GB"/>
              </w:rPr>
              <w:t xml:space="preserve"> nomination files newly submitted </w:t>
            </w:r>
            <w:r w:rsidRPr="000F2BF8">
              <w:rPr>
                <w:rFonts w:ascii="Arial" w:hAnsi="Arial" w:cs="Arial"/>
                <w:sz w:val="22"/>
                <w:szCs w:val="22"/>
                <w:lang w:val="en-GB"/>
              </w:rPr>
              <w:t>for the</w:t>
            </w:r>
            <w:r w:rsidR="00791396" w:rsidRPr="000F2BF8">
              <w:rPr>
                <w:rFonts w:ascii="Arial" w:hAnsi="Arial" w:cs="Arial"/>
                <w:sz w:val="22"/>
                <w:szCs w:val="22"/>
                <w:lang w:val="en-GB"/>
              </w:rPr>
              <w:t xml:space="preserve"> </w:t>
            </w:r>
            <w:r w:rsidR="000156DD" w:rsidRPr="000F2BF8">
              <w:rPr>
                <w:rFonts w:ascii="Arial" w:hAnsi="Arial" w:cs="Arial"/>
                <w:sz w:val="22"/>
                <w:szCs w:val="22"/>
                <w:lang w:val="en-GB"/>
              </w:rPr>
              <w:t>2025</w:t>
            </w:r>
            <w:r w:rsidR="00791396" w:rsidRPr="000F2BF8">
              <w:rPr>
                <w:rFonts w:ascii="Arial" w:hAnsi="Arial" w:cs="Arial"/>
                <w:sz w:val="22"/>
                <w:szCs w:val="22"/>
                <w:lang w:val="en-GB"/>
              </w:rPr>
              <w:t xml:space="preserve"> and </w:t>
            </w:r>
            <w:r w:rsidR="000156DD" w:rsidRPr="000F2BF8">
              <w:rPr>
                <w:rFonts w:ascii="Arial" w:hAnsi="Arial" w:cs="Arial"/>
                <w:sz w:val="22"/>
                <w:szCs w:val="22"/>
                <w:lang w:val="en-GB"/>
              </w:rPr>
              <w:t>2026</w:t>
            </w:r>
            <w:r w:rsidR="00791396" w:rsidRPr="000F2BF8">
              <w:rPr>
                <w:rFonts w:ascii="Arial" w:hAnsi="Arial" w:cs="Arial"/>
                <w:sz w:val="22"/>
                <w:szCs w:val="22"/>
                <w:lang w:val="en-GB"/>
              </w:rPr>
              <w:t xml:space="preserve"> </w:t>
            </w:r>
            <w:r w:rsidRPr="000F2BF8">
              <w:rPr>
                <w:rFonts w:ascii="Arial" w:hAnsi="Arial" w:cs="Arial"/>
                <w:sz w:val="22"/>
                <w:szCs w:val="22"/>
                <w:lang w:val="en-GB"/>
              </w:rPr>
              <w:t xml:space="preserve">cycles </w:t>
            </w:r>
            <w:r w:rsidR="00791396" w:rsidRPr="000F2BF8">
              <w:rPr>
                <w:rFonts w:ascii="Arial" w:hAnsi="Arial" w:cs="Arial"/>
                <w:sz w:val="22"/>
                <w:szCs w:val="22"/>
                <w:lang w:val="en-GB"/>
              </w:rPr>
              <w:t>registered;</w:t>
            </w:r>
          </w:p>
          <w:p w14:paraId="67086E28" w14:textId="022E9FBE" w:rsidR="00791396" w:rsidRPr="000F2BF8" w:rsidRDefault="00EE4009" w:rsidP="0072052C">
            <w:pPr>
              <w:pStyle w:val="ListParagraph"/>
              <w:keepNext/>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 xml:space="preserve">26 </w:t>
            </w:r>
            <w:r w:rsidR="00791396" w:rsidRPr="000F2BF8">
              <w:rPr>
                <w:rFonts w:ascii="Arial" w:hAnsi="Arial" w:cs="Arial"/>
                <w:sz w:val="22"/>
                <w:szCs w:val="22"/>
                <w:lang w:val="en-GB"/>
              </w:rPr>
              <w:t>reports on the status of elements inscribed on the Urgent Safeguarding List analysed;</w:t>
            </w:r>
          </w:p>
          <w:p w14:paraId="4976E9F2" w14:textId="157DEC0E" w:rsidR="00791396" w:rsidRPr="000F2BF8" w:rsidRDefault="000156DD" w:rsidP="0072052C">
            <w:pPr>
              <w:pStyle w:val="ListParagraph"/>
              <w:keepNext/>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44</w:t>
            </w:r>
            <w:r w:rsidR="00791396" w:rsidRPr="000F2BF8">
              <w:rPr>
                <w:rFonts w:ascii="Arial" w:hAnsi="Arial" w:cs="Arial"/>
                <w:sz w:val="22"/>
                <w:szCs w:val="22"/>
                <w:lang w:val="en-GB"/>
              </w:rPr>
              <w:t xml:space="preserve"> reports on the implementation of the Convention and on the current status of elements inscribed on the Representative List by States Parties in </w:t>
            </w:r>
            <w:r w:rsidRPr="000F2BF8">
              <w:rPr>
                <w:rFonts w:ascii="Arial" w:hAnsi="Arial" w:cs="Arial"/>
                <w:sz w:val="22"/>
                <w:szCs w:val="22"/>
                <w:lang w:val="en-GB"/>
              </w:rPr>
              <w:t>Africa</w:t>
            </w:r>
            <w:r w:rsidR="00791396" w:rsidRPr="000F2BF8">
              <w:rPr>
                <w:rFonts w:ascii="Arial" w:hAnsi="Arial" w:cs="Arial"/>
                <w:sz w:val="22"/>
                <w:szCs w:val="22"/>
                <w:lang w:val="en-GB"/>
              </w:rPr>
              <w:t xml:space="preserve"> analysed;</w:t>
            </w:r>
          </w:p>
          <w:p w14:paraId="71F9B497" w14:textId="322C2139" w:rsidR="00791396" w:rsidRPr="000F2BF8" w:rsidRDefault="000156DD" w:rsidP="0072052C">
            <w:pPr>
              <w:pStyle w:val="ListParagraph"/>
              <w:keepNext/>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38</w:t>
            </w:r>
            <w:r w:rsidR="00791396" w:rsidRPr="000F2BF8">
              <w:rPr>
                <w:rFonts w:ascii="Arial" w:hAnsi="Arial" w:cs="Arial"/>
                <w:sz w:val="22"/>
                <w:szCs w:val="22"/>
                <w:lang w:val="en-GB"/>
              </w:rPr>
              <w:t xml:space="preserve"> reports on the implementation of the Convention and on the current status of elements inscribed on the Representative List by States Parties in </w:t>
            </w:r>
            <w:r w:rsidRPr="000F2BF8">
              <w:rPr>
                <w:rFonts w:ascii="Arial" w:hAnsi="Arial" w:cs="Arial"/>
                <w:sz w:val="22"/>
                <w:szCs w:val="22"/>
                <w:lang w:val="en-GB"/>
              </w:rPr>
              <w:t>Asia and the Pacific</w:t>
            </w:r>
            <w:r w:rsidR="00791396" w:rsidRPr="000F2BF8">
              <w:rPr>
                <w:rFonts w:ascii="Arial" w:hAnsi="Arial" w:cs="Arial"/>
                <w:sz w:val="22"/>
                <w:szCs w:val="22"/>
                <w:lang w:val="en-GB"/>
              </w:rPr>
              <w:t xml:space="preserve"> analysed;</w:t>
            </w:r>
          </w:p>
          <w:p w14:paraId="1391F03B" w14:textId="215A078A" w:rsidR="00791396" w:rsidRPr="000F2BF8" w:rsidRDefault="000156DD" w:rsidP="0072052C">
            <w:pPr>
              <w:pStyle w:val="ListParagraph"/>
              <w:keepNext/>
              <w:widowControl w:val="0"/>
              <w:numPr>
                <w:ilvl w:val="0"/>
                <w:numId w:val="26"/>
              </w:numPr>
              <w:spacing w:before="120" w:after="120"/>
              <w:ind w:left="323"/>
              <w:contextualSpacing w:val="0"/>
              <w:jc w:val="both"/>
              <w:rPr>
                <w:rFonts w:ascii="Arial" w:hAnsi="Arial" w:cs="Arial"/>
                <w:sz w:val="22"/>
                <w:szCs w:val="22"/>
                <w:lang w:val="en-GB"/>
              </w:rPr>
            </w:pPr>
            <w:r w:rsidRPr="000F2BF8">
              <w:rPr>
                <w:rFonts w:ascii="Arial" w:hAnsi="Arial" w:cs="Arial"/>
                <w:sz w:val="22"/>
                <w:szCs w:val="22"/>
                <w:lang w:val="en-GB"/>
              </w:rPr>
              <w:t>37</w:t>
            </w:r>
            <w:r w:rsidR="00791396" w:rsidRPr="000F2BF8">
              <w:rPr>
                <w:rFonts w:ascii="Arial" w:hAnsi="Arial" w:cs="Arial"/>
                <w:sz w:val="22"/>
                <w:szCs w:val="22"/>
                <w:lang w:val="en-GB"/>
              </w:rPr>
              <w:t xml:space="preserve"> statutory meetings organized.</w:t>
            </w:r>
          </w:p>
        </w:tc>
      </w:tr>
    </w:tbl>
    <w:p w14:paraId="70A5C6D6" w14:textId="22C9FCF3" w:rsidR="00943B83" w:rsidRPr="000F2BF8" w:rsidRDefault="00943B83" w:rsidP="0072052C">
      <w:pPr>
        <w:widowControl w:val="0"/>
        <w:spacing w:before="120" w:after="120"/>
        <w:jc w:val="both"/>
        <w:rPr>
          <w:rFonts w:ascii="Arial" w:eastAsia="SimSun" w:hAnsi="Arial" w:cs="Arial"/>
          <w:sz w:val="22"/>
          <w:szCs w:val="22"/>
          <w:lang w:val="en-GB"/>
        </w:rPr>
        <w:sectPr w:rsidR="00943B83" w:rsidRPr="000F2BF8" w:rsidSect="00791396">
          <w:pgSz w:w="16838" w:h="11906" w:orient="landscape" w:code="9"/>
          <w:pgMar w:top="1138" w:right="1411" w:bottom="1138" w:left="1138" w:header="403" w:footer="288" w:gutter="0"/>
          <w:cols w:space="708"/>
          <w:docGrid w:linePitch="360"/>
        </w:sectPr>
      </w:pPr>
    </w:p>
    <w:p w14:paraId="6A502DCB" w14:textId="77777777" w:rsidR="00D44771" w:rsidRPr="000F2BF8" w:rsidRDefault="00D44771" w:rsidP="0072052C">
      <w:pPr>
        <w:pStyle w:val="COMParaDecision"/>
        <w:numPr>
          <w:ilvl w:val="0"/>
          <w:numId w:val="0"/>
        </w:numPr>
        <w:jc w:val="center"/>
        <w:rPr>
          <w:b/>
        </w:rPr>
      </w:pPr>
      <w:bookmarkStart w:id="3" w:name="AnnexII"/>
      <w:bookmarkStart w:id="4" w:name="_Hlk166253986"/>
      <w:r w:rsidRPr="000F2BF8">
        <w:rPr>
          <w:b/>
        </w:rPr>
        <w:lastRenderedPageBreak/>
        <w:t>Annex II</w:t>
      </w:r>
    </w:p>
    <w:bookmarkEnd w:id="3"/>
    <w:p w14:paraId="20F9B092" w14:textId="77777777" w:rsidR="00D44771" w:rsidRPr="000F2BF8" w:rsidRDefault="00D44771" w:rsidP="0072052C">
      <w:pPr>
        <w:pStyle w:val="COMParaDecision"/>
        <w:numPr>
          <w:ilvl w:val="0"/>
          <w:numId w:val="0"/>
        </w:numPr>
        <w:spacing w:after="0"/>
        <w:jc w:val="center"/>
        <w:rPr>
          <w:b/>
          <w:u w:val="none"/>
        </w:rPr>
      </w:pPr>
      <w:r w:rsidRPr="000F2BF8">
        <w:rPr>
          <w:b/>
          <w:u w:val="none"/>
        </w:rPr>
        <w:t xml:space="preserve">Response to </w:t>
      </w:r>
      <w:hyperlink r:id="rId66" w:history="1">
        <w:r w:rsidRPr="000F2BF8">
          <w:rPr>
            <w:b/>
            <w:u w:val="none"/>
          </w:rPr>
          <w:t>2021 IOS Evaluation</w:t>
        </w:r>
      </w:hyperlink>
      <w:r w:rsidRPr="000F2BF8">
        <w:rPr>
          <w:b/>
          <w:u w:val="none"/>
        </w:rPr>
        <w:t xml:space="preserve"> of UNESCO’s action in the framework of the 2003 Convention</w:t>
      </w:r>
    </w:p>
    <w:p w14:paraId="25F79321" w14:textId="77777777" w:rsidR="00D44771" w:rsidRPr="000F2BF8" w:rsidRDefault="00D44771" w:rsidP="0072052C">
      <w:pPr>
        <w:pStyle w:val="COMParaDecision"/>
        <w:numPr>
          <w:ilvl w:val="0"/>
          <w:numId w:val="0"/>
        </w:numPr>
        <w:spacing w:after="240"/>
        <w:jc w:val="center"/>
        <w:rPr>
          <w:b/>
          <w:u w:val="none"/>
        </w:rPr>
      </w:pPr>
      <w:r w:rsidRPr="000F2BF8">
        <w:rPr>
          <w:b/>
          <w:u w:val="none"/>
        </w:rPr>
        <w:t>(as of May 2026)</w:t>
      </w:r>
      <w:r w:rsidRPr="000F2BF8">
        <w:rPr>
          <w:rStyle w:val="FootnoteReference"/>
          <w:b/>
          <w:u w:val="none"/>
        </w:rPr>
        <w:footnoteReference w:id="3"/>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498"/>
      </w:tblGrid>
      <w:tr w:rsidR="00974837" w:rsidRPr="000F2BF8" w14:paraId="39E86696" w14:textId="77777777" w:rsidTr="00781164">
        <w:trPr>
          <w:trHeight w:val="206"/>
        </w:trPr>
        <w:tc>
          <w:tcPr>
            <w:tcW w:w="1683" w:type="pct"/>
            <w:tcBorders>
              <w:bottom w:val="single" w:sz="4" w:space="0" w:color="auto"/>
            </w:tcBorders>
            <w:shd w:val="clear" w:color="auto" w:fill="B6DDE8" w:themeFill="accent5" w:themeFillTint="66"/>
            <w:vAlign w:val="center"/>
          </w:tcPr>
          <w:bookmarkEnd w:id="4"/>
          <w:p w14:paraId="0E10E892" w14:textId="77777777" w:rsidR="00974837" w:rsidRPr="000F2BF8" w:rsidRDefault="00974837" w:rsidP="0072052C">
            <w:pPr>
              <w:widowControl w:val="0"/>
              <w:spacing w:before="120" w:after="120"/>
              <w:jc w:val="both"/>
              <w:rPr>
                <w:rFonts w:ascii="Arial" w:hAnsi="Arial" w:cs="Arial"/>
                <w:b/>
                <w:bCs/>
                <w:sz w:val="18"/>
                <w:szCs w:val="18"/>
                <w:lang w:val="en-GB"/>
              </w:rPr>
            </w:pPr>
            <w:r w:rsidRPr="000F2BF8">
              <w:rPr>
                <w:rFonts w:ascii="Arial" w:hAnsi="Arial" w:cs="Arial"/>
                <w:b/>
                <w:bCs/>
                <w:lang w:val="en-GB"/>
              </w:rPr>
              <w:t>Recommendations</w:t>
            </w:r>
          </w:p>
        </w:tc>
        <w:tc>
          <w:tcPr>
            <w:tcW w:w="3317" w:type="pct"/>
            <w:tcBorders>
              <w:bottom w:val="single" w:sz="4" w:space="0" w:color="auto"/>
            </w:tcBorders>
            <w:shd w:val="clear" w:color="auto" w:fill="B6DDE8" w:themeFill="accent5" w:themeFillTint="66"/>
            <w:vAlign w:val="center"/>
          </w:tcPr>
          <w:p w14:paraId="39B6EE80" w14:textId="77777777" w:rsidR="00974837" w:rsidRPr="000F2BF8" w:rsidRDefault="00974837" w:rsidP="0072052C">
            <w:pPr>
              <w:widowControl w:val="0"/>
              <w:spacing w:before="120" w:after="120"/>
              <w:jc w:val="both"/>
              <w:rPr>
                <w:rFonts w:ascii="Arial" w:hAnsi="Arial" w:cs="Arial"/>
                <w:sz w:val="18"/>
                <w:szCs w:val="18"/>
                <w:lang w:val="en-GB"/>
              </w:rPr>
            </w:pPr>
            <w:r w:rsidRPr="000F2BF8">
              <w:rPr>
                <w:rFonts w:ascii="Arial" w:hAnsi="Arial" w:cs="Arial"/>
                <w:b/>
                <w:bCs/>
                <w:lang w:val="en-GB"/>
              </w:rPr>
              <w:t>Current Status</w:t>
            </w:r>
          </w:p>
        </w:tc>
      </w:tr>
      <w:tr w:rsidR="00974837" w:rsidRPr="000F2BF8" w14:paraId="5B2DC4C1" w14:textId="77777777" w:rsidTr="00781164">
        <w:trPr>
          <w:trHeight w:val="1750"/>
        </w:trPr>
        <w:tc>
          <w:tcPr>
            <w:tcW w:w="1683" w:type="pct"/>
            <w:tcBorders>
              <w:bottom w:val="single" w:sz="4" w:space="0" w:color="auto"/>
            </w:tcBorders>
          </w:tcPr>
          <w:p w14:paraId="23B46A47"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1:</w:t>
            </w:r>
          </w:p>
          <w:p w14:paraId="5B5DDAD7"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Secretary of the 2003 Convention</w:t>
            </w:r>
            <w:r w:rsidRPr="000F2BF8">
              <w:rPr>
                <w:rFonts w:ascii="Arial" w:hAnsi="Arial" w:cs="Arial"/>
                <w:sz w:val="20"/>
                <w:szCs w:val="20"/>
                <w:lang w:val="en-GB"/>
              </w:rPr>
              <w:t xml:space="preserve"> should engage with the Intergovernmental Committee, the General Assembly of States Parties and UNESCO Senior Management in order to draw their attention to the necessity of establishing priorities for the use of the limited resources of the 2003 Convention Secretariat (Living Heritage Entity and Field Offices).</w:t>
            </w:r>
          </w:p>
        </w:tc>
        <w:tc>
          <w:tcPr>
            <w:tcW w:w="3317" w:type="pct"/>
            <w:tcBorders>
              <w:bottom w:val="single" w:sz="4" w:space="0" w:color="auto"/>
            </w:tcBorders>
          </w:tcPr>
          <w:p w14:paraId="3AA15B06" w14:textId="37BA94D4" w:rsidR="00F21EFE"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Secretary of the 2003 Convention notes that the Convention has made significant progress over the past two decades, in terms of stakeholders’ participation and visibility as well as thematic expansion and the contribution that living heritage safeguarding makes to the international development agenda. Correspondingly, a number of strategic areas have been better defined, notably through the twentieth anniversary celebrated in 2023, which established the ‘Seoul Vision’ and other key reflections undertaken by the governing bodies of the Convention since 2021.</w:t>
            </w:r>
            <w:r w:rsidR="00F21EFE" w:rsidRPr="000F2BF8">
              <w:rPr>
                <w:rFonts w:ascii="Arial" w:hAnsi="Arial" w:cs="Arial"/>
                <w:sz w:val="20"/>
                <w:szCs w:val="20"/>
                <w:lang w:val="en-GB"/>
              </w:rPr>
              <w:t xml:space="preserve"> In this context of increasing expectations and rising demand, the necessity of establishing priorities for the use of the limited resources of the 2003 Convention Secretariat remains as critical as ever. The approval by </w:t>
            </w:r>
            <w:r w:rsidRPr="000F2BF8">
              <w:rPr>
                <w:rFonts w:ascii="Arial" w:hAnsi="Arial" w:cs="Arial"/>
                <w:sz w:val="20"/>
                <w:szCs w:val="20"/>
                <w:lang w:val="en-GB"/>
              </w:rPr>
              <w:t xml:space="preserve">the twentieth session of the Committee </w:t>
            </w:r>
            <w:r w:rsidR="00F21EFE" w:rsidRPr="000F2BF8">
              <w:rPr>
                <w:rFonts w:ascii="Arial" w:hAnsi="Arial" w:cs="Arial"/>
                <w:sz w:val="20"/>
                <w:szCs w:val="20"/>
                <w:lang w:val="en-GB"/>
              </w:rPr>
              <w:t xml:space="preserve">of </w:t>
            </w:r>
            <w:r w:rsidRPr="000F2BF8">
              <w:rPr>
                <w:rFonts w:ascii="Arial" w:hAnsi="Arial" w:cs="Arial"/>
                <w:sz w:val="20"/>
                <w:szCs w:val="20"/>
                <w:lang w:val="en-GB"/>
              </w:rPr>
              <w:t xml:space="preserve">a new set of funding priorities in December 2025 (Decision </w:t>
            </w:r>
            <w:hyperlink r:id="rId67" w:history="1">
              <w:r w:rsidRPr="000F2BF8">
                <w:rPr>
                  <w:rStyle w:val="Hyperlink"/>
                  <w:rFonts w:ascii="Arial" w:hAnsi="Arial" w:cs="Arial"/>
                  <w:sz w:val="20"/>
                  <w:szCs w:val="20"/>
                  <w:lang w:val="en-GB"/>
                </w:rPr>
                <w:t>20.COM 13</w:t>
              </w:r>
            </w:hyperlink>
            <w:r w:rsidRPr="000F2BF8">
              <w:rPr>
                <w:rFonts w:ascii="Arial" w:hAnsi="Arial" w:cs="Arial"/>
                <w:sz w:val="20"/>
                <w:szCs w:val="20"/>
                <w:lang w:val="en-GB"/>
              </w:rPr>
              <w:t>) provide</w:t>
            </w:r>
            <w:r w:rsidR="00F21EFE" w:rsidRPr="000F2BF8">
              <w:rPr>
                <w:rFonts w:ascii="Arial" w:hAnsi="Arial" w:cs="Arial"/>
                <w:sz w:val="20"/>
                <w:szCs w:val="20"/>
                <w:lang w:val="en-GB"/>
              </w:rPr>
              <w:t>s</w:t>
            </w:r>
            <w:r w:rsidRPr="000F2BF8">
              <w:rPr>
                <w:rFonts w:ascii="Arial" w:hAnsi="Arial" w:cs="Arial"/>
                <w:sz w:val="20"/>
                <w:szCs w:val="20"/>
                <w:lang w:val="en-GB"/>
              </w:rPr>
              <w:t xml:space="preserve"> guidance for contributors when planning and discussing resource allocation for the sustainability of the 2003 Convention Secretariat.</w:t>
            </w:r>
          </w:p>
        </w:tc>
      </w:tr>
      <w:tr w:rsidR="00974837" w:rsidRPr="000F2BF8" w14:paraId="4E12133A" w14:textId="77777777" w:rsidTr="00781164">
        <w:trPr>
          <w:trHeight w:val="170"/>
        </w:trPr>
        <w:tc>
          <w:tcPr>
            <w:tcW w:w="1683" w:type="pct"/>
            <w:tcBorders>
              <w:bottom w:val="single" w:sz="4" w:space="0" w:color="auto"/>
            </w:tcBorders>
          </w:tcPr>
          <w:p w14:paraId="05E1F636"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2:</w:t>
            </w:r>
          </w:p>
          <w:p w14:paraId="48AF1DC7"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w:t>
            </w:r>
            <w:r w:rsidRPr="000F2BF8">
              <w:rPr>
                <w:rFonts w:ascii="Arial" w:hAnsi="Arial" w:cs="Arial"/>
                <w:sz w:val="20"/>
                <w:szCs w:val="20"/>
                <w:lang w:val="en-GB"/>
              </w:rPr>
              <w:t xml:space="preserve"> should reflect upon the potential uses of the data collected through periodic reports, as well as on strategies for making it widely available in a digestible and visual manner. The content should be free to access and easy to search and use. Global, regional, and national analyses and synopses should be made available.</w:t>
            </w:r>
          </w:p>
        </w:tc>
        <w:tc>
          <w:tcPr>
            <w:tcW w:w="3317" w:type="pct"/>
            <w:tcBorders>
              <w:bottom w:val="single" w:sz="4" w:space="0" w:color="auto"/>
            </w:tcBorders>
          </w:tcPr>
          <w:p w14:paraId="011642EC" w14:textId="45FFFA71"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Since the presentation to the Committee in 2021 (16.COM) of the analytical overview from reports by States Parties in Latin America and the Caribbean, the Secretariat of the 2003 Convention has pursued the preparation of regional analyses each year, according to the reporting schedule. For each region, two analytical products are presented to the Committee in English and French: an ‘analytical overview’ and a ‘comprehensive analytical report’. All analytical products are available online, both on the dedicated webpage of the respective Committee session, and </w:t>
            </w:r>
            <w:r w:rsidR="008B7A26" w:rsidRPr="000F2BF8">
              <w:rPr>
                <w:rFonts w:ascii="Arial" w:hAnsi="Arial" w:cs="Arial"/>
                <w:sz w:val="20"/>
                <w:szCs w:val="20"/>
                <w:lang w:val="en-GB"/>
              </w:rPr>
              <w:t>on</w:t>
            </w:r>
            <w:r w:rsidRPr="000F2BF8">
              <w:rPr>
                <w:rFonts w:ascii="Arial" w:hAnsi="Arial" w:cs="Arial"/>
                <w:sz w:val="20"/>
                <w:szCs w:val="20"/>
                <w:lang w:val="en-GB"/>
              </w:rPr>
              <w:t xml:space="preserve"> the </w:t>
            </w:r>
            <w:hyperlink r:id="rId68" w:history="1">
              <w:r w:rsidRPr="000F2BF8">
                <w:rPr>
                  <w:rStyle w:val="Hyperlink"/>
                  <w:rFonts w:ascii="Arial" w:hAnsi="Arial" w:cs="Arial"/>
                  <w:sz w:val="20"/>
                  <w:szCs w:val="20"/>
                  <w:lang w:val="en-GB"/>
                </w:rPr>
                <w:t>page</w:t>
              </w:r>
            </w:hyperlink>
            <w:r w:rsidRPr="000F2BF8">
              <w:rPr>
                <w:rFonts w:ascii="Arial" w:hAnsi="Arial" w:cs="Arial"/>
                <w:sz w:val="20"/>
                <w:szCs w:val="20"/>
                <w:lang w:val="en-GB"/>
              </w:rPr>
              <w:t xml:space="preserve"> dedicated to documents and studies on periodic reporting.</w:t>
            </w:r>
          </w:p>
        </w:tc>
      </w:tr>
      <w:tr w:rsidR="00974837" w:rsidRPr="000F2BF8" w14:paraId="378D0881" w14:textId="77777777" w:rsidTr="00781164">
        <w:trPr>
          <w:trHeight w:val="977"/>
        </w:trPr>
        <w:tc>
          <w:tcPr>
            <w:tcW w:w="1683" w:type="pct"/>
            <w:tcBorders>
              <w:bottom w:val="single" w:sz="4" w:space="0" w:color="auto"/>
            </w:tcBorders>
          </w:tcPr>
          <w:p w14:paraId="26787A74"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3:</w:t>
            </w:r>
          </w:p>
          <w:p w14:paraId="76FE8609"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 in coordination with the Culture Sector Executive Office and other Convention Secretariats</w:t>
            </w:r>
            <w:r w:rsidRPr="000F2BF8">
              <w:rPr>
                <w:rFonts w:ascii="Arial" w:hAnsi="Arial" w:cs="Arial"/>
                <w:sz w:val="20"/>
                <w:szCs w:val="20"/>
                <w:lang w:val="en-GB"/>
              </w:rPr>
              <w:t xml:space="preserve"> as appropriate should create working groups to tackle priority thematic areas that require a multi-Convention response. These should include </w:t>
            </w:r>
            <w:r w:rsidRPr="000F2BF8">
              <w:rPr>
                <w:rFonts w:ascii="Arial" w:hAnsi="Arial" w:cs="Arial"/>
                <w:i/>
                <w:iCs/>
                <w:sz w:val="20"/>
                <w:szCs w:val="20"/>
                <w:lang w:val="en-GB"/>
              </w:rPr>
              <w:t>inter alia</w:t>
            </w:r>
            <w:r w:rsidRPr="000F2BF8">
              <w:rPr>
                <w:rFonts w:ascii="Arial" w:hAnsi="Arial" w:cs="Arial"/>
                <w:sz w:val="20"/>
                <w:szCs w:val="20"/>
                <w:lang w:val="en-GB"/>
              </w:rPr>
              <w:t xml:space="preserve"> commercialization and intellectual property, cultural tourism, and education. At a later stage, UNESCO should engage with other organizations working in these areas.</w:t>
            </w:r>
          </w:p>
        </w:tc>
        <w:tc>
          <w:tcPr>
            <w:tcW w:w="3317" w:type="pct"/>
            <w:tcBorders>
              <w:bottom w:val="single" w:sz="4" w:space="0" w:color="auto"/>
            </w:tcBorders>
          </w:tcPr>
          <w:p w14:paraId="1D68F591"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Secretariat of the 2003 Convention continues to further its thematic work under the Convention. As of December 2025, the three thematic initiatives in the areas of (i) the economic dimensions of safeguarding intangible cultural heritage, (ii) safeguarding intangible cultural heritage and climate change, and (iii) the safeguarding of intangible cultural heritage in urban contexts have all completed their development of guidance notes.</w:t>
            </w:r>
          </w:p>
          <w:p w14:paraId="1AADBFD9" w14:textId="31AF8828" w:rsidR="00536E10"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overall aim of the three initiatives is to develop guidance on how to practically and conceptually engage stakeholders with these themes and leverage living heritage for sustainable development. The three initiatives have followed a similar approach, including a desk study, global survey and expert meeting, and were developed in synergy with relevant UNESCO programmes and Conventions. A fourth initiative on living heritage and artificial intelligence is now underway, having been approved by the Committee at its </w:t>
            </w:r>
            <w:r w:rsidRPr="000F2BF8">
              <w:rPr>
                <w:rFonts w:ascii="Arial" w:hAnsi="Arial" w:cs="Arial"/>
                <w:sz w:val="20"/>
                <w:szCs w:val="20"/>
                <w:lang w:val="en-GB"/>
              </w:rPr>
              <w:lastRenderedPageBreak/>
              <w:t xml:space="preserve">twentieth session in December 2025 (Decision 20.COM 12). </w:t>
            </w:r>
          </w:p>
          <w:p w14:paraId="5EA17D89" w14:textId="3794366A"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Additionally, the Secretariat is building knowledge and developing digital tools to support the safeguarding and transmission of foodways as living heritage, with the long-term objective to foster sustainable development for human well-being, dignity and creativity in peaceful and inclusive societies. </w:t>
            </w:r>
            <w:r w:rsidR="00536E10" w:rsidRPr="000F2BF8">
              <w:rPr>
                <w:rFonts w:ascii="Arial" w:hAnsi="Arial" w:cs="Arial"/>
                <w:sz w:val="20"/>
                <w:szCs w:val="20"/>
                <w:lang w:val="en-GB"/>
              </w:rPr>
              <w:t xml:space="preserve">Other </w:t>
            </w:r>
            <w:r w:rsidR="007B64A1" w:rsidRPr="000F2BF8">
              <w:rPr>
                <w:rFonts w:ascii="Arial" w:hAnsi="Arial" w:cs="Arial"/>
                <w:sz w:val="20"/>
                <w:szCs w:val="20"/>
                <w:lang w:val="en-GB"/>
              </w:rPr>
              <w:t xml:space="preserve">thematic </w:t>
            </w:r>
            <w:r w:rsidR="00536E10" w:rsidRPr="000F2BF8">
              <w:rPr>
                <w:rFonts w:ascii="Arial" w:hAnsi="Arial" w:cs="Arial"/>
                <w:sz w:val="20"/>
                <w:szCs w:val="20"/>
                <w:lang w:val="en-GB"/>
              </w:rPr>
              <w:t>areas of intervention</w:t>
            </w:r>
            <w:r w:rsidR="007B64A1" w:rsidRPr="000F2BF8">
              <w:rPr>
                <w:rFonts w:ascii="Arial" w:hAnsi="Arial" w:cs="Arial"/>
                <w:sz w:val="20"/>
                <w:szCs w:val="20"/>
                <w:lang w:val="en-GB"/>
              </w:rPr>
              <w:t xml:space="preserve">, undertaken through operational projects, include </w:t>
            </w:r>
            <w:r w:rsidR="00536E10" w:rsidRPr="000F2BF8">
              <w:rPr>
                <w:rFonts w:ascii="Arial" w:hAnsi="Arial" w:cs="Arial"/>
                <w:sz w:val="20"/>
                <w:szCs w:val="20"/>
                <w:lang w:val="en-GB"/>
              </w:rPr>
              <w:t xml:space="preserve">heritage and education (see Recommendation 4) and </w:t>
            </w:r>
            <w:r w:rsidR="007B64A1" w:rsidRPr="000F2BF8">
              <w:rPr>
                <w:rFonts w:ascii="Arial" w:hAnsi="Arial" w:cs="Arial"/>
                <w:sz w:val="20"/>
                <w:szCs w:val="20"/>
                <w:lang w:val="en-GB"/>
              </w:rPr>
              <w:t>cultural tourism</w:t>
            </w:r>
            <w:r w:rsidR="00536E10" w:rsidRPr="000F2BF8">
              <w:rPr>
                <w:rFonts w:ascii="Arial" w:hAnsi="Arial" w:cs="Arial"/>
                <w:sz w:val="20"/>
                <w:szCs w:val="20"/>
                <w:lang w:val="en-GB"/>
              </w:rPr>
              <w:t>.</w:t>
            </w:r>
          </w:p>
          <w:p w14:paraId="7459E402"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Executive Office of the Culture Sector (CLT/EO) continues to coordinate existing working groups for thematic/priority areas across the Sector’s programmes.</w:t>
            </w:r>
          </w:p>
        </w:tc>
      </w:tr>
      <w:tr w:rsidR="00974837" w:rsidRPr="000F2BF8" w14:paraId="014299F0" w14:textId="77777777" w:rsidTr="00781164">
        <w:trPr>
          <w:trHeight w:val="1209"/>
        </w:trPr>
        <w:tc>
          <w:tcPr>
            <w:tcW w:w="1683" w:type="pct"/>
            <w:tcBorders>
              <w:bottom w:val="single" w:sz="4" w:space="0" w:color="auto"/>
            </w:tcBorders>
          </w:tcPr>
          <w:p w14:paraId="388C065E"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lastRenderedPageBreak/>
              <w:t>Recommendation 4:</w:t>
            </w:r>
          </w:p>
          <w:p w14:paraId="6EDD2541"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 xml:space="preserve">Living Heritage Entity together with the Education Sector Executive Office </w:t>
            </w:r>
            <w:r w:rsidRPr="000F2BF8">
              <w:rPr>
                <w:rFonts w:ascii="Arial" w:hAnsi="Arial" w:cs="Arial"/>
                <w:sz w:val="20"/>
                <w:szCs w:val="20"/>
                <w:lang w:val="en-GB"/>
              </w:rPr>
              <w:t>should use the proposed Theory of Change as a tool for reflecting on and sharpening the scope of the Living Heritage and Education Programme.</w:t>
            </w:r>
          </w:p>
        </w:tc>
        <w:tc>
          <w:tcPr>
            <w:tcW w:w="3317" w:type="pct"/>
            <w:tcBorders>
              <w:bottom w:val="single" w:sz="4" w:space="0" w:color="auto"/>
            </w:tcBorders>
          </w:tcPr>
          <w:p w14:paraId="34EB180A" w14:textId="37643959" w:rsidR="00974837" w:rsidRPr="000F2BF8" w:rsidRDefault="009F4889"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w:t>
            </w:r>
            <w:r w:rsidR="00974837" w:rsidRPr="000F2BF8">
              <w:rPr>
                <w:rFonts w:ascii="Arial" w:hAnsi="Arial" w:cs="Arial"/>
                <w:sz w:val="20"/>
                <w:szCs w:val="20"/>
                <w:lang w:val="en-GB"/>
              </w:rPr>
              <w:t>he Secretariat of the 2003 Convention has further reinforced its collaboration with the Education Sector</w:t>
            </w:r>
            <w:r w:rsidRPr="000F2BF8">
              <w:rPr>
                <w:rFonts w:ascii="Arial" w:hAnsi="Arial" w:cs="Arial"/>
                <w:sz w:val="20"/>
                <w:szCs w:val="20"/>
                <w:lang w:val="en-GB"/>
              </w:rPr>
              <w:t xml:space="preserve"> since 2021</w:t>
            </w:r>
            <w:r w:rsidR="00974837" w:rsidRPr="000F2BF8">
              <w:rPr>
                <w:rFonts w:ascii="Arial" w:hAnsi="Arial" w:cs="Arial"/>
                <w:sz w:val="20"/>
                <w:szCs w:val="20"/>
                <w:lang w:val="en-GB"/>
              </w:rPr>
              <w:t>,</w:t>
            </w:r>
            <w:r w:rsidRPr="000F2BF8">
              <w:rPr>
                <w:rFonts w:ascii="Arial" w:hAnsi="Arial" w:cs="Arial"/>
                <w:sz w:val="20"/>
                <w:szCs w:val="20"/>
                <w:lang w:val="en-GB"/>
              </w:rPr>
              <w:t xml:space="preserve"> in line</w:t>
            </w:r>
            <w:r w:rsidR="00974837" w:rsidRPr="000F2BF8">
              <w:rPr>
                <w:rFonts w:ascii="Arial" w:hAnsi="Arial" w:cs="Arial"/>
                <w:sz w:val="20"/>
                <w:szCs w:val="20"/>
                <w:lang w:val="en-GB"/>
              </w:rPr>
              <w:t xml:space="preserve"> </w:t>
            </w:r>
            <w:r w:rsidR="008628FA" w:rsidRPr="000F2BF8">
              <w:rPr>
                <w:rFonts w:ascii="Arial" w:hAnsi="Arial" w:cs="Arial"/>
                <w:sz w:val="20"/>
                <w:szCs w:val="20"/>
                <w:lang w:val="en-GB"/>
              </w:rPr>
              <w:t xml:space="preserve">with </w:t>
            </w:r>
            <w:r w:rsidR="00974837" w:rsidRPr="000F2BF8">
              <w:rPr>
                <w:rFonts w:ascii="Arial" w:hAnsi="Arial" w:cs="Arial"/>
                <w:sz w:val="20"/>
                <w:szCs w:val="20"/>
                <w:lang w:val="en-GB"/>
              </w:rPr>
              <w:t>the proposed Theory of Change (ToC) for the Living Heritage and Education programme.</w:t>
            </w:r>
          </w:p>
          <w:p w14:paraId="1360BD15" w14:textId="0A6FF412"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At the global level, this collaboration led to the integration of living heritage into significant international standards</w:t>
            </w:r>
            <w:r w:rsidR="000D6D1F" w:rsidRPr="000F2BF8">
              <w:rPr>
                <w:rFonts w:ascii="Arial" w:hAnsi="Arial" w:cs="Arial"/>
                <w:sz w:val="20"/>
                <w:szCs w:val="20"/>
                <w:lang w:val="en-GB"/>
              </w:rPr>
              <w:t>,</w:t>
            </w:r>
            <w:r w:rsidRPr="000F2BF8">
              <w:rPr>
                <w:rFonts w:ascii="Arial" w:hAnsi="Arial" w:cs="Arial"/>
                <w:sz w:val="20"/>
                <w:szCs w:val="20"/>
                <w:lang w:val="en-GB"/>
              </w:rPr>
              <w:t xml:space="preserve"> notably the Recommendation on Education for Peace, Human Rights and Sustainable Development (revised 1974 Recommendation) and, second, the Culture and Arts Education Framework adopted at the World Conference on Culture and Arts Education (Abu Dhabi, 13 to 15 February 2024). The key role of living heritage for educational relevance and promoting broad-based safeguarding of living heritage is recognized, supported by a global Clearinghouse on living heritage and education that gets continuously updated and a self-paced online course entitled ‘Transforming Learning with Living Heritage’, jointly developed by the Culture and Education Sectors.</w:t>
            </w:r>
          </w:p>
        </w:tc>
      </w:tr>
      <w:tr w:rsidR="00974837" w:rsidRPr="000F2BF8" w14:paraId="5C7D8C61" w14:textId="77777777" w:rsidTr="00781164">
        <w:trPr>
          <w:trHeight w:val="1209"/>
        </w:trPr>
        <w:tc>
          <w:tcPr>
            <w:tcW w:w="1683" w:type="pct"/>
            <w:tcBorders>
              <w:bottom w:val="single" w:sz="4" w:space="0" w:color="auto"/>
            </w:tcBorders>
          </w:tcPr>
          <w:p w14:paraId="73182E5A"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5:</w:t>
            </w:r>
          </w:p>
          <w:p w14:paraId="01B72C4F"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 xml:space="preserve">Living Heritage Entity </w:t>
            </w:r>
            <w:r w:rsidRPr="000F2BF8">
              <w:rPr>
                <w:rFonts w:ascii="Arial" w:hAnsi="Arial" w:cs="Arial"/>
                <w:sz w:val="20"/>
                <w:szCs w:val="20"/>
                <w:lang w:val="en-GB"/>
              </w:rPr>
              <w:t>should continue to promote the International Assistance mechanism particularly among eligible States Parties that have not applied to it. This should entail reaching out beyond traditional ICH expert circles and communicating about the technical backstopping that can be provided by the Secretariat to applicants and recipients, as well as the provision of relevant guidelines and tools for the design, implementation and reporting on projects.</w:t>
            </w:r>
          </w:p>
        </w:tc>
        <w:tc>
          <w:tcPr>
            <w:tcW w:w="3317" w:type="pct"/>
            <w:tcBorders>
              <w:bottom w:val="single" w:sz="4" w:space="0" w:color="auto"/>
            </w:tcBorders>
          </w:tcPr>
          <w:p w14:paraId="6B2B8A38" w14:textId="588565C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In recent years, the number of active projects has increased steadily, rising from thirty-six ongoing projects in 2019 to sixty projects in 2025. During the same period, the number of beneficiary States Parties has also increased, from fifty to eighty-six. To enhance the mechanism, the Secretariat collaborated closely with States Parties to identify their safeguarding needs and provide tailored technical support, which contributed to an increase in first-time requests. Project implementation was supported through regular follow-up and continuous communication with beneficiaries to ensure that activities aligned with approved requests. Online meetings and workshops promoted the mechanism and increased its visibility, while all progress reports were systematically reviewed to assess impact, verify alignment with objectives, and identify good safeguarding </w:t>
            </w:r>
            <w:r w:rsidR="00DD4DEA" w:rsidRPr="000F2BF8">
              <w:rPr>
                <w:rFonts w:ascii="Arial" w:hAnsi="Arial" w:cs="Arial"/>
                <w:sz w:val="20"/>
                <w:szCs w:val="20"/>
                <w:lang w:val="en-GB"/>
              </w:rPr>
              <w:t xml:space="preserve">experiences </w:t>
            </w:r>
            <w:r w:rsidRPr="000F2BF8">
              <w:rPr>
                <w:rFonts w:ascii="Arial" w:hAnsi="Arial" w:cs="Arial"/>
                <w:sz w:val="20"/>
                <w:szCs w:val="20"/>
                <w:lang w:val="en-GB"/>
              </w:rPr>
              <w:t xml:space="preserve">(some of which were included in the </w:t>
            </w:r>
            <w:r w:rsidR="008B7A26" w:rsidRPr="000F2BF8">
              <w:rPr>
                <w:rFonts w:ascii="Arial" w:hAnsi="Arial" w:cs="Arial"/>
                <w:sz w:val="20"/>
                <w:szCs w:val="20"/>
                <w:lang w:val="en-GB"/>
              </w:rPr>
              <w:t xml:space="preserve">preliminary version of the </w:t>
            </w:r>
            <w:r w:rsidRPr="000F2BF8">
              <w:rPr>
                <w:rFonts w:ascii="Arial" w:hAnsi="Arial" w:cs="Arial"/>
                <w:sz w:val="20"/>
                <w:szCs w:val="20"/>
                <w:lang w:val="en-GB"/>
              </w:rPr>
              <w:t>platform for sharing good safeguarding experiences in support of a broader implementation of Article 18 of the Convention).</w:t>
            </w:r>
          </w:p>
          <w:p w14:paraId="0062770B"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These efforts resulted in the approval by the Committee and its Bureau of twenty-seven International Assistance requests in 2024 – 2025. In addition, six States Parties received the support of experts to develop and revise their requests. Fifteen States Parties, including six from Africa and five SIDS, received financial assistance for the first time, thereby demonstrating the continued expansion of their geographical outreach. Finally, the scope of preparatory assistance was broadened, in line with the global reflection on the listing mechanisms of the Convention, resulting in eight requests being approved in 2024 and 2025 compared to a total of six between 2014 and 2023.</w:t>
            </w:r>
          </w:p>
        </w:tc>
      </w:tr>
      <w:tr w:rsidR="00974837" w:rsidRPr="000F2BF8" w14:paraId="47FD320F" w14:textId="77777777" w:rsidTr="00781164">
        <w:trPr>
          <w:trHeight w:val="1209"/>
        </w:trPr>
        <w:tc>
          <w:tcPr>
            <w:tcW w:w="1683" w:type="pct"/>
            <w:tcBorders>
              <w:bottom w:val="single" w:sz="4" w:space="0" w:color="auto"/>
            </w:tcBorders>
          </w:tcPr>
          <w:p w14:paraId="577F4599"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lastRenderedPageBreak/>
              <w:t>Recommendation 6:</w:t>
            </w:r>
          </w:p>
          <w:p w14:paraId="489DD712"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 xml:space="preserve">Living Heritage Entity </w:t>
            </w:r>
            <w:r w:rsidRPr="000F2BF8">
              <w:rPr>
                <w:rFonts w:ascii="Arial" w:hAnsi="Arial" w:cs="Arial"/>
                <w:sz w:val="20"/>
                <w:szCs w:val="20"/>
                <w:lang w:val="en-GB"/>
              </w:rPr>
              <w:t>should strengthen the quality of project design, monitoring and outcomes reporting to be guided by the Overall Results Framework. Specific attention should furthermore be given to community engagement, sustainable development and gender equality, among other areas.</w:t>
            </w:r>
          </w:p>
        </w:tc>
        <w:tc>
          <w:tcPr>
            <w:tcW w:w="3317" w:type="pct"/>
            <w:tcBorders>
              <w:bottom w:val="single" w:sz="4" w:space="0" w:color="auto"/>
            </w:tcBorders>
          </w:tcPr>
          <w:p w14:paraId="6A50BB3B"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‘Strategy for the monitoring, evaluation and identification of lessons learnt for International Assistance projects’ was approved by the seventeenth session of the Intergovernmental Committee (Decision </w:t>
            </w:r>
            <w:hyperlink r:id="rId69" w:history="1">
              <w:r w:rsidRPr="000F2BF8">
                <w:rPr>
                  <w:rStyle w:val="Hyperlink"/>
                  <w:rFonts w:ascii="Arial" w:hAnsi="Arial" w:cs="Arial"/>
                  <w:sz w:val="20"/>
                  <w:szCs w:val="20"/>
                  <w:lang w:val="en-GB"/>
                </w:rPr>
                <w:t>17.COM 11</w:t>
              </w:r>
            </w:hyperlink>
            <w:r w:rsidRPr="000F2BF8">
              <w:rPr>
                <w:rFonts w:ascii="Arial" w:hAnsi="Arial" w:cs="Arial"/>
                <w:sz w:val="20"/>
                <w:szCs w:val="20"/>
                <w:lang w:val="en-GB"/>
              </w:rPr>
              <w:t xml:space="preserve">). The main objective of the strategy is to establish a systematized approach whereby the monitoring and evaluation of individual International Assistance projects granted under the Intangible Cultural Heritage Fund will also feed into the overall monitoring and evaluation of the International Assistance mechanism. The goal is to better track the effectiveness of the mechanism in contributing to the implementation of the Convention, and to do so by aligning its monitoring and evaluation with the Overall Results Framework of the 2003 Convention. </w:t>
            </w:r>
          </w:p>
          <w:p w14:paraId="362BC3A4" w14:textId="75907B0B"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main actions regarding the evaluation system of the International Assistance mechanism are: two evaluations, including ‘back-to-back’ field missions, were undertaken between July and November 2024 </w:t>
            </w:r>
            <w:r w:rsidR="008B7A26" w:rsidRPr="000F2BF8">
              <w:rPr>
                <w:rFonts w:ascii="Arial" w:hAnsi="Arial" w:cs="Arial"/>
                <w:sz w:val="20"/>
                <w:szCs w:val="20"/>
                <w:lang w:val="en-GB"/>
              </w:rPr>
              <w:t xml:space="preserve">in </w:t>
            </w:r>
            <w:r w:rsidR="008533D3" w:rsidRPr="000F2BF8">
              <w:rPr>
                <w:rFonts w:ascii="Arial" w:hAnsi="Arial" w:cs="Arial"/>
                <w:sz w:val="20"/>
                <w:szCs w:val="20"/>
                <w:lang w:val="en-GB"/>
              </w:rPr>
              <w:t xml:space="preserve">the </w:t>
            </w:r>
            <w:r w:rsidRPr="000F2BF8">
              <w:rPr>
                <w:rFonts w:ascii="Arial" w:hAnsi="Arial" w:cs="Arial"/>
                <w:sz w:val="20"/>
                <w:szCs w:val="20"/>
                <w:lang w:val="en-GB"/>
              </w:rPr>
              <w:t>Lao People’s Democratic Republic (Decision 14.COM 2.BUR 5.3) and Tonga (Decision 13.COM 2.BUR 4.6). This first batch of evaluations provided valuable experiences to the Secretariat in terms</w:t>
            </w:r>
            <w:r w:rsidR="008533D3" w:rsidRPr="000F2BF8">
              <w:rPr>
                <w:rFonts w:ascii="Arial" w:hAnsi="Arial" w:cs="Arial"/>
                <w:sz w:val="20"/>
                <w:szCs w:val="20"/>
                <w:lang w:val="en-GB"/>
              </w:rPr>
              <w:t xml:space="preserve"> of</w:t>
            </w:r>
            <w:r w:rsidRPr="000F2BF8">
              <w:rPr>
                <w:rFonts w:ascii="Arial" w:hAnsi="Arial" w:cs="Arial"/>
                <w:sz w:val="20"/>
                <w:szCs w:val="20"/>
                <w:lang w:val="en-GB"/>
              </w:rPr>
              <w:t xml:space="preserve">, for example: a) the pertinence of linking the evaluation points to the Overall Results Framework of the Convention for measuring impacts; b) the need to carefully prepare the logistical aspects of missions, such as organizing interpretation in the languages of the beneficiary communities; and c) how to disseminate the findings of the evaluations and share good safeguarding approaches. In addition, the monitoring and evaluation of individual projects and the overall International Assistance mechanisms have been strengthened through the implementation of various tools for monitoring and identifying good safeguarding </w:t>
            </w:r>
            <w:r w:rsidR="00DD4DEA" w:rsidRPr="000F2BF8">
              <w:rPr>
                <w:rFonts w:ascii="Arial" w:hAnsi="Arial" w:cs="Arial"/>
                <w:sz w:val="20"/>
                <w:szCs w:val="20"/>
                <w:lang w:val="en-GB"/>
              </w:rPr>
              <w:t xml:space="preserve">experiences </w:t>
            </w:r>
            <w:r w:rsidRPr="000F2BF8">
              <w:rPr>
                <w:rFonts w:ascii="Arial" w:hAnsi="Arial" w:cs="Arial"/>
                <w:sz w:val="20"/>
                <w:szCs w:val="20"/>
                <w:lang w:val="en-GB"/>
              </w:rPr>
              <w:t>(see Recommendation 5).</w:t>
            </w:r>
          </w:p>
        </w:tc>
      </w:tr>
      <w:tr w:rsidR="00974837" w:rsidRPr="000F2BF8" w14:paraId="62F1B7DB" w14:textId="77777777" w:rsidTr="00781164">
        <w:trPr>
          <w:trHeight w:val="1209"/>
        </w:trPr>
        <w:tc>
          <w:tcPr>
            <w:tcW w:w="1683" w:type="pct"/>
            <w:tcBorders>
              <w:bottom w:val="single" w:sz="4" w:space="0" w:color="auto"/>
            </w:tcBorders>
          </w:tcPr>
          <w:p w14:paraId="57764E3A"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7:</w:t>
            </w:r>
          </w:p>
          <w:p w14:paraId="70A3ECAC" w14:textId="42CD4D42"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 xml:space="preserve">Living Heritage Entity </w:t>
            </w:r>
            <w:r w:rsidRPr="000F2BF8">
              <w:rPr>
                <w:rFonts w:ascii="Arial" w:hAnsi="Arial" w:cs="Arial"/>
                <w:sz w:val="20"/>
                <w:szCs w:val="20"/>
                <w:lang w:val="en-GB"/>
              </w:rPr>
              <w:t xml:space="preserve">should strengthen the Facilitators </w:t>
            </w:r>
            <w:r w:rsidR="00865331" w:rsidRPr="000F2BF8">
              <w:rPr>
                <w:rFonts w:ascii="Arial" w:hAnsi="Arial" w:cs="Arial"/>
                <w:sz w:val="20"/>
                <w:szCs w:val="20"/>
                <w:lang w:val="en-GB"/>
              </w:rPr>
              <w:t>N</w:t>
            </w:r>
            <w:r w:rsidRPr="000F2BF8">
              <w:rPr>
                <w:rFonts w:ascii="Arial" w:hAnsi="Arial" w:cs="Arial"/>
                <w:sz w:val="20"/>
                <w:szCs w:val="20"/>
                <w:lang w:val="en-GB"/>
              </w:rPr>
              <w:t>etwork to ensure that it meets the geographic and thematic requirements of the Global Capacity Building Programme. This should entail a mapping of existing capacities and the identification of needs. It should furthermore include an assessment of current and past activity of existing network members, as well as of the active participation of individuals in other activities such as International Assistance projects and focal points on periodic reporting, among others. Opportunities for new membership and exchange amongst facilitators should be created.</w:t>
            </w:r>
          </w:p>
        </w:tc>
        <w:tc>
          <w:tcPr>
            <w:tcW w:w="3317" w:type="pct"/>
            <w:tcBorders>
              <w:bottom w:val="single" w:sz="4" w:space="0" w:color="auto"/>
            </w:tcBorders>
          </w:tcPr>
          <w:p w14:paraId="5BBB6803" w14:textId="13D1856D"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Since 2021, the global network of facilitators has been significantly strengthened with ninety-five new members (60% women) from all regions following a global call for expression</w:t>
            </w:r>
            <w:r w:rsidR="00CA1091" w:rsidRPr="000F2BF8">
              <w:rPr>
                <w:rFonts w:ascii="Arial" w:hAnsi="Arial" w:cs="Arial"/>
                <w:sz w:val="20"/>
                <w:szCs w:val="20"/>
                <w:lang w:val="en-GB"/>
              </w:rPr>
              <w:t>s</w:t>
            </w:r>
            <w:r w:rsidRPr="000F2BF8">
              <w:rPr>
                <w:rFonts w:ascii="Arial" w:hAnsi="Arial" w:cs="Arial"/>
                <w:sz w:val="20"/>
                <w:szCs w:val="20"/>
                <w:lang w:val="en-GB"/>
              </w:rPr>
              <w:t xml:space="preserve"> of interest. A series of online orientation sessions were delivered to the new members to equip them with basic knowledge on the Convention and the network. </w:t>
            </w:r>
            <w:r w:rsidR="00206689" w:rsidRPr="000F2BF8">
              <w:rPr>
                <w:rFonts w:ascii="Arial" w:hAnsi="Arial" w:cs="Arial"/>
                <w:sz w:val="20"/>
                <w:szCs w:val="20"/>
                <w:lang w:val="en-GB"/>
              </w:rPr>
              <w:t xml:space="preserve">Regional introductory training workshops were implemented in all regions in collaboration with </w:t>
            </w:r>
            <w:r w:rsidR="006A5EFE" w:rsidRPr="000F2BF8">
              <w:rPr>
                <w:rFonts w:ascii="Arial" w:hAnsi="Arial" w:cs="Arial"/>
                <w:sz w:val="20"/>
                <w:szCs w:val="20"/>
                <w:lang w:val="en-GB"/>
              </w:rPr>
              <w:t>C</w:t>
            </w:r>
            <w:r w:rsidR="00206689" w:rsidRPr="000F2BF8">
              <w:rPr>
                <w:rFonts w:ascii="Arial" w:hAnsi="Arial" w:cs="Arial"/>
                <w:sz w:val="20"/>
                <w:szCs w:val="20"/>
                <w:lang w:val="en-GB"/>
              </w:rPr>
              <w:t xml:space="preserve">ategory 2 </w:t>
            </w:r>
            <w:r w:rsidR="006A5EFE" w:rsidRPr="000F2BF8">
              <w:rPr>
                <w:rFonts w:ascii="Arial" w:hAnsi="Arial" w:cs="Arial"/>
                <w:sz w:val="20"/>
                <w:szCs w:val="20"/>
                <w:lang w:val="en-GB"/>
              </w:rPr>
              <w:t>C</w:t>
            </w:r>
            <w:r w:rsidR="00206689" w:rsidRPr="000F2BF8">
              <w:rPr>
                <w:rFonts w:ascii="Arial" w:hAnsi="Arial" w:cs="Arial"/>
                <w:sz w:val="20"/>
                <w:szCs w:val="20"/>
                <w:lang w:val="en-GB"/>
              </w:rPr>
              <w:t xml:space="preserve">entres. </w:t>
            </w:r>
            <w:r w:rsidRPr="000F2BF8">
              <w:rPr>
                <w:rFonts w:ascii="Arial" w:hAnsi="Arial" w:cs="Arial"/>
                <w:sz w:val="20"/>
                <w:szCs w:val="20"/>
                <w:lang w:val="en-GB"/>
              </w:rPr>
              <w:t>Since 2025, facilitators have also received training on the thematic areas of the Convention, via a series of training webinars on the connections between living heritage and (1)</w:t>
            </w:r>
            <w:r w:rsidR="00121BB8" w:rsidRPr="000F2BF8">
              <w:rPr>
                <w:rFonts w:ascii="Arial" w:hAnsi="Arial" w:cs="Arial"/>
                <w:sz w:val="20"/>
                <w:szCs w:val="20"/>
                <w:lang w:val="en-GB"/>
              </w:rPr>
              <w:t> </w:t>
            </w:r>
            <w:r w:rsidRPr="000F2BF8">
              <w:rPr>
                <w:rFonts w:ascii="Arial" w:hAnsi="Arial" w:cs="Arial"/>
                <w:sz w:val="20"/>
                <w:szCs w:val="20"/>
                <w:lang w:val="en-GB"/>
              </w:rPr>
              <w:t>disaster risk reduction (March 2025); (2)</w:t>
            </w:r>
            <w:r w:rsidR="00121BB8" w:rsidRPr="000F2BF8">
              <w:rPr>
                <w:rFonts w:ascii="Arial" w:hAnsi="Arial" w:cs="Arial"/>
                <w:sz w:val="20"/>
                <w:szCs w:val="20"/>
                <w:lang w:val="en-GB"/>
              </w:rPr>
              <w:t> </w:t>
            </w:r>
            <w:r w:rsidRPr="000F2BF8">
              <w:rPr>
                <w:rFonts w:ascii="Arial" w:hAnsi="Arial" w:cs="Arial"/>
                <w:sz w:val="20"/>
                <w:szCs w:val="20"/>
                <w:lang w:val="en-GB"/>
              </w:rPr>
              <w:t>nominations (June 2025); (3)</w:t>
            </w:r>
            <w:r w:rsidR="00121BB8" w:rsidRPr="000F2BF8">
              <w:rPr>
                <w:rFonts w:ascii="Arial" w:hAnsi="Arial" w:cs="Arial"/>
                <w:sz w:val="20"/>
                <w:szCs w:val="20"/>
                <w:lang w:val="en-GB"/>
              </w:rPr>
              <w:t> </w:t>
            </w:r>
            <w:r w:rsidRPr="000F2BF8">
              <w:rPr>
                <w:rFonts w:ascii="Arial" w:hAnsi="Arial" w:cs="Arial"/>
                <w:sz w:val="20"/>
                <w:szCs w:val="20"/>
                <w:lang w:val="en-GB"/>
              </w:rPr>
              <w:t>education (July 2025), and (4)</w:t>
            </w:r>
            <w:r w:rsidR="00121BB8" w:rsidRPr="000F2BF8">
              <w:rPr>
                <w:rFonts w:ascii="Arial" w:hAnsi="Arial" w:cs="Arial"/>
                <w:sz w:val="20"/>
                <w:szCs w:val="20"/>
                <w:lang w:val="en-GB"/>
              </w:rPr>
              <w:t> </w:t>
            </w:r>
            <w:r w:rsidRPr="000F2BF8">
              <w:rPr>
                <w:rFonts w:ascii="Arial" w:hAnsi="Arial" w:cs="Arial"/>
                <w:sz w:val="20"/>
                <w:szCs w:val="20"/>
                <w:lang w:val="en-GB"/>
              </w:rPr>
              <w:t xml:space="preserve">urban contexts (April 2026). A fifth webinar on living heritage in situations of conflict and displacement is due to take place </w:t>
            </w:r>
            <w:r w:rsidR="00717265" w:rsidRPr="000F2BF8">
              <w:rPr>
                <w:rFonts w:ascii="Arial" w:hAnsi="Arial" w:cs="Arial"/>
                <w:sz w:val="20"/>
                <w:szCs w:val="20"/>
                <w:lang w:val="en-GB"/>
              </w:rPr>
              <w:t>o</w:t>
            </w:r>
            <w:r w:rsidRPr="000F2BF8">
              <w:rPr>
                <w:rFonts w:ascii="Arial" w:hAnsi="Arial" w:cs="Arial"/>
                <w:sz w:val="20"/>
                <w:szCs w:val="20"/>
                <w:lang w:val="en-GB"/>
              </w:rPr>
              <w:t>n 4 June 2026.</w:t>
            </w:r>
          </w:p>
          <w:p w14:paraId="3F9219BA" w14:textId="67F86C81"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In order to provide a more relevant response regarding existing needs and gaps, a new strategy for regional, contextualised training on the implementation of the Convention for the new members is currently being implemented in all regions, in cooperation with UNESCO Field Offices and with the support of Category 2 Centres. Active involvement of experienced facilitators in key activities has been enhanced, particular</w:t>
            </w:r>
            <w:r w:rsidR="000D29D8" w:rsidRPr="000F2BF8">
              <w:rPr>
                <w:rFonts w:ascii="Arial" w:hAnsi="Arial" w:cs="Arial"/>
                <w:sz w:val="20"/>
                <w:szCs w:val="20"/>
                <w:lang w:val="en-GB"/>
              </w:rPr>
              <w:t>ly</w:t>
            </w:r>
            <w:r w:rsidRPr="000F2BF8">
              <w:rPr>
                <w:rFonts w:ascii="Arial" w:hAnsi="Arial" w:cs="Arial"/>
                <w:sz w:val="20"/>
                <w:szCs w:val="20"/>
                <w:lang w:val="en-GB"/>
              </w:rPr>
              <w:t xml:space="preserve"> regarding periodic reporting under the Convention, through two 18-hour online courses completed in support of the regional reporting cycles in Africa (2023) and Asia and the Pacific (2024).</w:t>
            </w:r>
          </w:p>
        </w:tc>
      </w:tr>
      <w:tr w:rsidR="00974837" w:rsidRPr="000F2BF8" w14:paraId="6C92FBE5" w14:textId="77777777" w:rsidTr="00781164">
        <w:trPr>
          <w:trHeight w:val="1209"/>
        </w:trPr>
        <w:tc>
          <w:tcPr>
            <w:tcW w:w="1683" w:type="pct"/>
            <w:tcBorders>
              <w:bottom w:val="single" w:sz="4" w:space="0" w:color="auto"/>
            </w:tcBorders>
          </w:tcPr>
          <w:p w14:paraId="6E272ABE"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b/>
                <w:bCs/>
                <w:sz w:val="20"/>
                <w:szCs w:val="20"/>
                <w:lang w:val="en-GB"/>
              </w:rPr>
              <w:lastRenderedPageBreak/>
              <w:t>Recommendation 8:</w:t>
            </w:r>
          </w:p>
          <w:p w14:paraId="6F9FA139"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w:t>
            </w:r>
            <w:r w:rsidRPr="000F2BF8">
              <w:rPr>
                <w:rFonts w:ascii="Arial" w:hAnsi="Arial" w:cs="Arial"/>
                <w:sz w:val="20"/>
                <w:szCs w:val="20"/>
                <w:lang w:val="en-GB"/>
              </w:rPr>
              <w:t xml:space="preserve"> should pursue adapting the Global Capacity Building Programme to a hybrid modality, combining online learning with in-person training and developing learning materials and tools best suited to these different contexts. The programme should furthermore continue diversifying its target audiences and prioritize communities, civil society, including NGOs working with ICH bearers, and specifically target youth.</w:t>
            </w:r>
          </w:p>
        </w:tc>
        <w:tc>
          <w:tcPr>
            <w:tcW w:w="3317" w:type="pct"/>
            <w:tcBorders>
              <w:bottom w:val="single" w:sz="4" w:space="0" w:color="auto"/>
            </w:tcBorders>
          </w:tcPr>
          <w:p w14:paraId="59F8FE9E"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Living Heritage Entity has designed and established the Learning Management System (LMS) for the capacity-building programme, which has now been launched as the UNESCO Learning Platform for safeguarding living heritage for sustainable development. The development of 3 self-paced courses (Overall Results Framework, Implementation of the Convention, and Transforming Learning with Living Heritage) on the Learning Platform is complete, through a partnership agreement with the International Labour Organization’s International Training Centre and in collaboration with senior facilitators. </w:t>
            </w:r>
          </w:p>
          <w:p w14:paraId="5EF15D3E" w14:textId="166ABF8E"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hyperlink r:id="rId70" w:history="1">
              <w:r w:rsidRPr="000F2BF8">
                <w:rPr>
                  <w:rStyle w:val="Hyperlink"/>
                  <w:rFonts w:ascii="Arial" w:hAnsi="Arial" w:cs="Arial"/>
                  <w:sz w:val="20"/>
                  <w:szCs w:val="20"/>
                  <w:lang w:val="en-GB"/>
                </w:rPr>
                <w:t>MOOC on Living Heritage and Sustainable Development</w:t>
              </w:r>
            </w:hyperlink>
            <w:r w:rsidRPr="000F2BF8">
              <w:rPr>
                <w:rFonts w:ascii="Arial" w:hAnsi="Arial" w:cs="Arial"/>
                <w:sz w:val="20"/>
                <w:szCs w:val="20"/>
                <w:lang w:val="en-GB"/>
              </w:rPr>
              <w:t xml:space="preserve"> was launched in 2022. Communities, civil society, and non-governmental organizations are systematically invited to participate in capacity-building workshops organized by UNESCO </w:t>
            </w:r>
            <w:r w:rsidR="009F4889" w:rsidRPr="000F2BF8">
              <w:rPr>
                <w:rFonts w:ascii="Arial" w:hAnsi="Arial" w:cs="Arial"/>
                <w:sz w:val="20"/>
                <w:szCs w:val="20"/>
                <w:lang w:val="en-GB"/>
              </w:rPr>
              <w:t>(</w:t>
            </w:r>
            <w:r w:rsidR="00FA73A1" w:rsidRPr="000F2BF8">
              <w:rPr>
                <w:rFonts w:ascii="Arial" w:hAnsi="Arial" w:cs="Arial"/>
                <w:sz w:val="20"/>
                <w:szCs w:val="20"/>
                <w:lang w:val="en-GB"/>
              </w:rPr>
              <w:t xml:space="preserve">almost 8,000 learners enrolled in </w:t>
            </w:r>
            <w:r w:rsidR="009F4889" w:rsidRPr="000F2BF8">
              <w:rPr>
                <w:rFonts w:ascii="Arial" w:hAnsi="Arial" w:cs="Arial"/>
                <w:sz w:val="20"/>
                <w:szCs w:val="20"/>
                <w:lang w:val="en-GB"/>
              </w:rPr>
              <w:t>t</w:t>
            </w:r>
            <w:r w:rsidR="006B1FA0" w:rsidRPr="000F2BF8">
              <w:rPr>
                <w:rFonts w:ascii="Arial" w:hAnsi="Arial" w:cs="Arial"/>
                <w:sz w:val="20"/>
                <w:szCs w:val="20"/>
                <w:lang w:val="en-GB"/>
              </w:rPr>
              <w:t>he course</w:t>
            </w:r>
            <w:r w:rsidR="009F4889" w:rsidRPr="000F2BF8">
              <w:rPr>
                <w:rFonts w:ascii="Arial" w:hAnsi="Arial" w:cs="Arial"/>
                <w:sz w:val="20"/>
                <w:szCs w:val="20"/>
                <w:lang w:val="en-GB"/>
              </w:rPr>
              <w:t>)</w:t>
            </w:r>
            <w:r w:rsidR="006B1FA0" w:rsidRPr="000F2BF8">
              <w:rPr>
                <w:rFonts w:ascii="Arial" w:hAnsi="Arial" w:cs="Arial"/>
                <w:sz w:val="20"/>
                <w:szCs w:val="20"/>
                <w:lang w:val="en-GB"/>
              </w:rPr>
              <w:t>.</w:t>
            </w:r>
          </w:p>
        </w:tc>
      </w:tr>
      <w:tr w:rsidR="00974837" w:rsidRPr="000F2BF8" w14:paraId="79CBB835" w14:textId="77777777" w:rsidTr="00781164">
        <w:trPr>
          <w:trHeight w:val="1209"/>
        </w:trPr>
        <w:tc>
          <w:tcPr>
            <w:tcW w:w="1683" w:type="pct"/>
            <w:tcBorders>
              <w:bottom w:val="single" w:sz="4" w:space="0" w:color="auto"/>
            </w:tcBorders>
          </w:tcPr>
          <w:p w14:paraId="5DD6815E" w14:textId="5D73187E"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9:</w:t>
            </w:r>
          </w:p>
          <w:p w14:paraId="092DD2B0"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 in cooperation with UNESCO Field Offices</w:t>
            </w:r>
            <w:r w:rsidRPr="000F2BF8">
              <w:rPr>
                <w:rFonts w:ascii="Arial" w:hAnsi="Arial" w:cs="Arial"/>
                <w:sz w:val="20"/>
                <w:szCs w:val="20"/>
                <w:lang w:val="en-GB"/>
              </w:rPr>
              <w:t>, should develop a system of continuous support to States Parties during the periodic reporting cycle in addition to the online training that is already in place. This should entail guidance on the profiles and designation of national focal points, materials for self-learning, and the provision of ongoing technical backstopping by national or regional resource persons. The networks established during the periodic reporting exercises could also be entrusted with providing guidance thereon.</w:t>
            </w:r>
          </w:p>
        </w:tc>
        <w:tc>
          <w:tcPr>
            <w:tcW w:w="3317" w:type="pct"/>
            <w:tcBorders>
              <w:bottom w:val="single" w:sz="4" w:space="0" w:color="auto"/>
            </w:tcBorders>
          </w:tcPr>
          <w:p w14:paraId="3DF84DC1" w14:textId="094273C9"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Since 2021, the Secretariat of the Convention has provided training and continuous support to four additional regions: Europe (44 focal points trained in 2021-2022), the Arab States (18 focal points trained in 2022-2023), Africa (44 focal points trained in 2022-2023), and Asia and the Pacific (42 focal points trained in 2024-2025). The approach adopted is multimodal, combining online and presential training sessions, as well as continuous online support until the submission deadline. The activities have been implemented with the active involvement of field offices in each region, and in cooperation with Category 2 Centres (Regional Centre for the Safeguarding of Intangible Cultural Heritage in South-Eastern Europe, Sharjah Institute for Heritage, Regional Centre for the safeguarding of Intangible Cultural Heritage in Africa (CRESPIAF), International Training Center for Intangible Cultural Heritage in the Asia-Pacific Region (CRIHAP), and International Information and Networking Centre for Intangible Cultural Heritage in the Asia-Pacific Region (ICHCAP)). Experienced facilitators in each region were trained on periodic reporting by the Secretariat</w:t>
            </w:r>
            <w:r w:rsidR="00121BB8" w:rsidRPr="000F2BF8">
              <w:rPr>
                <w:rFonts w:ascii="Arial" w:hAnsi="Arial" w:cs="Arial"/>
                <w:sz w:val="20"/>
                <w:szCs w:val="20"/>
                <w:lang w:val="en-GB"/>
              </w:rPr>
              <w:t>, in cooperation with UNESCO Field Offices,</w:t>
            </w:r>
            <w:r w:rsidRPr="000F2BF8">
              <w:rPr>
                <w:rFonts w:ascii="Arial" w:hAnsi="Arial" w:cs="Arial"/>
                <w:sz w:val="20"/>
                <w:szCs w:val="20"/>
                <w:lang w:val="en-GB"/>
              </w:rPr>
              <w:t xml:space="preserve"> and have led capacity-building activities for focal points.</w:t>
            </w:r>
          </w:p>
        </w:tc>
      </w:tr>
      <w:tr w:rsidR="00974837" w:rsidRPr="000F2BF8" w14:paraId="4E76F239" w14:textId="77777777" w:rsidTr="00781164">
        <w:trPr>
          <w:trHeight w:val="1209"/>
        </w:trPr>
        <w:tc>
          <w:tcPr>
            <w:tcW w:w="1683" w:type="pct"/>
            <w:tcBorders>
              <w:bottom w:val="single" w:sz="4" w:space="0" w:color="auto"/>
            </w:tcBorders>
          </w:tcPr>
          <w:p w14:paraId="1766B3F4" w14:textId="237F8825"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10:</w:t>
            </w:r>
          </w:p>
          <w:p w14:paraId="5A12644A" w14:textId="18BDA656"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 in cooperation with the Bureau of Digital Business Solutions</w:t>
            </w:r>
            <w:r w:rsidRPr="000F2BF8">
              <w:rPr>
                <w:rFonts w:ascii="Arial" w:hAnsi="Arial" w:cs="Arial"/>
                <w:sz w:val="20"/>
                <w:szCs w:val="20"/>
                <w:lang w:val="en-GB"/>
              </w:rPr>
              <w:t xml:space="preserve"> should provide an online platform to facilitate knowledge management on ICH and safeguarding measures from all the listing mechanisms, nominations, periodic reports, International Assistance projects, research, inventories, among others. This tool should allow users to search for information on ICH using simple keywords and criteria. Partner networks such as the ICH NGO Forum and UNESCO Chairs could be entrusted with the processing of data.</w:t>
            </w:r>
          </w:p>
        </w:tc>
        <w:tc>
          <w:tcPr>
            <w:tcW w:w="3317" w:type="pct"/>
            <w:tcBorders>
              <w:bottom w:val="single" w:sz="4" w:space="0" w:color="auto"/>
            </w:tcBorders>
          </w:tcPr>
          <w:p w14:paraId="0E9E641F"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Secretariat of the 2003 Convention has diligently provided all report data in open formats, facilitating comprehensive analysis and categorization in line with the global cultural report guidelines set forth by MONDIACULT.</w:t>
            </w:r>
          </w:p>
          <w:p w14:paraId="091B6752"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underlying technology for data management is undergoing a redesign to enhance security measures while ensuring compatibility with open formats. This redesign aims to facilitate seamless data exchange with other organizational tools, enabling custom integrations and interoperability with standard tools set by the Bureau of Digital Business Solutions (DBS).</w:t>
            </w:r>
          </w:p>
          <w:p w14:paraId="0AEAA25B"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The scope of NGO information has been broadened for an initial cohort of NGOs, with plans for ongoing expansion in collaboration with the NGO Forum. Additionally, UNESCO Chairs have gained enhanced visibility through the creation of a directory on the website of the Convention, dedicated to showcasing UNESCO Chairs and UNITWIN Networks focusing on living heritage.</w:t>
            </w:r>
          </w:p>
          <w:p w14:paraId="62115857" w14:textId="677EB18A" w:rsidR="00096C54" w:rsidRPr="000F2BF8" w:rsidRDefault="00096C54"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As part of the ongoing reflection on a broader implementation of Article 18, initiated in 2023 (Decision 18.COM 11), a preliminary version of an online platform for sharing good safeguarding experiences was </w:t>
            </w:r>
            <w:r w:rsidRPr="000F2BF8">
              <w:rPr>
                <w:rFonts w:ascii="Arial" w:hAnsi="Arial" w:cs="Arial"/>
                <w:sz w:val="20"/>
                <w:szCs w:val="20"/>
                <w:lang w:val="en-GB"/>
              </w:rPr>
              <w:lastRenderedPageBreak/>
              <w:t>launched in May 2025. A pilot set of fourteen good safeguarding experiences implemented through the international cooperation mechanisms of the Convention was mapped, and consultations with experts to</w:t>
            </w:r>
            <w:r w:rsidR="005C7C2A" w:rsidRPr="000F2BF8">
              <w:rPr>
                <w:rFonts w:ascii="Arial" w:hAnsi="Arial" w:cs="Arial"/>
                <w:sz w:val="20"/>
                <w:szCs w:val="20"/>
                <w:lang w:val="en-GB"/>
              </w:rPr>
              <w:t xml:space="preserve"> </w:t>
            </w:r>
            <w:r w:rsidRPr="000F2BF8">
              <w:rPr>
                <w:rFonts w:ascii="Arial" w:hAnsi="Arial" w:cs="Arial"/>
                <w:sz w:val="20"/>
                <w:szCs w:val="20"/>
                <w:lang w:val="en-GB"/>
              </w:rPr>
              <w:t>g</w:t>
            </w:r>
            <w:r w:rsidR="005C7C2A" w:rsidRPr="000F2BF8">
              <w:rPr>
                <w:rFonts w:ascii="Arial" w:hAnsi="Arial" w:cs="Arial"/>
                <w:sz w:val="20"/>
                <w:szCs w:val="20"/>
                <w:lang w:val="en-GB"/>
              </w:rPr>
              <w:t>a</w:t>
            </w:r>
            <w:r w:rsidRPr="000F2BF8">
              <w:rPr>
                <w:rFonts w:ascii="Arial" w:hAnsi="Arial" w:cs="Arial"/>
                <w:sz w:val="20"/>
                <w:szCs w:val="20"/>
                <w:lang w:val="en-GB"/>
              </w:rPr>
              <w:t>ther feedback and produce new content are underway. A focus on diverse forms of foodways is also expected to be shaped as part of the online platform.</w:t>
            </w:r>
          </w:p>
        </w:tc>
      </w:tr>
      <w:tr w:rsidR="00974837" w:rsidRPr="000F2BF8" w14:paraId="6A994555" w14:textId="77777777" w:rsidTr="00781164">
        <w:trPr>
          <w:trHeight w:val="841"/>
        </w:trPr>
        <w:tc>
          <w:tcPr>
            <w:tcW w:w="1683" w:type="pct"/>
            <w:tcBorders>
              <w:bottom w:val="single" w:sz="4" w:space="0" w:color="auto"/>
            </w:tcBorders>
          </w:tcPr>
          <w:p w14:paraId="44374EC5" w14:textId="27FDB5BF"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lastRenderedPageBreak/>
              <w:t>Recommendation 11:</w:t>
            </w:r>
          </w:p>
          <w:p w14:paraId="18D5C225"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 together with the Department of Public Information</w:t>
            </w:r>
            <w:r w:rsidRPr="000F2BF8">
              <w:rPr>
                <w:rFonts w:ascii="Arial" w:hAnsi="Arial" w:cs="Arial"/>
                <w:sz w:val="20"/>
                <w:szCs w:val="20"/>
                <w:lang w:val="en-GB"/>
              </w:rPr>
              <w:t xml:space="preserve"> should explore new avenues for communication and outreach targeting the general public and youth in particular through the use of channels such as social media. This can entail setting up a dedicated social media account and/or making more use of other UNESCO and partners’ accounts. A visual identity for content from the Entity should be developed to ensure its tracing.</w:t>
            </w:r>
          </w:p>
        </w:tc>
        <w:tc>
          <w:tcPr>
            <w:tcW w:w="3317" w:type="pct"/>
            <w:tcBorders>
              <w:bottom w:val="single" w:sz="4" w:space="0" w:color="auto"/>
            </w:tcBorders>
          </w:tcPr>
          <w:p w14:paraId="5B85D277"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Since 2021, the Living Heritage Entity has enhanced its communication efforts in collaboration with the Division for Communications and Public Engagement (CPE) and with the Communications and Global Monitoring Unit (CLT/CGM), in targeting the general public and particularly the youth, through social media.</w:t>
            </w:r>
          </w:p>
          <w:p w14:paraId="37E814F2"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In 2024, an online participatory campaign to encourage States Parties to share activities linked to the International Day of the Intangible Cultural Heritage was launched and reiterated in 2025, with a high number of activities being shared on the webpage of the Convention (100 activities in 2024 and 134 activities in 2025).</w:t>
            </w:r>
          </w:p>
          <w:p w14:paraId="5D78491A" w14:textId="209EB16D"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On a regular basis, the Secretariat is providing responses and interviews to an increased number of media inquiries, contributing to greater awareness of the Convention. News items on the webpage are continuously produced, highlighting achievements, activities, and projects under the Convention as well as contributions to International Days and Decades, or in connection with ongoing projects. The use of the hashtag #LivingHeritage allows for tagging and identifying associated posts.</w:t>
            </w:r>
            <w:r w:rsidR="008B7A26" w:rsidRPr="000F2BF8">
              <w:rPr>
                <w:rFonts w:ascii="Arial" w:hAnsi="Arial" w:cs="Arial"/>
                <w:sz w:val="20"/>
                <w:szCs w:val="20"/>
                <w:lang w:val="en-GB"/>
              </w:rPr>
              <w:t xml:space="preserve"> </w:t>
            </w:r>
            <w:r w:rsidRPr="000F2BF8">
              <w:rPr>
                <w:rFonts w:ascii="Arial" w:hAnsi="Arial" w:cs="Arial"/>
                <w:sz w:val="20"/>
                <w:szCs w:val="20"/>
                <w:lang w:val="en-GB"/>
              </w:rPr>
              <w:t>The Secretariat of the 2003 Convention has also aligned its website design with guidelines established by CPE, offering a more cohesive branding for UNESCO's websites. Open formats are in place to improve the visibility and visualization of inscribed elements and it is planned to continue to facilitate data visualization of data that could increase the impact and engagement of target audiences.</w:t>
            </w:r>
          </w:p>
        </w:tc>
      </w:tr>
      <w:tr w:rsidR="00974837" w:rsidRPr="000F2BF8" w14:paraId="345A3476" w14:textId="77777777" w:rsidTr="00E748D9">
        <w:trPr>
          <w:trHeight w:val="3811"/>
        </w:trPr>
        <w:tc>
          <w:tcPr>
            <w:tcW w:w="1683" w:type="pct"/>
          </w:tcPr>
          <w:p w14:paraId="1505B462" w14:textId="77777777" w:rsidR="00974837" w:rsidRPr="000F2BF8" w:rsidRDefault="00974837" w:rsidP="0072052C">
            <w:pPr>
              <w:widowControl w:val="0"/>
              <w:spacing w:before="120" w:after="120"/>
              <w:jc w:val="both"/>
              <w:rPr>
                <w:rFonts w:ascii="Arial" w:hAnsi="Arial" w:cs="Arial"/>
                <w:b/>
                <w:bCs/>
                <w:sz w:val="20"/>
                <w:szCs w:val="20"/>
                <w:lang w:val="en-GB"/>
              </w:rPr>
            </w:pPr>
            <w:r w:rsidRPr="000F2BF8">
              <w:rPr>
                <w:rFonts w:ascii="Arial" w:hAnsi="Arial" w:cs="Arial"/>
                <w:b/>
                <w:bCs/>
                <w:sz w:val="20"/>
                <w:szCs w:val="20"/>
                <w:lang w:val="en-GB"/>
              </w:rPr>
              <w:t>Recommendation 12:</w:t>
            </w:r>
          </w:p>
          <w:p w14:paraId="16E5D9AA" w14:textId="77777777"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w:t>
            </w:r>
            <w:r w:rsidRPr="000F2BF8">
              <w:rPr>
                <w:rFonts w:ascii="Arial" w:hAnsi="Arial" w:cs="Arial"/>
                <w:b/>
                <w:bCs/>
                <w:sz w:val="20"/>
                <w:szCs w:val="20"/>
                <w:lang w:val="en-GB"/>
              </w:rPr>
              <w:t>Living Heritage Entity</w:t>
            </w:r>
            <w:r w:rsidRPr="000F2BF8">
              <w:rPr>
                <w:rFonts w:ascii="Arial" w:hAnsi="Arial" w:cs="Arial"/>
                <w:sz w:val="20"/>
                <w:szCs w:val="20"/>
                <w:lang w:val="en-GB"/>
              </w:rPr>
              <w:t xml:space="preserve"> should introduce regular opportunities for bilateral planning and exchange with each of the Category 2 Centres specializing in ICH, focusing on priorities of the Secretariat and of the Intergovernmental Committee that can be informed by regional needs in order to strengthen the engagement of these partners and the alignment of their work programmes with those of UNESCO.</w:t>
            </w:r>
          </w:p>
        </w:tc>
        <w:tc>
          <w:tcPr>
            <w:tcW w:w="3317" w:type="pct"/>
          </w:tcPr>
          <w:p w14:paraId="0ADBFBDE" w14:textId="40677CC3" w:rsidR="00974837" w:rsidRPr="000F2BF8" w:rsidRDefault="00974837" w:rsidP="0072052C">
            <w:pPr>
              <w:widowControl w:val="0"/>
              <w:spacing w:before="120" w:after="120"/>
              <w:jc w:val="both"/>
              <w:rPr>
                <w:rFonts w:ascii="Arial" w:hAnsi="Arial" w:cs="Arial"/>
                <w:sz w:val="20"/>
                <w:szCs w:val="20"/>
                <w:lang w:val="en-GB"/>
              </w:rPr>
            </w:pPr>
            <w:r w:rsidRPr="000F2BF8">
              <w:rPr>
                <w:rFonts w:ascii="Arial" w:hAnsi="Arial" w:cs="Arial"/>
                <w:sz w:val="20"/>
                <w:szCs w:val="20"/>
                <w:lang w:val="en-GB"/>
              </w:rPr>
              <w:t xml:space="preserve">The Living Heritage Entity has continued co-organizing the annual coordination meetings with all Centres. The twelfth meeting was held at UNESCO Headquarters on 13 June 2024 and the thirteenth meeting was held online on 16 July 2025. Category 2 Centres have been actively involved in the roll-out of capacity building for periodic reporting in all regions, through co-organizing and hosting training activities: </w:t>
            </w:r>
            <w:r w:rsidR="008231BB" w:rsidRPr="000F2BF8">
              <w:rPr>
                <w:rFonts w:ascii="Arial" w:hAnsi="Arial" w:cs="Arial"/>
                <w:sz w:val="20"/>
                <w:szCs w:val="20"/>
                <w:lang w:val="en-GB"/>
              </w:rPr>
              <w:t xml:space="preserve">Regional Centre for the Safeguarding of Intangible Cultural Heritage in Latin America (CRESPIAL) for Latin America and the Caribbean cycle (2021), </w:t>
            </w:r>
            <w:r w:rsidR="00E748D9" w:rsidRPr="000F2BF8">
              <w:rPr>
                <w:rFonts w:ascii="Arial" w:hAnsi="Arial" w:cs="Arial"/>
                <w:sz w:val="20"/>
                <w:szCs w:val="20"/>
                <w:lang w:val="en-GB"/>
              </w:rPr>
              <w:t>Regional Centre for the Safeguarding of the Intangible Cultural Heritage in South-Eastern Europe</w:t>
            </w:r>
            <w:r w:rsidRPr="000F2BF8">
              <w:rPr>
                <w:rFonts w:ascii="Arial" w:hAnsi="Arial" w:cs="Arial"/>
                <w:sz w:val="20"/>
                <w:szCs w:val="20"/>
                <w:lang w:val="en-GB"/>
              </w:rPr>
              <w:t xml:space="preserve"> for the Europe cycle</w:t>
            </w:r>
            <w:r w:rsidR="008231BB" w:rsidRPr="000F2BF8">
              <w:rPr>
                <w:rFonts w:ascii="Arial" w:hAnsi="Arial" w:cs="Arial"/>
                <w:sz w:val="20"/>
                <w:szCs w:val="20"/>
                <w:lang w:val="en-GB"/>
              </w:rPr>
              <w:t xml:space="preserve"> (2022)</w:t>
            </w:r>
            <w:r w:rsidRPr="000F2BF8">
              <w:rPr>
                <w:rFonts w:ascii="Arial" w:hAnsi="Arial" w:cs="Arial"/>
                <w:sz w:val="20"/>
                <w:szCs w:val="20"/>
                <w:lang w:val="en-GB"/>
              </w:rPr>
              <w:t>, International Centre for Capacity Building in Intangible Cultural Heritage in the Arab States (ICCBICH) for the Arab States cycle</w:t>
            </w:r>
            <w:r w:rsidR="008231BB" w:rsidRPr="000F2BF8">
              <w:rPr>
                <w:rFonts w:ascii="Arial" w:hAnsi="Arial" w:cs="Arial"/>
                <w:sz w:val="20"/>
                <w:szCs w:val="20"/>
                <w:lang w:val="en-GB"/>
              </w:rPr>
              <w:t xml:space="preserve"> (2023)</w:t>
            </w:r>
            <w:r w:rsidRPr="000F2BF8">
              <w:rPr>
                <w:rFonts w:ascii="Arial" w:hAnsi="Arial" w:cs="Arial"/>
                <w:sz w:val="20"/>
                <w:szCs w:val="20"/>
                <w:lang w:val="en-GB"/>
              </w:rPr>
              <w:t>, Regional Centre for the Safeguarding of Intangible Cultural Heritage in Africa (CRESPIAF) for the Africa cycle</w:t>
            </w:r>
            <w:r w:rsidR="008231BB" w:rsidRPr="000F2BF8">
              <w:rPr>
                <w:rFonts w:ascii="Arial" w:hAnsi="Arial" w:cs="Arial"/>
                <w:sz w:val="20"/>
                <w:szCs w:val="20"/>
                <w:lang w:val="en-GB"/>
              </w:rPr>
              <w:t xml:space="preserve"> (2024)</w:t>
            </w:r>
            <w:r w:rsidRPr="000F2BF8">
              <w:rPr>
                <w:rFonts w:ascii="Arial" w:hAnsi="Arial" w:cs="Arial"/>
                <w:sz w:val="20"/>
                <w:szCs w:val="20"/>
                <w:lang w:val="en-GB"/>
              </w:rPr>
              <w:t>, International Information and Networking Centre for Intangible Cultural Heritage in the Asia-Pacific Region (ICHCAP) and International Training Centre for Intangible Cultural Heritage in the Asia-Pacific Region (CRIHAP) for the Asia and the Pacific cycle</w:t>
            </w:r>
            <w:r w:rsidR="008231BB" w:rsidRPr="000F2BF8">
              <w:rPr>
                <w:rFonts w:ascii="Arial" w:hAnsi="Arial" w:cs="Arial"/>
                <w:sz w:val="20"/>
                <w:szCs w:val="20"/>
                <w:lang w:val="en-GB"/>
              </w:rPr>
              <w:t xml:space="preserve"> (2025)</w:t>
            </w:r>
            <w:r w:rsidRPr="000F2BF8">
              <w:rPr>
                <w:rFonts w:ascii="Arial" w:hAnsi="Arial" w:cs="Arial"/>
                <w:sz w:val="20"/>
                <w:szCs w:val="20"/>
                <w:lang w:val="en-GB"/>
              </w:rPr>
              <w:t>. Such collaborations have enhanced exchange between each Centre and the Secretariat of the 2003 Convention</w:t>
            </w:r>
            <w:r w:rsidR="0070618D" w:rsidRPr="000F2BF8">
              <w:rPr>
                <w:rFonts w:ascii="Arial" w:hAnsi="Arial" w:cs="Arial"/>
                <w:sz w:val="20"/>
                <w:szCs w:val="20"/>
                <w:lang w:val="en-GB"/>
              </w:rPr>
              <w:t>,</w:t>
            </w:r>
            <w:r w:rsidRPr="000F2BF8">
              <w:rPr>
                <w:rFonts w:ascii="Arial" w:hAnsi="Arial" w:cs="Arial"/>
                <w:sz w:val="20"/>
                <w:szCs w:val="20"/>
                <w:lang w:val="en-GB"/>
              </w:rPr>
              <w:t xml:space="preserve"> and strengthened the alignment of their work with UNESCO’s priorities.</w:t>
            </w:r>
            <w:r w:rsidR="00466E2D" w:rsidRPr="000F2BF8">
              <w:rPr>
                <w:rFonts w:ascii="Arial" w:hAnsi="Arial" w:cs="Arial"/>
                <w:sz w:val="20"/>
                <w:szCs w:val="20"/>
                <w:lang w:val="en-GB"/>
              </w:rPr>
              <w:t xml:space="preserve"> With the International Research Centre for Intangible Cultural Heritage in the Asia-Pacific Region (IRCI), thematic collaborations took place notably in </w:t>
            </w:r>
            <w:r w:rsidR="0065064B" w:rsidRPr="000F2BF8">
              <w:rPr>
                <w:rFonts w:ascii="Arial" w:hAnsi="Arial" w:cs="Arial"/>
                <w:sz w:val="20"/>
                <w:szCs w:val="20"/>
                <w:lang w:val="en-GB"/>
              </w:rPr>
              <w:t>support of the thematic initiatives of the Convention</w:t>
            </w:r>
            <w:r w:rsidR="00466E2D" w:rsidRPr="000F2BF8">
              <w:rPr>
                <w:rFonts w:ascii="Arial" w:hAnsi="Arial" w:cs="Arial"/>
                <w:sz w:val="20"/>
                <w:szCs w:val="20"/>
                <w:lang w:val="en-GB"/>
              </w:rPr>
              <w:t>.</w:t>
            </w:r>
          </w:p>
        </w:tc>
      </w:tr>
    </w:tbl>
    <w:p w14:paraId="18546D07" w14:textId="77777777" w:rsidR="00D44771" w:rsidRPr="000F2BF8" w:rsidRDefault="00D44771" w:rsidP="0072052C">
      <w:pPr>
        <w:pStyle w:val="COMParaDecision"/>
        <w:numPr>
          <w:ilvl w:val="0"/>
          <w:numId w:val="0"/>
        </w:numPr>
        <w:spacing w:after="240"/>
        <w:rPr>
          <w:u w:val="none"/>
        </w:rPr>
      </w:pPr>
    </w:p>
    <w:sectPr w:rsidR="00D44771" w:rsidRPr="000F2BF8" w:rsidSect="00791396">
      <w:pgSz w:w="16838" w:h="11906" w:orient="landscape" w:code="9"/>
      <w:pgMar w:top="1138" w:right="1411" w:bottom="1138" w:left="1138" w:header="403"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25A0" w14:textId="77777777" w:rsidR="00B7171F" w:rsidRDefault="00B7171F" w:rsidP="00655736">
      <w:r>
        <w:separator/>
      </w:r>
    </w:p>
  </w:endnote>
  <w:endnote w:type="continuationSeparator" w:id="0">
    <w:p w14:paraId="393F06B5" w14:textId="77777777" w:rsidR="00B7171F" w:rsidRDefault="00B7171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C109" w14:textId="77777777" w:rsidR="00B7171F" w:rsidRDefault="00B7171F" w:rsidP="00655736">
      <w:r>
        <w:separator/>
      </w:r>
    </w:p>
  </w:footnote>
  <w:footnote w:type="continuationSeparator" w:id="0">
    <w:p w14:paraId="42EDEC6A" w14:textId="77777777" w:rsidR="00B7171F" w:rsidRDefault="00B7171F" w:rsidP="00655736">
      <w:r>
        <w:continuationSeparator/>
      </w:r>
    </w:p>
  </w:footnote>
  <w:footnote w:id="1">
    <w:p w14:paraId="24B1EF99" w14:textId="77777777" w:rsidR="00CB0D44" w:rsidRPr="00E957F6" w:rsidRDefault="00CB0D44" w:rsidP="00CB0D44">
      <w:pPr>
        <w:pStyle w:val="FootnoteText"/>
        <w:ind w:left="567" w:hanging="567"/>
        <w:jc w:val="both"/>
        <w:rPr>
          <w:rFonts w:asciiTheme="minorBidi" w:hAnsiTheme="minorBidi" w:cstheme="minorBidi"/>
          <w:sz w:val="18"/>
          <w:szCs w:val="18"/>
          <w:lang w:val="en-US"/>
        </w:rPr>
      </w:pPr>
      <w:bookmarkStart w:id="1" w:name="_Hlk124351068"/>
      <w:r w:rsidRPr="00502368">
        <w:rPr>
          <w:rStyle w:val="FootnoteReference"/>
          <w:rFonts w:asciiTheme="minorBidi" w:hAnsiTheme="minorBidi" w:cstheme="minorBidi"/>
          <w:sz w:val="18"/>
          <w:szCs w:val="18"/>
        </w:rPr>
        <w:footnoteRef/>
      </w:r>
      <w:r w:rsidRPr="00E957F6">
        <w:rPr>
          <w:rFonts w:asciiTheme="minorBidi" w:hAnsiTheme="minorBidi" w:cstheme="minorBidi"/>
          <w:sz w:val="18"/>
          <w:szCs w:val="18"/>
          <w:vertAlign w:val="superscript"/>
          <w:lang w:val="en-US"/>
        </w:rPr>
        <w:t>.</w:t>
      </w:r>
      <w:r w:rsidRPr="00E957F6">
        <w:rPr>
          <w:rFonts w:asciiTheme="minorBidi" w:hAnsiTheme="minorBidi" w:cstheme="minorBidi"/>
          <w:sz w:val="18"/>
          <w:szCs w:val="18"/>
          <w:lang w:val="en-US"/>
        </w:rPr>
        <w:tab/>
      </w:r>
      <w:r w:rsidRPr="00E957F6">
        <w:rPr>
          <w:rFonts w:asciiTheme="minorBidi" w:hAnsiTheme="minorBidi" w:cstheme="minorBidi"/>
          <w:bCs/>
          <w:iCs/>
          <w:sz w:val="18"/>
          <w:szCs w:val="18"/>
          <w:lang w:val="en-US"/>
        </w:rPr>
        <w:t xml:space="preserve">Documents </w:t>
      </w:r>
      <w:hyperlink r:id="rId1" w:history="1">
        <w:r w:rsidRPr="00E957F6">
          <w:rPr>
            <w:rStyle w:val="Hyperlink"/>
            <w:rFonts w:asciiTheme="minorBidi" w:hAnsiTheme="minorBidi" w:cstheme="minorBidi"/>
            <w:bCs/>
            <w:sz w:val="18"/>
            <w:szCs w:val="18"/>
            <w:lang w:val="en-US"/>
          </w:rPr>
          <w:t>LHE/21/16.COM/10 Rev.</w:t>
        </w:r>
      </w:hyperlink>
      <w:r w:rsidRPr="00E957F6">
        <w:rPr>
          <w:rFonts w:asciiTheme="minorBidi" w:hAnsiTheme="minorBidi" w:cstheme="minorBidi"/>
          <w:bCs/>
          <w:iCs/>
          <w:sz w:val="18"/>
          <w:szCs w:val="18"/>
          <w:lang w:val="en-US"/>
        </w:rPr>
        <w:t xml:space="preserve"> and </w:t>
      </w:r>
      <w:hyperlink r:id="rId2" w:history="1">
        <w:r w:rsidRPr="00B241E7">
          <w:rPr>
            <w:rStyle w:val="Hyperlink"/>
            <w:rFonts w:asciiTheme="minorBidi" w:hAnsiTheme="minorBidi" w:cstheme="minorBidi"/>
            <w:bCs/>
            <w:sz w:val="18"/>
            <w:szCs w:val="18"/>
            <w:lang w:val="en-US"/>
          </w:rPr>
          <w:t>LHE/21/16.COM/INF.10 Rev.</w:t>
        </w:r>
      </w:hyperlink>
      <w:r w:rsidRPr="00E957F6">
        <w:rPr>
          <w:rStyle w:val="Hyperlink"/>
          <w:rFonts w:asciiTheme="minorBidi" w:hAnsiTheme="minorBidi" w:cstheme="minorBidi"/>
          <w:bCs/>
          <w:color w:val="auto"/>
          <w:sz w:val="18"/>
          <w:szCs w:val="18"/>
          <w:u w:val="none"/>
          <w:lang w:val="en-US"/>
        </w:rPr>
        <w:t xml:space="preserve">; the follow-up </w:t>
      </w:r>
      <w:proofErr w:type="gramStart"/>
      <w:r w:rsidRPr="00E957F6">
        <w:rPr>
          <w:rStyle w:val="Hyperlink"/>
          <w:rFonts w:asciiTheme="minorBidi" w:hAnsiTheme="minorBidi" w:cstheme="minorBidi"/>
          <w:bCs/>
          <w:color w:val="auto"/>
          <w:sz w:val="18"/>
          <w:szCs w:val="18"/>
          <w:u w:val="none"/>
          <w:lang w:val="en-US"/>
        </w:rPr>
        <w:t>is provided</w:t>
      </w:r>
      <w:proofErr w:type="gramEnd"/>
      <w:r w:rsidRPr="00E957F6">
        <w:rPr>
          <w:rStyle w:val="Hyperlink"/>
          <w:rFonts w:asciiTheme="minorBidi" w:hAnsiTheme="minorBidi" w:cstheme="minorBidi"/>
          <w:bCs/>
          <w:color w:val="auto"/>
          <w:sz w:val="18"/>
          <w:szCs w:val="18"/>
          <w:u w:val="none"/>
          <w:lang w:val="en-US"/>
        </w:rPr>
        <w:t xml:space="preserve"> with reference to Decision </w:t>
      </w:r>
      <w:hyperlink r:id="rId3" w:history="1">
        <w:r w:rsidRPr="00E957F6">
          <w:rPr>
            <w:rStyle w:val="Hyperlink"/>
            <w:rFonts w:asciiTheme="minorBidi" w:hAnsiTheme="minorBidi" w:cstheme="minorBidi"/>
            <w:bCs/>
            <w:sz w:val="18"/>
            <w:szCs w:val="18"/>
            <w:lang w:val="en-US"/>
          </w:rPr>
          <w:t>16.COM 10</w:t>
        </w:r>
      </w:hyperlink>
      <w:r w:rsidRPr="00E957F6">
        <w:rPr>
          <w:rStyle w:val="Hyperlink"/>
          <w:rFonts w:asciiTheme="minorBidi" w:hAnsiTheme="minorBidi" w:cstheme="minorBidi"/>
          <w:bCs/>
          <w:color w:val="auto"/>
          <w:sz w:val="18"/>
          <w:szCs w:val="18"/>
          <w:u w:val="none"/>
          <w:lang w:val="en-US"/>
        </w:rPr>
        <w:t xml:space="preserve"> by the sixteenth session of the Committee.</w:t>
      </w:r>
    </w:p>
    <w:bookmarkEnd w:id="1"/>
  </w:footnote>
  <w:footnote w:id="2">
    <w:p w14:paraId="0CB59C10" w14:textId="465383AF" w:rsidR="00107C14" w:rsidRPr="00E957F6" w:rsidRDefault="00107C14" w:rsidP="00107C14">
      <w:pPr>
        <w:pStyle w:val="FootnoteText"/>
        <w:ind w:left="567" w:hanging="567"/>
        <w:jc w:val="both"/>
        <w:rPr>
          <w:rFonts w:asciiTheme="minorBidi" w:hAnsiTheme="minorBidi" w:cstheme="minorBidi"/>
          <w:sz w:val="18"/>
          <w:szCs w:val="18"/>
          <w:lang w:val="en-US"/>
        </w:rPr>
      </w:pPr>
      <w:r w:rsidRPr="00502368">
        <w:rPr>
          <w:rStyle w:val="FootnoteReference"/>
          <w:rFonts w:asciiTheme="minorBidi" w:hAnsiTheme="minorBidi" w:cstheme="minorBidi"/>
          <w:sz w:val="18"/>
          <w:szCs w:val="18"/>
        </w:rPr>
        <w:footnoteRef/>
      </w:r>
      <w:r w:rsidRPr="00E957F6">
        <w:rPr>
          <w:rFonts w:asciiTheme="minorBidi" w:hAnsiTheme="minorBidi" w:cstheme="minorBidi"/>
          <w:sz w:val="18"/>
          <w:szCs w:val="18"/>
          <w:vertAlign w:val="superscript"/>
          <w:lang w:val="en-US"/>
        </w:rPr>
        <w:t>.</w:t>
      </w:r>
      <w:r w:rsidRPr="00E957F6">
        <w:rPr>
          <w:rFonts w:asciiTheme="minorBidi" w:hAnsiTheme="minorBidi" w:cstheme="minorBidi"/>
          <w:sz w:val="18"/>
          <w:szCs w:val="18"/>
          <w:lang w:val="en-US"/>
        </w:rPr>
        <w:tab/>
      </w:r>
      <w:r w:rsidR="00A1417A" w:rsidRPr="00D70933">
        <w:rPr>
          <w:rFonts w:asciiTheme="minorBidi" w:hAnsiTheme="minorBidi" w:cstheme="minorBidi"/>
          <w:sz w:val="18"/>
          <w:szCs w:val="18"/>
          <w:lang w:val="en-US"/>
        </w:rPr>
        <w:t xml:space="preserve">Regional Centre for the Safeguarding of Intangible Cultural Heritage in Africa (CRESPIAF), </w:t>
      </w:r>
      <w:r w:rsidRPr="00D70933">
        <w:rPr>
          <w:rStyle w:val="Hyperlink"/>
          <w:rFonts w:asciiTheme="minorBidi" w:hAnsiTheme="minorBidi" w:cstheme="minorBidi"/>
          <w:bCs/>
          <w:color w:val="auto"/>
          <w:sz w:val="18"/>
          <w:szCs w:val="18"/>
          <w:u w:val="none"/>
          <w:lang w:val="en-US"/>
        </w:rPr>
        <w:t>Regional</w:t>
      </w:r>
      <w:r w:rsidRPr="00107C14">
        <w:rPr>
          <w:rStyle w:val="Hyperlink"/>
          <w:rFonts w:asciiTheme="minorBidi" w:hAnsiTheme="minorBidi" w:cstheme="minorBidi"/>
          <w:bCs/>
          <w:color w:val="auto"/>
          <w:sz w:val="18"/>
          <w:szCs w:val="18"/>
          <w:u w:val="none"/>
          <w:lang w:val="en-US"/>
        </w:rPr>
        <w:t xml:space="preserve"> Centre for the Safeguarding of the Intangible Cultural Heritage of Latin America (CRESPIAL), International Training Centre for Intangible Cultural Heritage in the Asia-Pacific Region (CRIHAP), International Research Centre for Intangible Cultural Heritage in the Asia-Pacific Region (IRCI), and International Information and Networking Centre for Intangible Cultural Heritage in the Asia-Pacific Region (ICHCAP).</w:t>
      </w:r>
    </w:p>
  </w:footnote>
  <w:footnote w:id="3">
    <w:p w14:paraId="79E76C92" w14:textId="62F0A6D0" w:rsidR="00D44771" w:rsidRPr="00B90BF8" w:rsidRDefault="00D44771" w:rsidP="00D44771">
      <w:pPr>
        <w:pStyle w:val="FootnoteText"/>
        <w:rPr>
          <w:rFonts w:asciiTheme="minorBidi" w:hAnsiTheme="minorBidi" w:cstheme="minorBidi"/>
          <w:sz w:val="18"/>
          <w:szCs w:val="18"/>
          <w:lang w:val="en-GB"/>
        </w:rPr>
      </w:pPr>
      <w:r w:rsidRPr="00E957F6">
        <w:rPr>
          <w:rStyle w:val="FootnoteReference"/>
          <w:rFonts w:asciiTheme="minorBidi" w:hAnsiTheme="minorBidi" w:cstheme="minorBidi"/>
          <w:sz w:val="18"/>
          <w:szCs w:val="18"/>
        </w:rPr>
        <w:footnoteRef/>
      </w:r>
      <w:r w:rsidRPr="00E957F6">
        <w:rPr>
          <w:rFonts w:asciiTheme="minorBidi" w:hAnsiTheme="minorBidi" w:cstheme="minorBidi"/>
          <w:sz w:val="18"/>
          <w:szCs w:val="18"/>
          <w:lang w:val="en-GB"/>
        </w:rPr>
        <w:t xml:space="preserve"> </w:t>
      </w:r>
      <w:r w:rsidRPr="00B90BF8">
        <w:rPr>
          <w:rFonts w:asciiTheme="minorBidi" w:hAnsiTheme="minorBidi" w:cstheme="minorBidi"/>
          <w:sz w:val="18"/>
          <w:szCs w:val="18"/>
          <w:lang w:val="en-GB"/>
        </w:rPr>
        <w:t>See document</w:t>
      </w:r>
      <w:r w:rsidR="004706EE">
        <w:rPr>
          <w:rFonts w:asciiTheme="minorBidi" w:hAnsiTheme="minorBidi" w:cstheme="minorBidi"/>
          <w:sz w:val="18"/>
          <w:szCs w:val="18"/>
          <w:lang w:val="en-GB"/>
        </w:rPr>
        <w:t>s</w:t>
      </w:r>
      <w:r w:rsidRPr="00B90BF8">
        <w:rPr>
          <w:rFonts w:asciiTheme="minorBidi" w:hAnsiTheme="minorBidi" w:cstheme="minorBidi"/>
          <w:sz w:val="18"/>
          <w:szCs w:val="18"/>
          <w:lang w:val="en-GB"/>
        </w:rPr>
        <w:t xml:space="preserve"> </w:t>
      </w:r>
      <w:r>
        <w:fldChar w:fldCharType="begin"/>
      </w:r>
      <w:r w:rsidRPr="0072052C">
        <w:rPr>
          <w:lang w:val="en-GB"/>
        </w:rPr>
        <w:instrText>HYPERLINK "https://ich.unesco.org/doc/src/LHE-21-16.COM-10_Rev.-EN.docx"</w:instrText>
      </w:r>
      <w:r>
        <w:fldChar w:fldCharType="separate"/>
      </w:r>
      <w:r w:rsidRPr="00B90BF8">
        <w:rPr>
          <w:rStyle w:val="Hyperlink"/>
          <w:rFonts w:asciiTheme="minorBidi" w:hAnsiTheme="minorBidi" w:cstheme="minorBidi"/>
          <w:sz w:val="18"/>
          <w:szCs w:val="18"/>
          <w:lang w:val="en-GB"/>
        </w:rPr>
        <w:t>LHE/21/16.COM/10 Rev.</w:t>
      </w:r>
      <w:r>
        <w:fldChar w:fldCharType="end"/>
      </w:r>
      <w:r w:rsidRPr="00B90BF8">
        <w:rPr>
          <w:rFonts w:asciiTheme="minorBidi" w:hAnsiTheme="minorBidi" w:cstheme="minorBidi"/>
          <w:sz w:val="18"/>
          <w:szCs w:val="18"/>
          <w:lang w:val="en-GB"/>
        </w:rPr>
        <w:t xml:space="preserve"> and </w:t>
      </w:r>
      <w:hyperlink r:id="rId4" w:history="1">
        <w:r w:rsidRPr="00B90BF8">
          <w:rPr>
            <w:rStyle w:val="Hyperlink"/>
            <w:rFonts w:asciiTheme="minorBidi" w:hAnsiTheme="minorBidi" w:cstheme="minorBidi"/>
            <w:sz w:val="18"/>
            <w:szCs w:val="18"/>
            <w:lang w:val="en-GB"/>
          </w:rPr>
          <w:t>LHE/21/16.COM/INF.10 Rev.</w:t>
        </w:r>
      </w:hyperlink>
      <w:r w:rsidRPr="00B90BF8">
        <w:rPr>
          <w:rFonts w:asciiTheme="minorBidi" w:hAnsiTheme="minorBidi" w:cstheme="minorBidi"/>
          <w:sz w:val="18"/>
          <w:szCs w:val="18"/>
          <w:lang w:val="en-GB"/>
        </w:rPr>
        <w:t xml:space="preserve"> for the initial management response given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D99B761"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CB0D44">
      <w:rPr>
        <w:rFonts w:ascii="Arial" w:hAnsi="Arial" w:cs="Arial"/>
        <w:sz w:val="20"/>
        <w:szCs w:val="20"/>
        <w:lang w:val="en-GB"/>
      </w:rPr>
      <w:t>6</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397063A"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CB0D44">
      <w:rPr>
        <w:rFonts w:ascii="Arial" w:hAnsi="Arial" w:cs="Arial"/>
        <w:sz w:val="20"/>
        <w:szCs w:val="20"/>
        <w:lang w:val="en-GB"/>
      </w:rPr>
      <w:t>6</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7376794B"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AB5A60">
      <w:rPr>
        <w:rFonts w:ascii="Arial" w:hAnsi="Arial" w:cs="Arial"/>
        <w:b/>
        <w:sz w:val="22"/>
        <w:szCs w:val="22"/>
        <w:lang w:val="pt-PT"/>
      </w:rPr>
      <w:t>6</w:t>
    </w:r>
  </w:p>
  <w:p w14:paraId="1B4446C3" w14:textId="4553D434"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F416F7">
      <w:rPr>
        <w:rFonts w:ascii="Arial" w:hAnsi="Arial" w:cs="Arial"/>
        <w:b/>
        <w:sz w:val="22"/>
        <w:szCs w:val="22"/>
        <w:lang w:val="pt-PT"/>
      </w:rPr>
      <w:t>18 May</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6085B">
      <w:rPr>
        <w:rFonts w:ascii="Arial" w:hAnsi="Arial" w:cs="Arial"/>
        <w:b/>
        <w:sz w:val="22"/>
        <w:szCs w:val="22"/>
        <w:lang w:val="pt-PT"/>
      </w:rPr>
      <w:t>6</w:t>
    </w:r>
  </w:p>
  <w:p w14:paraId="255B57FF" w14:textId="2AC5038C"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AB5A60">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76A07E7C"/>
    <w:lvl w:ilvl="0" w:tplc="04090013">
      <w:start w:val="1"/>
      <w:numFmt w:val="upperRoman"/>
      <w:lvlText w:val="%1."/>
      <w:lvlJc w:val="righ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2"/>
  </w:num>
  <w:num w:numId="2" w16cid:durableId="699629408">
    <w:abstractNumId w:val="6"/>
  </w:num>
  <w:num w:numId="3" w16cid:durableId="164177712">
    <w:abstractNumId w:val="2"/>
  </w:num>
  <w:num w:numId="4" w16cid:durableId="1416590798">
    <w:abstractNumId w:val="15"/>
  </w:num>
  <w:num w:numId="5" w16cid:durableId="1762608160">
    <w:abstractNumId w:val="13"/>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6"/>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 w:numId="23" w16cid:durableId="790321241">
    <w:abstractNumId w:val="5"/>
  </w:num>
  <w:num w:numId="24" w16cid:durableId="1932002950">
    <w:abstractNumId w:val="5"/>
  </w:num>
  <w:num w:numId="25" w16cid:durableId="1198470061">
    <w:abstractNumId w:val="14"/>
  </w:num>
  <w:num w:numId="26" w16cid:durableId="2077506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93B"/>
    <w:rsid w:val="00004175"/>
    <w:rsid w:val="000048ED"/>
    <w:rsid w:val="000127DC"/>
    <w:rsid w:val="00014915"/>
    <w:rsid w:val="000151F5"/>
    <w:rsid w:val="000156DD"/>
    <w:rsid w:val="000214F0"/>
    <w:rsid w:val="00021A72"/>
    <w:rsid w:val="000303FB"/>
    <w:rsid w:val="000350D5"/>
    <w:rsid w:val="00041A66"/>
    <w:rsid w:val="00042D88"/>
    <w:rsid w:val="0004657A"/>
    <w:rsid w:val="0005176E"/>
    <w:rsid w:val="00066E23"/>
    <w:rsid w:val="00072C50"/>
    <w:rsid w:val="00075A58"/>
    <w:rsid w:val="000765F7"/>
    <w:rsid w:val="0007725F"/>
    <w:rsid w:val="00077AB7"/>
    <w:rsid w:val="000819FD"/>
    <w:rsid w:val="00081CD8"/>
    <w:rsid w:val="000849F8"/>
    <w:rsid w:val="00090EF3"/>
    <w:rsid w:val="00096C54"/>
    <w:rsid w:val="000970EB"/>
    <w:rsid w:val="000A4F5D"/>
    <w:rsid w:val="000A7F0E"/>
    <w:rsid w:val="000B1C8F"/>
    <w:rsid w:val="000B7CEF"/>
    <w:rsid w:val="000C0D61"/>
    <w:rsid w:val="000D29D8"/>
    <w:rsid w:val="000D6D1F"/>
    <w:rsid w:val="000F2BF8"/>
    <w:rsid w:val="000F3A3F"/>
    <w:rsid w:val="00100BB8"/>
    <w:rsid w:val="00102557"/>
    <w:rsid w:val="00107C14"/>
    <w:rsid w:val="00111FE1"/>
    <w:rsid w:val="00114743"/>
    <w:rsid w:val="00116029"/>
    <w:rsid w:val="00121BB8"/>
    <w:rsid w:val="00125ADD"/>
    <w:rsid w:val="00125C5A"/>
    <w:rsid w:val="00131EFF"/>
    <w:rsid w:val="00140911"/>
    <w:rsid w:val="00147A38"/>
    <w:rsid w:val="00155D5B"/>
    <w:rsid w:val="001607BF"/>
    <w:rsid w:val="00164D56"/>
    <w:rsid w:val="00167B10"/>
    <w:rsid w:val="0017270C"/>
    <w:rsid w:val="0017402F"/>
    <w:rsid w:val="00180B2B"/>
    <w:rsid w:val="00190205"/>
    <w:rsid w:val="00196C1B"/>
    <w:rsid w:val="001A6633"/>
    <w:rsid w:val="001A712E"/>
    <w:rsid w:val="001B0F73"/>
    <w:rsid w:val="001C103F"/>
    <w:rsid w:val="001C2DB7"/>
    <w:rsid w:val="001D0B4C"/>
    <w:rsid w:val="001D14FE"/>
    <w:rsid w:val="001D5A0C"/>
    <w:rsid w:val="001D5C04"/>
    <w:rsid w:val="001D6D7D"/>
    <w:rsid w:val="001F26CF"/>
    <w:rsid w:val="001F353E"/>
    <w:rsid w:val="00206689"/>
    <w:rsid w:val="00213454"/>
    <w:rsid w:val="002153FF"/>
    <w:rsid w:val="00217A05"/>
    <w:rsid w:val="00222A2D"/>
    <w:rsid w:val="00223029"/>
    <w:rsid w:val="002339C6"/>
    <w:rsid w:val="002346A5"/>
    <w:rsid w:val="00234745"/>
    <w:rsid w:val="002351A6"/>
    <w:rsid w:val="00237661"/>
    <w:rsid w:val="002407AF"/>
    <w:rsid w:val="00245501"/>
    <w:rsid w:val="00246993"/>
    <w:rsid w:val="002544A6"/>
    <w:rsid w:val="00254B26"/>
    <w:rsid w:val="0026085B"/>
    <w:rsid w:val="0026221A"/>
    <w:rsid w:val="0027466B"/>
    <w:rsid w:val="002814F6"/>
    <w:rsid w:val="002832A8"/>
    <w:rsid w:val="0028343D"/>
    <w:rsid w:val="002838A5"/>
    <w:rsid w:val="00285BB4"/>
    <w:rsid w:val="002A42ED"/>
    <w:rsid w:val="002A7A0F"/>
    <w:rsid w:val="002C09E3"/>
    <w:rsid w:val="002C6A2C"/>
    <w:rsid w:val="002D1244"/>
    <w:rsid w:val="002D137E"/>
    <w:rsid w:val="002D5170"/>
    <w:rsid w:val="002E3493"/>
    <w:rsid w:val="002E69E1"/>
    <w:rsid w:val="0030207D"/>
    <w:rsid w:val="00304CC2"/>
    <w:rsid w:val="00312992"/>
    <w:rsid w:val="00313A68"/>
    <w:rsid w:val="00313ADD"/>
    <w:rsid w:val="0032563F"/>
    <w:rsid w:val="00337CEB"/>
    <w:rsid w:val="00342D8D"/>
    <w:rsid w:val="00343AC7"/>
    <w:rsid w:val="00344B58"/>
    <w:rsid w:val="0034539A"/>
    <w:rsid w:val="00345CB4"/>
    <w:rsid w:val="00346DFD"/>
    <w:rsid w:val="00361E09"/>
    <w:rsid w:val="00364462"/>
    <w:rsid w:val="00375D42"/>
    <w:rsid w:val="00380868"/>
    <w:rsid w:val="00382918"/>
    <w:rsid w:val="003A1AE8"/>
    <w:rsid w:val="003B0B5F"/>
    <w:rsid w:val="003B1BB0"/>
    <w:rsid w:val="003B4661"/>
    <w:rsid w:val="003B5AA9"/>
    <w:rsid w:val="003B5D78"/>
    <w:rsid w:val="003B5DB6"/>
    <w:rsid w:val="003D069C"/>
    <w:rsid w:val="003D2712"/>
    <w:rsid w:val="003D311F"/>
    <w:rsid w:val="003D7646"/>
    <w:rsid w:val="003E4B4A"/>
    <w:rsid w:val="003E70FA"/>
    <w:rsid w:val="003E7508"/>
    <w:rsid w:val="003F113A"/>
    <w:rsid w:val="003F3E63"/>
    <w:rsid w:val="003F5757"/>
    <w:rsid w:val="003F6C89"/>
    <w:rsid w:val="00407480"/>
    <w:rsid w:val="00414643"/>
    <w:rsid w:val="004313C4"/>
    <w:rsid w:val="00432410"/>
    <w:rsid w:val="004421E5"/>
    <w:rsid w:val="00443ED2"/>
    <w:rsid w:val="00452284"/>
    <w:rsid w:val="00457C8E"/>
    <w:rsid w:val="00461C99"/>
    <w:rsid w:val="0046202E"/>
    <w:rsid w:val="00466E2D"/>
    <w:rsid w:val="004706EE"/>
    <w:rsid w:val="004770AA"/>
    <w:rsid w:val="0047761E"/>
    <w:rsid w:val="00480175"/>
    <w:rsid w:val="0048227D"/>
    <w:rsid w:val="004856CA"/>
    <w:rsid w:val="00487E67"/>
    <w:rsid w:val="004906B7"/>
    <w:rsid w:val="0049705E"/>
    <w:rsid w:val="004A012B"/>
    <w:rsid w:val="004A2875"/>
    <w:rsid w:val="004A34A0"/>
    <w:rsid w:val="004A4EE5"/>
    <w:rsid w:val="004B2C80"/>
    <w:rsid w:val="004B62A5"/>
    <w:rsid w:val="004B64CA"/>
    <w:rsid w:val="004C079A"/>
    <w:rsid w:val="004C4081"/>
    <w:rsid w:val="004C7C82"/>
    <w:rsid w:val="004C7FB0"/>
    <w:rsid w:val="004E56DC"/>
    <w:rsid w:val="004F099A"/>
    <w:rsid w:val="005008A8"/>
    <w:rsid w:val="00506F74"/>
    <w:rsid w:val="005152F2"/>
    <w:rsid w:val="00517FD8"/>
    <w:rsid w:val="00521CAE"/>
    <w:rsid w:val="00526B7B"/>
    <w:rsid w:val="005274D2"/>
    <w:rsid w:val="0052782E"/>
    <w:rsid w:val="005308CE"/>
    <w:rsid w:val="00531B97"/>
    <w:rsid w:val="0053296F"/>
    <w:rsid w:val="0053318C"/>
    <w:rsid w:val="00536E10"/>
    <w:rsid w:val="00540649"/>
    <w:rsid w:val="00544C93"/>
    <w:rsid w:val="0054535F"/>
    <w:rsid w:val="00545634"/>
    <w:rsid w:val="00555102"/>
    <w:rsid w:val="00560E4B"/>
    <w:rsid w:val="00560EA7"/>
    <w:rsid w:val="0057439C"/>
    <w:rsid w:val="005960FA"/>
    <w:rsid w:val="005B0127"/>
    <w:rsid w:val="005B7A35"/>
    <w:rsid w:val="005C1154"/>
    <w:rsid w:val="005C4B73"/>
    <w:rsid w:val="005C60A4"/>
    <w:rsid w:val="005C6A7F"/>
    <w:rsid w:val="005C792B"/>
    <w:rsid w:val="005C7B60"/>
    <w:rsid w:val="005C7C2A"/>
    <w:rsid w:val="005D19E0"/>
    <w:rsid w:val="005D3250"/>
    <w:rsid w:val="005D5BFD"/>
    <w:rsid w:val="005E01CF"/>
    <w:rsid w:val="005E1D2B"/>
    <w:rsid w:val="005E5B92"/>
    <w:rsid w:val="005E7074"/>
    <w:rsid w:val="005F1EB5"/>
    <w:rsid w:val="005F2BAF"/>
    <w:rsid w:val="005F4081"/>
    <w:rsid w:val="00600D93"/>
    <w:rsid w:val="00610A03"/>
    <w:rsid w:val="00622289"/>
    <w:rsid w:val="006237BF"/>
    <w:rsid w:val="00626BEA"/>
    <w:rsid w:val="0063300C"/>
    <w:rsid w:val="00633929"/>
    <w:rsid w:val="006444AF"/>
    <w:rsid w:val="0065064B"/>
    <w:rsid w:val="00651A5B"/>
    <w:rsid w:val="00655736"/>
    <w:rsid w:val="00655AF1"/>
    <w:rsid w:val="006565E6"/>
    <w:rsid w:val="00660C09"/>
    <w:rsid w:val="00663B8D"/>
    <w:rsid w:val="00663E7B"/>
    <w:rsid w:val="00676113"/>
    <w:rsid w:val="00682E91"/>
    <w:rsid w:val="00687401"/>
    <w:rsid w:val="00696C8D"/>
    <w:rsid w:val="006A0816"/>
    <w:rsid w:val="006A2AC2"/>
    <w:rsid w:val="006A3617"/>
    <w:rsid w:val="006A3DFC"/>
    <w:rsid w:val="006A5EFE"/>
    <w:rsid w:val="006B1FA0"/>
    <w:rsid w:val="006B2BF9"/>
    <w:rsid w:val="006B2C90"/>
    <w:rsid w:val="006B4452"/>
    <w:rsid w:val="006B61E6"/>
    <w:rsid w:val="006D5DDC"/>
    <w:rsid w:val="006D60A9"/>
    <w:rsid w:val="006E46E4"/>
    <w:rsid w:val="006E743B"/>
    <w:rsid w:val="006E75EB"/>
    <w:rsid w:val="006F1835"/>
    <w:rsid w:val="006F592C"/>
    <w:rsid w:val="006F6817"/>
    <w:rsid w:val="006F73A0"/>
    <w:rsid w:val="007056A3"/>
    <w:rsid w:val="0070618D"/>
    <w:rsid w:val="00710379"/>
    <w:rsid w:val="00717265"/>
    <w:rsid w:val="00717DA5"/>
    <w:rsid w:val="0072052C"/>
    <w:rsid w:val="00721EAA"/>
    <w:rsid w:val="00725D4A"/>
    <w:rsid w:val="00726B4C"/>
    <w:rsid w:val="007333D0"/>
    <w:rsid w:val="007416BA"/>
    <w:rsid w:val="00744484"/>
    <w:rsid w:val="00747566"/>
    <w:rsid w:val="007477EA"/>
    <w:rsid w:val="007561E1"/>
    <w:rsid w:val="0076272A"/>
    <w:rsid w:val="00764C32"/>
    <w:rsid w:val="00773188"/>
    <w:rsid w:val="00783782"/>
    <w:rsid w:val="00784B8C"/>
    <w:rsid w:val="007879E1"/>
    <w:rsid w:val="00791396"/>
    <w:rsid w:val="007B1A10"/>
    <w:rsid w:val="007B64A1"/>
    <w:rsid w:val="007D572A"/>
    <w:rsid w:val="007E0EE6"/>
    <w:rsid w:val="007E0FE3"/>
    <w:rsid w:val="007E57AA"/>
    <w:rsid w:val="007E5EA4"/>
    <w:rsid w:val="007E6F1F"/>
    <w:rsid w:val="00800934"/>
    <w:rsid w:val="00803060"/>
    <w:rsid w:val="008067C9"/>
    <w:rsid w:val="008107FC"/>
    <w:rsid w:val="008128A0"/>
    <w:rsid w:val="008141E0"/>
    <w:rsid w:val="008231BB"/>
    <w:rsid w:val="00823A11"/>
    <w:rsid w:val="00826C84"/>
    <w:rsid w:val="00841107"/>
    <w:rsid w:val="00845BBD"/>
    <w:rsid w:val="00846BB0"/>
    <w:rsid w:val="00852DB1"/>
    <w:rsid w:val="008533D3"/>
    <w:rsid w:val="0085405E"/>
    <w:rsid w:val="0085414A"/>
    <w:rsid w:val="00857EB9"/>
    <w:rsid w:val="0086269D"/>
    <w:rsid w:val="008628FA"/>
    <w:rsid w:val="00865331"/>
    <w:rsid w:val="0086543A"/>
    <w:rsid w:val="008724E5"/>
    <w:rsid w:val="008727DE"/>
    <w:rsid w:val="008765C9"/>
    <w:rsid w:val="00877F2D"/>
    <w:rsid w:val="00884A9D"/>
    <w:rsid w:val="0088512B"/>
    <w:rsid w:val="00897C26"/>
    <w:rsid w:val="008A19E0"/>
    <w:rsid w:val="008A2B2D"/>
    <w:rsid w:val="008A4E1E"/>
    <w:rsid w:val="008A6458"/>
    <w:rsid w:val="008B1BA5"/>
    <w:rsid w:val="008B4251"/>
    <w:rsid w:val="008B7A26"/>
    <w:rsid w:val="008C296C"/>
    <w:rsid w:val="008D4305"/>
    <w:rsid w:val="008D5868"/>
    <w:rsid w:val="008D6AD6"/>
    <w:rsid w:val="008E0F0A"/>
    <w:rsid w:val="008E1A85"/>
    <w:rsid w:val="008E344F"/>
    <w:rsid w:val="008F3D85"/>
    <w:rsid w:val="00906CD8"/>
    <w:rsid w:val="009113FD"/>
    <w:rsid w:val="009124E3"/>
    <w:rsid w:val="009163A7"/>
    <w:rsid w:val="0092257C"/>
    <w:rsid w:val="00937D53"/>
    <w:rsid w:val="0094086D"/>
    <w:rsid w:val="00943B83"/>
    <w:rsid w:val="00943D78"/>
    <w:rsid w:val="00946D0B"/>
    <w:rsid w:val="00955877"/>
    <w:rsid w:val="00962034"/>
    <w:rsid w:val="009638A0"/>
    <w:rsid w:val="009713C0"/>
    <w:rsid w:val="00974837"/>
    <w:rsid w:val="00974E2B"/>
    <w:rsid w:val="009751C9"/>
    <w:rsid w:val="00977985"/>
    <w:rsid w:val="00986847"/>
    <w:rsid w:val="00991A04"/>
    <w:rsid w:val="009A1679"/>
    <w:rsid w:val="009A18CD"/>
    <w:rsid w:val="009A1E16"/>
    <w:rsid w:val="009A2578"/>
    <w:rsid w:val="009A7392"/>
    <w:rsid w:val="009B2F36"/>
    <w:rsid w:val="009B68BB"/>
    <w:rsid w:val="009C53FC"/>
    <w:rsid w:val="009D5428"/>
    <w:rsid w:val="009E0641"/>
    <w:rsid w:val="009F2E7B"/>
    <w:rsid w:val="009F4889"/>
    <w:rsid w:val="009F6629"/>
    <w:rsid w:val="00A06B4D"/>
    <w:rsid w:val="00A12558"/>
    <w:rsid w:val="00A13903"/>
    <w:rsid w:val="00A1417A"/>
    <w:rsid w:val="00A179BB"/>
    <w:rsid w:val="00A34ED5"/>
    <w:rsid w:val="00A42D4B"/>
    <w:rsid w:val="00A45DBF"/>
    <w:rsid w:val="00A66AB8"/>
    <w:rsid w:val="00A7006C"/>
    <w:rsid w:val="00A725CF"/>
    <w:rsid w:val="00A742B8"/>
    <w:rsid w:val="00A755A2"/>
    <w:rsid w:val="00A75AF9"/>
    <w:rsid w:val="00A91430"/>
    <w:rsid w:val="00A94D5D"/>
    <w:rsid w:val="00AA3B76"/>
    <w:rsid w:val="00AA590D"/>
    <w:rsid w:val="00AA6660"/>
    <w:rsid w:val="00AB1551"/>
    <w:rsid w:val="00AB2C36"/>
    <w:rsid w:val="00AB5A60"/>
    <w:rsid w:val="00AB6DDE"/>
    <w:rsid w:val="00AB70B6"/>
    <w:rsid w:val="00AC18C1"/>
    <w:rsid w:val="00AC4834"/>
    <w:rsid w:val="00AD1A86"/>
    <w:rsid w:val="00AD5C46"/>
    <w:rsid w:val="00AE103E"/>
    <w:rsid w:val="00AE2766"/>
    <w:rsid w:val="00AF0A07"/>
    <w:rsid w:val="00AF49D1"/>
    <w:rsid w:val="00AF4AEC"/>
    <w:rsid w:val="00AF625E"/>
    <w:rsid w:val="00B07A3A"/>
    <w:rsid w:val="00B139BE"/>
    <w:rsid w:val="00B15030"/>
    <w:rsid w:val="00B2172B"/>
    <w:rsid w:val="00B33C5B"/>
    <w:rsid w:val="00B34428"/>
    <w:rsid w:val="00B40976"/>
    <w:rsid w:val="00B43196"/>
    <w:rsid w:val="00B60101"/>
    <w:rsid w:val="00B7171F"/>
    <w:rsid w:val="00B917D2"/>
    <w:rsid w:val="00B935A1"/>
    <w:rsid w:val="00B93674"/>
    <w:rsid w:val="00B95896"/>
    <w:rsid w:val="00B97EB3"/>
    <w:rsid w:val="00BA241A"/>
    <w:rsid w:val="00BB04AF"/>
    <w:rsid w:val="00BB1D1E"/>
    <w:rsid w:val="00BB6EEC"/>
    <w:rsid w:val="00BB6FBC"/>
    <w:rsid w:val="00BB7B43"/>
    <w:rsid w:val="00BC61B3"/>
    <w:rsid w:val="00BD1A60"/>
    <w:rsid w:val="00BD52C9"/>
    <w:rsid w:val="00BD6925"/>
    <w:rsid w:val="00BD77DE"/>
    <w:rsid w:val="00BE6354"/>
    <w:rsid w:val="00BE6E70"/>
    <w:rsid w:val="00BF2B46"/>
    <w:rsid w:val="00BF6A53"/>
    <w:rsid w:val="00C00F88"/>
    <w:rsid w:val="00C138D1"/>
    <w:rsid w:val="00C13C07"/>
    <w:rsid w:val="00C23A97"/>
    <w:rsid w:val="00C52EBE"/>
    <w:rsid w:val="00C54425"/>
    <w:rsid w:val="00C5776D"/>
    <w:rsid w:val="00C64855"/>
    <w:rsid w:val="00C70EA7"/>
    <w:rsid w:val="00C72989"/>
    <w:rsid w:val="00C7433F"/>
    <w:rsid w:val="00C7516E"/>
    <w:rsid w:val="00C75770"/>
    <w:rsid w:val="00C9130A"/>
    <w:rsid w:val="00C920BD"/>
    <w:rsid w:val="00C94D95"/>
    <w:rsid w:val="00C94F28"/>
    <w:rsid w:val="00CA1091"/>
    <w:rsid w:val="00CA53A4"/>
    <w:rsid w:val="00CA56BB"/>
    <w:rsid w:val="00CB0542"/>
    <w:rsid w:val="00CB0D44"/>
    <w:rsid w:val="00CB40FC"/>
    <w:rsid w:val="00CF218E"/>
    <w:rsid w:val="00CF3FAB"/>
    <w:rsid w:val="00CF521E"/>
    <w:rsid w:val="00D00B2B"/>
    <w:rsid w:val="00D045C1"/>
    <w:rsid w:val="00D0554D"/>
    <w:rsid w:val="00D22125"/>
    <w:rsid w:val="00D24653"/>
    <w:rsid w:val="00D24877"/>
    <w:rsid w:val="00D279B1"/>
    <w:rsid w:val="00D31303"/>
    <w:rsid w:val="00D32C4C"/>
    <w:rsid w:val="00D32CE6"/>
    <w:rsid w:val="00D340C6"/>
    <w:rsid w:val="00D379F1"/>
    <w:rsid w:val="00D425CF"/>
    <w:rsid w:val="00D425D5"/>
    <w:rsid w:val="00D42F35"/>
    <w:rsid w:val="00D44771"/>
    <w:rsid w:val="00D50E94"/>
    <w:rsid w:val="00D5161F"/>
    <w:rsid w:val="00D5185C"/>
    <w:rsid w:val="00D54CDA"/>
    <w:rsid w:val="00D63318"/>
    <w:rsid w:val="00D70933"/>
    <w:rsid w:val="00D7105A"/>
    <w:rsid w:val="00D8250F"/>
    <w:rsid w:val="00D86BB3"/>
    <w:rsid w:val="00D95C4C"/>
    <w:rsid w:val="00DA291A"/>
    <w:rsid w:val="00DA36ED"/>
    <w:rsid w:val="00DB3173"/>
    <w:rsid w:val="00DB59A5"/>
    <w:rsid w:val="00DC1C69"/>
    <w:rsid w:val="00DC3BA3"/>
    <w:rsid w:val="00DC49CB"/>
    <w:rsid w:val="00DC5671"/>
    <w:rsid w:val="00DD2062"/>
    <w:rsid w:val="00DD4DEA"/>
    <w:rsid w:val="00DD5744"/>
    <w:rsid w:val="00DE0251"/>
    <w:rsid w:val="00DE34F1"/>
    <w:rsid w:val="00DE6160"/>
    <w:rsid w:val="00DF4287"/>
    <w:rsid w:val="00DF4942"/>
    <w:rsid w:val="00DF5379"/>
    <w:rsid w:val="00E12CDB"/>
    <w:rsid w:val="00E142FD"/>
    <w:rsid w:val="00E17F38"/>
    <w:rsid w:val="00E2125F"/>
    <w:rsid w:val="00E244E1"/>
    <w:rsid w:val="00E301A9"/>
    <w:rsid w:val="00E3706A"/>
    <w:rsid w:val="00E4150C"/>
    <w:rsid w:val="00E41A30"/>
    <w:rsid w:val="00E51A42"/>
    <w:rsid w:val="00E627B1"/>
    <w:rsid w:val="00E6600C"/>
    <w:rsid w:val="00E6674C"/>
    <w:rsid w:val="00E70169"/>
    <w:rsid w:val="00E748D9"/>
    <w:rsid w:val="00E9376C"/>
    <w:rsid w:val="00E95AE2"/>
    <w:rsid w:val="00EA335E"/>
    <w:rsid w:val="00EA528C"/>
    <w:rsid w:val="00EA580C"/>
    <w:rsid w:val="00EC6F8D"/>
    <w:rsid w:val="00ED39B2"/>
    <w:rsid w:val="00ED5C10"/>
    <w:rsid w:val="00ED67EF"/>
    <w:rsid w:val="00EE12FE"/>
    <w:rsid w:val="00EE3046"/>
    <w:rsid w:val="00EE4009"/>
    <w:rsid w:val="00EE49F4"/>
    <w:rsid w:val="00EF34E2"/>
    <w:rsid w:val="00EF5B00"/>
    <w:rsid w:val="00F02F7C"/>
    <w:rsid w:val="00F05275"/>
    <w:rsid w:val="00F07E17"/>
    <w:rsid w:val="00F164B7"/>
    <w:rsid w:val="00F21EFE"/>
    <w:rsid w:val="00F30DC6"/>
    <w:rsid w:val="00F31F96"/>
    <w:rsid w:val="00F32C23"/>
    <w:rsid w:val="00F416F7"/>
    <w:rsid w:val="00F4180D"/>
    <w:rsid w:val="00F448A9"/>
    <w:rsid w:val="00F53DE9"/>
    <w:rsid w:val="00F55B92"/>
    <w:rsid w:val="00F576A4"/>
    <w:rsid w:val="00F576CB"/>
    <w:rsid w:val="00F652E7"/>
    <w:rsid w:val="00F65B75"/>
    <w:rsid w:val="00F662B6"/>
    <w:rsid w:val="00F66B5C"/>
    <w:rsid w:val="00F7035D"/>
    <w:rsid w:val="00F70CC5"/>
    <w:rsid w:val="00F71A02"/>
    <w:rsid w:val="00F940CA"/>
    <w:rsid w:val="00F94F41"/>
    <w:rsid w:val="00F962DC"/>
    <w:rsid w:val="00FA0D63"/>
    <w:rsid w:val="00FA73A1"/>
    <w:rsid w:val="00FB0D1C"/>
    <w:rsid w:val="00FB23AC"/>
    <w:rsid w:val="00FB2939"/>
    <w:rsid w:val="00FB7D3B"/>
    <w:rsid w:val="00FC0753"/>
    <w:rsid w:val="00FC078D"/>
    <w:rsid w:val="00FC4011"/>
    <w:rsid w:val="00FD1226"/>
    <w:rsid w:val="00FD266C"/>
    <w:rsid w:val="00FD4BC8"/>
    <w:rsid w:val="00FF4790"/>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CB0D44"/>
    <w:rPr>
      <w:color w:val="0000FF" w:themeColor="hyperlink"/>
      <w:u w:val="single"/>
    </w:rPr>
  </w:style>
  <w:style w:type="character" w:styleId="FollowedHyperlink">
    <w:name w:val="FollowedHyperlink"/>
    <w:basedOn w:val="DefaultParagraphFont"/>
    <w:uiPriority w:val="99"/>
    <w:semiHidden/>
    <w:unhideWhenUsed/>
    <w:rsid w:val="00CB0D44"/>
    <w:rPr>
      <w:color w:val="800080" w:themeColor="followedHyperlink"/>
      <w:u w:val="single"/>
    </w:rPr>
  </w:style>
  <w:style w:type="character" w:styleId="UnresolvedMention">
    <w:name w:val="Unresolved Mention"/>
    <w:basedOn w:val="DefaultParagraphFont"/>
    <w:uiPriority w:val="99"/>
    <w:semiHidden/>
    <w:unhideWhenUsed/>
    <w:rsid w:val="006D60A9"/>
    <w:rPr>
      <w:color w:val="605E5C"/>
      <w:shd w:val="clear" w:color="auto" w:fill="E1DFDD"/>
    </w:rPr>
  </w:style>
  <w:style w:type="character" w:customStyle="1" w:styleId="ui-provider">
    <w:name w:val="ui-provider"/>
    <w:basedOn w:val="DefaultParagraphFont"/>
    <w:rsid w:val="00342D8D"/>
  </w:style>
  <w:style w:type="table" w:customStyle="1" w:styleId="TableGrid2">
    <w:name w:val="Table Grid2"/>
    <w:basedOn w:val="TableNormal"/>
    <w:next w:val="TableGrid"/>
    <w:uiPriority w:val="59"/>
    <w:rsid w:val="007913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791396"/>
    <w:rPr>
      <w:rFonts w:ascii="Times New Roman" w:eastAsia="Times New Roman" w:hAnsi="Times New Roman"/>
      <w:sz w:val="24"/>
      <w:szCs w:val="24"/>
    </w:rPr>
  </w:style>
  <w:style w:type="paragraph" w:styleId="Revision">
    <w:name w:val="Revision"/>
    <w:hidden/>
    <w:uiPriority w:val="99"/>
    <w:semiHidden/>
    <w:rsid w:val="006F73A0"/>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16029"/>
    <w:rPr>
      <w:sz w:val="16"/>
      <w:szCs w:val="16"/>
    </w:rPr>
  </w:style>
  <w:style w:type="paragraph" w:styleId="CommentText">
    <w:name w:val="annotation text"/>
    <w:basedOn w:val="Normal"/>
    <w:link w:val="CommentTextChar"/>
    <w:uiPriority w:val="99"/>
    <w:unhideWhenUsed/>
    <w:rsid w:val="00116029"/>
    <w:rPr>
      <w:sz w:val="20"/>
      <w:szCs w:val="20"/>
    </w:rPr>
  </w:style>
  <w:style w:type="character" w:customStyle="1" w:styleId="CommentTextChar">
    <w:name w:val="Comment Text Char"/>
    <w:basedOn w:val="DefaultParagraphFont"/>
    <w:link w:val="CommentText"/>
    <w:uiPriority w:val="99"/>
    <w:rsid w:val="001160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16029"/>
    <w:rPr>
      <w:b/>
      <w:bCs/>
    </w:rPr>
  </w:style>
  <w:style w:type="character" w:customStyle="1" w:styleId="CommentSubjectChar">
    <w:name w:val="Comment Subject Char"/>
    <w:basedOn w:val="CommentTextChar"/>
    <w:link w:val="CommentSubject"/>
    <w:uiPriority w:val="99"/>
    <w:semiHidden/>
    <w:rsid w:val="0011602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schedule-of-statutory-meetings-in-2025-01381" TargetMode="External"/><Relationship Id="rId18" Type="http://schemas.openxmlformats.org/officeDocument/2006/relationships/hyperlink" Target="https://ich.unesco.org/en/decisions/19.COM/15" TargetMode="External"/><Relationship Id="rId26" Type="http://schemas.openxmlformats.org/officeDocument/2006/relationships/hyperlink" Target="https://ich.unesco.org/en/Decisions/8.GA/9" TargetMode="External"/><Relationship Id="rId39" Type="http://schemas.openxmlformats.org/officeDocument/2006/relationships/hyperlink" Target="https://www.unesco.org/sites/default/files/medias/fichiers/2024/02/WCCAE_UNESCO%20Framework_EN_0.pdf" TargetMode="External"/><Relationship Id="rId21" Type="http://schemas.openxmlformats.org/officeDocument/2006/relationships/hyperlink" Target="https://ich.unesco.org/doc/src/LHE-26-11.GA-7_EN.docx" TargetMode="External"/><Relationship Id="rId34" Type="http://schemas.openxmlformats.org/officeDocument/2006/relationships/hyperlink" Target="https://capacity-building.ich.unesco.org/local/coursecatalogue/index.php" TargetMode="External"/><Relationship Id="rId42" Type="http://schemas.openxmlformats.org/officeDocument/2006/relationships/hyperlink" Target="https://ich.unesco.org/en/guidance-notes-01383" TargetMode="External"/><Relationship Id="rId47" Type="http://schemas.openxmlformats.org/officeDocument/2006/relationships/hyperlink" Target="https://ich.unesco.org/en/decisions/20.COM/12" TargetMode="External"/><Relationship Id="rId50" Type="http://schemas.openxmlformats.org/officeDocument/2006/relationships/hyperlink" Target="https://ich.unesco.org/en/accredited-ngos" TargetMode="External"/><Relationship Id="rId55" Type="http://schemas.openxmlformats.org/officeDocument/2006/relationships/hyperlink" Target="https://www.unesco.org/sites/default/files/medias/fichiers/2025/09/EN_MONDIACULT_Outcome_Document%20Final%2027.09.25.pdf?hub=171169" TargetMode="External"/><Relationship Id="rId63" Type="http://schemas.openxmlformats.org/officeDocument/2006/relationships/header" Target="header2.xml"/><Relationship Id="rId68" Type="http://schemas.openxmlformats.org/officeDocument/2006/relationships/hyperlink" Target="https://ich.unesco.org/en/committee-documents-and-in-depth-studies-00862"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6-11.GA-9_EN.docx" TargetMode="External"/><Relationship Id="rId29" Type="http://schemas.openxmlformats.org/officeDocument/2006/relationships/hyperlink" Target="https://ich.unesco.org/doc/src/LHE-26-11.GA-7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6-11.GA-INF.8_EN.docx" TargetMode="External"/><Relationship Id="rId24" Type="http://schemas.openxmlformats.org/officeDocument/2006/relationships/hyperlink" Target="https://ich.unesco.org/en/decisions/10.GA/7" TargetMode="External"/><Relationship Id="rId32" Type="http://schemas.openxmlformats.org/officeDocument/2006/relationships/hyperlink" Target="https://ich.unesco.org/doc/src/LHE-26-11.GA-INF.8_EN.docx" TargetMode="External"/><Relationship Id="rId37" Type="http://schemas.openxmlformats.org/officeDocument/2006/relationships/hyperlink" Target="https://ich.unesco.org/en/events/living-heritage-and-education-training-programme-for-the-global-facilitators-network-01038" TargetMode="External"/><Relationship Id="rId40" Type="http://schemas.openxmlformats.org/officeDocument/2006/relationships/hyperlink" Target="https://ich.unesco.org/en/clearinghouse-education" TargetMode="External"/><Relationship Id="rId45" Type="http://schemas.openxmlformats.org/officeDocument/2006/relationships/hyperlink" Target="https://ich.unesco.org/doc/src/72796-EN.pdf?v=1769168252" TargetMode="External"/><Relationship Id="rId53" Type="http://schemas.openxmlformats.org/officeDocument/2006/relationships/hyperlink" Target="https://ich.unesco.org/en/seoul-vision-01330" TargetMode="External"/><Relationship Id="rId58" Type="http://schemas.openxmlformats.org/officeDocument/2006/relationships/hyperlink" Target="https://ich.unesco.org/en/decisions/10.GA/6" TargetMode="External"/><Relationship Id="rId66" Type="http://schemas.openxmlformats.org/officeDocument/2006/relationships/hyperlink" Target="https://ich.unesco.org/doc/src/LHE-21-16.COM-INF.10_Rev.-EN.pdf" TargetMode="External"/><Relationship Id="rId5" Type="http://schemas.openxmlformats.org/officeDocument/2006/relationships/webSettings" Target="webSettings.xml"/><Relationship Id="rId15" Type="http://schemas.openxmlformats.org/officeDocument/2006/relationships/hyperlink" Target="https://ich.unesco.org/doc/src/LHE-26-11.GA-5_EN.docx" TargetMode="External"/><Relationship Id="rId23" Type="http://schemas.openxmlformats.org/officeDocument/2006/relationships/hyperlink" Target="https://ich.unesco.org/doc/src/LHE-25-20.COM-11_EN.docx?v=1762798796" TargetMode="External"/><Relationship Id="rId28" Type="http://schemas.openxmlformats.org/officeDocument/2006/relationships/hyperlink" Target="https://ich.unesco.org/en/decisions/20.COM/6.C" TargetMode="External"/><Relationship Id="rId36" Type="http://schemas.openxmlformats.org/officeDocument/2006/relationships/hyperlink" Target="https://ich.unesco.org/en/events/preparing-nominations-to-the-lists-and-register-of-the-convention-updated-training-materials-following-the-global-reflection-on-the-listing-mechanisms-2018-2022-01036" TargetMode="External"/><Relationship Id="rId49" Type="http://schemas.openxmlformats.org/officeDocument/2006/relationships/hyperlink" Target="https://ich.unesco.org/en/Decisions/14.COM/15" TargetMode="External"/><Relationship Id="rId57" Type="http://schemas.openxmlformats.org/officeDocument/2006/relationships/hyperlink" Target="https://unesdoc.unesco.org/ark:/48223/pf0000395504/PDF/395504eng.pdf.multi" TargetMode="External"/><Relationship Id="rId61" Type="http://schemas.openxmlformats.org/officeDocument/2006/relationships/hyperlink" Target="https://unesdoc.unesco.org/ark:/48223/pf0000398080/PDF/398080eng.pdf.multi" TargetMode="External"/><Relationship Id="rId10" Type="http://schemas.openxmlformats.org/officeDocument/2006/relationships/hyperlink" Target="https://ich.unesco.org/doc/src/LHE-21-16.COM-INF.10_Rev.-EN.pdf" TargetMode="External"/><Relationship Id="rId19" Type="http://schemas.openxmlformats.org/officeDocument/2006/relationships/hyperlink" Target="https://ich.unesco.org/doc/src/LHE-25-20.COM-8_EN.docx?v=1764184365" TargetMode="External"/><Relationship Id="rId31" Type="http://schemas.openxmlformats.org/officeDocument/2006/relationships/hyperlink" Target="https://ich.unesco.org/doc/src/LHE-26-11.GA-8_EN.docx" TargetMode="External"/><Relationship Id="rId44" Type="http://schemas.openxmlformats.org/officeDocument/2006/relationships/hyperlink" Target="https://ich.unesco.org/doc/src/68292-EN.pdf?v=1761922256" TargetMode="External"/><Relationship Id="rId52" Type="http://schemas.openxmlformats.org/officeDocument/2006/relationships/hyperlink" Target="https://ich.unesco.org/en/decisions/20.COM/13" TargetMode="External"/><Relationship Id="rId60" Type="http://schemas.openxmlformats.org/officeDocument/2006/relationships/hyperlink" Target="https://ich.unesco.org/en/decisions/20.COM/6.C" TargetMode="External"/><Relationship Id="rId65" Type="http://schemas.openxmlformats.org/officeDocument/2006/relationships/hyperlink" Target="https://ich.unesco.org/en/events/training-programme-for-the-global-facilitators-network-information-webinar-01031" TargetMode="External"/><Relationship Id="rId4" Type="http://schemas.openxmlformats.org/officeDocument/2006/relationships/settings" Target="settings.xml"/><Relationship Id="rId9" Type="http://schemas.openxmlformats.org/officeDocument/2006/relationships/hyperlink" Target="https://unesdoc.unesco.org/ark:/48223/pf0000397572/PDF/397572eng.pdf.multi" TargetMode="External"/><Relationship Id="rId14" Type="http://schemas.openxmlformats.org/officeDocument/2006/relationships/hyperlink" Target="https://ich.unesco.org/en/decisions/10.GA/7" TargetMode="External"/><Relationship Id="rId22" Type="http://schemas.openxmlformats.org/officeDocument/2006/relationships/hyperlink" Target="https://ich.unesco.org/en/sharing-good-safeguarding-experiences" TargetMode="External"/><Relationship Id="rId27" Type="http://schemas.openxmlformats.org/officeDocument/2006/relationships/hyperlink" Target="https://ich.unesco.org/en/projects/capacity-building-for-safeguarding-intangible-cultural-heritage-in-emergencies-in-small-island-developing-states-sids-in-the-pacific-and-the-caribbean-00478" TargetMode="External"/><Relationship Id="rId30" Type="http://schemas.openxmlformats.org/officeDocument/2006/relationships/hyperlink" Target="https://ich.unesco.org/en/Decisions/17.COM/11" TargetMode="External"/><Relationship Id="rId35" Type="http://schemas.openxmlformats.org/officeDocument/2006/relationships/hyperlink" Target="https://ich.unesco.org/en/events/training-of-trainers-on-living-heritage-and-disaster-risk-reduction-01032" TargetMode="External"/><Relationship Id="rId43" Type="http://schemas.openxmlformats.org/officeDocument/2006/relationships/hyperlink" Target="https://ich.unesco.org/doc/src/68297-EN.pdf?v=1761922360" TargetMode="External"/><Relationship Id="rId48" Type="http://schemas.openxmlformats.org/officeDocument/2006/relationships/hyperlink" Target="https://ich.unesco.org/en/decisions/20.COM/13" TargetMode="External"/><Relationship Id="rId56" Type="http://schemas.openxmlformats.org/officeDocument/2006/relationships/hyperlink" Target="https://unesdoc.unesco.org/ark:/48223/pf0000392982/PDF/392982eng.pdf.multi" TargetMode="External"/><Relationship Id="rId64" Type="http://schemas.openxmlformats.org/officeDocument/2006/relationships/header" Target="header3.xml"/><Relationship Id="rId69" Type="http://schemas.openxmlformats.org/officeDocument/2006/relationships/hyperlink" Target="https://ich.unesco.org/en/decisions/17.COM/11" TargetMode="External"/><Relationship Id="rId8" Type="http://schemas.openxmlformats.org/officeDocument/2006/relationships/hyperlink" Target="https://ich.unesco.org/en/decisions/10.GA/6" TargetMode="External"/><Relationship Id="rId51" Type="http://schemas.openxmlformats.org/officeDocument/2006/relationships/hyperlink" Target="https://ich.unesco.org/en/international-day-intangible-cultural-heritag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en/schedule-of-statutory-meetings-in-2024-01334" TargetMode="External"/><Relationship Id="rId17" Type="http://schemas.openxmlformats.org/officeDocument/2006/relationships/hyperlink" Target="https://ich.unesco.org/en/decisions/17.COM/15" TargetMode="External"/><Relationship Id="rId25" Type="http://schemas.openxmlformats.org/officeDocument/2006/relationships/hyperlink" Target="https://ich.unesco.org/doc/src/LHE-25-20.COM-8_EN.docx?v=1764184365" TargetMode="External"/><Relationship Id="rId33" Type="http://schemas.openxmlformats.org/officeDocument/2006/relationships/hyperlink" Target="https://ich.unesco.org/doc/src/LHE-25-20.COM-INF.13.1_EN.docx?v=1764354790" TargetMode="External"/><Relationship Id="rId38" Type="http://schemas.openxmlformats.org/officeDocument/2006/relationships/hyperlink" Target="https://ich.unesco.org/doc/src/LHE-25-20.COM-INF.13.2_EN.docx?v=1764354075" TargetMode="External"/><Relationship Id="rId46" Type="http://schemas.openxmlformats.org/officeDocument/2006/relationships/hyperlink" Target="https://ich.unesco.org/doc/src/LHE-25-20.COM-12_EN.docx?v=1762807751" TargetMode="External"/><Relationship Id="rId59" Type="http://schemas.openxmlformats.org/officeDocument/2006/relationships/hyperlink" Target="https://ich.unesco.org/en/decisions/19.COM/15" TargetMode="External"/><Relationship Id="rId67" Type="http://schemas.openxmlformats.org/officeDocument/2006/relationships/hyperlink" Target="https://ich.unesco.org/en/decisions/20.COM/13" TargetMode="External"/><Relationship Id="rId20" Type="http://schemas.openxmlformats.org/officeDocument/2006/relationships/hyperlink" Target="https://ich.unesco.org/en/decisions/20.COM/8" TargetMode="External"/><Relationship Id="rId41" Type="http://schemas.openxmlformats.org/officeDocument/2006/relationships/hyperlink" Target="https://ich.unesco.org/en/learning-platform-01397" TargetMode="External"/><Relationship Id="rId54" Type="http://schemas.openxmlformats.org/officeDocument/2006/relationships/hyperlink" Target="https://www.unesco.org/sites/default/files/medias/fichiers/2022/10/6.MONDIACULT_EN_DRAFT%20FINAL%20DECLARATION_FINAL_1.pdf?hub=758" TargetMode="External"/><Relationship Id="rId62" Type="http://schemas.openxmlformats.org/officeDocument/2006/relationships/header" Target="header1.xml"/><Relationship Id="rId70" Type="http://schemas.openxmlformats.org/officeDocument/2006/relationships/hyperlink" Target="https://www.edx.org/course/living-heritage-and-sustainable-develop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16.COM/10" TargetMode="External"/><Relationship Id="rId2" Type="http://schemas.openxmlformats.org/officeDocument/2006/relationships/hyperlink" Target="https://ich.unesco.org/doc/src/LHE-21-16.COM-INF.10_Rev.-EN.pdf" TargetMode="External"/><Relationship Id="rId1" Type="http://schemas.openxmlformats.org/officeDocument/2006/relationships/hyperlink" Target="https://ich.unesco.org/doc/src/LHE-21-16.COM-10_Rev.-EN.docx" TargetMode="External"/><Relationship Id="rId4" Type="http://schemas.openxmlformats.org/officeDocument/2006/relationships/hyperlink" Target="https://ich.unesco.org/doc/src/LHE-21-16.COM-INF.10_Rev.-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7393</Words>
  <Characters>40663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2026-05-18T20:22:00Z</dcterms:created>
  <dcterms:modified xsi:type="dcterms:W3CDTF">2026-05-18T21:09:00Z</dcterms:modified>
</cp:coreProperties>
</file>