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44A6" w14:textId="77777777" w:rsidR="00FA0605" w:rsidRPr="00EA4CB6" w:rsidRDefault="00FA0605" w:rsidP="00FA0605">
      <w:pPr>
        <w:bidi/>
        <w:spacing w:before="1440"/>
        <w:jc w:val="center"/>
        <w:rPr>
          <w:rFonts w:ascii="Arial" w:hAnsi="Arial" w:cs="Arial"/>
          <w:b/>
          <w:sz w:val="22"/>
          <w:szCs w:val="22"/>
          <w:rtl/>
        </w:rPr>
      </w:pPr>
      <w:r w:rsidRPr="00EA4CB6">
        <w:rPr>
          <w:rFonts w:ascii="Arial" w:hAnsi="Arial" w:hint="cs"/>
          <w:b/>
          <w:bCs/>
          <w:sz w:val="22"/>
          <w:szCs w:val="22"/>
          <w:rtl/>
          <w:lang w:val="en-GB" w:eastAsia="ar-EG" w:bidi="ar-SA"/>
        </w:rPr>
        <w:t>اتفاقية صون التراث الثقافي غير المادي</w:t>
      </w:r>
    </w:p>
    <w:p w14:paraId="3BE68E5D" w14:textId="77777777" w:rsidR="00FA0605" w:rsidRPr="00EA4CB6" w:rsidRDefault="00FA0605" w:rsidP="00FA0605">
      <w:pPr>
        <w:bidi/>
        <w:spacing w:before="1200"/>
        <w:jc w:val="center"/>
        <w:rPr>
          <w:rFonts w:ascii="Arial" w:hAnsi="Arial" w:cs="Arial"/>
          <w:b/>
          <w:sz w:val="22"/>
          <w:szCs w:val="22"/>
          <w:rtl/>
        </w:rPr>
      </w:pPr>
      <w:r w:rsidRPr="00EA4CB6">
        <w:rPr>
          <w:rFonts w:ascii="Arial" w:hAnsi="Arial" w:hint="cs"/>
          <w:b/>
          <w:bCs/>
          <w:sz w:val="22"/>
          <w:szCs w:val="22"/>
          <w:rtl/>
          <w:lang w:val="en-GB" w:eastAsia="ar-EG" w:bidi="ar-SA"/>
        </w:rPr>
        <w:t>الجمعية العامة للدول الأطراف في الاتفاقية</w:t>
      </w:r>
    </w:p>
    <w:p w14:paraId="497B3E67" w14:textId="1B59CE76" w:rsidR="00144EAB" w:rsidRPr="00EA4CB6" w:rsidRDefault="00FA0605" w:rsidP="00144EAB">
      <w:pPr>
        <w:bidi/>
        <w:spacing w:before="840"/>
        <w:jc w:val="center"/>
        <w:rPr>
          <w:rFonts w:ascii="Arial" w:hAnsi="Arial"/>
          <w:b/>
          <w:bCs/>
          <w:sz w:val="22"/>
          <w:szCs w:val="22"/>
        </w:rPr>
      </w:pPr>
      <w:r w:rsidRPr="00EA4CB6">
        <w:rPr>
          <w:rFonts w:ascii="Arial" w:hAnsi="Arial" w:hint="cs"/>
          <w:b/>
          <w:bCs/>
          <w:sz w:val="22"/>
          <w:szCs w:val="22"/>
          <w:rtl/>
          <w:lang w:val="en-GB" w:eastAsia="ar-EG" w:bidi="ar-SA"/>
        </w:rPr>
        <w:t xml:space="preserve">الدورة </w:t>
      </w:r>
      <w:r w:rsidR="00144EAB" w:rsidRPr="00EA4CB6">
        <w:rPr>
          <w:rFonts w:ascii="Arial" w:hAnsi="Arial"/>
          <w:b/>
          <w:bCs/>
          <w:sz w:val="22"/>
          <w:szCs w:val="22"/>
          <w:rtl/>
          <w:lang w:val="ar-SA" w:eastAsia="ar-SA" w:bidi="ar-SA"/>
        </w:rPr>
        <w:t>الحادية عشرة</w:t>
      </w:r>
    </w:p>
    <w:p w14:paraId="1DF335EA" w14:textId="77777777" w:rsidR="00FA0605" w:rsidRPr="00EA4CB6" w:rsidRDefault="00FA0605" w:rsidP="00FA0605">
      <w:pPr>
        <w:bidi/>
        <w:jc w:val="center"/>
        <w:rPr>
          <w:rFonts w:ascii="Arial" w:hAnsi="Arial" w:cs="Arial"/>
          <w:b/>
          <w:sz w:val="22"/>
          <w:szCs w:val="22"/>
          <w:rtl/>
        </w:rPr>
      </w:pPr>
      <w:r w:rsidRPr="00EA4CB6">
        <w:rPr>
          <w:rFonts w:ascii="Arial" w:hAnsi="Arial" w:hint="cs"/>
          <w:b/>
          <w:bCs/>
          <w:sz w:val="22"/>
          <w:szCs w:val="22"/>
          <w:rtl/>
          <w:lang w:val="en-GB" w:eastAsia="ar-EG" w:bidi="ar-SA"/>
        </w:rPr>
        <w:t>مقر اليونسكو، القاعة 1</w:t>
      </w:r>
    </w:p>
    <w:p w14:paraId="16680184" w14:textId="4ED8790B" w:rsidR="00FA0605" w:rsidRPr="00D01D94" w:rsidRDefault="00C42179" w:rsidP="00FA0605">
      <w:pPr>
        <w:bidi/>
        <w:jc w:val="center"/>
        <w:rPr>
          <w:rFonts w:ascii="Arial" w:hAnsi="Arial" w:cs="Arial"/>
          <w:b/>
          <w:sz w:val="22"/>
          <w:szCs w:val="22"/>
          <w:lang w:val="en-GB"/>
        </w:rPr>
      </w:pPr>
      <w:r>
        <w:rPr>
          <w:rFonts w:ascii="Arial" w:hAnsi="Arial"/>
          <w:b/>
          <w:bCs/>
          <w:sz w:val="22"/>
          <w:szCs w:val="22"/>
          <w:lang w:val="en-GB" w:eastAsia="ar-EG" w:bidi="ar-SA"/>
        </w:rPr>
        <w:t xml:space="preserve"> </w:t>
      </w:r>
      <w:r w:rsidR="00144EAB" w:rsidRPr="00EA4CB6">
        <w:rPr>
          <w:rFonts w:ascii="Arial" w:hAnsi="Arial"/>
          <w:b/>
          <w:bCs/>
          <w:sz w:val="22"/>
          <w:szCs w:val="22"/>
          <w:lang w:val="en-GB" w:eastAsia="ar-EG" w:bidi="ar-SA"/>
        </w:rPr>
        <w:t>17</w:t>
      </w:r>
      <w:r w:rsidR="00FA0605" w:rsidRPr="00EA4CB6">
        <w:rPr>
          <w:rFonts w:ascii="Arial" w:hAnsi="Arial" w:hint="cs"/>
          <w:b/>
          <w:bCs/>
          <w:sz w:val="22"/>
          <w:szCs w:val="22"/>
          <w:rtl/>
          <w:lang w:val="en-GB" w:eastAsia="ar-EG" w:bidi="ar-SA"/>
        </w:rPr>
        <w:t xml:space="preserve">إلى </w:t>
      </w:r>
      <w:r w:rsidR="00144EAB" w:rsidRPr="00EA4CB6">
        <w:rPr>
          <w:rFonts w:ascii="Arial" w:hAnsi="Arial"/>
          <w:b/>
          <w:bCs/>
          <w:sz w:val="22"/>
          <w:szCs w:val="22"/>
          <w:lang w:val="en-GB" w:eastAsia="ar-EG" w:bidi="ar-SA"/>
        </w:rPr>
        <w:t xml:space="preserve"> 18</w:t>
      </w:r>
      <w:r w:rsidR="00FA0605" w:rsidRPr="00EA4CB6">
        <w:rPr>
          <w:rFonts w:ascii="Arial" w:hAnsi="Arial" w:hint="cs"/>
          <w:b/>
          <w:bCs/>
          <w:sz w:val="22"/>
          <w:szCs w:val="22"/>
          <w:rtl/>
          <w:lang w:val="en-GB" w:eastAsia="ar-EG" w:bidi="ar-SA"/>
        </w:rPr>
        <w:t xml:space="preserve">حزيران/يونيو </w:t>
      </w:r>
      <w:r w:rsidR="00FA0605" w:rsidRPr="00EA4CB6">
        <w:rPr>
          <w:rFonts w:ascii="Arial" w:hAnsi="Arial"/>
          <w:b/>
          <w:bCs/>
          <w:sz w:val="22"/>
          <w:szCs w:val="22"/>
          <w:lang w:val="en-GB" w:eastAsia="ar-EG" w:bidi="ar-SA"/>
        </w:rPr>
        <w:t>2026</w:t>
      </w:r>
    </w:p>
    <w:p w14:paraId="2F0EDE93" w14:textId="5549067B" w:rsidR="00FA0605" w:rsidRPr="00EA4CB6" w:rsidRDefault="00FA0605" w:rsidP="00FA0605">
      <w:pPr>
        <w:pStyle w:val="Sansinterligne2"/>
        <w:bidi/>
        <w:spacing w:before="1200"/>
        <w:jc w:val="center"/>
        <w:rPr>
          <w:rFonts w:ascii="Arial" w:hAnsi="Arial" w:cs="Arial"/>
          <w:b/>
          <w:sz w:val="22"/>
          <w:szCs w:val="22"/>
          <w:rtl/>
        </w:rPr>
      </w:pPr>
      <w:r w:rsidRPr="00EA4CB6">
        <w:rPr>
          <w:rFonts w:ascii="Arial" w:hAnsi="Arial" w:hint="cs"/>
          <w:b/>
          <w:bCs/>
          <w:sz w:val="22"/>
          <w:szCs w:val="22"/>
          <w:u w:val="single"/>
          <w:rtl/>
          <w:lang w:val="en-GB" w:eastAsia="ar-EG" w:bidi="ar-SA"/>
        </w:rPr>
        <w:t xml:space="preserve">البند </w:t>
      </w:r>
      <w:r w:rsidR="0062777D" w:rsidRPr="00EA4CB6">
        <w:rPr>
          <w:rFonts w:ascii="Arial" w:hAnsi="Arial"/>
          <w:b/>
          <w:bCs/>
          <w:sz w:val="22"/>
          <w:szCs w:val="22"/>
          <w:u w:val="single"/>
          <w:lang w:val="en-GB" w:eastAsia="ar-EG" w:bidi="ar-SA"/>
        </w:rPr>
        <w:t>6</w:t>
      </w:r>
      <w:r w:rsidRPr="00EA4CB6">
        <w:rPr>
          <w:rFonts w:ascii="Arial" w:hAnsi="Arial" w:hint="cs"/>
          <w:b/>
          <w:bCs/>
          <w:sz w:val="22"/>
          <w:szCs w:val="22"/>
          <w:u w:val="single"/>
          <w:rtl/>
          <w:lang w:val="en-GB" w:eastAsia="ar-EG" w:bidi="ar-SA"/>
        </w:rPr>
        <w:t xml:space="preserve"> من جدول الأعمال المؤقت</w:t>
      </w:r>
      <w:r w:rsidRPr="00EA4CB6">
        <w:rPr>
          <w:rFonts w:ascii="Arial" w:hAnsi="Arial" w:hint="cs"/>
          <w:b/>
          <w:bCs/>
          <w:sz w:val="22"/>
          <w:szCs w:val="22"/>
          <w:rtl/>
          <w:lang w:val="en-GB" w:eastAsia="ar-EG" w:bidi="ar-SA"/>
        </w:rPr>
        <w:t>:</w:t>
      </w:r>
    </w:p>
    <w:p w14:paraId="687D7B07" w14:textId="0DAAFE5C" w:rsidR="00FA0605" w:rsidRPr="00EA4CB6" w:rsidRDefault="0062777D" w:rsidP="00FA0605">
      <w:pPr>
        <w:pStyle w:val="Sansinterligne2"/>
        <w:bidi/>
        <w:spacing w:after="960"/>
        <w:jc w:val="center"/>
        <w:rPr>
          <w:rFonts w:ascii="Arial" w:hAnsi="Arial" w:cs="Arial"/>
          <w:bCs/>
          <w:sz w:val="22"/>
          <w:szCs w:val="22"/>
          <w:rtl/>
        </w:rPr>
      </w:pPr>
      <w:r w:rsidRPr="00EA4CB6">
        <w:rPr>
          <w:rFonts w:ascii="Arial" w:eastAsia="Arial" w:hAnsi="Arial" w:cs="Arial"/>
          <w:b/>
          <w:bCs/>
          <w:sz w:val="22"/>
          <w:szCs w:val="22"/>
          <w:rtl/>
          <w:lang w:eastAsia="ar"/>
        </w:rPr>
        <w:t>تقرير الأمانة عن أنشطتها (</w:t>
      </w:r>
      <w:r w:rsidR="00F21A7B" w:rsidRPr="00D01D94">
        <w:rPr>
          <w:rFonts w:ascii="Arial" w:eastAsia="Arial" w:hAnsi="Arial" w:cs="Arial" w:hint="eastAsia"/>
          <w:b/>
          <w:bCs/>
          <w:sz w:val="22"/>
          <w:szCs w:val="22"/>
          <w:rtl/>
          <w:lang w:eastAsia="ar"/>
        </w:rPr>
        <w:t>كانون</w:t>
      </w:r>
      <w:r w:rsidR="00F21A7B" w:rsidRPr="00D01D94">
        <w:rPr>
          <w:rFonts w:ascii="Arial" w:eastAsia="Arial" w:hAnsi="Arial" w:cs="Arial"/>
          <w:b/>
          <w:bCs/>
          <w:sz w:val="22"/>
          <w:szCs w:val="22"/>
          <w:rtl/>
          <w:lang w:eastAsia="ar"/>
        </w:rPr>
        <w:t xml:space="preserve"> الثاني/يناير</w:t>
      </w:r>
      <w:r w:rsidRPr="00EA4CB6">
        <w:rPr>
          <w:rFonts w:ascii="Arial" w:eastAsia="Arial" w:hAnsi="Arial" w:cs="Arial"/>
          <w:b/>
          <w:bCs/>
          <w:sz w:val="22"/>
          <w:szCs w:val="22"/>
          <w:rtl/>
          <w:lang w:eastAsia="ar"/>
        </w:rPr>
        <w:t xml:space="preserve"> 2024 إلى </w:t>
      </w:r>
      <w:r w:rsidR="00F21A7B" w:rsidRPr="00D01D94">
        <w:rPr>
          <w:rFonts w:ascii="Arial" w:eastAsia="Arial" w:hAnsi="Arial" w:cs="Arial" w:hint="eastAsia"/>
          <w:b/>
          <w:bCs/>
          <w:sz w:val="22"/>
          <w:szCs w:val="22"/>
          <w:rtl/>
          <w:lang w:eastAsia="ar"/>
        </w:rPr>
        <w:t>كانون</w:t>
      </w:r>
      <w:r w:rsidR="00F21A7B" w:rsidRPr="00D01D94">
        <w:rPr>
          <w:rFonts w:ascii="Arial" w:eastAsia="Arial" w:hAnsi="Arial" w:cs="Arial"/>
          <w:b/>
          <w:bCs/>
          <w:sz w:val="22"/>
          <w:szCs w:val="22"/>
          <w:rtl/>
          <w:lang w:eastAsia="ar"/>
        </w:rPr>
        <w:t xml:space="preserve"> الأول/ديسمبر</w:t>
      </w:r>
      <w:r w:rsidRPr="00EA4CB6">
        <w:rPr>
          <w:rFonts w:ascii="Arial" w:eastAsia="Arial" w:hAnsi="Arial" w:cs="Arial"/>
          <w:b/>
          <w:bCs/>
          <w:sz w:val="22"/>
          <w:szCs w:val="22"/>
          <w:rtl/>
          <w:lang w:eastAsia="ar"/>
        </w:rPr>
        <w:t xml:space="preserve"> 2025)</w:t>
      </w:r>
    </w:p>
    <w:tbl>
      <w:tblPr>
        <w:bidiVisual/>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FA0605" w:rsidRPr="00EA4CB6" w14:paraId="0E90893F" w14:textId="77777777" w:rsidTr="006F0AF9">
        <w:trPr>
          <w:jc w:val="center"/>
        </w:trPr>
        <w:tc>
          <w:tcPr>
            <w:tcW w:w="5670" w:type="dxa"/>
            <w:vAlign w:val="center"/>
          </w:tcPr>
          <w:p w14:paraId="30E59C47" w14:textId="77777777" w:rsidR="00FA0605" w:rsidRPr="00D01D94" w:rsidRDefault="00FA0605" w:rsidP="006F0AF9">
            <w:pPr>
              <w:pStyle w:val="Sansinterligne1"/>
              <w:bidi/>
              <w:spacing w:before="200" w:after="200"/>
              <w:jc w:val="center"/>
              <w:rPr>
                <w:rFonts w:ascii="Arial" w:eastAsia="Arial" w:hAnsi="Arial" w:cs="Arial"/>
                <w:b/>
                <w:bCs/>
                <w:sz w:val="22"/>
                <w:szCs w:val="22"/>
                <w:rtl/>
                <w:lang w:eastAsia="ar"/>
              </w:rPr>
            </w:pPr>
            <w:r w:rsidRPr="00D01D94">
              <w:rPr>
                <w:rFonts w:ascii="Arial" w:eastAsia="Arial" w:hAnsi="Arial" w:cs="Arial" w:hint="eastAsia"/>
                <w:b/>
                <w:bCs/>
                <w:sz w:val="22"/>
                <w:szCs w:val="22"/>
                <w:rtl/>
                <w:lang w:eastAsia="ar"/>
              </w:rPr>
              <w:t>الملخص</w:t>
            </w:r>
          </w:p>
          <w:p w14:paraId="333E0A15" w14:textId="5AE43B69" w:rsidR="0062777D" w:rsidRPr="00D01D94" w:rsidRDefault="0062777D" w:rsidP="006F0AF9">
            <w:pPr>
              <w:pStyle w:val="Sansinterligne2"/>
              <w:bidi/>
              <w:spacing w:before="200" w:after="200"/>
              <w:jc w:val="both"/>
              <w:rPr>
                <w:rFonts w:ascii="Arial" w:eastAsia="Arial" w:hAnsi="Arial" w:cs="Arial"/>
                <w:sz w:val="22"/>
                <w:szCs w:val="22"/>
                <w:lang w:eastAsia="ar"/>
              </w:rPr>
            </w:pPr>
            <w:r w:rsidRPr="00EA4CB6">
              <w:rPr>
                <w:rFonts w:ascii="Arial" w:eastAsia="Arial" w:hAnsi="Arial" w:cs="Arial"/>
                <w:sz w:val="22"/>
                <w:szCs w:val="22"/>
                <w:rtl/>
                <w:lang w:eastAsia="ar"/>
              </w:rPr>
              <w:t xml:space="preserve">تقدم هذه الوثيقة لمحة عامة عن الأنشطة التي اضطلعت بها أمانة اتفاقية عام 2003 في الفترة من 1 </w:t>
            </w:r>
            <w:r w:rsidR="000D2B72" w:rsidRPr="00D01D94">
              <w:rPr>
                <w:rFonts w:ascii="Arial" w:eastAsia="Arial" w:hAnsi="Arial" w:cs="Arial" w:hint="eastAsia"/>
                <w:sz w:val="22"/>
                <w:szCs w:val="22"/>
                <w:rtl/>
                <w:lang w:eastAsia="ar"/>
              </w:rPr>
              <w:t>كانون</w:t>
            </w:r>
            <w:r w:rsidR="000D2B72" w:rsidRPr="00D01D94">
              <w:rPr>
                <w:rFonts w:ascii="Arial" w:eastAsia="Arial" w:hAnsi="Arial" w:cs="Arial"/>
                <w:sz w:val="22"/>
                <w:szCs w:val="22"/>
                <w:rtl/>
                <w:lang w:eastAsia="ar"/>
              </w:rPr>
              <w:t xml:space="preserve"> الثاني/يناير</w:t>
            </w:r>
            <w:r w:rsidRPr="00EA4CB6">
              <w:rPr>
                <w:rFonts w:ascii="Arial" w:eastAsia="Arial" w:hAnsi="Arial" w:cs="Arial"/>
                <w:sz w:val="22"/>
                <w:szCs w:val="22"/>
                <w:rtl/>
                <w:lang w:eastAsia="ar"/>
              </w:rPr>
              <w:t xml:space="preserve"> 2024 إلى 31 </w:t>
            </w:r>
            <w:r w:rsidR="000D2B72" w:rsidRPr="00D01D94">
              <w:rPr>
                <w:rFonts w:ascii="Arial" w:eastAsia="Arial" w:hAnsi="Arial" w:cs="Arial" w:hint="eastAsia"/>
                <w:sz w:val="22"/>
                <w:szCs w:val="22"/>
                <w:rtl/>
                <w:lang w:eastAsia="ar"/>
              </w:rPr>
              <w:t>كانون</w:t>
            </w:r>
            <w:r w:rsidR="000D2B72" w:rsidRPr="00D01D94">
              <w:rPr>
                <w:rFonts w:ascii="Arial" w:eastAsia="Arial" w:hAnsi="Arial" w:cs="Arial"/>
                <w:sz w:val="22"/>
                <w:szCs w:val="22"/>
                <w:rtl/>
                <w:lang w:eastAsia="ar"/>
              </w:rPr>
              <w:t xml:space="preserve"> الأول/ديسمبر </w:t>
            </w:r>
            <w:r w:rsidRPr="00EA4CB6">
              <w:rPr>
                <w:rFonts w:ascii="Arial" w:eastAsia="Arial" w:hAnsi="Arial" w:cs="Arial"/>
                <w:sz w:val="22"/>
                <w:szCs w:val="22"/>
                <w:rtl/>
                <w:lang w:eastAsia="ar"/>
              </w:rPr>
              <w:t>2025.</w:t>
            </w:r>
          </w:p>
          <w:p w14:paraId="38CC3EC3" w14:textId="34D03996" w:rsidR="00FA0605" w:rsidRPr="00D01D94" w:rsidRDefault="00FA0605" w:rsidP="0062777D">
            <w:pPr>
              <w:pStyle w:val="Sansinterligne2"/>
              <w:bidi/>
              <w:spacing w:before="200" w:after="200"/>
              <w:jc w:val="both"/>
              <w:rPr>
                <w:rFonts w:ascii="Arial" w:eastAsia="Arial" w:hAnsi="Arial" w:cs="Arial"/>
                <w:sz w:val="22"/>
                <w:szCs w:val="22"/>
                <w:rtl/>
                <w:lang w:eastAsia="ar"/>
              </w:rPr>
            </w:pPr>
            <w:r w:rsidRPr="00D01D94">
              <w:rPr>
                <w:rFonts w:ascii="Arial" w:eastAsia="Arial" w:hAnsi="Arial" w:cs="Arial" w:hint="eastAsia"/>
                <w:b/>
                <w:bCs/>
                <w:sz w:val="22"/>
                <w:szCs w:val="22"/>
                <w:rtl/>
                <w:lang w:eastAsia="ar"/>
              </w:rPr>
              <w:t>القرار</w:t>
            </w:r>
            <w:r w:rsidRPr="00D01D94">
              <w:rPr>
                <w:rFonts w:ascii="Arial" w:eastAsia="Arial" w:hAnsi="Arial" w:cs="Arial"/>
                <w:b/>
                <w:bCs/>
                <w:sz w:val="22"/>
                <w:szCs w:val="22"/>
                <w:rtl/>
                <w:lang w:eastAsia="ar"/>
              </w:rPr>
              <w:t xml:space="preserve"> المطلوب</w:t>
            </w:r>
            <w:r w:rsidRPr="00D01D94">
              <w:rPr>
                <w:rFonts w:ascii="Arial" w:eastAsia="Arial" w:hAnsi="Arial" w:cs="Arial"/>
                <w:sz w:val="22"/>
                <w:szCs w:val="22"/>
                <w:rtl/>
                <w:lang w:eastAsia="ar"/>
              </w:rPr>
              <w:t xml:space="preserve">: </w:t>
            </w:r>
            <w:r w:rsidRPr="00D01D94">
              <w:rPr>
                <w:rFonts w:ascii="Arial" w:eastAsia="Arial" w:hAnsi="Arial" w:cs="Arial" w:hint="eastAsia"/>
                <w:sz w:val="22"/>
                <w:szCs w:val="22"/>
                <w:rtl/>
                <w:lang w:eastAsia="ar"/>
              </w:rPr>
              <w:t>الفقرة</w:t>
            </w:r>
            <w:r w:rsidRPr="00D01D94">
              <w:rPr>
                <w:rFonts w:ascii="Arial" w:eastAsia="Arial" w:hAnsi="Arial" w:cs="Arial"/>
                <w:sz w:val="22"/>
                <w:szCs w:val="22"/>
                <w:rtl/>
                <w:lang w:eastAsia="ar"/>
              </w:rPr>
              <w:t xml:space="preserve"> </w:t>
            </w:r>
            <w:r w:rsidR="0062777D" w:rsidRPr="00D01D94">
              <w:rPr>
                <w:rFonts w:ascii="Arial" w:eastAsia="Arial" w:hAnsi="Arial" w:cs="Arial"/>
                <w:sz w:val="22"/>
                <w:szCs w:val="22"/>
                <w:lang w:eastAsia="ar"/>
              </w:rPr>
              <w:t>20</w:t>
            </w:r>
          </w:p>
        </w:tc>
      </w:tr>
    </w:tbl>
    <w:p w14:paraId="59EDF786" w14:textId="77777777" w:rsidR="00FA0605" w:rsidRPr="00EA4CB6" w:rsidRDefault="00FA0605" w:rsidP="00FA0605">
      <w:pPr>
        <w:pStyle w:val="ListParagraph"/>
        <w:keepLines/>
        <w:numPr>
          <w:ilvl w:val="0"/>
          <w:numId w:val="3"/>
        </w:numPr>
        <w:bidi/>
        <w:spacing w:after="240"/>
        <w:ind w:left="567" w:hanging="567"/>
        <w:contextualSpacing w:val="0"/>
        <w:rPr>
          <w:rFonts w:ascii="Arial" w:hAnsi="Arial" w:cs="Arial"/>
          <w:b/>
          <w:snapToGrid w:val="0"/>
          <w:sz w:val="22"/>
          <w:szCs w:val="22"/>
          <w:rtl/>
        </w:rPr>
      </w:pPr>
      <w:r w:rsidRPr="00EA4CB6">
        <w:rPr>
          <w:rFonts w:hint="cs"/>
          <w:rtl/>
          <w:lang w:eastAsia="ar"/>
        </w:rPr>
        <w:br w:type="page"/>
      </w:r>
    </w:p>
    <w:p w14:paraId="193DAE04" w14:textId="00C807FC" w:rsidR="00FA0605" w:rsidRPr="00EA4CB6" w:rsidRDefault="000D2B72" w:rsidP="00FA0605">
      <w:pPr>
        <w:pStyle w:val="COMPara"/>
        <w:numPr>
          <w:ilvl w:val="0"/>
          <w:numId w:val="0"/>
        </w:numPr>
        <w:bidi/>
        <w:spacing w:before="240"/>
        <w:jc w:val="both"/>
        <w:rPr>
          <w:b/>
          <w:bCs/>
          <w:rtl/>
        </w:rPr>
      </w:pPr>
      <w:bookmarkStart w:id="0" w:name="_Hlk124351255"/>
      <w:r>
        <w:rPr>
          <w:rFonts w:hint="cs"/>
          <w:b/>
          <w:bCs/>
          <w:rtl/>
        </w:rPr>
        <w:lastRenderedPageBreak/>
        <w:t>الخلفية</w:t>
      </w:r>
      <w:r w:rsidRPr="00EA4CB6" w:rsidDel="000D2B72">
        <w:rPr>
          <w:rFonts w:hint="cs"/>
          <w:b/>
          <w:bCs/>
          <w:rtl/>
          <w:lang w:bidi="ar-SA"/>
        </w:rPr>
        <w:t xml:space="preserve"> </w:t>
      </w:r>
    </w:p>
    <w:bookmarkEnd w:id="0"/>
    <w:p w14:paraId="00C78B4E" w14:textId="6DFF2053" w:rsidR="0062777D" w:rsidRPr="00EA4CB6" w:rsidRDefault="0062777D" w:rsidP="0062777D">
      <w:pPr>
        <w:pStyle w:val="COMPara"/>
        <w:bidi/>
        <w:ind w:left="567" w:hanging="567"/>
        <w:jc w:val="both"/>
        <w:rPr>
          <w:bCs/>
          <w:lang w:val="en-US"/>
        </w:rPr>
      </w:pPr>
      <w:r w:rsidRPr="00EA4CB6">
        <w:rPr>
          <w:rtl/>
          <w:lang w:eastAsia="ar"/>
        </w:rPr>
        <w:t xml:space="preserve">يركز هذا التقرير على عمل أمانة اتفاقية عام 2003 في الفترة من </w:t>
      </w:r>
      <w:r w:rsidR="000D2B72">
        <w:rPr>
          <w:rFonts w:hint="cs"/>
          <w:rtl/>
        </w:rPr>
        <w:t>كانون الثاني/</w:t>
      </w:r>
      <w:r w:rsidRPr="00EA4CB6">
        <w:rPr>
          <w:rtl/>
          <w:lang w:eastAsia="ar"/>
        </w:rPr>
        <w:t xml:space="preserve">يناير 2024 إلى </w:t>
      </w:r>
      <w:r w:rsidR="000D2B72">
        <w:rPr>
          <w:rFonts w:hint="cs"/>
          <w:rtl/>
        </w:rPr>
        <w:t>كانون الأول/</w:t>
      </w:r>
      <w:r w:rsidRPr="00EA4CB6">
        <w:rPr>
          <w:rtl/>
          <w:lang w:eastAsia="ar"/>
        </w:rPr>
        <w:t xml:space="preserve">ديسمبر 2025 عملاً بالقرار </w:t>
      </w:r>
      <w:hyperlink r:id="rId7" w:history="1">
        <w:r w:rsidRPr="00EA4CB6">
          <w:rPr>
            <w:rStyle w:val="Hyperlink"/>
            <w:lang w:eastAsia="ar" w:bidi="en-GB"/>
          </w:rPr>
          <w:t>‎10.GA</w:t>
        </w:r>
        <w:r w:rsidR="00EB509A">
          <w:rPr>
            <w:rStyle w:val="Hyperlink"/>
            <w:lang w:eastAsia="ar" w:bidi="en-GB"/>
          </w:rPr>
          <w:t xml:space="preserve"> 6</w:t>
        </w:r>
      </w:hyperlink>
      <w:r w:rsidRPr="00EA4CB6">
        <w:rPr>
          <w:rtl/>
          <w:lang w:eastAsia="ar"/>
        </w:rPr>
        <w:t xml:space="preserve">. وتتماشى الفترة المشمولة بالتقرير مع عمليات إعداد التقارير الأخرى التي تتولاها اليونسكو، وتحديدًا </w:t>
      </w:r>
      <w:hyperlink r:id="rId8" w:history="1">
        <w:r w:rsidRPr="00EA4CB6">
          <w:rPr>
            <w:rStyle w:val="Hyperlink"/>
            <w:rtl/>
            <w:lang w:eastAsia="ar"/>
          </w:rPr>
          <w:t>تقرير المدير العام</w:t>
        </w:r>
      </w:hyperlink>
      <w:r w:rsidRPr="00EA4CB6">
        <w:rPr>
          <w:rtl/>
          <w:lang w:eastAsia="ar"/>
        </w:rPr>
        <w:t xml:space="preserve"> بشأن تنفيذ البرنامج الذي اعتمده المؤتمر العام (</w:t>
      </w:r>
      <w:r w:rsidR="0080692E">
        <w:rPr>
          <w:rFonts w:hint="cs"/>
          <w:rtl/>
        </w:rPr>
        <w:t>م ت/4</w:t>
      </w:r>
      <w:r w:rsidRPr="00EA4CB6">
        <w:rPr>
          <w:rtl/>
          <w:lang w:eastAsia="ar"/>
        </w:rPr>
        <w:t xml:space="preserve">). يستعرض </w:t>
      </w:r>
      <w:hyperlink w:anchor="AnnexI" w:history="1">
        <w:r w:rsidRPr="00EA4CB6">
          <w:rPr>
            <w:rStyle w:val="Hyperlink"/>
            <w:rtl/>
            <w:lang w:eastAsia="ar"/>
          </w:rPr>
          <w:t>الملحق الأول</w:t>
        </w:r>
      </w:hyperlink>
      <w:r w:rsidRPr="00EA4CB6">
        <w:rPr>
          <w:rtl/>
          <w:lang w:eastAsia="ar"/>
        </w:rPr>
        <w:t xml:space="preserve"> مساهمة عمل الأمانة في إطار النتائج 42 </w:t>
      </w:r>
      <w:r w:rsidRPr="00EA4CB6">
        <w:rPr>
          <w:lang w:eastAsia="ar" w:bidi="en-GB"/>
        </w:rPr>
        <w:t>C</w:t>
      </w:r>
      <w:r w:rsidRPr="00EA4CB6">
        <w:rPr>
          <w:rtl/>
          <w:lang w:eastAsia="ar"/>
        </w:rPr>
        <w:t>/5، وخاصةً مساهمتها في مؤشرات الأداء بموجب النتيجة</w:t>
      </w:r>
      <w:r w:rsidR="00EB509A">
        <w:rPr>
          <w:lang w:eastAsia="ar"/>
        </w:rPr>
        <w:t xml:space="preserve">5. </w:t>
      </w:r>
      <w:r w:rsidRPr="00EA4CB6">
        <w:rPr>
          <w:lang w:eastAsia="ar" w:bidi="en-GB"/>
        </w:rPr>
        <w:t>CLT</w:t>
      </w:r>
      <w:r w:rsidR="00EB509A">
        <w:rPr>
          <w:lang w:eastAsia="ar" w:bidi="en-GB"/>
        </w:rPr>
        <w:t>4</w:t>
      </w:r>
      <w:r w:rsidR="00C77BCB">
        <w:rPr>
          <w:lang w:eastAsia="ar" w:bidi="en-GB"/>
        </w:rPr>
        <w:t xml:space="preserve"> </w:t>
      </w:r>
      <w:r w:rsidRPr="00EA4CB6">
        <w:rPr>
          <w:rtl/>
          <w:lang w:eastAsia="ar"/>
        </w:rPr>
        <w:t xml:space="preserve"> للبرنامج الرئيسي الرابع. يقدم </w:t>
      </w:r>
      <w:hyperlink w:anchor="AnnexII" w:history="1">
        <w:r w:rsidRPr="00EA4CB6">
          <w:rPr>
            <w:rStyle w:val="Hyperlink"/>
            <w:rtl/>
            <w:lang w:eastAsia="ar"/>
          </w:rPr>
          <w:t>الملحق الثاني</w:t>
        </w:r>
      </w:hyperlink>
      <w:r w:rsidRPr="00EA4CB6">
        <w:rPr>
          <w:rtl/>
          <w:lang w:eastAsia="ar"/>
        </w:rPr>
        <w:t xml:space="preserve"> متابعة للتوصيات الاثني عشر الصادرة عن </w:t>
      </w:r>
      <w:hyperlink r:id="rId9" w:history="1">
        <w:r w:rsidR="00BD31E9">
          <w:rPr>
            <w:rFonts w:hint="cs"/>
            <w:rtl/>
          </w:rPr>
          <w:t>تقييم دائرة الرقابة الداخلية</w:t>
        </w:r>
        <w:r w:rsidR="00266F43">
          <w:rPr>
            <w:rStyle w:val="Hyperlink"/>
            <w:rtl/>
            <w:lang w:eastAsia="ar"/>
          </w:rPr>
          <w:t xml:space="preserve"> لعام 2021</w:t>
        </w:r>
      </w:hyperlink>
      <w:r w:rsidRPr="00EA4CB6">
        <w:rPr>
          <w:rtl/>
          <w:lang w:eastAsia="ar"/>
        </w:rPr>
        <w:t xml:space="preserve"> حول جهود اليونسكو في إطار اتفاقية عام 2003</w:t>
      </w:r>
      <w:r w:rsidRPr="00EA4CB6">
        <w:rPr>
          <w:rStyle w:val="FootnoteReference"/>
          <w:rtl/>
          <w:lang w:eastAsia="ar"/>
        </w:rPr>
        <w:footnoteReference w:id="1"/>
      </w:r>
      <w:r w:rsidRPr="00EA4CB6">
        <w:rPr>
          <w:rtl/>
          <w:lang w:eastAsia="ar"/>
        </w:rPr>
        <w:t>. وينبغي أيضًا قراءة التقرير بالترافق مع التقرير المالي الصادر عن صندوق الاتفاقية لصون التراث الثقافي غير المادي في الفترة المشمولة بالتقرير نفسها (</w:t>
      </w:r>
      <w:r w:rsidRPr="00C42179">
        <w:rPr>
          <w:rtl/>
          <w:lang w:eastAsia="ar"/>
        </w:rPr>
        <w:t xml:space="preserve">الوثيقة </w:t>
      </w:r>
      <w:hyperlink r:id="rId10" w:history="1">
        <w:r w:rsidR="00C77BCB" w:rsidRPr="00D01D94">
          <w:rPr>
            <w:rStyle w:val="Hyperlink"/>
            <w:bCs/>
            <w:iCs/>
            <w:lang w:val="en-US"/>
          </w:rPr>
          <w:t>LHE/26/11.GA/INF.8</w:t>
        </w:r>
      </w:hyperlink>
      <w:r w:rsidRPr="00EA4CB6">
        <w:rPr>
          <w:rtl/>
          <w:lang w:eastAsia="ar"/>
        </w:rPr>
        <w:t>).</w:t>
      </w:r>
    </w:p>
    <w:p w14:paraId="0237E045" w14:textId="50615665" w:rsidR="0062777D" w:rsidRPr="00EA4CB6" w:rsidRDefault="0062777D" w:rsidP="0062777D">
      <w:pPr>
        <w:pStyle w:val="COMPara"/>
        <w:bidi/>
        <w:ind w:left="567" w:hanging="567"/>
        <w:jc w:val="both"/>
        <w:rPr>
          <w:bCs/>
          <w:lang w:val="en-US"/>
        </w:rPr>
      </w:pPr>
      <w:r w:rsidRPr="00EA4CB6">
        <w:rPr>
          <w:rtl/>
          <w:lang w:eastAsia="ar"/>
        </w:rPr>
        <w:t xml:space="preserve">ركزت الأنشطة الأساسية للأمانة على حسن إدارة الاتفاقية (القسم الأول) والأنشطة </w:t>
      </w:r>
      <w:r w:rsidR="009435E2">
        <w:rPr>
          <w:rFonts w:hint="cs"/>
          <w:rtl/>
        </w:rPr>
        <w:t>التنفيذية</w:t>
      </w:r>
      <w:r w:rsidR="009435E2" w:rsidRPr="00EA4CB6" w:rsidDel="009435E2">
        <w:rPr>
          <w:rtl/>
          <w:lang w:eastAsia="ar"/>
        </w:rPr>
        <w:t xml:space="preserve"> </w:t>
      </w:r>
      <w:r w:rsidRPr="00EA4CB6">
        <w:rPr>
          <w:rtl/>
          <w:lang w:eastAsia="ar"/>
        </w:rPr>
        <w:t>والمبادرات المواضيعية (القسم الثاني) بالإضافة إلى الشراكات والاتصالات والتوعية (القسم الثالث). يتضمن هذا التقرير أيضًا لمحة موجزة عن التوجهات المستقبلية للاتفاقية وأوجه التآزر بينها وبين الاتفاقيات والبرامج الأخرى (القسم الرابع).</w:t>
      </w:r>
    </w:p>
    <w:p w14:paraId="34A35BA2" w14:textId="77777777" w:rsidR="0062777D" w:rsidRPr="00EA4CB6" w:rsidRDefault="0062777D" w:rsidP="0062777D">
      <w:pPr>
        <w:pStyle w:val="COMPara"/>
        <w:numPr>
          <w:ilvl w:val="0"/>
          <w:numId w:val="4"/>
        </w:numPr>
        <w:bidi/>
        <w:spacing w:before="240"/>
        <w:ind w:left="567" w:hanging="567"/>
        <w:jc w:val="both"/>
        <w:rPr>
          <w:b/>
          <w:bCs/>
        </w:rPr>
      </w:pPr>
      <w:r w:rsidRPr="00EA4CB6">
        <w:rPr>
          <w:b/>
          <w:bCs/>
          <w:rtl/>
          <w:lang w:eastAsia="ar"/>
        </w:rPr>
        <w:t>حسن إدارة الاتفاقية</w:t>
      </w:r>
    </w:p>
    <w:p w14:paraId="79FF2D66" w14:textId="0CAE9668" w:rsidR="0062777D" w:rsidRPr="00EA4CB6" w:rsidRDefault="0062777D" w:rsidP="0062777D">
      <w:pPr>
        <w:pStyle w:val="COMPara"/>
        <w:bidi/>
        <w:ind w:left="567" w:hanging="567"/>
        <w:jc w:val="both"/>
      </w:pPr>
      <w:r w:rsidRPr="00EA4CB6">
        <w:rPr>
          <w:rtl/>
          <w:lang w:eastAsia="ar"/>
        </w:rPr>
        <w:t xml:space="preserve">تكفلت الأمانة بتقديم الدعم الإداري واللوجستي والفني للهيئات </w:t>
      </w:r>
      <w:r w:rsidR="00721302">
        <w:rPr>
          <w:rFonts w:asciiTheme="minorBidi" w:hAnsiTheme="minorBidi" w:hint="cs"/>
          <w:rtl/>
        </w:rPr>
        <w:t>الرئاسية</w:t>
      </w:r>
      <w:r w:rsidRPr="00EA4CB6">
        <w:rPr>
          <w:rtl/>
          <w:lang w:eastAsia="ar"/>
        </w:rPr>
        <w:t xml:space="preserve"> للاتفاقية بتنظيم </w:t>
      </w:r>
      <w:r w:rsidRPr="00D01D94">
        <w:rPr>
          <w:rtl/>
          <w:lang w:eastAsia="ar"/>
        </w:rPr>
        <w:t>سبعة وثلاثين</w:t>
      </w:r>
      <w:r w:rsidRPr="00EA4CB6">
        <w:rPr>
          <w:rtl/>
          <w:lang w:eastAsia="ar"/>
        </w:rPr>
        <w:t xml:space="preserve"> اجتماعًا نظاميًا. وتم توفير الجدول السنوي للاجتماعات النظامية لعاميّ </w:t>
      </w:r>
      <w:hyperlink r:id="rId11" w:history="1">
        <w:r w:rsidRPr="00EA4CB6">
          <w:rPr>
            <w:rStyle w:val="Hyperlink"/>
            <w:rtl/>
            <w:lang w:eastAsia="ar"/>
          </w:rPr>
          <w:t>2024</w:t>
        </w:r>
      </w:hyperlink>
      <w:r w:rsidRPr="00EA4CB6">
        <w:rPr>
          <w:rtl/>
          <w:lang w:eastAsia="ar"/>
        </w:rPr>
        <w:t xml:space="preserve"> و</w:t>
      </w:r>
      <w:hyperlink r:id="rId12" w:history="1">
        <w:r w:rsidRPr="00EA4CB6">
          <w:rPr>
            <w:rStyle w:val="Hyperlink"/>
            <w:rtl/>
            <w:lang w:eastAsia="ar"/>
          </w:rPr>
          <w:t>2025</w:t>
        </w:r>
      </w:hyperlink>
      <w:r w:rsidRPr="00EA4CB6">
        <w:rPr>
          <w:rtl/>
          <w:lang w:eastAsia="ar"/>
        </w:rPr>
        <w:t xml:space="preserve">، كما تم تحديثه بانتظام من خلال الموقع الإلكتروني للاتفاقية. علاوةً على ذلك، شهدت الفترة المشمولة بالتقرير اختتام مراجعة التوجيهات </w:t>
      </w:r>
      <w:r w:rsidR="00644DC0" w:rsidRPr="00E05AD4">
        <w:rPr>
          <w:rFonts w:hint="cs"/>
          <w:rtl/>
        </w:rPr>
        <w:t>التنفيذية</w:t>
      </w:r>
      <w:r w:rsidR="00644DC0" w:rsidRPr="00EA4CB6" w:rsidDel="00644DC0">
        <w:rPr>
          <w:rtl/>
          <w:lang w:eastAsia="ar"/>
        </w:rPr>
        <w:t xml:space="preserve"> </w:t>
      </w:r>
      <w:r w:rsidRPr="00EA4CB6">
        <w:rPr>
          <w:rtl/>
          <w:lang w:eastAsia="ar"/>
        </w:rPr>
        <w:t>لاتفاقية عام 2003 (القرار</w:t>
      </w:r>
      <w:hyperlink r:id="rId13" w:history="1">
        <w:r w:rsidR="00644DC0" w:rsidRPr="00D279B1">
          <w:rPr>
            <w:rStyle w:val="Hyperlink"/>
          </w:rPr>
          <w:t>10.GA 7</w:t>
        </w:r>
      </w:hyperlink>
      <w:r w:rsidRPr="00EA4CB6">
        <w:rPr>
          <w:rtl/>
          <w:lang w:eastAsia="ar"/>
        </w:rPr>
        <w:t xml:space="preserve">). تم تقديم التقرير المتعلق بأنشطة اللجنة من </w:t>
      </w:r>
      <w:r w:rsidR="00644DC0" w:rsidRPr="005963F4">
        <w:rPr>
          <w:rFonts w:eastAsia="Arial" w:hint="eastAsia"/>
          <w:rtl/>
          <w:lang w:eastAsia="ar"/>
        </w:rPr>
        <w:t>كانون</w:t>
      </w:r>
      <w:r w:rsidR="00644DC0" w:rsidRPr="005963F4">
        <w:rPr>
          <w:rFonts w:eastAsia="Arial"/>
          <w:rtl/>
          <w:lang w:eastAsia="ar"/>
        </w:rPr>
        <w:t xml:space="preserve"> الثاني/</w:t>
      </w:r>
      <w:r w:rsidRPr="00EA4CB6">
        <w:rPr>
          <w:rtl/>
          <w:lang w:eastAsia="ar"/>
        </w:rPr>
        <w:t xml:space="preserve">يناير 2024 إلى </w:t>
      </w:r>
      <w:r w:rsidR="00644DC0" w:rsidRPr="005963F4">
        <w:rPr>
          <w:rFonts w:eastAsia="Arial" w:hint="eastAsia"/>
          <w:rtl/>
          <w:lang w:eastAsia="ar"/>
        </w:rPr>
        <w:t>كانون</w:t>
      </w:r>
      <w:r w:rsidR="00644DC0" w:rsidRPr="005963F4">
        <w:rPr>
          <w:rFonts w:eastAsia="Arial"/>
          <w:rtl/>
          <w:lang w:eastAsia="ar"/>
        </w:rPr>
        <w:t xml:space="preserve"> الأول/</w:t>
      </w:r>
      <w:r w:rsidRPr="00EA4CB6">
        <w:rPr>
          <w:rtl/>
          <w:lang w:eastAsia="ar"/>
        </w:rPr>
        <w:t>ديسمبر 2025 إلى الدورة الحالية للجمعية (الوثيقة</w:t>
      </w:r>
      <w:hyperlink r:id="rId14" w:history="1">
        <w:r w:rsidR="00644DC0" w:rsidRPr="00D01D94">
          <w:rPr>
            <w:rStyle w:val="Hyperlink"/>
          </w:rPr>
          <w:t>LHE/26/11.GA/5</w:t>
        </w:r>
      </w:hyperlink>
      <w:r w:rsidR="00644DC0">
        <w:t xml:space="preserve"> </w:t>
      </w:r>
      <w:r w:rsidRPr="00EA4CB6">
        <w:rPr>
          <w:rtl/>
          <w:lang w:eastAsia="ar"/>
        </w:rPr>
        <w:t>).</w:t>
      </w:r>
    </w:p>
    <w:p w14:paraId="4D7DA7EA" w14:textId="4CF633E9" w:rsidR="0062777D" w:rsidRPr="00EA4CB6" w:rsidRDefault="0062777D" w:rsidP="0062777D">
      <w:pPr>
        <w:pStyle w:val="COMPara"/>
        <w:bidi/>
        <w:ind w:left="567" w:hanging="567"/>
        <w:jc w:val="both"/>
      </w:pPr>
      <w:r w:rsidRPr="00EA4CB6">
        <w:rPr>
          <w:rtl/>
          <w:lang w:eastAsia="ar"/>
        </w:rPr>
        <w:t xml:space="preserve">قدمت الأمانة دعمًا ملموسًا </w:t>
      </w:r>
      <w:r w:rsidRPr="00EA4CB6">
        <w:rPr>
          <w:u w:val="single"/>
          <w:rtl/>
          <w:lang w:eastAsia="ar"/>
        </w:rPr>
        <w:t>لآليات التعاون الدولي للاتفاقية</w:t>
      </w:r>
      <w:r w:rsidRPr="00EA4CB6">
        <w:rPr>
          <w:rtl/>
          <w:lang w:eastAsia="ar"/>
        </w:rPr>
        <w:t>. ويتعلق عبء العمل الأساسي بمعالجة ملفات الترشيحات في إطار دورتيّ عاميّ 2024 و2025 لتقييمها من قبل هيئة التقييم، مع التحقق من الاكتمال الفني للترشيحات في إطار دورتيّ 2025 و2026. إضافةً إلى ذلك، تولت الأمانة معالجة التقارير الدورية، وكذلك طلبات الاعتماد والتجديد المقدمة من المنظمات غير الحكومية. وتُقدّم طلبات الاعتماد هذه إلى الدورة الحالية للجمعية (الوثيقة</w:t>
      </w:r>
      <w:hyperlink r:id="rId15" w:history="1">
        <w:r w:rsidR="00976E99" w:rsidRPr="00D01D94">
          <w:rPr>
            <w:rStyle w:val="Hyperlink"/>
          </w:rPr>
          <w:t>LHE/26/11.GA/9</w:t>
        </w:r>
      </w:hyperlink>
      <w:r w:rsidR="00976E99">
        <w:t xml:space="preserve"> </w:t>
      </w:r>
      <w:r w:rsidRPr="00EA4CB6">
        <w:rPr>
          <w:rtl/>
          <w:lang w:eastAsia="ar"/>
        </w:rPr>
        <w:t>) عملاً بتوصيات الدورة العشرين للجنة.</w:t>
      </w:r>
    </w:p>
    <w:p w14:paraId="689F95FF" w14:textId="2EC9C3E2" w:rsidR="0062777D" w:rsidRPr="00EA4CB6" w:rsidRDefault="0062777D" w:rsidP="0062777D">
      <w:pPr>
        <w:pStyle w:val="COMPara"/>
        <w:bidi/>
        <w:ind w:left="567" w:hanging="567"/>
        <w:jc w:val="both"/>
        <w:rPr>
          <w:rStyle w:val="ui-provider"/>
        </w:rPr>
      </w:pPr>
      <w:r w:rsidRPr="00350774">
        <w:rPr>
          <w:rStyle w:val="ui-provider"/>
          <w:rtl/>
          <w:lang w:eastAsia="ar"/>
        </w:rPr>
        <w:t xml:space="preserve">وبعد </w:t>
      </w:r>
      <w:r w:rsidR="009947A2" w:rsidRPr="00350774">
        <w:rPr>
          <w:rFonts w:hint="cs"/>
          <w:rtl/>
        </w:rPr>
        <w:t>التفكير على الصعيد</w:t>
      </w:r>
      <w:r w:rsidR="009947A2">
        <w:rPr>
          <w:rFonts w:hint="cs"/>
          <w:rtl/>
        </w:rPr>
        <w:t xml:space="preserve"> العالمي </w:t>
      </w:r>
      <w:r w:rsidRPr="00EA4CB6">
        <w:rPr>
          <w:rStyle w:val="ui-provider"/>
          <w:rtl/>
          <w:lang w:eastAsia="ar"/>
        </w:rPr>
        <w:t xml:space="preserve">لآليات إدراج الاتفاقية (2018-2022)، لاحظت الهيئات </w:t>
      </w:r>
      <w:r w:rsidR="00721302">
        <w:rPr>
          <w:rFonts w:asciiTheme="minorBidi" w:hAnsiTheme="minorBidi" w:hint="cs"/>
          <w:rtl/>
        </w:rPr>
        <w:t>الرئاسية</w:t>
      </w:r>
      <w:r w:rsidRPr="00EA4CB6">
        <w:rPr>
          <w:rStyle w:val="ui-provider"/>
          <w:rtl/>
          <w:lang w:eastAsia="ar"/>
        </w:rPr>
        <w:t xml:space="preserve"> للاتفاقية تزايدًا في الطلب على نطاق عمل الأمانة لدعم هيئة التقييم واللجنة في تقييم </w:t>
      </w:r>
      <w:r w:rsidRPr="00350774">
        <w:rPr>
          <w:rStyle w:val="ui-provider"/>
          <w:rtl/>
          <w:lang w:eastAsia="ar"/>
        </w:rPr>
        <w:t>و</w:t>
      </w:r>
      <w:r w:rsidRPr="00D01D94">
        <w:rPr>
          <w:rStyle w:val="ui-provider"/>
          <w:rtl/>
          <w:lang w:eastAsia="ar"/>
        </w:rPr>
        <w:t>دراسة ملفات الترشيح</w:t>
      </w:r>
      <w:r w:rsidRPr="00EA4CB6">
        <w:rPr>
          <w:rStyle w:val="ui-provider"/>
          <w:rtl/>
          <w:lang w:eastAsia="ar"/>
        </w:rPr>
        <w:t xml:space="preserve">. </w:t>
      </w:r>
      <w:r w:rsidRPr="00350774">
        <w:rPr>
          <w:rStyle w:val="ui-provider"/>
          <w:rtl/>
          <w:lang w:eastAsia="ar"/>
        </w:rPr>
        <w:t>وعلى وجه الخصوص</w:t>
      </w:r>
      <w:r w:rsidRPr="00EA4CB6">
        <w:rPr>
          <w:rStyle w:val="ui-provider"/>
          <w:rtl/>
          <w:lang w:eastAsia="ar"/>
        </w:rPr>
        <w:t xml:space="preserve">، </w:t>
      </w:r>
      <w:r w:rsidRPr="00D01D94">
        <w:rPr>
          <w:rStyle w:val="ui-provider"/>
          <w:u w:val="single"/>
          <w:rtl/>
          <w:lang w:eastAsia="ar"/>
        </w:rPr>
        <w:t>عدد الملفات التي تمت معالجتها</w:t>
      </w:r>
      <w:r w:rsidRPr="00EA4CB6">
        <w:rPr>
          <w:rStyle w:val="ui-provider"/>
          <w:rtl/>
          <w:lang w:eastAsia="ar"/>
        </w:rPr>
        <w:t xml:space="preserve"> (140 ملفًا إجمالاً خلال دورتيّ 2024 و2025، مقابل 121 ملفًا خلال دورتيّ 2022 و2023). ويعكس هذا العدد كلاً من </w:t>
      </w:r>
      <w:r w:rsidRPr="00D01D94">
        <w:rPr>
          <w:rStyle w:val="ui-provider"/>
          <w:rtl/>
          <w:lang w:eastAsia="ar"/>
        </w:rPr>
        <w:t>الملفات التي تمت معالجتها ضمن الحد الأقصى السنوي البالغ ستين ملفًا</w:t>
      </w:r>
      <w:r w:rsidRPr="00EA4CB6">
        <w:rPr>
          <w:rStyle w:val="ui-provider"/>
          <w:rtl/>
          <w:lang w:eastAsia="ar"/>
        </w:rPr>
        <w:t>، بالإضافة إلى فئات الملفات المختلفة التي ستتم معالجتها خارج هذا الحد (القرارا</w:t>
      </w:r>
      <w:r w:rsidR="00721302" w:rsidRPr="00EA4CB6">
        <w:rPr>
          <w:rStyle w:val="ui-provider"/>
          <w:rtl/>
          <w:lang w:eastAsia="ar"/>
        </w:rPr>
        <w:t>ت</w:t>
      </w:r>
      <w:r w:rsidRPr="00EA4CB6">
        <w:rPr>
          <w:rStyle w:val="ui-provider"/>
          <w:rtl/>
          <w:lang w:eastAsia="ar"/>
        </w:rPr>
        <w:t xml:space="preserve"> </w:t>
      </w:r>
      <w:hyperlink r:id="rId16" w:history="1">
        <w:r w:rsidR="00721302" w:rsidRPr="006E743B">
          <w:rPr>
            <w:rStyle w:val="Hyperlink"/>
          </w:rPr>
          <w:t>17.COM 15</w:t>
        </w:r>
      </w:hyperlink>
      <w:r w:rsidRPr="00EA4CB6">
        <w:rPr>
          <w:rStyle w:val="ui-provider"/>
          <w:rtl/>
          <w:lang w:eastAsia="ar"/>
        </w:rPr>
        <w:t xml:space="preserve"> و</w:t>
      </w:r>
      <w:hyperlink r:id="rId17" w:history="1">
        <w:r w:rsidR="00721302" w:rsidRPr="006E743B">
          <w:rPr>
            <w:rStyle w:val="Hyperlink"/>
          </w:rPr>
          <w:t>19.COM 15</w:t>
        </w:r>
      </w:hyperlink>
      <w:r w:rsidRPr="00EA4CB6">
        <w:rPr>
          <w:rStyle w:val="ui-provider"/>
          <w:rtl/>
          <w:lang w:eastAsia="ar"/>
        </w:rPr>
        <w:t xml:space="preserve">). وبالمثل، شهدت دورة 2026 </w:t>
      </w:r>
      <w:r w:rsidRPr="00350774">
        <w:rPr>
          <w:rStyle w:val="ui-provider"/>
          <w:rtl/>
          <w:lang w:eastAsia="ar"/>
        </w:rPr>
        <w:t xml:space="preserve">معالجة </w:t>
      </w:r>
      <w:r w:rsidRPr="00D01D94">
        <w:rPr>
          <w:rStyle w:val="ui-provider"/>
          <w:rtl/>
          <w:lang w:eastAsia="ar"/>
        </w:rPr>
        <w:t>71 ملفًا مبدئيًا</w:t>
      </w:r>
      <w:r w:rsidRPr="00EA4CB6">
        <w:rPr>
          <w:rStyle w:val="ui-provider"/>
          <w:rtl/>
          <w:lang w:eastAsia="ar"/>
        </w:rPr>
        <w:t xml:space="preserve"> (من أصل 137 ملفًا كان يتعين مراعاتها)، وبينما لا تزال دورة 2027 قيد الإعداد (من أصل 170 ملفًا كان يتعين مراعاتها)، فمن المرجح أن تشهد عددًا مماثلاً أو أكبر من الملفات. وقد أدت هذه الأعداد المتزايدة على مدى الدورات الأربع الماضية إلى زيادة عبء العمل على الأمانة، وهذا يعكس الإجراءات المكثفة التي تنطوي عليها مرحلة "التحقق من الاكتمال الفني"، فضلاً عن تنوع مواد الترشيح التي يجب مراعاتها في نقل العناصر بين القوائم والترشيحات على أساس موسع. وتزداد هذه الاحتياجات المتزايدة إلحاحًا بشكل خاص، في ضوء محدودية الموارد البشرية المتاحة للأمانة العامة، ونظرًا لهذا القيد وغيره من المسائل الفنية المتعلقة بمعالجة الملفات (انظر الوثيقة</w:t>
      </w:r>
      <w:hyperlink r:id="rId18" w:history="1">
        <w:r w:rsidR="00721302" w:rsidRPr="00F65B75">
          <w:rPr>
            <w:rStyle w:val="Hyperlink"/>
          </w:rPr>
          <w:t>LHE/25/20.COM/8</w:t>
        </w:r>
      </w:hyperlink>
      <w:r w:rsidR="00721302">
        <w:t xml:space="preserve"> </w:t>
      </w:r>
      <w:r w:rsidRPr="00EA4CB6">
        <w:rPr>
          <w:rStyle w:val="ui-provider"/>
          <w:rtl/>
          <w:lang w:eastAsia="ar"/>
        </w:rPr>
        <w:t xml:space="preserve">)، أوصت اللجنة بأن توافق الدورة الحالية للجمعية على التعديلات المقترحة على التوجيهات </w:t>
      </w:r>
      <w:r w:rsidR="000F0BCD" w:rsidRPr="00E05AD4">
        <w:rPr>
          <w:rFonts w:hint="cs"/>
          <w:rtl/>
        </w:rPr>
        <w:t>التنفيذية</w:t>
      </w:r>
      <w:r w:rsidRPr="00EA4CB6">
        <w:rPr>
          <w:rStyle w:val="ui-provider"/>
          <w:rtl/>
          <w:lang w:eastAsia="ar"/>
        </w:rPr>
        <w:t xml:space="preserve"> لتنفيذ الاتفاقية (القرار</w:t>
      </w:r>
      <w:hyperlink r:id="rId19" w:history="1">
        <w:r w:rsidR="000F0BCD" w:rsidRPr="00F65B75">
          <w:rPr>
            <w:rStyle w:val="Hyperlink"/>
          </w:rPr>
          <w:t>20.COM 8</w:t>
        </w:r>
      </w:hyperlink>
      <w:r w:rsidR="000F0BCD">
        <w:t xml:space="preserve"> </w:t>
      </w:r>
      <w:r w:rsidRPr="00EA4CB6">
        <w:rPr>
          <w:rStyle w:val="ui-provider"/>
          <w:rtl/>
          <w:lang w:eastAsia="ar"/>
        </w:rPr>
        <w:t xml:space="preserve"> والوثيقة</w:t>
      </w:r>
      <w:hyperlink r:id="rId20" w:history="1">
        <w:r w:rsidR="000F0BCD" w:rsidRPr="00D01D94">
          <w:rPr>
            <w:rStyle w:val="Hyperlink"/>
          </w:rPr>
          <w:t>LHE/26/11.GA/7</w:t>
        </w:r>
      </w:hyperlink>
      <w:r w:rsidR="000F0BCD">
        <w:t xml:space="preserve"> </w:t>
      </w:r>
      <w:r w:rsidRPr="00EA4CB6">
        <w:rPr>
          <w:rStyle w:val="ui-provider"/>
          <w:rtl/>
          <w:lang w:eastAsia="ar"/>
        </w:rPr>
        <w:t>). وستناقش اللجنة في دورتها الحادية والعشرين عدد الملفات لدورتيّ 2028 و2029، إلى جانب مسائل الحد الأقصى السنوي ونظام تحديد الأولويات الذي يتطلب تعديلات لإدارة دورات الترشيح المستقبلية.</w:t>
      </w:r>
    </w:p>
    <w:p w14:paraId="4D4A373F" w14:textId="27A47A9A" w:rsidR="0062777D" w:rsidRPr="00EA4CB6" w:rsidRDefault="0062777D" w:rsidP="0062777D">
      <w:pPr>
        <w:pStyle w:val="COMPara"/>
        <w:bidi/>
        <w:ind w:left="567" w:hanging="567"/>
        <w:jc w:val="both"/>
      </w:pPr>
      <w:r w:rsidRPr="00EA4CB6">
        <w:rPr>
          <w:rtl/>
          <w:lang w:eastAsia="ar"/>
        </w:rPr>
        <w:t>اتخذت الأمانة أيضًا خطوات لمعالجة "قلة استخدام" سجل ممارسات الصون الجيدة و</w:t>
      </w:r>
      <w:r w:rsidRPr="00EA4CB6">
        <w:rPr>
          <w:u w:val="single"/>
          <w:rtl/>
          <w:lang w:eastAsia="ar"/>
        </w:rPr>
        <w:t>المادة 18 من الاتفاقية</w:t>
      </w:r>
      <w:r w:rsidRPr="00EA4CB6">
        <w:rPr>
          <w:rtl/>
          <w:lang w:eastAsia="ar"/>
        </w:rPr>
        <w:t xml:space="preserve"> ككل. في المقام الأول، عززت الأمانة دراسة توسيع نطاق تنفيذ المادة 18 من الاتفاقية، من خلال إطلاق النسخة الأولية </w:t>
      </w:r>
      <w:hyperlink r:id="rId21" w:history="1">
        <w:r w:rsidRPr="00EA4CB6">
          <w:rPr>
            <w:rStyle w:val="Hyperlink"/>
            <w:rtl/>
            <w:lang w:eastAsia="ar"/>
          </w:rPr>
          <w:t>لمنصة إلكترونية لتبادل تجارب الصون</w:t>
        </w:r>
      </w:hyperlink>
      <w:r w:rsidRPr="00EA4CB6">
        <w:rPr>
          <w:rtl/>
          <w:lang w:eastAsia="ar"/>
        </w:rPr>
        <w:t xml:space="preserve"> من </w:t>
      </w:r>
      <w:r w:rsidR="000F5956" w:rsidRPr="000F5956">
        <w:rPr>
          <w:rtl/>
          <w:lang w:eastAsia="ar"/>
        </w:rPr>
        <w:t>الجماعات</w:t>
      </w:r>
      <w:r w:rsidRPr="00EA4CB6">
        <w:rPr>
          <w:rtl/>
          <w:lang w:eastAsia="ar"/>
        </w:rPr>
        <w:t xml:space="preserve"> حول العالم (بدعم من مملكة هولندا وجمهورية كوريا؛ انظر الوثيقة </w:t>
      </w:r>
      <w:hyperlink r:id="rId22" w:history="1">
        <w:r w:rsidR="000F5956" w:rsidRPr="00D279B1">
          <w:rPr>
            <w:rStyle w:val="Hyperlink"/>
          </w:rPr>
          <w:t>LHE/25/20.COM/11</w:t>
        </w:r>
      </w:hyperlink>
      <w:r w:rsidRPr="00EA4CB6">
        <w:rPr>
          <w:rtl/>
          <w:lang w:eastAsia="ar"/>
        </w:rPr>
        <w:t xml:space="preserve">)، بالإضافة إلى التجارب التي تقودها </w:t>
      </w:r>
      <w:r w:rsidR="000F5956" w:rsidRPr="000F5956">
        <w:rPr>
          <w:rtl/>
          <w:lang w:eastAsia="ar"/>
        </w:rPr>
        <w:t>الجماعات</w:t>
      </w:r>
      <w:r w:rsidRPr="00EA4CB6">
        <w:rPr>
          <w:rtl/>
          <w:lang w:eastAsia="ar"/>
        </w:rPr>
        <w:t xml:space="preserve"> في صون </w:t>
      </w:r>
      <w:r w:rsidRPr="00EA4CB6">
        <w:rPr>
          <w:u w:val="single"/>
          <w:rtl/>
          <w:lang w:eastAsia="ar"/>
        </w:rPr>
        <w:t>طرق الغذاء</w:t>
      </w:r>
      <w:r w:rsidRPr="00EA4CB6">
        <w:rPr>
          <w:rtl/>
          <w:lang w:eastAsia="ar"/>
        </w:rPr>
        <w:t xml:space="preserve"> (بدعم من المملكة العربية السعودية). وتعتزم الأمانة إطلاق النسخة الكاملة من المنصة (التي تضم 60 تجربة صون) بحلول نهاية عام 2026. بالإضافة إلى ذلك، واستجابةً للقرار </w:t>
      </w:r>
      <w:hyperlink r:id="rId23" w:history="1">
        <w:r w:rsidR="000F5956" w:rsidRPr="00D279B1">
          <w:rPr>
            <w:rStyle w:val="Hyperlink"/>
          </w:rPr>
          <w:t>10.GA 7</w:t>
        </w:r>
      </w:hyperlink>
      <w:r w:rsidRPr="00EA4CB6">
        <w:rPr>
          <w:rtl/>
          <w:lang w:eastAsia="ar"/>
        </w:rPr>
        <w:t>، تم تبسيط النماذج</w:t>
      </w:r>
      <w:r w:rsidR="000F5956">
        <w:rPr>
          <w:lang w:eastAsia="ar"/>
        </w:rPr>
        <w:t xml:space="preserve"> </w:t>
      </w:r>
      <w:r w:rsidR="000F5956" w:rsidRPr="00D279B1">
        <w:t xml:space="preserve">ICH-03 </w:t>
      </w:r>
      <w:r w:rsidRPr="00EA4CB6">
        <w:rPr>
          <w:rtl/>
          <w:lang w:eastAsia="ar"/>
        </w:rPr>
        <w:t>(بالنسبة إلى الترشيحات إلى السجل) و</w:t>
      </w:r>
      <w:r w:rsidR="00A10253">
        <w:rPr>
          <w:lang w:eastAsia="ar"/>
        </w:rPr>
        <w:t xml:space="preserve"> </w:t>
      </w:r>
      <w:r w:rsidR="00A10253" w:rsidRPr="00D279B1">
        <w:t>ICH-02 USL to RL</w:t>
      </w:r>
      <w:r w:rsidRPr="00EA4CB6">
        <w:rPr>
          <w:rtl/>
          <w:lang w:eastAsia="ar"/>
        </w:rPr>
        <w:t xml:space="preserve">(بالنسبة لنقل العناصر من قائمة الصون العاجل إلى القائمة التمثيلية، وإمكانية </w:t>
      </w:r>
      <w:r w:rsidRPr="000F5956">
        <w:rPr>
          <w:rtl/>
          <w:lang w:eastAsia="ar"/>
        </w:rPr>
        <w:t>إدراج تجربة الصون ذات</w:t>
      </w:r>
      <w:r w:rsidRPr="00EA4CB6">
        <w:rPr>
          <w:rtl/>
          <w:lang w:eastAsia="ar"/>
        </w:rPr>
        <w:t xml:space="preserve"> الصلة في السجل)، وسيتم استخدامها من دورة 2026 فصاعدًا (انظر الوثيقة</w:t>
      </w:r>
      <w:hyperlink r:id="rId24" w:history="1">
        <w:r w:rsidR="00380593" w:rsidRPr="00D279B1">
          <w:rPr>
            <w:rStyle w:val="Hyperlink"/>
          </w:rPr>
          <w:t>LHE/25/20.COM</w:t>
        </w:r>
        <w:r w:rsidR="009B63DA">
          <w:rPr>
            <w:rStyle w:val="Hyperlink"/>
          </w:rPr>
          <w:t>/</w:t>
        </w:r>
        <w:r w:rsidR="00380593" w:rsidRPr="00D279B1">
          <w:rPr>
            <w:rStyle w:val="Hyperlink"/>
          </w:rPr>
          <w:t>8</w:t>
        </w:r>
      </w:hyperlink>
      <w:r w:rsidR="00380593">
        <w:t xml:space="preserve"> </w:t>
      </w:r>
      <w:r w:rsidRPr="00EA4CB6">
        <w:rPr>
          <w:rtl/>
          <w:lang w:eastAsia="ar"/>
        </w:rPr>
        <w:t>).</w:t>
      </w:r>
    </w:p>
    <w:p w14:paraId="33363D09" w14:textId="359424FF" w:rsidR="0062777D" w:rsidRPr="00EA4CB6" w:rsidRDefault="0062777D" w:rsidP="0062777D">
      <w:pPr>
        <w:pStyle w:val="COMPara"/>
        <w:bidi/>
        <w:ind w:left="567" w:hanging="567"/>
        <w:jc w:val="both"/>
        <w:rPr>
          <w:rFonts w:asciiTheme="minorBidi" w:hAnsiTheme="minorBidi" w:cstheme="minorBidi"/>
        </w:rPr>
      </w:pPr>
      <w:r w:rsidRPr="00EA4CB6">
        <w:rPr>
          <w:rtl/>
          <w:lang w:eastAsia="ar"/>
        </w:rPr>
        <w:t xml:space="preserve">استطردت الأمانة في تنفيذ المشاريع التجريبية بما يتماشى مع </w:t>
      </w:r>
      <w:r w:rsidRPr="00EA4CB6">
        <w:rPr>
          <w:rFonts w:asciiTheme="minorBidi" w:hAnsiTheme="minorBidi" w:cstheme="minorBidi"/>
          <w:rtl/>
          <w:lang w:eastAsia="ar"/>
        </w:rPr>
        <w:t>المبادئ</w:t>
      </w:r>
      <w:r w:rsidRPr="00EA4CB6">
        <w:rPr>
          <w:rtl/>
          <w:lang w:eastAsia="ar"/>
        </w:rPr>
        <w:t xml:space="preserve"> والطرائق التنفيذية </w:t>
      </w:r>
      <w:r w:rsidRPr="00EA4CB6">
        <w:rPr>
          <w:u w:val="single"/>
          <w:rtl/>
          <w:lang w:eastAsia="ar"/>
        </w:rPr>
        <w:t>لصون التراث الثقافي غير المادي في حالات الطوارئ</w:t>
      </w:r>
      <w:r w:rsidRPr="00EA4CB6">
        <w:rPr>
          <w:rtl/>
          <w:lang w:eastAsia="ar"/>
        </w:rPr>
        <w:t xml:space="preserve"> (القرار </w:t>
      </w:r>
      <w:hyperlink r:id="rId25" w:history="1">
        <w:r w:rsidR="000F0E48" w:rsidRPr="00D279B1">
          <w:rPr>
            <w:rStyle w:val="Hyperlink"/>
          </w:rPr>
          <w:t>8.GA 9</w:t>
        </w:r>
      </w:hyperlink>
      <w:r w:rsidRPr="00EA4CB6">
        <w:rPr>
          <w:rtl/>
          <w:lang w:eastAsia="ar"/>
        </w:rPr>
        <w:t xml:space="preserve">). تم الانتهاء من المشروع الممتد عبر عدة سنوات </w:t>
      </w:r>
      <w:hyperlink r:id="rId26" w:history="1">
        <w:r w:rsidRPr="00EA4CB6">
          <w:rPr>
            <w:rStyle w:val="Hyperlink"/>
            <w:rtl/>
            <w:lang w:eastAsia="ar"/>
          </w:rPr>
          <w:t xml:space="preserve">"بناء القدرات </w:t>
        </w:r>
        <w:r w:rsidRPr="00EA4CB6">
          <w:rPr>
            <w:rStyle w:val="Hyperlink"/>
            <w:rFonts w:asciiTheme="minorBidi" w:hAnsiTheme="minorBidi" w:cstheme="minorBidi"/>
            <w:rtl/>
            <w:lang w:eastAsia="ar"/>
          </w:rPr>
          <w:t>لصون التراث الثقافي غير المادي في حالات الطوارئ في الدول الجزرية الصغيرة النامية  في المحيط الهادئ ومنطقة البحر الكاريبي</w:t>
        </w:r>
      </w:hyperlink>
      <w:r w:rsidRPr="00EA4CB6">
        <w:rPr>
          <w:rFonts w:asciiTheme="minorBidi" w:hAnsiTheme="minorBidi" w:cstheme="minorBidi"/>
          <w:rtl/>
          <w:lang w:eastAsia="ar"/>
        </w:rPr>
        <w:t xml:space="preserve">"، بدعم من الصناديق الاستئمانية اليابانية، في خمس دول أطراف (جزر البهاما وبيليز وفيجي وتونغا وفانواتو) في </w:t>
      </w:r>
      <w:r w:rsidR="006040FD" w:rsidRPr="00235C11">
        <w:rPr>
          <w:rFonts w:asciiTheme="minorBidi" w:hAnsiTheme="minorBidi" w:cstheme="minorBidi"/>
          <w:rtl/>
          <w:lang w:eastAsia="ar"/>
        </w:rPr>
        <w:t>كانون الاول</w:t>
      </w:r>
      <w:r w:rsidR="006040FD" w:rsidRPr="00235C11">
        <w:rPr>
          <w:rFonts w:asciiTheme="minorBidi" w:hAnsiTheme="minorBidi" w:cstheme="minorBidi"/>
          <w:lang w:eastAsia="ar"/>
        </w:rPr>
        <w:t>/</w:t>
      </w:r>
      <w:r w:rsidRPr="00EA4CB6">
        <w:rPr>
          <w:rFonts w:asciiTheme="minorBidi" w:hAnsiTheme="minorBidi" w:cstheme="minorBidi"/>
          <w:rtl/>
          <w:lang w:eastAsia="ar"/>
        </w:rPr>
        <w:t xml:space="preserve">ديسمبر 2025. في سياق الحرب في أوكرانيا، نسقت الأمانة مع حكومة أوكرانيا لرصد احتياجات الصون، مسترشدةً بخطة العمل لعام 2024 وبدعم من صندوق التراث </w:t>
      </w:r>
      <w:r w:rsidRPr="00EA4CB6">
        <w:rPr>
          <w:rFonts w:asciiTheme="minorBidi" w:hAnsiTheme="minorBidi" w:cstheme="minorBidi"/>
          <w:rtl/>
          <w:lang w:eastAsia="ar"/>
        </w:rPr>
        <w:lastRenderedPageBreak/>
        <w:t xml:space="preserve">في حالات الطوارئ. وعلى وجه الخصوص، انطلقت المرحلة الثانية من المشروع في </w:t>
      </w:r>
      <w:r w:rsidR="006040FD" w:rsidRPr="00D01D94">
        <w:rPr>
          <w:rFonts w:asciiTheme="minorBidi" w:hAnsiTheme="minorBidi" w:cstheme="minorBidi" w:hint="eastAsia"/>
          <w:rtl/>
          <w:lang w:eastAsia="ar"/>
        </w:rPr>
        <w:t>حزيران</w:t>
      </w:r>
      <w:r w:rsidR="006040FD" w:rsidRPr="00D01D94">
        <w:rPr>
          <w:rFonts w:asciiTheme="minorBidi" w:hAnsiTheme="minorBidi" w:cstheme="minorBidi"/>
          <w:rtl/>
          <w:lang w:eastAsia="ar"/>
        </w:rPr>
        <w:t>/</w:t>
      </w:r>
      <w:r w:rsidRPr="00EA4CB6">
        <w:rPr>
          <w:rFonts w:asciiTheme="minorBidi" w:hAnsiTheme="minorBidi" w:cstheme="minorBidi"/>
          <w:rtl/>
          <w:lang w:eastAsia="ar"/>
        </w:rPr>
        <w:t>يونيو 2025، حيث تلقى 100 مدرب من المعلمين من مختلف أنحاء أوكرانيا تدريبًا في أربع ورش عمل بالحضور الشخصي.</w:t>
      </w:r>
    </w:p>
    <w:p w14:paraId="42D0513E" w14:textId="1F11FA91" w:rsidR="0062777D" w:rsidRPr="00EA4CB6" w:rsidRDefault="0062777D" w:rsidP="0062777D">
      <w:pPr>
        <w:pStyle w:val="COMPara"/>
        <w:bidi/>
        <w:ind w:left="567" w:hanging="567"/>
        <w:jc w:val="both"/>
      </w:pPr>
      <w:r w:rsidRPr="00EA4CB6">
        <w:rPr>
          <w:rtl/>
          <w:lang w:eastAsia="ar"/>
        </w:rPr>
        <w:t xml:space="preserve">اختُتمت الدورة الإقليمية الأولى </w:t>
      </w:r>
      <w:r w:rsidRPr="00EA4CB6">
        <w:rPr>
          <w:u w:val="single"/>
          <w:rtl/>
          <w:lang w:eastAsia="ar"/>
        </w:rPr>
        <w:t>للتقارير الدورية</w:t>
      </w:r>
      <w:r w:rsidRPr="00EA4CB6">
        <w:rPr>
          <w:rtl/>
          <w:lang w:eastAsia="ar"/>
        </w:rPr>
        <w:t xml:space="preserve"> للاتفاقية في عام 2025، محققةً نسبة عالية من تقديم التقارير في جميع المناطق. وبلغت معدلات إرسال التقارير في المنطقتين الأخيرتين اللتين قدمتا تقاريرهما خلال الفترة 2024-2025، نسبة 100% لإفريقيا (حيث أُرسل 44 تقريرًا من أصل 44 تقريرًا متوقعًا، وتمت فحصها بحلول الدورة التاسعة عشرة للجنة)، ونسبة 90% لآسيا والمحيط الهادئ (حيث أُرسل 38 تقريرًا من أصل 42 تقريرًا متوقعًا، وتمت فحصها بحلول الدورة العشرين للجنة). ودعمت الأمانة هاتين المنطقتين بشكل وثيق من خلال نهج مخصص لبناء القدرات، بالتعاون مع مراكز الفئة الثانية التابعة لليونسكو في مجال التراث الحي. وانطلاقًا من ذلك، طلبت اللجنة من مراكز الفئة الثانية مواصلة دعم تنفيذ الدورة التالية للتقارير الدورية، ولا سيما في الانتقال نحو نظام عالمي موحد لتقديم التقارير (القرار </w:t>
      </w:r>
      <w:hyperlink r:id="rId27" w:history="1">
        <w:r w:rsidR="006040FD" w:rsidRPr="002339C6">
          <w:rPr>
            <w:rStyle w:val="Hyperlink"/>
            <w:lang w:val="en-US"/>
          </w:rPr>
          <w:t>20.COM 6.c</w:t>
        </w:r>
      </w:hyperlink>
      <w:r w:rsidRPr="00EA4CB6">
        <w:rPr>
          <w:rtl/>
          <w:lang w:eastAsia="ar"/>
        </w:rPr>
        <w:t xml:space="preserve"> و</w:t>
      </w:r>
      <w:r w:rsidRPr="00EA4CB6">
        <w:rPr>
          <w:rStyle w:val="ui-provider"/>
          <w:rtl/>
          <w:lang w:eastAsia="ar"/>
        </w:rPr>
        <w:t>الوثيقة</w:t>
      </w:r>
      <w:hyperlink r:id="rId28" w:history="1">
        <w:r w:rsidR="006040FD" w:rsidRPr="00D01D94">
          <w:rPr>
            <w:rStyle w:val="Hyperlink"/>
          </w:rPr>
          <w:t>LHE/26/11.GA/7</w:t>
        </w:r>
      </w:hyperlink>
      <w:r w:rsidR="006040FD">
        <w:rPr>
          <w:lang w:val="en-US"/>
        </w:rPr>
        <w:t xml:space="preserve">) </w:t>
      </w:r>
      <w:r w:rsidRPr="00EA4CB6">
        <w:rPr>
          <w:rtl/>
          <w:lang w:eastAsia="ar"/>
        </w:rPr>
        <w:t>)</w:t>
      </w:r>
      <w:r w:rsidR="006040FD">
        <w:rPr>
          <w:lang w:eastAsia="ar"/>
        </w:rPr>
        <w:t>.</w:t>
      </w:r>
    </w:p>
    <w:p w14:paraId="4CC9A298" w14:textId="782345F1" w:rsidR="0062777D" w:rsidRPr="00EA4CB6" w:rsidRDefault="0062777D" w:rsidP="0062777D">
      <w:pPr>
        <w:pStyle w:val="COMPara"/>
        <w:bidi/>
        <w:ind w:left="567" w:hanging="567"/>
        <w:jc w:val="both"/>
      </w:pPr>
      <w:r w:rsidRPr="00EA4CB6">
        <w:rPr>
          <w:rtl/>
          <w:lang w:eastAsia="ar"/>
        </w:rPr>
        <w:t xml:space="preserve">واصلت آلية </w:t>
      </w:r>
      <w:r w:rsidRPr="00EA4CB6">
        <w:rPr>
          <w:u w:val="single"/>
          <w:rtl/>
          <w:lang w:eastAsia="ar"/>
        </w:rPr>
        <w:t>المساعدة الدولية</w:t>
      </w:r>
      <w:r w:rsidRPr="00EA4CB6">
        <w:rPr>
          <w:rtl/>
          <w:lang w:eastAsia="ar"/>
        </w:rPr>
        <w:t xml:space="preserve"> تفعيل الإستراتيجية التي أقرتها اللجنة في دورتها السابعة عشرة (القرار</w:t>
      </w:r>
      <w:hyperlink r:id="rId29" w:history="1">
        <w:r w:rsidR="005C6677" w:rsidRPr="0053296F">
          <w:rPr>
            <w:rStyle w:val="Hyperlink"/>
          </w:rPr>
          <w:t>17.COM 11</w:t>
        </w:r>
      </w:hyperlink>
      <w:r w:rsidR="005C6677">
        <w:t xml:space="preserve"> </w:t>
      </w:r>
      <w:r w:rsidRPr="00EA4CB6">
        <w:rPr>
          <w:rtl/>
          <w:lang w:eastAsia="ar"/>
        </w:rPr>
        <w:t xml:space="preserve">)، وخاصةً مع إطلاق عملية التقييم التجريبية لمشروعين مكتملين تم تنفيذهما وفقًا للإستراتيجية المذكورة سابقًا. وفي الوقت نفسه، واصلت الأمانة دعم جهود الصون الوطنية، إذ تلقت </w:t>
      </w:r>
      <w:r w:rsidR="00F96898">
        <w:rPr>
          <w:lang w:eastAsia="ar"/>
        </w:rPr>
        <w:t>15</w:t>
      </w:r>
      <w:r w:rsidRPr="00EA4CB6">
        <w:rPr>
          <w:rtl/>
          <w:lang w:eastAsia="ar"/>
        </w:rPr>
        <w:t xml:space="preserve"> دولة طرفًا (بما في ذلك </w:t>
      </w:r>
      <w:r w:rsidRPr="00F96898">
        <w:rPr>
          <w:rtl/>
          <w:lang w:eastAsia="ar"/>
        </w:rPr>
        <w:t>خمس دول</w:t>
      </w:r>
      <w:r w:rsidRPr="00EA4CB6">
        <w:rPr>
          <w:rtl/>
          <w:lang w:eastAsia="ar"/>
        </w:rPr>
        <w:t xml:space="preserve"> جزرية صغيرة نامية) مساعدة مالية لأول مرة، وهذا وسع النطاق الجغرافي للآلية (الوثيقتان</w:t>
      </w:r>
      <w:hyperlink r:id="rId30" w:history="1">
        <w:r w:rsidR="005C6677" w:rsidRPr="00D01D94">
          <w:rPr>
            <w:rStyle w:val="Hyperlink"/>
          </w:rPr>
          <w:t>LHE/26/11.GA/8</w:t>
        </w:r>
      </w:hyperlink>
      <w:r w:rsidR="005C6677">
        <w:t xml:space="preserve"> </w:t>
      </w:r>
      <w:r w:rsidRPr="00EA4CB6">
        <w:rPr>
          <w:rtl/>
          <w:lang w:eastAsia="ar"/>
        </w:rPr>
        <w:t xml:space="preserve"> و</w:t>
      </w:r>
      <w:hyperlink r:id="rId31" w:history="1">
        <w:r w:rsidR="005C6677" w:rsidRPr="00D01D94">
          <w:rPr>
            <w:rStyle w:val="Hyperlink"/>
          </w:rPr>
          <w:t>LHE/26/11.GA/INF.8</w:t>
        </w:r>
      </w:hyperlink>
      <w:r w:rsidR="005C6677">
        <w:t xml:space="preserve"> </w:t>
      </w:r>
      <w:r w:rsidRPr="00EA4CB6">
        <w:rPr>
          <w:rtl/>
          <w:lang w:eastAsia="ar"/>
        </w:rPr>
        <w:t>).</w:t>
      </w:r>
    </w:p>
    <w:p w14:paraId="6E6F90B6" w14:textId="7C3F35CB" w:rsidR="0062777D" w:rsidRPr="00EA4CB6" w:rsidRDefault="0062777D" w:rsidP="0062777D">
      <w:pPr>
        <w:pStyle w:val="COMPara"/>
        <w:numPr>
          <w:ilvl w:val="0"/>
          <w:numId w:val="4"/>
        </w:numPr>
        <w:bidi/>
        <w:spacing w:before="240"/>
        <w:ind w:left="567" w:hanging="567"/>
        <w:jc w:val="both"/>
        <w:rPr>
          <w:b/>
          <w:bCs/>
        </w:rPr>
      </w:pPr>
      <w:r w:rsidRPr="00EA4CB6">
        <w:rPr>
          <w:b/>
          <w:bCs/>
          <w:rtl/>
          <w:lang w:eastAsia="ar"/>
        </w:rPr>
        <w:t xml:space="preserve">الأنشطة </w:t>
      </w:r>
      <w:r w:rsidR="00A41528" w:rsidRPr="00D01D94">
        <w:rPr>
          <w:rFonts w:hint="eastAsia"/>
          <w:b/>
          <w:bCs/>
          <w:rtl/>
          <w:lang w:eastAsia="ar"/>
        </w:rPr>
        <w:t>التنفيذية</w:t>
      </w:r>
      <w:r w:rsidRPr="00EA4CB6">
        <w:rPr>
          <w:b/>
          <w:bCs/>
          <w:rtl/>
          <w:lang w:eastAsia="ar"/>
        </w:rPr>
        <w:t xml:space="preserve"> والمبادرات المواضيعية</w:t>
      </w:r>
    </w:p>
    <w:p w14:paraId="490F7ABF" w14:textId="2DD18114" w:rsidR="0062777D" w:rsidRPr="00EA4CB6" w:rsidRDefault="0062777D" w:rsidP="0062777D">
      <w:pPr>
        <w:pStyle w:val="COMPara"/>
        <w:bidi/>
        <w:ind w:left="567" w:hanging="567"/>
        <w:jc w:val="both"/>
      </w:pPr>
      <w:r w:rsidRPr="00EA4CB6">
        <w:rPr>
          <w:rtl/>
          <w:lang w:eastAsia="ar"/>
        </w:rPr>
        <w:t xml:space="preserve">من الناحية </w:t>
      </w:r>
      <w:r w:rsidR="00A41528" w:rsidRPr="00E05AD4">
        <w:rPr>
          <w:rFonts w:hint="cs"/>
          <w:rtl/>
        </w:rPr>
        <w:t>التنفيذية</w:t>
      </w:r>
      <w:r w:rsidRPr="00EA4CB6">
        <w:rPr>
          <w:rtl/>
          <w:lang w:eastAsia="ar"/>
        </w:rPr>
        <w:t xml:space="preserve">، اتسع نطاق </w:t>
      </w:r>
      <w:r w:rsidRPr="00EA4CB6">
        <w:rPr>
          <w:u w:val="single"/>
          <w:rtl/>
          <w:lang w:eastAsia="ar"/>
        </w:rPr>
        <w:t>مبادرات بناء القدرات</w:t>
      </w:r>
      <w:r w:rsidRPr="00EA4CB6">
        <w:rPr>
          <w:rtl/>
          <w:lang w:eastAsia="ar"/>
        </w:rPr>
        <w:t xml:space="preserve"> للأمانة ومداها في إطار أولوية التمويل الأولى بموجب الاتفاقية (التي اختتمت في نهاية عام 2025؛ انظر الوثيقة </w:t>
      </w:r>
      <w:hyperlink r:id="rId32" w:history="1">
        <w:r w:rsidR="0032142C">
          <w:rPr>
            <w:rStyle w:val="Hyperlink"/>
          </w:rPr>
          <w:t>LHE/25/20.COM/INF.13.1</w:t>
        </w:r>
      </w:hyperlink>
      <w:r w:rsidRPr="00EA4CB6">
        <w:rPr>
          <w:rtl/>
          <w:lang w:eastAsia="ar"/>
        </w:rPr>
        <w:t>)، مع تقديم الدعم إلى 127 دولة عضوًا، بما في ذلك 44 دولة في إفريقيا و33 دولة جزرية صغيرة نامية، لوضع سياسات وإستراتيجيات وبرامج جديدة أو منقحة لصون التراث الحي.</w:t>
      </w:r>
    </w:p>
    <w:p w14:paraId="71E4C920" w14:textId="3AE611E3" w:rsidR="0062777D" w:rsidRPr="00EA4CB6" w:rsidRDefault="0062777D" w:rsidP="0032142C">
      <w:pPr>
        <w:pStyle w:val="COMPara"/>
        <w:bidi/>
        <w:ind w:left="567" w:hanging="567"/>
        <w:jc w:val="both"/>
      </w:pPr>
      <w:r w:rsidRPr="00EA4CB6">
        <w:rPr>
          <w:rtl/>
          <w:lang w:eastAsia="ar"/>
        </w:rPr>
        <w:t xml:space="preserve">مع انتهاء المرحلة الأولى من أولويات التمويل، يكون برنامج بناء القدرات قد أكمل فعليًا انتقاله إلى نموذج مختلط، لا سيما مع إطلاق </w:t>
      </w:r>
      <w:r w:rsidRPr="00EA4CB6">
        <w:rPr>
          <w:u w:val="single"/>
          <w:rtl/>
          <w:lang w:eastAsia="ar"/>
        </w:rPr>
        <w:t>منصة التعلم التابعة إلى اليونسكو من أجل صون التراث الحي من أجل التنمية المستدامة</w:t>
      </w:r>
      <w:r w:rsidRPr="00EA4CB6">
        <w:rPr>
          <w:rtl/>
          <w:lang w:eastAsia="ar"/>
        </w:rPr>
        <w:t xml:space="preserve">. من خلال شراكة مع المركز الدولي للتدريب التابع لمنظمة العمل الدولية، بالإضافة إلى شركة خارجية وجهات تيسير، أُطلِقت المنصة للجمهور في 23 </w:t>
      </w:r>
      <w:r w:rsidR="0032142C" w:rsidRPr="00D01D94">
        <w:rPr>
          <w:rFonts w:hint="eastAsia"/>
          <w:rtl/>
          <w:lang w:eastAsia="ar"/>
        </w:rPr>
        <w:t>حزيران</w:t>
      </w:r>
      <w:r w:rsidR="0032142C">
        <w:rPr>
          <w:lang w:eastAsia="ar"/>
        </w:rPr>
        <w:t>/</w:t>
      </w:r>
      <w:r w:rsidRPr="00EA4CB6">
        <w:rPr>
          <w:rtl/>
          <w:lang w:eastAsia="ar"/>
        </w:rPr>
        <w:t xml:space="preserve">مايو 2025، ورُفِعت </w:t>
      </w:r>
      <w:hyperlink r:id="rId33" w:history="1">
        <w:r w:rsidRPr="00EA4CB6">
          <w:rPr>
            <w:rStyle w:val="Hyperlink"/>
            <w:rtl/>
            <w:lang w:eastAsia="ar"/>
          </w:rPr>
          <w:t>الوحدات الثلاث</w:t>
        </w:r>
      </w:hyperlink>
      <w:r w:rsidRPr="00EA4CB6">
        <w:rPr>
          <w:rtl/>
          <w:lang w:eastAsia="ar"/>
        </w:rPr>
        <w:t xml:space="preserve"> الأولى في </w:t>
      </w:r>
      <w:r w:rsidR="0032142C" w:rsidRPr="0032142C">
        <w:rPr>
          <w:rtl/>
          <w:lang w:eastAsia="ar"/>
        </w:rPr>
        <w:t>كانون الاول</w:t>
      </w:r>
      <w:r w:rsidR="0032142C">
        <w:rPr>
          <w:lang w:eastAsia="ar"/>
        </w:rPr>
        <w:t>/</w:t>
      </w:r>
      <w:r w:rsidRPr="00EA4CB6">
        <w:rPr>
          <w:rtl/>
          <w:lang w:eastAsia="ar"/>
        </w:rPr>
        <w:t xml:space="preserve">ديسمبر 2025 وعُرضت في الدورة العشرين للجنة. وعلى المنوال نفسه، تلقت </w:t>
      </w:r>
      <w:r w:rsidRPr="00EA4CB6">
        <w:rPr>
          <w:u w:val="single"/>
          <w:rtl/>
          <w:lang w:eastAsia="ar"/>
        </w:rPr>
        <w:t>الشبكة العالمية لجهات التيسير</w:t>
      </w:r>
      <w:r w:rsidRPr="00EA4CB6">
        <w:rPr>
          <w:rtl/>
          <w:lang w:eastAsia="ar"/>
        </w:rPr>
        <w:t xml:space="preserve"> التابعة للاتفاقية تدريبًا في المجالات المواضيعية للاتفاقية، من خلال سلسلة من الندوات التدريبية عبر الإنترنت حول الروابط بين التراث الحي و(1) </w:t>
      </w:r>
      <w:hyperlink r:id="rId34" w:history="1">
        <w:r w:rsidRPr="00EA4CB6">
          <w:rPr>
            <w:rStyle w:val="Hyperlink"/>
            <w:rtl/>
            <w:lang w:eastAsia="ar"/>
          </w:rPr>
          <w:t>الحد من مخاطر الكوارث</w:t>
        </w:r>
      </w:hyperlink>
      <w:r w:rsidRPr="00EA4CB6">
        <w:rPr>
          <w:rtl/>
          <w:lang w:eastAsia="ar"/>
        </w:rPr>
        <w:t xml:space="preserve"> (</w:t>
      </w:r>
      <w:r w:rsidR="0032142C" w:rsidRPr="0032142C">
        <w:rPr>
          <w:rtl/>
          <w:lang w:eastAsia="ar"/>
        </w:rPr>
        <w:t>آذار</w:t>
      </w:r>
      <w:r w:rsidR="0032142C">
        <w:rPr>
          <w:lang w:eastAsia="ar"/>
        </w:rPr>
        <w:t>/</w:t>
      </w:r>
      <w:r w:rsidRPr="00EA4CB6">
        <w:rPr>
          <w:rtl/>
          <w:lang w:eastAsia="ar"/>
        </w:rPr>
        <w:t>مارس 2025)؛ و(2)</w:t>
      </w:r>
      <w:r w:rsidR="00F602DA">
        <w:rPr>
          <w:lang w:eastAsia="ar"/>
        </w:rPr>
        <w:t xml:space="preserve"> </w:t>
      </w:r>
      <w:hyperlink r:id="rId35" w:history="1">
        <w:r w:rsidRPr="00EA4CB6">
          <w:rPr>
            <w:rStyle w:val="Hyperlink"/>
            <w:rtl/>
            <w:lang w:eastAsia="ar"/>
          </w:rPr>
          <w:t>الترشيحات</w:t>
        </w:r>
      </w:hyperlink>
      <w:r w:rsidRPr="00EA4CB6">
        <w:rPr>
          <w:rtl/>
          <w:lang w:eastAsia="ar"/>
        </w:rPr>
        <w:t xml:space="preserve"> (</w:t>
      </w:r>
      <w:r w:rsidR="0032142C" w:rsidRPr="00584319">
        <w:rPr>
          <w:rFonts w:hint="cs"/>
          <w:rtl/>
          <w:lang w:eastAsia="ar"/>
        </w:rPr>
        <w:t>حزيران</w:t>
      </w:r>
      <w:r w:rsidR="0032142C">
        <w:rPr>
          <w:lang w:eastAsia="ar"/>
        </w:rPr>
        <w:t>/</w:t>
      </w:r>
      <w:r w:rsidRPr="00EA4CB6">
        <w:rPr>
          <w:rtl/>
          <w:lang w:eastAsia="ar"/>
        </w:rPr>
        <w:t>يونيو 2025)؛ و(3)</w:t>
      </w:r>
      <w:r w:rsidR="00F602DA">
        <w:rPr>
          <w:lang w:eastAsia="ar"/>
        </w:rPr>
        <w:t xml:space="preserve"> </w:t>
      </w:r>
      <w:hyperlink r:id="rId36" w:history="1">
        <w:r w:rsidRPr="00EA4CB6">
          <w:rPr>
            <w:rStyle w:val="Hyperlink"/>
            <w:rtl/>
            <w:lang w:eastAsia="ar"/>
          </w:rPr>
          <w:t>التعليم</w:t>
        </w:r>
      </w:hyperlink>
      <w:r w:rsidRPr="00EA4CB6">
        <w:rPr>
          <w:rtl/>
          <w:lang w:eastAsia="ar"/>
        </w:rPr>
        <w:t xml:space="preserve"> (</w:t>
      </w:r>
      <w:r w:rsidR="0032142C" w:rsidRPr="0032142C">
        <w:rPr>
          <w:rtl/>
          <w:lang w:eastAsia="ar"/>
        </w:rPr>
        <w:t>تموز</w:t>
      </w:r>
      <w:r w:rsidR="0032142C">
        <w:rPr>
          <w:lang w:eastAsia="ar"/>
        </w:rPr>
        <w:t>/</w:t>
      </w:r>
      <w:r w:rsidRPr="00EA4CB6">
        <w:rPr>
          <w:rtl/>
          <w:lang w:eastAsia="ar"/>
        </w:rPr>
        <w:t>يوليو 2025).</w:t>
      </w:r>
    </w:p>
    <w:p w14:paraId="7104C55C" w14:textId="740C2823" w:rsidR="0062777D" w:rsidRPr="00EA4CB6" w:rsidRDefault="00B21AC7" w:rsidP="0062777D">
      <w:pPr>
        <w:pStyle w:val="COMPara"/>
        <w:bidi/>
        <w:ind w:left="567" w:hanging="567"/>
        <w:jc w:val="both"/>
      </w:pPr>
      <w:r w:rsidRPr="00B21AC7">
        <w:rPr>
          <w:rtl/>
          <w:lang w:eastAsia="ar"/>
        </w:rPr>
        <w:t>تم</w:t>
      </w:r>
      <w:r>
        <w:rPr>
          <w:lang w:eastAsia="ar"/>
        </w:rPr>
        <w:t xml:space="preserve"> </w:t>
      </w:r>
      <w:r w:rsidRPr="00B21AC7">
        <w:rPr>
          <w:rtl/>
          <w:lang w:eastAsia="ar"/>
        </w:rPr>
        <w:t xml:space="preserve">تنفيذ </w:t>
      </w:r>
      <w:r w:rsidR="0062777D" w:rsidRPr="00EA4CB6">
        <w:rPr>
          <w:rtl/>
          <w:lang w:eastAsia="ar"/>
        </w:rPr>
        <w:t xml:space="preserve">برنامج </w:t>
      </w:r>
      <w:r w:rsidR="0062777D" w:rsidRPr="00EA4CB6">
        <w:rPr>
          <w:u w:val="single"/>
          <w:rtl/>
          <w:lang w:eastAsia="ar"/>
        </w:rPr>
        <w:t>المتعلق بصون التراث الثقافي غير المادي في التعليم النظامي وغير النظامي</w:t>
      </w:r>
      <w:r w:rsidR="0062777D" w:rsidRPr="00EA4CB6">
        <w:rPr>
          <w:rtl/>
          <w:lang w:eastAsia="ar"/>
        </w:rPr>
        <w:t xml:space="preserve"> </w:t>
      </w:r>
      <w:r w:rsidRPr="00B21AC7">
        <w:rPr>
          <w:rtl/>
          <w:lang w:eastAsia="ar"/>
        </w:rPr>
        <w:t xml:space="preserve">في إطار أولوية التمويل الثانية للاتفاقية (الوثيقة </w:t>
      </w:r>
      <w:hyperlink r:id="rId37" w:history="1">
        <w:r w:rsidRPr="00D01D94">
          <w:rPr>
            <w:rStyle w:val="Hyperlink"/>
          </w:rPr>
          <w:t>LHE/25/20.COM/INF.13.2</w:t>
        </w:r>
      </w:hyperlink>
      <w:r w:rsidRPr="00B21AC7">
        <w:rPr>
          <w:rtl/>
          <w:lang w:eastAsia="ar"/>
        </w:rPr>
        <w:t>)، والتي انتهت في عام 2025</w:t>
      </w:r>
      <w:r w:rsidR="0062777D" w:rsidRPr="00EA4CB6">
        <w:rPr>
          <w:rtl/>
          <w:lang w:eastAsia="ar"/>
        </w:rPr>
        <w:t xml:space="preserve">. لقد أثبت البرنامج بنجاح كيف يمكن للتراث الحي أن يدعم المتعلمين في سياقات تعليمية متنوعة، لا سيما من خلال دمج صون التراث الحي في أطر التعليم الدولية الكبرى، مثل </w:t>
      </w:r>
      <w:hyperlink r:id="rId38" w:history="1">
        <w:r w:rsidR="0062777D" w:rsidRPr="00EA4CB6">
          <w:rPr>
            <w:rStyle w:val="Hyperlink"/>
            <w:rtl/>
            <w:lang w:eastAsia="ar"/>
          </w:rPr>
          <w:t>إطار اليونسكو لتعليم الثقافة والفنون</w:t>
        </w:r>
      </w:hyperlink>
      <w:r w:rsidR="0062777D" w:rsidRPr="00EA4CB6">
        <w:rPr>
          <w:rtl/>
          <w:lang w:eastAsia="ar"/>
        </w:rPr>
        <w:t xml:space="preserve"> (2024). كما تم تطوير موارد إلكترونية في هذا المجال خلال الفترة المشمولة بالتقرير، ويشمل ذلك </w:t>
      </w:r>
      <w:hyperlink r:id="rId39" w:history="1">
        <w:r w:rsidR="0062777D" w:rsidRPr="00EA4CB6">
          <w:rPr>
            <w:rStyle w:val="Hyperlink"/>
            <w:rtl/>
            <w:lang w:eastAsia="ar"/>
          </w:rPr>
          <w:t>مركز تبادل المعلومات بشأن التراث الحي والتربية والتعليم</w:t>
        </w:r>
      </w:hyperlink>
      <w:r w:rsidR="0062777D" w:rsidRPr="00EA4CB6">
        <w:rPr>
          <w:rtl/>
          <w:lang w:eastAsia="ar"/>
        </w:rPr>
        <w:t xml:space="preserve"> بالإضافة إلى دورة تدريبية عبر الإنترنت بعنوان </w:t>
      </w:r>
      <w:hyperlink r:id="rId40" w:history="1">
        <w:r w:rsidR="0062777D" w:rsidRPr="00EA4CB6">
          <w:rPr>
            <w:rStyle w:val="Hyperlink"/>
            <w:rtl/>
            <w:lang w:eastAsia="ar"/>
          </w:rPr>
          <w:t>"تحول التعليم من خلال التراث الحي"</w:t>
        </w:r>
      </w:hyperlink>
      <w:r w:rsidR="0062777D" w:rsidRPr="00EA4CB6">
        <w:rPr>
          <w:rtl/>
          <w:lang w:eastAsia="ar"/>
        </w:rPr>
        <w:t>، والتي تم إصدارها على منصة التعلم التابعة إلى اليونسكو في الدورة العشرين للجنة.</w:t>
      </w:r>
    </w:p>
    <w:p w14:paraId="5F145A9F" w14:textId="4DBB6E10" w:rsidR="0062777D" w:rsidRPr="00EA4CB6" w:rsidRDefault="0062777D" w:rsidP="0062777D">
      <w:pPr>
        <w:pStyle w:val="COMPara"/>
        <w:bidi/>
        <w:ind w:left="567" w:hanging="567"/>
        <w:jc w:val="both"/>
      </w:pPr>
      <w:r w:rsidRPr="00EA4CB6">
        <w:rPr>
          <w:rtl/>
          <w:lang w:eastAsia="ar"/>
        </w:rPr>
        <w:t xml:space="preserve">وأخيرًا، عززت الأمانة تنفيذ </w:t>
      </w:r>
      <w:r w:rsidRPr="00EA4CB6">
        <w:rPr>
          <w:u w:val="single"/>
          <w:rtl/>
          <w:lang w:eastAsia="ar"/>
        </w:rPr>
        <w:t>المبادرات المواضيعية</w:t>
      </w:r>
      <w:r w:rsidRPr="00EA4CB6">
        <w:rPr>
          <w:rtl/>
          <w:lang w:eastAsia="ar"/>
        </w:rPr>
        <w:t xml:space="preserve"> الثلاث التي أقرتها اللجنة في عام 2021، وذلك بالانتهاء من إعداد </w:t>
      </w:r>
      <w:hyperlink r:id="rId41" w:history="1">
        <w:r w:rsidRPr="00EA4CB6">
          <w:rPr>
            <w:rStyle w:val="Hyperlink"/>
            <w:rtl/>
            <w:lang w:eastAsia="ar"/>
          </w:rPr>
          <w:t>الملاحظات التوجيهية</w:t>
        </w:r>
      </w:hyperlink>
      <w:r w:rsidRPr="00EA4CB6">
        <w:rPr>
          <w:rtl/>
          <w:lang w:eastAsia="ar"/>
        </w:rPr>
        <w:t xml:space="preserve"> للموضوعات الثلاثة، وهي: </w:t>
      </w:r>
      <w:hyperlink r:id="rId42" w:history="1">
        <w:r w:rsidRPr="00EA4CB6">
          <w:rPr>
            <w:rStyle w:val="Hyperlink"/>
            <w:rtl/>
            <w:lang w:eastAsia="ar"/>
          </w:rPr>
          <w:t>الأبعاد الاقتصادية</w:t>
        </w:r>
      </w:hyperlink>
      <w:r w:rsidRPr="00EA4CB6">
        <w:rPr>
          <w:rtl/>
          <w:lang w:eastAsia="ar"/>
        </w:rPr>
        <w:t xml:space="preserve"> لصون التراث الثقافي غير المادي، والتراث الثقافي غير المادي و</w:t>
      </w:r>
      <w:hyperlink r:id="rId43" w:history="1">
        <w:r w:rsidRPr="00EA4CB6">
          <w:rPr>
            <w:rStyle w:val="Hyperlink"/>
            <w:rtl/>
            <w:lang w:eastAsia="ar"/>
          </w:rPr>
          <w:t>تغير المناخ</w:t>
        </w:r>
      </w:hyperlink>
      <w:r w:rsidRPr="00EA4CB6">
        <w:rPr>
          <w:rtl/>
          <w:lang w:eastAsia="ar"/>
        </w:rPr>
        <w:t xml:space="preserve">، والتراث الثقافي غير المادي في </w:t>
      </w:r>
      <w:hyperlink r:id="rId44" w:history="1">
        <w:r w:rsidRPr="00EA4CB6">
          <w:rPr>
            <w:rStyle w:val="Hyperlink"/>
            <w:rtl/>
            <w:lang w:eastAsia="ar"/>
          </w:rPr>
          <w:t>السياقات الحضرية</w:t>
        </w:r>
      </w:hyperlink>
      <w:r w:rsidRPr="00EA4CB6">
        <w:rPr>
          <w:rtl/>
          <w:lang w:eastAsia="ar"/>
        </w:rPr>
        <w:t xml:space="preserve">. وقد وفر الانتهاء من إعداد الملاحظات التوجيهية الثلاث للأمانة أساسًا متينًا لمزيد من العمل القطاعي المحدد في هذه المجالات (انظر الوثيقة </w:t>
      </w:r>
      <w:hyperlink r:id="rId45" w:history="1">
        <w:r w:rsidR="005B1245" w:rsidRPr="00072C50">
          <w:rPr>
            <w:rStyle w:val="Hyperlink"/>
          </w:rPr>
          <w:t>LHE/25/20.COM</w:t>
        </w:r>
        <w:r w:rsidR="007E72C5">
          <w:rPr>
            <w:rStyle w:val="Hyperlink"/>
          </w:rPr>
          <w:t>/</w:t>
        </w:r>
        <w:r w:rsidR="005B1245" w:rsidRPr="00072C50">
          <w:rPr>
            <w:rStyle w:val="Hyperlink"/>
          </w:rPr>
          <w:t>12</w:t>
        </w:r>
      </w:hyperlink>
      <w:r w:rsidRPr="00EA4CB6">
        <w:rPr>
          <w:rtl/>
          <w:lang w:eastAsia="ar"/>
        </w:rPr>
        <w:t xml:space="preserve">). وفي دورتها العشرين، وافقت اللجنة أيضًا على إطلاق مبادرة مواضيعية جديدة بشأن الذكاء الاصطناعي والتراث الحي، والتي تلقت بالفعل دعمًا ماليًا من مملكة هولندا والسويد (القراران </w:t>
      </w:r>
      <w:hyperlink r:id="rId46" w:history="1">
        <w:r w:rsidR="005B1245" w:rsidRPr="00AF49D1">
          <w:rPr>
            <w:rStyle w:val="Hyperlink"/>
          </w:rPr>
          <w:t>20.COM 12</w:t>
        </w:r>
      </w:hyperlink>
      <w:r w:rsidRPr="00EA4CB6">
        <w:rPr>
          <w:rtl/>
          <w:lang w:eastAsia="ar"/>
        </w:rPr>
        <w:t xml:space="preserve"> و</w:t>
      </w:r>
      <w:hyperlink r:id="rId47" w:history="1">
        <w:r w:rsidR="005B1245" w:rsidRPr="00AF49D1">
          <w:rPr>
            <w:rStyle w:val="Hyperlink"/>
          </w:rPr>
          <w:t>20.COM 13</w:t>
        </w:r>
      </w:hyperlink>
      <w:r w:rsidRPr="00EA4CB6">
        <w:rPr>
          <w:rtl/>
          <w:lang w:eastAsia="ar"/>
        </w:rPr>
        <w:t>).</w:t>
      </w:r>
    </w:p>
    <w:p w14:paraId="2AE57DE0" w14:textId="77777777" w:rsidR="0062777D" w:rsidRPr="00EA4CB6" w:rsidRDefault="0062777D" w:rsidP="0062777D">
      <w:pPr>
        <w:pStyle w:val="COMPara"/>
        <w:numPr>
          <w:ilvl w:val="0"/>
          <w:numId w:val="4"/>
        </w:numPr>
        <w:bidi/>
        <w:spacing w:before="240"/>
        <w:ind w:left="567" w:hanging="567"/>
        <w:jc w:val="both"/>
        <w:rPr>
          <w:b/>
          <w:bCs/>
        </w:rPr>
      </w:pPr>
      <w:r w:rsidRPr="00EA4CB6">
        <w:rPr>
          <w:b/>
          <w:bCs/>
          <w:rtl/>
          <w:lang w:eastAsia="ar"/>
        </w:rPr>
        <w:t>الشراكات والاتصالات والتوعية</w:t>
      </w:r>
    </w:p>
    <w:p w14:paraId="411AB45F" w14:textId="2A7A4A2F" w:rsidR="0062777D" w:rsidRPr="00EA4CB6" w:rsidRDefault="0062777D" w:rsidP="0062777D">
      <w:pPr>
        <w:pStyle w:val="COMPara"/>
        <w:bidi/>
        <w:ind w:left="567" w:hanging="567"/>
        <w:jc w:val="both"/>
      </w:pPr>
      <w:r w:rsidRPr="00EA4CB6">
        <w:rPr>
          <w:rtl/>
          <w:lang w:eastAsia="ar"/>
        </w:rPr>
        <w:t xml:space="preserve">واصلت الأمانة العامة تعزيز تعاونها مع </w:t>
      </w:r>
      <w:r w:rsidRPr="00EA4CB6">
        <w:rPr>
          <w:u w:val="single"/>
          <w:rtl/>
          <w:lang w:eastAsia="ar"/>
        </w:rPr>
        <w:t>منتدى المنظمات غير الحكومية المعني بالتراث الثقافي غير المادي</w:t>
      </w:r>
      <w:r w:rsidRPr="00EA4CB6">
        <w:rPr>
          <w:rtl/>
          <w:lang w:eastAsia="ar"/>
        </w:rPr>
        <w:t xml:space="preserve">، من خلال اجتماعات منتظمة لتبادل المعلومات مع المجلس التنفيذي للمنتدى وفرق العمل التابعة له. تماشيًا مع القرار </w:t>
      </w:r>
      <w:hyperlink r:id="rId48" w:history="1">
        <w:r w:rsidR="00FF659D" w:rsidRPr="00974E2B">
          <w:rPr>
            <w:rStyle w:val="Hyperlink"/>
          </w:rPr>
          <w:t>14.COM 15</w:t>
        </w:r>
      </w:hyperlink>
      <w:r w:rsidRPr="00EA4CB6">
        <w:rPr>
          <w:rtl/>
          <w:lang w:eastAsia="ar"/>
        </w:rPr>
        <w:t xml:space="preserve">، أنجزت الأمانة المرحلة الأولى من تحديد مجالات اختصاصات 60 منظمة غير حكومية معتمدة (متوفرة الآن على </w:t>
      </w:r>
      <w:hyperlink r:id="rId49" w:history="1">
        <w:r w:rsidRPr="00EA4CB6">
          <w:rPr>
            <w:rStyle w:val="Hyperlink"/>
            <w:rtl/>
            <w:lang w:eastAsia="ar"/>
          </w:rPr>
          <w:t>صفحة الاتفاقية الإلكترونية</w:t>
        </w:r>
      </w:hyperlink>
      <w:r w:rsidRPr="00EA4CB6">
        <w:rPr>
          <w:rtl/>
          <w:lang w:eastAsia="ar"/>
        </w:rPr>
        <w:t>)، والمرحلة الثانية من عملية التحديد (لـ 100 ملف تعريف للمنظمات غير الحكومية) جارية حاليًا.</w:t>
      </w:r>
    </w:p>
    <w:p w14:paraId="38866A9E" w14:textId="307CB5E8" w:rsidR="0062777D" w:rsidRPr="00EA4CB6" w:rsidRDefault="0062777D" w:rsidP="0062777D">
      <w:pPr>
        <w:pStyle w:val="COMPara"/>
        <w:bidi/>
        <w:ind w:left="567" w:hanging="567"/>
        <w:jc w:val="both"/>
      </w:pPr>
      <w:r w:rsidRPr="00EA4CB6">
        <w:rPr>
          <w:rtl/>
          <w:lang w:eastAsia="ar"/>
        </w:rPr>
        <w:t xml:space="preserve">كما واصلت الأمانة تعاونها مع </w:t>
      </w:r>
      <w:r w:rsidRPr="00EA4CB6">
        <w:rPr>
          <w:u w:val="single"/>
          <w:rtl/>
          <w:lang w:eastAsia="ar"/>
        </w:rPr>
        <w:t>مراكز الفئة الثانية</w:t>
      </w:r>
      <w:r w:rsidRPr="00EA4CB6">
        <w:rPr>
          <w:rtl/>
          <w:lang w:eastAsia="ar"/>
        </w:rPr>
        <w:t xml:space="preserve"> </w:t>
      </w:r>
      <w:r w:rsidRPr="00D01D94">
        <w:rPr>
          <w:rtl/>
          <w:lang w:eastAsia="ar"/>
        </w:rPr>
        <w:t>و</w:t>
      </w:r>
      <w:r w:rsidRPr="00EA4CB6">
        <w:rPr>
          <w:u w:val="single"/>
          <w:rtl/>
          <w:lang w:eastAsia="ar"/>
        </w:rPr>
        <w:t>كراسي اليونسكو الجامعية</w:t>
      </w:r>
      <w:r w:rsidRPr="00EA4CB6">
        <w:rPr>
          <w:rtl/>
          <w:lang w:eastAsia="ar"/>
        </w:rPr>
        <w:t xml:space="preserve"> العاملة في مجال التراث الثقافي غير المادي. فيما يتعلق بمراكز الفئة الثانية، عُقد اجتماع التنسيق السنوي الثاني عشر في مقر اليونسكو في 13 </w:t>
      </w:r>
      <w:r w:rsidR="00FF659D" w:rsidRPr="00584319">
        <w:rPr>
          <w:rFonts w:hint="cs"/>
          <w:rtl/>
          <w:lang w:eastAsia="ar"/>
        </w:rPr>
        <w:t>حزيران</w:t>
      </w:r>
      <w:r w:rsidR="00FF659D">
        <w:rPr>
          <w:lang w:eastAsia="ar"/>
        </w:rPr>
        <w:t>/</w:t>
      </w:r>
      <w:r w:rsidRPr="00EA4CB6">
        <w:rPr>
          <w:rtl/>
          <w:lang w:eastAsia="ar"/>
        </w:rPr>
        <w:t xml:space="preserve">يونيو 2024، بينما عُقد الاجتماع الثالث عشر عبر الإنترنت في 16 </w:t>
      </w:r>
      <w:r w:rsidR="00320F79" w:rsidRPr="0032142C">
        <w:rPr>
          <w:rtl/>
          <w:lang w:eastAsia="ar"/>
        </w:rPr>
        <w:t>تموز</w:t>
      </w:r>
      <w:r w:rsidR="00320F79">
        <w:rPr>
          <w:lang w:eastAsia="ar"/>
        </w:rPr>
        <w:t>/</w:t>
      </w:r>
      <w:r w:rsidRPr="00EA4CB6">
        <w:rPr>
          <w:rtl/>
          <w:lang w:eastAsia="ar"/>
        </w:rPr>
        <w:t xml:space="preserve">يوليو 2025. إضافةً إلى ذلك، نسّقت الأمانة إجراءات التجديد </w:t>
      </w:r>
      <w:r w:rsidR="00EA4231" w:rsidRPr="00EA4CB6">
        <w:rPr>
          <w:rtl/>
          <w:lang w:eastAsia="ar"/>
        </w:rPr>
        <w:t>خمسة</w:t>
      </w:r>
      <w:r w:rsidRPr="00EA4CB6">
        <w:rPr>
          <w:rtl/>
          <w:lang w:eastAsia="ar"/>
        </w:rPr>
        <w:t xml:space="preserve"> مراكز من الفئة الثانية</w:t>
      </w:r>
      <w:r w:rsidRPr="00EA4CB6">
        <w:rPr>
          <w:rStyle w:val="FootnoteReference"/>
          <w:rtl/>
          <w:lang w:eastAsia="ar"/>
        </w:rPr>
        <w:footnoteReference w:id="2"/>
      </w:r>
      <w:r w:rsidRPr="00EA4CB6">
        <w:rPr>
          <w:rtl/>
          <w:lang w:eastAsia="ar"/>
        </w:rPr>
        <w:t>. وشهدت الفترة المشمولة بالتقرير أيضًا تجديد خمسة كراسي اليونسكو الجامعية/برنامج توأمة الجامعات، وإنشاء كرسي جامعي جديد حول التراث الثقافي غير المادي في الحوكمة العامة والعالمية (جامعة وارسو).</w:t>
      </w:r>
    </w:p>
    <w:p w14:paraId="17B4FB87" w14:textId="452D12DD" w:rsidR="0062777D" w:rsidRPr="00EA4CB6" w:rsidRDefault="0062777D" w:rsidP="0062777D">
      <w:pPr>
        <w:pStyle w:val="COMPara"/>
        <w:bidi/>
        <w:ind w:left="567" w:hanging="567"/>
        <w:jc w:val="both"/>
      </w:pPr>
      <w:r w:rsidRPr="00EA4CB6">
        <w:rPr>
          <w:rtl/>
          <w:lang w:eastAsia="ar"/>
        </w:rPr>
        <w:lastRenderedPageBreak/>
        <w:t xml:space="preserve">تم تعزيز </w:t>
      </w:r>
      <w:r w:rsidRPr="00EA4CB6">
        <w:rPr>
          <w:u w:val="single"/>
          <w:rtl/>
          <w:lang w:eastAsia="ar"/>
        </w:rPr>
        <w:t>خدمات</w:t>
      </w:r>
      <w:r w:rsidRPr="00EA4CB6">
        <w:rPr>
          <w:rtl/>
          <w:lang w:eastAsia="ar"/>
        </w:rPr>
        <w:t xml:space="preserve"> </w:t>
      </w:r>
      <w:r w:rsidRPr="00EA4CB6">
        <w:rPr>
          <w:u w:val="single"/>
          <w:rtl/>
          <w:lang w:eastAsia="ar"/>
        </w:rPr>
        <w:t>الاتصالات</w:t>
      </w:r>
      <w:r w:rsidRPr="00EA4CB6">
        <w:rPr>
          <w:rtl/>
          <w:lang w:eastAsia="ar"/>
        </w:rPr>
        <w:t xml:space="preserve"> الاستراتيجية و</w:t>
      </w:r>
      <w:r w:rsidRPr="00EA4CB6">
        <w:rPr>
          <w:u w:val="single"/>
          <w:rtl/>
          <w:lang w:eastAsia="ar"/>
        </w:rPr>
        <w:t>خدمات إدارة المعرفة</w:t>
      </w:r>
      <w:r w:rsidRPr="00EA4CB6">
        <w:rPr>
          <w:rtl/>
          <w:lang w:eastAsia="ar"/>
        </w:rPr>
        <w:t xml:space="preserve"> خلال الفترة المشمولة بالتقرير، بما يتماشى مع تحول الاتفاقية إلى نهج المتعدد الوسائط للصون. وعلى وجه الخصوص، شهدت احتفالات </w:t>
      </w:r>
      <w:hyperlink r:id="rId50" w:history="1">
        <w:r w:rsidRPr="00EA4CB6">
          <w:rPr>
            <w:rStyle w:val="Hyperlink"/>
            <w:rtl/>
            <w:lang w:eastAsia="ar"/>
          </w:rPr>
          <w:t>اليوم الدولي للتراث الثقافي غير المادي</w:t>
        </w:r>
      </w:hyperlink>
      <w:r w:rsidRPr="00EA4CB6">
        <w:rPr>
          <w:rtl/>
          <w:lang w:eastAsia="ar"/>
        </w:rPr>
        <w:t xml:space="preserve"> (17 </w:t>
      </w:r>
      <w:r w:rsidR="00CD2EA8" w:rsidRPr="00CD2EA8">
        <w:rPr>
          <w:rtl/>
          <w:lang w:eastAsia="ar"/>
        </w:rPr>
        <w:t>تشرين الأول</w:t>
      </w:r>
      <w:r w:rsidR="00CD2EA8">
        <w:rPr>
          <w:lang w:eastAsia="ar"/>
        </w:rPr>
        <w:t>/</w:t>
      </w:r>
      <w:r w:rsidRPr="00EA4CB6">
        <w:rPr>
          <w:rtl/>
          <w:lang w:eastAsia="ar"/>
        </w:rPr>
        <w:t>أكتوبر) مشاركة عدد كبير من الأنشطة على الموقع الإلكتروني للاتفاقية (100 نشاط في عام 2024 و134 نشاطًا في عام 2025).</w:t>
      </w:r>
      <w:r w:rsidR="00CD2EA8">
        <w:rPr>
          <w:lang w:eastAsia="ar"/>
        </w:rPr>
        <w:t xml:space="preserve"> </w:t>
      </w:r>
      <w:r w:rsidR="00CD2EA8" w:rsidRPr="00CD2EA8">
        <w:rPr>
          <w:rtl/>
          <w:lang w:eastAsia="ar"/>
        </w:rPr>
        <w:t>علاوة على ذلك، دعمت الأمانة العامة إنشاء جائزة اليونسكو-السلطان هيثم لحماية التراث الثقافي غير المادي، والتي اقترحتها سلطنة عمان وتمت الموافقة على هذه الجائزة من قبل الدورة 224 للمجلس التنفيذي في نيسان</w:t>
      </w:r>
      <w:r w:rsidR="00CD2EA8">
        <w:rPr>
          <w:lang w:eastAsia="ar"/>
        </w:rPr>
        <w:t>/</w:t>
      </w:r>
      <w:r w:rsidR="00CD2EA8" w:rsidRPr="00CD2EA8">
        <w:rPr>
          <w:rtl/>
          <w:lang w:eastAsia="ar"/>
        </w:rPr>
        <w:t>أبريل 2026.</w:t>
      </w:r>
    </w:p>
    <w:p w14:paraId="15223280" w14:textId="77777777" w:rsidR="0062777D" w:rsidRPr="00EA4CB6" w:rsidRDefault="0062777D" w:rsidP="0062777D">
      <w:pPr>
        <w:pStyle w:val="COMPara"/>
        <w:keepNext/>
        <w:numPr>
          <w:ilvl w:val="0"/>
          <w:numId w:val="4"/>
        </w:numPr>
        <w:bidi/>
        <w:spacing w:before="240"/>
        <w:ind w:left="567" w:hanging="567"/>
        <w:jc w:val="both"/>
        <w:rPr>
          <w:b/>
          <w:bCs/>
        </w:rPr>
      </w:pPr>
      <w:r w:rsidRPr="00EA4CB6">
        <w:rPr>
          <w:b/>
          <w:bCs/>
          <w:rtl/>
          <w:lang w:eastAsia="ar"/>
        </w:rPr>
        <w:t>التوجهات المستقبلية للاتفاقية</w:t>
      </w:r>
    </w:p>
    <w:p w14:paraId="5BF824C7" w14:textId="38CD976C" w:rsidR="0062777D" w:rsidRPr="00EA4CB6" w:rsidRDefault="0062777D" w:rsidP="0062777D">
      <w:pPr>
        <w:pStyle w:val="COMPara"/>
        <w:bidi/>
        <w:ind w:left="567" w:hanging="567"/>
        <w:jc w:val="both"/>
      </w:pPr>
      <w:r w:rsidRPr="00EA4CB6">
        <w:rPr>
          <w:rtl/>
          <w:lang w:eastAsia="ar"/>
        </w:rPr>
        <w:t xml:space="preserve">يأتي هذا التقرير في منعطف حاسم للاتفاقية، مع اختتام أولويتي التمويل (2022-2025) اللتين حددتا حتى الآن المبادرات المواضيعية والأنشطة </w:t>
      </w:r>
      <w:r w:rsidR="000B57FC" w:rsidRPr="00E05AD4">
        <w:rPr>
          <w:rFonts w:hint="cs"/>
          <w:rtl/>
        </w:rPr>
        <w:t>التنفيذية</w:t>
      </w:r>
      <w:r w:rsidRPr="00EA4CB6">
        <w:rPr>
          <w:rtl/>
          <w:lang w:eastAsia="ar"/>
        </w:rPr>
        <w:t xml:space="preserve"> للأمانة. واستجابةً للتوجيهات الصادرة عن الهيئات الإدارية للاتفاقية، بدأت الأمانة بوضع الأسس لمنصات وأنشطة مستقبلية، مُلخصة في أولويتي التمويل الجديدتين (انظر القرار </w:t>
      </w:r>
      <w:hyperlink r:id="rId51" w:history="1">
        <w:r w:rsidR="000B57FC" w:rsidRPr="000B7CEF">
          <w:rPr>
            <w:rStyle w:val="Hyperlink"/>
          </w:rPr>
          <w:t>20.COM 13</w:t>
        </w:r>
      </w:hyperlink>
      <w:r w:rsidRPr="00EA4CB6">
        <w:rPr>
          <w:rtl/>
          <w:lang w:eastAsia="ar"/>
        </w:rPr>
        <w:t>). ستسهم هاتان الأولويتان الجديدتان في توجيه إستراتيجية بناء القدرات والمبادرات المواضيعية وشراكات الاتفاقية في المستقبل.</w:t>
      </w:r>
    </w:p>
    <w:p w14:paraId="59A7BCAF" w14:textId="1753898F" w:rsidR="0062777D" w:rsidRPr="00EA4CB6" w:rsidRDefault="0062777D" w:rsidP="00383CD9">
      <w:pPr>
        <w:pStyle w:val="COMPara"/>
        <w:bidi/>
        <w:ind w:left="567" w:hanging="567"/>
        <w:jc w:val="both"/>
      </w:pPr>
      <w:r w:rsidRPr="00EA4CB6">
        <w:rPr>
          <w:rtl/>
          <w:lang w:eastAsia="ar"/>
        </w:rPr>
        <w:t>تُظهر أولويتا التمويل الجديدتان تطورًا في نهج الأمانة في مجال صون التراث الثقافي غير المادي، شكلاً ومضمونًا. أظهرت الذكرى السنوية العشرون للاتفاقية في عام 2023 أن التراث الحي أصبح راسخًا بقوة في سياسات وبرامج الدول الأطراف في جميع المناطق الجغرافية. لذا، يستلزم هذا النجاح مزيدًا من التحسين في مناهج الصون، مع التركيز على سلامة الإنسان وتمكين</w:t>
      </w:r>
      <w:r w:rsidR="004156F5">
        <w:rPr>
          <w:lang w:eastAsia="ar"/>
        </w:rPr>
        <w:t xml:space="preserve"> </w:t>
      </w:r>
      <w:r w:rsidR="004156F5" w:rsidRPr="004156F5">
        <w:rPr>
          <w:rtl/>
          <w:lang w:eastAsia="ar"/>
        </w:rPr>
        <w:t>الجماعات</w:t>
      </w:r>
      <w:r w:rsidRPr="00EA4CB6">
        <w:rPr>
          <w:rtl/>
          <w:lang w:eastAsia="ar"/>
        </w:rPr>
        <w:t xml:space="preserve">، وهذا يضع الإدماج في صميمها (أولوية التمويل "أ")، بالإضافة إلى استكشاف مجالات مواضيعية جديدة وناشئة تربط بين التراث الحي وتحديات التنمية المستدامة (أولوية التمويل "ب"). ويعكس هذا أيضًا التوجهات المستقبلية التي انبثقت من </w:t>
      </w:r>
      <w:hyperlink r:id="rId52" w:anchor=":~:text=Outlined%20during%20the%20celebration%20of,living%20heritage%20to%20ensure%20sustainable" w:history="1">
        <w:r w:rsidRPr="00EA4CB6">
          <w:rPr>
            <w:rStyle w:val="Hyperlink"/>
            <w:rtl/>
            <w:lang w:eastAsia="ar"/>
          </w:rPr>
          <w:t>رؤية سيول</w:t>
        </w:r>
      </w:hyperlink>
      <w:r w:rsidRPr="00EA4CB6">
        <w:rPr>
          <w:rtl/>
          <w:lang w:eastAsia="ar"/>
        </w:rPr>
        <w:t xml:space="preserve"> (2023)، وإعلانات </w:t>
      </w:r>
      <w:r w:rsidR="00383CD9" w:rsidRPr="00383CD9">
        <w:rPr>
          <w:rtl/>
          <w:lang w:eastAsia="ar"/>
        </w:rPr>
        <w:t>موندياكولت</w:t>
      </w:r>
      <w:r w:rsidRPr="00EA4CB6">
        <w:rPr>
          <w:rtl/>
          <w:lang w:eastAsia="ar"/>
        </w:rPr>
        <w:t xml:space="preserve"> (</w:t>
      </w:r>
      <w:hyperlink r:id="rId53" w:history="1">
        <w:r w:rsidRPr="00EA4CB6">
          <w:rPr>
            <w:rStyle w:val="Hyperlink"/>
            <w:rtl/>
            <w:lang w:eastAsia="ar"/>
          </w:rPr>
          <w:t>2022</w:t>
        </w:r>
      </w:hyperlink>
      <w:r w:rsidRPr="00EA4CB6">
        <w:rPr>
          <w:rtl/>
          <w:lang w:eastAsia="ar"/>
        </w:rPr>
        <w:t xml:space="preserve"> و</w:t>
      </w:r>
      <w:hyperlink r:id="rId54" w:history="1">
        <w:r w:rsidRPr="00EA4CB6">
          <w:rPr>
            <w:rStyle w:val="Hyperlink"/>
            <w:rtl/>
            <w:lang w:eastAsia="ar"/>
          </w:rPr>
          <w:t>2025</w:t>
        </w:r>
      </w:hyperlink>
      <w:r w:rsidRPr="00EA4CB6">
        <w:rPr>
          <w:rtl/>
          <w:lang w:eastAsia="ar"/>
        </w:rPr>
        <w:t xml:space="preserve">)، بالإضافة إلى التوجهات والأولويات البرنامجية الموضحة في </w:t>
      </w:r>
      <w:hyperlink r:id="rId55" w:history="1">
        <w:r w:rsidRPr="00EA4CB6">
          <w:rPr>
            <w:rStyle w:val="Hyperlink"/>
            <w:rtl/>
            <w:lang w:eastAsia="ar"/>
          </w:rPr>
          <w:t>مسودة البرنامج والميزانية للفترة 2026-2029</w:t>
        </w:r>
      </w:hyperlink>
      <w:r w:rsidRPr="00EA4CB6">
        <w:rPr>
          <w:rtl/>
          <w:lang w:eastAsia="ar"/>
        </w:rPr>
        <w:t xml:space="preserve"> (43 </w:t>
      </w:r>
      <w:r w:rsidRPr="00EA4CB6">
        <w:rPr>
          <w:lang w:eastAsia="ar" w:bidi="en-GB"/>
        </w:rPr>
        <w:t>C</w:t>
      </w:r>
      <w:r w:rsidRPr="00EA4CB6">
        <w:rPr>
          <w:rtl/>
          <w:lang w:eastAsia="ar"/>
        </w:rPr>
        <w:t>/5).</w:t>
      </w:r>
    </w:p>
    <w:p w14:paraId="3929E96A" w14:textId="06D86180" w:rsidR="0062777D" w:rsidRPr="00EA4CB6" w:rsidRDefault="0062777D" w:rsidP="0062777D">
      <w:pPr>
        <w:pStyle w:val="COMPara"/>
        <w:bidi/>
        <w:ind w:left="567" w:hanging="567"/>
        <w:jc w:val="both"/>
      </w:pPr>
      <w:r w:rsidRPr="00EA4CB6">
        <w:rPr>
          <w:rtl/>
          <w:lang w:eastAsia="ar"/>
        </w:rPr>
        <w:t xml:space="preserve">ولتحقيق هذه الغاية، ستواصل الأمانة تعزيز روابطها مع اتفاقيات الثقافة الأخرى والوكالات والبرامج الأخرى ضمن منظومة الأمم المتحدة، بما يضمن اتباع نهج شامل لصون التراث الثقافي غير المادي وأبعاده المرتبطة به. فعلى سبيل المثال، شاركت أمانة اتفاقية عام 2003 مع أمانة اتفاقية التراث العالمي في النسخة الثانية من مؤتمر اليونسكو للتراث الثقافي في القرن الحادي والعشرين، وتواصل السعي إلى تعاون مماثل مع برامج اليونسكو الأخرى ووكالات الأمم المتحدة في مبادراتها المواضيعية. وسيتم تعميق هذا التعاون بما يتماشى مع أولويات التمويل الجديدة، بهدف تعزيز دمج التراث الثقافي غير المادي ضمن أجندة التنمية المستدامة العالمية، كما هو موضح في </w:t>
      </w:r>
      <w:hyperlink r:id="rId56" w:history="1">
        <w:r w:rsidRPr="00EA4CB6">
          <w:rPr>
            <w:rStyle w:val="Hyperlink"/>
            <w:rtl/>
            <w:lang w:eastAsia="ar"/>
          </w:rPr>
          <w:t>التقرير العالمي الأول حول السياسات الثقافية</w:t>
        </w:r>
      </w:hyperlink>
      <w:r w:rsidRPr="00EA4CB6">
        <w:rPr>
          <w:rtl/>
          <w:lang w:eastAsia="ar"/>
        </w:rPr>
        <w:t>.</w:t>
      </w:r>
    </w:p>
    <w:p w14:paraId="21C594AA" w14:textId="77777777" w:rsidR="00FA0605" w:rsidRPr="00EA4CB6" w:rsidRDefault="00FA0605" w:rsidP="00FA0605">
      <w:pPr>
        <w:pStyle w:val="COMPara"/>
        <w:bidi/>
        <w:ind w:left="567" w:hanging="567"/>
        <w:rPr>
          <w:rtl/>
        </w:rPr>
      </w:pPr>
      <w:r w:rsidRPr="00EA4CB6">
        <w:rPr>
          <w:rFonts w:hint="cs"/>
          <w:rtl/>
          <w:lang w:bidi="ar-SA"/>
        </w:rPr>
        <w:t>قد ترغب الجمعية العامة في اعتماد القرار التالي:</w:t>
      </w:r>
    </w:p>
    <w:p w14:paraId="33E4F61B" w14:textId="7AD0F4E2" w:rsidR="00FA0605" w:rsidRPr="00EA4CB6" w:rsidRDefault="00FA0605" w:rsidP="00FA0605">
      <w:pPr>
        <w:pStyle w:val="COMTitleDecision"/>
        <w:bidi/>
        <w:rPr>
          <w:rFonts w:eastAsia="SimSun"/>
          <w:rtl/>
        </w:rPr>
      </w:pPr>
      <w:r w:rsidRPr="00EA4CB6">
        <w:rPr>
          <w:rFonts w:hint="cs"/>
          <w:b w:val="0"/>
          <w:rtl/>
          <w:lang w:eastAsia="ar-EG" w:bidi="ar-SA"/>
        </w:rPr>
        <w:t xml:space="preserve">مشروع القرار </w:t>
      </w:r>
      <w:r w:rsidR="003E4DEE" w:rsidRPr="00BB6EEC">
        <w:t>1</w:t>
      </w:r>
      <w:r w:rsidR="003E4DEE">
        <w:t>1</w:t>
      </w:r>
      <w:r w:rsidR="003E4DEE" w:rsidRPr="00BB6EEC">
        <w:t>.</w:t>
      </w:r>
      <w:r w:rsidR="003E4DEE">
        <w:t>GA</w:t>
      </w:r>
      <w:r w:rsidR="003E4DEE" w:rsidRPr="00BB6EEC">
        <w:t xml:space="preserve"> </w:t>
      </w:r>
      <w:r w:rsidR="003E4DEE">
        <w:t>6</w:t>
      </w:r>
    </w:p>
    <w:p w14:paraId="71C2340F" w14:textId="77777777" w:rsidR="00FA0605" w:rsidRPr="00EA4CB6" w:rsidRDefault="00FA0605" w:rsidP="00FA0605">
      <w:pPr>
        <w:pStyle w:val="COMPreambulaDecisions"/>
        <w:bidi/>
        <w:rPr>
          <w:rFonts w:eastAsia="SimSun"/>
          <w:rtl/>
        </w:rPr>
      </w:pPr>
      <w:r w:rsidRPr="00EA4CB6">
        <w:rPr>
          <w:rFonts w:hint="cs"/>
          <w:snapToGrid w:val="0"/>
          <w:rtl/>
          <w:lang w:val="fr-FR" w:eastAsia="en-US"/>
        </w:rPr>
        <w:t>إن</w:t>
      </w:r>
      <w:r w:rsidRPr="00EA4CB6">
        <w:rPr>
          <w:rFonts w:hint="cs"/>
          <w:rtl/>
          <w:lang w:eastAsia="ar-EG" w:bidi="ar-SA"/>
        </w:rPr>
        <w:t xml:space="preserve"> الجمعية العامة،</w:t>
      </w:r>
    </w:p>
    <w:p w14:paraId="7D19FB82" w14:textId="1B3F10CC" w:rsidR="0062777D" w:rsidRPr="00EA4CB6" w:rsidRDefault="003E4DEE" w:rsidP="0062777D">
      <w:pPr>
        <w:pStyle w:val="COMParaDecision"/>
        <w:bidi/>
      </w:pPr>
      <w:r>
        <w:rPr>
          <w:rFonts w:asciiTheme="minorBidi" w:hAnsiTheme="minorBidi" w:cstheme="minorBidi" w:hint="cs"/>
          <w:rtl/>
        </w:rPr>
        <w:t>وقد درست</w:t>
      </w:r>
      <w:r>
        <w:rPr>
          <w:rFonts w:asciiTheme="minorBidi" w:hAnsiTheme="minorBidi" w:cstheme="minorBidi" w:hint="cs"/>
          <w:u w:val="none"/>
          <w:rtl/>
        </w:rPr>
        <w:t xml:space="preserve"> </w:t>
      </w:r>
      <w:r w:rsidR="0062777D" w:rsidRPr="00EA4CB6">
        <w:rPr>
          <w:u w:val="none"/>
          <w:rtl/>
          <w:lang w:eastAsia="ar"/>
        </w:rPr>
        <w:t xml:space="preserve">الوثيقة </w:t>
      </w:r>
      <w:r w:rsidRPr="00BB6EEC">
        <w:rPr>
          <w:u w:val="none"/>
        </w:rPr>
        <w:t>LHE/2</w:t>
      </w:r>
      <w:r>
        <w:rPr>
          <w:u w:val="none"/>
        </w:rPr>
        <w:t>6</w:t>
      </w:r>
      <w:r w:rsidRPr="00BB6EEC">
        <w:rPr>
          <w:u w:val="none"/>
        </w:rPr>
        <w:t>/1</w:t>
      </w:r>
      <w:r>
        <w:rPr>
          <w:u w:val="none"/>
        </w:rPr>
        <w:t>1</w:t>
      </w:r>
      <w:r w:rsidRPr="00BB6EEC">
        <w:rPr>
          <w:u w:val="none"/>
        </w:rPr>
        <w:t>.</w:t>
      </w:r>
      <w:r>
        <w:rPr>
          <w:u w:val="none"/>
        </w:rPr>
        <w:t>GA</w:t>
      </w:r>
      <w:r w:rsidRPr="00BB6EEC">
        <w:rPr>
          <w:u w:val="none"/>
        </w:rPr>
        <w:t>/</w:t>
      </w:r>
      <w:r>
        <w:rPr>
          <w:u w:val="none"/>
        </w:rPr>
        <w:t>6</w:t>
      </w:r>
      <w:r w:rsidR="0062777D" w:rsidRPr="00EA4CB6">
        <w:rPr>
          <w:u w:val="none"/>
          <w:rtl/>
          <w:lang w:eastAsia="ar"/>
        </w:rPr>
        <w:t xml:space="preserve"> وملحقاتها،</w:t>
      </w:r>
    </w:p>
    <w:p w14:paraId="68D29B11" w14:textId="06C43BF3" w:rsidR="0062777D" w:rsidRPr="00EA4CB6" w:rsidRDefault="003E4DEE" w:rsidP="0062777D">
      <w:pPr>
        <w:pStyle w:val="COMParaDecision"/>
        <w:bidi/>
      </w:pPr>
      <w:r>
        <w:rPr>
          <w:rFonts w:hint="cs"/>
          <w:rtl/>
        </w:rPr>
        <w:t>وإذ تذكّر</w:t>
      </w:r>
      <w:r>
        <w:rPr>
          <w:rFonts w:hint="cs"/>
          <w:u w:val="none"/>
          <w:rtl/>
        </w:rPr>
        <w:t xml:space="preserve"> </w:t>
      </w:r>
      <w:r w:rsidRPr="004A266F">
        <w:rPr>
          <w:rFonts w:hint="cs"/>
          <w:u w:val="none"/>
          <w:rtl/>
        </w:rPr>
        <w:t>ب</w:t>
      </w:r>
      <w:r w:rsidR="0062777D" w:rsidRPr="00EA4CB6">
        <w:rPr>
          <w:u w:val="none"/>
          <w:rtl/>
          <w:lang w:eastAsia="ar"/>
        </w:rPr>
        <w:t xml:space="preserve">القرار </w:t>
      </w:r>
      <w:hyperlink r:id="rId57" w:history="1">
        <w:r w:rsidRPr="00FB7D3B">
          <w:rPr>
            <w:rStyle w:val="Hyperlink"/>
          </w:rPr>
          <w:t>10.GA 6</w:t>
        </w:r>
      </w:hyperlink>
      <w:r w:rsidR="0062777D" w:rsidRPr="00EA4CB6">
        <w:rPr>
          <w:u w:val="none"/>
          <w:rtl/>
          <w:lang w:eastAsia="ar"/>
        </w:rPr>
        <w:t xml:space="preserve">، وكذلك القرارين </w:t>
      </w:r>
      <w:hyperlink r:id="rId58" w:history="1">
        <w:r w:rsidRPr="00FB7D3B">
          <w:rPr>
            <w:rStyle w:val="Hyperlink"/>
          </w:rPr>
          <w:t>19.COM 15</w:t>
        </w:r>
      </w:hyperlink>
      <w:r w:rsidR="0062777D" w:rsidRPr="00EA4CB6">
        <w:rPr>
          <w:u w:val="none"/>
          <w:rtl/>
          <w:lang w:eastAsia="ar"/>
        </w:rPr>
        <w:t xml:space="preserve"> و</w:t>
      </w:r>
      <w:hyperlink r:id="rId59" w:history="1">
        <w:r w:rsidRPr="00FB7D3B">
          <w:rPr>
            <w:rStyle w:val="Hyperlink"/>
          </w:rPr>
          <w:t>20.COM 6.c</w:t>
        </w:r>
      </w:hyperlink>
      <w:r w:rsidR="0062777D" w:rsidRPr="00EA4CB6">
        <w:rPr>
          <w:u w:val="none"/>
          <w:rtl/>
          <w:lang w:eastAsia="ar"/>
        </w:rPr>
        <w:t>،</w:t>
      </w:r>
    </w:p>
    <w:p w14:paraId="7293CA4B" w14:textId="46835157" w:rsidR="0062777D" w:rsidRPr="00EA4CB6" w:rsidRDefault="003E4DEE" w:rsidP="0062777D">
      <w:pPr>
        <w:pStyle w:val="COMParaDecision"/>
        <w:bidi/>
      </w:pPr>
      <w:r>
        <w:rPr>
          <w:rFonts w:hint="cs"/>
          <w:rtl/>
        </w:rPr>
        <w:t>وإذ تذكّر أيضاً</w:t>
      </w:r>
      <w:r w:rsidRPr="003E4DEE">
        <w:rPr>
          <w:rFonts w:hint="cs"/>
          <w:u w:val="none"/>
          <w:rtl/>
        </w:rPr>
        <w:t xml:space="preserve"> </w:t>
      </w:r>
      <w:r w:rsidR="0062777D" w:rsidRPr="00D01D94">
        <w:rPr>
          <w:u w:val="none"/>
          <w:rtl/>
          <w:lang w:eastAsia="ar"/>
        </w:rPr>
        <w:t>إلى</w:t>
      </w:r>
      <w:r w:rsidR="0062777D" w:rsidRPr="003E4DEE">
        <w:rPr>
          <w:u w:val="none"/>
          <w:rtl/>
          <w:lang w:eastAsia="ar"/>
        </w:rPr>
        <w:t xml:space="preserve"> </w:t>
      </w:r>
      <w:r w:rsidRPr="00EA4CB6">
        <w:rPr>
          <w:u w:val="none"/>
          <w:rtl/>
          <w:lang w:eastAsia="ar"/>
        </w:rPr>
        <w:t>القرار</w:t>
      </w:r>
      <w:r>
        <w:t xml:space="preserve"> </w:t>
      </w:r>
      <w:hyperlink r:id="rId60" w:history="1">
        <w:r w:rsidRPr="00125C5A">
          <w:rPr>
            <w:rStyle w:val="Hyperlink"/>
          </w:rPr>
          <w:t>224 EX/Decision 4.I</w:t>
        </w:r>
      </w:hyperlink>
      <w:r w:rsidR="0062777D" w:rsidRPr="00EA4CB6">
        <w:rPr>
          <w:u w:val="none"/>
          <w:rtl/>
          <w:lang w:eastAsia="ar"/>
        </w:rPr>
        <w:t xml:space="preserve">الصادر عن المجلس التنفيذي لليونسكو، </w:t>
      </w:r>
      <w:r w:rsidR="002C701A">
        <w:rPr>
          <w:rFonts w:hint="cs"/>
          <w:u w:val="none"/>
          <w:rtl/>
        </w:rPr>
        <w:t>بالإضافة إلى تقييم</w:t>
      </w:r>
      <w:r w:rsidR="0075103A" w:rsidRPr="0075103A">
        <w:rPr>
          <w:u w:val="none"/>
          <w:rtl/>
        </w:rPr>
        <w:t xml:space="preserve"> </w:t>
      </w:r>
      <w:r w:rsidR="00BD31E9">
        <w:rPr>
          <w:rFonts w:hint="cs"/>
          <w:u w:val="none"/>
          <w:rtl/>
        </w:rPr>
        <w:t xml:space="preserve">دائرة الرقابة الداخلية </w:t>
      </w:r>
      <w:r w:rsidR="0062777D" w:rsidRPr="00EA4CB6">
        <w:rPr>
          <w:u w:val="none"/>
          <w:rtl/>
          <w:lang w:eastAsia="ar"/>
        </w:rPr>
        <w:t>لعام 2021 بشأن جهود اليونسكو في إطار اتفاقية عام 2003 وتقييم</w:t>
      </w:r>
      <w:r w:rsidR="00BD31E9">
        <w:rPr>
          <w:u w:val="none"/>
          <w:lang w:eastAsia="ar"/>
        </w:rPr>
        <w:t xml:space="preserve"> </w:t>
      </w:r>
      <w:r w:rsidR="00BD31E9">
        <w:rPr>
          <w:rFonts w:hint="cs"/>
          <w:u w:val="none"/>
          <w:rtl/>
        </w:rPr>
        <w:t xml:space="preserve">دائرة الرقابة الداخلية </w:t>
      </w:r>
      <w:r w:rsidR="0062777D" w:rsidRPr="00EA4CB6">
        <w:rPr>
          <w:u w:val="none"/>
          <w:rtl/>
          <w:lang w:eastAsia="ar"/>
        </w:rPr>
        <w:t>لعام 2024 بشأن التقارير الدورية لليونسكو حول اتفاقيات وتوصيات قطاع الثقافة،</w:t>
      </w:r>
    </w:p>
    <w:p w14:paraId="2AC48766" w14:textId="09A63C85" w:rsidR="0062777D" w:rsidRPr="00EA4CB6" w:rsidRDefault="002C701A" w:rsidP="0062777D">
      <w:pPr>
        <w:pStyle w:val="COMParaDecision"/>
        <w:bidi/>
      </w:pPr>
      <w:r w:rsidRPr="0000662E">
        <w:rPr>
          <w:rFonts w:asciiTheme="majorBidi" w:hAnsiTheme="majorBidi" w:cstheme="majorBidi"/>
          <w:rtl/>
        </w:rPr>
        <w:t>وتهنيء</w:t>
      </w:r>
      <w:r w:rsidRPr="00D01D94">
        <w:rPr>
          <w:rFonts w:asciiTheme="majorBidi" w:hAnsiTheme="majorBidi" w:cstheme="majorBidi"/>
          <w:u w:val="none"/>
        </w:rPr>
        <w:t xml:space="preserve"> </w:t>
      </w:r>
      <w:r w:rsidR="0062777D" w:rsidRPr="00EA4CB6">
        <w:rPr>
          <w:u w:val="none"/>
          <w:rtl/>
          <w:lang w:eastAsia="ar"/>
        </w:rPr>
        <w:t>الأمانة لما تقدمه من دعم متواصل للحوكمة الرشيدة للاتفاقية، من خلال التنظيم الفعال للاجتماعات النظامية وإدارة آليات التعاون الدولي، ولا سيما تنظيم آلية المساعدة الدولية وتوسيع نطاقها؛</w:t>
      </w:r>
    </w:p>
    <w:p w14:paraId="508B1A1D" w14:textId="77777777" w:rsidR="0062777D" w:rsidRPr="00EA4CB6" w:rsidRDefault="0062777D" w:rsidP="0062777D">
      <w:pPr>
        <w:pStyle w:val="COMParaDecision"/>
        <w:bidi/>
      </w:pPr>
      <w:r w:rsidRPr="00EA4CB6">
        <w:rPr>
          <w:rtl/>
          <w:lang w:eastAsia="ar"/>
        </w:rPr>
        <w:t>تحيط علمًا</w:t>
      </w:r>
      <w:r w:rsidRPr="00EA4CB6">
        <w:rPr>
          <w:u w:val="none"/>
          <w:rtl/>
          <w:lang w:eastAsia="ar"/>
        </w:rPr>
        <w:t xml:space="preserve"> بالمسائل المطروحة بشأن عدد ملفات الترشيح المرسلة ومعالجتها نتيجة لتزايد الاهتمام والدعم لآليات إدراج الاتفاقية، </w:t>
      </w:r>
      <w:r w:rsidRPr="00D01D94">
        <w:rPr>
          <w:rtl/>
          <w:lang w:eastAsia="ar"/>
        </w:rPr>
        <w:t>وتطلب</w:t>
      </w:r>
      <w:r w:rsidRPr="00EA4CB6">
        <w:rPr>
          <w:u w:val="none"/>
          <w:rtl/>
          <w:lang w:eastAsia="ar"/>
        </w:rPr>
        <w:t xml:space="preserve"> من </w:t>
      </w:r>
      <w:r w:rsidRPr="00D01D94">
        <w:rPr>
          <w:u w:val="none"/>
          <w:rtl/>
          <w:lang w:eastAsia="ar"/>
        </w:rPr>
        <w:t>الأمانة</w:t>
      </w:r>
      <w:r w:rsidRPr="00EA4CB6">
        <w:rPr>
          <w:u w:val="none"/>
          <w:rtl/>
          <w:lang w:eastAsia="ar"/>
        </w:rPr>
        <w:t xml:space="preserve"> تقديم تقرير عن تطور الوضع لكي تنظر فيه الدورة الثانية عشرة للجمعية العامة، مع مراعاة المناقشات التي ستُعقد في الدورتين الحادية والعشرين (2026) والثانية والعشرين (2027) للجنة؛</w:t>
      </w:r>
    </w:p>
    <w:p w14:paraId="03759E02" w14:textId="77777777" w:rsidR="0062777D" w:rsidRPr="00EA4CB6" w:rsidRDefault="0062777D" w:rsidP="0062777D">
      <w:pPr>
        <w:pStyle w:val="COMParaDecision"/>
        <w:bidi/>
      </w:pPr>
      <w:r w:rsidRPr="00EA4CB6">
        <w:rPr>
          <w:rtl/>
          <w:lang w:eastAsia="ar"/>
        </w:rPr>
        <w:t>وتلاحظ بارتياح</w:t>
      </w:r>
      <w:r w:rsidRPr="00EA4CB6">
        <w:rPr>
          <w:u w:val="none"/>
          <w:rtl/>
          <w:lang w:eastAsia="ar"/>
        </w:rPr>
        <w:t xml:space="preserve"> إتمام الدورة الإقليمية الأولى للتقارير الدورية والتحسن الكبير في معدلات تقديم التقارير الدورية من جميع المناطق، و</w:t>
      </w:r>
      <w:r w:rsidRPr="00EA4CB6">
        <w:rPr>
          <w:rtl/>
          <w:lang w:eastAsia="ar"/>
        </w:rPr>
        <w:t>تشجع</w:t>
      </w:r>
      <w:r w:rsidRPr="00EA4CB6">
        <w:rPr>
          <w:u w:val="none"/>
          <w:rtl/>
          <w:lang w:eastAsia="ar"/>
        </w:rPr>
        <w:t xml:space="preserve"> الأمانة على تبني أفضل الممارسات من هذه الدورة في ضوء الانتقال إلى نظام التقديم العالمي الموحد للتقارير؛</w:t>
      </w:r>
    </w:p>
    <w:p w14:paraId="523B738A" w14:textId="496C80F9" w:rsidR="0062777D" w:rsidRPr="00EA4CB6" w:rsidRDefault="002C701A" w:rsidP="0062777D">
      <w:pPr>
        <w:pStyle w:val="COMParaDecision"/>
        <w:bidi/>
      </w:pPr>
      <w:r>
        <w:rPr>
          <w:rFonts w:hint="cs"/>
          <w:rtl/>
        </w:rPr>
        <w:t>وتقدّر</w:t>
      </w:r>
      <w:r w:rsidR="0062777D" w:rsidRPr="00EA4CB6">
        <w:rPr>
          <w:u w:val="none"/>
          <w:rtl/>
          <w:lang w:eastAsia="ar"/>
        </w:rPr>
        <w:t xml:space="preserve"> إعادة توجيه برنامج بناء القدرات العالمي نحو نهج متعدد الوسائط وشامل لعدة قطاعات، فضلاً عن التقدم المحرز في إطار المبادرات المواضيعية للاتفاقية؛</w:t>
      </w:r>
    </w:p>
    <w:p w14:paraId="4DCC538B" w14:textId="629CB54F" w:rsidR="0062777D" w:rsidRPr="00EA4CB6" w:rsidRDefault="006960E8" w:rsidP="0062777D">
      <w:pPr>
        <w:pStyle w:val="COMParaDecision"/>
        <w:bidi/>
      </w:pPr>
      <w:r>
        <w:rPr>
          <w:rFonts w:hint="cs"/>
          <w:rtl/>
        </w:rPr>
        <w:t>و</w:t>
      </w:r>
      <w:r w:rsidRPr="00EA4CB6">
        <w:rPr>
          <w:rtl/>
          <w:lang w:eastAsia="ar"/>
        </w:rPr>
        <w:t xml:space="preserve">كما </w:t>
      </w:r>
      <w:r w:rsidR="0062777D" w:rsidRPr="00EA4CB6">
        <w:rPr>
          <w:rtl/>
          <w:lang w:eastAsia="ar"/>
        </w:rPr>
        <w:t>تحيط علمًا</w:t>
      </w:r>
      <w:r w:rsidR="0062777D" w:rsidRPr="00EA4CB6">
        <w:rPr>
          <w:u w:val="none"/>
          <w:rtl/>
          <w:lang w:eastAsia="ar"/>
        </w:rPr>
        <w:t xml:space="preserve"> بالإنجازات التي تحققت في إطار أولويات التمويل للفترة 2022-2025 وكذلك أولويات التمويل الجديدة للاتفاقية للفترة 2026-2029، و</w:t>
      </w:r>
      <w:r w:rsidR="0062777D" w:rsidRPr="00EA4CB6">
        <w:rPr>
          <w:rtl/>
          <w:lang w:eastAsia="ar"/>
        </w:rPr>
        <w:t>تدعو</w:t>
      </w:r>
      <w:r w:rsidR="0062777D" w:rsidRPr="00EA4CB6">
        <w:rPr>
          <w:u w:val="none"/>
          <w:rtl/>
          <w:lang w:eastAsia="ar"/>
        </w:rPr>
        <w:t xml:space="preserve"> الأمانة إلى مواصلة مواءمة برنامج بناء القدرات العالمي والمبادرات المواضيعية للاتفاقية مع مجالات عملها الرئيسية، مع تعميق تعاونها مع برامج اليونسكو الأخرى ومنظومة الأمم المتحدة الأوسع نطاقاً؛</w:t>
      </w:r>
    </w:p>
    <w:p w14:paraId="32ADD03E" w14:textId="4DE9801D" w:rsidR="0062777D" w:rsidRPr="00EA4CB6" w:rsidRDefault="006960E8" w:rsidP="0062777D">
      <w:pPr>
        <w:pStyle w:val="COMParaDecision"/>
        <w:bidi/>
      </w:pPr>
      <w:r>
        <w:rPr>
          <w:rFonts w:hint="cs"/>
          <w:rtl/>
        </w:rPr>
        <w:t>و</w:t>
      </w:r>
      <w:r w:rsidR="0062777D" w:rsidRPr="00EA4CB6">
        <w:rPr>
          <w:rtl/>
          <w:lang w:eastAsia="ar"/>
        </w:rPr>
        <w:t xml:space="preserve">كما </w:t>
      </w:r>
      <w:r>
        <w:rPr>
          <w:rFonts w:hint="cs"/>
          <w:rtl/>
        </w:rPr>
        <w:t>تقدّر</w:t>
      </w:r>
      <w:r w:rsidR="0062777D" w:rsidRPr="00EA4CB6">
        <w:rPr>
          <w:u w:val="none"/>
          <w:rtl/>
          <w:lang w:eastAsia="ar"/>
        </w:rPr>
        <w:t xml:space="preserve"> التنفيذ الكامل للتوصيات </w:t>
      </w:r>
      <w:r w:rsidR="00446F9D" w:rsidRPr="00446F9D">
        <w:rPr>
          <w:u w:val="none"/>
          <w:rtl/>
          <w:lang w:eastAsia="ar"/>
        </w:rPr>
        <w:t>الواردة في</w:t>
      </w:r>
      <w:r w:rsidR="00446F9D" w:rsidRPr="00446F9D" w:rsidDel="00446F9D">
        <w:rPr>
          <w:u w:val="none"/>
          <w:rtl/>
          <w:lang w:eastAsia="ar"/>
        </w:rPr>
        <w:t xml:space="preserve"> </w:t>
      </w:r>
      <w:r w:rsidR="0062777D" w:rsidRPr="00EA4CB6">
        <w:rPr>
          <w:u w:val="none"/>
          <w:rtl/>
          <w:lang w:eastAsia="ar"/>
        </w:rPr>
        <w:t>تقييم</w:t>
      </w:r>
      <w:r w:rsidR="00BD31E9">
        <w:rPr>
          <w:rFonts w:hint="cs"/>
          <w:u w:val="none"/>
          <w:rtl/>
        </w:rPr>
        <w:t xml:space="preserve"> دائرة الرقابة الداخلية</w:t>
      </w:r>
      <w:r w:rsidR="00BD31E9">
        <w:rPr>
          <w:u w:val="none"/>
        </w:rPr>
        <w:t xml:space="preserve"> </w:t>
      </w:r>
      <w:r w:rsidR="0062777D" w:rsidRPr="00EA4CB6">
        <w:rPr>
          <w:u w:val="none"/>
          <w:rtl/>
          <w:lang w:eastAsia="ar"/>
        </w:rPr>
        <w:t>لعام 2021 بشأن جهود اليونسكو في إطار اتفاقية عام 2003، و</w:t>
      </w:r>
      <w:r w:rsidR="0062777D" w:rsidRPr="00EA4CB6">
        <w:rPr>
          <w:rtl/>
          <w:lang w:eastAsia="ar"/>
        </w:rPr>
        <w:t>تشكر</w:t>
      </w:r>
      <w:r w:rsidR="0062777D" w:rsidRPr="00EA4CB6">
        <w:rPr>
          <w:u w:val="none"/>
          <w:rtl/>
          <w:lang w:eastAsia="ar"/>
        </w:rPr>
        <w:t xml:space="preserve"> الأمانة على تقاريرها في هذا الصدد، و</w:t>
      </w:r>
      <w:r w:rsidR="0062777D" w:rsidRPr="00EA4CB6">
        <w:rPr>
          <w:rtl/>
          <w:lang w:eastAsia="ar"/>
        </w:rPr>
        <w:t>ت</w:t>
      </w:r>
      <w:r w:rsidR="00B41982" w:rsidRPr="00B41982">
        <w:rPr>
          <w:rtl/>
          <w:lang w:eastAsia="ar"/>
        </w:rPr>
        <w:t>عتبر</w:t>
      </w:r>
      <w:r w:rsidR="0062777D" w:rsidRPr="00EA4CB6">
        <w:rPr>
          <w:u w:val="none"/>
          <w:rtl/>
          <w:lang w:eastAsia="ar"/>
        </w:rPr>
        <w:t xml:space="preserve"> أنه ينبغي تقديم التقارير المستقبلية بشأن تنفيذ التوصيات حسب الحاجة؛</w:t>
      </w:r>
    </w:p>
    <w:p w14:paraId="46D18370" w14:textId="0D5A7156" w:rsidR="0062777D" w:rsidRPr="00EA4CB6" w:rsidRDefault="0062777D" w:rsidP="0062777D">
      <w:pPr>
        <w:pStyle w:val="COMParaDecision"/>
        <w:bidi/>
      </w:pPr>
      <w:r w:rsidRPr="00EA4CB6">
        <w:rPr>
          <w:rtl/>
          <w:lang w:eastAsia="ar"/>
        </w:rPr>
        <w:lastRenderedPageBreak/>
        <w:t>وتطلب أيضًا</w:t>
      </w:r>
      <w:r w:rsidRPr="00EA4CB6">
        <w:rPr>
          <w:u w:val="none"/>
          <w:rtl/>
          <w:lang w:eastAsia="ar"/>
        </w:rPr>
        <w:t xml:space="preserve"> من الأمانة أن ترفع تقريرًا عن أنشطتها للفترة من </w:t>
      </w:r>
      <w:r w:rsidR="003747B5" w:rsidRPr="003747B5">
        <w:rPr>
          <w:u w:val="none"/>
          <w:rtl/>
          <w:lang w:eastAsia="ar"/>
        </w:rPr>
        <w:t>كانون الثاني</w:t>
      </w:r>
      <w:r w:rsidR="003747B5">
        <w:rPr>
          <w:u w:val="none"/>
          <w:lang w:eastAsia="ar"/>
        </w:rPr>
        <w:t>/</w:t>
      </w:r>
      <w:r w:rsidRPr="00EA4CB6">
        <w:rPr>
          <w:u w:val="none"/>
          <w:rtl/>
          <w:lang w:eastAsia="ar"/>
        </w:rPr>
        <w:t xml:space="preserve">يناير 2026 إلى </w:t>
      </w:r>
      <w:r w:rsidR="003747B5" w:rsidRPr="003747B5">
        <w:rPr>
          <w:u w:val="none"/>
          <w:rtl/>
          <w:lang w:eastAsia="ar"/>
        </w:rPr>
        <w:t>كانون الأول</w:t>
      </w:r>
      <w:r w:rsidR="003747B5">
        <w:rPr>
          <w:u w:val="none"/>
          <w:lang w:eastAsia="ar"/>
        </w:rPr>
        <w:t>/</w:t>
      </w:r>
      <w:r w:rsidRPr="00EA4CB6">
        <w:rPr>
          <w:u w:val="none"/>
          <w:rtl/>
          <w:lang w:eastAsia="ar"/>
        </w:rPr>
        <w:t>ديسمبر 2027 لتنظر فيه الجمعية العامة في دورتها الثانية عشرة.</w:t>
      </w:r>
    </w:p>
    <w:p w14:paraId="6EAC303C" w14:textId="77777777" w:rsidR="0062777D" w:rsidRPr="00EA4CB6" w:rsidRDefault="0062777D" w:rsidP="0062777D">
      <w:pPr>
        <w:pStyle w:val="COMParaDecision"/>
        <w:numPr>
          <w:ilvl w:val="0"/>
          <w:numId w:val="0"/>
        </w:numPr>
        <w:bidi/>
        <w:ind w:left="1134" w:hanging="567"/>
        <w:sectPr w:rsidR="0062777D" w:rsidRPr="00EA4CB6" w:rsidSect="0062777D">
          <w:headerReference w:type="even" r:id="rId61"/>
          <w:headerReference w:type="default" r:id="rId62"/>
          <w:headerReference w:type="first" r:id="rId63"/>
          <w:pgSz w:w="11906" w:h="16838" w:code="9"/>
          <w:pgMar w:top="1418" w:right="1134" w:bottom="1134" w:left="1134" w:header="397" w:footer="284" w:gutter="0"/>
          <w:cols w:space="708"/>
          <w:titlePg/>
          <w:docGrid w:linePitch="360"/>
        </w:sectPr>
      </w:pPr>
    </w:p>
    <w:p w14:paraId="5EC351C0" w14:textId="11E4B91F" w:rsidR="0062777D" w:rsidRPr="00EA4CB6" w:rsidRDefault="00444043" w:rsidP="0062777D">
      <w:pPr>
        <w:pStyle w:val="COMParaDecision"/>
        <w:numPr>
          <w:ilvl w:val="0"/>
          <w:numId w:val="0"/>
        </w:numPr>
        <w:bidi/>
        <w:jc w:val="center"/>
        <w:rPr>
          <w:rFonts w:asciiTheme="minorBidi" w:hAnsiTheme="minorBidi" w:cstheme="minorBidi"/>
          <w:b/>
        </w:rPr>
      </w:pPr>
      <w:bookmarkStart w:id="1" w:name="AnnexI"/>
      <w:r w:rsidRPr="00252DE2">
        <w:rPr>
          <w:rFonts w:asciiTheme="minorBidi" w:hAnsiTheme="minorBidi" w:hint="cs"/>
          <w:b/>
          <w:bCs/>
          <w:rtl/>
        </w:rPr>
        <w:lastRenderedPageBreak/>
        <w:t>المرفق</w:t>
      </w:r>
      <w:r>
        <w:rPr>
          <w:rFonts w:asciiTheme="minorBidi" w:hAnsiTheme="minorBidi" w:hint="cs"/>
          <w:b/>
          <w:bCs/>
          <w:rtl/>
        </w:rPr>
        <w:t xml:space="preserve"> </w:t>
      </w:r>
      <w:r w:rsidR="0062777D" w:rsidRPr="00EA4CB6">
        <w:rPr>
          <w:rFonts w:asciiTheme="minorBidi" w:hAnsiTheme="minorBidi" w:cstheme="minorBidi"/>
          <w:b/>
          <w:bCs/>
          <w:rtl/>
          <w:lang w:eastAsia="ar"/>
        </w:rPr>
        <w:t>الأول</w:t>
      </w:r>
    </w:p>
    <w:bookmarkEnd w:id="1"/>
    <w:p w14:paraId="06241895" w14:textId="77777777" w:rsidR="0062777D" w:rsidRPr="00EA4CB6" w:rsidRDefault="0062777D" w:rsidP="0062777D">
      <w:pPr>
        <w:pStyle w:val="COMParaDecision"/>
        <w:numPr>
          <w:ilvl w:val="0"/>
          <w:numId w:val="0"/>
        </w:numPr>
        <w:bidi/>
        <w:spacing w:after="240"/>
        <w:jc w:val="center"/>
        <w:rPr>
          <w:rFonts w:asciiTheme="minorBidi" w:hAnsiTheme="minorBidi" w:cstheme="minorBidi"/>
          <w:b/>
          <w:u w:val="none"/>
        </w:rPr>
      </w:pPr>
      <w:r w:rsidRPr="00EA4CB6">
        <w:rPr>
          <w:rFonts w:asciiTheme="minorBidi" w:hAnsiTheme="minorBidi" w:cstheme="minorBidi"/>
          <w:b/>
          <w:bCs/>
          <w:u w:val="none"/>
          <w:rtl/>
          <w:lang w:eastAsia="ar"/>
        </w:rPr>
        <w:t>التقييم حسب مؤشر الأداء</w:t>
      </w:r>
    </w:p>
    <w:tbl>
      <w:tblPr>
        <w:tblStyle w:val="TableGrid2"/>
        <w:bidiVisual/>
        <w:tblW w:w="14572" w:type="dxa"/>
        <w:tblLook w:val="04A0" w:firstRow="1" w:lastRow="0" w:firstColumn="1" w:lastColumn="0" w:noHBand="0" w:noVBand="1"/>
      </w:tblPr>
      <w:tblGrid>
        <w:gridCol w:w="3652"/>
        <w:gridCol w:w="10920"/>
      </w:tblGrid>
      <w:tr w:rsidR="0062777D" w:rsidRPr="00B45A10" w14:paraId="22DE92FE" w14:textId="77777777" w:rsidTr="00297070">
        <w:trPr>
          <w:cantSplit/>
        </w:trPr>
        <w:tc>
          <w:tcPr>
            <w:tcW w:w="1253" w:type="pct"/>
            <w:shd w:val="clear" w:color="auto" w:fill="808080" w:themeFill="background1" w:themeFillShade="80"/>
            <w:vAlign w:val="center"/>
          </w:tcPr>
          <w:p w14:paraId="31CFB9D6" w14:textId="77777777" w:rsidR="0062777D" w:rsidRPr="00EA4CB6" w:rsidRDefault="0062777D" w:rsidP="00297070">
            <w:pPr>
              <w:keepNext/>
              <w:widowControl w:val="0"/>
              <w:bidi/>
              <w:spacing w:before="120" w:after="120"/>
              <w:rPr>
                <w:rFonts w:asciiTheme="minorBidi" w:hAnsiTheme="minorBidi" w:cstheme="minorBidi"/>
                <w:b/>
                <w:bCs/>
                <w:color w:val="FFFFFF" w:themeColor="background1"/>
                <w:sz w:val="22"/>
                <w:szCs w:val="22"/>
                <w:lang w:val="en-GB"/>
              </w:rPr>
            </w:pPr>
            <w:r w:rsidRPr="00EA4CB6">
              <w:rPr>
                <w:rFonts w:asciiTheme="minorBidi" w:hAnsiTheme="minorBidi" w:cstheme="minorBidi"/>
                <w:b/>
                <w:bCs/>
                <w:color w:val="FFFFFF" w:themeColor="background1"/>
                <w:sz w:val="22"/>
                <w:szCs w:val="22"/>
                <w:rtl/>
                <w:lang w:eastAsia="ar"/>
              </w:rPr>
              <w:t>42</w:t>
            </w:r>
            <w:r w:rsidRPr="00EA4CB6">
              <w:rPr>
                <w:rFonts w:asciiTheme="minorBidi" w:hAnsiTheme="minorBidi" w:cstheme="minorBidi"/>
                <w:b/>
                <w:bCs/>
                <w:color w:val="FFFFFF" w:themeColor="background1"/>
                <w:sz w:val="22"/>
                <w:szCs w:val="22"/>
                <w:lang w:val="en-GB" w:eastAsia="ar" w:bidi="en-GB"/>
              </w:rPr>
              <w:t>C</w:t>
            </w:r>
            <w:r w:rsidRPr="00EA4CB6">
              <w:rPr>
                <w:rFonts w:asciiTheme="minorBidi" w:hAnsiTheme="minorBidi" w:cstheme="minorBidi"/>
                <w:b/>
                <w:bCs/>
                <w:color w:val="FFFFFF" w:themeColor="background1"/>
                <w:sz w:val="22"/>
                <w:szCs w:val="22"/>
                <w:rtl/>
                <w:lang w:eastAsia="ar"/>
              </w:rPr>
              <w:t>/5 مؤشر الأداء 1</w:t>
            </w:r>
          </w:p>
        </w:tc>
        <w:tc>
          <w:tcPr>
            <w:tcW w:w="3747" w:type="pct"/>
            <w:shd w:val="clear" w:color="auto" w:fill="808080" w:themeFill="background1" w:themeFillShade="80"/>
            <w:vAlign w:val="center"/>
          </w:tcPr>
          <w:p w14:paraId="091918F1" w14:textId="77777777" w:rsidR="0062777D" w:rsidRPr="00EA4CB6" w:rsidRDefault="0062777D" w:rsidP="00297070">
            <w:pPr>
              <w:keepNext/>
              <w:widowControl w:val="0"/>
              <w:bidi/>
              <w:spacing w:before="120" w:after="120"/>
              <w:jc w:val="both"/>
              <w:rPr>
                <w:rFonts w:asciiTheme="minorBidi" w:hAnsiTheme="minorBidi" w:cstheme="minorBidi"/>
                <w:b/>
                <w:bCs/>
                <w:color w:val="FFFFFF" w:themeColor="background1"/>
                <w:sz w:val="22"/>
                <w:szCs w:val="22"/>
                <w:lang w:val="en-GB"/>
              </w:rPr>
            </w:pPr>
            <w:r w:rsidRPr="00EA4CB6">
              <w:rPr>
                <w:rFonts w:asciiTheme="minorBidi" w:hAnsiTheme="minorBidi" w:cstheme="minorBidi"/>
                <w:b/>
                <w:bCs/>
                <w:color w:val="FFFFFF" w:themeColor="background1"/>
                <w:sz w:val="22"/>
                <w:szCs w:val="22"/>
                <w:rtl/>
                <w:lang w:eastAsia="ar"/>
              </w:rPr>
              <w:t>عدد الدول الأعضاء التي لديها سياسات وإستراتيجيات وبرامج جديدة أو منقحة لصون التراث الحي، بما في ذلك ما هو ضمن خطط وأطر التنمية المستدامة، بما يتماشى مع اتفاقية صون التراث الثقافي غير المادي لعام 2003</w:t>
            </w:r>
          </w:p>
        </w:tc>
      </w:tr>
    </w:tbl>
    <w:tbl>
      <w:tblPr>
        <w:bidiVisual/>
        <w:tblW w:w="14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52"/>
        <w:gridCol w:w="1676"/>
        <w:gridCol w:w="417"/>
        <w:gridCol w:w="224"/>
        <w:gridCol w:w="10277"/>
      </w:tblGrid>
      <w:tr w:rsidR="0062777D" w:rsidRPr="00EA4CB6" w14:paraId="5F13E27D" w14:textId="77777777" w:rsidTr="00297070">
        <w:trPr>
          <w:tblHeader/>
        </w:trPr>
        <w:tc>
          <w:tcPr>
            <w:tcW w:w="627" w:type="pct"/>
            <w:shd w:val="clear" w:color="auto" w:fill="D9D9D9" w:themeFill="background1" w:themeFillShade="D9"/>
            <w:vAlign w:val="center"/>
          </w:tcPr>
          <w:p w14:paraId="4FB9F204" w14:textId="77777777" w:rsidR="0062777D" w:rsidRPr="00EA4CB6" w:rsidRDefault="0062777D" w:rsidP="00297070">
            <w:pPr>
              <w:widowControl w:val="0"/>
              <w:bidi/>
              <w:spacing w:before="60" w:after="60"/>
              <w:jc w:val="center"/>
              <w:rPr>
                <w:rFonts w:asciiTheme="minorBidi" w:eastAsia="Calibri" w:hAnsiTheme="minorBidi" w:cstheme="minorBidi"/>
                <w:b/>
                <w:sz w:val="22"/>
                <w:szCs w:val="22"/>
                <w:lang w:val="en-GB"/>
              </w:rPr>
            </w:pPr>
            <w:r w:rsidRPr="00EA4CB6">
              <w:rPr>
                <w:rFonts w:asciiTheme="minorBidi" w:hAnsiTheme="minorBidi" w:cstheme="minorBidi"/>
                <w:b/>
                <w:bCs/>
                <w:sz w:val="22"/>
                <w:szCs w:val="22"/>
                <w:rtl/>
                <w:lang w:eastAsia="ar"/>
              </w:rPr>
              <w:t>خطوط الأساس</w:t>
            </w:r>
          </w:p>
        </w:tc>
        <w:tc>
          <w:tcPr>
            <w:tcW w:w="627" w:type="pct"/>
            <w:gridSpan w:val="2"/>
            <w:shd w:val="clear" w:color="auto" w:fill="D9D9D9" w:themeFill="background1" w:themeFillShade="D9"/>
            <w:vAlign w:val="center"/>
          </w:tcPr>
          <w:p w14:paraId="2B8651D4" w14:textId="77777777" w:rsidR="0062777D" w:rsidRPr="00EA4CB6" w:rsidRDefault="0062777D" w:rsidP="00297070">
            <w:pPr>
              <w:widowControl w:val="0"/>
              <w:bidi/>
              <w:spacing w:before="60" w:after="60"/>
              <w:jc w:val="center"/>
              <w:rPr>
                <w:rFonts w:asciiTheme="minorBidi" w:eastAsia="Calibri" w:hAnsiTheme="minorBidi" w:cstheme="minorBidi"/>
                <w:b/>
                <w:sz w:val="22"/>
                <w:szCs w:val="22"/>
                <w:lang w:val="en-GB"/>
              </w:rPr>
            </w:pPr>
            <w:r w:rsidRPr="00EA4CB6">
              <w:rPr>
                <w:rFonts w:asciiTheme="minorBidi" w:eastAsia="Calibri" w:hAnsiTheme="minorBidi" w:cstheme="minorBidi"/>
                <w:b/>
                <w:bCs/>
                <w:sz w:val="22"/>
                <w:szCs w:val="22"/>
                <w:rtl/>
                <w:lang w:eastAsia="ar"/>
              </w:rPr>
              <w:t>أهداف 2025</w:t>
            </w:r>
          </w:p>
        </w:tc>
        <w:tc>
          <w:tcPr>
            <w:tcW w:w="3747" w:type="pct"/>
            <w:gridSpan w:val="3"/>
            <w:shd w:val="clear" w:color="auto" w:fill="D9D9D9" w:themeFill="background1" w:themeFillShade="D9"/>
            <w:vAlign w:val="center"/>
          </w:tcPr>
          <w:p w14:paraId="5AFE0BB4" w14:textId="77777777" w:rsidR="0062777D" w:rsidRPr="00EA4CB6" w:rsidRDefault="0062777D" w:rsidP="00297070">
            <w:pPr>
              <w:widowControl w:val="0"/>
              <w:autoSpaceDE w:val="0"/>
              <w:autoSpaceDN w:val="0"/>
              <w:bidi/>
              <w:adjustRightInd w:val="0"/>
              <w:jc w:val="center"/>
              <w:rPr>
                <w:rFonts w:asciiTheme="minorBidi" w:eastAsia="Calibri" w:hAnsiTheme="minorBidi" w:cstheme="minorBidi"/>
                <w:b/>
                <w:color w:val="000000"/>
                <w:sz w:val="22"/>
                <w:szCs w:val="22"/>
                <w:lang w:val="en-GB"/>
              </w:rPr>
            </w:pPr>
            <w:r w:rsidRPr="00EA4CB6">
              <w:rPr>
                <w:rFonts w:asciiTheme="minorBidi" w:eastAsia="Calibri" w:hAnsiTheme="minorBidi" w:cstheme="minorBidi"/>
                <w:b/>
                <w:bCs/>
                <w:sz w:val="22"/>
                <w:szCs w:val="22"/>
                <w:rtl/>
                <w:lang w:eastAsia="ar"/>
              </w:rPr>
              <w:t>تقييم التقدم:</w:t>
            </w:r>
            <w:r w:rsidRPr="00EA4CB6">
              <w:rPr>
                <w:rFonts w:asciiTheme="minorBidi" w:eastAsia="Calibri" w:hAnsiTheme="minorBidi" w:cstheme="minorBidi"/>
                <w:b/>
                <w:bCs/>
                <w:sz w:val="22"/>
                <w:szCs w:val="22"/>
                <w:rtl/>
                <w:lang w:eastAsia="ar"/>
              </w:rPr>
              <w:br/>
              <w:t>01/01/2024 إلى 31/12/2025</w:t>
            </w:r>
          </w:p>
        </w:tc>
      </w:tr>
      <w:tr w:rsidR="0062777D" w:rsidRPr="00235C11" w14:paraId="1CB856A7" w14:textId="77777777" w:rsidTr="00297070">
        <w:trPr>
          <w:trHeight w:val="1498"/>
        </w:trPr>
        <w:tc>
          <w:tcPr>
            <w:tcW w:w="627" w:type="pct"/>
            <w:tcBorders>
              <w:bottom w:val="single" w:sz="4" w:space="0" w:color="auto"/>
            </w:tcBorders>
          </w:tcPr>
          <w:p w14:paraId="18E4B70B" w14:textId="77777777" w:rsidR="0062777D" w:rsidRPr="00D01D94" w:rsidRDefault="0062777D" w:rsidP="00297070">
            <w:pPr>
              <w:widowControl w:val="0"/>
              <w:bidi/>
              <w:spacing w:before="120" w:after="120"/>
              <w:rPr>
                <w:rFonts w:asciiTheme="minorBidi" w:hAnsiTheme="minorBidi" w:cstheme="minorBidi"/>
                <w:sz w:val="22"/>
                <w:szCs w:val="22"/>
              </w:rPr>
            </w:pPr>
            <w:r w:rsidRPr="00EA4CB6">
              <w:rPr>
                <w:rFonts w:asciiTheme="minorBidi" w:hAnsiTheme="minorBidi" w:cstheme="minorBidi"/>
                <w:sz w:val="22"/>
                <w:szCs w:val="22"/>
                <w:rtl/>
                <w:lang w:eastAsia="ar"/>
              </w:rPr>
              <w:t>128، منها 38 في إفريقيا و11 من الدول الجزرية الصغيرة النامية</w:t>
            </w:r>
          </w:p>
        </w:tc>
        <w:tc>
          <w:tcPr>
            <w:tcW w:w="627" w:type="pct"/>
            <w:gridSpan w:val="2"/>
            <w:tcBorders>
              <w:bottom w:val="single" w:sz="4" w:space="0" w:color="auto"/>
            </w:tcBorders>
          </w:tcPr>
          <w:p w14:paraId="194EEE7A" w14:textId="77777777" w:rsidR="0062777D" w:rsidRPr="00D01D94" w:rsidRDefault="0062777D" w:rsidP="00297070">
            <w:pPr>
              <w:widowControl w:val="0"/>
              <w:bidi/>
              <w:spacing w:before="120" w:after="120"/>
              <w:ind w:left="-28"/>
              <w:rPr>
                <w:rFonts w:asciiTheme="minorBidi" w:hAnsiTheme="minorBidi" w:cstheme="minorBidi"/>
                <w:sz w:val="22"/>
                <w:szCs w:val="22"/>
              </w:rPr>
            </w:pPr>
            <w:r w:rsidRPr="00EA4CB6">
              <w:rPr>
                <w:rFonts w:asciiTheme="minorBidi" w:hAnsiTheme="minorBidi" w:cstheme="minorBidi"/>
                <w:sz w:val="22"/>
                <w:szCs w:val="22"/>
                <w:rtl/>
                <w:lang w:eastAsia="ar"/>
              </w:rPr>
              <w:t>100، منها 36 في إفريقيا و20 من الدول الجزرية الصغيرة النامية</w:t>
            </w:r>
          </w:p>
        </w:tc>
        <w:tc>
          <w:tcPr>
            <w:tcW w:w="3747" w:type="pct"/>
            <w:gridSpan w:val="3"/>
            <w:tcBorders>
              <w:bottom w:val="single" w:sz="4" w:space="0" w:color="auto"/>
            </w:tcBorders>
          </w:tcPr>
          <w:p w14:paraId="041F6AC2" w14:textId="77777777" w:rsidR="0062777D" w:rsidRPr="00D01D94" w:rsidRDefault="0062777D" w:rsidP="0062777D">
            <w:pPr>
              <w:pStyle w:val="ListParagraph"/>
              <w:widowControl w:val="0"/>
              <w:numPr>
                <w:ilvl w:val="0"/>
                <w:numId w:val="7"/>
              </w:numPr>
              <w:bidi/>
              <w:spacing w:before="120" w:after="120"/>
              <w:ind w:left="425" w:hanging="425"/>
              <w:contextualSpacing w:val="0"/>
              <w:jc w:val="both"/>
              <w:rPr>
                <w:rFonts w:asciiTheme="minorBidi" w:hAnsiTheme="minorBidi" w:cstheme="minorBidi"/>
                <w:sz w:val="22"/>
                <w:szCs w:val="22"/>
              </w:rPr>
            </w:pPr>
            <w:r w:rsidRPr="00EA4CB6">
              <w:rPr>
                <w:rFonts w:asciiTheme="minorBidi" w:hAnsiTheme="minorBidi" w:cstheme="minorBidi"/>
                <w:sz w:val="22"/>
                <w:szCs w:val="22"/>
                <w:rtl/>
                <w:lang w:eastAsia="ar"/>
              </w:rPr>
              <w:t>استفادت 127 دولة عضوًا من برنامج بناء القدرات (بما في ذلك 44 دولة في إفريقيا و33 دولة جزرية صغيرة نامية)؛</w:t>
            </w:r>
          </w:p>
          <w:p w14:paraId="444F3CF0" w14:textId="7476B468" w:rsidR="0062777D" w:rsidRPr="00D01D94" w:rsidRDefault="00444043" w:rsidP="0062777D">
            <w:pPr>
              <w:pStyle w:val="ListParagraph"/>
              <w:widowControl w:val="0"/>
              <w:numPr>
                <w:ilvl w:val="0"/>
                <w:numId w:val="7"/>
              </w:numPr>
              <w:bidi/>
              <w:spacing w:before="120" w:after="120"/>
              <w:ind w:left="425" w:hanging="425"/>
              <w:contextualSpacing w:val="0"/>
              <w:jc w:val="both"/>
              <w:rPr>
                <w:rFonts w:asciiTheme="minorBidi" w:hAnsiTheme="minorBidi" w:cstheme="minorBidi"/>
                <w:sz w:val="22"/>
                <w:szCs w:val="22"/>
              </w:rPr>
            </w:pPr>
            <w:r>
              <w:rPr>
                <w:rFonts w:asciiTheme="minorBidi" w:hAnsiTheme="minorBidi" w:hint="cs"/>
                <w:sz w:val="22"/>
                <w:szCs w:val="22"/>
                <w:rtl/>
              </w:rPr>
              <w:t>تلقت</w:t>
            </w:r>
            <w:r w:rsidR="0062777D" w:rsidRPr="00EA4CB6">
              <w:rPr>
                <w:rFonts w:asciiTheme="minorBidi" w:hAnsiTheme="minorBidi" w:cstheme="minorBidi"/>
                <w:sz w:val="22"/>
                <w:szCs w:val="22"/>
                <w:rtl/>
                <w:lang w:eastAsia="ar"/>
              </w:rPr>
              <w:t xml:space="preserve"> 44 </w:t>
            </w:r>
            <w:r>
              <w:rPr>
                <w:rFonts w:asciiTheme="minorBidi" w:hAnsiTheme="minorBidi" w:hint="cs"/>
                <w:sz w:val="22"/>
                <w:szCs w:val="22"/>
                <w:rtl/>
              </w:rPr>
              <w:t>دولة</w:t>
            </w:r>
            <w:r w:rsidR="0062777D" w:rsidRPr="00EA4CB6">
              <w:rPr>
                <w:rFonts w:asciiTheme="minorBidi" w:hAnsiTheme="minorBidi" w:cstheme="minorBidi"/>
                <w:sz w:val="22"/>
                <w:szCs w:val="22"/>
                <w:rtl/>
                <w:lang w:eastAsia="ar"/>
              </w:rPr>
              <w:t xml:space="preserve"> الدعم لعملية إعداد التقارير الدورية في إفريقيا؛</w:t>
            </w:r>
          </w:p>
          <w:p w14:paraId="2EE1A053" w14:textId="724CDD33" w:rsidR="0062777D" w:rsidRPr="00D01D94" w:rsidRDefault="00444043" w:rsidP="0062777D">
            <w:pPr>
              <w:pStyle w:val="ListParagraph"/>
              <w:widowControl w:val="0"/>
              <w:numPr>
                <w:ilvl w:val="0"/>
                <w:numId w:val="7"/>
              </w:numPr>
              <w:bidi/>
              <w:spacing w:before="120" w:after="120"/>
              <w:ind w:left="425" w:hanging="425"/>
              <w:contextualSpacing w:val="0"/>
              <w:jc w:val="both"/>
              <w:rPr>
                <w:rFonts w:asciiTheme="minorBidi" w:hAnsiTheme="minorBidi" w:cstheme="minorBidi"/>
                <w:sz w:val="22"/>
                <w:szCs w:val="22"/>
              </w:rPr>
            </w:pPr>
            <w:r>
              <w:rPr>
                <w:rFonts w:asciiTheme="minorBidi" w:hAnsiTheme="minorBidi" w:hint="cs"/>
                <w:sz w:val="22"/>
                <w:szCs w:val="22"/>
                <w:rtl/>
              </w:rPr>
              <w:t>تلقت</w:t>
            </w:r>
            <w:r w:rsidR="0062777D" w:rsidRPr="00EA4CB6">
              <w:rPr>
                <w:rFonts w:asciiTheme="minorBidi" w:hAnsiTheme="minorBidi" w:cstheme="minorBidi"/>
                <w:sz w:val="22"/>
                <w:szCs w:val="22"/>
                <w:rtl/>
                <w:lang w:eastAsia="ar"/>
              </w:rPr>
              <w:t xml:space="preserve"> 42 </w:t>
            </w:r>
            <w:r>
              <w:rPr>
                <w:rFonts w:asciiTheme="minorBidi" w:hAnsiTheme="minorBidi" w:hint="cs"/>
                <w:sz w:val="22"/>
                <w:szCs w:val="22"/>
                <w:rtl/>
              </w:rPr>
              <w:t>دولة</w:t>
            </w:r>
            <w:r w:rsidR="0062777D" w:rsidRPr="00EA4CB6">
              <w:rPr>
                <w:rFonts w:asciiTheme="minorBidi" w:hAnsiTheme="minorBidi" w:cstheme="minorBidi"/>
                <w:sz w:val="22"/>
                <w:szCs w:val="22"/>
                <w:rtl/>
                <w:lang w:eastAsia="ar"/>
              </w:rPr>
              <w:t xml:space="preserve"> الدعم لعملية إعداد التقارير الدورية في </w:t>
            </w:r>
            <w:r w:rsidR="00EC2111" w:rsidRPr="00EC2111">
              <w:rPr>
                <w:rFonts w:asciiTheme="minorBidi" w:hAnsiTheme="minorBidi" w:cs="Arial"/>
                <w:sz w:val="22"/>
                <w:szCs w:val="22"/>
                <w:rtl/>
                <w:lang w:eastAsia="ar"/>
              </w:rPr>
              <w:t>آسيا والمحيط الهادئ</w:t>
            </w:r>
            <w:r w:rsidR="0062777D" w:rsidRPr="00EA4CB6">
              <w:rPr>
                <w:rFonts w:asciiTheme="minorBidi" w:hAnsiTheme="minorBidi" w:cstheme="minorBidi"/>
                <w:sz w:val="22"/>
                <w:szCs w:val="22"/>
                <w:rtl/>
                <w:lang w:eastAsia="ar"/>
              </w:rPr>
              <w:t>؛</w:t>
            </w:r>
          </w:p>
          <w:p w14:paraId="20D06187" w14:textId="1D867807" w:rsidR="0062777D" w:rsidRPr="00D01D94" w:rsidRDefault="0062777D" w:rsidP="0062777D">
            <w:pPr>
              <w:pStyle w:val="ListParagraph"/>
              <w:widowControl w:val="0"/>
              <w:numPr>
                <w:ilvl w:val="0"/>
                <w:numId w:val="7"/>
              </w:numPr>
              <w:bidi/>
              <w:spacing w:before="120" w:after="120"/>
              <w:ind w:left="425" w:hanging="425"/>
              <w:contextualSpacing w:val="0"/>
              <w:jc w:val="both"/>
              <w:rPr>
                <w:rFonts w:asciiTheme="minorBidi" w:hAnsiTheme="minorBidi" w:cstheme="minorBidi"/>
                <w:sz w:val="22"/>
                <w:szCs w:val="22"/>
              </w:rPr>
            </w:pPr>
            <w:r w:rsidRPr="00EA4CB6">
              <w:rPr>
                <w:rFonts w:asciiTheme="minorBidi" w:eastAsia="Calibri" w:hAnsiTheme="minorBidi" w:cstheme="minorBidi"/>
                <w:sz w:val="22"/>
                <w:szCs w:val="22"/>
                <w:rtl/>
                <w:lang w:eastAsia="ar"/>
              </w:rPr>
              <w:t xml:space="preserve">تم تعزيز قدرات شبكة جهات التيسير العالمية من خلال </w:t>
            </w:r>
            <w:hyperlink r:id="rId64" w:history="1">
              <w:r w:rsidRPr="00EA4CB6">
                <w:rPr>
                  <w:rStyle w:val="Hyperlink"/>
                  <w:rFonts w:asciiTheme="minorBidi" w:eastAsia="Calibri" w:hAnsiTheme="minorBidi" w:cstheme="minorBidi"/>
                  <w:sz w:val="22"/>
                  <w:szCs w:val="22"/>
                  <w:rtl/>
                  <w:lang w:eastAsia="ar"/>
                </w:rPr>
                <w:t>برنامج التدريب العالمي لعام 2025 لشبكة جهات التيسير العالمية</w:t>
              </w:r>
            </w:hyperlink>
            <w:r w:rsidRPr="00EA4CB6">
              <w:rPr>
                <w:rFonts w:asciiTheme="minorBidi" w:hAnsiTheme="minorBidi" w:cstheme="minorBidi"/>
                <w:sz w:val="22"/>
                <w:szCs w:val="22"/>
                <w:rtl/>
                <w:lang w:eastAsia="ar"/>
              </w:rPr>
              <w:t>، وذلك من خلال ندوة تعريفية عبر الإنترنت (</w:t>
            </w:r>
            <w:r w:rsidR="00EC2111" w:rsidRPr="00EC2111">
              <w:rPr>
                <w:rFonts w:asciiTheme="minorBidi" w:hAnsiTheme="minorBidi" w:cs="Arial"/>
                <w:sz w:val="22"/>
                <w:szCs w:val="22"/>
                <w:rtl/>
                <w:lang w:eastAsia="ar"/>
              </w:rPr>
              <w:t>شباط</w:t>
            </w:r>
            <w:r w:rsidR="00EC2111" w:rsidRPr="00D01D94">
              <w:rPr>
                <w:rFonts w:asciiTheme="minorBidi" w:hAnsiTheme="minorBidi" w:cs="Arial"/>
                <w:sz w:val="22"/>
                <w:szCs w:val="22"/>
                <w:lang w:eastAsia="ar"/>
              </w:rPr>
              <w:t>/</w:t>
            </w:r>
            <w:r w:rsidRPr="00EA4CB6">
              <w:rPr>
                <w:rFonts w:asciiTheme="minorBidi" w:hAnsiTheme="minorBidi" w:cstheme="minorBidi"/>
                <w:sz w:val="22"/>
                <w:szCs w:val="22"/>
                <w:rtl/>
                <w:lang w:eastAsia="ar"/>
              </w:rPr>
              <w:t>فبراير 2025) وثلاث جلسات مواضيعية تركز على التراث الحي والحد من مخاطر الكوارث (</w:t>
            </w:r>
            <w:r w:rsidR="00EC2111" w:rsidRPr="00EC2111">
              <w:rPr>
                <w:rFonts w:asciiTheme="minorBidi" w:hAnsiTheme="minorBidi" w:cs="Arial"/>
                <w:sz w:val="22"/>
                <w:szCs w:val="22"/>
                <w:rtl/>
                <w:lang w:eastAsia="ar"/>
              </w:rPr>
              <w:t>آذار</w:t>
            </w:r>
            <w:r w:rsidR="00EC2111" w:rsidRPr="00D01D94">
              <w:rPr>
                <w:rFonts w:asciiTheme="minorBidi" w:hAnsiTheme="minorBidi" w:cs="Arial"/>
                <w:sz w:val="22"/>
                <w:szCs w:val="22"/>
                <w:lang w:eastAsia="ar"/>
              </w:rPr>
              <w:t>/</w:t>
            </w:r>
            <w:r w:rsidRPr="00EA4CB6">
              <w:rPr>
                <w:rFonts w:asciiTheme="minorBidi" w:hAnsiTheme="minorBidi" w:cstheme="minorBidi"/>
                <w:sz w:val="22"/>
                <w:szCs w:val="22"/>
                <w:rtl/>
                <w:lang w:eastAsia="ar"/>
              </w:rPr>
              <w:t>مارس 2025)، وإعداد الترشيحات لقوائم وسجل الاتفاقية (</w:t>
            </w:r>
            <w:r w:rsidR="00EC2111" w:rsidRPr="00EC2111">
              <w:rPr>
                <w:rFonts w:asciiTheme="minorBidi" w:hAnsiTheme="minorBidi" w:cs="Arial"/>
                <w:sz w:val="22"/>
                <w:szCs w:val="22"/>
                <w:rtl/>
                <w:lang w:eastAsia="ar"/>
              </w:rPr>
              <w:t>حزيران</w:t>
            </w:r>
            <w:r w:rsidR="00EC2111" w:rsidRPr="00D01D94">
              <w:rPr>
                <w:rFonts w:asciiTheme="minorBidi" w:hAnsiTheme="minorBidi" w:cs="Arial"/>
                <w:sz w:val="22"/>
                <w:szCs w:val="22"/>
                <w:lang w:eastAsia="ar"/>
              </w:rPr>
              <w:t>/</w:t>
            </w:r>
            <w:r w:rsidRPr="00EA4CB6">
              <w:rPr>
                <w:rFonts w:asciiTheme="minorBidi" w:hAnsiTheme="minorBidi" w:cstheme="minorBidi"/>
                <w:sz w:val="22"/>
                <w:szCs w:val="22"/>
                <w:rtl/>
                <w:lang w:eastAsia="ar"/>
              </w:rPr>
              <w:t>يونيو 2025)، والتراث الحي والتعليم (</w:t>
            </w:r>
            <w:r w:rsidR="00EC2111" w:rsidRPr="00EC2111">
              <w:rPr>
                <w:rFonts w:asciiTheme="minorBidi" w:hAnsiTheme="minorBidi" w:cs="Arial"/>
                <w:sz w:val="22"/>
                <w:szCs w:val="22"/>
                <w:rtl/>
                <w:lang w:eastAsia="ar"/>
              </w:rPr>
              <w:t>تموز</w:t>
            </w:r>
            <w:r w:rsidR="00EC2111" w:rsidRPr="00D01D94">
              <w:rPr>
                <w:rFonts w:asciiTheme="minorBidi" w:hAnsiTheme="minorBidi" w:cs="Arial"/>
                <w:sz w:val="22"/>
                <w:szCs w:val="22"/>
                <w:lang w:eastAsia="ar"/>
              </w:rPr>
              <w:t>/</w:t>
            </w:r>
            <w:r w:rsidRPr="00EA4CB6">
              <w:rPr>
                <w:rFonts w:asciiTheme="minorBidi" w:hAnsiTheme="minorBidi" w:cstheme="minorBidi"/>
                <w:sz w:val="22"/>
                <w:szCs w:val="22"/>
                <w:rtl/>
                <w:lang w:eastAsia="ar"/>
              </w:rPr>
              <w:t>يوليو 2025)؛</w:t>
            </w:r>
          </w:p>
          <w:p w14:paraId="753A358E" w14:textId="7DD1AC02" w:rsidR="0062777D" w:rsidRPr="00D01D94" w:rsidRDefault="0062777D" w:rsidP="0062777D">
            <w:pPr>
              <w:pStyle w:val="ListParagraph"/>
              <w:widowControl w:val="0"/>
              <w:numPr>
                <w:ilvl w:val="0"/>
                <w:numId w:val="7"/>
              </w:numPr>
              <w:bidi/>
              <w:spacing w:before="120" w:after="120"/>
              <w:ind w:left="425" w:hanging="425"/>
              <w:contextualSpacing w:val="0"/>
              <w:jc w:val="both"/>
              <w:rPr>
                <w:rFonts w:asciiTheme="minorBidi" w:hAnsiTheme="minorBidi" w:cstheme="minorBidi"/>
                <w:sz w:val="22"/>
                <w:szCs w:val="22"/>
              </w:rPr>
            </w:pPr>
            <w:r w:rsidRPr="00EA4CB6">
              <w:rPr>
                <w:rFonts w:asciiTheme="minorBidi" w:hAnsiTheme="minorBidi" w:cstheme="minorBidi"/>
                <w:sz w:val="22"/>
                <w:szCs w:val="22"/>
                <w:rtl/>
                <w:lang w:eastAsia="ar"/>
              </w:rPr>
              <w:t xml:space="preserve">عُقدت 4 ورش عمل لبناء القدرات حول الترشيحات في 4 دول إفريقية بين </w:t>
            </w:r>
            <w:r w:rsidR="00EC2111" w:rsidRPr="00EC2111">
              <w:rPr>
                <w:rFonts w:asciiTheme="minorBidi" w:hAnsiTheme="minorBidi" w:cs="Arial"/>
                <w:sz w:val="22"/>
                <w:szCs w:val="22"/>
                <w:rtl/>
                <w:lang w:eastAsia="ar"/>
              </w:rPr>
              <w:t>تشرين الأول</w:t>
            </w:r>
            <w:r w:rsidR="00EC2111" w:rsidRPr="00D01D94">
              <w:rPr>
                <w:rFonts w:asciiTheme="minorBidi" w:hAnsiTheme="minorBidi" w:cs="Arial"/>
                <w:sz w:val="22"/>
                <w:szCs w:val="22"/>
                <w:lang w:eastAsia="ar"/>
              </w:rPr>
              <w:t>/</w:t>
            </w:r>
            <w:r w:rsidRPr="00EA4CB6">
              <w:rPr>
                <w:rFonts w:asciiTheme="minorBidi" w:hAnsiTheme="minorBidi" w:cstheme="minorBidi"/>
                <w:sz w:val="22"/>
                <w:szCs w:val="22"/>
                <w:rtl/>
                <w:lang w:eastAsia="ar"/>
              </w:rPr>
              <w:t>أكتوبر و</w:t>
            </w:r>
            <w:r w:rsidR="00EC2111" w:rsidRPr="00EC2111">
              <w:rPr>
                <w:rFonts w:asciiTheme="minorBidi" w:hAnsiTheme="minorBidi" w:cs="Arial"/>
                <w:sz w:val="22"/>
                <w:szCs w:val="22"/>
                <w:rtl/>
                <w:lang w:eastAsia="ar"/>
              </w:rPr>
              <w:t>كانون الأول</w:t>
            </w:r>
            <w:r w:rsidR="00EC2111" w:rsidRPr="00D01D94">
              <w:rPr>
                <w:rFonts w:asciiTheme="minorBidi" w:hAnsiTheme="minorBidi" w:cs="Arial"/>
                <w:sz w:val="22"/>
                <w:szCs w:val="22"/>
                <w:lang w:eastAsia="ar"/>
              </w:rPr>
              <w:t>/</w:t>
            </w:r>
            <w:r w:rsidRPr="00EA4CB6">
              <w:rPr>
                <w:rFonts w:asciiTheme="minorBidi" w:hAnsiTheme="minorBidi" w:cstheme="minorBidi"/>
                <w:sz w:val="22"/>
                <w:szCs w:val="22"/>
                <w:rtl/>
                <w:lang w:eastAsia="ar"/>
              </w:rPr>
              <w:t>ديسمبر 2025 (مع 5 ورش عمل أخرى محددة الموعد في عام 2026)؛</w:t>
            </w:r>
          </w:p>
          <w:p w14:paraId="55258DA8" w14:textId="77777777" w:rsidR="0062777D" w:rsidRPr="00D01D94" w:rsidRDefault="0062777D" w:rsidP="0062777D">
            <w:pPr>
              <w:pStyle w:val="ListParagraph"/>
              <w:widowControl w:val="0"/>
              <w:numPr>
                <w:ilvl w:val="0"/>
                <w:numId w:val="7"/>
              </w:numPr>
              <w:bidi/>
              <w:spacing w:before="120" w:after="120"/>
              <w:ind w:left="425" w:hanging="425"/>
              <w:contextualSpacing w:val="0"/>
              <w:jc w:val="both"/>
              <w:rPr>
                <w:rFonts w:asciiTheme="minorBidi" w:hAnsiTheme="minorBidi" w:cstheme="minorBidi"/>
                <w:sz w:val="22"/>
                <w:szCs w:val="22"/>
              </w:rPr>
            </w:pPr>
            <w:r w:rsidRPr="00EA4CB6">
              <w:rPr>
                <w:rFonts w:asciiTheme="minorBidi" w:hAnsiTheme="minorBidi" w:cstheme="minorBidi"/>
                <w:sz w:val="22"/>
                <w:szCs w:val="22"/>
                <w:rtl/>
                <w:lang w:eastAsia="ar"/>
              </w:rPr>
              <w:t>تمت معالجة 5 مقترحات لإنشاء أو تجديد كراسي اليونسكو الجامعية في مجال التراث الثقافي غير المادي.</w:t>
            </w:r>
          </w:p>
        </w:tc>
      </w:tr>
      <w:tr w:rsidR="0062777D" w:rsidRPr="00235C11" w14:paraId="44D84E03" w14:textId="77777777" w:rsidTr="00297070">
        <w:trPr>
          <w:trHeight w:val="367"/>
        </w:trPr>
        <w:tc>
          <w:tcPr>
            <w:tcW w:w="679" w:type="pct"/>
            <w:gridSpan w:val="2"/>
            <w:tcBorders>
              <w:left w:val="nil"/>
              <w:bottom w:val="nil"/>
              <w:right w:val="nil"/>
            </w:tcBorders>
          </w:tcPr>
          <w:p w14:paraId="66E0F85E" w14:textId="77777777" w:rsidR="0062777D" w:rsidRPr="00D01D94" w:rsidRDefault="0062777D" w:rsidP="00297070">
            <w:pPr>
              <w:widowControl w:val="0"/>
              <w:bidi/>
              <w:spacing w:before="120" w:after="120"/>
              <w:rPr>
                <w:rFonts w:asciiTheme="minorBidi" w:hAnsiTheme="minorBidi" w:cstheme="minorBidi"/>
                <w:sz w:val="22"/>
                <w:szCs w:val="22"/>
              </w:rPr>
            </w:pPr>
          </w:p>
        </w:tc>
        <w:tc>
          <w:tcPr>
            <w:tcW w:w="718" w:type="pct"/>
            <w:gridSpan w:val="2"/>
            <w:tcBorders>
              <w:left w:val="nil"/>
              <w:bottom w:val="nil"/>
              <w:right w:val="nil"/>
            </w:tcBorders>
          </w:tcPr>
          <w:p w14:paraId="5FA514B9" w14:textId="77777777" w:rsidR="0062777D" w:rsidRPr="00D01D94" w:rsidRDefault="0062777D" w:rsidP="00297070">
            <w:pPr>
              <w:pStyle w:val="ListParagraph"/>
              <w:widowControl w:val="0"/>
              <w:bidi/>
              <w:spacing w:before="120" w:after="120"/>
              <w:ind w:left="312"/>
              <w:contextualSpacing w:val="0"/>
              <w:rPr>
                <w:rFonts w:asciiTheme="minorBidi" w:hAnsiTheme="minorBidi" w:cstheme="minorBidi"/>
                <w:sz w:val="22"/>
                <w:szCs w:val="22"/>
              </w:rPr>
            </w:pPr>
          </w:p>
        </w:tc>
        <w:tc>
          <w:tcPr>
            <w:tcW w:w="77" w:type="pct"/>
            <w:tcBorders>
              <w:left w:val="nil"/>
              <w:bottom w:val="nil"/>
              <w:right w:val="nil"/>
            </w:tcBorders>
          </w:tcPr>
          <w:p w14:paraId="5B18F098" w14:textId="77777777" w:rsidR="0062777D" w:rsidRPr="00D01D94" w:rsidRDefault="0062777D" w:rsidP="00297070">
            <w:pPr>
              <w:pStyle w:val="ListParagraph"/>
              <w:widowControl w:val="0"/>
              <w:bidi/>
              <w:spacing w:before="120" w:after="120"/>
              <w:ind w:left="312"/>
              <w:contextualSpacing w:val="0"/>
              <w:rPr>
                <w:rFonts w:asciiTheme="minorBidi" w:hAnsiTheme="minorBidi" w:cstheme="minorBidi"/>
                <w:sz w:val="22"/>
                <w:szCs w:val="22"/>
              </w:rPr>
            </w:pPr>
          </w:p>
        </w:tc>
        <w:tc>
          <w:tcPr>
            <w:tcW w:w="3526" w:type="pct"/>
            <w:tcBorders>
              <w:left w:val="nil"/>
              <w:bottom w:val="nil"/>
              <w:right w:val="nil"/>
            </w:tcBorders>
          </w:tcPr>
          <w:p w14:paraId="66D2ECEE" w14:textId="77777777" w:rsidR="0062777D" w:rsidRPr="00D01D94" w:rsidRDefault="0062777D" w:rsidP="00297070">
            <w:pPr>
              <w:pStyle w:val="ListParagraph"/>
              <w:widowControl w:val="0"/>
              <w:bidi/>
              <w:spacing w:before="120" w:after="120"/>
              <w:ind w:left="544"/>
              <w:contextualSpacing w:val="0"/>
              <w:rPr>
                <w:rFonts w:asciiTheme="minorBidi" w:hAnsiTheme="minorBidi" w:cstheme="minorBidi"/>
                <w:sz w:val="22"/>
                <w:szCs w:val="22"/>
              </w:rPr>
            </w:pPr>
          </w:p>
        </w:tc>
      </w:tr>
    </w:tbl>
    <w:p w14:paraId="3935A3FB" w14:textId="77777777" w:rsidR="0062777D" w:rsidRPr="00D01D94" w:rsidRDefault="0062777D" w:rsidP="0062777D">
      <w:pPr>
        <w:bidi/>
      </w:pPr>
      <w:r w:rsidRPr="00EA4CB6">
        <w:rPr>
          <w:rtl/>
          <w:lang w:eastAsia="ar"/>
        </w:rPr>
        <w:br w:type="page"/>
      </w:r>
    </w:p>
    <w:tbl>
      <w:tblPr>
        <w:tblStyle w:val="TableGrid2"/>
        <w:bidiVisual/>
        <w:tblW w:w="14572" w:type="dxa"/>
        <w:tblLook w:val="04A0" w:firstRow="1" w:lastRow="0" w:firstColumn="1" w:lastColumn="0" w:noHBand="0" w:noVBand="1"/>
      </w:tblPr>
      <w:tblGrid>
        <w:gridCol w:w="3509"/>
        <w:gridCol w:w="11063"/>
      </w:tblGrid>
      <w:tr w:rsidR="0062777D" w:rsidRPr="00B45A10" w14:paraId="7BD9BD15" w14:textId="77777777" w:rsidTr="00297070">
        <w:trPr>
          <w:cantSplit/>
        </w:trPr>
        <w:tc>
          <w:tcPr>
            <w:tcW w:w="1204" w:type="pct"/>
            <w:shd w:val="clear" w:color="auto" w:fill="808080" w:themeFill="background1" w:themeFillShade="80"/>
            <w:vAlign w:val="center"/>
          </w:tcPr>
          <w:p w14:paraId="59E09452" w14:textId="77777777" w:rsidR="0062777D" w:rsidRPr="00EA4CB6" w:rsidRDefault="0062777D" w:rsidP="00297070">
            <w:pPr>
              <w:keepNext/>
              <w:widowControl w:val="0"/>
              <w:bidi/>
              <w:spacing w:before="120" w:after="120"/>
              <w:rPr>
                <w:rFonts w:asciiTheme="minorBidi" w:hAnsiTheme="minorBidi" w:cstheme="minorBidi"/>
                <w:b/>
                <w:bCs/>
                <w:color w:val="FFFFFF" w:themeColor="background1"/>
                <w:sz w:val="22"/>
                <w:szCs w:val="22"/>
                <w:lang w:val="en-GB"/>
              </w:rPr>
            </w:pPr>
            <w:r w:rsidRPr="00EA4CB6">
              <w:rPr>
                <w:rFonts w:asciiTheme="minorBidi" w:hAnsiTheme="minorBidi" w:cstheme="minorBidi"/>
                <w:b/>
                <w:bCs/>
                <w:color w:val="FFFFFF" w:themeColor="background1"/>
                <w:sz w:val="22"/>
                <w:szCs w:val="22"/>
                <w:rtl/>
                <w:lang w:eastAsia="ar"/>
              </w:rPr>
              <w:lastRenderedPageBreak/>
              <w:t>42</w:t>
            </w:r>
            <w:r w:rsidRPr="00EA4CB6">
              <w:rPr>
                <w:rFonts w:asciiTheme="minorBidi" w:hAnsiTheme="minorBidi" w:cstheme="minorBidi"/>
                <w:b/>
                <w:bCs/>
                <w:color w:val="FFFFFF" w:themeColor="background1"/>
                <w:sz w:val="22"/>
                <w:szCs w:val="22"/>
                <w:lang w:val="en-GB" w:eastAsia="ar" w:bidi="en-GB"/>
              </w:rPr>
              <w:t>C</w:t>
            </w:r>
            <w:r w:rsidRPr="00EA4CB6">
              <w:rPr>
                <w:rFonts w:asciiTheme="minorBidi" w:hAnsiTheme="minorBidi" w:cstheme="minorBidi"/>
                <w:b/>
                <w:bCs/>
                <w:color w:val="FFFFFF" w:themeColor="background1"/>
                <w:sz w:val="22"/>
                <w:szCs w:val="22"/>
                <w:rtl/>
                <w:lang w:eastAsia="ar"/>
              </w:rPr>
              <w:t>/5 مؤشر الأداء 2</w:t>
            </w:r>
          </w:p>
        </w:tc>
        <w:tc>
          <w:tcPr>
            <w:tcW w:w="3796" w:type="pct"/>
            <w:shd w:val="clear" w:color="auto" w:fill="808080" w:themeFill="background1" w:themeFillShade="80"/>
            <w:vAlign w:val="center"/>
          </w:tcPr>
          <w:p w14:paraId="17A6FA37" w14:textId="77777777" w:rsidR="0062777D" w:rsidRPr="00EA4CB6" w:rsidRDefault="0062777D" w:rsidP="00297070">
            <w:pPr>
              <w:keepNext/>
              <w:widowControl w:val="0"/>
              <w:bidi/>
              <w:spacing w:before="120" w:after="120"/>
              <w:jc w:val="both"/>
              <w:rPr>
                <w:rFonts w:asciiTheme="minorBidi" w:hAnsiTheme="minorBidi" w:cstheme="minorBidi"/>
                <w:b/>
                <w:bCs/>
                <w:color w:val="FFFFFF" w:themeColor="background1"/>
                <w:sz w:val="22"/>
                <w:szCs w:val="22"/>
                <w:lang w:val="en-GB"/>
              </w:rPr>
            </w:pPr>
            <w:r w:rsidRPr="00EA4CB6">
              <w:rPr>
                <w:rFonts w:asciiTheme="minorBidi" w:hAnsiTheme="minorBidi" w:cstheme="minorBidi"/>
                <w:b/>
                <w:bCs/>
                <w:color w:val="FFFFFF" w:themeColor="background1"/>
                <w:sz w:val="22"/>
                <w:szCs w:val="22"/>
                <w:rtl/>
                <w:lang w:eastAsia="ar"/>
              </w:rPr>
              <w:t>عدد الدول الأعضاء التي تصون التراث الحي بشكل مستدام من خلال تعزيز التعاون الدولي وآليات المساعدة المنصوص عليها في اتفاقية عام 2003 لصون التراث الثقافي غير المادي</w:t>
            </w:r>
          </w:p>
        </w:tc>
      </w:tr>
    </w:tbl>
    <w:tbl>
      <w:tblPr>
        <w:bidiVisual/>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54"/>
        <w:gridCol w:w="11063"/>
      </w:tblGrid>
      <w:tr w:rsidR="0062777D" w:rsidRPr="00EA4CB6" w14:paraId="36C2BB9D" w14:textId="77777777" w:rsidTr="00297070">
        <w:trPr>
          <w:tblHeader/>
        </w:trPr>
        <w:tc>
          <w:tcPr>
            <w:tcW w:w="602" w:type="pct"/>
            <w:shd w:val="clear" w:color="auto" w:fill="D9D9D9" w:themeFill="background1" w:themeFillShade="D9"/>
            <w:vAlign w:val="center"/>
          </w:tcPr>
          <w:p w14:paraId="6B37DC2B" w14:textId="77777777" w:rsidR="0062777D" w:rsidRPr="00EA4CB6" w:rsidRDefault="0062777D" w:rsidP="00297070">
            <w:pPr>
              <w:widowControl w:val="0"/>
              <w:bidi/>
              <w:spacing w:before="60" w:after="60"/>
              <w:jc w:val="center"/>
              <w:rPr>
                <w:rFonts w:asciiTheme="minorBidi" w:eastAsia="Calibri" w:hAnsiTheme="minorBidi" w:cstheme="minorBidi"/>
                <w:b/>
                <w:sz w:val="22"/>
                <w:szCs w:val="22"/>
                <w:lang w:val="en-GB"/>
              </w:rPr>
            </w:pPr>
            <w:r w:rsidRPr="00EA4CB6">
              <w:rPr>
                <w:rFonts w:asciiTheme="minorBidi" w:hAnsiTheme="minorBidi" w:cstheme="minorBidi"/>
                <w:b/>
                <w:bCs/>
                <w:sz w:val="22"/>
                <w:szCs w:val="22"/>
                <w:rtl/>
                <w:lang w:eastAsia="ar"/>
              </w:rPr>
              <w:t>خطوط الأساس</w:t>
            </w:r>
          </w:p>
        </w:tc>
        <w:tc>
          <w:tcPr>
            <w:tcW w:w="602" w:type="pct"/>
            <w:shd w:val="clear" w:color="auto" w:fill="D9D9D9" w:themeFill="background1" w:themeFillShade="D9"/>
            <w:vAlign w:val="center"/>
          </w:tcPr>
          <w:p w14:paraId="59063C1B" w14:textId="77777777" w:rsidR="0062777D" w:rsidRPr="00EA4CB6" w:rsidRDefault="0062777D" w:rsidP="00297070">
            <w:pPr>
              <w:widowControl w:val="0"/>
              <w:bidi/>
              <w:spacing w:before="60" w:after="60"/>
              <w:jc w:val="center"/>
              <w:rPr>
                <w:rFonts w:asciiTheme="minorBidi" w:eastAsia="Calibri" w:hAnsiTheme="minorBidi" w:cstheme="minorBidi"/>
                <w:b/>
                <w:sz w:val="22"/>
                <w:szCs w:val="22"/>
                <w:lang w:val="en-GB"/>
              </w:rPr>
            </w:pPr>
            <w:r w:rsidRPr="00EA4CB6">
              <w:rPr>
                <w:rFonts w:asciiTheme="minorBidi" w:eastAsia="Calibri" w:hAnsiTheme="minorBidi" w:cstheme="minorBidi"/>
                <w:b/>
                <w:bCs/>
                <w:sz w:val="22"/>
                <w:szCs w:val="22"/>
                <w:rtl/>
                <w:lang w:eastAsia="ar"/>
              </w:rPr>
              <w:t>أهداف 2025</w:t>
            </w:r>
          </w:p>
        </w:tc>
        <w:tc>
          <w:tcPr>
            <w:tcW w:w="3796" w:type="pct"/>
            <w:shd w:val="clear" w:color="auto" w:fill="D9D9D9" w:themeFill="background1" w:themeFillShade="D9"/>
            <w:vAlign w:val="center"/>
          </w:tcPr>
          <w:p w14:paraId="5F3CB398" w14:textId="77777777" w:rsidR="0062777D" w:rsidRPr="00EA4CB6" w:rsidRDefault="0062777D" w:rsidP="00297070">
            <w:pPr>
              <w:widowControl w:val="0"/>
              <w:autoSpaceDE w:val="0"/>
              <w:autoSpaceDN w:val="0"/>
              <w:bidi/>
              <w:adjustRightInd w:val="0"/>
              <w:jc w:val="center"/>
              <w:rPr>
                <w:rFonts w:asciiTheme="minorBidi" w:eastAsia="Calibri" w:hAnsiTheme="minorBidi" w:cstheme="minorBidi"/>
                <w:b/>
                <w:color w:val="000000"/>
                <w:sz w:val="22"/>
                <w:szCs w:val="22"/>
                <w:lang w:val="en-GB"/>
              </w:rPr>
            </w:pPr>
            <w:r w:rsidRPr="00EA4CB6">
              <w:rPr>
                <w:rFonts w:asciiTheme="minorBidi" w:eastAsia="Calibri" w:hAnsiTheme="minorBidi" w:cstheme="minorBidi"/>
                <w:b/>
                <w:bCs/>
                <w:sz w:val="22"/>
                <w:szCs w:val="22"/>
                <w:rtl/>
                <w:lang w:eastAsia="ar"/>
              </w:rPr>
              <w:t>تقييم التقدم:</w:t>
            </w:r>
            <w:r w:rsidRPr="00EA4CB6">
              <w:rPr>
                <w:rFonts w:asciiTheme="minorBidi" w:eastAsia="Calibri" w:hAnsiTheme="minorBidi" w:cstheme="minorBidi"/>
                <w:b/>
                <w:bCs/>
                <w:sz w:val="22"/>
                <w:szCs w:val="22"/>
                <w:rtl/>
                <w:lang w:eastAsia="ar"/>
              </w:rPr>
              <w:br/>
              <w:t>01/01/2024 إلى 31/12/2025</w:t>
            </w:r>
          </w:p>
        </w:tc>
      </w:tr>
      <w:tr w:rsidR="0062777D" w:rsidRPr="00EA4CB6" w14:paraId="3734C288" w14:textId="77777777" w:rsidTr="00297070">
        <w:trPr>
          <w:trHeight w:val="4361"/>
          <w:tblHeader/>
        </w:trPr>
        <w:tc>
          <w:tcPr>
            <w:tcW w:w="602" w:type="pct"/>
          </w:tcPr>
          <w:p w14:paraId="67A4575D" w14:textId="77777777" w:rsidR="0062777D" w:rsidRPr="00D01D94" w:rsidRDefault="0062777D" w:rsidP="00297070">
            <w:pPr>
              <w:widowControl w:val="0"/>
              <w:bidi/>
              <w:spacing w:before="60" w:after="60"/>
              <w:rPr>
                <w:rFonts w:asciiTheme="minorBidi" w:hAnsiTheme="minorBidi" w:cstheme="minorBidi"/>
                <w:b/>
                <w:bCs/>
                <w:sz w:val="22"/>
                <w:szCs w:val="22"/>
              </w:rPr>
            </w:pPr>
            <w:r w:rsidRPr="00EA4CB6">
              <w:rPr>
                <w:rFonts w:asciiTheme="minorBidi" w:hAnsiTheme="minorBidi" w:cstheme="minorBidi"/>
                <w:sz w:val="22"/>
                <w:szCs w:val="22"/>
                <w:rtl/>
                <w:lang w:eastAsia="ar"/>
              </w:rPr>
              <w:t>123، منها 10 في إفريقيا و10 من الدول الجزرية الصغيرة النامية</w:t>
            </w:r>
          </w:p>
        </w:tc>
        <w:tc>
          <w:tcPr>
            <w:tcW w:w="602" w:type="pct"/>
          </w:tcPr>
          <w:p w14:paraId="26B8891E" w14:textId="77777777" w:rsidR="0062777D" w:rsidRPr="00D01D94" w:rsidRDefault="0062777D" w:rsidP="00297070">
            <w:pPr>
              <w:widowControl w:val="0"/>
              <w:bidi/>
              <w:spacing w:before="60" w:after="60"/>
              <w:rPr>
                <w:rFonts w:asciiTheme="minorBidi" w:eastAsia="Calibri" w:hAnsiTheme="minorBidi" w:cstheme="minorBidi"/>
                <w:b/>
                <w:sz w:val="22"/>
                <w:szCs w:val="22"/>
              </w:rPr>
            </w:pPr>
            <w:r w:rsidRPr="00EA4CB6">
              <w:rPr>
                <w:rFonts w:asciiTheme="minorBidi" w:hAnsiTheme="minorBidi" w:cstheme="minorBidi"/>
                <w:sz w:val="22"/>
                <w:szCs w:val="22"/>
                <w:rtl/>
                <w:lang w:eastAsia="ar"/>
              </w:rPr>
              <w:t>108، منها 44 في إفريقيا و10 من الدول الجزرية الصغيرة النامية</w:t>
            </w:r>
          </w:p>
        </w:tc>
        <w:tc>
          <w:tcPr>
            <w:tcW w:w="3796" w:type="pct"/>
          </w:tcPr>
          <w:p w14:paraId="107100D2" w14:textId="77777777" w:rsidR="0062777D" w:rsidRPr="00D01D94" w:rsidRDefault="0062777D" w:rsidP="0062777D">
            <w:pPr>
              <w:pStyle w:val="ListParagraph"/>
              <w:keepNext/>
              <w:keepLines/>
              <w:widowControl w:val="0"/>
              <w:numPr>
                <w:ilvl w:val="0"/>
                <w:numId w:val="8"/>
              </w:numPr>
              <w:bidi/>
              <w:spacing w:before="120" w:after="120"/>
              <w:ind w:left="323"/>
              <w:contextualSpacing w:val="0"/>
              <w:jc w:val="both"/>
              <w:rPr>
                <w:rFonts w:asciiTheme="minorBidi" w:hAnsiTheme="minorBidi" w:cstheme="minorBidi"/>
                <w:sz w:val="22"/>
                <w:szCs w:val="22"/>
              </w:rPr>
            </w:pPr>
            <w:r w:rsidRPr="00EA4CB6">
              <w:rPr>
                <w:rFonts w:asciiTheme="minorBidi" w:hAnsiTheme="minorBidi" w:cstheme="minorBidi"/>
                <w:sz w:val="22"/>
                <w:szCs w:val="22"/>
                <w:rtl/>
                <w:lang w:eastAsia="ar"/>
              </w:rPr>
              <w:t>استمرت دراسة توسيع نطاق تنفيذ المادة 18 من الاتفاقية؛</w:t>
            </w:r>
          </w:p>
          <w:p w14:paraId="5A391F40" w14:textId="09CED54F" w:rsidR="0062777D" w:rsidRPr="00D01D94" w:rsidRDefault="0062777D" w:rsidP="0062777D">
            <w:pPr>
              <w:pStyle w:val="ListParagraph"/>
              <w:widowControl w:val="0"/>
              <w:numPr>
                <w:ilvl w:val="0"/>
                <w:numId w:val="8"/>
              </w:numPr>
              <w:autoSpaceDE w:val="0"/>
              <w:autoSpaceDN w:val="0"/>
              <w:bidi/>
              <w:adjustRightInd w:val="0"/>
              <w:ind w:left="323"/>
              <w:rPr>
                <w:rFonts w:asciiTheme="minorBidi" w:hAnsiTheme="minorBidi" w:cstheme="minorBidi"/>
                <w:sz w:val="22"/>
                <w:szCs w:val="22"/>
              </w:rPr>
            </w:pPr>
            <w:r w:rsidRPr="00EA4CB6">
              <w:rPr>
                <w:rFonts w:asciiTheme="minorBidi" w:hAnsiTheme="minorBidi" w:cstheme="minorBidi"/>
                <w:sz w:val="22"/>
                <w:szCs w:val="22"/>
                <w:rtl/>
                <w:lang w:eastAsia="ar"/>
              </w:rPr>
              <w:t>عالج المكتب 27 طلبًا جديدًا للمساعدة الدولية ومنحها، بما في ذلك 9 طلبات من إفريقيا و6 طلبات من الدول الجزرية الصغيرة النامية؛</w:t>
            </w:r>
          </w:p>
          <w:p w14:paraId="5C70C579" w14:textId="5ED9DAD7" w:rsidR="0062777D" w:rsidRPr="00D01D94" w:rsidRDefault="0062777D" w:rsidP="0062777D">
            <w:pPr>
              <w:pStyle w:val="ListParagraph"/>
              <w:widowControl w:val="0"/>
              <w:numPr>
                <w:ilvl w:val="0"/>
                <w:numId w:val="8"/>
              </w:numPr>
              <w:bidi/>
              <w:spacing w:before="120" w:after="120"/>
              <w:ind w:left="323"/>
              <w:contextualSpacing w:val="0"/>
              <w:jc w:val="both"/>
              <w:rPr>
                <w:rFonts w:asciiTheme="minorBidi" w:hAnsiTheme="minorBidi" w:cstheme="minorBidi"/>
                <w:sz w:val="22"/>
                <w:szCs w:val="22"/>
              </w:rPr>
            </w:pPr>
            <w:r w:rsidRPr="00EA4CB6">
              <w:rPr>
                <w:rFonts w:asciiTheme="minorBidi" w:hAnsiTheme="minorBidi" w:cstheme="minorBidi"/>
                <w:sz w:val="22"/>
                <w:szCs w:val="22"/>
                <w:rtl/>
                <w:lang w:eastAsia="ar"/>
              </w:rPr>
              <w:t xml:space="preserve">تمت معالجة 140 ملف ترشيح ضمن دورتي 2024 و2025، </w:t>
            </w:r>
            <w:r w:rsidR="00C5532E" w:rsidRPr="00EA4CB6">
              <w:rPr>
                <w:rFonts w:asciiTheme="minorBidi" w:hAnsiTheme="minorBidi" w:cstheme="minorBidi"/>
                <w:sz w:val="22"/>
                <w:szCs w:val="22"/>
                <w:rtl/>
                <w:lang w:eastAsia="ar"/>
              </w:rPr>
              <w:t>و</w:t>
            </w:r>
            <w:r w:rsidR="00C5532E">
              <w:rPr>
                <w:rFonts w:asciiTheme="minorBidi" w:hAnsiTheme="minorBidi" w:cstheme="minorBidi"/>
                <w:sz w:val="22"/>
                <w:szCs w:val="22"/>
                <w:lang w:eastAsia="ar"/>
              </w:rPr>
              <w:t>71</w:t>
            </w:r>
            <w:r w:rsidR="00C5532E" w:rsidRPr="00EA4CB6">
              <w:rPr>
                <w:rFonts w:asciiTheme="minorBidi" w:hAnsiTheme="minorBidi" w:cstheme="minorBidi"/>
                <w:sz w:val="22"/>
                <w:szCs w:val="22"/>
                <w:rtl/>
                <w:lang w:eastAsia="ar"/>
              </w:rPr>
              <w:t xml:space="preserve"> </w:t>
            </w:r>
            <w:r w:rsidRPr="00EA4CB6">
              <w:rPr>
                <w:rFonts w:asciiTheme="minorBidi" w:hAnsiTheme="minorBidi" w:cstheme="minorBidi"/>
                <w:sz w:val="22"/>
                <w:szCs w:val="22"/>
                <w:rtl/>
                <w:lang w:eastAsia="ar"/>
              </w:rPr>
              <w:t xml:space="preserve">ملف ترشيح </w:t>
            </w:r>
            <w:r w:rsidR="00C5532E" w:rsidRPr="00C5532E">
              <w:rPr>
                <w:rFonts w:asciiTheme="minorBidi" w:hAnsiTheme="minorBidi" w:cs="Arial"/>
                <w:sz w:val="22"/>
                <w:szCs w:val="22"/>
                <w:rtl/>
                <w:lang w:eastAsia="ar"/>
              </w:rPr>
              <w:t>تمت معالجتها مبدئياً</w:t>
            </w:r>
            <w:r w:rsidR="00C5532E">
              <w:rPr>
                <w:rFonts w:asciiTheme="minorBidi" w:hAnsiTheme="minorBidi" w:cs="Arial"/>
                <w:sz w:val="22"/>
                <w:szCs w:val="22"/>
                <w:lang w:eastAsia="ar"/>
              </w:rPr>
              <w:t xml:space="preserve"> </w:t>
            </w:r>
            <w:r w:rsidRPr="00EA4CB6">
              <w:rPr>
                <w:rFonts w:asciiTheme="minorBidi" w:hAnsiTheme="minorBidi" w:cstheme="minorBidi"/>
                <w:sz w:val="22"/>
                <w:szCs w:val="22"/>
                <w:rtl/>
                <w:lang w:eastAsia="ar"/>
              </w:rPr>
              <w:t>ضمن دورة 2026؛</w:t>
            </w:r>
          </w:p>
          <w:p w14:paraId="6D548A05" w14:textId="77777777" w:rsidR="0062777D" w:rsidRPr="00D01D94" w:rsidRDefault="0062777D" w:rsidP="0062777D">
            <w:pPr>
              <w:pStyle w:val="ListParagraph"/>
              <w:widowControl w:val="0"/>
              <w:numPr>
                <w:ilvl w:val="0"/>
                <w:numId w:val="8"/>
              </w:numPr>
              <w:bidi/>
              <w:spacing w:before="120" w:after="120"/>
              <w:ind w:left="323"/>
              <w:contextualSpacing w:val="0"/>
              <w:jc w:val="both"/>
              <w:rPr>
                <w:rFonts w:asciiTheme="minorBidi" w:hAnsiTheme="minorBidi" w:cstheme="minorBidi"/>
                <w:sz w:val="22"/>
                <w:szCs w:val="22"/>
              </w:rPr>
            </w:pPr>
            <w:r w:rsidRPr="00EA4CB6">
              <w:rPr>
                <w:rFonts w:asciiTheme="minorBidi" w:hAnsiTheme="minorBidi" w:cstheme="minorBidi"/>
                <w:sz w:val="22"/>
                <w:szCs w:val="22"/>
                <w:rtl/>
                <w:lang w:eastAsia="ar"/>
              </w:rPr>
              <w:t>تم تسجيل 205 ملفات ترشيح جديدة تم إرسالها لدورتي 2025 و2026؛</w:t>
            </w:r>
          </w:p>
          <w:p w14:paraId="5F3FE491" w14:textId="77777777" w:rsidR="0062777D" w:rsidRPr="00D01D94" w:rsidRDefault="0062777D" w:rsidP="0062777D">
            <w:pPr>
              <w:pStyle w:val="ListParagraph"/>
              <w:keepNext/>
              <w:widowControl w:val="0"/>
              <w:numPr>
                <w:ilvl w:val="0"/>
                <w:numId w:val="8"/>
              </w:numPr>
              <w:bidi/>
              <w:spacing w:before="120" w:after="120"/>
              <w:ind w:left="323"/>
              <w:contextualSpacing w:val="0"/>
              <w:jc w:val="both"/>
              <w:rPr>
                <w:rFonts w:asciiTheme="minorBidi" w:hAnsiTheme="minorBidi" w:cstheme="minorBidi"/>
                <w:sz w:val="22"/>
                <w:szCs w:val="22"/>
              </w:rPr>
            </w:pPr>
            <w:r w:rsidRPr="00EA4CB6">
              <w:rPr>
                <w:rFonts w:asciiTheme="minorBidi" w:hAnsiTheme="minorBidi" w:cstheme="minorBidi"/>
                <w:sz w:val="22"/>
                <w:szCs w:val="22"/>
                <w:rtl/>
                <w:lang w:eastAsia="ar"/>
              </w:rPr>
              <w:t>تم تحليل 26 تقريرًا عن حالة العناصر المدرجة في قائمة الصون العاجل؛</w:t>
            </w:r>
          </w:p>
          <w:p w14:paraId="3130672B" w14:textId="77777777" w:rsidR="0062777D" w:rsidRPr="00D01D94" w:rsidRDefault="0062777D" w:rsidP="0062777D">
            <w:pPr>
              <w:pStyle w:val="ListParagraph"/>
              <w:keepNext/>
              <w:widowControl w:val="0"/>
              <w:numPr>
                <w:ilvl w:val="0"/>
                <w:numId w:val="8"/>
              </w:numPr>
              <w:bidi/>
              <w:spacing w:before="120" w:after="120"/>
              <w:ind w:left="323"/>
              <w:contextualSpacing w:val="0"/>
              <w:jc w:val="both"/>
              <w:rPr>
                <w:rFonts w:asciiTheme="minorBidi" w:hAnsiTheme="minorBidi" w:cstheme="minorBidi"/>
                <w:sz w:val="22"/>
                <w:szCs w:val="22"/>
              </w:rPr>
            </w:pPr>
            <w:r w:rsidRPr="00EA4CB6">
              <w:rPr>
                <w:rFonts w:asciiTheme="minorBidi" w:hAnsiTheme="minorBidi" w:cstheme="minorBidi"/>
                <w:sz w:val="22"/>
                <w:szCs w:val="22"/>
                <w:rtl/>
                <w:lang w:eastAsia="ar"/>
              </w:rPr>
              <w:t>تم تحليل 44 تقريرًا عن تنفيذ الاتفاقية وعن الوضع الراهن للعناصر المدرجة في القائمة التمثيلية من قِبل الدول الأطراف في إفريقيا؛</w:t>
            </w:r>
          </w:p>
          <w:p w14:paraId="28F2A3F4" w14:textId="77777777" w:rsidR="0062777D" w:rsidRPr="00D01D94" w:rsidRDefault="0062777D" w:rsidP="0062777D">
            <w:pPr>
              <w:pStyle w:val="ListParagraph"/>
              <w:keepNext/>
              <w:widowControl w:val="0"/>
              <w:numPr>
                <w:ilvl w:val="0"/>
                <w:numId w:val="8"/>
              </w:numPr>
              <w:bidi/>
              <w:spacing w:before="120" w:after="120"/>
              <w:ind w:left="323"/>
              <w:contextualSpacing w:val="0"/>
              <w:jc w:val="both"/>
              <w:rPr>
                <w:rFonts w:asciiTheme="minorBidi" w:hAnsiTheme="minorBidi" w:cstheme="minorBidi"/>
                <w:sz w:val="22"/>
                <w:szCs w:val="22"/>
              </w:rPr>
            </w:pPr>
            <w:r w:rsidRPr="00EA4CB6">
              <w:rPr>
                <w:rFonts w:asciiTheme="minorBidi" w:hAnsiTheme="minorBidi" w:cstheme="minorBidi"/>
                <w:sz w:val="22"/>
                <w:szCs w:val="22"/>
                <w:rtl/>
                <w:lang w:eastAsia="ar"/>
              </w:rPr>
              <w:t>تم تحليل 38 تقريرًا عن تنفيذ الاتفاقية وعن الوضع الراهن للعناصر المدرجة في القائمة التمثيلية من قِبل الدول الأطراف في آسيا والمحيط الهادئ؛</w:t>
            </w:r>
          </w:p>
          <w:p w14:paraId="7F889E7B" w14:textId="77777777" w:rsidR="0062777D" w:rsidRPr="00EA4CB6" w:rsidRDefault="0062777D" w:rsidP="0062777D">
            <w:pPr>
              <w:pStyle w:val="ListParagraph"/>
              <w:keepNext/>
              <w:widowControl w:val="0"/>
              <w:numPr>
                <w:ilvl w:val="0"/>
                <w:numId w:val="8"/>
              </w:numPr>
              <w:bidi/>
              <w:spacing w:before="120" w:after="120"/>
              <w:ind w:left="323"/>
              <w:contextualSpacing w:val="0"/>
              <w:jc w:val="both"/>
              <w:rPr>
                <w:rFonts w:asciiTheme="minorBidi" w:hAnsiTheme="minorBidi" w:cstheme="minorBidi"/>
                <w:sz w:val="22"/>
                <w:szCs w:val="22"/>
                <w:lang w:val="en-GB"/>
              </w:rPr>
            </w:pPr>
            <w:r w:rsidRPr="00EA4CB6">
              <w:rPr>
                <w:rFonts w:asciiTheme="minorBidi" w:hAnsiTheme="minorBidi" w:cstheme="minorBidi"/>
                <w:sz w:val="22"/>
                <w:szCs w:val="22"/>
                <w:rtl/>
                <w:lang w:eastAsia="ar"/>
              </w:rPr>
              <w:t>تم تنظيم 37 اجتماعًا نظاميًا.</w:t>
            </w:r>
          </w:p>
        </w:tc>
      </w:tr>
    </w:tbl>
    <w:p w14:paraId="6E6CA4D3" w14:textId="77777777" w:rsidR="0062777D" w:rsidRPr="00EA4CB6" w:rsidRDefault="0062777D" w:rsidP="0062777D">
      <w:pPr>
        <w:bidi/>
        <w:sectPr w:rsidR="0062777D" w:rsidRPr="00EA4CB6" w:rsidSect="0062777D">
          <w:headerReference w:type="even" r:id="rId65"/>
          <w:headerReference w:type="default" r:id="rId66"/>
          <w:headerReference w:type="first" r:id="rId67"/>
          <w:pgSz w:w="16838" w:h="11906" w:orient="landscape" w:code="9"/>
          <w:pgMar w:top="1134" w:right="1418" w:bottom="1134" w:left="1134" w:header="567" w:footer="340" w:gutter="0"/>
          <w:cols w:space="708"/>
          <w:docGrid w:linePitch="360"/>
        </w:sectPr>
      </w:pPr>
    </w:p>
    <w:p w14:paraId="7D488958" w14:textId="77777777" w:rsidR="0062777D" w:rsidRPr="00EA4CB6" w:rsidRDefault="0062777D" w:rsidP="0062777D">
      <w:pPr>
        <w:pStyle w:val="COMParaDecision"/>
        <w:numPr>
          <w:ilvl w:val="0"/>
          <w:numId w:val="0"/>
        </w:numPr>
        <w:bidi/>
        <w:jc w:val="center"/>
        <w:rPr>
          <w:rFonts w:asciiTheme="minorBidi" w:hAnsiTheme="minorBidi" w:cstheme="minorBidi"/>
          <w:b/>
        </w:rPr>
      </w:pPr>
      <w:bookmarkStart w:id="2" w:name="AnnexII"/>
      <w:bookmarkStart w:id="3" w:name="_Hlk166253986"/>
      <w:r w:rsidRPr="00EA4CB6">
        <w:rPr>
          <w:rFonts w:asciiTheme="minorBidi" w:hAnsiTheme="minorBidi" w:cstheme="minorBidi"/>
          <w:b/>
          <w:bCs/>
          <w:rtl/>
          <w:lang w:eastAsia="ar"/>
        </w:rPr>
        <w:lastRenderedPageBreak/>
        <w:t>الملحق الثاني</w:t>
      </w:r>
    </w:p>
    <w:bookmarkEnd w:id="2"/>
    <w:p w14:paraId="62C9E91B" w14:textId="212B400B" w:rsidR="0062777D" w:rsidRPr="00EA4CB6" w:rsidRDefault="0062777D" w:rsidP="0062777D">
      <w:pPr>
        <w:pStyle w:val="COMParaDecision"/>
        <w:numPr>
          <w:ilvl w:val="0"/>
          <w:numId w:val="0"/>
        </w:numPr>
        <w:bidi/>
        <w:spacing w:after="0"/>
        <w:jc w:val="center"/>
        <w:rPr>
          <w:rFonts w:asciiTheme="minorBidi" w:hAnsiTheme="minorBidi" w:cstheme="minorBidi"/>
          <w:b/>
          <w:u w:val="none"/>
        </w:rPr>
      </w:pPr>
      <w:r w:rsidRPr="00EA4CB6">
        <w:rPr>
          <w:rFonts w:asciiTheme="minorBidi" w:hAnsiTheme="minorBidi" w:cstheme="minorBidi"/>
          <w:b/>
          <w:bCs/>
          <w:u w:val="none"/>
          <w:rtl/>
          <w:lang w:eastAsia="ar"/>
        </w:rPr>
        <w:t>ردًا على</w:t>
      </w:r>
      <w:r w:rsidRPr="00EA4CB6">
        <w:rPr>
          <w:rFonts w:asciiTheme="minorBidi" w:hAnsiTheme="minorBidi" w:cstheme="minorBidi"/>
          <w:u w:val="none"/>
          <w:rtl/>
          <w:lang w:eastAsia="ar"/>
        </w:rPr>
        <w:t xml:space="preserve"> </w:t>
      </w:r>
      <w:hyperlink r:id="rId68" w:history="1">
        <w:r w:rsidRPr="00EA4CB6">
          <w:rPr>
            <w:rFonts w:asciiTheme="minorBidi" w:hAnsiTheme="minorBidi" w:cstheme="minorBidi"/>
            <w:b/>
            <w:bCs/>
            <w:u w:val="none"/>
            <w:rtl/>
            <w:lang w:eastAsia="ar"/>
          </w:rPr>
          <w:t>تقييم</w:t>
        </w:r>
        <w:r w:rsidR="006568A5" w:rsidRPr="00D01D94">
          <w:rPr>
            <w:rFonts w:asciiTheme="minorBidi" w:hAnsiTheme="minorBidi" w:cstheme="minorBidi"/>
            <w:b/>
            <w:bCs/>
            <w:u w:val="none"/>
            <w:rtl/>
            <w:lang w:eastAsia="ar"/>
          </w:rPr>
          <w:t xml:space="preserve"> </w:t>
        </w:r>
        <w:r w:rsidR="00BD31E9" w:rsidRPr="00D01D94">
          <w:rPr>
            <w:rFonts w:asciiTheme="minorBidi" w:hAnsiTheme="minorBidi" w:cstheme="minorBidi"/>
            <w:b/>
            <w:bCs/>
            <w:u w:val="none"/>
            <w:rtl/>
            <w:lang w:eastAsia="ar"/>
          </w:rPr>
          <w:t>دائرة الرقابة الداخلية</w:t>
        </w:r>
        <w:r w:rsidRPr="00EA4CB6">
          <w:rPr>
            <w:rFonts w:asciiTheme="minorBidi" w:hAnsiTheme="minorBidi" w:cstheme="minorBidi"/>
            <w:b/>
            <w:bCs/>
            <w:u w:val="none"/>
            <w:rtl/>
            <w:lang w:eastAsia="ar"/>
          </w:rPr>
          <w:t xml:space="preserve"> لعام 2021</w:t>
        </w:r>
      </w:hyperlink>
      <w:r w:rsidRPr="00EA4CB6">
        <w:rPr>
          <w:rFonts w:asciiTheme="minorBidi" w:hAnsiTheme="minorBidi" w:cstheme="minorBidi"/>
          <w:u w:val="none"/>
          <w:rtl/>
          <w:lang w:eastAsia="ar"/>
        </w:rPr>
        <w:t xml:space="preserve"> </w:t>
      </w:r>
      <w:r w:rsidRPr="00EA4CB6">
        <w:rPr>
          <w:rFonts w:asciiTheme="minorBidi" w:hAnsiTheme="minorBidi" w:cstheme="minorBidi"/>
          <w:b/>
          <w:bCs/>
          <w:u w:val="none"/>
          <w:rtl/>
          <w:lang w:eastAsia="ar"/>
        </w:rPr>
        <w:t>بشأن جهود اليونسكو في إطار اتفاقية عام 2003</w:t>
      </w:r>
    </w:p>
    <w:p w14:paraId="77009FA0" w14:textId="3A3D690E" w:rsidR="0062777D" w:rsidRPr="00EA4CB6" w:rsidRDefault="0062777D" w:rsidP="0062777D">
      <w:pPr>
        <w:pStyle w:val="COMParaDecision"/>
        <w:numPr>
          <w:ilvl w:val="0"/>
          <w:numId w:val="0"/>
        </w:numPr>
        <w:bidi/>
        <w:spacing w:after="240"/>
        <w:jc w:val="center"/>
        <w:rPr>
          <w:rFonts w:asciiTheme="minorBidi" w:hAnsiTheme="minorBidi" w:cstheme="minorBidi"/>
          <w:b/>
          <w:u w:val="none"/>
        </w:rPr>
      </w:pPr>
      <w:r w:rsidRPr="00EA4CB6">
        <w:rPr>
          <w:rFonts w:asciiTheme="minorBidi" w:hAnsiTheme="minorBidi" w:cstheme="minorBidi"/>
          <w:b/>
          <w:bCs/>
          <w:u w:val="none"/>
          <w:rtl/>
          <w:lang w:eastAsia="ar"/>
        </w:rPr>
        <w:t xml:space="preserve">(اعتبارًا من </w:t>
      </w:r>
      <w:r w:rsidR="00410624" w:rsidRPr="00410624">
        <w:rPr>
          <w:rFonts w:asciiTheme="minorBidi" w:hAnsiTheme="minorBidi"/>
          <w:b/>
          <w:bCs/>
          <w:u w:val="none"/>
          <w:rtl/>
          <w:lang w:eastAsia="ar"/>
        </w:rPr>
        <w:t>أيار</w:t>
      </w:r>
      <w:r w:rsidR="00410624">
        <w:rPr>
          <w:rFonts w:asciiTheme="minorBidi" w:hAnsiTheme="minorBidi"/>
          <w:b/>
          <w:bCs/>
          <w:u w:val="none"/>
          <w:lang w:eastAsia="ar"/>
        </w:rPr>
        <w:t>/</w:t>
      </w:r>
      <w:r w:rsidRPr="00EA4CB6">
        <w:rPr>
          <w:rFonts w:asciiTheme="minorBidi" w:hAnsiTheme="minorBidi" w:cstheme="minorBidi"/>
          <w:b/>
          <w:bCs/>
          <w:u w:val="none"/>
          <w:rtl/>
          <w:lang w:eastAsia="ar"/>
        </w:rPr>
        <w:t>مايو 2026)</w:t>
      </w:r>
      <w:r w:rsidRPr="00EA4CB6">
        <w:rPr>
          <w:rStyle w:val="FootnoteReference"/>
          <w:rFonts w:asciiTheme="minorBidi" w:hAnsiTheme="minorBidi" w:cstheme="minorBidi"/>
          <w:b/>
          <w:bCs/>
          <w:u w:val="none"/>
          <w:rtl/>
          <w:lang w:eastAsia="ar"/>
        </w:rPr>
        <w:footnoteReference w:id="3"/>
      </w:r>
    </w:p>
    <w:tbl>
      <w:tblPr>
        <w:bidiVisual/>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9498"/>
      </w:tblGrid>
      <w:tr w:rsidR="0062777D" w:rsidRPr="00EA4CB6" w14:paraId="3FD1196F" w14:textId="77777777" w:rsidTr="00D01D94">
        <w:trPr>
          <w:trHeight w:val="206"/>
        </w:trPr>
        <w:tc>
          <w:tcPr>
            <w:tcW w:w="1683" w:type="pct"/>
            <w:tcBorders>
              <w:bottom w:val="single" w:sz="4" w:space="0" w:color="auto"/>
            </w:tcBorders>
            <w:shd w:val="clear" w:color="auto" w:fill="C1E4F5" w:themeFill="accent1" w:themeFillTint="33"/>
            <w:vAlign w:val="center"/>
          </w:tcPr>
          <w:bookmarkEnd w:id="3"/>
          <w:p w14:paraId="6DF8AFC3" w14:textId="77777777" w:rsidR="0062777D" w:rsidRPr="00EA4CB6" w:rsidRDefault="0062777D" w:rsidP="00297070">
            <w:pPr>
              <w:widowControl w:val="0"/>
              <w:bidi/>
              <w:spacing w:before="120" w:after="120"/>
              <w:jc w:val="both"/>
              <w:rPr>
                <w:rFonts w:ascii="Arial" w:hAnsi="Arial" w:cs="Arial"/>
                <w:b/>
                <w:bCs/>
                <w:sz w:val="18"/>
                <w:szCs w:val="18"/>
                <w:lang w:val="en-GB"/>
              </w:rPr>
            </w:pPr>
            <w:r w:rsidRPr="00EA4CB6">
              <w:rPr>
                <w:rFonts w:ascii="Arial" w:eastAsia="Arial" w:hAnsi="Arial" w:cs="Arial"/>
                <w:b/>
                <w:bCs/>
                <w:rtl/>
                <w:lang w:eastAsia="ar"/>
              </w:rPr>
              <w:t>التوصيات</w:t>
            </w:r>
          </w:p>
        </w:tc>
        <w:tc>
          <w:tcPr>
            <w:tcW w:w="3317" w:type="pct"/>
            <w:tcBorders>
              <w:bottom w:val="single" w:sz="4" w:space="0" w:color="auto"/>
            </w:tcBorders>
            <w:shd w:val="clear" w:color="auto" w:fill="C1E4F5" w:themeFill="accent1" w:themeFillTint="33"/>
            <w:vAlign w:val="center"/>
          </w:tcPr>
          <w:p w14:paraId="787BC8BE" w14:textId="77777777" w:rsidR="0062777D" w:rsidRPr="00EA4CB6" w:rsidRDefault="0062777D" w:rsidP="00297070">
            <w:pPr>
              <w:widowControl w:val="0"/>
              <w:bidi/>
              <w:spacing w:before="120" w:after="120"/>
              <w:jc w:val="both"/>
              <w:rPr>
                <w:rFonts w:ascii="Arial" w:hAnsi="Arial" w:cs="Arial"/>
                <w:sz w:val="18"/>
                <w:szCs w:val="18"/>
              </w:rPr>
            </w:pPr>
            <w:r w:rsidRPr="00EA4CB6">
              <w:rPr>
                <w:rFonts w:ascii="Arial" w:eastAsia="Arial" w:hAnsi="Arial" w:cs="Arial"/>
                <w:b/>
                <w:bCs/>
                <w:rtl/>
                <w:lang w:eastAsia="ar"/>
              </w:rPr>
              <w:t>الوضع الراهن</w:t>
            </w:r>
          </w:p>
        </w:tc>
      </w:tr>
      <w:tr w:rsidR="0062777D" w:rsidRPr="00235C11" w14:paraId="64A396F3" w14:textId="77777777" w:rsidTr="00297070">
        <w:trPr>
          <w:trHeight w:val="1750"/>
        </w:trPr>
        <w:tc>
          <w:tcPr>
            <w:tcW w:w="1683" w:type="pct"/>
            <w:tcBorders>
              <w:bottom w:val="single" w:sz="4" w:space="0" w:color="auto"/>
            </w:tcBorders>
          </w:tcPr>
          <w:p w14:paraId="53C98D44" w14:textId="77777777" w:rsidR="0062777D" w:rsidRPr="00D01D94" w:rsidRDefault="0062777D" w:rsidP="00297070">
            <w:pPr>
              <w:widowControl w:val="0"/>
              <w:bidi/>
              <w:spacing w:before="120" w:after="120"/>
              <w:jc w:val="both"/>
              <w:rPr>
                <w:rFonts w:ascii="Arial" w:hAnsi="Arial" w:cs="Arial"/>
                <w:b/>
                <w:bCs/>
                <w:sz w:val="20"/>
                <w:szCs w:val="20"/>
              </w:rPr>
            </w:pPr>
            <w:r w:rsidRPr="00EA4CB6">
              <w:rPr>
                <w:rFonts w:ascii="Arial" w:eastAsia="Arial" w:hAnsi="Arial" w:cs="Arial"/>
                <w:b/>
                <w:bCs/>
                <w:sz w:val="20"/>
                <w:szCs w:val="20"/>
                <w:rtl/>
                <w:lang w:eastAsia="ar"/>
              </w:rPr>
              <w:t>التوصية 1:</w:t>
            </w:r>
          </w:p>
          <w:p w14:paraId="763D50A7" w14:textId="77777777"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 xml:space="preserve">يتعين على </w:t>
            </w:r>
            <w:r w:rsidRPr="00EA4CB6">
              <w:rPr>
                <w:rFonts w:ascii="Arial" w:eastAsia="Arial" w:hAnsi="Arial" w:cs="Arial"/>
                <w:b/>
                <w:bCs/>
                <w:sz w:val="20"/>
                <w:szCs w:val="20"/>
                <w:rtl/>
                <w:lang w:eastAsia="ar"/>
              </w:rPr>
              <w:t>أمين اتفاقية عام 2003</w:t>
            </w:r>
            <w:r w:rsidRPr="00EA4CB6">
              <w:rPr>
                <w:rFonts w:ascii="Arial" w:eastAsia="Arial" w:hAnsi="Arial" w:cs="Arial"/>
                <w:sz w:val="20"/>
                <w:szCs w:val="20"/>
                <w:rtl/>
                <w:lang w:eastAsia="ar"/>
              </w:rPr>
              <w:t xml:space="preserve"> أن يتواصل مع اللجنة الحكومية الدولية والجمعية العامة للدول الأطراف والإدارة العليا لليونسكو من أجل لفت انتباهها إلى ضرورة تحديد أولويات استخدام الموارد المحدودة لأمانة اتفاقية عام 2003 (هيئة التراث الحي والمكاتب الميدانية).</w:t>
            </w:r>
          </w:p>
        </w:tc>
        <w:tc>
          <w:tcPr>
            <w:tcW w:w="3317" w:type="pct"/>
            <w:tcBorders>
              <w:bottom w:val="single" w:sz="4" w:space="0" w:color="auto"/>
            </w:tcBorders>
          </w:tcPr>
          <w:p w14:paraId="294C068A" w14:textId="003E9F8B"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 xml:space="preserve">ويشير أمين اتفاقية عام 2003 إلى أن الاتفاقية قد أحرزت تقدمًا ملحوظًا خلال العقدين الماضيين، من حيث مشاركة الأطراف المعنية ووضوح دورهم، فضلاً عن التوسع المواضيعي ومساهمة صون التراث الحي في أجندة التنمية الدولية. وبالتالي، جرى تحديد عدد من المجالات الإستراتيجية بشكل أفضل، لا سيما من خلال الاحتفال بالذكرى السنوية العشرين في عام 2023، والذي أرست بموجبه "رؤية سيول" وغيرها من الدراسات الرئيسية التي أجرتها الهيئات الإدارية للاتفاقية منذ عام 2021. وفي ظل هذا السياق من تزايد التوقعات وارتفاع الطلب، تبقى ضرورة تحديد أولويات استخدام الموارد المحدودة لأمانة اتفاقية عام 2003 بالغة الأهمية مثلما كانت دائمًا. إن موافقة الدورة العشرين للجنة على مجموعة جديدة من أولويات التمويل في </w:t>
            </w:r>
            <w:r w:rsidR="00546636" w:rsidRPr="00546636">
              <w:rPr>
                <w:rFonts w:ascii="Arial" w:eastAsia="Arial" w:hAnsi="Arial" w:cs="Arial"/>
                <w:sz w:val="20"/>
                <w:szCs w:val="20"/>
                <w:rtl/>
                <w:lang w:eastAsia="ar"/>
              </w:rPr>
              <w:t>كانون الأول</w:t>
            </w:r>
            <w:r w:rsidR="00546636" w:rsidRPr="00D01D94">
              <w:rPr>
                <w:rFonts w:ascii="Arial" w:eastAsia="Arial" w:hAnsi="Arial" w:cs="Arial"/>
                <w:sz w:val="20"/>
                <w:szCs w:val="20"/>
                <w:lang w:eastAsia="ar"/>
              </w:rPr>
              <w:t>/</w:t>
            </w:r>
            <w:r w:rsidRPr="00EA4CB6">
              <w:rPr>
                <w:rFonts w:ascii="Arial" w:eastAsia="Arial" w:hAnsi="Arial" w:cs="Arial"/>
                <w:sz w:val="20"/>
                <w:szCs w:val="20"/>
                <w:rtl/>
                <w:lang w:eastAsia="ar"/>
              </w:rPr>
              <w:t xml:space="preserve">ديسمبر 2025 (القرار </w:t>
            </w:r>
            <w:hyperlink r:id="rId69" w:history="1">
              <w:r w:rsidRPr="00EA4CB6">
                <w:rPr>
                  <w:rStyle w:val="Hyperlink"/>
                  <w:rFonts w:ascii="Arial" w:eastAsia="Arial" w:hAnsi="Arial" w:cs="Arial"/>
                  <w:sz w:val="20"/>
                  <w:szCs w:val="20"/>
                  <w:rtl/>
                  <w:lang w:eastAsia="ar"/>
                </w:rPr>
                <w:t>20.</w:t>
              </w:r>
              <w:r w:rsidRPr="00D01D94">
                <w:rPr>
                  <w:rStyle w:val="Hyperlink"/>
                  <w:rFonts w:ascii="Arial" w:eastAsia="Arial" w:hAnsi="Arial" w:cs="Arial"/>
                  <w:sz w:val="20"/>
                  <w:szCs w:val="20"/>
                  <w:lang w:eastAsia="ar" w:bidi="en-GB"/>
                </w:rPr>
                <w:t>COM</w:t>
              </w:r>
              <w:r w:rsidRPr="00EA4CB6">
                <w:rPr>
                  <w:rStyle w:val="Hyperlink"/>
                  <w:rFonts w:ascii="Arial" w:eastAsia="Arial" w:hAnsi="Arial" w:cs="Arial"/>
                  <w:sz w:val="20"/>
                  <w:szCs w:val="20"/>
                  <w:rtl/>
                  <w:lang w:eastAsia="ar"/>
                </w:rPr>
                <w:t xml:space="preserve"> 13</w:t>
              </w:r>
            </w:hyperlink>
            <w:r w:rsidRPr="00EA4CB6">
              <w:rPr>
                <w:rFonts w:ascii="Arial" w:eastAsia="Arial" w:hAnsi="Arial" w:cs="Arial"/>
                <w:sz w:val="20"/>
                <w:szCs w:val="20"/>
                <w:rtl/>
                <w:lang w:eastAsia="ar"/>
              </w:rPr>
              <w:t>) توفر إرشادات للمساهمين عند التخطيط ومناقشة تخصيص الموارد من أجل استدامة أمانة اتفاقية عام 2003.</w:t>
            </w:r>
          </w:p>
        </w:tc>
      </w:tr>
      <w:tr w:rsidR="0062777D" w:rsidRPr="00235C11" w14:paraId="03B9A318" w14:textId="77777777" w:rsidTr="00297070">
        <w:trPr>
          <w:trHeight w:val="170"/>
        </w:trPr>
        <w:tc>
          <w:tcPr>
            <w:tcW w:w="1683" w:type="pct"/>
            <w:tcBorders>
              <w:bottom w:val="single" w:sz="4" w:space="0" w:color="auto"/>
            </w:tcBorders>
          </w:tcPr>
          <w:p w14:paraId="72E2D8AB" w14:textId="77777777" w:rsidR="0062777D" w:rsidRPr="00D01D94" w:rsidRDefault="0062777D" w:rsidP="00297070">
            <w:pPr>
              <w:widowControl w:val="0"/>
              <w:bidi/>
              <w:spacing w:before="120" w:after="120"/>
              <w:jc w:val="both"/>
              <w:rPr>
                <w:rFonts w:ascii="Arial" w:hAnsi="Arial" w:cs="Arial"/>
                <w:b/>
                <w:bCs/>
                <w:sz w:val="20"/>
                <w:szCs w:val="20"/>
              </w:rPr>
            </w:pPr>
            <w:r w:rsidRPr="00EA4CB6">
              <w:rPr>
                <w:rFonts w:ascii="Arial" w:eastAsia="Arial" w:hAnsi="Arial" w:cs="Arial"/>
                <w:b/>
                <w:bCs/>
                <w:sz w:val="20"/>
                <w:szCs w:val="20"/>
                <w:rtl/>
                <w:lang w:eastAsia="ar"/>
              </w:rPr>
              <w:t>التوصية 2:</w:t>
            </w:r>
          </w:p>
          <w:p w14:paraId="039F03A6" w14:textId="77777777"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 xml:space="preserve">يتعين على </w:t>
            </w:r>
            <w:r w:rsidRPr="00EA4CB6">
              <w:rPr>
                <w:rFonts w:ascii="Arial" w:eastAsia="Arial" w:hAnsi="Arial" w:cs="Arial"/>
                <w:b/>
                <w:bCs/>
                <w:sz w:val="20"/>
                <w:szCs w:val="20"/>
                <w:rtl/>
                <w:lang w:eastAsia="ar"/>
              </w:rPr>
              <w:t>هيئة التراث الحي</w:t>
            </w:r>
            <w:r w:rsidRPr="00EA4CB6">
              <w:rPr>
                <w:rFonts w:ascii="Arial" w:eastAsia="Arial" w:hAnsi="Arial" w:cs="Arial"/>
                <w:sz w:val="20"/>
                <w:szCs w:val="20"/>
                <w:rtl/>
                <w:lang w:eastAsia="ar"/>
              </w:rPr>
              <w:t xml:space="preserve"> أن تُمعن النظر في الاستخدامات المحتملة للبيانات التي جُمعت من خلال التقارير الدورية، وكذلك في إستراتيجيات إتاحتها على نطاق واسع بطريقة سهلة الفهم ومرئية. ينبغي أن يكون الوصول إلى المحتوى مجانيًا وسهل البحث والاستخدام. وينبغي إتاحة التحليلات والملخصات العالمية والإقليمية والوطنية.</w:t>
            </w:r>
          </w:p>
        </w:tc>
        <w:tc>
          <w:tcPr>
            <w:tcW w:w="3317" w:type="pct"/>
            <w:tcBorders>
              <w:bottom w:val="single" w:sz="4" w:space="0" w:color="auto"/>
            </w:tcBorders>
          </w:tcPr>
          <w:p w14:paraId="065B9D99" w14:textId="418A19DC" w:rsidR="0062777D" w:rsidRPr="00D01D94" w:rsidRDefault="0062777D" w:rsidP="00297070">
            <w:pPr>
              <w:widowControl w:val="0"/>
              <w:bidi/>
              <w:spacing w:before="120" w:after="120"/>
              <w:jc w:val="both"/>
              <w:rPr>
                <w:rFonts w:asciiTheme="minorBidi" w:hAnsiTheme="minorBidi"/>
                <w:sz w:val="20"/>
                <w:szCs w:val="20"/>
              </w:rPr>
            </w:pPr>
            <w:r w:rsidRPr="00EA4CB6">
              <w:rPr>
                <w:rFonts w:ascii="Arial" w:eastAsia="Arial" w:hAnsi="Arial" w:cs="Arial"/>
                <w:sz w:val="20"/>
                <w:szCs w:val="20"/>
                <w:rtl/>
                <w:lang w:eastAsia="ar"/>
              </w:rPr>
              <w:t xml:space="preserve">منذ تقديم العرض التحليلي للجنة في عام 2021 </w:t>
            </w:r>
            <w:r w:rsidR="00546636" w:rsidRPr="00D01D94">
              <w:rPr>
                <w:rFonts w:ascii="Arial" w:hAnsi="Arial" w:cs="Arial"/>
                <w:sz w:val="20"/>
                <w:szCs w:val="20"/>
              </w:rPr>
              <w:t>(16.COM)</w:t>
            </w:r>
            <w:r w:rsidRPr="00EA4CB6">
              <w:rPr>
                <w:rFonts w:ascii="Arial" w:eastAsia="Arial" w:hAnsi="Arial" w:cs="Arial"/>
                <w:sz w:val="20"/>
                <w:szCs w:val="20"/>
                <w:rtl/>
                <w:lang w:eastAsia="ar"/>
              </w:rPr>
              <w:t xml:space="preserve"> من التقارير المقدمة من الدول الأطراف في أمريكا اللاتينية ومنطقة البحر الكاريبي، واصلت أمانة اتفاقية عام 2003 إعداد التحليلات الإقليمية كل عام، وفقًا لجدول تقديم التقارير. ويُقدم لكل منطقة منتجان تحليليان إلى اللجنة باللغتين الإنجليزية والفرنسية: "عرض تحليلي مبسط" و"تقرير تحليلي شامل". </w:t>
            </w:r>
            <w:r w:rsidRPr="00EA4CB6">
              <w:rPr>
                <w:rFonts w:asciiTheme="minorBidi" w:hAnsiTheme="minorBidi"/>
                <w:sz w:val="20"/>
                <w:szCs w:val="20"/>
                <w:rtl/>
                <w:lang w:eastAsia="ar"/>
              </w:rPr>
              <w:t xml:space="preserve">جميع المنتجات التحليلية متاحة إلكترونيًا، سواء على الصفحة الإلكترونية المخصصة لدورة اللجنة المعنية، وعلى </w:t>
            </w:r>
            <w:hyperlink r:id="rId70" w:history="1">
              <w:r w:rsidRPr="00EA4CB6">
                <w:rPr>
                  <w:rStyle w:val="Hyperlink"/>
                  <w:rFonts w:asciiTheme="minorBidi" w:hAnsiTheme="minorBidi"/>
                  <w:sz w:val="20"/>
                  <w:szCs w:val="20"/>
                  <w:rtl/>
                  <w:lang w:eastAsia="ar"/>
                </w:rPr>
                <w:t>الصفحة</w:t>
              </w:r>
            </w:hyperlink>
            <w:r w:rsidRPr="00EA4CB6">
              <w:rPr>
                <w:rFonts w:asciiTheme="minorBidi" w:hAnsiTheme="minorBidi"/>
                <w:sz w:val="20"/>
                <w:szCs w:val="20"/>
                <w:rtl/>
                <w:lang w:eastAsia="ar"/>
              </w:rPr>
              <w:t xml:space="preserve"> المخصصة للوثائق والدراسات المتعلقة بتقديم التقارير الدورية.</w:t>
            </w:r>
          </w:p>
        </w:tc>
      </w:tr>
      <w:tr w:rsidR="0062777D" w:rsidRPr="00235C11" w14:paraId="20C03FFE" w14:textId="77777777" w:rsidTr="00297070">
        <w:trPr>
          <w:trHeight w:val="977"/>
        </w:trPr>
        <w:tc>
          <w:tcPr>
            <w:tcW w:w="1683" w:type="pct"/>
            <w:tcBorders>
              <w:bottom w:val="single" w:sz="4" w:space="0" w:color="auto"/>
            </w:tcBorders>
          </w:tcPr>
          <w:p w14:paraId="03B27F27" w14:textId="77777777" w:rsidR="0062777D" w:rsidRPr="00D01D94" w:rsidRDefault="0062777D" w:rsidP="00297070">
            <w:pPr>
              <w:widowControl w:val="0"/>
              <w:bidi/>
              <w:spacing w:before="120" w:after="120"/>
              <w:jc w:val="both"/>
              <w:rPr>
                <w:rFonts w:ascii="Arial" w:hAnsi="Arial" w:cs="Arial"/>
                <w:b/>
                <w:bCs/>
                <w:sz w:val="20"/>
                <w:szCs w:val="20"/>
              </w:rPr>
            </w:pPr>
            <w:r w:rsidRPr="00EA4CB6">
              <w:rPr>
                <w:rFonts w:ascii="Arial" w:eastAsia="Arial" w:hAnsi="Arial" w:cs="Arial"/>
                <w:b/>
                <w:bCs/>
                <w:sz w:val="20"/>
                <w:szCs w:val="20"/>
                <w:rtl/>
                <w:lang w:eastAsia="ar"/>
              </w:rPr>
              <w:t>التوصية 3:</w:t>
            </w:r>
          </w:p>
          <w:p w14:paraId="71C4ADD1" w14:textId="77777777"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 xml:space="preserve">يتعين على </w:t>
            </w:r>
            <w:r w:rsidRPr="00EA4CB6">
              <w:rPr>
                <w:rFonts w:ascii="Arial" w:eastAsia="Arial" w:hAnsi="Arial" w:cs="Arial"/>
                <w:b/>
                <w:bCs/>
                <w:sz w:val="20"/>
                <w:szCs w:val="20"/>
                <w:rtl/>
                <w:lang w:eastAsia="ar"/>
              </w:rPr>
              <w:t>هيئة التراث الحي، بالتنسيق مع المكتب التنفيذي لقطاع الثقافة وأمانات الاتفاقيات الأخرى</w:t>
            </w:r>
            <w:r w:rsidRPr="00EA4CB6">
              <w:rPr>
                <w:rFonts w:ascii="Arial" w:eastAsia="Arial" w:hAnsi="Arial" w:cs="Arial"/>
                <w:sz w:val="20"/>
                <w:szCs w:val="20"/>
                <w:rtl/>
                <w:lang w:eastAsia="ar"/>
              </w:rPr>
              <w:t xml:space="preserve"> حسب الاقتضاء، تشكيل فرق عمل لمعالجة المجالات المواضيعية ذات الأولوية التي تتطلب استجابة شاملة لعدة اتفاقيات. وينبغي أن تشمل هذه المجالات، من بين أمور أخرى، التشغيل التجاري والملكية الفكرية والسياحة الثقافية والتعليم. وفي مرحلة لاحقة، ينبغي لليونسكو التعاون مع المنظمات الأخرى العاملة في هذه المجالات.</w:t>
            </w:r>
          </w:p>
        </w:tc>
        <w:tc>
          <w:tcPr>
            <w:tcW w:w="3317" w:type="pct"/>
            <w:tcBorders>
              <w:bottom w:val="single" w:sz="4" w:space="0" w:color="auto"/>
            </w:tcBorders>
          </w:tcPr>
          <w:p w14:paraId="214D230A" w14:textId="429597B6"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 xml:space="preserve">تواصل أمانة اتفاقية عام 2003 تعزيز عملها المواضيعي في إطار الاتفاقية. اعتبارًا من </w:t>
            </w:r>
            <w:r w:rsidR="00546636" w:rsidRPr="00546636">
              <w:rPr>
                <w:rFonts w:ascii="Arial" w:eastAsia="Arial" w:hAnsi="Arial" w:cs="Arial"/>
                <w:sz w:val="20"/>
                <w:szCs w:val="20"/>
                <w:rtl/>
                <w:lang w:eastAsia="ar"/>
              </w:rPr>
              <w:t>كانون الأول</w:t>
            </w:r>
            <w:r w:rsidR="00546636" w:rsidRPr="00D01D94">
              <w:rPr>
                <w:rFonts w:ascii="Arial" w:eastAsia="Arial" w:hAnsi="Arial" w:cs="Arial"/>
                <w:sz w:val="20"/>
                <w:szCs w:val="20"/>
                <w:lang w:eastAsia="ar"/>
              </w:rPr>
              <w:t>/</w:t>
            </w:r>
            <w:r w:rsidRPr="00EA4CB6">
              <w:rPr>
                <w:rFonts w:ascii="Arial" w:eastAsia="Arial" w:hAnsi="Arial" w:cs="Arial"/>
                <w:sz w:val="20"/>
                <w:szCs w:val="20"/>
                <w:rtl/>
                <w:lang w:eastAsia="ar"/>
              </w:rPr>
              <w:t>ديسمبر 2025، أكملت المبادرات المواضيعية الثلاث في مجالات (1) الأبعاد الاقتصادية لصون التراث الثقافي غير المادي، (2) صون التراث الثقافي غير المادي وتغير المناخ، و(3) صون التراث الثقافي غير المادي في السياقات الحضرية، جميعها إعداد ملاحظات التوجيه.</w:t>
            </w:r>
          </w:p>
          <w:p w14:paraId="2745F0B4" w14:textId="0A3EABF5"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 xml:space="preserve">الهدف العام للمبادرات الثلاث هو وضع إرشادات حول كيفية إشراك الأطراف المعنية عمليًا ونظريًا في هذه الموضوعات والاستفادة من التراث الحي لتحقيق التنمية المستدامة. وقد اتبعت المبادرات الثلاث نهجًا مماثلاً، شمل دراسة الوثائق، واستطلاعًا عالميًا، واجتماعًا للخبراء، وتم وضعها بالتنسيق مع برامج واتفاقيات اليونسكو ذات الصلة. أما المبادرة الرابعة المتعلقة بالتراث الحي والذكاء الاصطناعي، فهي قيد التنفيذ حاليًا، بعد أن وافقت عليها اللجنة في دورتها العشرين في </w:t>
            </w:r>
            <w:r w:rsidR="00546636" w:rsidRPr="00546636">
              <w:rPr>
                <w:rFonts w:ascii="Arial" w:eastAsia="Arial" w:hAnsi="Arial" w:cs="Arial"/>
                <w:sz w:val="20"/>
                <w:szCs w:val="20"/>
                <w:rtl/>
                <w:lang w:eastAsia="ar"/>
              </w:rPr>
              <w:t>كانون الأول</w:t>
            </w:r>
            <w:r w:rsidR="00546636" w:rsidRPr="00D01D94">
              <w:rPr>
                <w:rFonts w:ascii="Arial" w:eastAsia="Arial" w:hAnsi="Arial" w:cs="Arial"/>
                <w:sz w:val="20"/>
                <w:szCs w:val="20"/>
                <w:lang w:eastAsia="ar"/>
              </w:rPr>
              <w:t>/</w:t>
            </w:r>
            <w:r w:rsidRPr="00EA4CB6">
              <w:rPr>
                <w:rFonts w:ascii="Arial" w:eastAsia="Arial" w:hAnsi="Arial" w:cs="Arial"/>
                <w:sz w:val="20"/>
                <w:szCs w:val="20"/>
                <w:rtl/>
                <w:lang w:eastAsia="ar"/>
              </w:rPr>
              <w:t xml:space="preserve">ديسمبر 2025 (القرار </w:t>
            </w:r>
            <w:r w:rsidR="00546636" w:rsidRPr="00D01D94">
              <w:rPr>
                <w:rFonts w:ascii="Arial" w:hAnsi="Arial" w:cs="Arial"/>
                <w:sz w:val="20"/>
                <w:szCs w:val="20"/>
              </w:rPr>
              <w:t>20.COM 12</w:t>
            </w:r>
            <w:r w:rsidRPr="00EA4CB6">
              <w:rPr>
                <w:rFonts w:ascii="Arial" w:eastAsia="Arial" w:hAnsi="Arial" w:cs="Arial"/>
                <w:sz w:val="20"/>
                <w:szCs w:val="20"/>
                <w:rtl/>
                <w:lang w:eastAsia="ar"/>
              </w:rPr>
              <w:t xml:space="preserve">). </w:t>
            </w:r>
          </w:p>
          <w:p w14:paraId="412FFA77" w14:textId="77777777"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إضافةً إلى ذلك، تعمل الأمانة على بناء المعرفة وتطوير الأدوات الرقمية لدعم صون ونقل طرق الغذاء كتراث حي، بهدف طويل الأجل يتمثل في تعزيز التنمية المستدامة من أجل سلامة الإنسان وكرامته وإبداعه في مجتمعات سلمية وشاملة. وتشمل مجالات التدخل المواضيعية الأخرى، التي يتم تنفيذها من خلال مشاريع تشغيلية، التراث والتعليم (انظر التوصية 4) والسياحة الثقافية.</w:t>
            </w:r>
          </w:p>
          <w:p w14:paraId="68A86F3C" w14:textId="0FAA4542"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يواصل المكتب التنفيذي لقطاع الثقافة تنسيق فرق العمل القائمة للمجالات المواضيعية/ذات الأولوية في جميع برامج القطاع.</w:t>
            </w:r>
          </w:p>
        </w:tc>
      </w:tr>
      <w:tr w:rsidR="0062777D" w:rsidRPr="00235C11" w14:paraId="46359E3E" w14:textId="77777777" w:rsidTr="00297070">
        <w:trPr>
          <w:trHeight w:val="1209"/>
        </w:trPr>
        <w:tc>
          <w:tcPr>
            <w:tcW w:w="1683" w:type="pct"/>
            <w:tcBorders>
              <w:bottom w:val="single" w:sz="4" w:space="0" w:color="auto"/>
            </w:tcBorders>
          </w:tcPr>
          <w:p w14:paraId="0A63BC08" w14:textId="77777777" w:rsidR="0062777D" w:rsidRPr="00D01D94" w:rsidRDefault="0062777D" w:rsidP="00297070">
            <w:pPr>
              <w:widowControl w:val="0"/>
              <w:bidi/>
              <w:spacing w:before="120" w:after="120"/>
              <w:jc w:val="both"/>
              <w:rPr>
                <w:rFonts w:ascii="Arial" w:hAnsi="Arial" w:cs="Arial"/>
                <w:b/>
                <w:bCs/>
                <w:sz w:val="20"/>
                <w:szCs w:val="20"/>
              </w:rPr>
            </w:pPr>
            <w:r w:rsidRPr="00EA4CB6">
              <w:rPr>
                <w:rFonts w:ascii="Arial" w:eastAsia="Arial" w:hAnsi="Arial" w:cs="Arial"/>
                <w:b/>
                <w:bCs/>
                <w:sz w:val="20"/>
                <w:szCs w:val="20"/>
                <w:rtl/>
                <w:lang w:eastAsia="ar"/>
              </w:rPr>
              <w:lastRenderedPageBreak/>
              <w:t>التوصية 4:</w:t>
            </w:r>
          </w:p>
          <w:p w14:paraId="2F3140B2" w14:textId="77777777" w:rsidR="0062777D" w:rsidRPr="00D01D94" w:rsidRDefault="0062777D" w:rsidP="00297070">
            <w:pPr>
              <w:widowControl w:val="0"/>
              <w:bidi/>
              <w:spacing w:before="120" w:after="120"/>
              <w:jc w:val="both"/>
              <w:rPr>
                <w:rFonts w:ascii="Arial" w:hAnsi="Arial" w:cs="Arial"/>
                <w:b/>
                <w:bCs/>
                <w:sz w:val="20"/>
                <w:szCs w:val="20"/>
              </w:rPr>
            </w:pPr>
            <w:r w:rsidRPr="00EA4CB6">
              <w:rPr>
                <w:rFonts w:ascii="Arial" w:eastAsia="Arial" w:hAnsi="Arial" w:cs="Arial"/>
                <w:sz w:val="20"/>
                <w:szCs w:val="20"/>
                <w:rtl/>
                <w:lang w:eastAsia="ar"/>
              </w:rPr>
              <w:t xml:space="preserve">يتعين على </w:t>
            </w:r>
            <w:r w:rsidRPr="00EA4CB6">
              <w:rPr>
                <w:rFonts w:ascii="Arial" w:eastAsia="Arial" w:hAnsi="Arial" w:cs="Arial"/>
                <w:b/>
                <w:bCs/>
                <w:sz w:val="20"/>
                <w:szCs w:val="20"/>
                <w:rtl/>
                <w:lang w:eastAsia="ar"/>
              </w:rPr>
              <w:t>هيئة التراث الحي بالتعاون مع المكتب التنفيذي لقطاع التعليم</w:t>
            </w:r>
            <w:r w:rsidRPr="00EA4CB6">
              <w:rPr>
                <w:rFonts w:ascii="Arial" w:eastAsia="Arial" w:hAnsi="Arial" w:cs="Arial"/>
                <w:sz w:val="20"/>
                <w:szCs w:val="20"/>
                <w:rtl/>
                <w:lang w:eastAsia="ar"/>
              </w:rPr>
              <w:t xml:space="preserve"> استخدام نظرية التغيير المقترحة كأداة لدراسة نطاق برنامج التراث الحي والتعليم وتوسيعه.</w:t>
            </w:r>
          </w:p>
        </w:tc>
        <w:tc>
          <w:tcPr>
            <w:tcW w:w="3317" w:type="pct"/>
            <w:tcBorders>
              <w:bottom w:val="single" w:sz="4" w:space="0" w:color="auto"/>
            </w:tcBorders>
          </w:tcPr>
          <w:p w14:paraId="0F8BB293" w14:textId="4786D106"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عززت أمانة اتفاقية عام 2003 تعاونها مع قطاع التعليم</w:t>
            </w:r>
            <w:r w:rsidR="00CD6958" w:rsidRPr="00EA4CB6">
              <w:rPr>
                <w:rFonts w:ascii="Arial" w:eastAsia="Arial" w:hAnsi="Arial" w:cs="Arial"/>
                <w:sz w:val="20"/>
                <w:szCs w:val="20"/>
                <w:rtl/>
                <w:lang w:eastAsia="ar"/>
              </w:rPr>
              <w:t xml:space="preserve"> منذ عام 2021،</w:t>
            </w:r>
            <w:r w:rsidR="00CD6958" w:rsidRPr="00D01D94">
              <w:rPr>
                <w:rFonts w:ascii="Arial" w:eastAsia="Arial" w:hAnsi="Arial" w:cs="Arial"/>
                <w:sz w:val="20"/>
                <w:szCs w:val="20"/>
                <w:lang w:eastAsia="ar"/>
              </w:rPr>
              <w:t xml:space="preserve"> </w:t>
            </w:r>
            <w:r w:rsidRPr="00EA4CB6">
              <w:rPr>
                <w:rFonts w:ascii="Arial" w:eastAsia="Arial" w:hAnsi="Arial" w:cs="Arial"/>
                <w:sz w:val="20"/>
                <w:szCs w:val="20"/>
                <w:rtl/>
                <w:lang w:eastAsia="ar"/>
              </w:rPr>
              <w:t>بمواءمة نظرية التغيير المقترحة لبرنامج التراث الحي والتعليم.</w:t>
            </w:r>
          </w:p>
          <w:p w14:paraId="7D4E76EF" w14:textId="523EED6B"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 xml:space="preserve">وعلى الصعيد العالمي، أدى هذا التعاون إلى دمج التراث الحي في معايير دولية مهمة، أبرزها التوصية بشأن التعليم من أجل السلام وحقوق الإنسان والتنمية المستدامة (التوصية المنقحة لعام 1974)، وثانيًا، إطار تعليم الثقافة والفنون الذي اعتُمد في المؤتمر العالمي لتعليم الثقافة والفنون (أبوظبي، 13 إلى 15 </w:t>
            </w:r>
            <w:r w:rsidR="00CD6958" w:rsidRPr="00CD6958">
              <w:rPr>
                <w:rFonts w:ascii="Arial" w:eastAsia="Arial" w:hAnsi="Arial" w:cs="Arial"/>
                <w:sz w:val="20"/>
                <w:szCs w:val="20"/>
                <w:rtl/>
                <w:lang w:eastAsia="ar"/>
              </w:rPr>
              <w:t>شباط</w:t>
            </w:r>
            <w:r w:rsidR="00CD6958" w:rsidRPr="00D01D94">
              <w:rPr>
                <w:rFonts w:ascii="Arial" w:eastAsia="Arial" w:hAnsi="Arial" w:cs="Arial"/>
                <w:sz w:val="20"/>
                <w:szCs w:val="20"/>
                <w:lang w:eastAsia="ar"/>
              </w:rPr>
              <w:t>/</w:t>
            </w:r>
            <w:r w:rsidRPr="00EA4CB6">
              <w:rPr>
                <w:rFonts w:ascii="Arial" w:eastAsia="Arial" w:hAnsi="Arial" w:cs="Arial"/>
                <w:sz w:val="20"/>
                <w:szCs w:val="20"/>
                <w:rtl/>
                <w:lang w:eastAsia="ar"/>
              </w:rPr>
              <w:t>فبراير 2024). يتم الاعتراف بالدور المحوري للتراث الحي في تعزيز أهمية التعليم ودعم صونه على نطاق واسع، وذلك من خلال مركز تبادل المعلومات بشأن التراث الحي والتربية والتعليم يتم تحديثه باستمرار، ودورة تدريبية إلكترونية ذاتية التعلم بعنوان "تحول التعلم من خلال التراث الحي"، تم تطويرها بالتعاون بين قطاعي الثقافة والتعليم.</w:t>
            </w:r>
          </w:p>
        </w:tc>
      </w:tr>
      <w:tr w:rsidR="0062777D" w:rsidRPr="00235C11" w14:paraId="34806ED0" w14:textId="77777777" w:rsidTr="00297070">
        <w:trPr>
          <w:trHeight w:val="1209"/>
        </w:trPr>
        <w:tc>
          <w:tcPr>
            <w:tcW w:w="1683" w:type="pct"/>
            <w:tcBorders>
              <w:bottom w:val="single" w:sz="4" w:space="0" w:color="auto"/>
            </w:tcBorders>
          </w:tcPr>
          <w:p w14:paraId="12048E43" w14:textId="77777777" w:rsidR="0062777D" w:rsidRPr="00D01D94" w:rsidRDefault="0062777D" w:rsidP="00297070">
            <w:pPr>
              <w:widowControl w:val="0"/>
              <w:bidi/>
              <w:spacing w:before="120" w:after="120"/>
              <w:jc w:val="both"/>
              <w:rPr>
                <w:rFonts w:ascii="Arial" w:hAnsi="Arial" w:cs="Arial"/>
                <w:b/>
                <w:bCs/>
                <w:sz w:val="20"/>
                <w:szCs w:val="20"/>
              </w:rPr>
            </w:pPr>
            <w:r w:rsidRPr="00EA4CB6">
              <w:rPr>
                <w:rFonts w:ascii="Arial" w:eastAsia="Arial" w:hAnsi="Arial" w:cs="Arial"/>
                <w:b/>
                <w:bCs/>
                <w:sz w:val="20"/>
                <w:szCs w:val="20"/>
                <w:rtl/>
                <w:lang w:eastAsia="ar"/>
              </w:rPr>
              <w:t>التوصية 5:</w:t>
            </w:r>
          </w:p>
          <w:p w14:paraId="53D25CBB" w14:textId="77777777"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 xml:space="preserve">يتعين على </w:t>
            </w:r>
            <w:r w:rsidRPr="00EA4CB6">
              <w:rPr>
                <w:rFonts w:ascii="Arial" w:eastAsia="Arial" w:hAnsi="Arial" w:cs="Arial"/>
                <w:b/>
                <w:bCs/>
                <w:sz w:val="20"/>
                <w:szCs w:val="20"/>
                <w:rtl/>
                <w:lang w:eastAsia="ar"/>
              </w:rPr>
              <w:t>هيئة التراث الحي</w:t>
            </w:r>
            <w:r w:rsidRPr="00EA4CB6">
              <w:rPr>
                <w:rFonts w:ascii="Arial" w:eastAsia="Arial" w:hAnsi="Arial" w:cs="Arial"/>
                <w:sz w:val="20"/>
                <w:szCs w:val="20"/>
                <w:rtl/>
                <w:lang w:eastAsia="ar"/>
              </w:rPr>
              <w:t xml:space="preserve"> أن تواصل الترويج لآلية المساعدة الدولية، لا سيما بين الدول الأطراف المؤهلة التي لم تتقدم بطلبات للاستفادة منها. ينبغي أن يستلزم ذلك التواصل مع جهات خارج دوائر خبراء التراث الثقافي غير المادي التقليدية، والتوعية بالدعم الفني الذي يمكن أن تقدمه الأمانة العامة للمتقدمين والمستفيدين، فضلاً عن توفير الإرشادات والأدوات اللازمة لتصميم المشاريع وتنفيذها وإعداد التقارير عنها.</w:t>
            </w:r>
          </w:p>
        </w:tc>
        <w:tc>
          <w:tcPr>
            <w:tcW w:w="3317" w:type="pct"/>
            <w:tcBorders>
              <w:bottom w:val="single" w:sz="4" w:space="0" w:color="auto"/>
            </w:tcBorders>
          </w:tcPr>
          <w:p w14:paraId="483C5B35" w14:textId="77777777"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في السنوات الأخيرة، ازداد عدد المشاريع النشطة بشكل مطرد، حيث ارتفع من ستة وثلاثين مشروعًا جاريًا في عام 2019 إلى ستين مشروعًا في عام 2025. وخلال الفترة نفسها، ازداد أيضًا عدد الدول الأطراف المستفيدة، من خمسين إلى ست وثمانين دولة. ولتحسين الآلية، تعاونت الأمانة تعاونًا وثيقًا مع الدول الأطراف لتحديد احتياجاتها في مجال الصون وتقديم الدعم الفني المصمم خصوصًا لها، وهذا ساهم في زيادة الطلبات المقدمة لأول مرة. وتم دعم تنفيذ المشاريع من خلال المتابعة المنتظمة والتواصل المستمر مع المستفيدين لضمان مواءمة الأنشطة والطلبات المعتمدة. عززت الاجتماعات وورش العمل عبر الإنترنت الآلية وزادت من وضوحها، في حين تمت مراجعة جميع تقارير التقدم بشكل منهجي لتقييم الأثر والتحقق من التوافق مع الأهداف وتحديد تجارب الصون الجيدة (والتي تم تضمين بعضها في النسخة الأولية من المنصة لتبادل تجارب الصون الجيدة لدعم توسيع نطاق تنفيذ المادة 18 من الاتفاقية).</w:t>
            </w:r>
          </w:p>
          <w:p w14:paraId="4E83E1F6" w14:textId="77777777"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أسفرت هذه الجهود عن موافقة اللجنة ومكتبها على سبعة وعشرين طلبًا للمساعدة الدولية في الفترة 2024-2025. إضافةً إلى ذلك، تلقت ست دول أطراف دعمًا من خبراء لوضع طلباتها ومراجعتها. وتلقت خمس عشرة دولة طرفًا، من بينها ست دول من إفريقيا وخمس دول جزرية صغيرة نامية، مساعدات مالية لأول مرة، وهذا يدل على التوسع المستمر في نطاق عملها الجغرافي. وأخيرًا، تم توسيع نطاق المساعدة التحضيرية، بما يتماشى مع الدراسة العالمية لآليات إدراج الاتفاقية، وهذا أسفر عن الموافقة على ثمانية طلبات في عامي 2024 و2025 مقارنة بستة طلبات فقط بين عامي 2014 و2023.</w:t>
            </w:r>
          </w:p>
        </w:tc>
      </w:tr>
      <w:tr w:rsidR="0062777D" w:rsidRPr="00235C11" w14:paraId="61E1A4CE" w14:textId="77777777" w:rsidTr="00297070">
        <w:trPr>
          <w:trHeight w:val="1209"/>
        </w:trPr>
        <w:tc>
          <w:tcPr>
            <w:tcW w:w="1683" w:type="pct"/>
            <w:tcBorders>
              <w:bottom w:val="single" w:sz="4" w:space="0" w:color="auto"/>
            </w:tcBorders>
          </w:tcPr>
          <w:p w14:paraId="3E27F03D" w14:textId="77777777" w:rsidR="0062777D" w:rsidRPr="00D01D94" w:rsidRDefault="0062777D" w:rsidP="00297070">
            <w:pPr>
              <w:widowControl w:val="0"/>
              <w:bidi/>
              <w:spacing w:before="120" w:after="120"/>
              <w:jc w:val="both"/>
              <w:rPr>
                <w:rFonts w:ascii="Arial" w:hAnsi="Arial" w:cs="Arial"/>
                <w:b/>
                <w:bCs/>
                <w:sz w:val="20"/>
                <w:szCs w:val="20"/>
              </w:rPr>
            </w:pPr>
            <w:r w:rsidRPr="00EA4CB6">
              <w:rPr>
                <w:rFonts w:ascii="Arial" w:eastAsia="Arial" w:hAnsi="Arial" w:cs="Arial"/>
                <w:b/>
                <w:bCs/>
                <w:sz w:val="20"/>
                <w:szCs w:val="20"/>
                <w:rtl/>
                <w:lang w:eastAsia="ar"/>
              </w:rPr>
              <w:t>التوصية 6:</w:t>
            </w:r>
          </w:p>
          <w:p w14:paraId="1D38235D" w14:textId="1A0D9DE3"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 xml:space="preserve">يتعين على </w:t>
            </w:r>
            <w:r w:rsidRPr="00EA4CB6">
              <w:rPr>
                <w:rFonts w:ascii="Arial" w:eastAsia="Arial" w:hAnsi="Arial" w:cs="Arial"/>
                <w:b/>
                <w:bCs/>
                <w:sz w:val="20"/>
                <w:szCs w:val="20"/>
                <w:rtl/>
                <w:lang w:eastAsia="ar"/>
              </w:rPr>
              <w:t>هيئة التراث الحي</w:t>
            </w:r>
            <w:r w:rsidRPr="00EA4CB6">
              <w:rPr>
                <w:rFonts w:ascii="Arial" w:eastAsia="Arial" w:hAnsi="Arial" w:cs="Arial"/>
                <w:sz w:val="20"/>
                <w:szCs w:val="20"/>
                <w:rtl/>
                <w:lang w:eastAsia="ar"/>
              </w:rPr>
              <w:t xml:space="preserve"> تعزيز جودة تصميم المشاريع ورصدها وتقديم تقارير عن نتائجها، وفقًا لإطار النتائج الشامل. ينبغي كذلك إيلاء اهتمام خاص لإشراك ا</w:t>
            </w:r>
            <w:r w:rsidR="001626F9" w:rsidRPr="00D01D94">
              <w:rPr>
                <w:rFonts w:ascii="Arial" w:eastAsia="Arial" w:hAnsi="Arial" w:cs="Arial"/>
                <w:sz w:val="20"/>
                <w:szCs w:val="20"/>
                <w:rtl/>
                <w:lang w:eastAsia="ar"/>
              </w:rPr>
              <w:t>لجماعات</w:t>
            </w:r>
            <w:r w:rsidRPr="00EA4CB6">
              <w:rPr>
                <w:rFonts w:ascii="Arial" w:eastAsia="Arial" w:hAnsi="Arial" w:cs="Arial"/>
                <w:sz w:val="20"/>
                <w:szCs w:val="20"/>
                <w:rtl/>
                <w:lang w:eastAsia="ar"/>
              </w:rPr>
              <w:t xml:space="preserve"> والتنمية المستدامة والمساواة بين الجنسين، من بين مجالات أخرى.</w:t>
            </w:r>
          </w:p>
        </w:tc>
        <w:tc>
          <w:tcPr>
            <w:tcW w:w="3317" w:type="pct"/>
            <w:tcBorders>
              <w:bottom w:val="single" w:sz="4" w:space="0" w:color="auto"/>
            </w:tcBorders>
          </w:tcPr>
          <w:p w14:paraId="0DB15A0A" w14:textId="176EC49D"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 xml:space="preserve">تمت الموافقة على "إستراتيجية رصد وتقييم وتحديد الدروس المستفادة لمشاريع المساعدة الدولية" من قبل الدورة السابعة عشرة للجنة الحكومية الدولية (القرار </w:t>
            </w:r>
            <w:hyperlink r:id="rId71" w:history="1">
              <w:r w:rsidR="00523199" w:rsidRPr="00D01D94">
                <w:rPr>
                  <w:rStyle w:val="Hyperlink"/>
                  <w:rFonts w:ascii="Arial" w:hAnsi="Arial" w:cs="Arial"/>
                  <w:sz w:val="20"/>
                  <w:szCs w:val="20"/>
                </w:rPr>
                <w:t>17.COM 11</w:t>
              </w:r>
            </w:hyperlink>
            <w:r w:rsidRPr="00EA4CB6">
              <w:rPr>
                <w:rFonts w:ascii="Arial" w:eastAsia="Arial" w:hAnsi="Arial" w:cs="Arial"/>
                <w:sz w:val="20"/>
                <w:szCs w:val="20"/>
                <w:rtl/>
                <w:lang w:eastAsia="ar"/>
              </w:rPr>
              <w:t xml:space="preserve">). يتمثل الهدف الرئيسي لهذه الإستراتيجية في وضع منهجية منظمة ستُسهم من خلالها عمليات رصد وتقييم مشاريع المساعدة الدولية الفردية الممولة من صندوق التراث الثقافي غير المادي في عملية الرصد والتقييم الشاملة لآلية المساعدة الدولية. ويهدف ذلك إلى تحسين تتبع فعالية الآلية في المساهمة في تنفيذ الاتفاقية، وذلك من خلال مواءمة عمليات الرصد والتقييم مع إطار النتائج الشامل لاتفاقية عام 2003. </w:t>
            </w:r>
          </w:p>
          <w:p w14:paraId="67D7EE66" w14:textId="63107968"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 xml:space="preserve">تتمثل الإجراءات الرئيسية المتعلقة بنظام تقييم آلية المساعدة الدولية في: إجراء تقييمين، بما في ذلك بعثتين ميدانيتين متتاليتين، بين شهري </w:t>
            </w:r>
            <w:r w:rsidR="00CD6958" w:rsidRPr="00CD6958">
              <w:rPr>
                <w:rFonts w:ascii="Arial" w:eastAsia="Arial" w:hAnsi="Arial" w:cs="Arial"/>
                <w:sz w:val="20"/>
                <w:szCs w:val="20"/>
                <w:rtl/>
                <w:lang w:eastAsia="ar"/>
              </w:rPr>
              <w:t>تموز</w:t>
            </w:r>
            <w:r w:rsidR="00CD6958" w:rsidRPr="00D01D94">
              <w:rPr>
                <w:rFonts w:ascii="Arial" w:eastAsia="Arial" w:hAnsi="Arial" w:cs="Arial"/>
                <w:sz w:val="20"/>
                <w:szCs w:val="20"/>
                <w:lang w:eastAsia="ar"/>
              </w:rPr>
              <w:t>/</w:t>
            </w:r>
            <w:r w:rsidRPr="00EA4CB6">
              <w:rPr>
                <w:rFonts w:ascii="Arial" w:eastAsia="Arial" w:hAnsi="Arial" w:cs="Arial"/>
                <w:sz w:val="20"/>
                <w:szCs w:val="20"/>
                <w:rtl/>
                <w:lang w:eastAsia="ar"/>
              </w:rPr>
              <w:t>يوليو و</w:t>
            </w:r>
            <w:r w:rsidR="00CD6958" w:rsidRPr="00CD6958">
              <w:rPr>
                <w:rFonts w:ascii="Arial" w:eastAsia="Arial" w:hAnsi="Arial" w:cs="Arial"/>
                <w:sz w:val="20"/>
                <w:szCs w:val="20"/>
                <w:rtl/>
                <w:lang w:eastAsia="ar"/>
              </w:rPr>
              <w:t>تشرين الثاني</w:t>
            </w:r>
            <w:r w:rsidR="00CD6958" w:rsidRPr="00D01D94">
              <w:rPr>
                <w:rFonts w:ascii="Arial" w:eastAsia="Arial" w:hAnsi="Arial" w:cs="Arial"/>
                <w:sz w:val="20"/>
                <w:szCs w:val="20"/>
                <w:lang w:eastAsia="ar"/>
              </w:rPr>
              <w:t>/</w:t>
            </w:r>
            <w:r w:rsidRPr="00EA4CB6">
              <w:rPr>
                <w:rFonts w:ascii="Arial" w:eastAsia="Arial" w:hAnsi="Arial" w:cs="Arial"/>
                <w:sz w:val="20"/>
                <w:szCs w:val="20"/>
                <w:rtl/>
                <w:lang w:eastAsia="ar"/>
              </w:rPr>
              <w:t xml:space="preserve">نوفمبر 2024 في جمهورية لاو الديمقراطية الشعبية (القرار </w:t>
            </w:r>
            <w:r w:rsidR="00CD6958" w:rsidRPr="00D01D94">
              <w:rPr>
                <w:rFonts w:ascii="Arial" w:hAnsi="Arial" w:cs="Arial"/>
                <w:sz w:val="20"/>
                <w:szCs w:val="20"/>
              </w:rPr>
              <w:t>14.COM 2.BUR 5.3</w:t>
            </w:r>
            <w:r w:rsidRPr="00EA4CB6">
              <w:rPr>
                <w:rFonts w:ascii="Arial" w:eastAsia="Arial" w:hAnsi="Arial" w:cs="Arial"/>
                <w:sz w:val="20"/>
                <w:szCs w:val="20"/>
                <w:rtl/>
                <w:lang w:eastAsia="ar"/>
              </w:rPr>
              <w:t xml:space="preserve">) وتونغا (القرار </w:t>
            </w:r>
            <w:r w:rsidR="00CD6958" w:rsidRPr="00D01D94">
              <w:rPr>
                <w:rFonts w:ascii="Arial" w:hAnsi="Arial" w:cs="Arial"/>
                <w:sz w:val="20"/>
                <w:szCs w:val="20"/>
              </w:rPr>
              <w:t>13.COM 2.BUR 4.6</w:t>
            </w:r>
            <w:r w:rsidRPr="00EA4CB6">
              <w:rPr>
                <w:rFonts w:ascii="Arial" w:eastAsia="Arial" w:hAnsi="Arial" w:cs="Arial"/>
                <w:sz w:val="20"/>
                <w:szCs w:val="20"/>
                <w:rtl/>
                <w:lang w:eastAsia="ar"/>
              </w:rPr>
              <w:t xml:space="preserve">). وقد وفرت هذه الدفعة الأولى من التقييمات تجارب قيّمة للأمانة، لا سيما فيما يتعلق بما يلي: أ) أهمية ربط نقاط التقييم بإطار النتائج الشامل للاتفاقية لقياس التأثيرات؛ ب) ضرورة الإعداد الدقيق للجوانب اللوجستية للبعثات، مثل تنظيم خدمات الترجمة الفورية بلغات </w:t>
            </w:r>
            <w:r w:rsidR="000627D5" w:rsidRPr="00D01D94">
              <w:rPr>
                <w:rFonts w:ascii="Arial" w:eastAsia="Arial" w:hAnsi="Arial" w:cs="Arial"/>
                <w:sz w:val="20"/>
                <w:szCs w:val="20"/>
                <w:rtl/>
                <w:lang w:eastAsia="ar"/>
              </w:rPr>
              <w:t>الجماعات</w:t>
            </w:r>
            <w:r w:rsidRPr="00EA4CB6">
              <w:rPr>
                <w:rFonts w:ascii="Arial" w:eastAsia="Arial" w:hAnsi="Arial" w:cs="Arial"/>
                <w:sz w:val="20"/>
                <w:szCs w:val="20"/>
                <w:rtl/>
                <w:lang w:eastAsia="ar"/>
              </w:rPr>
              <w:t xml:space="preserve"> المستفيدة؛ ج) كيفية نشر نتائج التقييمات وتبادل نُهج الصون الجيدة. إضافةً إلى ذلك، تم تعزيز رصد وتقييم المشاريع الفردية وآليات المساعدة الدولية الشاملة من خلال تنفيذ أدوات مختلفة لرصد وتحديد تجارب الصون الجيدة (انظر التوصية 5).</w:t>
            </w:r>
          </w:p>
        </w:tc>
      </w:tr>
      <w:tr w:rsidR="0062777D" w:rsidRPr="00235C11" w14:paraId="2FA83B22" w14:textId="77777777" w:rsidTr="00297070">
        <w:trPr>
          <w:trHeight w:val="1209"/>
        </w:trPr>
        <w:tc>
          <w:tcPr>
            <w:tcW w:w="1683" w:type="pct"/>
            <w:tcBorders>
              <w:bottom w:val="single" w:sz="4" w:space="0" w:color="auto"/>
            </w:tcBorders>
          </w:tcPr>
          <w:p w14:paraId="287C664D" w14:textId="77777777" w:rsidR="0062777D" w:rsidRPr="00D01D94" w:rsidRDefault="0062777D" w:rsidP="00297070">
            <w:pPr>
              <w:widowControl w:val="0"/>
              <w:bidi/>
              <w:spacing w:before="120" w:after="120"/>
              <w:jc w:val="both"/>
              <w:rPr>
                <w:rFonts w:ascii="Arial" w:hAnsi="Arial" w:cs="Arial"/>
                <w:b/>
                <w:bCs/>
                <w:sz w:val="20"/>
                <w:szCs w:val="20"/>
              </w:rPr>
            </w:pPr>
            <w:r w:rsidRPr="00EA4CB6">
              <w:rPr>
                <w:rFonts w:ascii="Arial" w:eastAsia="Arial" w:hAnsi="Arial" w:cs="Arial"/>
                <w:b/>
                <w:bCs/>
                <w:sz w:val="20"/>
                <w:szCs w:val="20"/>
                <w:rtl/>
                <w:lang w:eastAsia="ar"/>
              </w:rPr>
              <w:t>التوصية 7:</w:t>
            </w:r>
          </w:p>
          <w:p w14:paraId="476D6E4A" w14:textId="77777777"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 xml:space="preserve">يتعين على </w:t>
            </w:r>
            <w:r w:rsidRPr="00EA4CB6">
              <w:rPr>
                <w:rFonts w:ascii="Arial" w:eastAsia="Arial" w:hAnsi="Arial" w:cs="Arial"/>
                <w:b/>
                <w:bCs/>
                <w:sz w:val="20"/>
                <w:szCs w:val="20"/>
                <w:rtl/>
                <w:lang w:eastAsia="ar"/>
              </w:rPr>
              <w:t>هيئة التراث الحي</w:t>
            </w:r>
            <w:r w:rsidRPr="00EA4CB6">
              <w:rPr>
                <w:rFonts w:ascii="Arial" w:eastAsia="Arial" w:hAnsi="Arial" w:cs="Arial"/>
                <w:sz w:val="20"/>
                <w:szCs w:val="20"/>
                <w:rtl/>
                <w:lang w:eastAsia="ar"/>
              </w:rPr>
              <w:t xml:space="preserve"> تعزيز شبكة جهات التيسير لضمان استيفائها للمتطلبات الجغرافية والمواضيعية لبرنامج بناء القدرات العالمي. ينبغي أن يستلزم ذلك تحديد القدرات الحالية وتمييز الاحتياجات. ينبغي أن يشمل ذلك أيضًا تقييم الأنشطة الحالية والسابقة لأعضاء الشبكة الحاليين، فضلاً عن المشاركة الفعالة للأفراد في أنشطة أخرى، مثل مشاريع المساعدة الدولية، وجهات الاتصال المعنية بالتقارير الدورية وغيرها. ينبغي إتاحة فرص </w:t>
            </w:r>
            <w:r w:rsidRPr="00EA4CB6">
              <w:rPr>
                <w:rFonts w:ascii="Arial" w:eastAsia="Arial" w:hAnsi="Arial" w:cs="Arial"/>
                <w:sz w:val="20"/>
                <w:szCs w:val="20"/>
                <w:rtl/>
                <w:lang w:eastAsia="ar"/>
              </w:rPr>
              <w:lastRenderedPageBreak/>
              <w:t>لعضوية جديدة وتبادل الخبرات بين جهات التيسير.</w:t>
            </w:r>
          </w:p>
        </w:tc>
        <w:tc>
          <w:tcPr>
            <w:tcW w:w="3317" w:type="pct"/>
            <w:tcBorders>
              <w:bottom w:val="single" w:sz="4" w:space="0" w:color="auto"/>
            </w:tcBorders>
          </w:tcPr>
          <w:p w14:paraId="4C2CF050" w14:textId="6ED8ED93" w:rsidR="0062777D" w:rsidRPr="00D01D94" w:rsidRDefault="0062777D" w:rsidP="000B064C">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lastRenderedPageBreak/>
              <w:t xml:space="preserve">منذ عام 2021، تعززت الشبكة العالمية لجهات التيسير بشكل ملحوظ بانضمام خمسة وتسعين عضوًا جديدًا (60% منهم من النساء) من جميع المناطق، وذلك استجابةً لدعوة عالمية لإبداء الاهتمام. وقد عُقدت سلسلة من الجلسات التوجيهية عبر الإنترنت للأعضاء الجدد لتزويدهم بالمعرفة الأساسية حول الاتفاقية والشبكة. </w:t>
            </w:r>
            <w:r w:rsidR="000B064C" w:rsidRPr="000B064C">
              <w:rPr>
                <w:rFonts w:ascii="Arial" w:eastAsia="Arial" w:hAnsi="Arial" w:cs="Arial"/>
                <w:sz w:val="20"/>
                <w:szCs w:val="20"/>
                <w:rtl/>
                <w:lang w:eastAsia="ar"/>
              </w:rPr>
              <w:t>تم تنفيذ ورش عمل تدريبية تمهيدية إقليمية في جميع المناطق بالتعاون مع مراكز الفئة الثانية</w:t>
            </w:r>
            <w:r w:rsidR="000B064C" w:rsidRPr="00D01D94">
              <w:rPr>
                <w:rFonts w:ascii="Arial" w:eastAsia="Arial" w:hAnsi="Arial" w:cs="Arial"/>
                <w:sz w:val="20"/>
                <w:szCs w:val="20"/>
                <w:lang w:eastAsia="ar"/>
              </w:rPr>
              <w:t>.</w:t>
            </w:r>
            <w:r w:rsidR="000B064C" w:rsidRPr="000B064C">
              <w:rPr>
                <w:rFonts w:ascii="Arial" w:eastAsia="Arial" w:hAnsi="Arial" w:cs="Arial"/>
                <w:sz w:val="20"/>
                <w:szCs w:val="20"/>
                <w:rtl/>
                <w:lang w:eastAsia="ar"/>
              </w:rPr>
              <w:t xml:space="preserve"> </w:t>
            </w:r>
            <w:r w:rsidRPr="00EA4CB6">
              <w:rPr>
                <w:rFonts w:ascii="Arial" w:eastAsia="Arial" w:hAnsi="Arial" w:cs="Arial"/>
                <w:sz w:val="20"/>
                <w:szCs w:val="20"/>
                <w:rtl/>
                <w:lang w:eastAsia="ar"/>
              </w:rPr>
              <w:t>منذ عام 2025، تلقت جهات التيسير أيضًا تدريبًا على المجالات المواضيعية للاتفاقية، من خلال سلسلة من الندوات التدريبية عبر الإنترنت حول الروابط بين التراث الحي و(1) الحد من مخاطر الكوارث (</w:t>
            </w:r>
            <w:r w:rsidR="000B064C" w:rsidRPr="000B064C">
              <w:rPr>
                <w:rFonts w:ascii="Arial" w:eastAsia="Arial" w:hAnsi="Arial" w:cs="Arial"/>
                <w:sz w:val="20"/>
                <w:szCs w:val="20"/>
                <w:rtl/>
                <w:lang w:eastAsia="ar"/>
              </w:rPr>
              <w:t>آذار</w:t>
            </w:r>
            <w:r w:rsidR="000B064C" w:rsidRPr="00D01D94">
              <w:rPr>
                <w:rFonts w:ascii="Arial" w:eastAsia="Arial" w:hAnsi="Arial" w:cs="Arial"/>
                <w:sz w:val="20"/>
                <w:szCs w:val="20"/>
                <w:lang w:eastAsia="ar"/>
              </w:rPr>
              <w:t>/</w:t>
            </w:r>
            <w:r w:rsidRPr="00EA4CB6">
              <w:rPr>
                <w:rFonts w:ascii="Arial" w:eastAsia="Arial" w:hAnsi="Arial" w:cs="Arial"/>
                <w:sz w:val="20"/>
                <w:szCs w:val="20"/>
                <w:rtl/>
                <w:lang w:eastAsia="ar"/>
              </w:rPr>
              <w:t>مارس 2025)؛ و(2) الترشيحات (</w:t>
            </w:r>
            <w:r w:rsidR="000B064C" w:rsidRPr="000B064C">
              <w:rPr>
                <w:rFonts w:ascii="Arial" w:eastAsia="Arial" w:hAnsi="Arial" w:cs="Arial"/>
                <w:sz w:val="20"/>
                <w:szCs w:val="20"/>
                <w:rtl/>
                <w:lang w:eastAsia="ar"/>
              </w:rPr>
              <w:t>حزيران</w:t>
            </w:r>
            <w:r w:rsidR="000B064C" w:rsidRPr="00D01D94">
              <w:rPr>
                <w:rFonts w:ascii="Arial" w:eastAsia="Arial" w:hAnsi="Arial" w:cs="Arial"/>
                <w:sz w:val="20"/>
                <w:szCs w:val="20"/>
                <w:lang w:eastAsia="ar"/>
              </w:rPr>
              <w:t>/</w:t>
            </w:r>
            <w:r w:rsidRPr="00EA4CB6">
              <w:rPr>
                <w:rFonts w:ascii="Arial" w:eastAsia="Arial" w:hAnsi="Arial" w:cs="Arial"/>
                <w:sz w:val="20"/>
                <w:szCs w:val="20"/>
                <w:rtl/>
                <w:lang w:eastAsia="ar"/>
              </w:rPr>
              <w:t>يونيو 2025)؛ و(3) التعليم (</w:t>
            </w:r>
            <w:r w:rsidR="000B064C" w:rsidRPr="000B064C">
              <w:rPr>
                <w:rFonts w:ascii="Arial" w:eastAsia="Arial" w:hAnsi="Arial" w:cs="Arial"/>
                <w:sz w:val="20"/>
                <w:szCs w:val="20"/>
                <w:rtl/>
                <w:lang w:eastAsia="ar"/>
              </w:rPr>
              <w:t>تموز</w:t>
            </w:r>
            <w:r w:rsidR="000B064C" w:rsidRPr="00D01D94">
              <w:rPr>
                <w:rFonts w:ascii="Arial" w:eastAsia="Arial" w:hAnsi="Arial" w:cs="Arial"/>
                <w:sz w:val="20"/>
                <w:szCs w:val="20"/>
                <w:lang w:eastAsia="ar"/>
              </w:rPr>
              <w:t>/</w:t>
            </w:r>
            <w:r w:rsidRPr="00EA4CB6">
              <w:rPr>
                <w:rFonts w:ascii="Arial" w:eastAsia="Arial" w:hAnsi="Arial" w:cs="Arial"/>
                <w:sz w:val="20"/>
                <w:szCs w:val="20"/>
                <w:rtl/>
                <w:lang w:eastAsia="ar"/>
              </w:rPr>
              <w:t>يوليو 2025)، و(4) السياقات الحضرية (</w:t>
            </w:r>
            <w:r w:rsidR="000B064C" w:rsidRPr="000B064C">
              <w:rPr>
                <w:rFonts w:ascii="Arial" w:eastAsia="Arial" w:hAnsi="Arial" w:cs="Arial"/>
                <w:sz w:val="20"/>
                <w:szCs w:val="20"/>
                <w:rtl/>
                <w:lang w:eastAsia="ar"/>
              </w:rPr>
              <w:t>نيسان</w:t>
            </w:r>
            <w:r w:rsidR="000B064C" w:rsidRPr="00D01D94">
              <w:rPr>
                <w:rFonts w:ascii="Arial" w:eastAsia="Arial" w:hAnsi="Arial" w:cs="Arial"/>
                <w:sz w:val="20"/>
                <w:szCs w:val="20"/>
                <w:lang w:eastAsia="ar"/>
              </w:rPr>
              <w:t>/</w:t>
            </w:r>
            <w:r w:rsidRPr="00EA4CB6">
              <w:rPr>
                <w:rFonts w:ascii="Arial" w:eastAsia="Arial" w:hAnsi="Arial" w:cs="Arial"/>
                <w:sz w:val="20"/>
                <w:szCs w:val="20"/>
                <w:rtl/>
                <w:lang w:eastAsia="ar"/>
              </w:rPr>
              <w:t xml:space="preserve">أبريل 2026). ومن المقرر عقد ندوة إلكترونية خامسة حول التراث الحي في حالات النزاع والنزوح في 4 </w:t>
            </w:r>
            <w:r w:rsidR="00F07306" w:rsidRPr="00336F9C">
              <w:rPr>
                <w:rFonts w:ascii="Arial" w:eastAsia="Arial" w:hAnsi="Arial" w:cs="Arial"/>
                <w:sz w:val="20"/>
                <w:szCs w:val="20"/>
                <w:rtl/>
                <w:lang w:eastAsia="ar"/>
              </w:rPr>
              <w:t>حزيران</w:t>
            </w:r>
            <w:r w:rsidR="00F07306" w:rsidRPr="00D01D94">
              <w:rPr>
                <w:rFonts w:ascii="Arial" w:eastAsia="Arial" w:hAnsi="Arial" w:cs="Arial"/>
                <w:sz w:val="20"/>
                <w:szCs w:val="20"/>
                <w:lang w:eastAsia="ar"/>
              </w:rPr>
              <w:t>/</w:t>
            </w:r>
            <w:r w:rsidRPr="00EA4CB6">
              <w:rPr>
                <w:rFonts w:ascii="Arial" w:eastAsia="Arial" w:hAnsi="Arial" w:cs="Arial"/>
                <w:sz w:val="20"/>
                <w:szCs w:val="20"/>
                <w:rtl/>
                <w:lang w:eastAsia="ar"/>
              </w:rPr>
              <w:t>يونيو 2026.</w:t>
            </w:r>
          </w:p>
          <w:p w14:paraId="730C0853" w14:textId="77777777"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 xml:space="preserve">ولتقديم استجابة أكثر ملاءمة للاحتياجات والثغرات القائمة، يجري حاليًا تنفيذ إستراتيجية جديدة للتدريب الإقليمي والمناسب للسياق بشأن تنفيذ الاتفاقية </w:t>
            </w:r>
            <w:r w:rsidRPr="00EA4CB6">
              <w:rPr>
                <w:rFonts w:ascii="Arial" w:eastAsia="Arial" w:hAnsi="Arial" w:cs="Arial"/>
                <w:sz w:val="20"/>
                <w:szCs w:val="20"/>
                <w:rtl/>
                <w:lang w:eastAsia="ar"/>
              </w:rPr>
              <w:lastRenderedPageBreak/>
              <w:t>للأعضاء الجدد في جميع المناطق، وذلك بالتعاون مع المكاتب الميدانية لليونسكو وبدعم من مراكز الفئة الثانية. لقد تم تعزيز المشاركة الفعالة لجهات التيسير ذوي الخبرة في الأنشطة الرئيسية، لا سيما فيما يتعلق بالتقارير الدورية بموجب الاتفاقية، من خلال دورتين تدريبيتين عبر الإنترنت مدة كل منهما 18 ساعة، تم إتمامهما لدعم دورات إعداد التقارير الإقليمية في إفريقيا (2023) وآسيا والمحيط الهادئ (2024).</w:t>
            </w:r>
          </w:p>
        </w:tc>
      </w:tr>
      <w:tr w:rsidR="0062777D" w:rsidRPr="00235C11" w14:paraId="4D1E1FE0" w14:textId="77777777" w:rsidTr="00297070">
        <w:trPr>
          <w:trHeight w:val="1209"/>
        </w:trPr>
        <w:tc>
          <w:tcPr>
            <w:tcW w:w="1683" w:type="pct"/>
            <w:tcBorders>
              <w:bottom w:val="single" w:sz="4" w:space="0" w:color="auto"/>
            </w:tcBorders>
          </w:tcPr>
          <w:p w14:paraId="63F15F3E" w14:textId="77777777"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b/>
                <w:bCs/>
                <w:sz w:val="20"/>
                <w:szCs w:val="20"/>
                <w:rtl/>
                <w:lang w:eastAsia="ar"/>
              </w:rPr>
              <w:lastRenderedPageBreak/>
              <w:t>التوصية 8:</w:t>
            </w:r>
          </w:p>
          <w:p w14:paraId="3DDFA9D6" w14:textId="77777777"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 xml:space="preserve">يتعين على </w:t>
            </w:r>
            <w:r w:rsidRPr="00EA4CB6">
              <w:rPr>
                <w:rFonts w:ascii="Arial" w:eastAsia="Arial" w:hAnsi="Arial" w:cs="Arial"/>
                <w:b/>
                <w:bCs/>
                <w:sz w:val="20"/>
                <w:szCs w:val="20"/>
                <w:rtl/>
                <w:lang w:eastAsia="ar"/>
              </w:rPr>
              <w:t>هيئة التراث الحي</w:t>
            </w:r>
            <w:r w:rsidRPr="00EA4CB6">
              <w:rPr>
                <w:rFonts w:ascii="Arial" w:eastAsia="Arial" w:hAnsi="Arial" w:cs="Arial"/>
                <w:sz w:val="20"/>
                <w:szCs w:val="20"/>
                <w:rtl/>
                <w:lang w:eastAsia="ar"/>
              </w:rPr>
              <w:t xml:space="preserve"> السعي إلى تكييف برنامج بناء القدرات العالمي ليصبح نموذجًا مختلطًا، يجمع بين التعلم عبر الإنترنت والتدريب بالحضور الشخصي، وإعداد مواد وأدوات تعليمية تناسب هذه السياقات المختلفة على أفضل وجه. ينبغي للبرنامج كذلك أن يواصل تنويع جمهوره المستهدف، وأن يعطي الأولوية للمجتمعات، ومنظمات المجتمع المدني، بما في ذلك المنظمات غير الحكومية العاملة مع حاملي التراث الثقافي غير المادي، واستهداف الشباب على وجه الخصوص.</w:t>
            </w:r>
          </w:p>
        </w:tc>
        <w:tc>
          <w:tcPr>
            <w:tcW w:w="3317" w:type="pct"/>
            <w:tcBorders>
              <w:bottom w:val="single" w:sz="4" w:space="0" w:color="auto"/>
            </w:tcBorders>
          </w:tcPr>
          <w:p w14:paraId="48834830" w14:textId="77777777"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صممت هيئة التراث الحي نظام إدارة التعلم (</w:t>
            </w:r>
            <w:r w:rsidRPr="00D01D94">
              <w:rPr>
                <w:rFonts w:ascii="Arial" w:eastAsia="Arial" w:hAnsi="Arial" w:cs="Arial"/>
                <w:sz w:val="20"/>
                <w:szCs w:val="20"/>
                <w:lang w:eastAsia="ar" w:bidi="en-GB"/>
              </w:rPr>
              <w:t>LMS</w:t>
            </w:r>
            <w:r w:rsidRPr="00EA4CB6">
              <w:rPr>
                <w:rFonts w:ascii="Arial" w:eastAsia="Arial" w:hAnsi="Arial" w:cs="Arial"/>
                <w:sz w:val="20"/>
                <w:szCs w:val="20"/>
                <w:rtl/>
                <w:lang w:eastAsia="ar"/>
              </w:rPr>
              <w:t xml:space="preserve">) وأنشأته لبرنامج بناء القدرات، والذي تم إطلاقه الآن كمنصة التعلم التابعة إلى اليونسكو من أجل صون التراث الحي من أجل التنمية المستدامة. اكتمل إعداد 3 دورات تدريبية ذاتية التعلم (إطار النتائج الشامل وتنفيذ الاتفاقية، وتحويل التعلم من خلال التراث الحي) على منصة التعلم، وذلك من خلال اتفاقية شراكة مع المركز الدولي للتدريب التابع لمنظمة العمل الدولية وبالتعاون مع كبار جهات التيسير. </w:t>
            </w:r>
          </w:p>
          <w:p w14:paraId="6F754448" w14:textId="45FF2409" w:rsidR="0062777D" w:rsidRPr="00D01D94" w:rsidRDefault="0062777D" w:rsidP="000B064C">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 xml:space="preserve">تم إطلاق </w:t>
            </w:r>
            <w:hyperlink r:id="rId72" w:history="1">
              <w:r w:rsidRPr="00EA4CB6">
                <w:rPr>
                  <w:rStyle w:val="Hyperlink"/>
                  <w:rFonts w:ascii="Arial" w:eastAsia="Arial" w:hAnsi="Arial" w:cs="Arial"/>
                  <w:sz w:val="20"/>
                  <w:szCs w:val="20"/>
                  <w:rtl/>
                  <w:lang w:eastAsia="ar"/>
                </w:rPr>
                <w:t>الدورة الإلكترونية المفتوحة الحاشدة (</w:t>
              </w:r>
              <w:r w:rsidRPr="00D01D94">
                <w:rPr>
                  <w:rStyle w:val="Hyperlink"/>
                  <w:rFonts w:ascii="Arial" w:eastAsia="Arial" w:hAnsi="Arial" w:cs="Arial"/>
                  <w:sz w:val="20"/>
                  <w:szCs w:val="20"/>
                  <w:lang w:eastAsia="ar" w:bidi="en-GB"/>
                </w:rPr>
                <w:t>MOOC</w:t>
              </w:r>
              <w:r w:rsidRPr="00EA4CB6">
                <w:rPr>
                  <w:rStyle w:val="Hyperlink"/>
                  <w:rFonts w:ascii="Arial" w:eastAsia="Arial" w:hAnsi="Arial" w:cs="Arial"/>
                  <w:sz w:val="20"/>
                  <w:szCs w:val="20"/>
                  <w:rtl/>
                  <w:lang w:eastAsia="ar"/>
                </w:rPr>
                <w:t>) حول التراث الحي والتنمية المستدامة</w:t>
              </w:r>
            </w:hyperlink>
            <w:r w:rsidRPr="00EA4CB6">
              <w:rPr>
                <w:rFonts w:ascii="Arial" w:eastAsia="Arial" w:hAnsi="Arial" w:cs="Arial"/>
                <w:sz w:val="20"/>
                <w:szCs w:val="20"/>
                <w:rtl/>
                <w:lang w:eastAsia="ar"/>
              </w:rPr>
              <w:t xml:space="preserve"> في عام 2022. تتم دعوة المجتمعات ومنظمات المجتمع المدني والمنظمات غير الحكومية بشكل منتظم للمشاركة في ورش عمل بناء القدرات التي تنظمها اليونسكو</w:t>
            </w:r>
            <w:r w:rsidR="000B064C" w:rsidRPr="00D01D94">
              <w:rPr>
                <w:rFonts w:ascii="Arial" w:eastAsia="Arial" w:hAnsi="Arial" w:cs="Arial"/>
                <w:sz w:val="20"/>
                <w:szCs w:val="20"/>
                <w:lang w:eastAsia="ar"/>
              </w:rPr>
              <w:t xml:space="preserve">) </w:t>
            </w:r>
            <w:r w:rsidR="000B064C" w:rsidRPr="000B064C">
              <w:rPr>
                <w:rFonts w:ascii="Arial" w:eastAsia="Arial" w:hAnsi="Arial" w:cs="Arial"/>
                <w:sz w:val="20"/>
                <w:szCs w:val="20"/>
                <w:rtl/>
                <w:lang w:eastAsia="ar"/>
              </w:rPr>
              <w:t>انضم ما يقرب من 8000 متعلم إلى الدورة</w:t>
            </w:r>
            <w:r w:rsidR="000B064C" w:rsidRPr="00D01D94">
              <w:rPr>
                <w:rFonts w:ascii="Arial" w:eastAsia="Arial" w:hAnsi="Arial" w:cs="Arial"/>
                <w:sz w:val="20"/>
                <w:szCs w:val="20"/>
                <w:lang w:eastAsia="ar"/>
              </w:rPr>
              <w:t xml:space="preserve"> (</w:t>
            </w:r>
            <w:r w:rsidRPr="00EA4CB6">
              <w:rPr>
                <w:rFonts w:ascii="Arial" w:eastAsia="Arial" w:hAnsi="Arial" w:cs="Arial"/>
                <w:sz w:val="20"/>
                <w:szCs w:val="20"/>
                <w:rtl/>
                <w:lang w:eastAsia="ar"/>
              </w:rPr>
              <w:t xml:space="preserve">. </w:t>
            </w:r>
          </w:p>
          <w:p w14:paraId="00C97F1D" w14:textId="77777777" w:rsidR="0062777D" w:rsidRPr="00D01D94" w:rsidRDefault="0062777D" w:rsidP="00297070">
            <w:pPr>
              <w:widowControl w:val="0"/>
              <w:bidi/>
              <w:spacing w:before="120" w:after="120"/>
              <w:jc w:val="both"/>
              <w:rPr>
                <w:rFonts w:ascii="Arial" w:hAnsi="Arial" w:cs="Arial"/>
                <w:sz w:val="20"/>
                <w:szCs w:val="20"/>
              </w:rPr>
            </w:pPr>
          </w:p>
        </w:tc>
      </w:tr>
      <w:tr w:rsidR="0062777D" w:rsidRPr="00235C11" w14:paraId="11EE3DE2" w14:textId="77777777" w:rsidTr="00297070">
        <w:trPr>
          <w:trHeight w:val="1209"/>
        </w:trPr>
        <w:tc>
          <w:tcPr>
            <w:tcW w:w="1683" w:type="pct"/>
            <w:tcBorders>
              <w:bottom w:val="single" w:sz="4" w:space="0" w:color="auto"/>
            </w:tcBorders>
          </w:tcPr>
          <w:p w14:paraId="17B9B1E4" w14:textId="77777777" w:rsidR="0062777D" w:rsidRPr="00D01D94" w:rsidRDefault="0062777D" w:rsidP="00297070">
            <w:pPr>
              <w:widowControl w:val="0"/>
              <w:bidi/>
              <w:spacing w:before="120" w:after="120"/>
              <w:jc w:val="both"/>
              <w:rPr>
                <w:rFonts w:ascii="Arial" w:hAnsi="Arial" w:cs="Arial"/>
                <w:b/>
                <w:bCs/>
                <w:sz w:val="20"/>
                <w:szCs w:val="20"/>
              </w:rPr>
            </w:pPr>
            <w:r w:rsidRPr="00EA4CB6">
              <w:rPr>
                <w:rFonts w:ascii="Arial" w:eastAsia="Arial" w:hAnsi="Arial" w:cs="Arial"/>
                <w:b/>
                <w:bCs/>
                <w:sz w:val="20"/>
                <w:szCs w:val="20"/>
                <w:rtl/>
                <w:lang w:eastAsia="ar"/>
              </w:rPr>
              <w:t>التوصية 9:</w:t>
            </w:r>
          </w:p>
          <w:p w14:paraId="49EA2AC7" w14:textId="77777777" w:rsidR="0062777D" w:rsidRPr="00D01D94" w:rsidRDefault="0062777D" w:rsidP="00297070">
            <w:pPr>
              <w:widowControl w:val="0"/>
              <w:bidi/>
              <w:spacing w:before="120" w:after="120"/>
              <w:jc w:val="both"/>
              <w:rPr>
                <w:rFonts w:ascii="Arial" w:hAnsi="Arial" w:cs="Arial"/>
                <w:b/>
                <w:bCs/>
                <w:sz w:val="20"/>
                <w:szCs w:val="20"/>
              </w:rPr>
            </w:pPr>
            <w:r w:rsidRPr="00EA4CB6">
              <w:rPr>
                <w:rFonts w:ascii="Arial" w:eastAsia="Arial" w:hAnsi="Arial" w:cs="Arial"/>
                <w:sz w:val="20"/>
                <w:szCs w:val="20"/>
                <w:rtl/>
                <w:lang w:eastAsia="ar"/>
              </w:rPr>
              <w:t xml:space="preserve">يتعين على </w:t>
            </w:r>
            <w:r w:rsidRPr="00EA4CB6">
              <w:rPr>
                <w:rFonts w:ascii="Arial" w:eastAsia="Arial" w:hAnsi="Arial" w:cs="Arial"/>
                <w:b/>
                <w:bCs/>
                <w:sz w:val="20"/>
                <w:szCs w:val="20"/>
                <w:rtl/>
                <w:lang w:eastAsia="ar"/>
              </w:rPr>
              <w:t>هيئة التراث الحي، بالتعاون مع المكاتب الميدانية لليونسكو</w:t>
            </w:r>
            <w:r w:rsidRPr="00EA4CB6">
              <w:rPr>
                <w:rFonts w:ascii="Arial" w:eastAsia="Arial" w:hAnsi="Arial" w:cs="Arial"/>
                <w:sz w:val="20"/>
                <w:szCs w:val="20"/>
                <w:rtl/>
                <w:lang w:eastAsia="ar"/>
              </w:rPr>
              <w:t>، إعداد نظام دعم مستمر للدول الأطراف خلال دورة إعداد التقارير الدورية، بالإضافة إلى التدريب الإلكتروني المتاح حاليًا. ينبغي أن يستلزم ذلك تقديم إرشادات حول ملفات التعريف وتحديد جهات الاتصال الوطنية ومواد التعلم الذاتي، وتوفير الدعم الفني المستمر من قبل خبراء على المستوى الوطني أو الإقليمي. ويمكن أيضًا تكليف الشبكات التي تم إنشاؤها خلال عمليات إعداد التقارير الدورية بتقديم التوجيهات في هذا الشأن.</w:t>
            </w:r>
          </w:p>
        </w:tc>
        <w:tc>
          <w:tcPr>
            <w:tcW w:w="3317" w:type="pct"/>
            <w:tcBorders>
              <w:bottom w:val="single" w:sz="4" w:space="0" w:color="auto"/>
            </w:tcBorders>
          </w:tcPr>
          <w:p w14:paraId="377801EA" w14:textId="22BA59BB" w:rsidR="0062777D" w:rsidRPr="00D01D94" w:rsidRDefault="0062777D" w:rsidP="008E582D">
            <w:pPr>
              <w:widowControl w:val="0"/>
              <w:bidi/>
              <w:spacing w:before="120" w:after="120"/>
              <w:jc w:val="both"/>
              <w:rPr>
                <w:rFonts w:ascii="Arial" w:hAnsi="Arial" w:cs="Arial"/>
                <w:sz w:val="20"/>
                <w:szCs w:val="20"/>
              </w:rPr>
            </w:pPr>
            <w:r w:rsidRPr="006568A5">
              <w:rPr>
                <w:rFonts w:ascii="Arial" w:eastAsia="Arial" w:hAnsi="Arial" w:cs="Arial"/>
                <w:sz w:val="20"/>
                <w:szCs w:val="20"/>
                <w:rtl/>
                <w:lang w:eastAsia="ar"/>
              </w:rPr>
              <w:t>منذ عام 2021، قدمت أمانة</w:t>
            </w:r>
            <w:r w:rsidRPr="00EA4CB6">
              <w:rPr>
                <w:rFonts w:ascii="Arial" w:eastAsia="Arial" w:hAnsi="Arial" w:cs="Arial"/>
                <w:sz w:val="20"/>
                <w:szCs w:val="20"/>
                <w:rtl/>
                <w:lang w:eastAsia="ar"/>
              </w:rPr>
              <w:t xml:space="preserve"> الاتفاقية التدريب والدعم المستمر لأربع مناطق إضافية: أوروبا (تم تدريب 44 جهة اتصال في الفترة 2021-2022)، والدول العربية (تم تدريب 18 جهة اتصال في الفترة 2022-2023)، وإفريقيا (تم تدريب 44 جهة اتصال في الفترة 2022-2023)، وآسيا والمحيط الهادئ (تم تدريب 42 جهة اتصال في الفترة 2024-2025). ويعتمد النهج المتبع على أساليب متعددة، تجمع بين التدريب الإلكتروني وبالحضور الشخصي، بالإضافة إلى الدعم الإلكتروني المستمر حتى الموعد النهائي للإرسال. تم تنفيذ الأنشطة بمشاركة فعالة من المكاتب الميدانية في كل منطقة، وبالتعاون مع مراكز الفئة الثانية (المركز الإقليمي لصون التراث الثقافي غير المادي في جنوب شرق أوروبا، ومعهد الشارقة للتراث، والمركز الإقليمي لصون التراث الثقافي غير المادي في إفريقيا (</w:t>
            </w:r>
            <w:r w:rsidR="008E582D" w:rsidRPr="00584319">
              <w:rPr>
                <w:rFonts w:ascii="Arial" w:eastAsia="Arial" w:hAnsi="Arial" w:cs="Arial" w:hint="cs"/>
                <w:sz w:val="20"/>
                <w:szCs w:val="20"/>
                <w:rtl/>
                <w:lang w:eastAsia="ar"/>
              </w:rPr>
              <w:t>كريسبياف</w:t>
            </w:r>
            <w:r w:rsidRPr="00EA4CB6">
              <w:rPr>
                <w:rFonts w:ascii="Arial" w:eastAsia="Arial" w:hAnsi="Arial" w:cs="Arial"/>
                <w:sz w:val="20"/>
                <w:szCs w:val="20"/>
                <w:rtl/>
                <w:lang w:eastAsia="ar"/>
              </w:rPr>
              <w:t>)، والمركز الدولي للتدريب في مجال التراث الثقافي غير المادي لمنطقة آسيا والمحيط الهادئ (</w:t>
            </w:r>
            <w:r w:rsidR="008E582D" w:rsidRPr="008E582D">
              <w:rPr>
                <w:rFonts w:ascii="Arial" w:eastAsia="Arial" w:hAnsi="Arial" w:cs="Arial"/>
                <w:sz w:val="20"/>
                <w:szCs w:val="20"/>
                <w:rtl/>
                <w:lang w:val="en-GB" w:eastAsia="ar"/>
              </w:rPr>
              <w:t>كريهاب</w:t>
            </w:r>
            <w:r w:rsidRPr="00EA4CB6">
              <w:rPr>
                <w:rFonts w:ascii="Arial" w:eastAsia="Arial" w:hAnsi="Arial" w:cs="Arial"/>
                <w:sz w:val="20"/>
                <w:szCs w:val="20"/>
                <w:rtl/>
                <w:lang w:eastAsia="ar"/>
              </w:rPr>
              <w:t>)، والمركز الدولي للإعلام والربط الشبكي في مجال التراث الثقافي غير المادي لمنطقة آسيا والمحيط الهادئ (</w:t>
            </w:r>
            <w:r w:rsidR="008E582D" w:rsidRPr="008E582D">
              <w:rPr>
                <w:rFonts w:ascii="Arial" w:eastAsia="Arial" w:hAnsi="Arial" w:cs="Arial"/>
                <w:sz w:val="20"/>
                <w:szCs w:val="20"/>
                <w:rtl/>
                <w:lang w:val="en-GB" w:eastAsia="ar"/>
              </w:rPr>
              <w:t>إيتشكاب</w:t>
            </w:r>
            <w:r w:rsidRPr="00EA4CB6">
              <w:rPr>
                <w:rFonts w:ascii="Arial" w:eastAsia="Arial" w:hAnsi="Arial" w:cs="Arial"/>
                <w:sz w:val="20"/>
                <w:szCs w:val="20"/>
                <w:rtl/>
                <w:lang w:eastAsia="ar"/>
              </w:rPr>
              <w:t>). وقد تلقت جهات تيسير ذات خبرة في كل منطقة تدريبًا على إعداد التقارير الدورية من قبل الأمانة العامة، بالتعاون مع المكاتب الميدانية لليونسكو، وقادوا أنشطة بناء القدرات لجهات الاتصال.</w:t>
            </w:r>
          </w:p>
        </w:tc>
      </w:tr>
      <w:tr w:rsidR="0062777D" w:rsidRPr="00235C11" w14:paraId="0906124F" w14:textId="77777777" w:rsidTr="00297070">
        <w:trPr>
          <w:trHeight w:val="1209"/>
        </w:trPr>
        <w:tc>
          <w:tcPr>
            <w:tcW w:w="1683" w:type="pct"/>
            <w:tcBorders>
              <w:bottom w:val="single" w:sz="4" w:space="0" w:color="auto"/>
            </w:tcBorders>
          </w:tcPr>
          <w:p w14:paraId="7BC8D2B3" w14:textId="77777777" w:rsidR="0062777D" w:rsidRPr="00D01D94" w:rsidRDefault="0062777D" w:rsidP="00297070">
            <w:pPr>
              <w:widowControl w:val="0"/>
              <w:bidi/>
              <w:spacing w:before="120" w:after="120"/>
              <w:jc w:val="both"/>
              <w:rPr>
                <w:rFonts w:ascii="Arial" w:hAnsi="Arial" w:cs="Arial"/>
                <w:b/>
                <w:bCs/>
                <w:sz w:val="20"/>
                <w:szCs w:val="20"/>
              </w:rPr>
            </w:pPr>
            <w:r w:rsidRPr="00EA4CB6">
              <w:rPr>
                <w:rFonts w:ascii="Arial" w:eastAsia="Arial" w:hAnsi="Arial" w:cs="Arial"/>
                <w:b/>
                <w:bCs/>
                <w:sz w:val="20"/>
                <w:szCs w:val="20"/>
                <w:rtl/>
                <w:lang w:eastAsia="ar"/>
              </w:rPr>
              <w:t>التوصية 10:</w:t>
            </w:r>
          </w:p>
          <w:p w14:paraId="624827CB" w14:textId="77777777"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 xml:space="preserve">يتعين على </w:t>
            </w:r>
            <w:r w:rsidRPr="00EA4CB6">
              <w:rPr>
                <w:rFonts w:ascii="Arial" w:eastAsia="Arial" w:hAnsi="Arial" w:cs="Arial"/>
                <w:b/>
                <w:bCs/>
                <w:sz w:val="20"/>
                <w:szCs w:val="20"/>
                <w:rtl/>
                <w:lang w:eastAsia="ar"/>
              </w:rPr>
              <w:t>هيئة التراث الحي بالتعاون مع مكتب حلول العمل الرقمية</w:t>
            </w:r>
            <w:r w:rsidRPr="00EA4CB6">
              <w:rPr>
                <w:rFonts w:ascii="Arial" w:eastAsia="Arial" w:hAnsi="Arial" w:cs="Arial"/>
                <w:sz w:val="20"/>
                <w:szCs w:val="20"/>
                <w:rtl/>
                <w:lang w:eastAsia="ar"/>
              </w:rPr>
              <w:t xml:space="preserve"> توفير منصة إلكترونية لتيسير إدارة المعرفة المتعلقة بالتراث الثقافي غير المادي وتدابير صونه، وذلك من خلال جميع آليات الإدراج والترشيحات والتقارير الدورية ومشاريع المساعدة الدولية والبحوث وقوائم الجرد، من بين أمور أخرى. ينبغي أن تتيح هذه الأداة للمستخدمين البحث عن معلومات حول المؤتمر الدولي للتنسيق باستخدام كلمات مفتاحية ومعايير بسيطة. يمكن تكليف الشبكات الشريكة مثل منتدى المنظمات غير الحكومية المعني بالتراث الثقافي غير المادي وكراسي اليونسكو الجامعية بمعالجة البيانات.</w:t>
            </w:r>
          </w:p>
        </w:tc>
        <w:tc>
          <w:tcPr>
            <w:tcW w:w="3317" w:type="pct"/>
            <w:tcBorders>
              <w:bottom w:val="single" w:sz="4" w:space="0" w:color="auto"/>
            </w:tcBorders>
          </w:tcPr>
          <w:p w14:paraId="052B7FE0" w14:textId="62112509"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 xml:space="preserve">لقد حرصت أمانة اتفاقية عام 2003 على توفير جميع بيانات التقرير بصيغ مفتوحة، وهذا سهّل إجراء تحليل شامل وتصنيف البيانات بما يتماشى مع الإرشادات العالمية لإعداد التقارير الثقافية التي وضعها مؤتمر </w:t>
            </w:r>
            <w:r w:rsidR="00F3400F" w:rsidRPr="00D01D94">
              <w:rPr>
                <w:rFonts w:ascii="Arial" w:eastAsia="Arial" w:hAnsi="Arial" w:cs="Arial"/>
                <w:sz w:val="20"/>
                <w:szCs w:val="20"/>
                <w:rtl/>
                <w:lang w:eastAsia="ar"/>
              </w:rPr>
              <w:t>موندياكولت</w:t>
            </w:r>
            <w:r w:rsidRPr="00EA4CB6">
              <w:rPr>
                <w:rFonts w:ascii="Arial" w:eastAsia="Arial" w:hAnsi="Arial" w:cs="Arial"/>
                <w:sz w:val="20"/>
                <w:szCs w:val="20"/>
                <w:rtl/>
                <w:lang w:eastAsia="ar"/>
              </w:rPr>
              <w:t>.</w:t>
            </w:r>
          </w:p>
          <w:p w14:paraId="70D561C7" w14:textId="77777777"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يجري حاليًا إعادة تصميم التقنية الأساسية لإدارة البيانات لتعزيز إجراءات الأمان مع ضمان التوافق مع الصيغ المفتوحة. تهدف عملية إعادة التصميم هذه إلى تيسير تبادل البيانات بسلاسة مع أدوات المنظمات الأخرى، وهذا يتيح عمليات تكامل مخصصة وقابلية التشغيل البيني مع الأدوات الأساسية التي وضعها مكتب حلول العمل الرقمية (</w:t>
            </w:r>
            <w:r w:rsidRPr="00D01D94">
              <w:rPr>
                <w:rFonts w:ascii="Arial" w:eastAsia="Arial" w:hAnsi="Arial" w:cs="Arial"/>
                <w:sz w:val="20"/>
                <w:szCs w:val="20"/>
                <w:lang w:eastAsia="ar" w:bidi="en-GB"/>
              </w:rPr>
              <w:t>DBS</w:t>
            </w:r>
            <w:r w:rsidRPr="00EA4CB6">
              <w:rPr>
                <w:rFonts w:ascii="Arial" w:eastAsia="Arial" w:hAnsi="Arial" w:cs="Arial"/>
                <w:sz w:val="20"/>
                <w:szCs w:val="20"/>
                <w:rtl/>
                <w:lang w:eastAsia="ar"/>
              </w:rPr>
              <w:t>).</w:t>
            </w:r>
          </w:p>
          <w:p w14:paraId="45151258" w14:textId="77777777"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لقد تم توسيع نطاق معلومات المنظمات غير الحكومية لمجموعة أولية منها، مع وجود خطط للتوسع المستمر بالتعاون مع منتدى المنظمات غير الحكومية. إضافةً إلى ذلك، اكتسبت كراسي اليونسكو الجامعية حضورًا أكبر من خلال إنشاء دليل على موقع الاتفاقية الإلكتروني، مُخصّص لعرض كراسي اليونسكو الجامعية وشبكات برنامج توأمة الجامعات التي تركز على التراث الحي.</w:t>
            </w:r>
          </w:p>
          <w:p w14:paraId="546D87F8" w14:textId="46C6BCC3"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وكجزء من الدراسة المستمرة حول توسيع نطاق تنفيذ المادة 18، والتي بدأت في عام 2023 (القرار 18.</w:t>
            </w:r>
            <w:r w:rsidRPr="00D01D94">
              <w:rPr>
                <w:rFonts w:ascii="Arial" w:eastAsia="Arial" w:hAnsi="Arial" w:cs="Arial"/>
                <w:sz w:val="20"/>
                <w:szCs w:val="20"/>
                <w:lang w:eastAsia="ar" w:bidi="en-GB"/>
              </w:rPr>
              <w:t>COM</w:t>
            </w:r>
            <w:r w:rsidRPr="00EA4CB6">
              <w:rPr>
                <w:rFonts w:ascii="Arial" w:eastAsia="Arial" w:hAnsi="Arial" w:cs="Arial"/>
                <w:sz w:val="20"/>
                <w:szCs w:val="20"/>
                <w:rtl/>
                <w:lang w:eastAsia="ar"/>
              </w:rPr>
              <w:t xml:space="preserve"> 11)، تم إطلاق نسخة أولية من منصة إلكترونية لتبادل تجارب الصون الجيدة في </w:t>
            </w:r>
            <w:r w:rsidR="005C75B5" w:rsidRPr="005C75B5">
              <w:rPr>
                <w:rFonts w:ascii="Arial" w:eastAsia="Arial" w:hAnsi="Arial" w:cs="Arial"/>
                <w:sz w:val="20"/>
                <w:szCs w:val="20"/>
                <w:rtl/>
                <w:lang w:eastAsia="ar"/>
              </w:rPr>
              <w:t>أيار</w:t>
            </w:r>
            <w:r w:rsidR="005C75B5" w:rsidRPr="00D01D94">
              <w:rPr>
                <w:rFonts w:ascii="Arial" w:eastAsia="Arial" w:hAnsi="Arial" w:cs="Arial"/>
                <w:sz w:val="20"/>
                <w:szCs w:val="20"/>
                <w:lang w:eastAsia="ar"/>
              </w:rPr>
              <w:t>/</w:t>
            </w:r>
            <w:r w:rsidRPr="00EA4CB6">
              <w:rPr>
                <w:rFonts w:ascii="Arial" w:eastAsia="Arial" w:hAnsi="Arial" w:cs="Arial"/>
                <w:sz w:val="20"/>
                <w:szCs w:val="20"/>
                <w:rtl/>
                <w:lang w:eastAsia="ar"/>
              </w:rPr>
              <w:t>مايو 2025. تم تحديد مجموعة تجريبية تضم أربعة عشر تجربة صون جيدة تم تنفيذها من خلال آليات التعاون الدولي للاتفاقية، ويجري حاليًا مشاورات مع الخبراء لتقديم ملاحظاتهم وإنتاج محتوى جديد. ومن المتوقع أيضًا أن يتم التركيز على الأشكال المتنوعة لطرق الغذاء كجزء من المنصة الإلكترونية.</w:t>
            </w:r>
          </w:p>
        </w:tc>
      </w:tr>
      <w:tr w:rsidR="0062777D" w:rsidRPr="00235C11" w14:paraId="525D7489" w14:textId="77777777" w:rsidTr="00297070">
        <w:trPr>
          <w:trHeight w:val="841"/>
        </w:trPr>
        <w:tc>
          <w:tcPr>
            <w:tcW w:w="1683" w:type="pct"/>
            <w:tcBorders>
              <w:bottom w:val="single" w:sz="4" w:space="0" w:color="auto"/>
            </w:tcBorders>
          </w:tcPr>
          <w:p w14:paraId="48F912AD" w14:textId="77777777" w:rsidR="0062777D" w:rsidRPr="00D01D94" w:rsidRDefault="0062777D" w:rsidP="00297070">
            <w:pPr>
              <w:widowControl w:val="0"/>
              <w:bidi/>
              <w:spacing w:before="120" w:after="120"/>
              <w:jc w:val="both"/>
              <w:rPr>
                <w:rFonts w:ascii="Arial" w:hAnsi="Arial" w:cs="Arial"/>
                <w:b/>
                <w:bCs/>
                <w:sz w:val="20"/>
                <w:szCs w:val="20"/>
              </w:rPr>
            </w:pPr>
            <w:r w:rsidRPr="00EA4CB6">
              <w:rPr>
                <w:rFonts w:ascii="Arial" w:eastAsia="Arial" w:hAnsi="Arial" w:cs="Arial"/>
                <w:b/>
                <w:bCs/>
                <w:sz w:val="20"/>
                <w:szCs w:val="20"/>
                <w:rtl/>
                <w:lang w:eastAsia="ar"/>
              </w:rPr>
              <w:lastRenderedPageBreak/>
              <w:t>التوصية 11:</w:t>
            </w:r>
          </w:p>
          <w:p w14:paraId="164E569C" w14:textId="77777777"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 xml:space="preserve">يتعين على </w:t>
            </w:r>
            <w:r w:rsidRPr="00EA4CB6">
              <w:rPr>
                <w:rFonts w:ascii="Arial" w:eastAsia="Arial" w:hAnsi="Arial" w:cs="Arial"/>
                <w:b/>
                <w:bCs/>
                <w:sz w:val="20"/>
                <w:szCs w:val="20"/>
                <w:rtl/>
                <w:lang w:eastAsia="ar"/>
              </w:rPr>
              <w:t>هيئة التراث الحي بالتعاون مع إدارة شؤون الإعلام</w:t>
            </w:r>
            <w:r w:rsidRPr="00EA4CB6">
              <w:rPr>
                <w:rFonts w:ascii="Arial" w:eastAsia="Arial" w:hAnsi="Arial" w:cs="Arial"/>
                <w:sz w:val="20"/>
                <w:szCs w:val="20"/>
                <w:rtl/>
                <w:lang w:eastAsia="ar"/>
              </w:rPr>
              <w:t xml:space="preserve"> استكشاف سبل جديدة للتواصل والتوعية تستهدف عامة الناس والشباب على وجه الخصوص من خلال استخدام قنوات مثل وسائل التواصل الاجتماعي. قد يستلزم ذلك إنشاء حساب مخصص على وسائل التواصل الاجتماعي و/أو الاستفادة بشكل أكبر من حسابات اليونسكو والشركاء الآخرين. ينبغي تطوير هوية بصرية للمحتوى الصادر عن الكيان لضمان سهولة تتبعه.</w:t>
            </w:r>
          </w:p>
        </w:tc>
        <w:tc>
          <w:tcPr>
            <w:tcW w:w="3317" w:type="pct"/>
            <w:tcBorders>
              <w:bottom w:val="single" w:sz="4" w:space="0" w:color="auto"/>
            </w:tcBorders>
          </w:tcPr>
          <w:p w14:paraId="565D5764" w14:textId="5B1C2E28"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منذ عام 2021، عززت هيئة التراث الحي جهودها في مجال التواصل، بالتعاون مع قسم التواصل والإعلام والمشاركة العامة (</w:t>
            </w:r>
            <w:r w:rsidRPr="00D01D94">
              <w:rPr>
                <w:rFonts w:ascii="Arial" w:eastAsia="Arial" w:hAnsi="Arial" w:cs="Arial"/>
                <w:sz w:val="20"/>
                <w:szCs w:val="20"/>
                <w:lang w:eastAsia="ar" w:bidi="en-GB"/>
              </w:rPr>
              <w:t>CPE</w:t>
            </w:r>
            <w:r w:rsidRPr="00EA4CB6">
              <w:rPr>
                <w:rFonts w:ascii="Arial" w:eastAsia="Arial" w:hAnsi="Arial" w:cs="Arial"/>
                <w:sz w:val="20"/>
                <w:szCs w:val="20"/>
                <w:rtl/>
                <w:lang w:eastAsia="ar"/>
              </w:rPr>
              <w:t>) ووحدة التواصل والإعلام والرصد العام</w:t>
            </w:r>
            <w:r w:rsidR="00995142" w:rsidRPr="00D01D94">
              <w:rPr>
                <w:rFonts w:ascii="Arial" w:hAnsi="Arial" w:cs="Arial"/>
                <w:sz w:val="20"/>
                <w:szCs w:val="20"/>
              </w:rPr>
              <w:t>(CLT/CGM)</w:t>
            </w:r>
            <w:r w:rsidR="00995142" w:rsidRPr="00D01D94">
              <w:rPr>
                <w:rFonts w:ascii="Arial" w:eastAsia="Arial" w:hAnsi="Arial" w:cs="Arial"/>
                <w:sz w:val="20"/>
                <w:szCs w:val="20"/>
                <w:lang w:eastAsia="ar"/>
              </w:rPr>
              <w:t xml:space="preserve"> </w:t>
            </w:r>
            <w:r w:rsidRPr="00EA4CB6">
              <w:rPr>
                <w:rFonts w:ascii="Arial" w:eastAsia="Arial" w:hAnsi="Arial" w:cs="Arial"/>
                <w:sz w:val="20"/>
                <w:szCs w:val="20"/>
                <w:rtl/>
                <w:lang w:eastAsia="ar"/>
              </w:rPr>
              <w:t>، لاستهداف عامة الناس والشباب على وجه الخصوص، عبر وسائل التواصل الاجتماعي.</w:t>
            </w:r>
          </w:p>
          <w:p w14:paraId="55EE846C" w14:textId="77777777"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في عام 2024، تم إطلاق حملة تشاركية عبر الإنترنت لتشجيع الدول الأطراف على مشاركة الأنشطة المرتبطة باليوم الدولي للتراث الثقافي غير المادي، وتم التأكيد عليها في عام 2025، مع مشاركة عدد كبير من الأنشطة على صفحة الاتفاقية الإلكترونية (100 نشاط في عام 2024 و134 نشاطًا في عام 2025).</w:t>
            </w:r>
          </w:p>
          <w:p w14:paraId="3A5B0F0F" w14:textId="77777777"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ترد الأمانة بانتظام على استفسارات وسائل الإعلام المتزايدة وإجراء مقابلات معها، وهذا يسهم في رفع مستوى الوعي بالاتفاقية. كما تُنشر باستمرار مواد إخبارية على الصفحة الإلكترونية، تسلط الضوء على الإنجازات والأنشطة والمشاريع التي يتم تنفيذها في إطار الاتفاقية، فضلاً عن المساهمات في الأيام والعقود الدولية، أو المرتبطة بالمشاريع الجارية. ويُتيح استخدام الوسم #</w:t>
            </w:r>
            <w:r w:rsidRPr="00D01D94">
              <w:rPr>
                <w:rFonts w:ascii="Arial" w:eastAsia="Arial" w:hAnsi="Arial" w:cs="Arial"/>
                <w:sz w:val="20"/>
                <w:szCs w:val="20"/>
                <w:lang w:eastAsia="ar" w:bidi="en-GB"/>
              </w:rPr>
              <w:t>LivingHeritage</w:t>
            </w:r>
            <w:r w:rsidRPr="00EA4CB6">
              <w:rPr>
                <w:rFonts w:ascii="Arial" w:eastAsia="Arial" w:hAnsi="Arial" w:cs="Arial"/>
                <w:sz w:val="20"/>
                <w:szCs w:val="20"/>
                <w:rtl/>
                <w:lang w:eastAsia="ar"/>
              </w:rPr>
              <w:t xml:space="preserve"> تصنيف المنشورات ذات الصلة وتحديدها. كما قامت أمانة اتفاقية عام 2003 بمواءمة تصميم موقعها الإلكتروني مع الإرشادات التي وضعها قسم التواصل والإعلام والمشاركة العامة (</w:t>
            </w:r>
            <w:r w:rsidRPr="00D01D94">
              <w:rPr>
                <w:rFonts w:ascii="Arial" w:eastAsia="Arial" w:hAnsi="Arial" w:cs="Arial"/>
                <w:sz w:val="20"/>
                <w:szCs w:val="20"/>
                <w:lang w:eastAsia="ar" w:bidi="en-GB"/>
              </w:rPr>
              <w:t>CPE</w:t>
            </w:r>
            <w:r w:rsidRPr="00EA4CB6">
              <w:rPr>
                <w:rFonts w:ascii="Arial" w:eastAsia="Arial" w:hAnsi="Arial" w:cs="Arial"/>
                <w:sz w:val="20"/>
                <w:szCs w:val="20"/>
                <w:rtl/>
                <w:lang w:eastAsia="ar"/>
              </w:rPr>
              <w:t>)، وهذا يوفر علامة تجارية أكثر تجانسًا لمواقع اليونسكو الإلكترونية. تم وضع صيغ مفتوحة لتحسين الظهور وتصور العناصر المضمنة، ومن المخطط مواصلة تسهيل تصور البيانات التي يمكن أن تزيد من تأثير الجماهير المستهدفة ومشاركتها.</w:t>
            </w:r>
          </w:p>
        </w:tc>
      </w:tr>
      <w:tr w:rsidR="0062777D" w:rsidRPr="00235C11" w14:paraId="6B3AED23" w14:textId="77777777" w:rsidTr="00297070">
        <w:trPr>
          <w:trHeight w:val="1209"/>
        </w:trPr>
        <w:tc>
          <w:tcPr>
            <w:tcW w:w="1683" w:type="pct"/>
          </w:tcPr>
          <w:p w14:paraId="664C8D8D" w14:textId="77777777" w:rsidR="0062777D" w:rsidRPr="00D01D94" w:rsidRDefault="0062777D" w:rsidP="00297070">
            <w:pPr>
              <w:widowControl w:val="0"/>
              <w:bidi/>
              <w:spacing w:before="120" w:after="120"/>
              <w:jc w:val="both"/>
              <w:rPr>
                <w:rFonts w:ascii="Arial" w:hAnsi="Arial" w:cs="Arial"/>
                <w:b/>
                <w:bCs/>
                <w:sz w:val="20"/>
                <w:szCs w:val="20"/>
              </w:rPr>
            </w:pPr>
            <w:r w:rsidRPr="00EA4CB6">
              <w:rPr>
                <w:rFonts w:ascii="Arial" w:eastAsia="Arial" w:hAnsi="Arial" w:cs="Arial"/>
                <w:b/>
                <w:bCs/>
                <w:sz w:val="20"/>
                <w:szCs w:val="20"/>
                <w:rtl/>
                <w:lang w:eastAsia="ar"/>
              </w:rPr>
              <w:t>التوصية 12:</w:t>
            </w:r>
          </w:p>
          <w:p w14:paraId="21DF35A3" w14:textId="77777777" w:rsidR="0062777D" w:rsidRPr="00D01D94" w:rsidRDefault="0062777D" w:rsidP="00297070">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 xml:space="preserve">يتعين على </w:t>
            </w:r>
            <w:r w:rsidRPr="00EA4CB6">
              <w:rPr>
                <w:rFonts w:ascii="Arial" w:eastAsia="Arial" w:hAnsi="Arial" w:cs="Arial"/>
                <w:b/>
                <w:bCs/>
                <w:sz w:val="20"/>
                <w:szCs w:val="20"/>
                <w:rtl/>
                <w:lang w:eastAsia="ar"/>
              </w:rPr>
              <w:t>هيئة التراث الحي</w:t>
            </w:r>
            <w:r w:rsidRPr="00EA4CB6">
              <w:rPr>
                <w:rFonts w:ascii="Arial" w:eastAsia="Arial" w:hAnsi="Arial" w:cs="Arial"/>
                <w:sz w:val="20"/>
                <w:szCs w:val="20"/>
                <w:rtl/>
                <w:lang w:eastAsia="ar"/>
              </w:rPr>
              <w:t xml:space="preserve"> أن توفر فرصاً منتظمة للتخطيط والتبادل الثنائي مع كل مركز من مراكز الفئة الثانية المتخصصة في التراث الثقافي غير المادي، مع التركيز على أولويات الأمانة واللجنة الحكومية الدولية التي يمكن أن تسترشد بالاحتياجات الإقليمية، وذلك لتعزيز مشاركة هؤلاء الشركاء ومواءمة برامج عملهم مع برامج عمل اليونسكو.</w:t>
            </w:r>
          </w:p>
        </w:tc>
        <w:tc>
          <w:tcPr>
            <w:tcW w:w="3317" w:type="pct"/>
          </w:tcPr>
          <w:p w14:paraId="0B1978C6" w14:textId="7EC7B2AF" w:rsidR="0062777D" w:rsidRPr="00D01D94" w:rsidRDefault="0062777D" w:rsidP="008E582D">
            <w:pPr>
              <w:widowControl w:val="0"/>
              <w:bidi/>
              <w:spacing w:before="120" w:after="120"/>
              <w:jc w:val="both"/>
              <w:rPr>
                <w:rFonts w:ascii="Arial" w:hAnsi="Arial" w:cs="Arial"/>
                <w:sz w:val="20"/>
                <w:szCs w:val="20"/>
              </w:rPr>
            </w:pPr>
            <w:r w:rsidRPr="00EA4CB6">
              <w:rPr>
                <w:rFonts w:ascii="Arial" w:eastAsia="Arial" w:hAnsi="Arial" w:cs="Arial"/>
                <w:sz w:val="20"/>
                <w:szCs w:val="20"/>
                <w:rtl/>
                <w:lang w:eastAsia="ar"/>
              </w:rPr>
              <w:t xml:space="preserve">لقد واصلت هيئة التراث الحي المشاركة في تنظيم اجتماعات التنسيق السنوية مع جميع المراكز. عُقد الاجتماع الثاني عشر في مقر اليونسكو في 13 </w:t>
            </w:r>
            <w:r w:rsidR="00336F9C" w:rsidRPr="00336F9C">
              <w:rPr>
                <w:rFonts w:ascii="Arial" w:eastAsia="Arial" w:hAnsi="Arial" w:cs="Arial"/>
                <w:sz w:val="20"/>
                <w:szCs w:val="20"/>
                <w:rtl/>
                <w:lang w:eastAsia="ar"/>
              </w:rPr>
              <w:t>حزيران</w:t>
            </w:r>
            <w:r w:rsidR="00336F9C" w:rsidRPr="00D01D94">
              <w:rPr>
                <w:rFonts w:ascii="Arial" w:eastAsia="Arial" w:hAnsi="Arial" w:cs="Arial"/>
                <w:sz w:val="20"/>
                <w:szCs w:val="20"/>
                <w:lang w:eastAsia="ar"/>
              </w:rPr>
              <w:t>/</w:t>
            </w:r>
            <w:r w:rsidRPr="00EA4CB6">
              <w:rPr>
                <w:rFonts w:ascii="Arial" w:eastAsia="Arial" w:hAnsi="Arial" w:cs="Arial"/>
                <w:sz w:val="20"/>
                <w:szCs w:val="20"/>
                <w:rtl/>
                <w:lang w:eastAsia="ar"/>
              </w:rPr>
              <w:t xml:space="preserve">يونيو 2024، وعُقد الاجتماع الثالث عشر عبر الإنترنت في 16 </w:t>
            </w:r>
            <w:r w:rsidR="00336F9C" w:rsidRPr="00336F9C">
              <w:rPr>
                <w:rFonts w:ascii="Arial" w:eastAsia="Arial" w:hAnsi="Arial" w:cs="Arial"/>
                <w:sz w:val="20"/>
                <w:szCs w:val="20"/>
                <w:rtl/>
                <w:lang w:eastAsia="ar"/>
              </w:rPr>
              <w:t>تموز</w:t>
            </w:r>
            <w:r w:rsidR="00336F9C" w:rsidRPr="00D01D94">
              <w:rPr>
                <w:rFonts w:ascii="Arial" w:eastAsia="Arial" w:hAnsi="Arial" w:cs="Arial"/>
                <w:sz w:val="20"/>
                <w:szCs w:val="20"/>
                <w:lang w:eastAsia="ar"/>
              </w:rPr>
              <w:t>/</w:t>
            </w:r>
            <w:r w:rsidRPr="00EA4CB6">
              <w:rPr>
                <w:rFonts w:ascii="Arial" w:eastAsia="Arial" w:hAnsi="Arial" w:cs="Arial"/>
                <w:sz w:val="20"/>
                <w:szCs w:val="20"/>
                <w:rtl/>
                <w:lang w:eastAsia="ar"/>
              </w:rPr>
              <w:t xml:space="preserve">يوليو 2025. وقد شاركت مراكز الفئة الثانية بنشاط في تنفيذ برامج بناء القدرات لإعداد التقارير الدورية في جميع المناطق، وذلك من خلال المشاركة في تنظيم الأنشطة التدريبية واستضافتها: المركز الإقليمي لصون التراث الثقافي غير المادي في أمريكا اللاتينية </w:t>
            </w:r>
            <w:r w:rsidR="00E71532" w:rsidRPr="00D01D94">
              <w:rPr>
                <w:rFonts w:ascii="Arial" w:eastAsia="Arial" w:hAnsi="Arial" w:cs="Arial"/>
                <w:sz w:val="20"/>
                <w:szCs w:val="20"/>
                <w:rtl/>
                <w:lang w:eastAsia="ar"/>
              </w:rPr>
              <w:t>(</w:t>
            </w:r>
            <w:r w:rsidR="00E71532" w:rsidRPr="00D01D94">
              <w:rPr>
                <w:rFonts w:ascii="Arial" w:eastAsia="Arial" w:hAnsi="Arial" w:cs="Arial" w:hint="eastAsia"/>
                <w:sz w:val="20"/>
                <w:szCs w:val="20"/>
                <w:rtl/>
                <w:lang w:eastAsia="ar"/>
              </w:rPr>
              <w:t>كريسبيال</w:t>
            </w:r>
            <w:r w:rsidR="00E71532" w:rsidRPr="00D01D94">
              <w:rPr>
                <w:rFonts w:ascii="Arial" w:eastAsia="Arial" w:hAnsi="Arial" w:cs="Arial"/>
                <w:sz w:val="20"/>
                <w:szCs w:val="20"/>
                <w:rtl/>
                <w:lang w:eastAsia="ar"/>
              </w:rPr>
              <w:t>)</w:t>
            </w:r>
            <w:r w:rsidRPr="00EA4CB6">
              <w:rPr>
                <w:rFonts w:ascii="Arial" w:eastAsia="Arial" w:hAnsi="Arial" w:cs="Arial"/>
                <w:sz w:val="20"/>
                <w:szCs w:val="20"/>
                <w:rtl/>
                <w:lang w:eastAsia="ar"/>
              </w:rPr>
              <w:t xml:space="preserve"> لدورة أمريكا اللاتينية ومنطقة البحر الكاريبي (2021)، </w:t>
            </w:r>
            <w:r w:rsidR="00E71532" w:rsidRPr="00D01D94">
              <w:rPr>
                <w:rFonts w:ascii="Arial" w:eastAsia="Arial" w:hAnsi="Arial" w:cs="Arial" w:hint="eastAsia"/>
                <w:sz w:val="20"/>
                <w:szCs w:val="20"/>
                <w:rtl/>
                <w:lang w:eastAsia="ar"/>
              </w:rPr>
              <w:t>والمركز</w:t>
            </w:r>
            <w:r w:rsidR="00E71532" w:rsidRPr="00D01D94">
              <w:rPr>
                <w:rFonts w:ascii="Arial" w:eastAsia="Arial" w:hAnsi="Arial" w:cs="Arial"/>
                <w:sz w:val="20"/>
                <w:szCs w:val="20"/>
                <w:rtl/>
                <w:lang w:eastAsia="ar"/>
              </w:rPr>
              <w:t xml:space="preserve"> الإقليمي </w:t>
            </w:r>
            <w:r w:rsidR="00E71532" w:rsidRPr="00D01D94">
              <w:rPr>
                <w:rFonts w:ascii="Arial" w:eastAsia="Arial" w:hAnsi="Arial" w:cs="Arial" w:hint="eastAsia"/>
                <w:sz w:val="20"/>
                <w:szCs w:val="20"/>
                <w:rtl/>
                <w:lang w:eastAsia="ar"/>
              </w:rPr>
              <w:t>لصون</w:t>
            </w:r>
            <w:r w:rsidR="00E71532" w:rsidRPr="00D01D94">
              <w:rPr>
                <w:rFonts w:ascii="Arial" w:eastAsia="Arial" w:hAnsi="Arial" w:cs="Arial"/>
                <w:sz w:val="20"/>
                <w:szCs w:val="20"/>
                <w:rtl/>
                <w:lang w:eastAsia="ar"/>
              </w:rPr>
              <w:t xml:space="preserve"> التراث الثقافي غير المادي في جنوب شرق أوروبا</w:t>
            </w:r>
            <w:r w:rsidR="00E71532" w:rsidRPr="00EA4CB6">
              <w:rPr>
                <w:rFonts w:ascii="Arial" w:eastAsia="Arial" w:hAnsi="Arial" w:cs="Arial"/>
                <w:sz w:val="20"/>
                <w:szCs w:val="20"/>
                <w:rtl/>
                <w:lang w:eastAsia="ar"/>
              </w:rPr>
              <w:t xml:space="preserve"> لدورة أوروبا </w:t>
            </w:r>
            <w:r w:rsidRPr="00EA4CB6">
              <w:rPr>
                <w:rFonts w:ascii="Arial" w:eastAsia="Arial" w:hAnsi="Arial" w:cs="Arial"/>
                <w:sz w:val="20"/>
                <w:szCs w:val="20"/>
                <w:rtl/>
                <w:lang w:eastAsia="ar"/>
              </w:rPr>
              <w:t>(2022)، والمركز الدولي لبناء القدرات في مجال التراث الثقافي غير المادي في الدول العربية (</w:t>
            </w:r>
            <w:r w:rsidRPr="00D01D94">
              <w:rPr>
                <w:rFonts w:ascii="Arial" w:eastAsia="Arial" w:hAnsi="Arial" w:cs="Arial"/>
                <w:sz w:val="20"/>
                <w:szCs w:val="20"/>
                <w:lang w:eastAsia="ar" w:bidi="en-GB"/>
              </w:rPr>
              <w:t>ICCBICH</w:t>
            </w:r>
            <w:r w:rsidRPr="00EA4CB6">
              <w:rPr>
                <w:rFonts w:ascii="Arial" w:eastAsia="Arial" w:hAnsi="Arial" w:cs="Arial"/>
                <w:sz w:val="20"/>
                <w:szCs w:val="20"/>
                <w:rtl/>
                <w:lang w:eastAsia="ar"/>
              </w:rPr>
              <w:t xml:space="preserve">) لدورة الدول العربية (2023)، والمركز الإقليمي لصون التراث الثقافي غير المادي في إفريقيا </w:t>
            </w:r>
            <w:r w:rsidR="00E71532" w:rsidRPr="00D01D94">
              <w:rPr>
                <w:rFonts w:ascii="Arial" w:eastAsia="Arial" w:hAnsi="Arial" w:cs="Arial"/>
                <w:sz w:val="20"/>
                <w:szCs w:val="20"/>
                <w:rtl/>
                <w:lang w:eastAsia="ar"/>
              </w:rPr>
              <w:t>(</w:t>
            </w:r>
            <w:r w:rsidR="00E71532" w:rsidRPr="00D01D94">
              <w:rPr>
                <w:rFonts w:ascii="Arial" w:eastAsia="Arial" w:hAnsi="Arial" w:cs="Arial" w:hint="eastAsia"/>
                <w:sz w:val="20"/>
                <w:szCs w:val="20"/>
                <w:rtl/>
                <w:lang w:eastAsia="ar"/>
              </w:rPr>
              <w:t>كريسبياف</w:t>
            </w:r>
            <w:r w:rsidR="00E71532" w:rsidRPr="00D01D94">
              <w:rPr>
                <w:rFonts w:ascii="Arial" w:eastAsia="Arial" w:hAnsi="Arial" w:cs="Arial"/>
                <w:sz w:val="20"/>
                <w:szCs w:val="20"/>
                <w:rtl/>
                <w:lang w:eastAsia="ar"/>
              </w:rPr>
              <w:t>)</w:t>
            </w:r>
            <w:r w:rsidRPr="00EA4CB6">
              <w:rPr>
                <w:rFonts w:ascii="Arial" w:eastAsia="Arial" w:hAnsi="Arial" w:cs="Arial"/>
                <w:sz w:val="20"/>
                <w:szCs w:val="20"/>
                <w:rtl/>
                <w:lang w:eastAsia="ar"/>
              </w:rPr>
              <w:t xml:space="preserve"> لدورة أفريقيا (2024)، والمركز الدولي للإعلام والربط الشبكي في مجال التراث الثقافي غير المادي لمنطقة آسيا والمحيط الهادئ (</w:t>
            </w:r>
            <w:r w:rsidR="008E582D" w:rsidRPr="008E582D">
              <w:rPr>
                <w:rFonts w:ascii="Arial" w:eastAsia="Arial" w:hAnsi="Arial" w:cs="Arial"/>
                <w:sz w:val="20"/>
                <w:szCs w:val="20"/>
                <w:rtl/>
                <w:lang w:val="en-GB" w:eastAsia="ar"/>
              </w:rPr>
              <w:t>إيتشكاب</w:t>
            </w:r>
            <w:r w:rsidRPr="00EA4CB6">
              <w:rPr>
                <w:rFonts w:ascii="Arial" w:eastAsia="Arial" w:hAnsi="Arial" w:cs="Arial"/>
                <w:sz w:val="20"/>
                <w:szCs w:val="20"/>
                <w:rtl/>
                <w:lang w:eastAsia="ar"/>
              </w:rPr>
              <w:t>)، والمركز الدولي للتدريب في مجال التراث الثقافي غير المادي لمنطقة آسيا والمحيط الهادئ (</w:t>
            </w:r>
            <w:r w:rsidR="008E582D" w:rsidRPr="008E582D">
              <w:rPr>
                <w:rFonts w:ascii="Arial" w:eastAsia="Arial" w:hAnsi="Arial" w:cs="Arial"/>
                <w:sz w:val="20"/>
                <w:szCs w:val="20"/>
                <w:rtl/>
                <w:lang w:val="en-GB" w:eastAsia="ar"/>
              </w:rPr>
              <w:t>كريهاب</w:t>
            </w:r>
            <w:r w:rsidRPr="00EA4CB6">
              <w:rPr>
                <w:rFonts w:ascii="Arial" w:eastAsia="Arial" w:hAnsi="Arial" w:cs="Arial"/>
                <w:sz w:val="20"/>
                <w:szCs w:val="20"/>
                <w:rtl/>
                <w:lang w:eastAsia="ar"/>
              </w:rPr>
              <w:t>) لدورة آسيا والمحيط الهادئ (2025). وقد عززت هذه التعاونات التبادل بين كل مركز وأمانة اتفاقية عام 2003، وعززت توافق عملها مع أولويات اليونسكو. وقد تمت حالات التعاون المواضيعي مع المركز الدولي للبحوث في مجال التراث الثقافي غير المادي لمنطقة آسيا والمحيط الهادئ (</w:t>
            </w:r>
            <w:r w:rsidRPr="00D01D94">
              <w:rPr>
                <w:rFonts w:ascii="Arial" w:eastAsia="Arial" w:hAnsi="Arial" w:cs="Arial"/>
                <w:sz w:val="20"/>
                <w:szCs w:val="20"/>
                <w:lang w:eastAsia="ar" w:bidi="en-GB"/>
              </w:rPr>
              <w:t>IRCI</w:t>
            </w:r>
            <w:r w:rsidRPr="00EA4CB6">
              <w:rPr>
                <w:rFonts w:ascii="Arial" w:eastAsia="Arial" w:hAnsi="Arial" w:cs="Arial"/>
                <w:sz w:val="20"/>
                <w:szCs w:val="20"/>
                <w:rtl/>
                <w:lang w:eastAsia="ar"/>
              </w:rPr>
              <w:t>)، لا سيما لدعم المبادرات المواضيعية للاتفاقية.</w:t>
            </w:r>
          </w:p>
        </w:tc>
      </w:tr>
    </w:tbl>
    <w:p w14:paraId="45A4295D" w14:textId="77777777" w:rsidR="00FA0605" w:rsidRPr="00D01D94" w:rsidRDefault="00FA0605" w:rsidP="0062777D">
      <w:pPr>
        <w:bidi/>
      </w:pPr>
    </w:p>
    <w:sectPr w:rsidR="00FA0605" w:rsidRPr="00D01D94" w:rsidSect="0062777D">
      <w:pgSz w:w="16838" w:h="11906" w:orient="landscape" w:code="9"/>
      <w:pgMar w:top="1134" w:right="1418" w:bottom="1134"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1CBBA" w14:textId="77777777" w:rsidR="003D16CE" w:rsidRDefault="003D16CE" w:rsidP="00FA0605">
      <w:r>
        <w:separator/>
      </w:r>
    </w:p>
  </w:endnote>
  <w:endnote w:type="continuationSeparator" w:id="0">
    <w:p w14:paraId="5B9E5883" w14:textId="77777777" w:rsidR="003D16CE" w:rsidRDefault="003D16CE" w:rsidP="00FA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38A95" w14:textId="77777777" w:rsidR="003D16CE" w:rsidRDefault="003D16CE" w:rsidP="00FA0605">
      <w:r>
        <w:separator/>
      </w:r>
    </w:p>
  </w:footnote>
  <w:footnote w:type="continuationSeparator" w:id="0">
    <w:p w14:paraId="6EF6473F" w14:textId="77777777" w:rsidR="003D16CE" w:rsidRDefault="003D16CE" w:rsidP="00FA0605">
      <w:r>
        <w:continuationSeparator/>
      </w:r>
    </w:p>
  </w:footnote>
  <w:footnote w:id="1">
    <w:p w14:paraId="461A7A99" w14:textId="6F43F528" w:rsidR="0062777D" w:rsidRPr="00E957F6" w:rsidRDefault="0062777D" w:rsidP="0062777D">
      <w:pPr>
        <w:pStyle w:val="FootnoteText"/>
        <w:bidi/>
        <w:ind w:left="567" w:hanging="567"/>
        <w:jc w:val="both"/>
        <w:rPr>
          <w:rFonts w:asciiTheme="minorBidi" w:hAnsiTheme="minorBidi" w:cstheme="minorBidi"/>
          <w:sz w:val="18"/>
          <w:szCs w:val="18"/>
          <w:lang w:val="en-US"/>
        </w:rPr>
      </w:pPr>
      <w:r w:rsidRPr="00502368">
        <w:rPr>
          <w:rStyle w:val="FootnoteReference"/>
          <w:rFonts w:asciiTheme="minorBidi" w:hAnsiTheme="minorBidi" w:cstheme="minorBidi"/>
          <w:sz w:val="18"/>
          <w:szCs w:val="18"/>
          <w:rtl/>
          <w:lang w:eastAsia="ar"/>
        </w:rPr>
        <w:footnoteRef/>
      </w:r>
      <w:r w:rsidRPr="00E957F6">
        <w:rPr>
          <w:rFonts w:asciiTheme="minorBidi" w:hAnsiTheme="minorBidi" w:cstheme="minorBidi"/>
          <w:sz w:val="18"/>
          <w:szCs w:val="18"/>
          <w:vertAlign w:val="superscript"/>
          <w:rtl/>
          <w:lang w:eastAsia="ar"/>
        </w:rPr>
        <w:t>.</w:t>
      </w:r>
      <w:r w:rsidRPr="00E957F6">
        <w:rPr>
          <w:rFonts w:asciiTheme="minorBidi" w:hAnsiTheme="minorBidi" w:cstheme="minorBidi"/>
          <w:sz w:val="18"/>
          <w:szCs w:val="18"/>
          <w:rtl/>
          <w:lang w:eastAsia="ar"/>
        </w:rPr>
        <w:tab/>
        <w:t xml:space="preserve">الوثيقتان </w:t>
      </w:r>
      <w:hyperlink r:id="rId1" w:history="1">
        <w:r w:rsidRPr="00E957F6">
          <w:rPr>
            <w:rStyle w:val="Hyperlink"/>
            <w:rFonts w:asciiTheme="minorBidi" w:hAnsiTheme="minorBidi" w:cstheme="minorBidi"/>
            <w:sz w:val="18"/>
            <w:szCs w:val="18"/>
            <w:lang w:val="en-GB" w:eastAsia="ar" w:bidi="en-GB"/>
          </w:rPr>
          <w:t>LHE/21/16.COM/10 Rev</w:t>
        </w:r>
        <w:r w:rsidRPr="00E957F6">
          <w:rPr>
            <w:rStyle w:val="Hyperlink"/>
            <w:rFonts w:asciiTheme="minorBidi" w:hAnsiTheme="minorBidi" w:cstheme="minorBidi"/>
            <w:sz w:val="18"/>
            <w:szCs w:val="18"/>
            <w:rtl/>
            <w:lang w:eastAsia="ar"/>
          </w:rPr>
          <w:t>.</w:t>
        </w:r>
      </w:hyperlink>
      <w:r w:rsidRPr="00E957F6">
        <w:rPr>
          <w:rFonts w:asciiTheme="minorBidi" w:hAnsiTheme="minorBidi" w:cstheme="minorBidi"/>
          <w:sz w:val="18"/>
          <w:szCs w:val="18"/>
          <w:rtl/>
          <w:lang w:eastAsia="ar"/>
        </w:rPr>
        <w:t xml:space="preserve"> و</w:t>
      </w:r>
      <w:hyperlink r:id="rId2" w:history="1">
        <w:r w:rsidRPr="00B241E7">
          <w:rPr>
            <w:rStyle w:val="Hyperlink"/>
            <w:rFonts w:asciiTheme="minorBidi" w:hAnsiTheme="minorBidi" w:cstheme="minorBidi"/>
            <w:sz w:val="18"/>
            <w:szCs w:val="18"/>
            <w:lang w:val="en-GB" w:eastAsia="ar" w:bidi="en-GB"/>
          </w:rPr>
          <w:t>LHE/21/16.COM/INF.10 Rev</w:t>
        </w:r>
        <w:r w:rsidRPr="00B241E7">
          <w:rPr>
            <w:rStyle w:val="Hyperlink"/>
            <w:rFonts w:asciiTheme="minorBidi" w:hAnsiTheme="minorBidi" w:cstheme="minorBidi"/>
            <w:sz w:val="18"/>
            <w:szCs w:val="18"/>
            <w:rtl/>
            <w:lang w:eastAsia="ar"/>
          </w:rPr>
          <w:t>.</w:t>
        </w:r>
      </w:hyperlink>
      <w:r w:rsidRPr="00E957F6">
        <w:rPr>
          <w:rStyle w:val="Hyperlink"/>
          <w:rFonts w:asciiTheme="minorBidi" w:hAnsiTheme="minorBidi" w:cstheme="minorBidi"/>
          <w:color w:val="auto"/>
          <w:sz w:val="18"/>
          <w:szCs w:val="18"/>
          <w:u w:val="none"/>
          <w:rtl/>
          <w:lang w:eastAsia="ar"/>
        </w:rPr>
        <w:t xml:space="preserve">؛ يتم توفير المتابعة مع الإشارة إلى القرار </w:t>
      </w:r>
      <w:hyperlink r:id="rId3" w:history="1">
        <w:r w:rsidR="00C77BCB" w:rsidRPr="00E957F6">
          <w:rPr>
            <w:rStyle w:val="Hyperlink"/>
            <w:rFonts w:asciiTheme="minorBidi" w:hAnsiTheme="minorBidi" w:cstheme="minorBidi"/>
            <w:bCs/>
            <w:sz w:val="18"/>
            <w:szCs w:val="18"/>
            <w:lang w:val="en-US"/>
          </w:rPr>
          <w:t>16.COM 10</w:t>
        </w:r>
      </w:hyperlink>
      <w:r w:rsidRPr="00E957F6">
        <w:rPr>
          <w:rStyle w:val="Hyperlink"/>
          <w:rFonts w:asciiTheme="minorBidi" w:hAnsiTheme="minorBidi" w:cstheme="minorBidi"/>
          <w:color w:val="auto"/>
          <w:sz w:val="18"/>
          <w:szCs w:val="18"/>
          <w:u w:val="none"/>
          <w:rtl/>
          <w:lang w:eastAsia="ar"/>
        </w:rPr>
        <w:t xml:space="preserve"> بحلول الدورة السادسة عشر للجنة.</w:t>
      </w:r>
    </w:p>
  </w:footnote>
  <w:footnote w:id="2">
    <w:p w14:paraId="00DE22F1" w14:textId="2E8369CA" w:rsidR="0062777D" w:rsidRPr="00E957F6" w:rsidRDefault="0062777D" w:rsidP="008E582D">
      <w:pPr>
        <w:pStyle w:val="FootnoteText"/>
        <w:bidi/>
        <w:ind w:left="567" w:hanging="567"/>
        <w:jc w:val="both"/>
        <w:rPr>
          <w:rFonts w:asciiTheme="minorBidi" w:hAnsiTheme="minorBidi" w:cstheme="minorBidi"/>
          <w:sz w:val="18"/>
          <w:szCs w:val="18"/>
          <w:lang w:val="en-US"/>
        </w:rPr>
      </w:pPr>
      <w:r w:rsidRPr="00502368">
        <w:rPr>
          <w:rStyle w:val="FootnoteReference"/>
          <w:rFonts w:asciiTheme="minorBidi" w:hAnsiTheme="minorBidi" w:cstheme="minorBidi"/>
          <w:sz w:val="18"/>
          <w:szCs w:val="18"/>
          <w:rtl/>
          <w:lang w:eastAsia="ar"/>
        </w:rPr>
        <w:footnoteRef/>
      </w:r>
      <w:r w:rsidRPr="00E957F6">
        <w:rPr>
          <w:rFonts w:asciiTheme="minorBidi" w:hAnsiTheme="minorBidi" w:cstheme="minorBidi"/>
          <w:sz w:val="18"/>
          <w:szCs w:val="18"/>
          <w:vertAlign w:val="superscript"/>
          <w:rtl/>
          <w:lang w:eastAsia="ar"/>
        </w:rPr>
        <w:t>.</w:t>
      </w:r>
      <w:r w:rsidRPr="00E957F6">
        <w:rPr>
          <w:rFonts w:asciiTheme="minorBidi" w:hAnsiTheme="minorBidi" w:cstheme="minorBidi"/>
          <w:sz w:val="18"/>
          <w:szCs w:val="18"/>
          <w:rtl/>
          <w:lang w:eastAsia="ar"/>
        </w:rPr>
        <w:tab/>
      </w:r>
      <w:r w:rsidR="00F3400F" w:rsidRPr="00EA4CB6">
        <w:rPr>
          <w:rFonts w:ascii="Arial" w:eastAsia="Arial" w:hAnsi="Arial" w:cs="Arial"/>
          <w:rtl/>
          <w:lang w:eastAsia="ar"/>
        </w:rPr>
        <w:t>المركز الإقليمي لصون التراث الثقافي غير المادي في إفريقيا</w:t>
      </w:r>
      <w:r w:rsidR="00F3400F" w:rsidRPr="00D01D94">
        <w:rPr>
          <w:rFonts w:asciiTheme="minorBidi" w:hAnsiTheme="minorBidi" w:cstheme="minorBidi"/>
          <w:sz w:val="18"/>
          <w:szCs w:val="18"/>
          <w:lang w:val="en-US" w:eastAsia="ar"/>
        </w:rPr>
        <w:t xml:space="preserve"> </w:t>
      </w:r>
      <w:r w:rsidR="008E582D">
        <w:rPr>
          <w:rFonts w:asciiTheme="minorBidi" w:hAnsiTheme="minorBidi" w:hint="cs"/>
          <w:rtl/>
        </w:rPr>
        <w:t>(كريسبياف)</w:t>
      </w:r>
      <w:r w:rsidR="00EA4231" w:rsidRPr="00D01D94">
        <w:rPr>
          <w:rFonts w:asciiTheme="minorBidi" w:hAnsiTheme="minorBidi" w:cstheme="minorBidi"/>
          <w:sz w:val="18"/>
          <w:szCs w:val="18"/>
          <w:lang w:val="en-US" w:eastAsia="ar"/>
        </w:rPr>
        <w:t xml:space="preserve"> </w:t>
      </w:r>
      <w:r w:rsidR="00F3400F" w:rsidRPr="00107C14">
        <w:rPr>
          <w:rStyle w:val="Hyperlink"/>
          <w:rFonts w:asciiTheme="minorBidi" w:hAnsiTheme="minorBidi" w:cstheme="minorBidi"/>
          <w:color w:val="auto"/>
          <w:sz w:val="18"/>
          <w:szCs w:val="18"/>
          <w:u w:val="none"/>
          <w:rtl/>
          <w:lang w:eastAsia="ar"/>
        </w:rPr>
        <w:t>و</w:t>
      </w:r>
      <w:r w:rsidRPr="00107C14">
        <w:rPr>
          <w:rStyle w:val="Hyperlink"/>
          <w:rFonts w:asciiTheme="minorBidi" w:hAnsiTheme="minorBidi" w:cstheme="minorBidi"/>
          <w:color w:val="auto"/>
          <w:sz w:val="18"/>
          <w:szCs w:val="18"/>
          <w:u w:val="none"/>
          <w:rtl/>
          <w:lang w:eastAsia="ar"/>
        </w:rPr>
        <w:t>المركز الإقليمي لصون التراث الثقافي غير المادي لأمريكا اللاتينية (</w:t>
      </w:r>
      <w:r w:rsidR="006123D0" w:rsidRPr="00584319">
        <w:rPr>
          <w:rFonts w:ascii="Arial" w:eastAsia="Arial" w:hAnsi="Arial" w:cs="Arial" w:hint="cs"/>
          <w:rtl/>
          <w:lang w:eastAsia="ar"/>
        </w:rPr>
        <w:t>كريسبيال</w:t>
      </w:r>
      <w:r w:rsidRPr="00107C14">
        <w:rPr>
          <w:rStyle w:val="Hyperlink"/>
          <w:rFonts w:asciiTheme="minorBidi" w:hAnsiTheme="minorBidi" w:cstheme="minorBidi"/>
          <w:color w:val="auto"/>
          <w:sz w:val="18"/>
          <w:szCs w:val="18"/>
          <w:u w:val="none"/>
          <w:rtl/>
          <w:lang w:eastAsia="ar"/>
        </w:rPr>
        <w:t>)، والمركز الدولي للتدريب في مجال التراث الثقافي غير المادي لمنطقة آسيا والمحيط الهادي (</w:t>
      </w:r>
      <w:r w:rsidR="008E582D" w:rsidRPr="008E582D">
        <w:rPr>
          <w:rStyle w:val="Hyperlink"/>
          <w:rFonts w:asciiTheme="minorBidi" w:hAnsiTheme="minorBidi" w:cs="Arial"/>
          <w:color w:val="auto"/>
          <w:sz w:val="18"/>
          <w:szCs w:val="18"/>
          <w:u w:val="none"/>
          <w:rtl/>
          <w:lang w:val="en-GB" w:eastAsia="ar" w:bidi="ar-SA"/>
        </w:rPr>
        <w:t>كريهاب</w:t>
      </w:r>
      <w:r w:rsidRPr="00107C14">
        <w:rPr>
          <w:rStyle w:val="Hyperlink"/>
          <w:rFonts w:asciiTheme="minorBidi" w:hAnsiTheme="minorBidi" w:cstheme="minorBidi"/>
          <w:color w:val="auto"/>
          <w:sz w:val="18"/>
          <w:szCs w:val="18"/>
          <w:u w:val="none"/>
          <w:rtl/>
          <w:lang w:eastAsia="ar"/>
        </w:rPr>
        <w:t>)، والمركز الدولي للبحوث في مجال التراث الثقافي غير المادي لمنطقة آسيا والمحيط الهادئ (</w:t>
      </w:r>
      <w:r w:rsidRPr="00107C14">
        <w:rPr>
          <w:rStyle w:val="Hyperlink"/>
          <w:rFonts w:asciiTheme="minorBidi" w:hAnsiTheme="minorBidi" w:cstheme="minorBidi"/>
          <w:color w:val="auto"/>
          <w:sz w:val="18"/>
          <w:szCs w:val="18"/>
          <w:u w:val="none"/>
          <w:lang w:val="en-GB" w:eastAsia="ar" w:bidi="en-GB"/>
        </w:rPr>
        <w:t>IRCI</w:t>
      </w:r>
      <w:r w:rsidRPr="00107C14">
        <w:rPr>
          <w:rStyle w:val="Hyperlink"/>
          <w:rFonts w:asciiTheme="minorBidi" w:hAnsiTheme="minorBidi" w:cstheme="minorBidi"/>
          <w:color w:val="auto"/>
          <w:sz w:val="18"/>
          <w:szCs w:val="18"/>
          <w:u w:val="none"/>
          <w:rtl/>
          <w:lang w:eastAsia="ar"/>
        </w:rPr>
        <w:t>)، والمركز الدولي للإعلام والربط الشبكي في مجال التراث الثقافي غير المادي لمنطقة آسيا والمحيط الهادئ (</w:t>
      </w:r>
      <w:r w:rsidR="008E582D" w:rsidRPr="008E582D">
        <w:rPr>
          <w:rFonts w:asciiTheme="minorBidi" w:hAnsiTheme="minorBidi" w:cstheme="minorBidi"/>
          <w:sz w:val="18"/>
          <w:szCs w:val="18"/>
          <w:rtl/>
          <w:lang w:val="en-GB" w:eastAsia="ar"/>
        </w:rPr>
        <w:t>إيتشكاب</w:t>
      </w:r>
      <w:r w:rsidRPr="00107C14">
        <w:rPr>
          <w:rStyle w:val="Hyperlink"/>
          <w:rFonts w:asciiTheme="minorBidi" w:hAnsiTheme="minorBidi" w:cstheme="minorBidi"/>
          <w:color w:val="auto"/>
          <w:sz w:val="18"/>
          <w:szCs w:val="18"/>
          <w:u w:val="none"/>
          <w:rtl/>
          <w:lang w:eastAsia="ar"/>
        </w:rPr>
        <w:t>).</w:t>
      </w:r>
    </w:p>
  </w:footnote>
  <w:footnote w:id="3">
    <w:p w14:paraId="4EA8542C" w14:textId="7760713F" w:rsidR="0062777D" w:rsidRPr="00B90BF8" w:rsidRDefault="0062777D" w:rsidP="0062777D">
      <w:pPr>
        <w:pStyle w:val="FootnoteText"/>
        <w:bidi/>
        <w:rPr>
          <w:rFonts w:asciiTheme="minorBidi" w:hAnsiTheme="minorBidi" w:cstheme="minorBidi"/>
          <w:sz w:val="18"/>
          <w:szCs w:val="18"/>
          <w:lang w:val="en-GB"/>
        </w:rPr>
      </w:pPr>
      <w:r w:rsidRPr="00E957F6">
        <w:rPr>
          <w:rStyle w:val="FootnoteReference"/>
          <w:rFonts w:asciiTheme="minorBidi" w:hAnsiTheme="minorBidi" w:cstheme="minorBidi"/>
          <w:sz w:val="18"/>
          <w:szCs w:val="18"/>
          <w:rtl/>
          <w:lang w:eastAsia="ar"/>
        </w:rPr>
        <w:footnoteRef/>
      </w:r>
      <w:r w:rsidRPr="00B90BF8">
        <w:rPr>
          <w:rFonts w:asciiTheme="minorBidi" w:hAnsiTheme="minorBidi" w:cstheme="minorBidi"/>
          <w:sz w:val="18"/>
          <w:szCs w:val="18"/>
          <w:rtl/>
          <w:lang w:eastAsia="ar"/>
        </w:rPr>
        <w:t xml:space="preserve"> </w:t>
      </w:r>
      <w:r w:rsidR="00D01D94">
        <w:rPr>
          <w:rFonts w:asciiTheme="minorBidi" w:hAnsiTheme="minorBidi" w:cstheme="minorBidi"/>
          <w:sz w:val="18"/>
          <w:szCs w:val="18"/>
          <w:lang w:val="en-GB" w:eastAsia="ar"/>
        </w:rPr>
        <w:tab/>
      </w:r>
      <w:r w:rsidRPr="00B90BF8">
        <w:rPr>
          <w:rFonts w:asciiTheme="minorBidi" w:hAnsiTheme="minorBidi" w:cstheme="minorBidi"/>
          <w:sz w:val="18"/>
          <w:szCs w:val="18"/>
          <w:rtl/>
          <w:lang w:eastAsia="ar"/>
        </w:rPr>
        <w:t xml:space="preserve">انظر الوثيقة </w:t>
      </w:r>
      <w:hyperlink r:id="rId4" w:history="1">
        <w:r w:rsidRPr="00B90BF8">
          <w:rPr>
            <w:rStyle w:val="Hyperlink"/>
            <w:rFonts w:asciiTheme="minorBidi" w:hAnsiTheme="minorBidi" w:cstheme="minorBidi"/>
            <w:sz w:val="18"/>
            <w:szCs w:val="18"/>
            <w:lang w:val="en-GB" w:eastAsia="ar" w:bidi="en-GB"/>
          </w:rPr>
          <w:t>LHE/21/16.COM/10 Rev</w:t>
        </w:r>
        <w:r w:rsidRPr="00B90BF8">
          <w:rPr>
            <w:rStyle w:val="Hyperlink"/>
            <w:rFonts w:asciiTheme="minorBidi" w:hAnsiTheme="minorBidi" w:cstheme="minorBidi"/>
            <w:sz w:val="18"/>
            <w:szCs w:val="18"/>
            <w:rtl/>
            <w:lang w:eastAsia="ar"/>
          </w:rPr>
          <w:t>.</w:t>
        </w:r>
      </w:hyperlink>
      <w:r w:rsidRPr="00B90BF8">
        <w:rPr>
          <w:rFonts w:asciiTheme="minorBidi" w:hAnsiTheme="minorBidi" w:cstheme="minorBidi"/>
          <w:sz w:val="18"/>
          <w:szCs w:val="18"/>
          <w:rtl/>
          <w:lang w:eastAsia="ar"/>
        </w:rPr>
        <w:t xml:space="preserve"> و</w:t>
      </w:r>
      <w:hyperlink r:id="rId5" w:history="1">
        <w:r w:rsidRPr="00B90BF8">
          <w:rPr>
            <w:rStyle w:val="Hyperlink"/>
            <w:rFonts w:asciiTheme="minorBidi" w:hAnsiTheme="minorBidi" w:cstheme="minorBidi"/>
            <w:sz w:val="18"/>
            <w:szCs w:val="18"/>
            <w:lang w:val="en-GB" w:eastAsia="ar" w:bidi="en-GB"/>
          </w:rPr>
          <w:t>LHE/21/16.COM/INF.10 Rev</w:t>
        </w:r>
        <w:r w:rsidRPr="00B90BF8">
          <w:rPr>
            <w:rStyle w:val="Hyperlink"/>
            <w:rFonts w:asciiTheme="minorBidi" w:hAnsiTheme="minorBidi" w:cstheme="minorBidi"/>
            <w:sz w:val="18"/>
            <w:szCs w:val="18"/>
            <w:rtl/>
            <w:lang w:eastAsia="ar"/>
          </w:rPr>
          <w:t>.</w:t>
        </w:r>
      </w:hyperlink>
      <w:r w:rsidRPr="00B90BF8">
        <w:rPr>
          <w:rFonts w:asciiTheme="minorBidi" w:hAnsiTheme="minorBidi" w:cstheme="minorBidi"/>
          <w:sz w:val="18"/>
          <w:szCs w:val="18"/>
          <w:rtl/>
          <w:lang w:eastAsia="ar"/>
        </w:rPr>
        <w:t xml:space="preserve"> لمعرفة رد الإدارة الأولي المقدم في عام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B2A2" w14:textId="2313C0DB" w:rsidR="0062777D" w:rsidRPr="00C23A97" w:rsidRDefault="00255382" w:rsidP="00C5776D">
    <w:pPr>
      <w:pStyle w:val="Header"/>
      <w:bidi/>
      <w:rPr>
        <w:rFonts w:ascii="Arial" w:hAnsi="Arial" w:cs="Arial"/>
        <w:lang w:val="en-GB"/>
      </w:rPr>
    </w:pPr>
    <w:r>
      <w:rPr>
        <w:rFonts w:ascii="Arial" w:hAnsi="Arial" w:cs="Arial"/>
        <w:sz w:val="20"/>
        <w:szCs w:val="20"/>
        <w:lang w:val="en-GB"/>
      </w:rPr>
      <w:t>LHE/26/11.GA</w:t>
    </w:r>
    <w:r w:rsidRPr="00C23A97">
      <w:rPr>
        <w:rFonts w:ascii="Arial" w:hAnsi="Arial" w:cs="Arial"/>
        <w:sz w:val="20"/>
        <w:szCs w:val="20"/>
        <w:lang w:val="en-GB"/>
      </w:rPr>
      <w:t>/</w:t>
    </w:r>
    <w:r>
      <w:rPr>
        <w:rFonts w:ascii="Arial" w:hAnsi="Arial" w:cs="Arial"/>
        <w:sz w:val="20"/>
        <w:szCs w:val="20"/>
        <w:lang w:val="en-GB"/>
      </w:rPr>
      <w:t>6</w:t>
    </w:r>
    <w:r w:rsidRPr="00C23A97">
      <w:rPr>
        <w:rFonts w:ascii="Arial" w:hAnsi="Arial" w:cs="Arial"/>
        <w:sz w:val="20"/>
        <w:szCs w:val="20"/>
        <w:lang w:val="en-GB"/>
      </w:rPr>
      <w:t xml:space="preserve"> </w:t>
    </w:r>
    <w:r w:rsidR="0062777D">
      <w:rPr>
        <w:rFonts w:ascii="Arial" w:eastAsia="Arial" w:hAnsi="Arial" w:cs="Arial"/>
        <w:sz w:val="20"/>
        <w:szCs w:val="20"/>
        <w:rtl/>
        <w:lang w:eastAsia="ar"/>
      </w:rPr>
      <w:t xml:space="preserve"> – صفحة </w:t>
    </w:r>
    <w:r w:rsidR="0062777D" w:rsidRPr="00C23A97">
      <w:rPr>
        <w:rStyle w:val="PageNumber"/>
        <w:rFonts w:ascii="Arial" w:eastAsia="Arial" w:hAnsi="Arial" w:cs="Arial"/>
        <w:sz w:val="20"/>
        <w:szCs w:val="20"/>
        <w:rtl/>
        <w:lang w:eastAsia="ar"/>
      </w:rPr>
      <w:fldChar w:fldCharType="begin"/>
    </w:r>
    <w:r w:rsidR="0062777D" w:rsidRPr="00C23A97">
      <w:rPr>
        <w:rStyle w:val="PageNumber"/>
        <w:rFonts w:ascii="Arial" w:eastAsia="Arial" w:hAnsi="Arial" w:cs="Arial"/>
        <w:sz w:val="20"/>
        <w:szCs w:val="20"/>
        <w:rtl/>
        <w:lang w:eastAsia="ar"/>
      </w:rPr>
      <w:instrText xml:space="preserve"> PAGE </w:instrText>
    </w:r>
    <w:r w:rsidR="0062777D" w:rsidRPr="00C23A97">
      <w:rPr>
        <w:rStyle w:val="PageNumber"/>
        <w:rFonts w:ascii="Arial" w:eastAsia="Arial" w:hAnsi="Arial" w:cs="Arial"/>
        <w:sz w:val="20"/>
        <w:szCs w:val="20"/>
        <w:rtl/>
        <w:lang w:eastAsia="ar"/>
      </w:rPr>
      <w:fldChar w:fldCharType="separate"/>
    </w:r>
    <w:r w:rsidR="0062777D">
      <w:rPr>
        <w:rStyle w:val="PageNumber"/>
        <w:rFonts w:ascii="Arial" w:eastAsia="Arial" w:hAnsi="Arial" w:cs="Arial"/>
        <w:noProof/>
        <w:sz w:val="20"/>
        <w:szCs w:val="20"/>
        <w:rtl/>
        <w:lang w:eastAsia="ar"/>
      </w:rPr>
      <w:t>2</w:t>
    </w:r>
    <w:r w:rsidR="0062777D" w:rsidRPr="00C23A97">
      <w:rPr>
        <w:rStyle w:val="PageNumber"/>
        <w:rFonts w:ascii="Arial" w:eastAsia="Arial" w:hAnsi="Arial" w:cs="Arial"/>
        <w:sz w:val="20"/>
        <w:szCs w:val="20"/>
        <w:rtl/>
        <w:lang w:eastAsia="a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B3C3" w14:textId="1D23EA19" w:rsidR="0062777D" w:rsidRPr="0063300C" w:rsidRDefault="00255382" w:rsidP="00C5776D">
    <w:pPr>
      <w:pStyle w:val="Header"/>
      <w:bidi/>
      <w:jc w:val="right"/>
      <w:rPr>
        <w:rFonts w:ascii="Arial" w:hAnsi="Arial" w:cs="Arial"/>
        <w:lang w:val="en-GB"/>
      </w:rPr>
    </w:pPr>
    <w:r>
      <w:rPr>
        <w:rFonts w:ascii="Arial" w:hAnsi="Arial" w:cs="Arial"/>
        <w:sz w:val="20"/>
        <w:szCs w:val="20"/>
        <w:lang w:val="en-GB"/>
      </w:rPr>
      <w:t>LHE/26/11.GA</w:t>
    </w:r>
    <w:r w:rsidRPr="00C23A97">
      <w:rPr>
        <w:rFonts w:ascii="Arial" w:hAnsi="Arial" w:cs="Arial"/>
        <w:sz w:val="20"/>
        <w:szCs w:val="20"/>
        <w:lang w:val="en-GB"/>
      </w:rPr>
      <w:t>/</w:t>
    </w:r>
    <w:r>
      <w:rPr>
        <w:rFonts w:ascii="Arial" w:hAnsi="Arial" w:cs="Arial"/>
        <w:sz w:val="20"/>
        <w:szCs w:val="20"/>
        <w:lang w:val="en-GB"/>
      </w:rPr>
      <w:t>6</w:t>
    </w:r>
    <w:r w:rsidRPr="00C23A97">
      <w:rPr>
        <w:rFonts w:ascii="Arial" w:hAnsi="Arial" w:cs="Arial"/>
        <w:sz w:val="20"/>
        <w:szCs w:val="20"/>
        <w:lang w:val="en-GB"/>
      </w:rPr>
      <w:t xml:space="preserve"> </w:t>
    </w:r>
    <w:r>
      <w:rPr>
        <w:rFonts w:ascii="Arial" w:eastAsia="Arial" w:hAnsi="Arial" w:cs="Arial"/>
        <w:sz w:val="20"/>
        <w:szCs w:val="20"/>
        <w:rtl/>
        <w:lang w:eastAsia="ar"/>
      </w:rPr>
      <w:t xml:space="preserve"> </w:t>
    </w:r>
    <w:r w:rsidR="0062777D">
      <w:rPr>
        <w:rFonts w:ascii="Arial" w:eastAsia="Arial" w:hAnsi="Arial" w:cs="Arial"/>
        <w:sz w:val="20"/>
        <w:szCs w:val="20"/>
        <w:rtl/>
        <w:lang w:eastAsia="ar"/>
      </w:rPr>
      <w:t xml:space="preserve">– صفحة </w:t>
    </w:r>
    <w:r w:rsidR="0062777D" w:rsidRPr="0063300C">
      <w:rPr>
        <w:rStyle w:val="PageNumber"/>
        <w:rFonts w:ascii="Arial" w:eastAsia="Arial" w:hAnsi="Arial" w:cs="Arial"/>
        <w:sz w:val="20"/>
        <w:szCs w:val="20"/>
        <w:rtl/>
        <w:lang w:eastAsia="ar"/>
      </w:rPr>
      <w:fldChar w:fldCharType="begin"/>
    </w:r>
    <w:r w:rsidR="0062777D" w:rsidRPr="0063300C">
      <w:rPr>
        <w:rStyle w:val="PageNumber"/>
        <w:rFonts w:ascii="Arial" w:eastAsia="Arial" w:hAnsi="Arial" w:cs="Arial"/>
        <w:sz w:val="20"/>
        <w:szCs w:val="20"/>
        <w:rtl/>
        <w:lang w:eastAsia="ar"/>
      </w:rPr>
      <w:instrText xml:space="preserve"> PAGE </w:instrText>
    </w:r>
    <w:r w:rsidR="0062777D" w:rsidRPr="0063300C">
      <w:rPr>
        <w:rStyle w:val="PageNumber"/>
        <w:rFonts w:ascii="Arial" w:eastAsia="Arial" w:hAnsi="Arial" w:cs="Arial"/>
        <w:sz w:val="20"/>
        <w:szCs w:val="20"/>
        <w:rtl/>
        <w:lang w:eastAsia="ar"/>
      </w:rPr>
      <w:fldChar w:fldCharType="separate"/>
    </w:r>
    <w:r w:rsidR="0062777D">
      <w:rPr>
        <w:rStyle w:val="PageNumber"/>
        <w:rFonts w:ascii="Arial" w:eastAsia="Arial" w:hAnsi="Arial" w:cs="Arial"/>
        <w:noProof/>
        <w:sz w:val="20"/>
        <w:szCs w:val="20"/>
        <w:rtl/>
        <w:lang w:eastAsia="ar"/>
      </w:rPr>
      <w:t>3</w:t>
    </w:r>
    <w:r w:rsidR="0062777D" w:rsidRPr="0063300C">
      <w:rPr>
        <w:rStyle w:val="PageNumber"/>
        <w:rFonts w:ascii="Arial" w:eastAsia="Arial" w:hAnsi="Arial" w:cs="Arial"/>
        <w:sz w:val="20"/>
        <w:szCs w:val="20"/>
        <w:rtl/>
        <w:lang w:eastAsia="a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B5CE" w14:textId="77777777" w:rsidR="00F21A7B" w:rsidRPr="00E95AE2" w:rsidRDefault="00F21A7B" w:rsidP="00F21A7B">
    <w:pPr>
      <w:pStyle w:val="Header"/>
      <w:bidi/>
      <w:rPr>
        <w:sz w:val="22"/>
        <w:szCs w:val="22"/>
        <w:rtl/>
      </w:rPr>
    </w:pPr>
    <w:r>
      <w:rPr>
        <w:noProof/>
        <w:lang w:val="en-US" w:eastAsia="ja-JP"/>
      </w:rPr>
      <w:drawing>
        <wp:anchor distT="0" distB="0" distL="114300" distR="114300" simplePos="0" relativeHeight="251663360" behindDoc="0" locked="0" layoutInCell="1" allowOverlap="1" wp14:anchorId="36733FD5" wp14:editId="7E64A0A6">
          <wp:simplePos x="0" y="0"/>
          <wp:positionH relativeFrom="margin">
            <wp:posOffset>4284980</wp:posOffset>
          </wp:positionH>
          <wp:positionV relativeFrom="paragraph">
            <wp:posOffset>37465</wp:posOffset>
          </wp:positionV>
          <wp:extent cx="1842770" cy="1439545"/>
          <wp:effectExtent l="0" t="0" r="5080" b="8255"/>
          <wp:wrapSquare wrapText="bothSides"/>
          <wp:docPr id="480620235" name="Image 480620235"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00725" name="Image 1463000725"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A8C7C" w14:textId="77777777" w:rsidR="00F21A7B" w:rsidRPr="00D7105A" w:rsidRDefault="00F21A7B" w:rsidP="00F21A7B">
    <w:pPr>
      <w:pStyle w:val="Header"/>
      <w:bidi/>
      <w:spacing w:after="520"/>
      <w:jc w:val="right"/>
      <w:rPr>
        <w:rFonts w:ascii="Arial" w:hAnsi="Arial"/>
        <w:b/>
        <w:sz w:val="44"/>
        <w:szCs w:val="44"/>
        <w:rtl/>
      </w:rPr>
    </w:pPr>
    <w:r>
      <w:rPr>
        <w:rFonts w:ascii="Arial" w:hAnsi="Arial"/>
        <w:b/>
        <w:bCs/>
        <w:sz w:val="44"/>
        <w:szCs w:val="44"/>
      </w:rPr>
      <w:t>11 GA</w:t>
    </w:r>
  </w:p>
  <w:p w14:paraId="19EC3310" w14:textId="44B007CA" w:rsidR="00F21A7B" w:rsidRPr="00534D34" w:rsidRDefault="00F21A7B" w:rsidP="00F21A7B">
    <w:pPr>
      <w:bidi/>
      <w:spacing w:line="288" w:lineRule="auto"/>
      <w:jc w:val="right"/>
      <w:rPr>
        <w:rFonts w:ascii="Arial" w:hAnsi="Arial"/>
        <w:b/>
        <w:sz w:val="22"/>
        <w:szCs w:val="22"/>
        <w:rtl/>
      </w:rPr>
    </w:pPr>
    <w:r>
      <w:rPr>
        <w:rFonts w:ascii="Arial" w:hAnsi="Arial"/>
        <w:b/>
        <w:bCs/>
        <w:sz w:val="22"/>
        <w:szCs w:val="22"/>
      </w:rPr>
      <w:t>LHE/26/11.GA/6</w:t>
    </w:r>
  </w:p>
  <w:p w14:paraId="156FA144" w14:textId="24612092" w:rsidR="00F21A7B" w:rsidRPr="00534D34" w:rsidRDefault="00F21A7B" w:rsidP="00F21A7B">
    <w:pPr>
      <w:bidi/>
      <w:spacing w:line="288" w:lineRule="auto"/>
      <w:jc w:val="right"/>
      <w:rPr>
        <w:rFonts w:ascii="Arial" w:eastAsiaTheme="minorEastAsia" w:hAnsi="Arial"/>
        <w:b/>
        <w:sz w:val="22"/>
        <w:szCs w:val="22"/>
      </w:rPr>
    </w:pPr>
    <w:r>
      <w:rPr>
        <w:rFonts w:ascii="Arial" w:hAnsi="Arial" w:hint="cs"/>
        <w:b/>
        <w:bCs/>
        <w:sz w:val="22"/>
        <w:szCs w:val="22"/>
        <w:rtl/>
      </w:rPr>
      <w:t xml:space="preserve">باريس، </w:t>
    </w:r>
    <w:r w:rsidRPr="002A3EF7">
      <w:rPr>
        <w:rFonts w:ascii="Arial" w:hAnsi="Arial"/>
        <w:b/>
        <w:bCs/>
        <w:sz w:val="22"/>
        <w:szCs w:val="22"/>
      </w:rPr>
      <w:t>1</w:t>
    </w:r>
    <w:r w:rsidRPr="005963F4">
      <w:rPr>
        <w:rFonts w:ascii="Arial" w:hAnsi="Arial"/>
        <w:b/>
        <w:bCs/>
        <w:sz w:val="22"/>
        <w:szCs w:val="22"/>
      </w:rPr>
      <w:t>8</w:t>
    </w:r>
    <w:r w:rsidRPr="002A3EF7">
      <w:rPr>
        <w:rFonts w:ascii="Arial" w:hAnsi="Arial"/>
        <w:b/>
        <w:bCs/>
        <w:sz w:val="22"/>
        <w:szCs w:val="22"/>
        <w:rtl/>
      </w:rPr>
      <w:t xml:space="preserve"> </w:t>
    </w:r>
    <w:r w:rsidRPr="00405003">
      <w:rPr>
        <w:rFonts w:ascii="Arial" w:hAnsi="Arial"/>
        <w:b/>
        <w:bCs/>
        <w:sz w:val="22"/>
        <w:szCs w:val="22"/>
        <w:rtl/>
      </w:rPr>
      <w:t>أيار</w:t>
    </w:r>
    <w:r w:rsidRPr="002A3EF7">
      <w:rPr>
        <w:rFonts w:ascii="Arial" w:hAnsi="Arial"/>
        <w:b/>
        <w:bCs/>
        <w:sz w:val="22"/>
        <w:szCs w:val="22"/>
        <w:rtl/>
      </w:rPr>
      <w:t>/</w:t>
    </w:r>
    <w:r w:rsidRPr="004620A6">
      <w:rPr>
        <w:rFonts w:ascii="Arial" w:hAnsi="Arial"/>
        <w:b/>
        <w:bCs/>
        <w:sz w:val="22"/>
        <w:szCs w:val="22"/>
        <w:rtl/>
      </w:rPr>
      <w:t>مايو</w:t>
    </w:r>
    <w:r>
      <w:rPr>
        <w:rFonts w:ascii="Arial" w:hAnsi="Arial" w:hint="cs"/>
        <w:b/>
        <w:bCs/>
        <w:sz w:val="22"/>
        <w:szCs w:val="22"/>
        <w:rtl/>
      </w:rPr>
      <w:t xml:space="preserve"> </w:t>
    </w:r>
    <w:r>
      <w:rPr>
        <w:rFonts w:ascii="Arial" w:hAnsi="Arial"/>
        <w:b/>
        <w:bCs/>
        <w:sz w:val="22"/>
        <w:szCs w:val="22"/>
      </w:rPr>
      <w:t>2026</w:t>
    </w:r>
  </w:p>
  <w:p w14:paraId="46B8024C" w14:textId="5CEDD8C2" w:rsidR="00F21A7B" w:rsidRPr="00D01D94" w:rsidRDefault="00F21A7B" w:rsidP="00D01D94">
    <w:pPr>
      <w:bidi/>
      <w:spacing w:after="120"/>
      <w:jc w:val="right"/>
      <w:rPr>
        <w:rFonts w:ascii="Arial" w:hAnsi="Arial"/>
        <w:b/>
        <w:sz w:val="22"/>
        <w:szCs w:val="22"/>
      </w:rPr>
    </w:pPr>
    <w:r>
      <w:rPr>
        <w:rFonts w:ascii="Arial" w:hAnsi="Arial" w:hint="cs"/>
        <w:b/>
        <w:bCs/>
        <w:sz w:val="22"/>
        <w:szCs w:val="22"/>
        <w:rtl/>
      </w:rPr>
      <w:t>الأصل: إنجليزي</w:t>
    </w:r>
  </w:p>
  <w:p w14:paraId="449F1CFB" w14:textId="77777777" w:rsidR="0062777D" w:rsidRPr="00E95AE2" w:rsidRDefault="0062777D" w:rsidP="00D01D94">
    <w:pPr>
      <w:rPr>
        <w:sz w:val="22"/>
        <w:szCs w:val="22"/>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75F1" w14:textId="04FB954C" w:rsidR="00FA0605" w:rsidRPr="0062777D" w:rsidRDefault="00FA0605" w:rsidP="00C5776D">
    <w:pPr>
      <w:pStyle w:val="Header"/>
      <w:bidi/>
      <w:rPr>
        <w:rFonts w:ascii="Arial" w:hAnsi="Arial" w:cs="Arial"/>
        <w:vanish/>
        <w:rtl/>
      </w:rPr>
    </w:pPr>
    <w:r w:rsidRPr="0062777D">
      <w:rPr>
        <w:rFonts w:ascii="Arial" w:hAnsi="Arial"/>
        <w:vanish/>
        <w:sz w:val="20"/>
        <w:szCs w:val="20"/>
        <w:lang w:val="en-GB" w:eastAsia="ar-EG" w:bidi="ar-SA"/>
      </w:rPr>
      <w:t>LHE/26/11.GA/6</w:t>
    </w:r>
    <w:r w:rsidRPr="0062777D">
      <w:rPr>
        <w:rFonts w:ascii="Arial" w:hAnsi="Arial" w:hint="cs"/>
        <w:vanish/>
        <w:sz w:val="20"/>
        <w:szCs w:val="20"/>
        <w:rtl/>
        <w:lang w:val="en-GB" w:eastAsia="ar-EG" w:bidi="ar-SA"/>
      </w:rPr>
      <w:t xml:space="preserve"> – صفحة </w:t>
    </w:r>
    <w:r w:rsidRPr="0062777D">
      <w:rPr>
        <w:rStyle w:val="PageNumber"/>
        <w:rFonts w:ascii="Arial" w:eastAsiaTheme="majorEastAsia" w:hAnsi="Arial" w:cs="Arial" w:hint="cs"/>
        <w:vanish/>
        <w:sz w:val="20"/>
        <w:szCs w:val="20"/>
        <w:rtl/>
        <w:lang w:val="en-GB" w:eastAsia="ar-EG" w:bidi="ar-SA"/>
      </w:rPr>
      <w:fldChar w:fldCharType="begin"/>
    </w:r>
    <w:r w:rsidRPr="0062777D">
      <w:rPr>
        <w:vanish/>
        <w:rtl/>
        <w:lang w:val="en-GB" w:eastAsia="ar-EG" w:bidi="ar-SA"/>
      </w:rPr>
      <w:instrText xml:space="preserve"> </w:instrText>
    </w:r>
    <w:r w:rsidRPr="0062777D">
      <w:rPr>
        <w:rStyle w:val="PageNumber"/>
        <w:rFonts w:ascii="Arial" w:eastAsiaTheme="majorEastAsia" w:hAnsi="Arial" w:cs="Arial" w:hint="cs"/>
        <w:vanish/>
        <w:sz w:val="20"/>
        <w:szCs w:val="20"/>
        <w:lang w:val="en-GB" w:eastAsia="ar-EG" w:bidi="ar-SA"/>
      </w:rPr>
      <w:instrText xml:space="preserve">PAGE </w:instrText>
    </w:r>
    <w:r w:rsidRPr="0062777D">
      <w:rPr>
        <w:rStyle w:val="PageNumber"/>
        <w:rFonts w:ascii="Arial" w:eastAsiaTheme="majorEastAsia" w:hAnsi="Arial" w:cs="Arial" w:hint="cs"/>
        <w:vanish/>
        <w:sz w:val="20"/>
        <w:szCs w:val="20"/>
        <w:rtl/>
        <w:lang w:val="en-GB" w:eastAsia="ar-EG" w:bidi="ar-SA"/>
      </w:rPr>
      <w:fldChar w:fldCharType="separate"/>
    </w:r>
    <w:r w:rsidRPr="0062777D">
      <w:rPr>
        <w:rStyle w:val="PageNumber"/>
        <w:rFonts w:ascii="Arial" w:eastAsiaTheme="majorEastAsia" w:hAnsi="Arial" w:cs="Arial" w:hint="cs"/>
        <w:vanish/>
        <w:sz w:val="20"/>
        <w:szCs w:val="20"/>
        <w:rtl/>
        <w:lang w:val="en-GB" w:eastAsia="ar-EG" w:bidi="ar-SA"/>
      </w:rPr>
      <w:t>2</w:t>
    </w:r>
    <w:r w:rsidRPr="0062777D">
      <w:rPr>
        <w:rStyle w:val="PageNumber"/>
        <w:rFonts w:ascii="Arial" w:eastAsiaTheme="majorEastAsia" w:hAnsi="Arial" w:cs="Arial" w:hint="cs"/>
        <w:vanish/>
        <w:sz w:val="20"/>
        <w:szCs w:val="20"/>
        <w:rtl/>
        <w:lang w:val="en-GB" w:eastAsia="ar-EG" w:bidi="ar-S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B5E4" w14:textId="58C909E5" w:rsidR="00FA0605" w:rsidRPr="0062777D" w:rsidRDefault="00FA0605" w:rsidP="00C5776D">
    <w:pPr>
      <w:pStyle w:val="Header"/>
      <w:bidi/>
      <w:jc w:val="right"/>
      <w:rPr>
        <w:rFonts w:ascii="Arial" w:hAnsi="Arial" w:cs="Arial"/>
        <w:vanish/>
        <w:rtl/>
      </w:rPr>
    </w:pPr>
    <w:r w:rsidRPr="0062777D">
      <w:rPr>
        <w:rFonts w:ascii="Arial" w:hAnsi="Arial"/>
        <w:vanish/>
        <w:sz w:val="20"/>
        <w:szCs w:val="20"/>
        <w:lang w:val="en-GB" w:eastAsia="ar-EG" w:bidi="ar-SA"/>
      </w:rPr>
      <w:t>LHE/26/11.GA/6</w:t>
    </w:r>
    <w:r w:rsidRPr="0062777D">
      <w:rPr>
        <w:rFonts w:ascii="Arial" w:hAnsi="Arial" w:hint="cs"/>
        <w:vanish/>
        <w:sz w:val="20"/>
        <w:szCs w:val="20"/>
        <w:rtl/>
        <w:lang w:val="en-GB" w:eastAsia="ar-EG" w:bidi="ar-SA"/>
      </w:rPr>
      <w:t xml:space="preserve"> – صفحة </w:t>
    </w:r>
    <w:r w:rsidRPr="0062777D">
      <w:rPr>
        <w:rStyle w:val="PageNumber"/>
        <w:rFonts w:ascii="Arial" w:eastAsiaTheme="majorEastAsia" w:hAnsi="Arial" w:cs="Arial" w:hint="cs"/>
        <w:vanish/>
        <w:sz w:val="20"/>
        <w:szCs w:val="20"/>
        <w:rtl/>
        <w:lang w:val="en-GB" w:eastAsia="ar-EG" w:bidi="ar-SA"/>
      </w:rPr>
      <w:fldChar w:fldCharType="begin"/>
    </w:r>
    <w:r w:rsidRPr="0062777D">
      <w:rPr>
        <w:vanish/>
        <w:rtl/>
        <w:lang w:val="en-GB" w:eastAsia="ar-EG" w:bidi="ar-SA"/>
      </w:rPr>
      <w:instrText xml:space="preserve"> </w:instrText>
    </w:r>
    <w:r w:rsidRPr="0062777D">
      <w:rPr>
        <w:rStyle w:val="PageNumber"/>
        <w:rFonts w:ascii="Arial" w:eastAsiaTheme="majorEastAsia" w:hAnsi="Arial" w:cs="Arial" w:hint="cs"/>
        <w:vanish/>
        <w:sz w:val="20"/>
        <w:szCs w:val="20"/>
        <w:lang w:val="en-GB" w:eastAsia="ar-EG" w:bidi="ar-SA"/>
      </w:rPr>
      <w:instrText xml:space="preserve">PAGE </w:instrText>
    </w:r>
    <w:r w:rsidRPr="0062777D">
      <w:rPr>
        <w:rStyle w:val="PageNumber"/>
        <w:rFonts w:ascii="Arial" w:eastAsiaTheme="majorEastAsia" w:hAnsi="Arial" w:cs="Arial" w:hint="cs"/>
        <w:vanish/>
        <w:sz w:val="20"/>
        <w:szCs w:val="20"/>
        <w:rtl/>
        <w:lang w:val="en-GB" w:eastAsia="ar-EG" w:bidi="ar-SA"/>
      </w:rPr>
      <w:fldChar w:fldCharType="separate"/>
    </w:r>
    <w:r w:rsidRPr="0062777D">
      <w:rPr>
        <w:rStyle w:val="PageNumber"/>
        <w:rFonts w:ascii="Arial" w:eastAsiaTheme="majorEastAsia" w:hAnsi="Arial" w:cs="Arial" w:hint="cs"/>
        <w:vanish/>
        <w:sz w:val="20"/>
        <w:szCs w:val="20"/>
        <w:rtl/>
        <w:lang w:val="en-GB" w:eastAsia="ar-EG" w:bidi="ar-SA"/>
      </w:rPr>
      <w:t>3</w:t>
    </w:r>
    <w:r w:rsidRPr="0062777D">
      <w:rPr>
        <w:rStyle w:val="PageNumber"/>
        <w:rFonts w:ascii="Arial" w:eastAsiaTheme="majorEastAsia" w:hAnsi="Arial" w:cs="Arial" w:hint="cs"/>
        <w:vanish/>
        <w:sz w:val="20"/>
        <w:szCs w:val="20"/>
        <w:rtl/>
        <w:lang w:val="en-GB" w:eastAsia="ar-EG" w:bidi="ar-SA"/>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40FC" w14:textId="77777777" w:rsidR="00FA0605" w:rsidRPr="00F32C23" w:rsidRDefault="00FA0605" w:rsidP="007856D2">
    <w:pPr>
      <w:bidi/>
      <w:spacing w:after="120"/>
      <w:rPr>
        <w:rFonts w:ascii="Arial" w:hAnsi="Arial" w:cs="Arial"/>
        <w:b/>
        <w:sz w:val="22"/>
        <w:szCs w:val="22"/>
        <w:rtl/>
      </w:rPr>
    </w:pPr>
    <w:r>
      <w:rPr>
        <w:noProof/>
        <w:rtl/>
        <w:lang w:eastAsia="ar"/>
      </w:rPr>
      <w:drawing>
        <wp:anchor distT="0" distB="0" distL="114300" distR="114300" simplePos="0" relativeHeight="251659264" behindDoc="0" locked="0" layoutInCell="1" allowOverlap="1" wp14:anchorId="5271C81B" wp14:editId="72169E5B">
          <wp:simplePos x="0" y="0"/>
          <wp:positionH relativeFrom="margin">
            <wp:align>right</wp:align>
          </wp:positionH>
          <wp:positionV relativeFrom="paragraph">
            <wp:posOffset>5921</wp:posOffset>
          </wp:positionV>
          <wp:extent cx="1843200" cy="1440000"/>
          <wp:effectExtent l="0" t="0" r="5080" b="8255"/>
          <wp:wrapSquare wrapText="bothSides"/>
          <wp:docPr id="2052832974" name="Image 2052832974"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00725" name="Image 1463000725"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32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14C99B" w14:textId="4F50DFAB" w:rsidR="00FA0605" w:rsidRPr="0062777D" w:rsidRDefault="00FA0605" w:rsidP="007856D2">
    <w:pPr>
      <w:pStyle w:val="Header"/>
      <w:bidi/>
      <w:rPr>
        <w:vanish/>
        <w:sz w:val="22"/>
        <w:szCs w:val="22"/>
        <w:lang w:val="en-GB"/>
      </w:rPr>
    </w:pPr>
    <w:r w:rsidRPr="0062777D">
      <w:rPr>
        <w:rFonts w:ascii="Arial" w:hAnsi="Arial"/>
        <w:b/>
        <w:bCs/>
        <w:vanish/>
        <w:sz w:val="44"/>
        <w:szCs w:val="44"/>
        <w:lang w:val="en-GB" w:eastAsia="ar-EG" w:bidi="ar-SA"/>
      </w:rPr>
      <w:t>11 GA</w:t>
    </w:r>
  </w:p>
  <w:p w14:paraId="348712C8" w14:textId="3CBD8E31" w:rsidR="00FA0605" w:rsidRPr="0062777D" w:rsidRDefault="00FA0605" w:rsidP="007856D2">
    <w:pPr>
      <w:pStyle w:val="Header"/>
      <w:bidi/>
      <w:rPr>
        <w:rFonts w:ascii="Arial" w:hAnsi="Arial"/>
        <w:b/>
        <w:bCs/>
        <w:vanish/>
        <w:sz w:val="22"/>
        <w:szCs w:val="22"/>
        <w:lang w:val="en-GB"/>
      </w:rPr>
    </w:pPr>
    <w:r w:rsidRPr="0062777D">
      <w:rPr>
        <w:rFonts w:ascii="Arial" w:hAnsi="Arial"/>
        <w:b/>
        <w:bCs/>
        <w:vanish/>
        <w:sz w:val="22"/>
        <w:szCs w:val="22"/>
        <w:lang w:val="en-GB" w:eastAsia="en-GB" w:bidi="en-GB"/>
      </w:rPr>
      <w:t>LHE/26/11.GA/6</w:t>
    </w:r>
    <w:r w:rsidRPr="0062777D">
      <w:rPr>
        <w:rFonts w:ascii="Arial" w:hAnsi="Arial"/>
        <w:b/>
        <w:bCs/>
        <w:vanish/>
        <w:sz w:val="22"/>
        <w:szCs w:val="22"/>
        <w:lang w:val="en-GB" w:eastAsia="en-GB" w:bidi="en-GB"/>
      </w:rPr>
      <w:br/>
    </w:r>
    <w:r w:rsidRPr="0062777D">
      <w:rPr>
        <w:rFonts w:ascii="Arial" w:hAnsi="Arial" w:hint="cs"/>
        <w:b/>
        <w:bCs/>
        <w:vanish/>
        <w:sz w:val="22"/>
        <w:szCs w:val="22"/>
        <w:rtl/>
        <w:lang w:val="en-GB" w:eastAsia="ar-EG" w:bidi="ar-SA"/>
      </w:rPr>
      <w:t>202</w:t>
    </w:r>
    <w:r w:rsidRPr="0062777D">
      <w:rPr>
        <w:rFonts w:ascii="Arial" w:hAnsi="Arial"/>
        <w:b/>
        <w:bCs/>
        <w:vanish/>
        <w:sz w:val="22"/>
        <w:szCs w:val="22"/>
        <w:lang w:val="en-GB" w:eastAsia="en-GB" w:bidi="en-GB"/>
      </w:rPr>
      <w:t xml:space="preserve">6 </w:t>
    </w:r>
    <w:r w:rsidR="00395FAC" w:rsidRPr="0062777D">
      <w:rPr>
        <w:rFonts w:ascii="Arial" w:hAnsi="Arial"/>
        <w:b/>
        <w:bCs/>
        <w:vanish/>
        <w:sz w:val="22"/>
        <w:szCs w:val="22"/>
        <w:rtl/>
        <w:lang w:val="en-GB" w:eastAsia="en-GB" w:bidi="en-GB"/>
      </w:rPr>
      <w:t>أيار/مايو</w:t>
    </w:r>
    <w:r w:rsidR="00395FAC" w:rsidRPr="0062777D">
      <w:rPr>
        <w:rFonts w:ascii="Arial" w:hAnsi="Arial"/>
        <w:b/>
        <w:bCs/>
        <w:vanish/>
        <w:sz w:val="22"/>
        <w:szCs w:val="22"/>
        <w:lang w:val="en-GB" w:eastAsia="en-GB" w:bidi="en-GB"/>
      </w:rPr>
      <w:t xml:space="preserve"> 18 </w:t>
    </w:r>
    <w:r w:rsidRPr="0062777D">
      <w:rPr>
        <w:rFonts w:ascii="Arial" w:hAnsi="Arial" w:hint="cs"/>
        <w:b/>
        <w:bCs/>
        <w:vanish/>
        <w:sz w:val="22"/>
        <w:szCs w:val="22"/>
        <w:rtl/>
        <w:lang w:val="en-GB" w:eastAsia="ar-EG" w:bidi="ar-SA"/>
      </w:rPr>
      <w:t xml:space="preserve"> باريس، </w:t>
    </w:r>
  </w:p>
  <w:p w14:paraId="682B4C7A" w14:textId="77777777" w:rsidR="00395FAC" w:rsidRPr="0062777D" w:rsidRDefault="00395FAC" w:rsidP="00395FAC">
    <w:pPr>
      <w:bidi/>
      <w:jc w:val="right"/>
      <w:rPr>
        <w:rFonts w:ascii="Arial" w:hAnsi="Arial" w:cs="Arial"/>
        <w:b/>
        <w:vanish/>
        <w:sz w:val="22"/>
        <w:szCs w:val="22"/>
        <w:rtl/>
      </w:rPr>
    </w:pPr>
    <w:r w:rsidRPr="0062777D">
      <w:rPr>
        <w:rFonts w:ascii="Arial" w:hAnsi="Arial" w:hint="cs"/>
        <w:b/>
        <w:bCs/>
        <w:vanish/>
        <w:sz w:val="22"/>
        <w:szCs w:val="22"/>
        <w:rtl/>
        <w:lang w:val="en-GB" w:eastAsia="ar-EG" w:bidi="ar-SA"/>
      </w:rPr>
      <w:t>الأصل: إنجليزي</w:t>
    </w:r>
  </w:p>
  <w:p w14:paraId="3CE84378" w14:textId="188A309D" w:rsidR="00FA0605" w:rsidRPr="0062777D" w:rsidRDefault="00FA0605" w:rsidP="00395FAC">
    <w:pPr>
      <w:pStyle w:val="Header"/>
      <w:bidi/>
      <w:rPr>
        <w:vanish/>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535B0026"/>
    <w:multiLevelType w:val="hybridMultilevel"/>
    <w:tmpl w:val="D21E4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6" w15:restartNumberingAfterBreak="0">
    <w:nsid w:val="76C5391B"/>
    <w:multiLevelType w:val="hybridMultilevel"/>
    <w:tmpl w:val="D9F8A3A2"/>
    <w:lvl w:ilvl="0" w:tplc="040C0001">
      <w:start w:val="1"/>
      <w:numFmt w:val="bullet"/>
      <w:lvlText w:val=""/>
      <w:lvlJc w:val="left"/>
      <w:pPr>
        <w:ind w:left="501"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533764642">
    <w:abstractNumId w:val="1"/>
  </w:num>
  <w:num w:numId="2" w16cid:durableId="1246129">
    <w:abstractNumId w:val="3"/>
  </w:num>
  <w:num w:numId="3" w16cid:durableId="1263951029">
    <w:abstractNumId w:val="7"/>
  </w:num>
  <w:num w:numId="4" w16cid:durableId="540821319">
    <w:abstractNumId w:val="0"/>
  </w:num>
  <w:num w:numId="5" w16cid:durableId="822628298">
    <w:abstractNumId w:val="5"/>
  </w:num>
  <w:num w:numId="6" w16cid:durableId="699629408">
    <w:abstractNumId w:val="2"/>
  </w:num>
  <w:num w:numId="7" w16cid:durableId="1198470061">
    <w:abstractNumId w:val="6"/>
  </w:num>
  <w:num w:numId="8" w16cid:durableId="207750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hideSpellingErrors/>
  <w:hideGrammaticalError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05"/>
    <w:rsid w:val="00042312"/>
    <w:rsid w:val="000627D5"/>
    <w:rsid w:val="000819FD"/>
    <w:rsid w:val="00086A46"/>
    <w:rsid w:val="000A2833"/>
    <w:rsid w:val="000B064C"/>
    <w:rsid w:val="000B57FC"/>
    <w:rsid w:val="000D2B72"/>
    <w:rsid w:val="000F0BCD"/>
    <w:rsid w:val="000F0E48"/>
    <w:rsid w:val="000F5956"/>
    <w:rsid w:val="0011318E"/>
    <w:rsid w:val="0013230B"/>
    <w:rsid w:val="00144EAB"/>
    <w:rsid w:val="001626F9"/>
    <w:rsid w:val="00171308"/>
    <w:rsid w:val="00183232"/>
    <w:rsid w:val="001B566C"/>
    <w:rsid w:val="001D675D"/>
    <w:rsid w:val="001E02AA"/>
    <w:rsid w:val="00235C11"/>
    <w:rsid w:val="00255382"/>
    <w:rsid w:val="00266F43"/>
    <w:rsid w:val="002C701A"/>
    <w:rsid w:val="002D3B17"/>
    <w:rsid w:val="00320F79"/>
    <w:rsid w:val="0032142C"/>
    <w:rsid w:val="00336F9C"/>
    <w:rsid w:val="00350774"/>
    <w:rsid w:val="00357C62"/>
    <w:rsid w:val="003747B5"/>
    <w:rsid w:val="00380593"/>
    <w:rsid w:val="00383CD9"/>
    <w:rsid w:val="00395FAC"/>
    <w:rsid w:val="003A25B1"/>
    <w:rsid w:val="003C0D03"/>
    <w:rsid w:val="003D16CE"/>
    <w:rsid w:val="003E245E"/>
    <w:rsid w:val="003E4DEE"/>
    <w:rsid w:val="00410624"/>
    <w:rsid w:val="004156F5"/>
    <w:rsid w:val="00441D28"/>
    <w:rsid w:val="00444043"/>
    <w:rsid w:val="00446F9D"/>
    <w:rsid w:val="00492C79"/>
    <w:rsid w:val="004F3DD7"/>
    <w:rsid w:val="00523199"/>
    <w:rsid w:val="0053777C"/>
    <w:rsid w:val="00546636"/>
    <w:rsid w:val="005B1245"/>
    <w:rsid w:val="005C6677"/>
    <w:rsid w:val="005C75B5"/>
    <w:rsid w:val="006040FD"/>
    <w:rsid w:val="006123D0"/>
    <w:rsid w:val="006237BF"/>
    <w:rsid w:val="0062777D"/>
    <w:rsid w:val="00644DC0"/>
    <w:rsid w:val="006568A5"/>
    <w:rsid w:val="006960E8"/>
    <w:rsid w:val="006B00AC"/>
    <w:rsid w:val="006D59DB"/>
    <w:rsid w:val="00721302"/>
    <w:rsid w:val="0075103A"/>
    <w:rsid w:val="007870AF"/>
    <w:rsid w:val="007A23BE"/>
    <w:rsid w:val="007A4963"/>
    <w:rsid w:val="007B0205"/>
    <w:rsid w:val="007E23CC"/>
    <w:rsid w:val="007E72C5"/>
    <w:rsid w:val="0080692E"/>
    <w:rsid w:val="0081371B"/>
    <w:rsid w:val="008E582D"/>
    <w:rsid w:val="009065FA"/>
    <w:rsid w:val="009435E2"/>
    <w:rsid w:val="00963A36"/>
    <w:rsid w:val="00976E99"/>
    <w:rsid w:val="009947A2"/>
    <w:rsid w:val="00995142"/>
    <w:rsid w:val="009B63DA"/>
    <w:rsid w:val="00A01858"/>
    <w:rsid w:val="00A10253"/>
    <w:rsid w:val="00A2150C"/>
    <w:rsid w:val="00A41528"/>
    <w:rsid w:val="00A70DC3"/>
    <w:rsid w:val="00AF45CE"/>
    <w:rsid w:val="00B20473"/>
    <w:rsid w:val="00B21AC7"/>
    <w:rsid w:val="00B41982"/>
    <w:rsid w:val="00B45A10"/>
    <w:rsid w:val="00B948AD"/>
    <w:rsid w:val="00BD31E9"/>
    <w:rsid w:val="00C42179"/>
    <w:rsid w:val="00C5532E"/>
    <w:rsid w:val="00C77BCB"/>
    <w:rsid w:val="00CD2EA8"/>
    <w:rsid w:val="00CD6958"/>
    <w:rsid w:val="00D01D94"/>
    <w:rsid w:val="00D25DC0"/>
    <w:rsid w:val="00DE2916"/>
    <w:rsid w:val="00E71532"/>
    <w:rsid w:val="00E7181F"/>
    <w:rsid w:val="00EA4231"/>
    <w:rsid w:val="00EA4CB6"/>
    <w:rsid w:val="00EB509A"/>
    <w:rsid w:val="00EC2111"/>
    <w:rsid w:val="00ED629A"/>
    <w:rsid w:val="00F07306"/>
    <w:rsid w:val="00F21A7B"/>
    <w:rsid w:val="00F3400F"/>
    <w:rsid w:val="00F51B5C"/>
    <w:rsid w:val="00F574A4"/>
    <w:rsid w:val="00F602DA"/>
    <w:rsid w:val="00F652BA"/>
    <w:rsid w:val="00F90B00"/>
    <w:rsid w:val="00F96898"/>
    <w:rsid w:val="00FA0605"/>
    <w:rsid w:val="00FA4069"/>
    <w:rsid w:val="00FD4D78"/>
    <w:rsid w:val="00FF659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FBC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ar-E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05"/>
    <w:pPr>
      <w:spacing w:after="0" w:line="240" w:lineRule="auto"/>
    </w:pPr>
    <w:rPr>
      <w:rFonts w:ascii="Times New Roman" w:eastAsia="Times New Roman" w:hAnsi="Times New Roman" w:cs="Times New Roman"/>
      <w:kern w:val="0"/>
      <w:lang w:val="fr-FR" w:eastAsia="fr-FR" w:bidi="ar-EG"/>
      <w14:ligatures w14:val="none"/>
    </w:rPr>
  </w:style>
  <w:style w:type="paragraph" w:styleId="Heading1">
    <w:name w:val="heading 1"/>
    <w:basedOn w:val="Normal"/>
    <w:next w:val="Normal"/>
    <w:link w:val="Heading1Char"/>
    <w:uiPriority w:val="9"/>
    <w:qFormat/>
    <w:rsid w:val="00FA0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6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6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6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6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605"/>
    <w:rPr>
      <w:rFonts w:eastAsiaTheme="majorEastAsia" w:cstheme="majorBidi"/>
      <w:color w:val="272727" w:themeColor="text1" w:themeTint="D8"/>
    </w:rPr>
  </w:style>
  <w:style w:type="paragraph" w:styleId="Title">
    <w:name w:val="Title"/>
    <w:basedOn w:val="Normal"/>
    <w:next w:val="Normal"/>
    <w:link w:val="TitleChar"/>
    <w:uiPriority w:val="10"/>
    <w:qFormat/>
    <w:rsid w:val="00FA06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605"/>
    <w:pPr>
      <w:spacing w:before="160"/>
      <w:jc w:val="center"/>
    </w:pPr>
    <w:rPr>
      <w:i/>
      <w:iCs/>
      <w:color w:val="404040" w:themeColor="text1" w:themeTint="BF"/>
    </w:rPr>
  </w:style>
  <w:style w:type="character" w:customStyle="1" w:styleId="QuoteChar">
    <w:name w:val="Quote Char"/>
    <w:basedOn w:val="DefaultParagraphFont"/>
    <w:link w:val="Quote"/>
    <w:uiPriority w:val="29"/>
    <w:rsid w:val="00FA0605"/>
    <w:rPr>
      <w:i/>
      <w:iCs/>
      <w:color w:val="404040" w:themeColor="text1" w:themeTint="BF"/>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List Paragraph1,Normal bullet 2"/>
    <w:basedOn w:val="Normal"/>
    <w:link w:val="ListParagraphChar"/>
    <w:uiPriority w:val="34"/>
    <w:qFormat/>
    <w:rsid w:val="00FA0605"/>
    <w:pPr>
      <w:ind w:left="720"/>
      <w:contextualSpacing/>
    </w:pPr>
  </w:style>
  <w:style w:type="character" w:styleId="IntenseEmphasis">
    <w:name w:val="Intense Emphasis"/>
    <w:basedOn w:val="DefaultParagraphFont"/>
    <w:uiPriority w:val="21"/>
    <w:qFormat/>
    <w:rsid w:val="00FA0605"/>
    <w:rPr>
      <w:i/>
      <w:iCs/>
      <w:color w:val="0F4761" w:themeColor="accent1" w:themeShade="BF"/>
    </w:rPr>
  </w:style>
  <w:style w:type="paragraph" w:styleId="IntenseQuote">
    <w:name w:val="Intense Quote"/>
    <w:basedOn w:val="Normal"/>
    <w:next w:val="Normal"/>
    <w:link w:val="IntenseQuoteChar"/>
    <w:uiPriority w:val="30"/>
    <w:qFormat/>
    <w:rsid w:val="00FA0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605"/>
    <w:rPr>
      <w:i/>
      <w:iCs/>
      <w:color w:val="0F4761" w:themeColor="accent1" w:themeShade="BF"/>
    </w:rPr>
  </w:style>
  <w:style w:type="character" w:styleId="IntenseReference">
    <w:name w:val="Intense Reference"/>
    <w:basedOn w:val="DefaultParagraphFont"/>
    <w:uiPriority w:val="32"/>
    <w:qFormat/>
    <w:rsid w:val="00FA0605"/>
    <w:rPr>
      <w:b/>
      <w:bCs/>
      <w:smallCaps/>
      <w:color w:val="0F4761" w:themeColor="accent1" w:themeShade="BF"/>
      <w:spacing w:val="5"/>
    </w:rPr>
  </w:style>
  <w:style w:type="paragraph" w:styleId="Header">
    <w:name w:val="header"/>
    <w:basedOn w:val="Normal"/>
    <w:link w:val="HeaderChar"/>
    <w:unhideWhenUsed/>
    <w:rsid w:val="00FA0605"/>
    <w:pPr>
      <w:tabs>
        <w:tab w:val="center" w:pos="4536"/>
        <w:tab w:val="right" w:pos="9072"/>
      </w:tabs>
    </w:pPr>
  </w:style>
  <w:style w:type="character" w:customStyle="1" w:styleId="HeaderChar">
    <w:name w:val="Header Char"/>
    <w:basedOn w:val="DefaultParagraphFont"/>
    <w:link w:val="Header"/>
    <w:rsid w:val="00FA0605"/>
    <w:rPr>
      <w:rFonts w:ascii="Times New Roman" w:eastAsia="Times New Roman" w:hAnsi="Times New Roman" w:cs="Times New Roman"/>
      <w:kern w:val="0"/>
      <w:lang w:val="fr-FR" w:eastAsia="fr-FR" w:bidi="ar-EG"/>
      <w14:ligatures w14:val="none"/>
    </w:rPr>
  </w:style>
  <w:style w:type="paragraph" w:customStyle="1" w:styleId="Sansinterligne2">
    <w:name w:val="Sans interligne2"/>
    <w:uiPriority w:val="1"/>
    <w:rsid w:val="00FA0605"/>
    <w:pPr>
      <w:spacing w:after="0" w:line="240" w:lineRule="auto"/>
    </w:pPr>
    <w:rPr>
      <w:rFonts w:ascii="Times New Roman" w:eastAsia="Times New Roman" w:hAnsi="Times New Roman" w:cs="Times New Roman"/>
      <w:kern w:val="0"/>
      <w:lang w:val="fr-FR" w:eastAsia="fr-FR" w:bidi="ar-EG"/>
      <w14:ligatures w14:val="none"/>
    </w:rPr>
  </w:style>
  <w:style w:type="character" w:styleId="PageNumber">
    <w:name w:val="page number"/>
    <w:basedOn w:val="DefaultParagraphFont"/>
    <w:semiHidden/>
    <w:rsid w:val="00FA0605"/>
  </w:style>
  <w:style w:type="paragraph" w:customStyle="1" w:styleId="Sansinterligne1">
    <w:name w:val="Sans interligne1"/>
    <w:uiPriority w:val="1"/>
    <w:rsid w:val="00FA0605"/>
    <w:pPr>
      <w:spacing w:after="0" w:line="240" w:lineRule="auto"/>
    </w:pPr>
    <w:rPr>
      <w:rFonts w:ascii="Times New Roman" w:eastAsia="Times New Roman" w:hAnsi="Times New Roman" w:cs="Times New Roman"/>
      <w:kern w:val="0"/>
      <w:lang w:val="fr-FR" w:eastAsia="fr-FR" w:bidi="ar-EG"/>
      <w14:ligatures w14:val="none"/>
    </w:rPr>
  </w:style>
  <w:style w:type="paragraph" w:customStyle="1" w:styleId="COMPara">
    <w:name w:val="COM Para"/>
    <w:qFormat/>
    <w:rsid w:val="00FA0605"/>
    <w:pPr>
      <w:numPr>
        <w:numId w:val="1"/>
      </w:numPr>
      <w:spacing w:after="120" w:line="240" w:lineRule="auto"/>
    </w:pPr>
    <w:rPr>
      <w:rFonts w:ascii="Arial" w:eastAsia="Times New Roman" w:hAnsi="Arial" w:cs="Arial"/>
      <w:snapToGrid w:val="0"/>
      <w:kern w:val="0"/>
      <w:sz w:val="22"/>
      <w:szCs w:val="22"/>
      <w:lang w:bidi="ar-EG"/>
      <w14:ligatures w14:val="none"/>
    </w:rPr>
  </w:style>
  <w:style w:type="paragraph" w:customStyle="1" w:styleId="COMTitleDecision">
    <w:name w:val="COM Title Decision"/>
    <w:basedOn w:val="Normal"/>
    <w:qFormat/>
    <w:rsid w:val="00FA0605"/>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FA0605"/>
    <w:pPr>
      <w:keepNext/>
      <w:spacing w:after="120"/>
      <w:ind w:left="567"/>
      <w:jc w:val="both"/>
    </w:pPr>
    <w:rPr>
      <w:rFonts w:ascii="Arial" w:hAnsi="Arial" w:cs="Arial"/>
      <w:sz w:val="22"/>
      <w:szCs w:val="22"/>
      <w:lang w:val="en-GB"/>
    </w:rPr>
  </w:style>
  <w:style w:type="paragraph" w:customStyle="1" w:styleId="COMParaDecision">
    <w:name w:val="COM Para Decision"/>
    <w:basedOn w:val="Normal"/>
    <w:uiPriority w:val="99"/>
    <w:qFormat/>
    <w:rsid w:val="00FA0605"/>
    <w:pPr>
      <w:numPr>
        <w:numId w:val="2"/>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FootnoteText">
    <w:name w:val="footnote text"/>
    <w:basedOn w:val="Normal"/>
    <w:link w:val="FootnoteTextChar"/>
    <w:uiPriority w:val="99"/>
    <w:unhideWhenUsed/>
    <w:rsid w:val="00FA0605"/>
    <w:rPr>
      <w:sz w:val="20"/>
      <w:szCs w:val="20"/>
    </w:rPr>
  </w:style>
  <w:style w:type="character" w:customStyle="1" w:styleId="FootnoteTextChar">
    <w:name w:val="Footnote Text Char"/>
    <w:basedOn w:val="DefaultParagraphFont"/>
    <w:link w:val="FootnoteText"/>
    <w:uiPriority w:val="99"/>
    <w:rsid w:val="00FA0605"/>
    <w:rPr>
      <w:rFonts w:ascii="Times New Roman" w:eastAsia="Times New Roman" w:hAnsi="Times New Roman" w:cs="Times New Roman"/>
      <w:kern w:val="0"/>
      <w:sz w:val="20"/>
      <w:szCs w:val="20"/>
      <w:lang w:val="fr-FR" w:eastAsia="fr-FR" w:bidi="ar-EG"/>
      <w14:ligatures w14:val="none"/>
    </w:rPr>
  </w:style>
  <w:style w:type="character" w:styleId="FootnoteReference">
    <w:name w:val="footnote reference"/>
    <w:basedOn w:val="DefaultParagraphFont"/>
    <w:uiPriority w:val="99"/>
    <w:unhideWhenUsed/>
    <w:rsid w:val="00FA0605"/>
    <w:rPr>
      <w:vertAlign w:val="superscript"/>
    </w:rPr>
  </w:style>
  <w:style w:type="paragraph" w:styleId="Footer">
    <w:name w:val="footer"/>
    <w:basedOn w:val="Normal"/>
    <w:link w:val="FooterChar"/>
    <w:uiPriority w:val="99"/>
    <w:unhideWhenUsed/>
    <w:rsid w:val="00FA0605"/>
    <w:pPr>
      <w:tabs>
        <w:tab w:val="center" w:pos="4536"/>
        <w:tab w:val="right" w:pos="9072"/>
      </w:tabs>
    </w:pPr>
  </w:style>
  <w:style w:type="character" w:customStyle="1" w:styleId="FooterChar">
    <w:name w:val="Footer Char"/>
    <w:basedOn w:val="DefaultParagraphFont"/>
    <w:link w:val="Footer"/>
    <w:uiPriority w:val="99"/>
    <w:rsid w:val="00FA0605"/>
    <w:rPr>
      <w:rFonts w:ascii="Times New Roman" w:eastAsia="Times New Roman" w:hAnsi="Times New Roman" w:cs="Times New Roman"/>
      <w:kern w:val="0"/>
      <w:lang w:val="fr-FR" w:eastAsia="fr-FR" w:bidi="ar-EG"/>
      <w14:ligatures w14:val="none"/>
    </w:rPr>
  </w:style>
  <w:style w:type="paragraph" w:styleId="Revision">
    <w:name w:val="Revision"/>
    <w:hidden/>
    <w:uiPriority w:val="99"/>
    <w:semiHidden/>
    <w:rsid w:val="00144EAB"/>
    <w:pPr>
      <w:spacing w:after="0" w:line="240" w:lineRule="auto"/>
    </w:pPr>
    <w:rPr>
      <w:rFonts w:ascii="Times New Roman" w:eastAsia="Times New Roman" w:hAnsi="Times New Roman" w:cs="Times New Roman"/>
      <w:kern w:val="0"/>
      <w:lang w:val="fr-FR" w:eastAsia="fr-FR" w:bidi="ar-EG"/>
      <w14:ligatures w14:val="none"/>
    </w:rPr>
  </w:style>
  <w:style w:type="character" w:styleId="Hyperlink">
    <w:name w:val="Hyperlink"/>
    <w:basedOn w:val="DefaultParagraphFont"/>
    <w:uiPriority w:val="99"/>
    <w:unhideWhenUsed/>
    <w:rsid w:val="0062777D"/>
    <w:rPr>
      <w:color w:val="467886" w:themeColor="hyperlink"/>
      <w:u w:val="single"/>
    </w:rPr>
  </w:style>
  <w:style w:type="character" w:customStyle="1" w:styleId="ui-provider">
    <w:name w:val="ui-provider"/>
    <w:basedOn w:val="DefaultParagraphFont"/>
    <w:rsid w:val="0062777D"/>
  </w:style>
  <w:style w:type="paragraph" w:customStyle="1" w:styleId="GAParaResolution">
    <w:name w:val="GA Para Resolution"/>
    <w:basedOn w:val="Normal"/>
    <w:qFormat/>
    <w:rsid w:val="0062777D"/>
    <w:pPr>
      <w:autoSpaceDE w:val="0"/>
      <w:autoSpaceDN w:val="0"/>
      <w:adjustRightInd w:val="0"/>
      <w:spacing w:after="120"/>
      <w:ind w:left="1287" w:hanging="360"/>
      <w:jc w:val="both"/>
    </w:pPr>
    <w:rPr>
      <w:rFonts w:ascii="Arial" w:eastAsia="SimSun" w:hAnsi="Arial" w:cs="Arial"/>
      <w:sz w:val="22"/>
      <w:szCs w:val="22"/>
      <w:u w:val="single"/>
      <w:lang w:val="en-GB" w:bidi="ar-SA"/>
    </w:rPr>
  </w:style>
  <w:style w:type="table" w:customStyle="1" w:styleId="TableGrid2">
    <w:name w:val="Table Grid2"/>
    <w:basedOn w:val="TableNormal"/>
    <w:next w:val="TableGrid"/>
    <w:uiPriority w:val="59"/>
    <w:rsid w:val="0062777D"/>
    <w:pPr>
      <w:spacing w:after="0" w:line="240" w:lineRule="auto"/>
    </w:pPr>
    <w:rPr>
      <w:rFonts w:ascii="Calibri" w:eastAsia="SimSun" w:hAnsi="Calibri" w:cs="Times New Roman"/>
      <w:kern w:val="0"/>
      <w:sz w:val="20"/>
      <w:szCs w:val="20"/>
      <w:lang w:val="fr-FR"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
    <w:basedOn w:val="DefaultParagraphFont"/>
    <w:link w:val="ListParagraph"/>
    <w:uiPriority w:val="34"/>
    <w:qFormat/>
    <w:locked/>
    <w:rsid w:val="0062777D"/>
    <w:rPr>
      <w:rFonts w:ascii="Times New Roman" w:eastAsia="Times New Roman" w:hAnsi="Times New Roman" w:cs="Times New Roman"/>
      <w:kern w:val="0"/>
      <w:lang w:val="fr-FR" w:eastAsia="fr-FR" w:bidi="ar-EG"/>
      <w14:ligatures w14:val="none"/>
    </w:rPr>
  </w:style>
  <w:style w:type="table" w:styleId="TableGrid">
    <w:name w:val="Table Grid"/>
    <w:basedOn w:val="TableNormal"/>
    <w:uiPriority w:val="39"/>
    <w:rsid w:val="00627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66F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LHE-24-10.GA-Resolutions_AR.docx?v=1721290675" TargetMode="External"/><Relationship Id="rId18" Type="http://schemas.openxmlformats.org/officeDocument/2006/relationships/hyperlink" Target="https://ich.unesco.org/doc/src/LHE-25-20.COM-8_EN.docx?v=1764184365" TargetMode="External"/><Relationship Id="rId26" Type="http://schemas.openxmlformats.org/officeDocument/2006/relationships/hyperlink" Target="https://ich.unesco.org/en/projects/capacity-building-for-safeguarding-intangible-cultural-heritage-in-emergencies-in-small-island-developing-states-sids-in-the-pacific-and-the-caribbean-00478" TargetMode="External"/><Relationship Id="rId39" Type="http://schemas.openxmlformats.org/officeDocument/2006/relationships/hyperlink" Target="https://ich.unesco.org/en/clearinghouse-education" TargetMode="External"/><Relationship Id="rId21" Type="http://schemas.openxmlformats.org/officeDocument/2006/relationships/hyperlink" Target="https://ich.unesco.org/en/sharing-good-safeguarding-experiences" TargetMode="External"/><Relationship Id="rId34" Type="http://schemas.openxmlformats.org/officeDocument/2006/relationships/hyperlink" Target="https://ich.unesco.org/en/events/training-of-trainers-on-living-heritage-and-disaster-risk-reduction-01032" TargetMode="External"/><Relationship Id="rId42" Type="http://schemas.openxmlformats.org/officeDocument/2006/relationships/hyperlink" Target="https://ich.unesco.org/doc/src/68297-EN.pdf?v=1761922360" TargetMode="External"/><Relationship Id="rId47" Type="http://schemas.openxmlformats.org/officeDocument/2006/relationships/hyperlink" Target="https://ich.unesco.org/en/decisions/20.COM/13" TargetMode="External"/><Relationship Id="rId50" Type="http://schemas.openxmlformats.org/officeDocument/2006/relationships/hyperlink" Target="https://ich.unesco.org/en/international-day-intangible-cultural-heritage" TargetMode="External"/><Relationship Id="rId55" Type="http://schemas.openxmlformats.org/officeDocument/2006/relationships/hyperlink" Target="https://unesdoc.unesco.org/ark:/48223/pf0000392982_ara" TargetMode="External"/><Relationship Id="rId63" Type="http://schemas.openxmlformats.org/officeDocument/2006/relationships/header" Target="header3.xml"/><Relationship Id="rId68" Type="http://schemas.openxmlformats.org/officeDocument/2006/relationships/hyperlink" Target="https://ich.unesco.org/doc/src/LHE-21-16.COM-INF.10_Rev.-EN.pdf" TargetMode="External"/><Relationship Id="rId7" Type="http://schemas.openxmlformats.org/officeDocument/2006/relationships/hyperlink" Target="https://ich.unesco.org/doc/src/LHE-24-10.GA-Resolutions_AR.docx?v=1721290675" TargetMode="External"/><Relationship Id="rId71" Type="http://schemas.openxmlformats.org/officeDocument/2006/relationships/hyperlink" Target="https://ich.unesco.org/en/decisions/17.COM/11" TargetMode="External"/><Relationship Id="rId2" Type="http://schemas.openxmlformats.org/officeDocument/2006/relationships/styles" Target="styles.xml"/><Relationship Id="rId16" Type="http://schemas.openxmlformats.org/officeDocument/2006/relationships/hyperlink" Target="https://ich.unesco.org/en/decisions/17.COM/15" TargetMode="External"/><Relationship Id="rId29" Type="http://schemas.openxmlformats.org/officeDocument/2006/relationships/hyperlink" Target="https://ich.unesco.org/en/Decisions/17.COM/11" TargetMode="External"/><Relationship Id="rId11" Type="http://schemas.openxmlformats.org/officeDocument/2006/relationships/hyperlink" Target="https://ich.unesco.org/en/schedule-of-statutory-meetings-in-2024-01334" TargetMode="External"/><Relationship Id="rId24" Type="http://schemas.openxmlformats.org/officeDocument/2006/relationships/hyperlink" Target="https://ich.unesco.org/doc/src/LHE-25-20.COM-8_EN.docx?v=1764184365" TargetMode="External"/><Relationship Id="rId32" Type="http://schemas.openxmlformats.org/officeDocument/2006/relationships/hyperlink" Target="https://ich.unesco.org/doc/src/LHE-25-20.COM-INF.13.1_EN.docx?v=1764354790" TargetMode="External"/><Relationship Id="rId37" Type="http://schemas.openxmlformats.org/officeDocument/2006/relationships/hyperlink" Target="https://ich.unesco.org/doc/src/LHE-25-20.COM-INF.13.2_EN.docx?v=1764354075" TargetMode="External"/><Relationship Id="rId40" Type="http://schemas.openxmlformats.org/officeDocument/2006/relationships/hyperlink" Target="https://ich.unesco.org/en/learning-platform-01397" TargetMode="External"/><Relationship Id="rId45" Type="http://schemas.openxmlformats.org/officeDocument/2006/relationships/hyperlink" Target="https://ich.unesco.org/doc/src/LHE-25-20.COM-12_EN.docx?v=1762807751" TargetMode="External"/><Relationship Id="rId53" Type="http://schemas.openxmlformats.org/officeDocument/2006/relationships/hyperlink" Target="https://www.unesco.org/sites/default/files/medias/fichiers/2022/10/6.MONDIACULT_AR_DRAFT%20FINAL%20DECLARATION.pdf?hub=758" TargetMode="External"/><Relationship Id="rId58" Type="http://schemas.openxmlformats.org/officeDocument/2006/relationships/hyperlink" Target="https://ich.unesco.org/en/decisions/19.COM/15" TargetMode="External"/><Relationship Id="rId66" Type="http://schemas.openxmlformats.org/officeDocument/2006/relationships/header" Target="header5.xm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ch.unesco.org/doc/src/LHE-26-11.GA-9_AR.docx" TargetMode="External"/><Relationship Id="rId23" Type="http://schemas.openxmlformats.org/officeDocument/2006/relationships/hyperlink" Target="https://ich.unesco.org/doc/src/LHE-24-10.GA-Resolutions_AR.docx?v=1721290675" TargetMode="External"/><Relationship Id="rId28" Type="http://schemas.openxmlformats.org/officeDocument/2006/relationships/hyperlink" Target="https://ich.unesco.org/doc/src/LHE-26-11.GA-7_AR.docx" TargetMode="External"/><Relationship Id="rId36" Type="http://schemas.openxmlformats.org/officeDocument/2006/relationships/hyperlink" Target="https://ich.unesco.org/en/events/living-heritage-and-education-training-programme-for-the-global-facilitators-network-01038" TargetMode="External"/><Relationship Id="rId49" Type="http://schemas.openxmlformats.org/officeDocument/2006/relationships/hyperlink" Target="https://ich.unesco.org/en/accredited-ngos" TargetMode="External"/><Relationship Id="rId57" Type="http://schemas.openxmlformats.org/officeDocument/2006/relationships/hyperlink" Target="https://ich.unesco.org/doc/src/LHE-24-10.GA-Resolutions_AR.docx?v=1721290675" TargetMode="External"/><Relationship Id="rId61" Type="http://schemas.openxmlformats.org/officeDocument/2006/relationships/header" Target="header1.xml"/><Relationship Id="rId10" Type="http://schemas.openxmlformats.org/officeDocument/2006/relationships/hyperlink" Target="https://ich.unesco.org/doc/src/LHE-26-11.GA-INF.8_EN.docx" TargetMode="External"/><Relationship Id="rId19" Type="http://schemas.openxmlformats.org/officeDocument/2006/relationships/hyperlink" Target="https://ich.unesco.org/en/decisions/20.COM/8" TargetMode="External"/><Relationship Id="rId31" Type="http://schemas.openxmlformats.org/officeDocument/2006/relationships/hyperlink" Target="https://ich.unesco.org/doc/src/LHE-26-11.GA-INF.8_EN.docx" TargetMode="External"/><Relationship Id="rId44" Type="http://schemas.openxmlformats.org/officeDocument/2006/relationships/hyperlink" Target="https://ich.unesco.org/doc/src/72796-EN.pdf?v=1769168252" TargetMode="External"/><Relationship Id="rId52" Type="http://schemas.openxmlformats.org/officeDocument/2006/relationships/hyperlink" Target="https://ich.unesco.org/en/seoul-vision-01330" TargetMode="External"/><Relationship Id="rId60" Type="http://schemas.openxmlformats.org/officeDocument/2006/relationships/hyperlink" Target="https://unesdoc.unesco.org/ark:/48223/pf0000398080_ara" TargetMode="External"/><Relationship Id="rId65" Type="http://schemas.openxmlformats.org/officeDocument/2006/relationships/header" Target="header4.xm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h.unesco.org/doc/src/LHE-21-16.COM-INF.10_Rev.-EN.pdf" TargetMode="External"/><Relationship Id="rId14" Type="http://schemas.openxmlformats.org/officeDocument/2006/relationships/hyperlink" Target="https://ich.unesco.org/doc/src/LHE-26-11.GA-5_AR.docx" TargetMode="External"/><Relationship Id="rId22" Type="http://schemas.openxmlformats.org/officeDocument/2006/relationships/hyperlink" Target="https://ich.unesco.org/doc/src/LHE-25-20.COM-11_EN.docx?v=1762798796" TargetMode="External"/><Relationship Id="rId27" Type="http://schemas.openxmlformats.org/officeDocument/2006/relationships/hyperlink" Target="https://ich.unesco.org/en/decisions/20.COM/6.C" TargetMode="External"/><Relationship Id="rId30" Type="http://schemas.openxmlformats.org/officeDocument/2006/relationships/hyperlink" Target="https://ich.unesco.org/doc/src/LHE-26-11.GA-8_AR.docx" TargetMode="External"/><Relationship Id="rId35" Type="http://schemas.openxmlformats.org/officeDocument/2006/relationships/hyperlink" Target="https://ich.unesco.org/en/events/preparing-nominations-to-the-lists-and-register-of-the-convention-updated-training-materials-following-the-global-reflection-on-the-listing-mechanisms-2018-2022-01036" TargetMode="External"/><Relationship Id="rId43" Type="http://schemas.openxmlformats.org/officeDocument/2006/relationships/hyperlink" Target="https://ich.unesco.org/doc/src/68292-EN.pdf?v=1761922256" TargetMode="External"/><Relationship Id="rId48" Type="http://schemas.openxmlformats.org/officeDocument/2006/relationships/hyperlink" Target="https://ich.unesco.org/en/Decisions/14.COM/15" TargetMode="External"/><Relationship Id="rId56" Type="http://schemas.openxmlformats.org/officeDocument/2006/relationships/hyperlink" Target="https://unesdoc.unesco.org/ark:/48223/pf0000395504/PDF/395504eng.pdf.multi" TargetMode="External"/><Relationship Id="rId64" Type="http://schemas.openxmlformats.org/officeDocument/2006/relationships/hyperlink" Target="https://ich.unesco.org/en/events/training-programme-for-the-global-facilitators-network-information-webinar-01031" TargetMode="External"/><Relationship Id="rId69" Type="http://schemas.openxmlformats.org/officeDocument/2006/relationships/hyperlink" Target="https://ich.unesco.org/en/decisions/20.COM/13" TargetMode="External"/><Relationship Id="rId8" Type="http://schemas.openxmlformats.org/officeDocument/2006/relationships/hyperlink" Target="https://unesdoc.unesco.org/ark:/48223/pf0000384853_ara" TargetMode="External"/><Relationship Id="rId51" Type="http://schemas.openxmlformats.org/officeDocument/2006/relationships/hyperlink" Target="https://ich.unesco.org/en/decisions/20.COM/13" TargetMode="External"/><Relationship Id="rId72" Type="http://schemas.openxmlformats.org/officeDocument/2006/relationships/hyperlink" Target="https://www.edx.org/course/living-heritage-and-sustainable-development" TargetMode="External"/><Relationship Id="rId3" Type="http://schemas.openxmlformats.org/officeDocument/2006/relationships/settings" Target="settings.xml"/><Relationship Id="rId12" Type="http://schemas.openxmlformats.org/officeDocument/2006/relationships/hyperlink" Target="https://ich.unesco.org/en/schedule-of-statutory-meetings-in-2025-01381" TargetMode="External"/><Relationship Id="rId17" Type="http://schemas.openxmlformats.org/officeDocument/2006/relationships/hyperlink" Target="https://ich.unesco.org/en/decisions/19.COM/15" TargetMode="External"/><Relationship Id="rId25" Type="http://schemas.openxmlformats.org/officeDocument/2006/relationships/hyperlink" Target="https://ich.unesco.org/doc/src/LHE-20-8.GA-Resolutions-AR.docx?v=1777896132" TargetMode="External"/><Relationship Id="rId33" Type="http://schemas.openxmlformats.org/officeDocument/2006/relationships/hyperlink" Target="https://capacity-building.ich.unesco.org/local/coursecatalogue/index.php?lang=ar" TargetMode="External"/><Relationship Id="rId38" Type="http://schemas.openxmlformats.org/officeDocument/2006/relationships/hyperlink" Target="https://www.unesco.org/sites/default/files/medias/fichiers/2024/02/WCCAE_UNESCO%20Framework_EN_0.pdf" TargetMode="External"/><Relationship Id="rId46" Type="http://schemas.openxmlformats.org/officeDocument/2006/relationships/hyperlink" Target="https://ich.unesco.org/en/decisions/20.COM/12" TargetMode="External"/><Relationship Id="rId59" Type="http://schemas.openxmlformats.org/officeDocument/2006/relationships/hyperlink" Target="https://ich.unesco.org/en/decisions/20.COM/6.C" TargetMode="External"/><Relationship Id="rId67" Type="http://schemas.openxmlformats.org/officeDocument/2006/relationships/header" Target="header6.xml"/><Relationship Id="rId20" Type="http://schemas.openxmlformats.org/officeDocument/2006/relationships/hyperlink" Target="https://ich.unesco.org/doc/src/LHE-26-11.GA-7_AR.docx" TargetMode="External"/><Relationship Id="rId41" Type="http://schemas.openxmlformats.org/officeDocument/2006/relationships/hyperlink" Target="https://ich.unesco.org/en/guidance-notes-01383" TargetMode="External"/><Relationship Id="rId54" Type="http://schemas.openxmlformats.org/officeDocument/2006/relationships/hyperlink" Target="https://www.unesco.org/sites/default/files/medias/fichiers/2025/10/AR_MONDIACULT_Outcome_Document%20Final%20SENT%20BY%20PAX%2009.09.25_TC_.pdf?hub=171169" TargetMode="External"/><Relationship Id="rId62" Type="http://schemas.openxmlformats.org/officeDocument/2006/relationships/header" Target="header2.xml"/><Relationship Id="rId70" Type="http://schemas.openxmlformats.org/officeDocument/2006/relationships/hyperlink" Target="https://ich.unesco.org/en/committee-documents-and-in-depth-studies-00862"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decisions/16.COM/10" TargetMode="External"/><Relationship Id="rId2" Type="http://schemas.openxmlformats.org/officeDocument/2006/relationships/hyperlink" Target="https://ich.unesco.org/doc/src/LHE-21-16.COM-INF.10_Rev.-EN.pdf" TargetMode="External"/><Relationship Id="rId1" Type="http://schemas.openxmlformats.org/officeDocument/2006/relationships/hyperlink" Target="https://ich.unesco.org/doc/src/LHE-21-16.COM-10_Rev.-EN.docx" TargetMode="External"/><Relationship Id="rId5" Type="http://schemas.openxmlformats.org/officeDocument/2006/relationships/hyperlink" Target="https://ich.unesco.org/doc/src/LHE-21-16.COM-INF.10_Rev.-EN.pdf" TargetMode="External"/><Relationship Id="rId4" Type="http://schemas.openxmlformats.org/officeDocument/2006/relationships/hyperlink" Target="https://ich.unesco.org/doc/src/LHE-21-16.COM-10_Rev.-EN.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6190</Words>
  <Characters>34045</Characters>
  <Application>Microsoft Office Word</Application>
  <DocSecurity>4</DocSecurity>
  <Lines>283</Lines>
  <Paragraphs>80</Paragraphs>
  <ScaleCrop>false</ScaleCrop>
  <Company/>
  <LinksUpToDate>false</LinksUpToDate>
  <CharactersWithSpaces>40155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2026-05-18T21:17:00Z</dcterms:created>
  <dcterms:modified xsi:type="dcterms:W3CDTF">2026-05-18T21:17:00Z</dcterms:modified>
</cp:coreProperties>
</file>