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3D4BA941" w:rsidR="00EC6F8D" w:rsidRPr="006E1084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 xml:space="preserve">КОНВЕНЦИЯ ОБ ОХРАНЕ </w:t>
      </w:r>
      <w:r w:rsidR="009E0E87" w:rsidRPr="006E1084">
        <w:rPr>
          <w:rFonts w:ascii="Arial" w:hAnsi="Arial"/>
          <w:b/>
          <w:sz w:val="22"/>
        </w:rPr>
        <w:br/>
      </w:r>
      <w:r w:rsidRPr="006E1084">
        <w:rPr>
          <w:rFonts w:ascii="Arial" w:hAnsi="Arial"/>
          <w:b/>
          <w:sz w:val="22"/>
        </w:rPr>
        <w:t>НЕМАТЕРИАЛЬНОГО КУЛЬТУРНОГО НАСЛЕДИЯ</w:t>
      </w:r>
    </w:p>
    <w:p w14:paraId="3F72B1D3" w14:textId="767FE9C8" w:rsidR="00EC6F8D" w:rsidRPr="006E1084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 xml:space="preserve">ГЕНЕРАЛЬНАЯ АССАМБЛЕЯ ГОСУДАРСТВ </w:t>
      </w:r>
      <w:r w:rsidR="009E0E87" w:rsidRPr="006E1084">
        <w:rPr>
          <w:rFonts w:ascii="Arial" w:hAnsi="Arial" w:cs="Arial"/>
          <w:b/>
          <w:sz w:val="22"/>
          <w:szCs w:val="22"/>
        </w:rPr>
        <w:t>–</w:t>
      </w:r>
      <w:r w:rsidRPr="006E1084">
        <w:rPr>
          <w:rFonts w:ascii="Arial" w:hAnsi="Arial"/>
          <w:b/>
          <w:sz w:val="22"/>
        </w:rPr>
        <w:t xml:space="preserve"> УЧАСТНИКОВ КОНВЕНЦИИ</w:t>
      </w:r>
    </w:p>
    <w:p w14:paraId="2E1CD4B4" w14:textId="762C97E8" w:rsidR="00EC6F8D" w:rsidRPr="006E1084" w:rsidRDefault="0026085B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Одиннадцатая сессия</w:t>
      </w:r>
    </w:p>
    <w:p w14:paraId="1FD89575" w14:textId="05D2C62D" w:rsidR="00B2172B" w:rsidRPr="006E1084" w:rsidRDefault="005C792B" w:rsidP="00B2172B">
      <w:pPr>
        <w:jc w:val="center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Штаб-квартира ЮНЕСКО, зал I</w:t>
      </w:r>
    </w:p>
    <w:p w14:paraId="52EA6D50" w14:textId="46BCF87A" w:rsidR="00B2172B" w:rsidRPr="006E1084" w:rsidRDefault="00544C93" w:rsidP="00B2172B">
      <w:pPr>
        <w:jc w:val="center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17–18 июня 2026 r.</w:t>
      </w:r>
    </w:p>
    <w:p w14:paraId="0365203A" w14:textId="7B520D21" w:rsidR="00EC6F8D" w:rsidRPr="006E1084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  <w:u w:val="single"/>
        </w:rPr>
        <w:t>Пункт 5 предварительной повестки дня</w:t>
      </w:r>
      <w:r w:rsidRPr="006E1084">
        <w:rPr>
          <w:rFonts w:ascii="Arial" w:hAnsi="Arial"/>
          <w:b/>
          <w:sz w:val="22"/>
        </w:rPr>
        <w:t>:</w:t>
      </w:r>
    </w:p>
    <w:p w14:paraId="59920478" w14:textId="511CB7B7" w:rsidR="004A2875" w:rsidRPr="006E1084" w:rsidRDefault="009918BB" w:rsidP="009918BB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6E1084">
        <w:rPr>
          <w:rFonts w:ascii="Arial" w:hAnsi="Arial"/>
          <w:b/>
          <w:sz w:val="22"/>
        </w:rPr>
        <w:t>Доклад Комитета Генеральной ассамблее (январь 2024 г</w:t>
      </w:r>
      <w:r w:rsidR="006E1084" w:rsidRPr="006E1084">
        <w:rPr>
          <w:rFonts w:ascii="Arial" w:hAnsi="Arial"/>
          <w:b/>
          <w:sz w:val="22"/>
        </w:rPr>
        <w:t>.</w:t>
      </w:r>
      <w:r w:rsidRPr="006E1084">
        <w:rPr>
          <w:rFonts w:ascii="Arial" w:hAnsi="Arial"/>
          <w:b/>
          <w:sz w:val="22"/>
        </w:rPr>
        <w:t xml:space="preserve"> — декабрь 2025 г</w:t>
      </w:r>
      <w:r w:rsidR="006E1084" w:rsidRPr="006E1084">
        <w:rPr>
          <w:rFonts w:ascii="Arial" w:hAnsi="Arial"/>
          <w:b/>
          <w:sz w:val="22"/>
        </w:rPr>
        <w:t>.</w:t>
      </w:r>
      <w:r w:rsidRPr="006E1084">
        <w:rPr>
          <w:rFonts w:ascii="Arial" w:hAnsi="Arial"/>
          <w:b/>
          <w:sz w:val="22"/>
        </w:rPr>
        <w:t>)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6E1084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3B0B8679" w14:textId="77777777" w:rsidR="009E0E87" w:rsidRPr="006E1084" w:rsidRDefault="009E0E87" w:rsidP="009E0E87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084">
              <w:rPr>
                <w:rFonts w:ascii="Arial" w:hAnsi="Arial"/>
                <w:b/>
                <w:sz w:val="22"/>
              </w:rPr>
              <w:t>Содержание</w:t>
            </w:r>
          </w:p>
          <w:p w14:paraId="279D6B0F" w14:textId="55C0C8BD" w:rsidR="00DB2F67" w:rsidRPr="006E1084" w:rsidRDefault="00DB2F67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084">
              <w:rPr>
                <w:rFonts w:ascii="Arial" w:hAnsi="Arial"/>
                <w:sz w:val="22"/>
              </w:rPr>
              <w:t>Статья 30.1 Конвенции 2003 года гласит, что «Комитет представляет каждой сессии Генеральной ассамблеи доклад, подготавливаемый на основе его деятельности и докладов государств-участников [...]». В настоящем документе содержится доклад о деятельности Комитета за период с января 2024 года по декабрь 2025 года, включая обзор докладов государств-участников, принятых на девятнадцатой и двадцатой сессиях Комитета.</w:t>
            </w:r>
          </w:p>
          <w:p w14:paraId="290310E8" w14:textId="5EB5E4D7" w:rsidR="00EC6F8D" w:rsidRPr="006E1084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084">
              <w:rPr>
                <w:rFonts w:ascii="Arial" w:hAnsi="Arial"/>
                <w:b/>
                <w:sz w:val="22"/>
              </w:rPr>
              <w:t>Требуемое решение:</w:t>
            </w:r>
            <w:r w:rsidRPr="006E1084">
              <w:rPr>
                <w:rFonts w:ascii="Arial" w:hAnsi="Arial"/>
                <w:sz w:val="22"/>
              </w:rPr>
              <w:t xml:space="preserve"> пункт 4</w:t>
            </w:r>
          </w:p>
        </w:tc>
      </w:tr>
    </w:tbl>
    <w:p w14:paraId="713D819F" w14:textId="77777777" w:rsidR="004A2875" w:rsidRPr="006E1084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 w:rsidRPr="006E1084">
        <w:br w:type="page"/>
      </w:r>
    </w:p>
    <w:p w14:paraId="6C62585F" w14:textId="1FBD00B9" w:rsidR="00F70CC5" w:rsidRPr="006E1084" w:rsidRDefault="00FD4BC8" w:rsidP="00F70CC5">
      <w:pPr>
        <w:pStyle w:val="COMPara"/>
        <w:numPr>
          <w:ilvl w:val="0"/>
          <w:numId w:val="0"/>
        </w:numPr>
        <w:spacing w:before="240"/>
        <w:jc w:val="both"/>
        <w:rPr>
          <w:b/>
          <w:bCs/>
        </w:rPr>
      </w:pPr>
      <w:bookmarkStart w:id="0" w:name="_Hlk124351255"/>
      <w:r w:rsidRPr="006E1084">
        <w:rPr>
          <w:b/>
        </w:rPr>
        <w:lastRenderedPageBreak/>
        <w:t>История вопроса</w:t>
      </w:r>
    </w:p>
    <w:bookmarkEnd w:id="0"/>
    <w:p w14:paraId="3161EA90" w14:textId="354FDC74" w:rsidR="00DB2F67" w:rsidRPr="006E1084" w:rsidRDefault="00DB2F67" w:rsidP="00DB2F67">
      <w:pPr>
        <w:pStyle w:val="COMPara"/>
        <w:ind w:left="567" w:hanging="567"/>
        <w:jc w:val="both"/>
      </w:pPr>
      <w:r w:rsidRPr="006E1084">
        <w:t>Статья 30.1 Конвенции 2003 года об охране нематериального культурного наследия гласит, что «Комитет представляет каждой сессии Генеральной ассамблеи доклад, подготавливаемый на основе его деятельности и докладов государств-участников [...]». Статья 30.2 дополняет, что «этот доклад доводится до сведения Генеральной конференции ЮНЕСКО». Период, охватываемый настоящим отчетом (см. приложение), — с января 2024 года по декабрь 2025 года.</w:t>
      </w:r>
    </w:p>
    <w:p w14:paraId="147058DA" w14:textId="633E3413" w:rsidR="00DB2F67" w:rsidRPr="006E1084" w:rsidRDefault="00DB2F67" w:rsidP="00DB2F67">
      <w:pPr>
        <w:pStyle w:val="COMPara"/>
        <w:ind w:left="567" w:hanging="567"/>
        <w:jc w:val="both"/>
      </w:pPr>
      <w:r w:rsidRPr="006E1084">
        <w:t xml:space="preserve">Этот отчетный период был определен в соответствии с резолюцией </w:t>
      </w:r>
      <w:hyperlink r:id="rId8" w:history="1">
        <w:r w:rsidRPr="006E1084">
          <w:rPr>
            <w:rStyle w:val="Hyperlink"/>
          </w:rPr>
          <w:t>6.GA 5</w:t>
        </w:r>
      </w:hyperlink>
      <w:r w:rsidRPr="006E1084">
        <w:t xml:space="preserve"> 2016 года, в которой Генеральная ассамблея просила Комитет опираться на двухлетний период для будущих докладов. В связи с этим в докладе также содержится обзор национальных докладов, представленных государствами-участниками в соответствии со статьей 29 Конвенции, которые были рассмотрены Комитетом на его девятнадцатой и двадцатой сессиях.</w:t>
      </w:r>
    </w:p>
    <w:p w14:paraId="350D6210" w14:textId="1C7F36D4" w:rsidR="00DB2F67" w:rsidRPr="006E1084" w:rsidRDefault="00D94CD4" w:rsidP="00DB2F67">
      <w:pPr>
        <w:pStyle w:val="COMPara"/>
        <w:ind w:left="567" w:hanging="567"/>
        <w:jc w:val="both"/>
      </w:pPr>
      <w:r w:rsidRPr="006E1084">
        <w:t xml:space="preserve">Данный доклад следует рассматривать совместно с докладом Секретариата о своей деятельности (документ </w:t>
      </w:r>
      <w:hyperlink r:id="rId9" w:history="1">
        <w:r w:rsidRPr="006E1084">
          <w:rPr>
            <w:rStyle w:val="Hyperlink"/>
          </w:rPr>
          <w:t>LHE/26/11.GA/6</w:t>
        </w:r>
      </w:hyperlink>
      <w:r w:rsidRPr="006E1084">
        <w:t>), а также с отчетом Фонда нематериального культурного наследия</w:t>
      </w:r>
      <w:r w:rsidRPr="006E1084">
        <w:rPr>
          <w:i/>
        </w:rPr>
        <w:t xml:space="preserve"> </w:t>
      </w:r>
      <w:r w:rsidRPr="006E1084">
        <w:t xml:space="preserve">(документ </w:t>
      </w:r>
      <w:hyperlink r:id="rId10" w:history="1">
        <w:r w:rsidRPr="006E1084">
          <w:rPr>
            <w:rStyle w:val="Hyperlink"/>
          </w:rPr>
          <w:t>LHE/26/11.GA/INF.8</w:t>
        </w:r>
      </w:hyperlink>
      <w:r w:rsidRPr="006E1084">
        <w:t>).</w:t>
      </w:r>
    </w:p>
    <w:p w14:paraId="50D3EAFF" w14:textId="3A349EC1" w:rsidR="00D95C4C" w:rsidRPr="006E1084" w:rsidRDefault="005C792B" w:rsidP="005C792B">
      <w:pPr>
        <w:pStyle w:val="COMPara"/>
        <w:ind w:left="567" w:hanging="567"/>
      </w:pPr>
      <w:r w:rsidRPr="006E1084">
        <w:t>Генеральная ассамблея, возможно, пожелает принять следующую резолюцию:</w:t>
      </w:r>
    </w:p>
    <w:p w14:paraId="6CEB1E9D" w14:textId="1E26400A" w:rsidR="00D95C4C" w:rsidRPr="006E1084" w:rsidRDefault="004A34A0" w:rsidP="001D14FE">
      <w:pPr>
        <w:pStyle w:val="COMTitleDecision"/>
        <w:rPr>
          <w:rFonts w:eastAsia="SimSun"/>
        </w:rPr>
      </w:pPr>
      <w:r w:rsidRPr="006E1084">
        <w:t>ПРОЕКТ РЕЗОЛЮЦИИ 11.GA 5</w:t>
      </w:r>
    </w:p>
    <w:p w14:paraId="13024F0B" w14:textId="5181E164" w:rsidR="00D95C4C" w:rsidRPr="006E1084" w:rsidRDefault="005C792B" w:rsidP="00285BB4">
      <w:pPr>
        <w:pStyle w:val="COMPreambulaDecisions"/>
        <w:rPr>
          <w:rFonts w:eastAsia="SimSun"/>
        </w:rPr>
      </w:pPr>
      <w:r w:rsidRPr="006E1084">
        <w:t>Генеральная ассамблея,</w:t>
      </w:r>
    </w:p>
    <w:p w14:paraId="5A9F22F3" w14:textId="6AC66C98" w:rsidR="0057439C" w:rsidRPr="006E1084" w:rsidRDefault="00D95C4C" w:rsidP="007435E5">
      <w:pPr>
        <w:pStyle w:val="COMParaDecision"/>
        <w:ind w:left="1134" w:hanging="567"/>
      </w:pPr>
      <w:r w:rsidRPr="006E1084">
        <w:t>рассмотрев</w:t>
      </w:r>
      <w:r w:rsidRPr="006E1084">
        <w:rPr>
          <w:u w:val="none"/>
        </w:rPr>
        <w:t xml:space="preserve"> документ LHE/26/11.GA/5 с приложением,</w:t>
      </w:r>
    </w:p>
    <w:p w14:paraId="2E6C5523" w14:textId="4B498366" w:rsidR="009219A9" w:rsidRPr="006E1084" w:rsidRDefault="009219A9" w:rsidP="007435E5">
      <w:pPr>
        <w:pStyle w:val="COMParaDecision"/>
        <w:ind w:left="1134" w:hanging="567"/>
      </w:pPr>
      <w:r w:rsidRPr="006E1084">
        <w:t>ссылаясь</w:t>
      </w:r>
      <w:r w:rsidRPr="006E1084">
        <w:rPr>
          <w:u w:val="none"/>
        </w:rPr>
        <w:t xml:space="preserve"> на статью 30 Конвенции и Резолюцию </w:t>
      </w:r>
      <w:hyperlink r:id="rId11" w:history="1">
        <w:r w:rsidRPr="006E1084">
          <w:rPr>
            <w:rStyle w:val="Hyperlink"/>
          </w:rPr>
          <w:t>6.GA 5</w:t>
        </w:r>
      </w:hyperlink>
      <w:r w:rsidRPr="006E1084">
        <w:rPr>
          <w:u w:val="none"/>
        </w:rPr>
        <w:t>,</w:t>
      </w:r>
    </w:p>
    <w:p w14:paraId="788BE1A8" w14:textId="623FD407" w:rsidR="009219A9" w:rsidRPr="006E1084" w:rsidRDefault="009219A9" w:rsidP="007435E5">
      <w:pPr>
        <w:pStyle w:val="COMParaDecision"/>
        <w:ind w:left="1134" w:hanging="567"/>
      </w:pPr>
      <w:r w:rsidRPr="006E1084">
        <w:t>приветствует</w:t>
      </w:r>
      <w:r w:rsidRPr="006E1084">
        <w:rPr>
          <w:u w:val="none"/>
        </w:rPr>
        <w:t xml:space="preserve"> Ливию, Сьерра-Леоне, Южную Африку и Соединенное Королевство Великобритании и Северной Ирландии, ратифицировавшие Конвенцию в течение отчетного периода, в результате чего общее число государств-участников достигло 185, и </w:t>
      </w:r>
      <w:r w:rsidRPr="006E1084">
        <w:t>призывает</w:t>
      </w:r>
      <w:r w:rsidRPr="006E1084">
        <w:rPr>
          <w:u w:val="none"/>
        </w:rPr>
        <w:t xml:space="preserve"> те государства, которые еще не ратифицировали Конвенцию, рассмотреть возможность ее ратификации;</w:t>
      </w:r>
    </w:p>
    <w:p w14:paraId="295CEA03" w14:textId="5F7D3970" w:rsidR="009219A9" w:rsidRPr="006E1084" w:rsidRDefault="009219A9" w:rsidP="007435E5">
      <w:pPr>
        <w:pStyle w:val="COMParaDecision"/>
        <w:ind w:left="1134" w:hanging="567"/>
      </w:pPr>
      <w:r w:rsidRPr="006E1084">
        <w:t>принимает к сведению</w:t>
      </w:r>
      <w:r w:rsidRPr="006E1084">
        <w:rPr>
          <w:u w:val="none"/>
        </w:rPr>
        <w:t xml:space="preserve"> доклад Комитета Генеральной ассамблее о своей деятельности в период с января 2024 года по декабрь 2025 года и </w:t>
      </w:r>
      <w:r w:rsidRPr="006E1084">
        <w:t>благодарит</w:t>
      </w:r>
      <w:r w:rsidRPr="006E1084">
        <w:rPr>
          <w:u w:val="none"/>
        </w:rPr>
        <w:t xml:space="preserve"> Комитет за его эффективную работу;</w:t>
      </w:r>
    </w:p>
    <w:p w14:paraId="6C8A31DB" w14:textId="56B0CAAB" w:rsidR="009219A9" w:rsidRPr="006E1084" w:rsidRDefault="009219A9" w:rsidP="007435E5">
      <w:pPr>
        <w:pStyle w:val="COMParaDecision"/>
        <w:ind w:left="1134" w:hanging="567"/>
      </w:pPr>
      <w:r w:rsidRPr="006E1084">
        <w:t>выражает признательность</w:t>
      </w:r>
      <w:r w:rsidRPr="006E1084">
        <w:rPr>
          <w:u w:val="none"/>
        </w:rPr>
        <w:t xml:space="preserve"> Комитету за продвижение тематических инициатив Конвенции, в частности Руководящих указаний по мерам в области защиты живого наследия от климатических изменений (2024 г.) и Руководящих указаний по охране нематериального культурного наследия в городских условиях (2025 г.), в дополнение к ранее принятым Руководящим указаниям по экономическим аспектам охраны нематериального культурного наследия (2023 г.), и </w:t>
      </w:r>
      <w:r w:rsidRPr="006E1084">
        <w:t>призывает</w:t>
      </w:r>
      <w:r w:rsidRPr="006E1084">
        <w:rPr>
          <w:u w:val="none"/>
        </w:rPr>
        <w:t xml:space="preserve"> к их интеграции в программы Конвенции, мероприятия по укреплению потенциала и другие международные рамочные механизмы;</w:t>
      </w:r>
    </w:p>
    <w:p w14:paraId="0CA78451" w14:textId="51FC4F6C" w:rsidR="009219A9" w:rsidRPr="006E1084" w:rsidRDefault="009219A9" w:rsidP="007435E5">
      <w:pPr>
        <w:pStyle w:val="COMParaDecision"/>
        <w:ind w:left="1134" w:hanging="567"/>
      </w:pPr>
      <w:r w:rsidRPr="006E1084">
        <w:t>кроме того, выражает признательность</w:t>
      </w:r>
      <w:r w:rsidRPr="006E1084">
        <w:rPr>
          <w:u w:val="none"/>
        </w:rPr>
        <w:t xml:space="preserve"> Комитету за прогресс, достигнутый им в деле анализа возможностей более широкого применения статьи 18, в частности в связи с созданием онлайн-платформы для обмена передовым опытом в области охраны культурного наследия, призванной отражать чаяния, опыт и знания сообществ из разных регионов;</w:t>
      </w:r>
    </w:p>
    <w:p w14:paraId="0ADA6F68" w14:textId="57672B18" w:rsidR="000C35D1" w:rsidRPr="006E1084" w:rsidRDefault="00630621" w:rsidP="007435E5">
      <w:pPr>
        <w:pStyle w:val="COMParaDecision"/>
        <w:ind w:left="1134" w:hanging="567"/>
        <w:rPr>
          <w:u w:val="none"/>
        </w:rPr>
      </w:pPr>
      <w:r w:rsidRPr="006E1084">
        <w:t>признает</w:t>
      </w:r>
      <w:r w:rsidRPr="006E1084">
        <w:rPr>
          <w:u w:val="none"/>
        </w:rPr>
        <w:t xml:space="preserve"> положительные результаты реализации двух приоритетных направлений финансирования на 2022–2025 годы, а </w:t>
      </w:r>
      <w:r w:rsidRPr="006E1084">
        <w:t>также приветствует</w:t>
      </w:r>
      <w:r w:rsidRPr="006E1084">
        <w:rPr>
          <w:u w:val="none"/>
        </w:rPr>
        <w:t xml:space="preserve"> одобрение Комитетом двух новых приоритетных направлений финансирования на период 2026–2029 годов:</w:t>
      </w:r>
      <w:r w:rsidRPr="006E1084">
        <w:rPr>
          <w:rFonts w:asciiTheme="minorBidi" w:hAnsiTheme="minorBidi"/>
          <w:u w:val="none"/>
        </w:rPr>
        <w:t xml:space="preserve"> «Совершенствование подходов к укреплению потенциала в области охраны нематериального культурного наследия с упором на благополучие человека и расширение прав и возможностей общин» (приоритет финансирования A) и «Уточнение подходов к охране нематериального культурного наследия» </w:t>
      </w:r>
      <w:r w:rsidRPr="006E1084">
        <w:rPr>
          <w:rFonts w:asciiTheme="minorBidi" w:hAnsiTheme="minorBidi"/>
          <w:u w:val="none"/>
        </w:rPr>
        <w:lastRenderedPageBreak/>
        <w:t xml:space="preserve">(приоритет финансирования B), а также </w:t>
      </w:r>
      <w:r w:rsidRPr="006E1084">
        <w:rPr>
          <w:rFonts w:asciiTheme="minorBidi" w:hAnsiTheme="minorBidi"/>
        </w:rPr>
        <w:t>призывает</w:t>
      </w:r>
      <w:r w:rsidRPr="006E1084">
        <w:rPr>
          <w:rFonts w:asciiTheme="minorBidi" w:hAnsiTheme="minorBidi"/>
          <w:u w:val="none"/>
        </w:rPr>
        <w:t xml:space="preserve"> все государства-участники вносить добровольные дополнительные взносы для поддержки мероприятий, осуществляемых в рамках этих приоритетов;</w:t>
      </w:r>
    </w:p>
    <w:p w14:paraId="118BBE51" w14:textId="4505FBBC" w:rsidR="009219A9" w:rsidRPr="006E1084" w:rsidRDefault="009219A9" w:rsidP="007435E5">
      <w:pPr>
        <w:pStyle w:val="COMParaDecision"/>
        <w:ind w:left="1134" w:hanging="567"/>
        <w:rPr>
          <w:u w:val="none"/>
        </w:rPr>
      </w:pPr>
      <w:r w:rsidRPr="006E1084">
        <w:t>с удовлетворением отмечает</w:t>
      </w:r>
      <w:r w:rsidRPr="006E1084">
        <w:rPr>
          <w:u w:val="none"/>
        </w:rPr>
        <w:t xml:space="preserve"> значительно высокий уровень представления докладов в рамках первого регионального цикла периодической отчетности и </w:t>
      </w:r>
      <w:r w:rsidRPr="006E1084">
        <w:t>приветствует</w:t>
      </w:r>
      <w:r w:rsidRPr="006E1084">
        <w:rPr>
          <w:u w:val="none"/>
        </w:rPr>
        <w:t xml:space="preserve"> одобрение Комитетом перехода к единой глобальной системе представления докладов для механизмов периодической отчетности;</w:t>
      </w:r>
    </w:p>
    <w:p w14:paraId="4ABD080C" w14:textId="77777777" w:rsidR="009219A9" w:rsidRPr="006E1084" w:rsidRDefault="009219A9" w:rsidP="007435E5">
      <w:pPr>
        <w:pStyle w:val="COMParaDecision"/>
        <w:ind w:left="1134" w:hanging="567"/>
      </w:pPr>
      <w:r w:rsidRPr="006E1084">
        <w:t>просит</w:t>
      </w:r>
      <w:r w:rsidRPr="006E1084">
        <w:rPr>
          <w:u w:val="none"/>
        </w:rPr>
        <w:t xml:space="preserve"> Генерального директора довести настоящий доклад до сведения Генеральной конференции ЮНЕСКО в соответствии с пунктом 2 статьи 30 Конвенции.</w:t>
      </w:r>
    </w:p>
    <w:p w14:paraId="78A45008" w14:textId="0BC53A0B" w:rsidR="00935FFC" w:rsidRPr="006E1084" w:rsidRDefault="00935FFC" w:rsidP="00812021">
      <w:pPr>
        <w:pageBreakBefore/>
        <w:spacing w:after="120"/>
        <w:jc w:val="center"/>
        <w:rPr>
          <w:rFonts w:ascii="Arial" w:hAnsi="Arial" w:cs="Arial"/>
          <w:sz w:val="22"/>
          <w:szCs w:val="22"/>
        </w:rPr>
      </w:pPr>
      <w:r w:rsidRPr="006E1084">
        <w:rPr>
          <w:rFonts w:ascii="Arial" w:hAnsi="Arial"/>
          <w:b/>
          <w:sz w:val="22"/>
          <w:u w:val="single"/>
        </w:rPr>
        <w:lastRenderedPageBreak/>
        <w:t>ПРИЛОЖЕНИЕ</w:t>
      </w:r>
    </w:p>
    <w:p w14:paraId="529F4069" w14:textId="77777777" w:rsidR="00935FFC" w:rsidRPr="006E1084" w:rsidRDefault="00935FFC" w:rsidP="0081202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E1084">
        <w:rPr>
          <w:rFonts w:ascii="Arial" w:hAnsi="Arial"/>
          <w:b/>
          <w:sz w:val="22"/>
        </w:rPr>
        <w:t>Доклад Комитета Генеральной ассамблее о своей деятельности</w:t>
      </w:r>
    </w:p>
    <w:p w14:paraId="4276DF93" w14:textId="6DA98F5A" w:rsidR="00935FFC" w:rsidRPr="006E1084" w:rsidRDefault="00935FFC" w:rsidP="00812021">
      <w:pPr>
        <w:keepNext/>
        <w:numPr>
          <w:ilvl w:val="0"/>
          <w:numId w:val="24"/>
        </w:numPr>
        <w:tabs>
          <w:tab w:val="num" w:pos="567"/>
        </w:tabs>
        <w:snapToGrid w:val="0"/>
        <w:spacing w:before="240" w:after="120"/>
        <w:ind w:left="561" w:hanging="561"/>
        <w:jc w:val="both"/>
        <w:rPr>
          <w:rFonts w:asciiTheme="minorBidi" w:hAnsiTheme="minorBidi" w:cstheme="minorBidi"/>
          <w:szCs w:val="22"/>
        </w:rPr>
      </w:pPr>
      <w:r w:rsidRPr="006E1084">
        <w:rPr>
          <w:rFonts w:ascii="Arial" w:hAnsi="Arial"/>
          <w:b/>
          <w:sz w:val="22"/>
        </w:rPr>
        <w:t>Введение</w:t>
      </w:r>
    </w:p>
    <w:p w14:paraId="656BE5AA" w14:textId="77777777" w:rsidR="00935FFC" w:rsidRPr="006E1084" w:rsidRDefault="00935FFC" w:rsidP="00935FFC">
      <w:pPr>
        <w:pStyle w:val="Marge"/>
        <w:numPr>
          <w:ilvl w:val="0"/>
          <w:numId w:val="23"/>
        </w:numPr>
        <w:tabs>
          <w:tab w:val="clear" w:pos="502"/>
          <w:tab w:val="clear" w:pos="567"/>
          <w:tab w:val="num" w:pos="1276"/>
        </w:tabs>
        <w:spacing w:after="120"/>
        <w:ind w:left="567" w:hanging="567"/>
        <w:rPr>
          <w:rFonts w:asciiTheme="minorBidi" w:hAnsiTheme="minorBidi" w:cstheme="minorBidi"/>
          <w:szCs w:val="22"/>
        </w:rPr>
      </w:pPr>
      <w:r w:rsidRPr="006E1084">
        <w:rPr>
          <w:rFonts w:asciiTheme="minorBidi" w:hAnsiTheme="minorBidi"/>
        </w:rPr>
        <w:t>Функции Комитета изложены в Конвенции об охране нематериального культурного наследия 2003 г., в частности в статье 7.</w:t>
      </w:r>
    </w:p>
    <w:p w14:paraId="6DAAAB0F" w14:textId="77777777" w:rsidR="00A6511E" w:rsidRPr="006E1084" w:rsidRDefault="00A6511E" w:rsidP="00775FCC">
      <w:pPr>
        <w:pStyle w:val="Marge"/>
        <w:numPr>
          <w:ilvl w:val="0"/>
          <w:numId w:val="23"/>
        </w:numPr>
        <w:tabs>
          <w:tab w:val="clear" w:pos="502"/>
          <w:tab w:val="clear" w:pos="567"/>
          <w:tab w:val="num" w:pos="1276"/>
        </w:tabs>
        <w:spacing w:after="120"/>
        <w:ind w:left="567" w:hanging="567"/>
      </w:pPr>
      <w:r w:rsidRPr="006E1084">
        <w:t>В 2024 году Генеральная ассамблея обновила половину состава Комитета, избрав в него двенадцать государств-участников вместе с действующими членами: Алжир*, Ангола, Бангладеш, Барбадос*, Буркина-Фасо, Китай*, Доминиканская Республика*, Эфиопия, Франция*, Германия, Гаити*, Индия, Малайзия, Мавритания, Нигерия*, Парагвай, Словакия, Испания*, Украина*, Уганда*, Объединенные Арабские Эмираты*, Узбекистан, Вьетнам и Замбия* (страны, отмеченные звездочкой, имеют мандат на период с 2024 по 2028 год; мандат стран, не отмеченных звездочкой, действует в период с 2022 по 2026 год).</w:t>
      </w:r>
    </w:p>
    <w:p w14:paraId="6CDF0715" w14:textId="252BEFB0" w:rsidR="00A6511E" w:rsidRPr="006E1084" w:rsidRDefault="00A6511E" w:rsidP="00775FCC">
      <w:pPr>
        <w:pStyle w:val="Marge"/>
        <w:numPr>
          <w:ilvl w:val="0"/>
          <w:numId w:val="23"/>
        </w:numPr>
        <w:tabs>
          <w:tab w:val="clear" w:pos="502"/>
          <w:tab w:val="clear" w:pos="567"/>
          <w:tab w:val="num" w:pos="1276"/>
        </w:tabs>
        <w:spacing w:after="120"/>
        <w:ind w:left="567" w:hanging="567"/>
      </w:pPr>
      <w:r w:rsidRPr="006E1084">
        <w:t xml:space="preserve">Очередная сессия Комитета проводилась дважды: со 2 по 6 декабря 2024 года (Асунсьон, Республика Парагвай) в рамках его девятнадцатой сессии (далее «19.COM») и с 8 по 12 декабря 2025 года (Нью-Дели, Республика Индия) в рамках его двадцатой сессии (далее «20.COM»). Кроме того, с 24 по 31 января 2025 года состоялся электронный обмен мнениями между членами Комитета. В состав Президиума сессии 19.COM вошли: Е.П. г-жа Нэнси </w:t>
      </w:r>
      <w:proofErr w:type="spellStart"/>
      <w:r w:rsidRPr="006E1084">
        <w:t>Овелар</w:t>
      </w:r>
      <w:proofErr w:type="spellEnd"/>
      <w:r w:rsidRPr="006E1084">
        <w:t xml:space="preserve"> де </w:t>
      </w:r>
      <w:proofErr w:type="spellStart"/>
      <w:r w:rsidRPr="006E1084">
        <w:t>Горостиага</w:t>
      </w:r>
      <w:proofErr w:type="spellEnd"/>
      <w:r w:rsidRPr="006E1084">
        <w:t xml:space="preserve"> (Парагвай) в качестве председателя; Германия, Узбекистан, Вьетнам, Ангола и Мавритания в качестве заместителей председателя; а также г-жа </w:t>
      </w:r>
      <w:proofErr w:type="spellStart"/>
      <w:r w:rsidRPr="006E1084">
        <w:t>Любица</w:t>
      </w:r>
      <w:proofErr w:type="spellEnd"/>
      <w:r w:rsidRPr="006E1084">
        <w:t xml:space="preserve"> </w:t>
      </w:r>
      <w:proofErr w:type="spellStart"/>
      <w:r w:rsidRPr="006E1084">
        <w:t>Волянска</w:t>
      </w:r>
      <w:proofErr w:type="spellEnd"/>
      <w:r w:rsidRPr="006E1084">
        <w:t xml:space="preserve"> (Словакия) в качестве докладчика. В состав Президиума сессии 20.COM вошли: Е.П. г-н </w:t>
      </w:r>
      <w:proofErr w:type="spellStart"/>
      <w:r w:rsidRPr="006E1084">
        <w:t>Вишал</w:t>
      </w:r>
      <w:proofErr w:type="spellEnd"/>
      <w:r w:rsidRPr="006E1084">
        <w:t xml:space="preserve"> В. Шарма (Индия) в качестве председателя; Франция, Словакия, Барбадос, Эфиопия и Мавритания в качестве заместителей председателя; а также г-жа Айша Камали (Объединенные Арабские Эмираты) в качестве докладчика</w:t>
      </w:r>
      <w:r w:rsidRPr="006E1084">
        <w:rPr>
          <w:rStyle w:val="FootnoteReference"/>
          <w:rFonts w:asciiTheme="minorBidi" w:hAnsiTheme="minorBidi" w:cstheme="minorBidi"/>
          <w:szCs w:val="22"/>
          <w:lang w:val="en-GB"/>
        </w:rPr>
        <w:footnoteReference w:id="1"/>
      </w:r>
      <w:r w:rsidRPr="006E1084">
        <w:t>.</w:t>
      </w:r>
    </w:p>
    <w:p w14:paraId="7FD06535" w14:textId="072FEB43" w:rsidR="00F24EB5" w:rsidRPr="006E1084" w:rsidRDefault="00F24EB5" w:rsidP="00775FCC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t xml:space="preserve">Президиум проводил заседания в ходе обеих сессий Комитета </w:t>
      </w:r>
      <w:proofErr w:type="gramStart"/>
      <w:r w:rsidRPr="006E1084">
        <w:t>с вторника</w:t>
      </w:r>
      <w:proofErr w:type="gramEnd"/>
      <w:r w:rsidRPr="006E1084">
        <w:t xml:space="preserve"> до последнего дня сессии. В течение отчетного периода он также провел </w:t>
      </w:r>
      <w:proofErr w:type="spellStart"/>
      <w:r w:rsidR="009E2FDB" w:rsidRPr="006E1084">
        <w:t>семь</w:t>
      </w:r>
      <w:r w:rsidRPr="006E1084">
        <w:t>очных</w:t>
      </w:r>
      <w:proofErr w:type="spellEnd"/>
      <w:r w:rsidRPr="006E1084">
        <w:t xml:space="preserve"> заседаний (в штаб-квартире ЮНЕСКО, за исключением заседаний 1 декабря 2024 года (Асунсьон, Республика Парагвай) и 7 декабря 2025 года (Нью-Дели, Республика Индия), 5 марта 2024 года (19.COM 1.BUR), 4 июня 2024 г. (19.COM 2.BUR), 1 октября 2024 г. (19.COM 3.BUR), 30 октября 2024 г. (19.COM 4.BUR), 11 марта 2025 года (20.COM 2.BUR), 11 июня 2025 года (20.COM 3.BUR) и 23 октября 2025 года (20.COM 4.BUR). Кроме того, в январе 2025 года было проведено электронное консультирование (20.COM 1.BUR).</w:t>
      </w:r>
    </w:p>
    <w:p w14:paraId="4AEE9353" w14:textId="2BC9790A" w:rsidR="00935FFC" w:rsidRPr="006E1084" w:rsidRDefault="00935FFC" w:rsidP="00935FFC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  <w:rPr>
          <w:rFonts w:asciiTheme="minorBidi" w:hAnsiTheme="minorBidi" w:cstheme="minorBidi"/>
          <w:szCs w:val="22"/>
        </w:rPr>
      </w:pPr>
      <w:r w:rsidRPr="006E1084">
        <w:t xml:space="preserve">Комитет и его Президиум рассмотрели в общей сложности </w:t>
      </w:r>
      <w:r w:rsidRPr="006E1084">
        <w:rPr>
          <w:rFonts w:asciiTheme="minorBidi" w:hAnsiTheme="minorBidi"/>
        </w:rPr>
        <w:t>91пункт, включенный в их повестки дня, к которым были приложены 80 рабочих или информационных документов, 13 заявок на включение в Список объектов, требующих неотложной охраны (в том числе 3 заявки, сопровождавшиеся просьбой о международной помощи), 111 номинаций для включения в Репрезентативный список, 4 предложения для включения в Реестр передовой практики охраны, 5 запросов о переносе элемента из одного списка в другой, 24 «отдельных» запроса о международной помощи, 108 периодических докладов, представленных государствами-участниками, и 185 запросов об аккредитации или продлении аккредитации от неправительственных организаций (далее «НПО»).</w:t>
      </w:r>
    </w:p>
    <w:p w14:paraId="3D96C1A0" w14:textId="7463D49B" w:rsidR="00935FFC" w:rsidRPr="006E1084" w:rsidRDefault="00935FFC" w:rsidP="00812021">
      <w:pPr>
        <w:widowControl w:val="0"/>
        <w:numPr>
          <w:ilvl w:val="0"/>
          <w:numId w:val="24"/>
        </w:numPr>
        <w:tabs>
          <w:tab w:val="num" w:pos="567"/>
        </w:tabs>
        <w:snapToGrid w:val="0"/>
        <w:spacing w:before="24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Содействие достижению целей Конвенции, поощрение и обеспечение мониторинга ее выполнения и предоставление консультаций относительно передовой практики и подготовка рекомендаций о мерах по охране нематериального культурного наследия</w:t>
      </w:r>
      <w:r w:rsidRPr="006E1084">
        <w:rPr>
          <w:rFonts w:ascii="Arial" w:hAnsi="Arial"/>
          <w:sz w:val="22"/>
        </w:rPr>
        <w:t xml:space="preserve"> (статья 7[a] и 7[b])</w:t>
      </w:r>
    </w:p>
    <w:p w14:paraId="5B8EF53C" w14:textId="77777777" w:rsidR="00935FFC" w:rsidRPr="006E1084" w:rsidRDefault="00935FFC" w:rsidP="00812021">
      <w:pPr>
        <w:pStyle w:val="ListParagraph"/>
        <w:widowControl w:val="0"/>
        <w:numPr>
          <w:ilvl w:val="0"/>
          <w:numId w:val="25"/>
        </w:numPr>
        <w:tabs>
          <w:tab w:val="num" w:pos="567"/>
        </w:tabs>
        <w:snapToGrid w:val="0"/>
        <w:spacing w:before="120" w:after="120"/>
        <w:ind w:left="567" w:hanging="567"/>
        <w:contextualSpacing w:val="0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Ратификация</w:t>
      </w:r>
    </w:p>
    <w:p w14:paraId="05A265CA" w14:textId="7D52B951" w:rsidR="005D7864" w:rsidRPr="006E1084" w:rsidRDefault="005D7864" w:rsidP="00217B14">
      <w:pPr>
        <w:pStyle w:val="Marge"/>
        <w:widowControl w:val="0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lastRenderedPageBreak/>
        <w:t>После ратификации Конвенции Ливией, Сьерра-Леоне, Южной Африкой и Соединенным Королевством Великобритании и Северной Ирландии по состоянию на 31 декабря 2025 года участниками Конвенции являются 185 государств.</w:t>
      </w:r>
    </w:p>
    <w:p w14:paraId="7F545EFF" w14:textId="77777777" w:rsidR="00441941" w:rsidRPr="006E1084" w:rsidRDefault="00441941" w:rsidP="00812021">
      <w:pPr>
        <w:pStyle w:val="ListParagraph"/>
        <w:widowControl w:val="0"/>
        <w:numPr>
          <w:ilvl w:val="0"/>
          <w:numId w:val="25"/>
        </w:numPr>
        <w:spacing w:before="120" w:after="120"/>
        <w:ind w:left="561" w:hanging="561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Укрепление программы по наращиванию потенциала и включение живого наследия в планы, стратегии и программы развития</w:t>
      </w:r>
      <w:r w:rsidRPr="006E1084">
        <w:rPr>
          <w:b/>
          <w:sz w:val="22"/>
        </w:rPr>
        <w:t>.</w:t>
      </w:r>
    </w:p>
    <w:p w14:paraId="52C9B53B" w14:textId="07DCB19E" w:rsidR="00441941" w:rsidRPr="006E1084" w:rsidRDefault="00441941" w:rsidP="00217B14">
      <w:pPr>
        <w:pStyle w:val="Marge"/>
        <w:widowControl w:val="0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t xml:space="preserve">Десятая сессия Генеральной ассамблеи (11–12 июня 2024 г., штаб-квартира ЮНЕСКО; далее именуемая «10-я сессия Генеральной ассамблеи») утвердила план использования ресурсов Фонда нематериального культурного наследия (далее именуемого «Фонд») на период с 1 января 2024 г. по 31 декабря 2025 г., в котором 20 процентов бюджета (что соответствует сумме в 1 637 916 долл. США) было выделено на статью «Прочие функции Комитета» (Резолюция </w:t>
      </w:r>
      <w:hyperlink r:id="rId12" w:history="1">
        <w:r w:rsidRPr="006E1084">
          <w:rPr>
            <w:rStyle w:val="Hyperlink"/>
          </w:rPr>
          <w:t>10.GA 8</w:t>
        </w:r>
      </w:hyperlink>
      <w:r w:rsidRPr="006E1084">
        <w:t>). На данный двухгодичный период было выделено в общей сложности 851 716 долларов США (что составляет 52 процента от средств, заложенных по статье «Прочие функции Комитета») на укрепление программы по наращиванию потенциала и включение нематериального культурного наследия в планы, стратегии и программы в области развития.</w:t>
      </w:r>
    </w:p>
    <w:p w14:paraId="128DC9C8" w14:textId="77777777" w:rsidR="00441941" w:rsidRPr="006E1084" w:rsidRDefault="00441941" w:rsidP="00775FCC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t xml:space="preserve">Развитие потенциала по-прежнему занимает центральное место в мандате Конвенции 2003 года и является одним из двух глобальных приоритетов финансирования Конвенции на четырехлетний период 2022–2025 годов — «Укрепление потенциала в целях охраны нематериального культурного наследия с использованием мультимодальных подходов и содействия устойчивому развитию» (Решение </w:t>
      </w:r>
      <w:hyperlink r:id="rId13" w:history="1">
        <w:r w:rsidRPr="006E1084">
          <w:rPr>
            <w:rStyle w:val="Hyperlink"/>
          </w:rPr>
          <w:t>16.COM 12</w:t>
        </w:r>
      </w:hyperlink>
      <w:r w:rsidRPr="006E1084">
        <w:t xml:space="preserve">). Высокий уровень представления периодических докладов государствами в двух регионах, которые проводили эту работу в течение отчетного периода — 100 % в Африке в 2024 году и 90 % в Азиатско-Тихоокеанском регионе в 2025 году — подтвердил эффективность принятого подхода к укреплению потенциала. Кроме того, запуск </w:t>
      </w:r>
      <w:hyperlink r:id="rId14" w:history="1">
        <w:r w:rsidRPr="006E1084">
          <w:rPr>
            <w:rStyle w:val="Hyperlink"/>
            <w:rFonts w:asciiTheme="minorBidi" w:hAnsiTheme="minorBidi"/>
          </w:rPr>
          <w:t>Образовательной платформы ЮНЕСКО</w:t>
        </w:r>
      </w:hyperlink>
      <w:r w:rsidRPr="006E1084">
        <w:t xml:space="preserve"> способствовал расширению охвата программы за счет привлечения новых аудиторий, а также укреплению взаимодействия и обмена знаниями. 19-я сессия Комитета приветствовала завершение подготовки новых координаторов в глобальной сети координаторов, а также переориентацию глобальной программы по укреплению потенциала на подход, предусматривающий полностью мультимодальное осуществление (Решение </w:t>
      </w:r>
      <w:hyperlink r:id="rId15" w:history="1">
        <w:r w:rsidRPr="006E1084">
          <w:rPr>
            <w:rStyle w:val="Hyperlink"/>
          </w:rPr>
          <w:t>19.COM 5</w:t>
        </w:r>
      </w:hyperlink>
      <w:r w:rsidRPr="006E1084">
        <w:t>).</w:t>
      </w:r>
    </w:p>
    <w:p w14:paraId="3F803F9B" w14:textId="5325A44B" w:rsidR="00441941" w:rsidRPr="006E1084" w:rsidRDefault="00441941" w:rsidP="00775FCC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t xml:space="preserve">В то же время включение вопросов нематериального культурного наследия в планы, стратегии и программы развития имеет ключевое значение для содействия достижению целей Конвенции в контексте интеграции культуры в рамки развития Организации Объединенных Наций на период после 2030 года в соответствии с </w:t>
      </w:r>
      <w:hyperlink r:id="rId16" w:history="1">
        <w:r w:rsidRPr="006E1084">
          <w:rPr>
            <w:rStyle w:val="Hyperlink"/>
          </w:rPr>
          <w:t>итоговым документом</w:t>
        </w:r>
      </w:hyperlink>
      <w:r w:rsidRPr="006E1084">
        <w:t xml:space="preserve"> конференции МОНДИАКУЛЬТ 2025 года. В соответствии со вторым глобальным приоритетом финансирования, утвержденным Комитетом, — «Охрана нематериального культурного наследия в формальном и неформальном образовании» — живое наследие было включено в международные рамочные документы в области образования, такие как «Рамочная концепция образования в сфере культуры и искусства» (2024 г.); этот процесс был поддержан постоянной работой </w:t>
      </w:r>
      <w:hyperlink r:id="rId17" w:history="1">
        <w:r w:rsidRPr="006E1084">
          <w:rPr>
            <w:rStyle w:val="Hyperlink"/>
          </w:rPr>
          <w:t>Информационно-координационного центра</w:t>
        </w:r>
      </w:hyperlink>
      <w:r w:rsidRPr="006E1084">
        <w:t xml:space="preserve"> по вопросам живого наследия и образования, который пополнялся новыми проектами и ресурсами, а также проведением в 2025 году онлайн-совещания по итогам работы.</w:t>
      </w:r>
    </w:p>
    <w:p w14:paraId="3DAB3310" w14:textId="26F2E2E5" w:rsidR="00441941" w:rsidRPr="006E1084" w:rsidRDefault="00441941" w:rsidP="00441941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t xml:space="preserve">Также был достигнут прогресс в реализации тематических инициатив в рамках Конвенции 2003 года. По итогам состоявшегося из двух частей совещания экспертов по вопросам охраны нематериального культурного наследия и изменения климата, организованного соответственно 19 и 20 июня 2024 года (штаб-квартира ЮНЕСКО) и 25–26 сентября 2024 г. (в онлайн-формате), на 19-м совещании Комитета (19.COM) было представлено </w:t>
      </w:r>
      <w:hyperlink r:id="rId18" w:history="1">
        <w:r w:rsidRPr="006E1084">
          <w:rPr>
            <w:rStyle w:val="Hyperlink"/>
          </w:rPr>
          <w:t>Руководство по мерам</w:t>
        </w:r>
      </w:hyperlink>
      <w:r w:rsidRPr="006E1084">
        <w:t xml:space="preserve"> в области изменения климата в отношении живого наследия, в котором предлагается комплексный, основанный на правах человека и ориентированный на людей подход к таким мерам. Кроме того, состоялось двухэтапное совещание экспертов по вопросам охраны нематериального культурного наследия в городских условиях, которое прошло 16 и 17 июня 2025 года (в штаб-квартире ЮНЕСКО) и 18 и 19 сентября 2025 года (в онлайн-формате). По итогам этой </w:t>
      </w:r>
      <w:r w:rsidRPr="006E1084">
        <w:lastRenderedPageBreak/>
        <w:t xml:space="preserve">встречи на 20-й сессии Комитета была представлена </w:t>
      </w:r>
      <w:hyperlink r:id="rId19" w:history="1">
        <w:r w:rsidRPr="006E1084">
          <w:rPr>
            <w:rStyle w:val="Hyperlink"/>
          </w:rPr>
          <w:t>Руководящая записка</w:t>
        </w:r>
      </w:hyperlink>
      <w:r w:rsidRPr="006E1084">
        <w:t xml:space="preserve"> по охране нематериального культурного наследия в городских условиях (Решение </w:t>
      </w:r>
      <w:hyperlink r:id="rId20" w:history="1">
        <w:r w:rsidRPr="006E1084">
          <w:rPr>
            <w:rStyle w:val="Hyperlink"/>
          </w:rPr>
          <w:t>20.COM 12</w:t>
        </w:r>
      </w:hyperlink>
      <w:r w:rsidRPr="006E1084">
        <w:t xml:space="preserve">), в которой изложена концепция интеграции мер по охране нематериального культурного наследия в городские планы и обеспечения устойчивого городского развития. Кроме того, в рамках текущей инициативы, посвященной экономическим аспектам охраны нематериального культурного наследия, на основе </w:t>
      </w:r>
      <w:hyperlink r:id="rId21" w:history="1">
        <w:r w:rsidRPr="006E1084">
          <w:rPr>
            <w:rStyle w:val="Hyperlink"/>
          </w:rPr>
          <w:t>Руководящей записки</w:t>
        </w:r>
      </w:hyperlink>
      <w:r w:rsidRPr="006E1084">
        <w:t xml:space="preserve"> представленной Комитету в 2023 году, разрабатываются адаптированные к потребностям заинтересованных сторон и ориентированные на конкретные секторы рекомендации в форме практических руководств по планированию экономической деятельности с учетом интересов наследия. Как на 19-й, так и на 20-й сессии Конференции были отмечены успехи, достигнутые в рамках всех трех инициатив (Решения </w:t>
      </w:r>
      <w:hyperlink r:id="rId22" w:history="1">
        <w:r w:rsidRPr="006E1084">
          <w:rPr>
            <w:rStyle w:val="Hyperlink"/>
          </w:rPr>
          <w:t>19.COM 11</w:t>
        </w:r>
      </w:hyperlink>
      <w:r w:rsidRPr="006E1084">
        <w:t xml:space="preserve"> и </w:t>
      </w:r>
      <w:hyperlink r:id="rId23" w:history="1">
        <w:r w:rsidRPr="006E1084">
          <w:rPr>
            <w:rStyle w:val="Hyperlink"/>
          </w:rPr>
          <w:t>20.COM 12</w:t>
        </w:r>
      </w:hyperlink>
      <w:r w:rsidRPr="006E1084">
        <w:t>).</w:t>
      </w:r>
    </w:p>
    <w:p w14:paraId="61EEE421" w14:textId="77777777" w:rsidR="00441941" w:rsidRPr="006E1084" w:rsidRDefault="00441941" w:rsidP="00812021">
      <w:pPr>
        <w:pStyle w:val="ListParagraph"/>
        <w:keepNext/>
        <w:numPr>
          <w:ilvl w:val="0"/>
          <w:numId w:val="25"/>
        </w:numPr>
        <w:spacing w:before="120" w:after="120"/>
        <w:ind w:left="561" w:hanging="561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E1084">
        <w:rPr>
          <w:rFonts w:ascii="Arial" w:hAnsi="Arial" w:cs="Arial"/>
          <w:b/>
          <w:sz w:val="22"/>
          <w:szCs w:val="22"/>
        </w:rPr>
        <w:t>Содействие эффективному управлению и повышение осведомленности о Конвенции</w:t>
      </w:r>
    </w:p>
    <w:p w14:paraId="66C54D24" w14:textId="0219DA7F" w:rsidR="00441941" w:rsidRPr="006E1084" w:rsidRDefault="00441941" w:rsidP="007435E5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</w:pPr>
      <w:r w:rsidRPr="006E1084">
        <w:t xml:space="preserve">В утвержденном плане использования ресурсов Фонда на обеспечение эффективного </w:t>
      </w:r>
      <w:r w:rsidRPr="006E1084">
        <w:rPr>
          <w:snapToGrid/>
        </w:rPr>
        <w:t>управления</w:t>
      </w:r>
      <w:r w:rsidRPr="006E1084">
        <w:t xml:space="preserve"> Конвенцией и повышение осведомленности о ней посредством информационно-просветительских мероприятий была выделена общая сумма в размере 786 199 долларов США (что составляет 48 процентов от статьи «прочие функции Комитета») (Резолюция </w:t>
      </w:r>
      <w:hyperlink r:id="rId24" w:history="1">
        <w:r w:rsidRPr="006E1084">
          <w:rPr>
            <w:rStyle w:val="Hyperlink"/>
          </w:rPr>
          <w:t>10.GA 8</w:t>
        </w:r>
      </w:hyperlink>
      <w:r w:rsidRPr="006E1084">
        <w:t>).</w:t>
      </w:r>
    </w:p>
    <w:p w14:paraId="0E097D84" w14:textId="5109C231" w:rsidR="00441941" w:rsidRPr="006E1084" w:rsidRDefault="00441941" w:rsidP="009E0AD6">
      <w:pPr>
        <w:pStyle w:val="COMParaDecision"/>
        <w:numPr>
          <w:ilvl w:val="0"/>
          <w:numId w:val="23"/>
        </w:numPr>
        <w:tabs>
          <w:tab w:val="clear" w:pos="502"/>
          <w:tab w:val="num" w:pos="567"/>
        </w:tabs>
        <w:ind w:left="567" w:hanging="567"/>
        <w:rPr>
          <w:u w:val="none"/>
        </w:rPr>
      </w:pPr>
      <w:r w:rsidRPr="006E1084">
        <w:rPr>
          <w:u w:val="none"/>
        </w:rPr>
        <w:t xml:space="preserve">Начавшаяся в 2023 году дискуссия о более широком применении статьи 18 Конвенции 2003 года об охране нематериального культурного наследия посвящена вопросам более широкого обмена передовым опытом в области охраны, а также тому, как привлечь внимание к мнению сообществ и их стремлениям по охране своего живого наследия. Исходя из рекомендаций Межправительственной рабочей группы открытого состава 2023 года, представленных на 18-й сессии Комитета (18.COM) и 10-й сессии Генеральной ассамблеи (10.GA), Комитет на 19-й сессии Комитета (19.COM) принял к сведению «дорожную карту», содержащую шаги по созданию онлайн-платформы для обмена передовым опытом в области охраны (Решение </w:t>
      </w:r>
      <w:hyperlink r:id="rId25" w:history="1">
        <w:r w:rsidRPr="006E1084">
          <w:rPr>
            <w:rStyle w:val="Hyperlink"/>
          </w:rPr>
          <w:t>19.COM 10</w:t>
        </w:r>
      </w:hyperlink>
      <w:r w:rsidRPr="006E1084">
        <w:rPr>
          <w:u w:val="none"/>
        </w:rPr>
        <w:t>). Ход работы по созданию платформы, включая её</w:t>
      </w:r>
      <w:r w:rsidR="00F439A8" w:rsidRPr="006E1084">
        <w:rPr>
          <w:u w:val="none"/>
        </w:rPr>
        <w:t xml:space="preserve"> </w:t>
      </w:r>
      <w:r w:rsidRPr="006E1084">
        <w:rPr>
          <w:u w:val="none"/>
        </w:rPr>
        <w:t>«</w:t>
      </w:r>
      <w:hyperlink r:id="rId26" w:history="1">
        <w:r w:rsidRPr="006E1084">
          <w:rPr>
            <w:rStyle w:val="Hyperlink"/>
            <w:u w:val="none"/>
          </w:rPr>
          <w:t>предварительную версию</w:t>
        </w:r>
      </w:hyperlink>
      <w:r w:rsidRPr="006E1084">
        <w:rPr>
          <w:u w:val="none"/>
        </w:rPr>
        <w:t xml:space="preserve">» с пилотной группой примеров практик обеспечения безопасности, был представлен на заседании 20.COM (Решение </w:t>
      </w:r>
      <w:hyperlink r:id="rId27" w:history="1">
        <w:r w:rsidRPr="006E1084">
          <w:rPr>
            <w:rStyle w:val="Hyperlink"/>
          </w:rPr>
          <w:t>20.COM 11</w:t>
        </w:r>
      </w:hyperlink>
      <w:r w:rsidRPr="006E1084">
        <w:rPr>
          <w:u w:val="none"/>
        </w:rPr>
        <w:t>).</w:t>
      </w:r>
    </w:p>
    <w:p w14:paraId="416EE786" w14:textId="64E1BB0F" w:rsidR="00441941" w:rsidRPr="006E1084" w:rsidRDefault="00441941" w:rsidP="009E0AD6">
      <w:pPr>
        <w:pStyle w:val="COMParaDecision"/>
        <w:numPr>
          <w:ilvl w:val="0"/>
          <w:numId w:val="23"/>
        </w:numPr>
        <w:ind w:left="567" w:hanging="567"/>
        <w:rPr>
          <w:u w:val="none"/>
        </w:rPr>
      </w:pPr>
      <w:r w:rsidRPr="006E1084">
        <w:rPr>
          <w:u w:val="none"/>
        </w:rPr>
        <w:t>Услуги по управлению знаниями в рамках Конвенции были организованы с целью обеспечения ее эффективного управления, а также повышения безопасности и доступности. Сюда входит, в частности, обеспечение бесперебойной работы интерфейса для подачи периодической отчетности в электронном виде, которым в 2024 году пользовались государства-участники в Азиатско-Тихоокеанском регионе, а также разработка функциональных возможностей, связанных с итогами глобального анализа механизмов включения в перечень Конвенции. Кроме того, в открытом доступе и в удобных для пользователей форматах были размещены различные образовательные материалы и инструменты по управлению информацией, посвященные различным аспектам осуществления Конвенции, в том числе с учетом Рамок общих результатов.</w:t>
      </w:r>
    </w:p>
    <w:p w14:paraId="2FE267AC" w14:textId="58B86E01" w:rsidR="00441941" w:rsidRPr="006E1084" w:rsidRDefault="00441941" w:rsidP="009E0AD6">
      <w:pPr>
        <w:pStyle w:val="COMParaDecision"/>
        <w:numPr>
          <w:ilvl w:val="0"/>
          <w:numId w:val="23"/>
        </w:numPr>
        <w:ind w:left="567" w:hanging="567"/>
        <w:rPr>
          <w:u w:val="none"/>
        </w:rPr>
      </w:pPr>
      <w:r w:rsidRPr="006E1084">
        <w:rPr>
          <w:u w:val="none"/>
        </w:rPr>
        <w:t xml:space="preserve">Повышение осведомленности о важности нематериального культурного наследия и пропаганда целей Конвенции считаются мерами по сохранению, как это определено в статье 2.3 Конвенции. Важной вехой стало провозглашение 17 октября </w:t>
      </w:r>
      <w:hyperlink r:id="rId28" w:history="1">
        <w:r w:rsidRPr="006E1084">
          <w:rPr>
            <w:rStyle w:val="Hyperlink"/>
          </w:rPr>
          <w:t>Международным днем</w:t>
        </w:r>
      </w:hyperlink>
      <w:r w:rsidRPr="006E1084">
        <w:rPr>
          <w:u w:val="none"/>
        </w:rPr>
        <w:t xml:space="preserve"> нематериального культурного наследия Генеральной конференцией ЮНЕСКО в ноябре 2023 года. В ходе первого и второго Дней нематериального культурного наследия, прошедших соответственно 17 октября 2024 года и 17 октября 2025 года, были запущены интернет-кампании, призванные привлечь внимание к более чем 200 акциям (100 акций в </w:t>
      </w:r>
      <w:hyperlink r:id="rId29" w:history="1">
        <w:r w:rsidRPr="006E1084">
          <w:rPr>
            <w:rStyle w:val="Hyperlink"/>
          </w:rPr>
          <w:t>2024 году</w:t>
        </w:r>
      </w:hyperlink>
      <w:r w:rsidRPr="006E1084">
        <w:rPr>
          <w:u w:val="none"/>
        </w:rPr>
        <w:t xml:space="preserve"> и 134 акций в </w:t>
      </w:r>
      <w:hyperlink r:id="rId30" w:history="1">
        <w:r w:rsidRPr="006E1084">
          <w:rPr>
            <w:rStyle w:val="Hyperlink"/>
          </w:rPr>
          <w:t>2025 году</w:t>
        </w:r>
      </w:hyperlink>
      <w:r w:rsidRPr="006E1084">
        <w:rPr>
          <w:u w:val="none"/>
        </w:rPr>
        <w:t>), организованным по всему миру государствами-участниками, общинами, НПО, культурными учреждениями, центрами категории 2, кафедрами ЮНЕСКО и участниками образовательного процесса, с целью подчеркнуть разнообразие и богатство живого наследия и повысить осведомленность о важности его охраны.</w:t>
      </w:r>
    </w:p>
    <w:p w14:paraId="69B6D8EE" w14:textId="561E26FB" w:rsidR="00BA22C0" w:rsidRPr="006E1084" w:rsidRDefault="00BA22C0" w:rsidP="009E0AD6">
      <w:pPr>
        <w:pStyle w:val="COMParaDecision"/>
        <w:numPr>
          <w:ilvl w:val="0"/>
          <w:numId w:val="23"/>
        </w:numPr>
        <w:ind w:left="567" w:hanging="567"/>
        <w:rPr>
          <w:u w:val="none"/>
        </w:rPr>
      </w:pPr>
      <w:r w:rsidRPr="006E1084">
        <w:rPr>
          <w:u w:val="none"/>
        </w:rPr>
        <w:lastRenderedPageBreak/>
        <w:t>В соответствии с практикой, введенной в 2020 году, на сессиях 19.COM и 20.COM был рассмотрен «Доклад форума неправительственных организаций» в рамках отдельного пункта повестки дня. Завершив первый этап анализа компетенций 60 аккредитованных НПО и его визуализации на веб-сайте Конвенции (2021–2023 гг.), Форум НПО по НКН в сотрудничестве с Секретариатом приступил к реализации второго этапа этого проекта в соответствии с просьбой 19-й сессии Комитета (Решение</w:t>
      </w:r>
      <w:r w:rsidR="00F439A8" w:rsidRPr="006E1084">
        <w:rPr>
          <w:u w:val="none"/>
        </w:rPr>
        <w:t xml:space="preserve"> </w:t>
      </w:r>
      <w:hyperlink r:id="rId31" w:history="1">
        <w:r w:rsidRPr="006E1084">
          <w:rPr>
            <w:rStyle w:val="Hyperlink"/>
          </w:rPr>
          <w:t>19.COM 13</w:t>
        </w:r>
      </w:hyperlink>
      <w:r w:rsidRPr="006E1084">
        <w:rPr>
          <w:u w:val="none"/>
        </w:rPr>
        <w:t>) с целью представления характеристик еще 100 аккредитованных НПО, что позволит повысить узнаваемость НПО и расширить возможности для обмена и совместного использования знаний.</w:t>
      </w:r>
    </w:p>
    <w:p w14:paraId="4CD3DE3B" w14:textId="2EC10FCF" w:rsidR="00BA22C0" w:rsidRPr="006E1084" w:rsidRDefault="00BA22C0" w:rsidP="00775FCC">
      <w:pPr>
        <w:widowControl w:val="0"/>
        <w:numPr>
          <w:ilvl w:val="0"/>
          <w:numId w:val="24"/>
        </w:numPr>
        <w:tabs>
          <w:tab w:val="num" w:pos="567"/>
        </w:tabs>
        <w:snapToGrid w:val="0"/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E1084">
        <w:rPr>
          <w:rFonts w:ascii="Arial" w:hAnsi="Arial"/>
          <w:b/>
          <w:sz w:val="22"/>
        </w:rPr>
        <w:t>Подготовка проекта плана использования средств Фонда и изыскание путей увеличения ресурсов Фонда</w:t>
      </w:r>
      <w:r w:rsidRPr="006E1084">
        <w:rPr>
          <w:rFonts w:ascii="Arial" w:hAnsi="Arial"/>
          <w:sz w:val="22"/>
        </w:rPr>
        <w:t xml:space="preserve"> (статьи 7[c] и 7[d])</w:t>
      </w:r>
    </w:p>
    <w:p w14:paraId="1CC1C15C" w14:textId="1A1459C1" w:rsidR="00BA22C0" w:rsidRPr="006E1084" w:rsidRDefault="00BA22C0" w:rsidP="009E0AD6">
      <w:pPr>
        <w:pStyle w:val="COMParaDecision"/>
        <w:numPr>
          <w:ilvl w:val="0"/>
          <w:numId w:val="23"/>
        </w:numPr>
        <w:ind w:hanging="502"/>
        <w:rPr>
          <w:u w:val="none"/>
        </w:rPr>
      </w:pPr>
      <w:r w:rsidRPr="006E1084">
        <w:rPr>
          <w:u w:val="none"/>
        </w:rPr>
        <w:t xml:space="preserve">На своей двадцатой сессии Комитет рассмотрел проект плана использования средств Фонда на период с 1 января 2026 года по 31 декабря 2027 года и, на предварительной основе, на первое полугодие 2028 года (решение </w:t>
      </w:r>
      <w:hyperlink r:id="rId32" w:history="1">
        <w:r w:rsidRPr="006E1084">
          <w:rPr>
            <w:rStyle w:val="Hyperlink"/>
            <w:rFonts w:asciiTheme="minorBidi" w:hAnsiTheme="minorBidi"/>
          </w:rPr>
          <w:t>20.COM 14</w:t>
        </w:r>
      </w:hyperlink>
      <w:r w:rsidRPr="006E1084">
        <w:rPr>
          <w:u w:val="none"/>
        </w:rPr>
        <w:t xml:space="preserve">). В соответствии с процедурой утверждения «Других функций Комитета», введенной Комитетом в 2019 году (решение </w:t>
      </w:r>
      <w:hyperlink r:id="rId33" w:history="1">
        <w:r w:rsidRPr="006E1084">
          <w:rPr>
            <w:rStyle w:val="Hyperlink"/>
          </w:rPr>
          <w:t>14.COM 7</w:t>
        </w:r>
      </w:hyperlink>
      <w:r w:rsidRPr="006E1084">
        <w:rPr>
          <w:u w:val="none"/>
        </w:rPr>
        <w:t xml:space="preserve">), проект плана был представлен с процентной разбивкой по бюджетной статье «Другие функции Комитета» с учетом ожидаемых результатов в соответствии с утвержденным документом C/5. Этот проект плана будет представлен на 11-й сессии Генеральной Ассамблеи в 2026 году для утверждения. Наибольшая доля средств по-прежнему выделяется на международную помощь (подробный план см. в документе </w:t>
      </w:r>
      <w:hyperlink r:id="rId34" w:history="1">
        <w:r w:rsidRPr="006E1084">
          <w:rPr>
            <w:rStyle w:val="Hyperlink"/>
            <w:rFonts w:asciiTheme="minorBidi" w:hAnsiTheme="minorBidi"/>
          </w:rPr>
          <w:t>LHE/25/20.COM/14</w:t>
        </w:r>
      </w:hyperlink>
      <w:r w:rsidRPr="006E1084">
        <w:rPr>
          <w:u w:val="none"/>
        </w:rPr>
        <w:t>).</w:t>
      </w:r>
    </w:p>
    <w:p w14:paraId="7142F65D" w14:textId="661CB606" w:rsidR="0087295E" w:rsidRPr="006E1084" w:rsidRDefault="00BA22C0" w:rsidP="0082186A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  <w:rPr>
          <w:szCs w:val="22"/>
        </w:rPr>
      </w:pPr>
      <w:r w:rsidRPr="006E1084">
        <w:rPr>
          <w:rFonts w:asciiTheme="minorBidi" w:hAnsiTheme="minorBidi"/>
        </w:rPr>
        <w:t xml:space="preserve">В отчетный период в Фонд поступили добровольные дополнительные взносы в размере 299 846 долларов США от Королевства Нидерландов, Сент-Винсента и Гренадин и </w:t>
      </w:r>
      <w:proofErr w:type="gramStart"/>
      <w:r w:rsidRPr="006E1084">
        <w:rPr>
          <w:rFonts w:asciiTheme="minorBidi" w:hAnsiTheme="minorBidi"/>
        </w:rPr>
        <w:t>Швеции</w:t>
      </w:r>
      <w:proofErr w:type="gramEnd"/>
      <w:r w:rsidRPr="006E1084">
        <w:rPr>
          <w:rFonts w:asciiTheme="minorBidi" w:hAnsiTheme="minorBidi"/>
        </w:rPr>
        <w:t xml:space="preserve"> предназначенные для финансирования программных мероприятий, а также для конкретных </w:t>
      </w:r>
      <w:proofErr w:type="gramStart"/>
      <w:r w:rsidRPr="006E1084">
        <w:rPr>
          <w:rFonts w:asciiTheme="minorBidi" w:hAnsiTheme="minorBidi"/>
        </w:rPr>
        <w:t>целей..</w:t>
      </w:r>
      <w:proofErr w:type="gramEnd"/>
      <w:r w:rsidRPr="006E1084">
        <w:rPr>
          <w:rFonts w:asciiTheme="minorBidi" w:hAnsiTheme="minorBidi"/>
        </w:rPr>
        <w:t xml:space="preserve"> </w:t>
      </w:r>
      <w:r w:rsidRPr="006E1084">
        <w:t xml:space="preserve">Кроме того, в </w:t>
      </w:r>
      <w:proofErr w:type="spellStart"/>
      <w:r w:rsidRPr="006E1084">
        <w:t>Субфонд</w:t>
      </w:r>
      <w:proofErr w:type="spellEnd"/>
      <w:r w:rsidRPr="006E1084">
        <w:t xml:space="preserve"> Фонда, предназначенный исключительно для укрепления кадрового потенциала Секретариата, также поступили взносы в размере 238 113 долларов США от Франции, Литвы, Монако, Словении и Соединенного Королевства Великобритании и Северной Ирландии (документ </w:t>
      </w:r>
      <w:hyperlink r:id="rId35" w:history="1">
        <w:r w:rsidRPr="006E1084">
          <w:rPr>
            <w:rStyle w:val="Hyperlink"/>
            <w:rFonts w:asciiTheme="minorBidi" w:hAnsiTheme="minorBidi"/>
          </w:rPr>
          <w:t>LHE/25/20.COM/INF.14</w:t>
        </w:r>
      </w:hyperlink>
      <w:r w:rsidRPr="006E1084">
        <w:rPr>
          <w:rFonts w:asciiTheme="minorBidi" w:hAnsiTheme="minorBidi"/>
        </w:rPr>
        <w:t xml:space="preserve">). </w:t>
      </w:r>
      <w:r w:rsidRPr="006E1084">
        <w:t>На заседании 20.COM были утверждены два приоритетных направления финансирования Конвенции на период 2022–2025 годов. В то же время на 20-й сессии Комитета (20.COM) были определены два новых приоритета финансирования на период 2026–2029 годов (Решения</w:t>
      </w:r>
      <w:r w:rsidRPr="006E1084">
        <w:rPr>
          <w:rStyle w:val="Hyperlink"/>
          <w:color w:val="auto"/>
          <w:u w:val="none"/>
        </w:rPr>
        <w:t xml:space="preserve"> </w:t>
      </w:r>
      <w:hyperlink r:id="rId36" w:history="1">
        <w:r w:rsidRPr="006E1084">
          <w:rPr>
            <w:rStyle w:val="Hyperlink"/>
          </w:rPr>
          <w:t>20.COM 13</w:t>
        </w:r>
      </w:hyperlink>
      <w:r w:rsidRPr="006E1084">
        <w:t>), а именно: «Совершенствование подходов к укреплению потенциала в целях охраны нематериального культурного наследия с упором на благополучие населения и расширение прав и возможностей общин» (приоритет финансирования A) и «Уточнение подходов к охране нематериального культурного наследия» (приоритет финансирования B).</w:t>
      </w:r>
    </w:p>
    <w:p w14:paraId="3EF65E58" w14:textId="7ABFD433" w:rsidR="00935FFC" w:rsidRPr="006E1084" w:rsidRDefault="00935FFC" w:rsidP="00935FFC">
      <w:pPr>
        <w:keepNext/>
        <w:numPr>
          <w:ilvl w:val="0"/>
          <w:numId w:val="24"/>
        </w:numPr>
        <w:tabs>
          <w:tab w:val="clear" w:pos="720"/>
          <w:tab w:val="num" w:pos="567"/>
        </w:tabs>
        <w:spacing w:before="240" w:after="120"/>
        <w:ind w:left="562" w:hanging="562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Рассмотрение докладов государств-участников</w:t>
      </w:r>
      <w:r w:rsidRPr="006E1084">
        <w:rPr>
          <w:rFonts w:ascii="Arial" w:hAnsi="Arial"/>
          <w:sz w:val="22"/>
        </w:rPr>
        <w:t xml:space="preserve"> (статья 7[f])</w:t>
      </w:r>
    </w:p>
    <w:p w14:paraId="379ED843" w14:textId="61B12538" w:rsidR="001A1E2D" w:rsidRPr="006E1084" w:rsidRDefault="001A1E2D" w:rsidP="009E0AD6">
      <w:pPr>
        <w:pStyle w:val="COMParaDecision"/>
        <w:numPr>
          <w:ilvl w:val="0"/>
          <w:numId w:val="23"/>
        </w:numPr>
        <w:ind w:hanging="502"/>
        <w:rPr>
          <w:u w:val="none"/>
        </w:rPr>
      </w:pPr>
      <w:r w:rsidRPr="006E1084">
        <w:rPr>
          <w:u w:val="none"/>
        </w:rPr>
        <w:t xml:space="preserve">Комитет рассмотрел двадцать шесть докладов о состоянии объектов, включенных в Список объектов, требующих неотложных мер по сохранению: восемнадцать — на 19-й сессии Комитета в 2024 году и восемь — на 20-й сессии Комитета в 2025 году. При рассмотрении этих докладов Комитет признал улучшение состояния некоторых включенных в список элементов, в отношении которых, согласно представленным данным, отпала необходимость в срочной охране, и принял к сведению заявления тех государств-участников, которые выразили желание перенести элементы из Списка объектов, нуждающихся в срочной охране, в Репрезентативный список (Решение </w:t>
      </w:r>
      <w:hyperlink r:id="rId37" w:history="1">
        <w:r w:rsidRPr="006E1084">
          <w:rPr>
            <w:rStyle w:val="Hyperlink"/>
          </w:rPr>
          <w:t>19.COM 6.a</w:t>
        </w:r>
      </w:hyperlink>
      <w:r w:rsidRPr="006E1084">
        <w:rPr>
          <w:u w:val="none"/>
        </w:rPr>
        <w:t xml:space="preserve">), причем два из них были рассмотрены на сессии 20.COM (Решения </w:t>
      </w:r>
      <w:hyperlink r:id="rId38" w:history="1">
        <w:r w:rsidRPr="006E1084">
          <w:rPr>
            <w:rStyle w:val="Hyperlink"/>
          </w:rPr>
          <w:t>20.COM 7.c.1</w:t>
        </w:r>
      </w:hyperlink>
      <w:r w:rsidRPr="006E1084">
        <w:rPr>
          <w:u w:val="none"/>
        </w:rPr>
        <w:t xml:space="preserve"> и </w:t>
      </w:r>
      <w:hyperlink r:id="rId39" w:history="1">
        <w:r w:rsidRPr="006E1084">
          <w:rPr>
            <w:rStyle w:val="Hyperlink"/>
          </w:rPr>
          <w:t>20.COM 7.c.2</w:t>
        </w:r>
      </w:hyperlink>
      <w:r w:rsidRPr="006E1084">
        <w:rPr>
          <w:u w:val="none"/>
        </w:rPr>
        <w:t>).</w:t>
      </w:r>
    </w:p>
    <w:p w14:paraId="46AB4E6E" w14:textId="1FA98C29" w:rsidR="001A1E2D" w:rsidRPr="006E1084" w:rsidRDefault="001A1E2D" w:rsidP="009E0AD6">
      <w:pPr>
        <w:pStyle w:val="COMParaDecision"/>
        <w:numPr>
          <w:ilvl w:val="0"/>
          <w:numId w:val="23"/>
        </w:numPr>
        <w:ind w:hanging="502"/>
        <w:rPr>
          <w:u w:val="none"/>
        </w:rPr>
      </w:pPr>
      <w:r w:rsidRPr="006E1084">
        <w:rPr>
          <w:u w:val="none"/>
        </w:rPr>
        <w:t xml:space="preserve">Что касается системы периодической отчетности об осуществлении Конвенции, то Комитет рассмотрел в общей сложности 82 доклада, представленных последними двумя регионами, завершив тем самым рассмотрение докладов в рамках этого первого регионального цикла: на 19-й сессии Комитета были рассмотрены доклады, представленные всеми сорока четырьмя государствами-участниками из Африки (Решение </w:t>
      </w:r>
      <w:hyperlink r:id="rId40" w:history="1">
        <w:r w:rsidRPr="006E1084">
          <w:rPr>
            <w:rStyle w:val="Hyperlink"/>
          </w:rPr>
          <w:t>19.COM 6.b</w:t>
        </w:r>
      </w:hyperlink>
      <w:r w:rsidRPr="006E1084">
        <w:rPr>
          <w:u w:val="none"/>
        </w:rPr>
        <w:t xml:space="preserve">), а на 20-й сессии Комитета были рассмотрены доклады, </w:t>
      </w:r>
      <w:r w:rsidRPr="006E1084">
        <w:rPr>
          <w:u w:val="none"/>
        </w:rPr>
        <w:lastRenderedPageBreak/>
        <w:t xml:space="preserve">представленные тридцатью восемью из сорока двух государств-участников из Азии и Тихоокеанского региона (Решение </w:t>
      </w:r>
      <w:hyperlink r:id="rId41" w:history="1">
        <w:r w:rsidRPr="006E1084">
          <w:rPr>
            <w:rStyle w:val="Hyperlink"/>
            <w:rFonts w:asciiTheme="minorBidi" w:hAnsiTheme="minorBidi"/>
          </w:rPr>
          <w:t>20.COM 6.b</w:t>
        </w:r>
      </w:hyperlink>
      <w:r w:rsidRPr="006E1084">
        <w:rPr>
          <w:u w:val="none"/>
        </w:rPr>
        <w:t>). С начала текущего отчетного цикла в 2021 году было представлено 172 из 182 ожидаемых отчетов, что соответствует показателю представления отчетов в размере 95 % за весь первый цикл.</w:t>
      </w:r>
    </w:p>
    <w:p w14:paraId="6DD3CA0F" w14:textId="540BC19C" w:rsidR="001A1E2D" w:rsidRPr="006E1084" w:rsidRDefault="001A1E2D" w:rsidP="009E0AD6">
      <w:pPr>
        <w:pStyle w:val="COMParaDecision"/>
        <w:numPr>
          <w:ilvl w:val="0"/>
          <w:numId w:val="23"/>
        </w:numPr>
        <w:ind w:hanging="502"/>
        <w:rPr>
          <w:u w:val="none"/>
        </w:rPr>
      </w:pPr>
      <w:r w:rsidRPr="006E1084">
        <w:rPr>
          <w:u w:val="none"/>
        </w:rPr>
        <w:t xml:space="preserve">Кроме того, Комитет рассмотрел пути оптимизации механизма периодической отчетности в рамках перехода к единой глобальной системе представления отчетности. Всем государствам-участникам будет предложено представлять свои доклады об осуществлении Конвенции и о текущем состоянии элементов, включенных в Репрезентативный список и Список объектов, требующих неотложной охраны, не позднее 30 июня 2027 года, а впоследствии — каждые четыре года (Решения </w:t>
      </w:r>
      <w:hyperlink r:id="rId42" w:history="1">
        <w:r w:rsidRPr="006E1084">
          <w:rPr>
            <w:rStyle w:val="Hyperlink"/>
          </w:rPr>
          <w:t>19.COM 6.c</w:t>
        </w:r>
      </w:hyperlink>
      <w:r w:rsidRPr="006E1084">
        <w:rPr>
          <w:u w:val="none"/>
        </w:rPr>
        <w:t xml:space="preserve"> и </w:t>
      </w:r>
      <w:hyperlink r:id="rId43" w:history="1">
        <w:r w:rsidRPr="006E1084">
          <w:rPr>
            <w:rStyle w:val="Hyperlink"/>
            <w:rFonts w:asciiTheme="minorBidi" w:hAnsiTheme="minorBidi"/>
          </w:rPr>
          <w:t>20.COM 6.c</w:t>
        </w:r>
      </w:hyperlink>
      <w:r w:rsidRPr="006E1084">
        <w:rPr>
          <w:u w:val="none"/>
        </w:rPr>
        <w:t>). Эта инициатива соответствует обязательству Сектора культуры ЮНЕСКО по подготовке четырехгодичного Глобального доклада о культурной политике в соответствии с</w:t>
      </w:r>
      <w:r w:rsidRPr="006E1084">
        <w:t xml:space="preserve"> </w:t>
      </w:r>
      <w:hyperlink r:id="rId44" w:history="1">
        <w:r w:rsidRPr="006E1084">
          <w:rPr>
            <w:rStyle w:val="Hyperlink"/>
          </w:rPr>
          <w:t>Декларацией</w:t>
        </w:r>
      </w:hyperlink>
      <w:r w:rsidRPr="006E1084">
        <w:t xml:space="preserve"> </w:t>
      </w:r>
      <w:r w:rsidRPr="006E1084">
        <w:rPr>
          <w:u w:val="none"/>
        </w:rPr>
        <w:t>МОНДИАКУЛЬТ 2022.</w:t>
      </w:r>
    </w:p>
    <w:p w14:paraId="12368C49" w14:textId="1432ABCA" w:rsidR="00935FFC" w:rsidRPr="006E1084" w:rsidRDefault="00935FFC" w:rsidP="00935FFC">
      <w:pPr>
        <w:widowControl w:val="0"/>
        <w:numPr>
          <w:ilvl w:val="0"/>
          <w:numId w:val="24"/>
        </w:numPr>
        <w:tabs>
          <w:tab w:val="clear" w:pos="720"/>
        </w:tabs>
        <w:spacing w:before="24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sz w:val="22"/>
        </w:rPr>
        <w:t>Включение в списки Конвенции, отбор передового опыта по сохранению наследия и предоставления международной помощи</w:t>
      </w:r>
      <w:r w:rsidRPr="006E1084">
        <w:rPr>
          <w:rFonts w:ascii="Arial" w:hAnsi="Arial"/>
          <w:sz w:val="22"/>
        </w:rPr>
        <w:t xml:space="preserve"> (статья 7[g])</w:t>
      </w:r>
    </w:p>
    <w:p w14:paraId="2A100008" w14:textId="0E931625" w:rsidR="00552DFC" w:rsidRPr="006E1084" w:rsidRDefault="00552DFC" w:rsidP="004F2D41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  <w:rPr>
          <w:rFonts w:asciiTheme="minorBidi" w:hAnsiTheme="minorBidi"/>
          <w:szCs w:val="22"/>
        </w:rPr>
      </w:pPr>
      <w:r w:rsidRPr="006E1084">
        <w:rPr>
          <w:rFonts w:asciiTheme="minorBidi" w:hAnsiTheme="minorBidi"/>
        </w:rPr>
        <w:t>За отчетный период Комитет включил, перенес или отобрал в общей сложности 135</w:t>
      </w:r>
      <w:r w:rsidRPr="006E1084">
        <w:rPr>
          <w:rFonts w:asciiTheme="minorBidi" w:hAnsiTheme="minorBidi"/>
          <w:color w:val="FF0000"/>
        </w:rPr>
        <w:t xml:space="preserve"> </w:t>
      </w:r>
      <w:r w:rsidRPr="006E1084">
        <w:rPr>
          <w:rFonts w:asciiTheme="minorBidi" w:hAnsiTheme="minorBidi"/>
        </w:rPr>
        <w:t>объектов в списки и реестр Конвенции: 13 объектов в Списке объектов, требующих неотложной охраны (три из которых сопровождались просьбой о международной помощи), 111 объектов в Репрезентативном списке, включая 11 объектов, включенных в список на расширенной основе. Кроме того, еще пять объектов были перенесены из Списка объектов, требующих неотложной охраны, в Репрезентативный список в знак признания улучшения их состояния с момента первоначального включения в список. Комитет также отобрал шесть программ для включения в Реестр передовой практики в области защиты, в том числе два примера практической деятельности в этой сфере, связанные с переносом из Списка неотложных мер по защите в Репрезентативный список.</w:t>
      </w:r>
    </w:p>
    <w:p w14:paraId="7A6A93F8" w14:textId="6D825A1F" w:rsidR="00935FFC" w:rsidRPr="006E1084" w:rsidRDefault="00935FFC" w:rsidP="00935FFC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  <w:rPr>
          <w:rFonts w:cs="Arial"/>
          <w:szCs w:val="22"/>
        </w:rPr>
      </w:pPr>
      <w:r w:rsidRPr="006E1084">
        <w:t>Комитет (для запросов на сумму свыше 100 000 долларов США) и Президиум (для запросов на сумму до 100 000 долларов США и чрезвычайных запросов) утвердили двадцать семь запросов на международную помощь на общую сумму 1 993 676 долл. США в интересах тридцати одной страны. В целом за отчетный период финансовую помощь из Фонда получили в общей сложности тридцать семь государств-участников.</w:t>
      </w:r>
    </w:p>
    <w:p w14:paraId="5B93AA33" w14:textId="72B149F8" w:rsidR="00CB22B9" w:rsidRPr="006E1084" w:rsidRDefault="00CB22B9" w:rsidP="009E0AD6">
      <w:pPr>
        <w:pStyle w:val="Marge"/>
        <w:numPr>
          <w:ilvl w:val="0"/>
          <w:numId w:val="23"/>
        </w:numPr>
        <w:tabs>
          <w:tab w:val="clear" w:pos="502"/>
          <w:tab w:val="num" w:pos="567"/>
        </w:tabs>
        <w:spacing w:before="120" w:after="120"/>
        <w:ind w:left="567" w:hanging="567"/>
        <w:rPr>
          <w:rFonts w:asciiTheme="minorBidi" w:hAnsiTheme="minorBidi" w:cstheme="minorBidi"/>
        </w:rPr>
      </w:pPr>
      <w:r w:rsidRPr="006E1084">
        <w:t xml:space="preserve">Следуя рекомендациям межправительственных рабочих групп открытого состава, выработанным в рамках глобального анализа механизмов включения в списки (2018–2022 гг.) и в рамках обсуждения вопроса о более широком применении статьи 18 (2023 г.), 10-я Генеральная ассамблея одобрила поправки к Оперативному руководству (Резолюция </w:t>
      </w:r>
      <w:hyperlink r:id="rId45" w:history="1">
        <w:r w:rsidRPr="006E1084">
          <w:rPr>
            <w:rStyle w:val="Hyperlink"/>
            <w:rFonts w:asciiTheme="minorBidi" w:hAnsiTheme="minorBidi"/>
          </w:rPr>
          <w:t>10.GA 7</w:t>
        </w:r>
      </w:hyperlink>
      <w:r w:rsidRPr="006E1084">
        <w:rPr>
          <w:rFonts w:asciiTheme="minorBidi" w:hAnsiTheme="minorBidi"/>
        </w:rPr>
        <w:t xml:space="preserve">), утвержденному восемнадцатой сессией Комитета (Решения </w:t>
      </w:r>
      <w:hyperlink r:id="rId46" w:history="1">
        <w:r w:rsidRPr="006E1084">
          <w:rPr>
            <w:rStyle w:val="Hyperlink"/>
            <w:rFonts w:asciiTheme="minorBidi" w:hAnsiTheme="minorBidi"/>
          </w:rPr>
          <w:t>18.COM 10</w:t>
        </w:r>
      </w:hyperlink>
      <w:r w:rsidRPr="006E1084">
        <w:rPr>
          <w:rFonts w:asciiTheme="minorBidi" w:hAnsiTheme="minorBidi"/>
        </w:rPr>
        <w:t xml:space="preserve"> и </w:t>
      </w:r>
      <w:hyperlink r:id="rId47" w:history="1">
        <w:r w:rsidRPr="006E1084">
          <w:rPr>
            <w:rStyle w:val="Hyperlink"/>
            <w:rFonts w:asciiTheme="minorBidi" w:hAnsiTheme="minorBidi"/>
          </w:rPr>
          <w:t>18.COM 11</w:t>
        </w:r>
      </w:hyperlink>
      <w:r w:rsidRPr="006E1084">
        <w:rPr>
          <w:rFonts w:asciiTheme="minorBidi" w:hAnsiTheme="minorBidi"/>
        </w:rPr>
        <w:t>). Эти реформы направлены на упрощение критериев отбора для Реестра передовой практики сохранения в соответствии с разделом I.3 (новые критерии вступят в силу начиная с цикла 2026 года), а также расширения сферы применения подготовительной международной помощи в соответствии с главой I.7 путем предоставления государствам-участникам, на территории которых отсутствуют элементы нематериального культурного наследия, уже включенные в Репрезентативный список (за исключением элементов, предлагаемых в рамках многонациональных номинаций), возможности запрашивать международную помощь для подготовки досье о номинации в этот список. Первые пять таких запросов были одобрены Президиумом 11 июня 2025 года.</w:t>
      </w:r>
    </w:p>
    <w:p w14:paraId="35D21FC6" w14:textId="77777777" w:rsidR="003F6063" w:rsidRPr="006E1084" w:rsidRDefault="003F6063" w:rsidP="009E0AD6">
      <w:pPr>
        <w:widowControl w:val="0"/>
        <w:numPr>
          <w:ilvl w:val="0"/>
          <w:numId w:val="24"/>
        </w:numPr>
        <w:tabs>
          <w:tab w:val="clear" w:pos="720"/>
        </w:tabs>
        <w:spacing w:before="24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E1084">
        <w:rPr>
          <w:rFonts w:ascii="Arial" w:hAnsi="Arial"/>
          <w:b/>
          <w:bCs/>
          <w:sz w:val="22"/>
        </w:rPr>
        <w:t>Подготовка Оперативного руководства по осуществлению Конвенции</w:t>
      </w:r>
      <w:r w:rsidRPr="006E1084">
        <w:rPr>
          <w:rFonts w:ascii="Arial" w:hAnsi="Arial"/>
          <w:sz w:val="22"/>
        </w:rPr>
        <w:t xml:space="preserve"> (Статья 7[e])</w:t>
      </w:r>
    </w:p>
    <w:p w14:paraId="56C672BB" w14:textId="04403CDD" w:rsidR="00F7173B" w:rsidRPr="006E1084" w:rsidRDefault="00F7173B" w:rsidP="00775FCC">
      <w:pPr>
        <w:pStyle w:val="Marge"/>
        <w:numPr>
          <w:ilvl w:val="0"/>
          <w:numId w:val="23"/>
        </w:numPr>
        <w:tabs>
          <w:tab w:val="clear" w:pos="502"/>
          <w:tab w:val="clear" w:pos="567"/>
        </w:tabs>
        <w:spacing w:before="120" w:after="120"/>
        <w:ind w:left="567" w:hanging="567"/>
        <w:rPr>
          <w:rFonts w:asciiTheme="minorBidi" w:hAnsiTheme="minorBidi"/>
          <w:szCs w:val="22"/>
        </w:rPr>
      </w:pPr>
      <w:r w:rsidRPr="006E1084">
        <w:t xml:space="preserve">В течение отчетного периода Комитет также рекомендовал Генеральной Ассамблее утвердить поправки к Оперативным директивам, касающиеся графика рассмотрения досье по кандидатурам (Решение </w:t>
      </w:r>
      <w:hyperlink r:id="rId48" w:history="1">
        <w:r w:rsidRPr="006E1084">
          <w:rPr>
            <w:rStyle w:val="Hyperlink"/>
            <w:rFonts w:asciiTheme="minorBidi" w:hAnsiTheme="minorBidi"/>
          </w:rPr>
          <w:t>20.COM 8</w:t>
        </w:r>
      </w:hyperlink>
      <w:r w:rsidRPr="006E1084">
        <w:rPr>
          <w:rFonts w:asciiTheme="minorBidi" w:hAnsiTheme="minorBidi"/>
        </w:rPr>
        <w:t>), а также в целях содействия переходу к единой глобальной системе представления периодической отчетности (Решение</w:t>
      </w:r>
      <w:r w:rsidRPr="006E1084">
        <w:t xml:space="preserve"> </w:t>
      </w:r>
      <w:hyperlink r:id="rId49" w:history="1">
        <w:r w:rsidRPr="006E1084">
          <w:rPr>
            <w:rStyle w:val="Hyperlink"/>
            <w:rFonts w:asciiTheme="minorBidi" w:hAnsiTheme="minorBidi"/>
          </w:rPr>
          <w:t>20.COM 6.c</w:t>
        </w:r>
      </w:hyperlink>
      <w:r w:rsidRPr="006E1084">
        <w:rPr>
          <w:rFonts w:asciiTheme="minorBidi" w:hAnsiTheme="minorBidi"/>
        </w:rPr>
        <w:t>).</w:t>
      </w:r>
    </w:p>
    <w:sectPr w:rsidR="00F7173B" w:rsidRPr="006E1084" w:rsidSect="00655736">
      <w:headerReference w:type="even" r:id="rId50"/>
      <w:headerReference w:type="default" r:id="rId51"/>
      <w:headerReference w:type="first" r:id="rId5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297A" w14:textId="77777777" w:rsidR="00917EB5" w:rsidRDefault="00917EB5" w:rsidP="00655736">
      <w:r>
        <w:separator/>
      </w:r>
    </w:p>
  </w:endnote>
  <w:endnote w:type="continuationSeparator" w:id="0">
    <w:p w14:paraId="1943794B" w14:textId="77777777" w:rsidR="00917EB5" w:rsidRDefault="00917EB5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F413" w14:textId="77777777" w:rsidR="00917EB5" w:rsidRDefault="00917EB5" w:rsidP="00655736">
      <w:r>
        <w:separator/>
      </w:r>
    </w:p>
  </w:footnote>
  <w:footnote w:type="continuationSeparator" w:id="0">
    <w:p w14:paraId="670100EF" w14:textId="77777777" w:rsidR="00917EB5" w:rsidRDefault="00917EB5" w:rsidP="00655736">
      <w:r>
        <w:continuationSeparator/>
      </w:r>
    </w:p>
  </w:footnote>
  <w:footnote w:id="1">
    <w:p w14:paraId="200EBC41" w14:textId="3BC545D6" w:rsidR="00A6511E" w:rsidRPr="00562BD0" w:rsidRDefault="00A6511E" w:rsidP="009E0AD6">
      <w:pPr>
        <w:pStyle w:val="FootnoteText"/>
        <w:ind w:left="567" w:hanging="567"/>
        <w:jc w:val="both"/>
        <w:rPr>
          <w:rFonts w:ascii="Arial" w:hAnsi="Arial" w:cs="Arial"/>
          <w:sz w:val="18"/>
          <w:szCs w:val="18"/>
        </w:rPr>
      </w:pPr>
      <w:r w:rsidRPr="006E1084">
        <w:rPr>
          <w:rStyle w:val="FootnoteReference"/>
          <w:rFonts w:ascii="Arial" w:hAnsi="Arial" w:cs="Arial"/>
          <w:sz w:val="18"/>
          <w:szCs w:val="18"/>
        </w:rPr>
        <w:footnoteRef/>
      </w:r>
      <w:r w:rsidRPr="006E1084">
        <w:rPr>
          <w:rFonts w:ascii="Arial" w:hAnsi="Arial"/>
          <w:sz w:val="18"/>
        </w:rPr>
        <w:t xml:space="preserve"> </w:t>
      </w:r>
      <w:r w:rsidRPr="006E1084">
        <w:rPr>
          <w:rFonts w:ascii="Arial" w:hAnsi="Arial"/>
          <w:sz w:val="18"/>
        </w:rPr>
        <w:tab/>
        <w:t>Приняв участие в первом, втором, третьем и четвертом заседаниях Президиума этого комитета, г-жа Камали не смогла прибыть на 20-ю сессию Комитета, и в качестве докладчика на этой сессии выступила Франция (в качестве заместителя председателя комитета).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1B368535" w:rsidR="00D95C4C" w:rsidRPr="00C23A97" w:rsidRDefault="00C5776D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LHE/26/11.GA/5 – страница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6E75EB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F425229" w:rsidR="00D95C4C" w:rsidRPr="0063300C" w:rsidRDefault="00C5776D" w:rsidP="00C5776D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LHE/26/11.GA/5 – страница </w:t>
    </w:r>
    <w:r w:rsidR="004A34A0" w:rsidRPr="0063300C">
      <w:rPr>
        <w:rStyle w:val="PageNumber"/>
        <w:rFonts w:ascii="Arial" w:hAnsi="Arial" w:cs="Arial"/>
        <w:sz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</w:rPr>
      <w:fldChar w:fldCharType="separate"/>
    </w:r>
    <w:r w:rsidR="00190205">
      <w:rPr>
        <w:rStyle w:val="PageNumber"/>
        <w:rFonts w:ascii="Arial" w:hAnsi="Arial" w:cs="Arial"/>
        <w:sz w:val="20"/>
      </w:rPr>
      <w:t>3</w:t>
    </w:r>
    <w:r w:rsidR="004A34A0" w:rsidRPr="0063300C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5523A94C" w:rsidR="00D95C4C" w:rsidRPr="00E95AE2" w:rsidRDefault="009E0E87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22B0AF" wp14:editId="1B523F1B">
          <wp:simplePos x="0" y="0"/>
          <wp:positionH relativeFrom="column">
            <wp:posOffset>0</wp:posOffset>
          </wp:positionH>
          <wp:positionV relativeFrom="paragraph">
            <wp:posOffset>39702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3DF77E6D" w:rsidR="00D95C4C" w:rsidRPr="00D7105A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11 GA</w:t>
    </w:r>
  </w:p>
  <w:p w14:paraId="306484B8" w14:textId="337350BE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LHE/26/11.GA/5</w:t>
    </w:r>
  </w:p>
  <w:p w14:paraId="1B4446C3" w14:textId="7F519009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>Париж, 18 мая 2026 г.</w:t>
    </w:r>
  </w:p>
  <w:p w14:paraId="255B57FF" w14:textId="71DECC64" w:rsidR="00D95C4C" w:rsidRPr="00691C9D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C4B8B1B" w14:textId="77777777" w:rsidR="00D95C4C" w:rsidRPr="00691C9D" w:rsidRDefault="00D95C4C">
    <w:pPr>
      <w:pStyle w:val="Header"/>
      <w:rPr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2DE94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E411C8"/>
    <w:multiLevelType w:val="hybridMultilevel"/>
    <w:tmpl w:val="AFC481B0"/>
    <w:lvl w:ilvl="0" w:tplc="CF1ACF6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1DD074D"/>
    <w:multiLevelType w:val="hybridMultilevel"/>
    <w:tmpl w:val="A6F23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6F7798"/>
    <w:multiLevelType w:val="hybridMultilevel"/>
    <w:tmpl w:val="1478A43C"/>
    <w:lvl w:ilvl="0" w:tplc="BE429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B35019"/>
    <w:multiLevelType w:val="multilevel"/>
    <w:tmpl w:val="BBCAB5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Arial" w:hAnsi="Arial" w:cs="Arial"/>
        <w:i w:val="0"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B7662"/>
    <w:multiLevelType w:val="hybridMultilevel"/>
    <w:tmpl w:val="F27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02847"/>
    <w:multiLevelType w:val="multilevel"/>
    <w:tmpl w:val="BBCAB5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Arial" w:hAnsi="Arial" w:cs="Arial"/>
        <w:i w:val="0"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FDC490B"/>
    <w:multiLevelType w:val="hybridMultilevel"/>
    <w:tmpl w:val="F18AE4C8"/>
    <w:lvl w:ilvl="0" w:tplc="F15A9762">
      <w:start w:val="1"/>
      <w:numFmt w:val="lowerLetter"/>
      <w:lvlText w:val="%1)"/>
      <w:lvlJc w:val="left"/>
      <w:pPr>
        <w:ind w:left="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27" w:hanging="360"/>
      </w:pPr>
    </w:lvl>
    <w:lvl w:ilvl="2" w:tplc="040C001B" w:tentative="1">
      <w:start w:val="1"/>
      <w:numFmt w:val="lowerRoman"/>
      <w:lvlText w:val="%3."/>
      <w:lvlJc w:val="right"/>
      <w:pPr>
        <w:ind w:left="1647" w:hanging="180"/>
      </w:pPr>
    </w:lvl>
    <w:lvl w:ilvl="3" w:tplc="040C000F" w:tentative="1">
      <w:start w:val="1"/>
      <w:numFmt w:val="decimal"/>
      <w:lvlText w:val="%4."/>
      <w:lvlJc w:val="left"/>
      <w:pPr>
        <w:ind w:left="2367" w:hanging="360"/>
      </w:pPr>
    </w:lvl>
    <w:lvl w:ilvl="4" w:tplc="040C0019" w:tentative="1">
      <w:start w:val="1"/>
      <w:numFmt w:val="lowerLetter"/>
      <w:lvlText w:val="%5."/>
      <w:lvlJc w:val="left"/>
      <w:pPr>
        <w:ind w:left="3087" w:hanging="360"/>
      </w:pPr>
    </w:lvl>
    <w:lvl w:ilvl="5" w:tplc="040C001B" w:tentative="1">
      <w:start w:val="1"/>
      <w:numFmt w:val="lowerRoman"/>
      <w:lvlText w:val="%6."/>
      <w:lvlJc w:val="right"/>
      <w:pPr>
        <w:ind w:left="3807" w:hanging="180"/>
      </w:pPr>
    </w:lvl>
    <w:lvl w:ilvl="6" w:tplc="040C000F" w:tentative="1">
      <w:start w:val="1"/>
      <w:numFmt w:val="decimal"/>
      <w:lvlText w:val="%7."/>
      <w:lvlJc w:val="left"/>
      <w:pPr>
        <w:ind w:left="4527" w:hanging="360"/>
      </w:pPr>
    </w:lvl>
    <w:lvl w:ilvl="7" w:tplc="040C0019" w:tentative="1">
      <w:start w:val="1"/>
      <w:numFmt w:val="lowerLetter"/>
      <w:lvlText w:val="%8."/>
      <w:lvlJc w:val="left"/>
      <w:pPr>
        <w:ind w:left="5247" w:hanging="360"/>
      </w:pPr>
    </w:lvl>
    <w:lvl w:ilvl="8" w:tplc="040C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8"/>
  </w:num>
  <w:num w:numId="2" w16cid:durableId="699629408">
    <w:abstractNumId w:val="12"/>
  </w:num>
  <w:num w:numId="3" w16cid:durableId="164177712">
    <w:abstractNumId w:val="5"/>
  </w:num>
  <w:num w:numId="4" w16cid:durableId="1416590798">
    <w:abstractNumId w:val="21"/>
  </w:num>
  <w:num w:numId="5" w16cid:durableId="1762608160">
    <w:abstractNumId w:val="20"/>
  </w:num>
  <w:num w:numId="6" w16cid:durableId="2146270374">
    <w:abstractNumId w:val="2"/>
  </w:num>
  <w:num w:numId="7" w16cid:durableId="1113592211">
    <w:abstractNumId w:val="6"/>
  </w:num>
  <w:num w:numId="8" w16cid:durableId="1920598164">
    <w:abstractNumId w:val="17"/>
  </w:num>
  <w:num w:numId="9" w16cid:durableId="1533764642">
    <w:abstractNumId w:val="11"/>
  </w:num>
  <w:num w:numId="10" w16cid:durableId="1246129">
    <w:abstractNumId w:val="13"/>
  </w:num>
  <w:num w:numId="11" w16cid:durableId="111829808">
    <w:abstractNumId w:val="16"/>
  </w:num>
  <w:num w:numId="12" w16cid:durableId="1088770206">
    <w:abstractNumId w:val="14"/>
  </w:num>
  <w:num w:numId="13" w16cid:durableId="1263951029">
    <w:abstractNumId w:val="22"/>
  </w:num>
  <w:num w:numId="14" w16cid:durableId="395903570">
    <w:abstractNumId w:val="10"/>
  </w:num>
  <w:num w:numId="15" w16cid:durableId="1857570918">
    <w:abstractNumId w:val="11"/>
  </w:num>
  <w:num w:numId="16" w16cid:durableId="248199808">
    <w:abstractNumId w:val="11"/>
  </w:num>
  <w:num w:numId="17" w16cid:durableId="350380342">
    <w:abstractNumId w:val="11"/>
  </w:num>
  <w:num w:numId="18" w16cid:durableId="944581980">
    <w:abstractNumId w:val="11"/>
  </w:num>
  <w:num w:numId="19" w16cid:durableId="772675100">
    <w:abstractNumId w:val="11"/>
  </w:num>
  <w:num w:numId="20" w16cid:durableId="1253010311">
    <w:abstractNumId w:val="11"/>
  </w:num>
  <w:num w:numId="21" w16cid:durableId="540821319">
    <w:abstractNumId w:val="4"/>
  </w:num>
  <w:num w:numId="22" w16cid:durableId="2046514942">
    <w:abstractNumId w:val="11"/>
  </w:num>
  <w:num w:numId="23" w16cid:durableId="236406030">
    <w:abstractNumId w:val="8"/>
  </w:num>
  <w:num w:numId="24" w16cid:durableId="1762335666">
    <w:abstractNumId w:val="0"/>
  </w:num>
  <w:num w:numId="25" w16cid:durableId="1089079700">
    <w:abstractNumId w:val="1"/>
  </w:num>
  <w:num w:numId="26" w16cid:durableId="1400247666">
    <w:abstractNumId w:val="9"/>
  </w:num>
  <w:num w:numId="27" w16cid:durableId="925310434">
    <w:abstractNumId w:val="3"/>
  </w:num>
  <w:num w:numId="28" w16cid:durableId="969701546">
    <w:abstractNumId w:val="7"/>
  </w:num>
  <w:num w:numId="29" w16cid:durableId="1469321499">
    <w:abstractNumId w:val="19"/>
  </w:num>
  <w:num w:numId="30" w16cid:durableId="229777206">
    <w:abstractNumId w:val="13"/>
  </w:num>
  <w:num w:numId="31" w16cid:durableId="395476013">
    <w:abstractNumId w:val="13"/>
  </w:num>
  <w:num w:numId="32" w16cid:durableId="1684700149">
    <w:abstractNumId w:val="13"/>
  </w:num>
  <w:num w:numId="33" w16cid:durableId="235015644">
    <w:abstractNumId w:val="13"/>
  </w:num>
  <w:num w:numId="34" w16cid:durableId="510996962">
    <w:abstractNumId w:val="13"/>
  </w:num>
  <w:num w:numId="35" w16cid:durableId="1019282607">
    <w:abstractNumId w:val="13"/>
  </w:num>
  <w:num w:numId="36" w16cid:durableId="650869483">
    <w:abstractNumId w:val="13"/>
  </w:num>
  <w:num w:numId="37" w16cid:durableId="1535728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24229"/>
    <w:rsid w:val="00032069"/>
    <w:rsid w:val="00037C8F"/>
    <w:rsid w:val="00041A66"/>
    <w:rsid w:val="00042D6A"/>
    <w:rsid w:val="00042D88"/>
    <w:rsid w:val="0004336A"/>
    <w:rsid w:val="000440D6"/>
    <w:rsid w:val="00045B83"/>
    <w:rsid w:val="000514B4"/>
    <w:rsid w:val="0005176E"/>
    <w:rsid w:val="00064596"/>
    <w:rsid w:val="000742FE"/>
    <w:rsid w:val="000765F7"/>
    <w:rsid w:val="0007725F"/>
    <w:rsid w:val="00077AB7"/>
    <w:rsid w:val="00081CD8"/>
    <w:rsid w:val="0009381C"/>
    <w:rsid w:val="000A2624"/>
    <w:rsid w:val="000A7F0E"/>
    <w:rsid w:val="000B1C8F"/>
    <w:rsid w:val="000B41C7"/>
    <w:rsid w:val="000B597E"/>
    <w:rsid w:val="000C0D61"/>
    <w:rsid w:val="000C35D1"/>
    <w:rsid w:val="000E2438"/>
    <w:rsid w:val="000E251A"/>
    <w:rsid w:val="000E2CA5"/>
    <w:rsid w:val="000E5E9D"/>
    <w:rsid w:val="000F3A3F"/>
    <w:rsid w:val="000F5112"/>
    <w:rsid w:val="00102407"/>
    <w:rsid w:val="00102557"/>
    <w:rsid w:val="0011108A"/>
    <w:rsid w:val="00111EB0"/>
    <w:rsid w:val="0014700A"/>
    <w:rsid w:val="00147A38"/>
    <w:rsid w:val="001607BF"/>
    <w:rsid w:val="00161579"/>
    <w:rsid w:val="00164D56"/>
    <w:rsid w:val="00167B10"/>
    <w:rsid w:val="00170B5C"/>
    <w:rsid w:val="00172986"/>
    <w:rsid w:val="0017402F"/>
    <w:rsid w:val="001900AB"/>
    <w:rsid w:val="00190205"/>
    <w:rsid w:val="00192377"/>
    <w:rsid w:val="00193C5F"/>
    <w:rsid w:val="00196C1B"/>
    <w:rsid w:val="001A1E2D"/>
    <w:rsid w:val="001A74CF"/>
    <w:rsid w:val="001B0F73"/>
    <w:rsid w:val="001B66C9"/>
    <w:rsid w:val="001C2DB7"/>
    <w:rsid w:val="001C5B95"/>
    <w:rsid w:val="001C6D37"/>
    <w:rsid w:val="001D14FE"/>
    <w:rsid w:val="001D2D51"/>
    <w:rsid w:val="001D4258"/>
    <w:rsid w:val="001D5C04"/>
    <w:rsid w:val="001E5C9C"/>
    <w:rsid w:val="001F26CF"/>
    <w:rsid w:val="0020557B"/>
    <w:rsid w:val="0021681C"/>
    <w:rsid w:val="00217B14"/>
    <w:rsid w:val="00222A2D"/>
    <w:rsid w:val="00223029"/>
    <w:rsid w:val="00233419"/>
    <w:rsid w:val="00234745"/>
    <w:rsid w:val="002351A6"/>
    <w:rsid w:val="002407AF"/>
    <w:rsid w:val="00245501"/>
    <w:rsid w:val="00254614"/>
    <w:rsid w:val="00254B26"/>
    <w:rsid w:val="0026085B"/>
    <w:rsid w:val="00260CE2"/>
    <w:rsid w:val="0026221A"/>
    <w:rsid w:val="00271973"/>
    <w:rsid w:val="0027466B"/>
    <w:rsid w:val="002768B8"/>
    <w:rsid w:val="002814F6"/>
    <w:rsid w:val="002838A5"/>
    <w:rsid w:val="00285BB4"/>
    <w:rsid w:val="00293316"/>
    <w:rsid w:val="002A445D"/>
    <w:rsid w:val="002A7A0F"/>
    <w:rsid w:val="002B77E2"/>
    <w:rsid w:val="002C09E3"/>
    <w:rsid w:val="002C0A61"/>
    <w:rsid w:val="002C5DD0"/>
    <w:rsid w:val="002C6A2C"/>
    <w:rsid w:val="002D1244"/>
    <w:rsid w:val="002E2D4F"/>
    <w:rsid w:val="002E3493"/>
    <w:rsid w:val="0030312A"/>
    <w:rsid w:val="00313283"/>
    <w:rsid w:val="003161AD"/>
    <w:rsid w:val="00335C73"/>
    <w:rsid w:val="0033715C"/>
    <w:rsid w:val="003376D9"/>
    <w:rsid w:val="00337CEB"/>
    <w:rsid w:val="0034305C"/>
    <w:rsid w:val="00344874"/>
    <w:rsid w:val="00344B58"/>
    <w:rsid w:val="0034539A"/>
    <w:rsid w:val="00345CB4"/>
    <w:rsid w:val="00346134"/>
    <w:rsid w:val="00353FB2"/>
    <w:rsid w:val="003669D2"/>
    <w:rsid w:val="00375D42"/>
    <w:rsid w:val="00376744"/>
    <w:rsid w:val="00385542"/>
    <w:rsid w:val="00386A89"/>
    <w:rsid w:val="00394DF4"/>
    <w:rsid w:val="003A31BA"/>
    <w:rsid w:val="003A3916"/>
    <w:rsid w:val="003B0419"/>
    <w:rsid w:val="003C3B43"/>
    <w:rsid w:val="003D069C"/>
    <w:rsid w:val="003D7646"/>
    <w:rsid w:val="003F113A"/>
    <w:rsid w:val="003F3E63"/>
    <w:rsid w:val="003F6063"/>
    <w:rsid w:val="003F6D14"/>
    <w:rsid w:val="00407480"/>
    <w:rsid w:val="00414643"/>
    <w:rsid w:val="00415C51"/>
    <w:rsid w:val="004219F9"/>
    <w:rsid w:val="004236BB"/>
    <w:rsid w:val="004264DE"/>
    <w:rsid w:val="004313C4"/>
    <w:rsid w:val="00431920"/>
    <w:rsid w:val="00432B58"/>
    <w:rsid w:val="00441941"/>
    <w:rsid w:val="004421E5"/>
    <w:rsid w:val="00452284"/>
    <w:rsid w:val="00453762"/>
    <w:rsid w:val="00456F88"/>
    <w:rsid w:val="00457C8E"/>
    <w:rsid w:val="0046253C"/>
    <w:rsid w:val="00465958"/>
    <w:rsid w:val="004679AF"/>
    <w:rsid w:val="00480175"/>
    <w:rsid w:val="004856CA"/>
    <w:rsid w:val="0048725F"/>
    <w:rsid w:val="00487E67"/>
    <w:rsid w:val="004906B7"/>
    <w:rsid w:val="00490982"/>
    <w:rsid w:val="004918AB"/>
    <w:rsid w:val="0049705E"/>
    <w:rsid w:val="004A2875"/>
    <w:rsid w:val="004A34A0"/>
    <w:rsid w:val="004C7C82"/>
    <w:rsid w:val="004F5C87"/>
    <w:rsid w:val="005008A8"/>
    <w:rsid w:val="00517FD8"/>
    <w:rsid w:val="00526B7B"/>
    <w:rsid w:val="005274D2"/>
    <w:rsid w:val="005308CE"/>
    <w:rsid w:val="0053318C"/>
    <w:rsid w:val="00544C93"/>
    <w:rsid w:val="0054535F"/>
    <w:rsid w:val="00546A75"/>
    <w:rsid w:val="00552DFC"/>
    <w:rsid w:val="00555102"/>
    <w:rsid w:val="00563A66"/>
    <w:rsid w:val="00567107"/>
    <w:rsid w:val="0057439C"/>
    <w:rsid w:val="005960FA"/>
    <w:rsid w:val="005A12C9"/>
    <w:rsid w:val="005B0127"/>
    <w:rsid w:val="005B0C0F"/>
    <w:rsid w:val="005B7A35"/>
    <w:rsid w:val="005C4B73"/>
    <w:rsid w:val="005C792B"/>
    <w:rsid w:val="005D183E"/>
    <w:rsid w:val="005D7864"/>
    <w:rsid w:val="005E1D2B"/>
    <w:rsid w:val="005E7074"/>
    <w:rsid w:val="005F2BAF"/>
    <w:rsid w:val="00600D93"/>
    <w:rsid w:val="0061509D"/>
    <w:rsid w:val="00615A93"/>
    <w:rsid w:val="0062106C"/>
    <w:rsid w:val="0062211E"/>
    <w:rsid w:val="00626BEA"/>
    <w:rsid w:val="00630621"/>
    <w:rsid w:val="0063300C"/>
    <w:rsid w:val="00651A5B"/>
    <w:rsid w:val="006545E7"/>
    <w:rsid w:val="00655736"/>
    <w:rsid w:val="00663B8D"/>
    <w:rsid w:val="006853AC"/>
    <w:rsid w:val="00691C9D"/>
    <w:rsid w:val="00696C8D"/>
    <w:rsid w:val="006A2AC2"/>
    <w:rsid w:val="006A3617"/>
    <w:rsid w:val="006A4A71"/>
    <w:rsid w:val="006B31CB"/>
    <w:rsid w:val="006B4452"/>
    <w:rsid w:val="006E1084"/>
    <w:rsid w:val="006E46E4"/>
    <w:rsid w:val="006E75EB"/>
    <w:rsid w:val="0070357D"/>
    <w:rsid w:val="007121C4"/>
    <w:rsid w:val="00717DA5"/>
    <w:rsid w:val="00722C26"/>
    <w:rsid w:val="00732527"/>
    <w:rsid w:val="007333D0"/>
    <w:rsid w:val="007346C8"/>
    <w:rsid w:val="007435E5"/>
    <w:rsid w:val="00744484"/>
    <w:rsid w:val="00747566"/>
    <w:rsid w:val="00752C6B"/>
    <w:rsid w:val="00764597"/>
    <w:rsid w:val="00771343"/>
    <w:rsid w:val="00773188"/>
    <w:rsid w:val="00775FCC"/>
    <w:rsid w:val="007772CD"/>
    <w:rsid w:val="00780AAD"/>
    <w:rsid w:val="00783782"/>
    <w:rsid w:val="00784B8C"/>
    <w:rsid w:val="007879E1"/>
    <w:rsid w:val="007A3FE9"/>
    <w:rsid w:val="007D4388"/>
    <w:rsid w:val="007E57AA"/>
    <w:rsid w:val="007E653D"/>
    <w:rsid w:val="007F29F6"/>
    <w:rsid w:val="0080480F"/>
    <w:rsid w:val="00812021"/>
    <w:rsid w:val="00817A17"/>
    <w:rsid w:val="0082186A"/>
    <w:rsid w:val="00823A11"/>
    <w:rsid w:val="00826C84"/>
    <w:rsid w:val="008343CC"/>
    <w:rsid w:val="0085185D"/>
    <w:rsid w:val="00851A9A"/>
    <w:rsid w:val="0085405E"/>
    <w:rsid w:val="0085414A"/>
    <w:rsid w:val="00857EB9"/>
    <w:rsid w:val="0086269D"/>
    <w:rsid w:val="0086543A"/>
    <w:rsid w:val="008708F9"/>
    <w:rsid w:val="008724E5"/>
    <w:rsid w:val="0087279E"/>
    <w:rsid w:val="0087295E"/>
    <w:rsid w:val="008765C9"/>
    <w:rsid w:val="00884A9D"/>
    <w:rsid w:val="0088512B"/>
    <w:rsid w:val="008A2B2D"/>
    <w:rsid w:val="008A4E1E"/>
    <w:rsid w:val="008A6458"/>
    <w:rsid w:val="008C296C"/>
    <w:rsid w:val="008D28A6"/>
    <w:rsid w:val="008D4305"/>
    <w:rsid w:val="008E1A85"/>
    <w:rsid w:val="008E344F"/>
    <w:rsid w:val="008E6C1B"/>
    <w:rsid w:val="00903861"/>
    <w:rsid w:val="009163A7"/>
    <w:rsid w:val="00917EB5"/>
    <w:rsid w:val="009219A9"/>
    <w:rsid w:val="009268B2"/>
    <w:rsid w:val="0093259F"/>
    <w:rsid w:val="009327FB"/>
    <w:rsid w:val="00935FFC"/>
    <w:rsid w:val="00937D53"/>
    <w:rsid w:val="00946D0B"/>
    <w:rsid w:val="00947A62"/>
    <w:rsid w:val="00955877"/>
    <w:rsid w:val="00960318"/>
    <w:rsid w:val="00962034"/>
    <w:rsid w:val="00966CCC"/>
    <w:rsid w:val="00984D6A"/>
    <w:rsid w:val="009918BB"/>
    <w:rsid w:val="009A18CD"/>
    <w:rsid w:val="009B249A"/>
    <w:rsid w:val="009B287C"/>
    <w:rsid w:val="009B39F2"/>
    <w:rsid w:val="009D5428"/>
    <w:rsid w:val="009D720A"/>
    <w:rsid w:val="009E0AD6"/>
    <w:rsid w:val="009E0E87"/>
    <w:rsid w:val="009E2FDB"/>
    <w:rsid w:val="00A06811"/>
    <w:rsid w:val="00A113BB"/>
    <w:rsid w:val="00A12558"/>
    <w:rsid w:val="00A13903"/>
    <w:rsid w:val="00A21AC9"/>
    <w:rsid w:val="00A22E37"/>
    <w:rsid w:val="00A34ED5"/>
    <w:rsid w:val="00A356BF"/>
    <w:rsid w:val="00A45DBF"/>
    <w:rsid w:val="00A53626"/>
    <w:rsid w:val="00A6415E"/>
    <w:rsid w:val="00A6511E"/>
    <w:rsid w:val="00A725CF"/>
    <w:rsid w:val="00A755A2"/>
    <w:rsid w:val="00A849DA"/>
    <w:rsid w:val="00A84ADC"/>
    <w:rsid w:val="00A91430"/>
    <w:rsid w:val="00A9609D"/>
    <w:rsid w:val="00AA590D"/>
    <w:rsid w:val="00AA6660"/>
    <w:rsid w:val="00AB2C36"/>
    <w:rsid w:val="00AB3D3B"/>
    <w:rsid w:val="00AB6DDE"/>
    <w:rsid w:val="00AB70B6"/>
    <w:rsid w:val="00AC18C1"/>
    <w:rsid w:val="00AD1190"/>
    <w:rsid w:val="00AD1A86"/>
    <w:rsid w:val="00AD5C46"/>
    <w:rsid w:val="00AE103E"/>
    <w:rsid w:val="00AF0A07"/>
    <w:rsid w:val="00AF293B"/>
    <w:rsid w:val="00AF4AEC"/>
    <w:rsid w:val="00AF625E"/>
    <w:rsid w:val="00B130EF"/>
    <w:rsid w:val="00B139BE"/>
    <w:rsid w:val="00B2172B"/>
    <w:rsid w:val="00B34428"/>
    <w:rsid w:val="00B36B14"/>
    <w:rsid w:val="00B4402D"/>
    <w:rsid w:val="00B4656D"/>
    <w:rsid w:val="00B540DD"/>
    <w:rsid w:val="00B55B90"/>
    <w:rsid w:val="00B56AF7"/>
    <w:rsid w:val="00B60685"/>
    <w:rsid w:val="00B917D2"/>
    <w:rsid w:val="00B97EB3"/>
    <w:rsid w:val="00BA22C0"/>
    <w:rsid w:val="00BA241A"/>
    <w:rsid w:val="00BB04AF"/>
    <w:rsid w:val="00BB6D9F"/>
    <w:rsid w:val="00BB6EEC"/>
    <w:rsid w:val="00BB6FBC"/>
    <w:rsid w:val="00BC60D7"/>
    <w:rsid w:val="00BD40D2"/>
    <w:rsid w:val="00BD52C9"/>
    <w:rsid w:val="00BE08A6"/>
    <w:rsid w:val="00BE6354"/>
    <w:rsid w:val="00BE6E70"/>
    <w:rsid w:val="00C10C5F"/>
    <w:rsid w:val="00C12681"/>
    <w:rsid w:val="00C138D1"/>
    <w:rsid w:val="00C23A97"/>
    <w:rsid w:val="00C23B62"/>
    <w:rsid w:val="00C52EBE"/>
    <w:rsid w:val="00C564CF"/>
    <w:rsid w:val="00C5776D"/>
    <w:rsid w:val="00C6366A"/>
    <w:rsid w:val="00C64855"/>
    <w:rsid w:val="00C65FAD"/>
    <w:rsid w:val="00C70EA7"/>
    <w:rsid w:val="00C71A31"/>
    <w:rsid w:val="00C7433F"/>
    <w:rsid w:val="00C7516E"/>
    <w:rsid w:val="00C75770"/>
    <w:rsid w:val="00C77854"/>
    <w:rsid w:val="00C84331"/>
    <w:rsid w:val="00CA56BB"/>
    <w:rsid w:val="00CB0542"/>
    <w:rsid w:val="00CB1923"/>
    <w:rsid w:val="00CB22B9"/>
    <w:rsid w:val="00CB40A4"/>
    <w:rsid w:val="00CD1C4D"/>
    <w:rsid w:val="00CE22DD"/>
    <w:rsid w:val="00CF7733"/>
    <w:rsid w:val="00D00B2B"/>
    <w:rsid w:val="00D23DDF"/>
    <w:rsid w:val="00D24877"/>
    <w:rsid w:val="00D2636E"/>
    <w:rsid w:val="00D26D94"/>
    <w:rsid w:val="00D33575"/>
    <w:rsid w:val="00D63318"/>
    <w:rsid w:val="00D7105A"/>
    <w:rsid w:val="00D8250F"/>
    <w:rsid w:val="00D83976"/>
    <w:rsid w:val="00D86BB3"/>
    <w:rsid w:val="00D87601"/>
    <w:rsid w:val="00D94CD4"/>
    <w:rsid w:val="00D95C4C"/>
    <w:rsid w:val="00D9708B"/>
    <w:rsid w:val="00DA36ED"/>
    <w:rsid w:val="00DB27AD"/>
    <w:rsid w:val="00DB2F67"/>
    <w:rsid w:val="00DB7B58"/>
    <w:rsid w:val="00DC49CB"/>
    <w:rsid w:val="00DE2DC3"/>
    <w:rsid w:val="00DE34F1"/>
    <w:rsid w:val="00DE5C29"/>
    <w:rsid w:val="00DE6160"/>
    <w:rsid w:val="00DF46FF"/>
    <w:rsid w:val="00DF4942"/>
    <w:rsid w:val="00E156BB"/>
    <w:rsid w:val="00E2125F"/>
    <w:rsid w:val="00E24248"/>
    <w:rsid w:val="00E244E1"/>
    <w:rsid w:val="00E3428A"/>
    <w:rsid w:val="00E35B79"/>
    <w:rsid w:val="00E4150C"/>
    <w:rsid w:val="00E46738"/>
    <w:rsid w:val="00E627B1"/>
    <w:rsid w:val="00E70169"/>
    <w:rsid w:val="00E7076C"/>
    <w:rsid w:val="00E8029C"/>
    <w:rsid w:val="00E86AB7"/>
    <w:rsid w:val="00E9376C"/>
    <w:rsid w:val="00E95AE2"/>
    <w:rsid w:val="00EA335E"/>
    <w:rsid w:val="00EA528C"/>
    <w:rsid w:val="00EA580C"/>
    <w:rsid w:val="00EC6F8D"/>
    <w:rsid w:val="00ED39B2"/>
    <w:rsid w:val="00EE0919"/>
    <w:rsid w:val="00EE12AD"/>
    <w:rsid w:val="00EE49F4"/>
    <w:rsid w:val="00EF0559"/>
    <w:rsid w:val="00EF155C"/>
    <w:rsid w:val="00EF34E2"/>
    <w:rsid w:val="00F046B3"/>
    <w:rsid w:val="00F06FB0"/>
    <w:rsid w:val="00F10C91"/>
    <w:rsid w:val="00F20A40"/>
    <w:rsid w:val="00F24EB5"/>
    <w:rsid w:val="00F30DC6"/>
    <w:rsid w:val="00F31F96"/>
    <w:rsid w:val="00F32A57"/>
    <w:rsid w:val="00F32C23"/>
    <w:rsid w:val="00F439A8"/>
    <w:rsid w:val="00F463FA"/>
    <w:rsid w:val="00F47A7B"/>
    <w:rsid w:val="00F53DE9"/>
    <w:rsid w:val="00F54CB7"/>
    <w:rsid w:val="00F576CB"/>
    <w:rsid w:val="00F7035D"/>
    <w:rsid w:val="00F70CC5"/>
    <w:rsid w:val="00F7173B"/>
    <w:rsid w:val="00F71A02"/>
    <w:rsid w:val="00FA06E3"/>
    <w:rsid w:val="00FA0D63"/>
    <w:rsid w:val="00FA7EA6"/>
    <w:rsid w:val="00FD1226"/>
    <w:rsid w:val="00FD4BC8"/>
    <w:rsid w:val="00FD4D05"/>
    <w:rsid w:val="00FD4D78"/>
    <w:rsid w:val="00FF483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(numbered (a)),Lapis Bulleted List,Dot pt,F5 List Paragraph,List Paragraph Char Char Char,Indicator Text,Numbered Para 1,Bullet 1,List Paragraph12,Bullet Points,MAIN CONTENT,List Paragraph1"/>
    <w:basedOn w:val="Normal"/>
    <w:link w:val="ListParagraphChar"/>
    <w:uiPriority w:val="34"/>
    <w:qFormat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DB2F67"/>
    <w:rPr>
      <w:color w:val="0000FF" w:themeColor="hyperlink"/>
      <w:u w:val="single"/>
    </w:rPr>
  </w:style>
  <w:style w:type="character" w:customStyle="1" w:styleId="MargeChar">
    <w:name w:val="Marge Char"/>
    <w:link w:val="Marge"/>
    <w:locked/>
    <w:rsid w:val="00935FFC"/>
    <w:rPr>
      <w:rFonts w:ascii="Arial" w:eastAsia="Times New Roman" w:hAnsi="Arial"/>
      <w:snapToGrid w:val="0"/>
      <w:sz w:val="22"/>
      <w:szCs w:val="24"/>
      <w:lang w:eastAsia="en-US"/>
    </w:rPr>
  </w:style>
  <w:style w:type="character" w:customStyle="1" w:styleId="ListParagraphChar">
    <w:name w:val="List Paragraph Char"/>
    <w:aliases w:val="List Paragraph (numbered (a)) Char,Lapis Bulleted List Char,Dot pt Char,F5 List Paragraph Char,List Paragraph Char Char Char Char,Indicator Text Char,Numbered Para 1 Char,Bullet 1 Char,List Paragraph12 Char,Bullet Points Char"/>
    <w:link w:val="ListParagraph"/>
    <w:uiPriority w:val="34"/>
    <w:locked/>
    <w:rsid w:val="00935FFC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5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5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D4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D4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110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en/decisions/16.COM/12" TargetMode="External"/><Relationship Id="rId18" Type="http://schemas.openxmlformats.org/officeDocument/2006/relationships/hyperlink" Target="https://ich.unesco.org/doc/src/68292-EN.pdf" TargetMode="External"/><Relationship Id="rId26" Type="http://schemas.openxmlformats.org/officeDocument/2006/relationships/hyperlink" Target="https://ich.unesco.org/en/towards-a-platform-for-sharing-good-safeguarding-experiences-01376" TargetMode="External"/><Relationship Id="rId39" Type="http://schemas.openxmlformats.org/officeDocument/2006/relationships/hyperlink" Target="https://ich.unesco.org/en/decisions/20.COM/7.C.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ch.unesco.org/doc/src/68297-EN.pdf" TargetMode="External"/><Relationship Id="rId34" Type="http://schemas.openxmlformats.org/officeDocument/2006/relationships/hyperlink" Target="https://ich.unesco.org/doc/src/LHE-25-20.COM-14_EN.docx?t=1764362577" TargetMode="External"/><Relationship Id="rId42" Type="http://schemas.openxmlformats.org/officeDocument/2006/relationships/hyperlink" Target="https://ich.unesco.org/en/decisions/19.COM/6.C" TargetMode="External"/><Relationship Id="rId47" Type="http://schemas.openxmlformats.org/officeDocument/2006/relationships/hyperlink" Target="https://ich.unesco.org/en/decisions/18.COM/11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ch.unesco.org/doc/src/LHE-24-10.GA-Resolutions_RU.docx?v=1721289530" TargetMode="External"/><Relationship Id="rId17" Type="http://schemas.openxmlformats.org/officeDocument/2006/relationships/hyperlink" Target="https://ich.unesco.org/en/clearinghouse-education" TargetMode="External"/><Relationship Id="rId25" Type="http://schemas.openxmlformats.org/officeDocument/2006/relationships/hyperlink" Target="https://ich.unesco.org/en/decisions/19.COM/10" TargetMode="External"/><Relationship Id="rId33" Type="http://schemas.openxmlformats.org/officeDocument/2006/relationships/hyperlink" Target="https://ich.unesco.org/en/decisions/14.COM/7" TargetMode="External"/><Relationship Id="rId38" Type="http://schemas.openxmlformats.org/officeDocument/2006/relationships/hyperlink" Target="https://ich.unesco.org/en/decisions/20.COM/7.C.1" TargetMode="External"/><Relationship Id="rId46" Type="http://schemas.openxmlformats.org/officeDocument/2006/relationships/hyperlink" Target="https://ich.unesco.org/en/decisions/18.COM/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esco.org/sites/default/files/medias/fichiers/2025/09/EN_MONDIACULT_Outcome_Document%20Final%2027.09.25.pdf" TargetMode="External"/><Relationship Id="rId20" Type="http://schemas.openxmlformats.org/officeDocument/2006/relationships/hyperlink" Target="https://ich.unesco.org/en/decisions/20.COM/12" TargetMode="External"/><Relationship Id="rId29" Type="http://schemas.openxmlformats.org/officeDocument/2006/relationships/hyperlink" Target="https://ich.unesco.org/en/activities-2024-01401" TargetMode="External"/><Relationship Id="rId41" Type="http://schemas.openxmlformats.org/officeDocument/2006/relationships/hyperlink" Target="https://ich.unesco.org/en/decisions/20.COM/6.B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ITH-16_6.GA-Resolutions_RU.docx?v=1465481217" TargetMode="External"/><Relationship Id="rId24" Type="http://schemas.openxmlformats.org/officeDocument/2006/relationships/hyperlink" Target="https://ich.unesco.org/doc/src/LHE-24-10.GA-Resolutions_RU.docx?v=1721289530" TargetMode="External"/><Relationship Id="rId32" Type="http://schemas.openxmlformats.org/officeDocument/2006/relationships/hyperlink" Target="https://ich.unesco.org/en/decisions/20.COM/14" TargetMode="External"/><Relationship Id="rId37" Type="http://schemas.openxmlformats.org/officeDocument/2006/relationships/hyperlink" Target="https://ich.unesco.org/en/decisions/19.COM/6.A" TargetMode="External"/><Relationship Id="rId40" Type="http://schemas.openxmlformats.org/officeDocument/2006/relationships/hyperlink" Target="https://ich.unesco.org/en/decisions/19.COM/6.B" TargetMode="External"/><Relationship Id="rId45" Type="http://schemas.openxmlformats.org/officeDocument/2006/relationships/hyperlink" Target="https://ich.unesco.org/doc/src/LHE-24-10.GA-Resolutions_RU.docx?v=172128953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decisions/19.COM/5" TargetMode="External"/><Relationship Id="rId23" Type="http://schemas.openxmlformats.org/officeDocument/2006/relationships/hyperlink" Target="https://ich.unesco.org/en/decisions/20.COM/12" TargetMode="External"/><Relationship Id="rId28" Type="http://schemas.openxmlformats.org/officeDocument/2006/relationships/hyperlink" Target="https://ich.unesco.org/en/international-day-intangible-cultural-heritage" TargetMode="External"/><Relationship Id="rId36" Type="http://schemas.openxmlformats.org/officeDocument/2006/relationships/hyperlink" Target="https://ich.unesco.org/en/Decisions/20.COM/13" TargetMode="External"/><Relationship Id="rId49" Type="http://schemas.openxmlformats.org/officeDocument/2006/relationships/hyperlink" Target="https://ich.unesco.org/en/decisions/20.COM/6.C" TargetMode="External"/><Relationship Id="rId10" Type="http://schemas.openxmlformats.org/officeDocument/2006/relationships/hyperlink" Target="https://ich.unesco.org/doc/src/LHE-26-11.GA-INF.8-EN.docx" TargetMode="External"/><Relationship Id="rId19" Type="http://schemas.openxmlformats.org/officeDocument/2006/relationships/hyperlink" Target="https://ich.unesco.org/doc/src/72796-EN.pdf?v=1769168252" TargetMode="External"/><Relationship Id="rId31" Type="http://schemas.openxmlformats.org/officeDocument/2006/relationships/hyperlink" Target="https://ich.unesco.org/en/decisions/19.COM/13" TargetMode="External"/><Relationship Id="rId44" Type="http://schemas.openxmlformats.org/officeDocument/2006/relationships/hyperlink" Target="https://www.unesco.org/sites/default/files/medias/fichiers/2022/10/6.MONDIACULT_EN_DRAFT%20FINAL%20DECLARATION_FINAL_1.pdf?hub=758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LHE-26-11.GA-6-EN.docx" TargetMode="External"/><Relationship Id="rId14" Type="http://schemas.openxmlformats.org/officeDocument/2006/relationships/hyperlink" Target="https://ich.unesco.org/en/learning-platform-01397" TargetMode="External"/><Relationship Id="rId22" Type="http://schemas.openxmlformats.org/officeDocument/2006/relationships/hyperlink" Target="https://ich.unesco.org/en/decisions/19.COM/11" TargetMode="External"/><Relationship Id="rId27" Type="http://schemas.openxmlformats.org/officeDocument/2006/relationships/hyperlink" Target="https://ich.unesco.org/en/decisions/20.COM/11" TargetMode="External"/><Relationship Id="rId30" Type="http://schemas.openxmlformats.org/officeDocument/2006/relationships/hyperlink" Target="https://ich.unesco.org/en/activities-2025-01421" TargetMode="External"/><Relationship Id="rId35" Type="http://schemas.openxmlformats.org/officeDocument/2006/relationships/hyperlink" Target="https://ich.unesco.org/doc/src/LHE-25-20.COM-INF.14_EN.docx" TargetMode="External"/><Relationship Id="rId43" Type="http://schemas.openxmlformats.org/officeDocument/2006/relationships/hyperlink" Target="https://ich.unesco.org/en/decisions/20.COM/6.C" TargetMode="External"/><Relationship Id="rId48" Type="http://schemas.openxmlformats.org/officeDocument/2006/relationships/hyperlink" Target="https://ich.unesco.org/en/decisions/20.COM/8" TargetMode="External"/><Relationship Id="rId8" Type="http://schemas.openxmlformats.org/officeDocument/2006/relationships/hyperlink" Target="https://ich.unesco.org/doc/src/ITH-16_6.GA-Resolutions_RU.docx?v=1465481217" TargetMode="External"/><Relationship Id="rId51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23</TotalTime>
  <Pages>8</Pages>
  <Words>4056</Words>
  <Characters>22313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12</cp:revision>
  <cp:lastPrinted>2011-08-06T10:22:00Z</cp:lastPrinted>
  <dcterms:created xsi:type="dcterms:W3CDTF">2026-05-18T13:09:00Z</dcterms:created>
  <dcterms:modified xsi:type="dcterms:W3CDTF">2026-05-18T21:33:00Z</dcterms:modified>
</cp:coreProperties>
</file>