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6FC07C36" w:rsidR="00EC6F8D" w:rsidRPr="001836F4" w:rsidRDefault="00EC6F8D" w:rsidP="00150EE8">
      <w:pPr>
        <w:spacing w:before="1440"/>
        <w:jc w:val="center"/>
        <w:rPr>
          <w:rFonts w:ascii="Arial" w:hAnsi="Arial" w:cs="Arial"/>
          <w:b/>
          <w:sz w:val="22"/>
          <w:szCs w:val="22"/>
        </w:rPr>
      </w:pPr>
      <w:r w:rsidRPr="001836F4">
        <w:rPr>
          <w:rFonts w:ascii="Arial" w:hAnsi="Arial"/>
          <w:b/>
          <w:sz w:val="22"/>
        </w:rPr>
        <w:t>CONVENCIÓN PARA LA SALVAGUARDIA DEL</w:t>
      </w:r>
      <w:r w:rsidRPr="001836F4">
        <w:rPr>
          <w:rFonts w:ascii="Arial" w:hAnsi="Arial"/>
          <w:b/>
          <w:sz w:val="22"/>
        </w:rPr>
        <w:br/>
        <w:t>PATRIMONIO CULTURAL INMATERIAL</w:t>
      </w:r>
    </w:p>
    <w:p w14:paraId="3F72B1D3" w14:textId="37133200" w:rsidR="00EC6F8D" w:rsidRPr="001836F4" w:rsidRDefault="005C792B" w:rsidP="00EC6F8D">
      <w:pPr>
        <w:spacing w:before="1200"/>
        <w:jc w:val="center"/>
        <w:rPr>
          <w:rFonts w:ascii="Arial" w:hAnsi="Arial" w:cs="Arial"/>
          <w:b/>
          <w:sz w:val="22"/>
          <w:szCs w:val="22"/>
        </w:rPr>
      </w:pPr>
      <w:r w:rsidRPr="001836F4">
        <w:rPr>
          <w:rFonts w:ascii="Arial" w:hAnsi="Arial"/>
          <w:b/>
          <w:sz w:val="22"/>
        </w:rPr>
        <w:t xml:space="preserve">ASAMBLEA GENERAL DE LOS </w:t>
      </w:r>
      <w:proofErr w:type="gramStart"/>
      <w:r w:rsidRPr="001836F4">
        <w:rPr>
          <w:rFonts w:ascii="Arial" w:hAnsi="Arial"/>
          <w:b/>
          <w:sz w:val="22"/>
        </w:rPr>
        <w:t>ESTADOS PARTES</w:t>
      </w:r>
      <w:proofErr w:type="gramEnd"/>
      <w:r w:rsidRPr="001836F4">
        <w:rPr>
          <w:rFonts w:ascii="Arial" w:hAnsi="Arial"/>
          <w:b/>
          <w:sz w:val="22"/>
        </w:rPr>
        <w:t xml:space="preserve"> EN LA CONVENCIÓN</w:t>
      </w:r>
    </w:p>
    <w:p w14:paraId="2E1CD4B4" w14:textId="761739AB" w:rsidR="00EC6F8D" w:rsidRPr="001836F4" w:rsidRDefault="00671799" w:rsidP="001D14FE">
      <w:pPr>
        <w:spacing w:before="840"/>
        <w:jc w:val="center"/>
        <w:rPr>
          <w:rFonts w:ascii="Arial" w:hAnsi="Arial" w:cs="Arial"/>
          <w:b/>
          <w:sz w:val="22"/>
          <w:szCs w:val="22"/>
        </w:rPr>
      </w:pPr>
      <w:r w:rsidRPr="001836F4">
        <w:rPr>
          <w:rFonts w:ascii="Arial" w:hAnsi="Arial"/>
          <w:b/>
          <w:sz w:val="22"/>
        </w:rPr>
        <w:t>Undécima reunión</w:t>
      </w:r>
    </w:p>
    <w:p w14:paraId="1FD89575" w14:textId="05D2C62D" w:rsidR="00B2172B" w:rsidRPr="001836F4" w:rsidRDefault="005C792B" w:rsidP="00B2172B">
      <w:pPr>
        <w:jc w:val="center"/>
        <w:rPr>
          <w:rFonts w:ascii="Arial" w:hAnsi="Arial" w:cs="Arial"/>
          <w:b/>
          <w:sz w:val="22"/>
          <w:szCs w:val="22"/>
        </w:rPr>
      </w:pPr>
      <w:r w:rsidRPr="001836F4">
        <w:rPr>
          <w:rFonts w:ascii="Arial" w:hAnsi="Arial"/>
          <w:b/>
          <w:sz w:val="22"/>
        </w:rPr>
        <w:t>Sede de la UNESCO, Sala I</w:t>
      </w:r>
    </w:p>
    <w:p w14:paraId="52EA6D50" w14:textId="038451F8" w:rsidR="00B2172B" w:rsidRPr="001836F4" w:rsidRDefault="0054535F" w:rsidP="00B2172B">
      <w:pPr>
        <w:jc w:val="center"/>
        <w:rPr>
          <w:rFonts w:ascii="Arial" w:hAnsi="Arial" w:cs="Arial"/>
          <w:b/>
          <w:sz w:val="22"/>
          <w:szCs w:val="22"/>
        </w:rPr>
      </w:pPr>
      <w:r w:rsidRPr="001836F4">
        <w:rPr>
          <w:rFonts w:ascii="Arial" w:hAnsi="Arial"/>
          <w:b/>
          <w:sz w:val="22"/>
        </w:rPr>
        <w:t>17 al 18 de junio de 2026</w:t>
      </w:r>
    </w:p>
    <w:p w14:paraId="0365203A" w14:textId="7A31AB58" w:rsidR="00EC6F8D" w:rsidRPr="001836F4" w:rsidRDefault="00EC6F8D" w:rsidP="00EC6F8D">
      <w:pPr>
        <w:pStyle w:val="Sansinterligne2"/>
        <w:spacing w:before="1200"/>
        <w:jc w:val="center"/>
        <w:rPr>
          <w:rFonts w:ascii="Arial" w:hAnsi="Arial" w:cs="Arial"/>
          <w:b/>
          <w:sz w:val="22"/>
          <w:szCs w:val="22"/>
        </w:rPr>
      </w:pPr>
      <w:r w:rsidRPr="001836F4">
        <w:rPr>
          <w:rFonts w:ascii="Arial" w:hAnsi="Arial"/>
          <w:b/>
          <w:sz w:val="22"/>
          <w:u w:val="single"/>
        </w:rPr>
        <w:t>Punto 5 del orden del día provisional</w:t>
      </w:r>
      <w:r w:rsidRPr="001836F4">
        <w:rPr>
          <w:rFonts w:ascii="Arial" w:hAnsi="Arial"/>
          <w:b/>
          <w:sz w:val="22"/>
        </w:rPr>
        <w:t>:</w:t>
      </w:r>
    </w:p>
    <w:p w14:paraId="59920478" w14:textId="5E49882B" w:rsidR="004A2875" w:rsidRPr="001836F4" w:rsidRDefault="009C4D47" w:rsidP="004A2875">
      <w:pPr>
        <w:pStyle w:val="Sansinterligne2"/>
        <w:spacing w:after="960"/>
        <w:jc w:val="center"/>
        <w:rPr>
          <w:rFonts w:ascii="Arial" w:hAnsi="Arial" w:cs="Arial"/>
          <w:bCs/>
          <w:sz w:val="22"/>
          <w:szCs w:val="22"/>
        </w:rPr>
      </w:pPr>
      <w:r w:rsidRPr="001836F4">
        <w:rPr>
          <w:rFonts w:ascii="Arial" w:eastAsia="Arial" w:hAnsi="Arial" w:cs="Arial"/>
          <w:b/>
          <w:sz w:val="22"/>
          <w:szCs w:val="22"/>
          <w:lang w:bidi="es-ES"/>
        </w:rPr>
        <w:t>Informe del Comité a la Asamblea General (enero de 2024 a diciembre de 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1836F4" w14:paraId="75AC6221" w14:textId="77777777" w:rsidTr="00EC6F8D">
        <w:trPr>
          <w:jc w:val="center"/>
        </w:trPr>
        <w:tc>
          <w:tcPr>
            <w:tcW w:w="5670" w:type="dxa"/>
            <w:vAlign w:val="center"/>
          </w:tcPr>
          <w:p w14:paraId="51C260A9" w14:textId="77777777" w:rsidR="00EC6F8D" w:rsidRPr="001836F4" w:rsidRDefault="00EC6F8D" w:rsidP="00CA56BB">
            <w:pPr>
              <w:pStyle w:val="Sansinterligne1"/>
              <w:spacing w:before="200" w:after="200"/>
              <w:jc w:val="center"/>
              <w:rPr>
                <w:rFonts w:ascii="Arial" w:hAnsi="Arial" w:cs="Arial"/>
                <w:b/>
                <w:sz w:val="22"/>
                <w:szCs w:val="22"/>
              </w:rPr>
            </w:pPr>
            <w:r w:rsidRPr="001836F4">
              <w:rPr>
                <w:rFonts w:ascii="Arial" w:hAnsi="Arial"/>
                <w:b/>
                <w:sz w:val="22"/>
              </w:rPr>
              <w:t>Resumen</w:t>
            </w:r>
          </w:p>
          <w:p w14:paraId="612E5DE6" w14:textId="5E901E6C" w:rsidR="00BB6EEC" w:rsidRPr="001836F4" w:rsidRDefault="009C4D47" w:rsidP="001836F4">
            <w:pPr>
              <w:pStyle w:val="Sansinterligne2"/>
              <w:spacing w:before="200" w:after="200"/>
              <w:jc w:val="both"/>
              <w:rPr>
                <w:rFonts w:ascii="Arial" w:hAnsi="Arial" w:cs="Arial"/>
                <w:sz w:val="22"/>
                <w:szCs w:val="22"/>
                <w:lang w:val="es-BO"/>
              </w:rPr>
            </w:pPr>
            <w:r w:rsidRPr="001836F4">
              <w:rPr>
                <w:rFonts w:ascii="Arial" w:eastAsia="Arial" w:hAnsi="Arial" w:cs="Arial"/>
                <w:sz w:val="22"/>
                <w:szCs w:val="22"/>
                <w:lang w:bidi="es-ES"/>
              </w:rPr>
              <w:t xml:space="preserve">El artículo 30.1 de la Convención de 2003 establece que “Basándose en sus actividades y en los informes de los </w:t>
            </w:r>
            <w:proofErr w:type="gramStart"/>
            <w:r w:rsidRPr="001836F4">
              <w:rPr>
                <w:rFonts w:ascii="Arial" w:eastAsia="Arial" w:hAnsi="Arial" w:cs="Arial"/>
                <w:sz w:val="22"/>
                <w:szCs w:val="22"/>
                <w:lang w:bidi="es-ES"/>
              </w:rPr>
              <w:t>Estados Partes</w:t>
            </w:r>
            <w:proofErr w:type="gramEnd"/>
            <w:r w:rsidRPr="001836F4">
              <w:rPr>
                <w:rFonts w:ascii="Arial" w:eastAsia="Arial" w:hAnsi="Arial" w:cs="Arial"/>
                <w:sz w:val="22"/>
                <w:szCs w:val="22"/>
                <w:lang w:bidi="es-ES"/>
              </w:rPr>
              <w:t xml:space="preserve"> [...], el Comité presentará un informe en cada reunión de la Asamblea General”. El presente documento contiene un informe sobre las actividades del Comité desde enero de 2024 hasta diciembre de 2025, incluido un examen de los informes de los </w:t>
            </w:r>
            <w:proofErr w:type="gramStart"/>
            <w:r w:rsidRPr="001836F4">
              <w:rPr>
                <w:rFonts w:ascii="Arial" w:eastAsia="Arial" w:hAnsi="Arial" w:cs="Arial"/>
                <w:sz w:val="22"/>
                <w:szCs w:val="22"/>
                <w:lang w:bidi="es-ES"/>
              </w:rPr>
              <w:t>Estados Partes</w:t>
            </w:r>
            <w:proofErr w:type="gramEnd"/>
            <w:r w:rsidRPr="001836F4">
              <w:rPr>
                <w:rFonts w:ascii="Arial" w:eastAsia="Arial" w:hAnsi="Arial" w:cs="Arial"/>
                <w:sz w:val="22"/>
                <w:szCs w:val="22"/>
                <w:lang w:bidi="es-ES"/>
              </w:rPr>
              <w:t xml:space="preserve"> aprobados en las reuniones decimonovena y vigésima del Comité.</w:t>
            </w:r>
          </w:p>
          <w:p w14:paraId="290310E8" w14:textId="07376545" w:rsidR="00EC6F8D" w:rsidRPr="001836F4" w:rsidRDefault="00EC6F8D" w:rsidP="00CA56BB">
            <w:pPr>
              <w:pStyle w:val="Sansinterligne2"/>
              <w:spacing w:before="200" w:after="200"/>
              <w:jc w:val="both"/>
              <w:rPr>
                <w:rFonts w:ascii="Arial" w:hAnsi="Arial" w:cs="Arial"/>
                <w:b/>
                <w:sz w:val="22"/>
                <w:szCs w:val="22"/>
              </w:rPr>
            </w:pPr>
            <w:r w:rsidRPr="001836F4">
              <w:rPr>
                <w:rFonts w:ascii="Arial" w:hAnsi="Arial"/>
                <w:b/>
                <w:sz w:val="22"/>
              </w:rPr>
              <w:t xml:space="preserve">Decisión requerida: </w:t>
            </w:r>
            <w:r w:rsidRPr="001836F4">
              <w:rPr>
                <w:rFonts w:ascii="Arial" w:hAnsi="Arial"/>
                <w:sz w:val="22"/>
              </w:rPr>
              <w:t>párrafo 4</w:t>
            </w:r>
          </w:p>
        </w:tc>
      </w:tr>
    </w:tbl>
    <w:p w14:paraId="713D819F" w14:textId="77777777" w:rsidR="004A2875" w:rsidRPr="001836F4"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1836F4">
        <w:rPr>
          <w:lang w:bidi="es-ES"/>
        </w:rPr>
        <w:br w:type="page"/>
      </w:r>
    </w:p>
    <w:p w14:paraId="6C62585F" w14:textId="1FBD00B9" w:rsidR="00F70CC5" w:rsidRPr="001836F4" w:rsidRDefault="00FD4BC8" w:rsidP="00F70CC5">
      <w:pPr>
        <w:pStyle w:val="COMPara"/>
        <w:numPr>
          <w:ilvl w:val="0"/>
          <w:numId w:val="0"/>
        </w:numPr>
        <w:spacing w:before="240"/>
        <w:jc w:val="both"/>
        <w:rPr>
          <w:b/>
          <w:bCs/>
        </w:rPr>
      </w:pPr>
      <w:bookmarkStart w:id="0" w:name="_Hlk124351255"/>
      <w:r w:rsidRPr="001836F4">
        <w:rPr>
          <w:b/>
          <w:lang w:eastAsia="fr-FR"/>
        </w:rPr>
        <w:lastRenderedPageBreak/>
        <w:t>Antecedentes</w:t>
      </w:r>
    </w:p>
    <w:bookmarkEnd w:id="0"/>
    <w:p w14:paraId="0FD66510" w14:textId="77777777" w:rsidR="009C4D47" w:rsidRPr="001836F4" w:rsidRDefault="009C4D47" w:rsidP="009C4D47">
      <w:pPr>
        <w:pStyle w:val="COMPara"/>
        <w:ind w:left="567" w:hanging="567"/>
        <w:jc w:val="both"/>
      </w:pPr>
      <w:r w:rsidRPr="001836F4">
        <w:rPr>
          <w:lang w:bidi="es-ES"/>
        </w:rPr>
        <w:t xml:space="preserve">El artículo 30.1 de la Convención para la Salvaguardia del Patrimonio Cultural Inmaterial de 2003 establece que “Basándose en sus actividades y en los informes de los </w:t>
      </w:r>
      <w:proofErr w:type="gramStart"/>
      <w:r w:rsidRPr="001836F4">
        <w:rPr>
          <w:lang w:bidi="es-ES"/>
        </w:rPr>
        <w:t>Estados Partes</w:t>
      </w:r>
      <w:proofErr w:type="gramEnd"/>
      <w:r w:rsidRPr="001836F4">
        <w:rPr>
          <w:lang w:bidi="es-ES"/>
        </w:rPr>
        <w:t xml:space="preserve"> [...], el Comité presentará un informe en cada reunión de la Asamblea General”. El artículo 30.2 añade que “dicho informe se pondrá en conocimiento de la Conferencia General de la UNESCO”. El período que abarca este informe (véase el anexo) va de enero de 2024 a diciembre de 2025.</w:t>
      </w:r>
    </w:p>
    <w:p w14:paraId="2EEFD35B" w14:textId="0801A5E0" w:rsidR="009C4D47" w:rsidRPr="001836F4" w:rsidRDefault="009C4D47" w:rsidP="009C4D47">
      <w:pPr>
        <w:pStyle w:val="COMPara"/>
        <w:ind w:left="567" w:hanging="567"/>
        <w:jc w:val="both"/>
      </w:pPr>
      <w:r w:rsidRPr="001836F4">
        <w:rPr>
          <w:lang w:bidi="es-ES"/>
        </w:rPr>
        <w:t>Este período a que se refiere el informe se ajusta a la Resolución </w:t>
      </w:r>
      <w:hyperlink r:id="rId8" w:history="1">
        <w:r w:rsidRPr="001836F4">
          <w:rPr>
            <w:rStyle w:val="Hyperlink"/>
            <w:lang w:bidi="es-ES"/>
          </w:rPr>
          <w:t>6.GA</w:t>
        </w:r>
        <w:r w:rsidRPr="001836F4">
          <w:rPr>
            <w:rStyle w:val="Hyperlink"/>
            <w:lang w:bidi="es-ES"/>
          </w:rPr>
          <w:t> </w:t>
        </w:r>
        <w:r w:rsidRPr="001836F4">
          <w:rPr>
            <w:rStyle w:val="Hyperlink"/>
            <w:lang w:bidi="es-ES"/>
          </w:rPr>
          <w:t>5</w:t>
        </w:r>
      </w:hyperlink>
      <w:r w:rsidRPr="001836F4">
        <w:rPr>
          <w:lang w:bidi="es-ES"/>
        </w:rPr>
        <w:t xml:space="preserve">, en virtud de la cual la Asamblea General solicitó en 2016 que el Comité utilizara un calendario bienal para sus futuros informes. En este sentido, el informe también contiene un examen de los informes nacionales presentados por los </w:t>
      </w:r>
      <w:proofErr w:type="gramStart"/>
      <w:r w:rsidRPr="001836F4">
        <w:rPr>
          <w:lang w:bidi="es-ES"/>
        </w:rPr>
        <w:t>Estados Partes</w:t>
      </w:r>
      <w:proofErr w:type="gramEnd"/>
      <w:r w:rsidRPr="001836F4">
        <w:rPr>
          <w:lang w:bidi="es-ES"/>
        </w:rPr>
        <w:t>, en el sentido del artículo 29 de la Convención, que fueron aprobados por el Comité durante sus reuniones decimonovena y vigésima.</w:t>
      </w:r>
    </w:p>
    <w:p w14:paraId="5FA2B7DB" w14:textId="5B026BC0" w:rsidR="0057439C" w:rsidRPr="001836F4" w:rsidRDefault="009C4D47" w:rsidP="002D409D">
      <w:pPr>
        <w:pStyle w:val="COMPara"/>
        <w:ind w:left="567" w:hanging="567"/>
        <w:jc w:val="both"/>
      </w:pPr>
      <w:r w:rsidRPr="001836F4">
        <w:rPr>
          <w:lang w:bidi="es-ES"/>
        </w:rPr>
        <w:t xml:space="preserve">Este informe debe leerse </w:t>
      </w:r>
      <w:proofErr w:type="gramStart"/>
      <w:r w:rsidRPr="001836F4">
        <w:rPr>
          <w:lang w:bidi="es-ES"/>
        </w:rPr>
        <w:t>conjuntamente con</w:t>
      </w:r>
      <w:proofErr w:type="gramEnd"/>
      <w:r w:rsidRPr="001836F4">
        <w:rPr>
          <w:lang w:bidi="es-ES"/>
        </w:rPr>
        <w:t xml:space="preserve"> el informe de la Secretaría sobre sus actividades (documento </w:t>
      </w:r>
      <w:hyperlink r:id="rId9" w:history="1">
        <w:r w:rsidRPr="001836F4">
          <w:rPr>
            <w:rStyle w:val="Hyperlink"/>
            <w:lang w:bidi="es-ES"/>
          </w:rPr>
          <w:t>LHE/26/11.GA/6</w:t>
        </w:r>
      </w:hyperlink>
      <w:r w:rsidRPr="001836F4">
        <w:rPr>
          <w:lang w:bidi="es-ES"/>
        </w:rPr>
        <w:t>) y el informe sobre el Fondo del Patrimonio Cultural Inmaterial (documento </w:t>
      </w:r>
      <w:hyperlink r:id="rId10" w:history="1">
        <w:r w:rsidRPr="001836F4">
          <w:rPr>
            <w:rStyle w:val="Hyperlink"/>
            <w:lang w:bidi="es-ES"/>
          </w:rPr>
          <w:t>LHE/26/11.GA/INF.8</w:t>
        </w:r>
      </w:hyperlink>
      <w:r w:rsidRPr="001836F4">
        <w:rPr>
          <w:lang w:bidi="es-ES"/>
        </w:rPr>
        <w:t>).</w:t>
      </w:r>
      <w:r w:rsidR="00171493" w:rsidRPr="001836F4">
        <w:rPr>
          <w:lang w:bidi="es-ES"/>
        </w:rPr>
        <w:t xml:space="preserve"> </w:t>
      </w:r>
    </w:p>
    <w:p w14:paraId="50D3EAFF" w14:textId="3A349EC1" w:rsidR="00D95C4C" w:rsidRPr="001836F4" w:rsidRDefault="005C792B" w:rsidP="005C792B">
      <w:pPr>
        <w:pStyle w:val="COMPara"/>
        <w:ind w:left="567" w:hanging="567"/>
      </w:pPr>
      <w:r w:rsidRPr="001836F4">
        <w:rPr>
          <w:lang w:eastAsia="fr-FR"/>
        </w:rPr>
        <w:t>La Asamblea General podría aprobar la siguiente resolución:</w:t>
      </w:r>
    </w:p>
    <w:p w14:paraId="6CEB1E9D" w14:textId="5DE0037A" w:rsidR="00D95C4C" w:rsidRPr="001836F4" w:rsidRDefault="004A34A0" w:rsidP="001D14FE">
      <w:pPr>
        <w:pStyle w:val="COMTitleDecision"/>
        <w:rPr>
          <w:rFonts w:eastAsia="SimSun"/>
        </w:rPr>
      </w:pPr>
      <w:r w:rsidRPr="001836F4">
        <w:t>PROYECTO DE RESOLUCIÓN 11.GA 5</w:t>
      </w:r>
    </w:p>
    <w:p w14:paraId="13024F0B" w14:textId="5181E164" w:rsidR="00D95C4C" w:rsidRPr="001836F4" w:rsidRDefault="005C792B" w:rsidP="00285BB4">
      <w:pPr>
        <w:pStyle w:val="COMPreambulaDecisions"/>
        <w:rPr>
          <w:rFonts w:eastAsia="SimSun"/>
        </w:rPr>
      </w:pPr>
      <w:r w:rsidRPr="001836F4">
        <w:rPr>
          <w:lang w:bidi="es-ES"/>
        </w:rPr>
        <w:t>La Asamblea General,</w:t>
      </w:r>
    </w:p>
    <w:p w14:paraId="320F8F5A" w14:textId="77777777" w:rsidR="009C4D47" w:rsidRPr="001836F4" w:rsidRDefault="009C4D47" w:rsidP="009C4D47">
      <w:pPr>
        <w:pStyle w:val="COMParaDecision"/>
      </w:pPr>
      <w:r w:rsidRPr="001836F4">
        <w:rPr>
          <w:lang w:bidi="es-ES"/>
        </w:rPr>
        <w:t>Habiendo examinado</w:t>
      </w:r>
      <w:r w:rsidRPr="001836F4">
        <w:rPr>
          <w:u w:val="none"/>
          <w:lang w:bidi="es-ES"/>
        </w:rPr>
        <w:t xml:space="preserve"> el documento LHE/26/11.GA/5 y su anexo,</w:t>
      </w:r>
    </w:p>
    <w:p w14:paraId="19FB403F" w14:textId="535ED8C1" w:rsidR="009C4D47" w:rsidRPr="001836F4" w:rsidRDefault="009C4D47" w:rsidP="009C4D47">
      <w:pPr>
        <w:pStyle w:val="COMParaDecision"/>
      </w:pPr>
      <w:r w:rsidRPr="001836F4">
        <w:rPr>
          <w:lang w:bidi="es-ES"/>
        </w:rPr>
        <w:t>Recordando</w:t>
      </w:r>
      <w:r w:rsidRPr="001836F4">
        <w:rPr>
          <w:u w:val="none"/>
          <w:lang w:bidi="es-ES"/>
        </w:rPr>
        <w:t xml:space="preserve"> el artículo 30 de la Convención y la Resolución</w:t>
      </w:r>
      <w:r w:rsidR="00200394">
        <w:rPr>
          <w:u w:val="none"/>
          <w:lang w:bidi="es-ES"/>
        </w:rPr>
        <w:t xml:space="preserve"> </w:t>
      </w:r>
      <w:hyperlink r:id="rId11" w:history="1">
        <w:r w:rsidRPr="001836F4">
          <w:rPr>
            <w:rStyle w:val="Hyperlink"/>
            <w:lang w:bidi="es-ES"/>
          </w:rPr>
          <w:t>6.G</w:t>
        </w:r>
        <w:r w:rsidRPr="001836F4">
          <w:rPr>
            <w:rStyle w:val="Hyperlink"/>
            <w:lang w:bidi="es-ES"/>
          </w:rPr>
          <w:t>A</w:t>
        </w:r>
        <w:r w:rsidRPr="001836F4">
          <w:rPr>
            <w:rStyle w:val="Hyperlink"/>
            <w:lang w:bidi="es-ES"/>
          </w:rPr>
          <w:t xml:space="preserve"> 5</w:t>
        </w:r>
      </w:hyperlink>
      <w:r w:rsidRPr="001836F4">
        <w:rPr>
          <w:u w:val="none"/>
          <w:lang w:bidi="es-ES"/>
        </w:rPr>
        <w:t>,</w:t>
      </w:r>
    </w:p>
    <w:p w14:paraId="56DC6E7A" w14:textId="43856AF6" w:rsidR="009C4D47" w:rsidRPr="001836F4" w:rsidRDefault="009C4D47" w:rsidP="009C4D47">
      <w:pPr>
        <w:pStyle w:val="COMParaDecision"/>
      </w:pPr>
      <w:r w:rsidRPr="001836F4">
        <w:rPr>
          <w:lang w:bidi="es-ES"/>
        </w:rPr>
        <w:t>Da la bienvenida</w:t>
      </w:r>
      <w:r w:rsidRPr="00200394">
        <w:rPr>
          <w:u w:val="none"/>
          <w:lang w:bidi="es-ES"/>
        </w:rPr>
        <w:t xml:space="preserve"> </w:t>
      </w:r>
      <w:r w:rsidRPr="001836F4">
        <w:rPr>
          <w:u w:val="none"/>
          <w:lang w:bidi="es-ES"/>
        </w:rPr>
        <w:t xml:space="preserve">a Libia, Sierra Leona, Sudáfrica y al Reino Unido de Gran Bretaña e Irlanda del Norte que ratificaron la Convención durante el período </w:t>
      </w:r>
      <w:r w:rsidR="00C62350" w:rsidRPr="001836F4">
        <w:rPr>
          <w:u w:val="none"/>
          <w:lang w:bidi="es-ES"/>
        </w:rPr>
        <w:t>de referencia</w:t>
      </w:r>
      <w:r w:rsidRPr="001836F4">
        <w:rPr>
          <w:u w:val="none"/>
          <w:lang w:bidi="es-ES"/>
        </w:rPr>
        <w:t xml:space="preserve">, con lo que el número total de </w:t>
      </w:r>
      <w:proofErr w:type="gramStart"/>
      <w:r w:rsidRPr="001836F4">
        <w:rPr>
          <w:u w:val="none"/>
          <w:lang w:bidi="es-ES"/>
        </w:rPr>
        <w:t>Estados Partes</w:t>
      </w:r>
      <w:proofErr w:type="gramEnd"/>
      <w:r w:rsidRPr="001836F4">
        <w:rPr>
          <w:u w:val="none"/>
          <w:lang w:bidi="es-ES"/>
        </w:rPr>
        <w:t xml:space="preserve"> asciende a 185, y </w:t>
      </w:r>
      <w:r w:rsidRPr="001836F4">
        <w:rPr>
          <w:lang w:bidi="es-ES"/>
        </w:rPr>
        <w:t>anima</w:t>
      </w:r>
      <w:r w:rsidRPr="001836F4">
        <w:rPr>
          <w:u w:val="none"/>
          <w:lang w:bidi="es-ES"/>
        </w:rPr>
        <w:t xml:space="preserve"> a los Estados que aún no la han ratificado a que consideren la posibilidad de hacerlo;</w:t>
      </w:r>
    </w:p>
    <w:p w14:paraId="618723FF" w14:textId="77777777" w:rsidR="009C4D47" w:rsidRPr="001836F4" w:rsidRDefault="009C4D47" w:rsidP="009C4D47">
      <w:pPr>
        <w:pStyle w:val="COMParaDecision"/>
      </w:pPr>
      <w:r w:rsidRPr="001836F4">
        <w:rPr>
          <w:lang w:bidi="es-ES"/>
        </w:rPr>
        <w:t>Toma nota</w:t>
      </w:r>
      <w:r w:rsidRPr="001836F4">
        <w:rPr>
          <w:u w:val="none"/>
          <w:lang w:bidi="es-ES"/>
        </w:rPr>
        <w:t xml:space="preserve"> del informe del Comité a la Asamblea General sobre sus actividades entre enero de 2024 y diciembre de 2025, que figura en el anexo del presente documento, y </w:t>
      </w:r>
      <w:r w:rsidRPr="001836F4">
        <w:rPr>
          <w:lang w:bidi="es-ES"/>
        </w:rPr>
        <w:t>agradece</w:t>
      </w:r>
      <w:r w:rsidRPr="001836F4">
        <w:rPr>
          <w:u w:val="none"/>
          <w:lang w:bidi="es-ES"/>
        </w:rPr>
        <w:t xml:space="preserve"> al Comité su eficaz labor;</w:t>
      </w:r>
    </w:p>
    <w:p w14:paraId="187CDA23" w14:textId="6BA0F488" w:rsidR="009C4D47" w:rsidRPr="001836F4" w:rsidRDefault="00171493" w:rsidP="009C4D47">
      <w:pPr>
        <w:pStyle w:val="COMParaDecision"/>
      </w:pPr>
      <w:r w:rsidRPr="001836F4">
        <w:rPr>
          <w:lang w:bidi="es-ES"/>
        </w:rPr>
        <w:t>Felicita</w:t>
      </w:r>
      <w:r w:rsidRPr="001836F4">
        <w:rPr>
          <w:u w:val="none"/>
          <w:lang w:bidi="es-ES"/>
        </w:rPr>
        <w:t xml:space="preserve"> </w:t>
      </w:r>
      <w:r w:rsidR="009C4D47" w:rsidRPr="001836F4">
        <w:rPr>
          <w:u w:val="none"/>
          <w:lang w:bidi="es-ES"/>
        </w:rPr>
        <w:t xml:space="preserve">al Comité por haber hecho avanzar las iniciativas temáticas de la Convención, en particular la Nota de orientación sobre la acción climática en favor del patrimonio vivo (2024) y la Nota de orientación sobre la salvaguardia del patrimonio cultural inmaterial en contextos urbanos (2025), además de la Nota de orientación sobre </w:t>
      </w:r>
      <w:r w:rsidR="002D409D" w:rsidRPr="001836F4">
        <w:rPr>
          <w:u w:val="none"/>
          <w:lang w:bidi="es-ES"/>
        </w:rPr>
        <w:t>las dimensiones</w:t>
      </w:r>
      <w:r w:rsidR="009C4D47" w:rsidRPr="001836F4">
        <w:rPr>
          <w:u w:val="none"/>
          <w:lang w:bidi="es-ES"/>
        </w:rPr>
        <w:t xml:space="preserve"> económic</w:t>
      </w:r>
      <w:r w:rsidR="002D409D" w:rsidRPr="001836F4">
        <w:rPr>
          <w:u w:val="none"/>
          <w:lang w:bidi="es-ES"/>
        </w:rPr>
        <w:t>a</w:t>
      </w:r>
      <w:r w:rsidR="009C4D47" w:rsidRPr="001836F4">
        <w:rPr>
          <w:u w:val="none"/>
          <w:lang w:bidi="es-ES"/>
        </w:rPr>
        <w:t xml:space="preserve">s de la salvaguardia del patrimonio cultural inmaterial (2023) establecida anteriormente, y </w:t>
      </w:r>
      <w:r w:rsidR="009C4D47" w:rsidRPr="001836F4">
        <w:rPr>
          <w:lang w:bidi="es-ES"/>
        </w:rPr>
        <w:t>pide</w:t>
      </w:r>
      <w:r w:rsidR="009C4D47" w:rsidRPr="001836F4">
        <w:rPr>
          <w:u w:val="none"/>
          <w:lang w:bidi="es-ES"/>
        </w:rPr>
        <w:t xml:space="preserve"> que se</w:t>
      </w:r>
      <w:r w:rsidR="002D409D" w:rsidRPr="001836F4">
        <w:rPr>
          <w:u w:val="none"/>
          <w:lang w:bidi="es-ES"/>
        </w:rPr>
        <w:t xml:space="preserve"> las</w:t>
      </w:r>
      <w:r w:rsidR="009C4D47" w:rsidRPr="001836F4">
        <w:rPr>
          <w:u w:val="none"/>
          <w:lang w:bidi="es-ES"/>
        </w:rPr>
        <w:t xml:space="preserve"> integren en los programas de la Convención, las intervenciones de fortalecimiento de capacidades y otros marcos internacionales;</w:t>
      </w:r>
    </w:p>
    <w:p w14:paraId="08C924CB" w14:textId="48067345" w:rsidR="009C4D47" w:rsidRPr="001836F4" w:rsidRDefault="00171493" w:rsidP="009C4D47">
      <w:pPr>
        <w:pStyle w:val="COMParaDecision"/>
      </w:pPr>
      <w:r w:rsidRPr="001836F4">
        <w:rPr>
          <w:lang w:bidi="es-ES"/>
        </w:rPr>
        <w:t xml:space="preserve">Felicita </w:t>
      </w:r>
      <w:r w:rsidR="009C4D47" w:rsidRPr="001836F4">
        <w:rPr>
          <w:lang w:bidi="es-ES"/>
        </w:rPr>
        <w:t>además</w:t>
      </w:r>
      <w:r w:rsidR="009C4D47" w:rsidRPr="001836F4">
        <w:rPr>
          <w:u w:val="none"/>
          <w:lang w:bidi="es-ES"/>
        </w:rPr>
        <w:t xml:space="preserve"> al Comité por los progresos realizados en relación con la reflexión sobre una aplicación más amplia del artículo 18, con referencia al establecimiento de la plataforma en línea para compartir buenas experiencias de salvaguardia a fin de reflejar las aspiraciones, las experiencias y los conocimientos de las comunidades de todas las regiones;</w:t>
      </w:r>
    </w:p>
    <w:p w14:paraId="27953C71" w14:textId="7D7D60D8" w:rsidR="009C4D47" w:rsidRPr="001836F4" w:rsidRDefault="009C4D47" w:rsidP="009C4D47">
      <w:pPr>
        <w:pStyle w:val="COMParaDecision"/>
        <w:rPr>
          <w:u w:val="none"/>
        </w:rPr>
      </w:pPr>
      <w:r w:rsidRPr="001836F4">
        <w:rPr>
          <w:lang w:bidi="es-ES"/>
        </w:rPr>
        <w:t>Reconoce</w:t>
      </w:r>
      <w:r w:rsidRPr="001836F4">
        <w:rPr>
          <w:u w:val="none"/>
          <w:lang w:bidi="es-ES"/>
        </w:rPr>
        <w:t xml:space="preserve"> los resultados positivos de las dos prioridades de financiación para 2022-2025 y </w:t>
      </w:r>
      <w:r w:rsidRPr="001836F4">
        <w:rPr>
          <w:lang w:bidi="es-ES"/>
        </w:rPr>
        <w:t>acoge con satisfacción</w:t>
      </w:r>
      <w:r w:rsidRPr="001836F4">
        <w:rPr>
          <w:u w:val="none"/>
          <w:lang w:bidi="es-ES"/>
        </w:rPr>
        <w:t xml:space="preserve"> que el Comité haya aprobado las dos nuevas</w:t>
      </w:r>
      <w:r w:rsidRPr="001836F4">
        <w:rPr>
          <w:rFonts w:asciiTheme="minorBidi" w:hAnsiTheme="minorBidi" w:cstheme="minorBidi"/>
          <w:u w:val="none"/>
          <w:lang w:bidi="es-ES"/>
        </w:rPr>
        <w:t xml:space="preserve"> prioridades de financiación para el período 2026-2029: </w:t>
      </w:r>
      <w:r w:rsidR="002D409D" w:rsidRPr="001836F4">
        <w:rPr>
          <w:rFonts w:asciiTheme="minorBidi" w:hAnsiTheme="minorBidi" w:cstheme="minorBidi"/>
          <w:u w:val="none"/>
          <w:lang w:bidi="es-ES"/>
        </w:rPr>
        <w:t>“</w:t>
      </w:r>
      <w:r w:rsidRPr="001836F4">
        <w:rPr>
          <w:rFonts w:asciiTheme="minorBidi" w:hAnsiTheme="minorBidi" w:cstheme="minorBidi"/>
          <w:u w:val="none"/>
          <w:lang w:bidi="es-ES"/>
        </w:rPr>
        <w:t>Mejorar los enfoques de fortalecimiento de las capacidades para salvaguardar el patrimonio cultural inmaterial centrándose en el bienestar humano y el empoderamiento de la</w:t>
      </w:r>
      <w:r w:rsidR="002D409D" w:rsidRPr="001836F4">
        <w:rPr>
          <w:rFonts w:asciiTheme="minorBidi" w:hAnsiTheme="minorBidi" w:cstheme="minorBidi"/>
          <w:u w:val="none"/>
          <w:lang w:bidi="es-ES"/>
        </w:rPr>
        <w:t>s</w:t>
      </w:r>
      <w:r w:rsidRPr="001836F4">
        <w:rPr>
          <w:rFonts w:asciiTheme="minorBidi" w:hAnsiTheme="minorBidi" w:cstheme="minorBidi"/>
          <w:u w:val="none"/>
          <w:lang w:bidi="es-ES"/>
        </w:rPr>
        <w:t xml:space="preserve"> comunidad</w:t>
      </w:r>
      <w:r w:rsidR="002D409D" w:rsidRPr="001836F4">
        <w:rPr>
          <w:rFonts w:asciiTheme="minorBidi" w:hAnsiTheme="minorBidi" w:cstheme="minorBidi"/>
          <w:u w:val="none"/>
          <w:lang w:bidi="es-ES"/>
        </w:rPr>
        <w:t>es”</w:t>
      </w:r>
      <w:r w:rsidRPr="001836F4">
        <w:rPr>
          <w:rFonts w:asciiTheme="minorBidi" w:hAnsiTheme="minorBidi" w:cstheme="minorBidi"/>
          <w:u w:val="none"/>
          <w:lang w:bidi="es-ES"/>
        </w:rPr>
        <w:t xml:space="preserve"> (Prioridad de financiación A) y </w:t>
      </w:r>
      <w:r w:rsidR="002D409D" w:rsidRPr="001836F4">
        <w:rPr>
          <w:rFonts w:asciiTheme="minorBidi" w:hAnsiTheme="minorBidi" w:cstheme="minorBidi"/>
          <w:u w:val="none"/>
          <w:lang w:bidi="es-ES"/>
        </w:rPr>
        <w:t>“</w:t>
      </w:r>
      <w:r w:rsidRPr="001836F4">
        <w:rPr>
          <w:rFonts w:asciiTheme="minorBidi" w:hAnsiTheme="minorBidi" w:cstheme="minorBidi"/>
          <w:u w:val="none"/>
          <w:lang w:bidi="es-ES"/>
        </w:rPr>
        <w:t>Perfeccionar los enfoques para salvaguardar el patrimonio cultural inmaterial</w:t>
      </w:r>
      <w:r w:rsidR="002D409D" w:rsidRPr="001836F4">
        <w:rPr>
          <w:rFonts w:asciiTheme="minorBidi" w:hAnsiTheme="minorBidi" w:cstheme="minorBidi"/>
          <w:u w:val="none"/>
          <w:lang w:bidi="es-ES"/>
        </w:rPr>
        <w:t>”</w:t>
      </w:r>
      <w:r w:rsidRPr="001836F4">
        <w:rPr>
          <w:rFonts w:asciiTheme="minorBidi" w:hAnsiTheme="minorBidi" w:cstheme="minorBidi"/>
          <w:u w:val="none"/>
          <w:lang w:bidi="es-ES"/>
        </w:rPr>
        <w:t xml:space="preserve"> (Prioridad de financiación B), </w:t>
      </w:r>
      <w:r w:rsidR="002D409D" w:rsidRPr="001836F4">
        <w:rPr>
          <w:rFonts w:asciiTheme="minorBidi" w:hAnsiTheme="minorBidi" w:cstheme="minorBidi"/>
          <w:u w:val="none"/>
          <w:lang w:bidi="es-ES"/>
        </w:rPr>
        <w:t>e</w:t>
      </w:r>
      <w:r w:rsidRPr="001836F4">
        <w:rPr>
          <w:rFonts w:asciiTheme="minorBidi" w:hAnsiTheme="minorBidi" w:cstheme="minorBidi"/>
          <w:u w:val="none"/>
          <w:lang w:bidi="es-ES"/>
        </w:rPr>
        <w:t xml:space="preserve"> </w:t>
      </w:r>
      <w:r w:rsidRPr="001836F4">
        <w:rPr>
          <w:rFonts w:asciiTheme="minorBidi" w:hAnsiTheme="minorBidi" w:cstheme="minorBidi"/>
          <w:lang w:bidi="es-ES"/>
        </w:rPr>
        <w:t>invita</w:t>
      </w:r>
      <w:r w:rsidRPr="001836F4">
        <w:rPr>
          <w:rFonts w:asciiTheme="minorBidi" w:hAnsiTheme="minorBidi" w:cstheme="minorBidi"/>
          <w:u w:val="none"/>
          <w:lang w:bidi="es-ES"/>
        </w:rPr>
        <w:t xml:space="preserve"> a todos los Estados Partes a que aporten contribuciones voluntarias complementarias para apoyar actividades en el ámbito de estas prioridades;</w:t>
      </w:r>
    </w:p>
    <w:p w14:paraId="233C7379" w14:textId="39A5121D" w:rsidR="009C4D47" w:rsidRPr="001836F4" w:rsidRDefault="009C4D47" w:rsidP="009C4D47">
      <w:pPr>
        <w:pStyle w:val="COMParaDecision"/>
        <w:rPr>
          <w:u w:val="none"/>
        </w:rPr>
      </w:pPr>
      <w:r w:rsidRPr="001836F4">
        <w:rPr>
          <w:lang w:bidi="es-ES"/>
        </w:rPr>
        <w:lastRenderedPageBreak/>
        <w:t>Toma nota con satisfacción</w:t>
      </w:r>
      <w:r w:rsidRPr="001836F4">
        <w:rPr>
          <w:u w:val="none"/>
          <w:lang w:bidi="es-ES"/>
        </w:rPr>
        <w:t xml:space="preserve"> de las tasas significativamente elevadas de presentación en el marco del primer ciclo regional de presentación de informes periódicos y </w:t>
      </w:r>
      <w:r w:rsidRPr="001836F4">
        <w:rPr>
          <w:lang w:bidi="es-ES"/>
        </w:rPr>
        <w:t>reconoce</w:t>
      </w:r>
      <w:r w:rsidRPr="001836F4">
        <w:rPr>
          <w:u w:val="none"/>
          <w:lang w:bidi="es-ES"/>
        </w:rPr>
        <w:t xml:space="preserve"> el respaldo del Comité a la </w:t>
      </w:r>
      <w:r w:rsidR="002E2624" w:rsidRPr="001836F4">
        <w:rPr>
          <w:u w:val="none"/>
          <w:lang w:bidi="es-ES"/>
        </w:rPr>
        <w:t xml:space="preserve">transición </w:t>
      </w:r>
      <w:r w:rsidRPr="001836F4">
        <w:rPr>
          <w:u w:val="none"/>
          <w:lang w:bidi="es-ES"/>
        </w:rPr>
        <w:t>hacia un sistema global único para los mecanismos de presentación de informes periódicos;</w:t>
      </w:r>
    </w:p>
    <w:p w14:paraId="5A9F22F3" w14:textId="3D6C1B7E" w:rsidR="0057439C" w:rsidRPr="001836F4" w:rsidRDefault="009C4D47" w:rsidP="009C4D47">
      <w:pPr>
        <w:pStyle w:val="COMParaDecision"/>
      </w:pPr>
      <w:r w:rsidRPr="001836F4">
        <w:rPr>
          <w:lang w:bidi="es-ES"/>
        </w:rPr>
        <w:t>Pide</w:t>
      </w:r>
      <w:r w:rsidRPr="001836F4">
        <w:rPr>
          <w:u w:val="none"/>
          <w:lang w:bidi="es-ES"/>
        </w:rPr>
        <w:t xml:space="preserve"> al </w:t>
      </w:r>
      <w:proofErr w:type="gramStart"/>
      <w:r w:rsidRPr="001836F4">
        <w:rPr>
          <w:u w:val="none"/>
          <w:lang w:bidi="es-ES"/>
        </w:rPr>
        <w:t>Director General</w:t>
      </w:r>
      <w:proofErr w:type="gramEnd"/>
      <w:r w:rsidRPr="001836F4">
        <w:rPr>
          <w:u w:val="none"/>
          <w:lang w:bidi="es-ES"/>
        </w:rPr>
        <w:t xml:space="preserve"> que transmita este informe a la Conferencia General de la UNESCO, de conformidad con el párrafo 2 del Artículo 30 de la Convención.</w:t>
      </w:r>
    </w:p>
    <w:p w14:paraId="19AC5F4A" w14:textId="23EB7589" w:rsidR="00937D53" w:rsidRPr="001836F4" w:rsidRDefault="00937D53">
      <w:pPr>
        <w:rPr>
          <w:rFonts w:ascii="Arial" w:eastAsia="SimSun" w:hAnsi="Arial" w:cs="Arial"/>
          <w:sz w:val="22"/>
          <w:szCs w:val="22"/>
          <w:u w:val="single"/>
        </w:rPr>
      </w:pPr>
      <w:r w:rsidRPr="001836F4">
        <w:rPr>
          <w:lang w:bidi="es-ES"/>
        </w:rPr>
        <w:br w:type="page"/>
      </w:r>
    </w:p>
    <w:p w14:paraId="46972D81" w14:textId="77777777" w:rsidR="00563FFD" w:rsidRPr="001836F4" w:rsidRDefault="00563FFD" w:rsidP="00563FFD">
      <w:pPr>
        <w:pageBreakBefore/>
        <w:spacing w:after="120"/>
        <w:jc w:val="center"/>
        <w:rPr>
          <w:rFonts w:ascii="Arial" w:hAnsi="Arial" w:cs="Arial"/>
          <w:sz w:val="22"/>
          <w:szCs w:val="22"/>
        </w:rPr>
      </w:pPr>
      <w:r w:rsidRPr="001836F4">
        <w:rPr>
          <w:rFonts w:ascii="Arial" w:eastAsia="Arial" w:hAnsi="Arial" w:cs="Arial"/>
          <w:b/>
          <w:sz w:val="22"/>
          <w:szCs w:val="22"/>
          <w:u w:val="single"/>
          <w:lang w:bidi="es-ES"/>
        </w:rPr>
        <w:lastRenderedPageBreak/>
        <w:t>ANEXO</w:t>
      </w:r>
    </w:p>
    <w:p w14:paraId="30B97725" w14:textId="77777777" w:rsidR="00563FFD" w:rsidRPr="001836F4" w:rsidRDefault="00563FFD" w:rsidP="00563FFD">
      <w:pPr>
        <w:spacing w:after="120"/>
        <w:jc w:val="center"/>
        <w:rPr>
          <w:rFonts w:ascii="Arial" w:hAnsi="Arial" w:cs="Arial"/>
          <w:sz w:val="22"/>
          <w:szCs w:val="22"/>
        </w:rPr>
      </w:pPr>
      <w:r w:rsidRPr="001836F4">
        <w:rPr>
          <w:rFonts w:ascii="Arial" w:eastAsia="Arial" w:hAnsi="Arial" w:cs="Arial"/>
          <w:b/>
          <w:sz w:val="22"/>
          <w:szCs w:val="22"/>
          <w:lang w:bidi="es-ES"/>
        </w:rPr>
        <w:t>Informe del Comité a la Asamblea General sobre sus actividades</w:t>
      </w:r>
    </w:p>
    <w:p w14:paraId="561C92A4" w14:textId="77777777" w:rsidR="00563FFD" w:rsidRPr="001836F4" w:rsidRDefault="00563FFD" w:rsidP="00563FFD">
      <w:pPr>
        <w:keepNext/>
        <w:numPr>
          <w:ilvl w:val="0"/>
          <w:numId w:val="24"/>
        </w:numPr>
        <w:tabs>
          <w:tab w:val="num" w:pos="567"/>
        </w:tabs>
        <w:snapToGrid w:val="0"/>
        <w:spacing w:before="240" w:after="120"/>
        <w:ind w:left="561" w:hanging="561"/>
        <w:jc w:val="both"/>
        <w:rPr>
          <w:rFonts w:asciiTheme="minorBidi" w:hAnsiTheme="minorBidi" w:cstheme="minorBidi"/>
          <w:szCs w:val="22"/>
          <w:lang w:val="en-GB"/>
        </w:rPr>
      </w:pPr>
      <w:r w:rsidRPr="001836F4">
        <w:rPr>
          <w:rFonts w:ascii="Arial" w:eastAsia="Arial" w:hAnsi="Arial" w:cs="Arial"/>
          <w:b/>
          <w:sz w:val="22"/>
          <w:szCs w:val="22"/>
          <w:lang w:bidi="es-ES"/>
        </w:rPr>
        <w:t>Introducción</w:t>
      </w:r>
    </w:p>
    <w:p w14:paraId="2132935E" w14:textId="77777777" w:rsidR="00563FFD" w:rsidRPr="001836F4" w:rsidRDefault="00563FFD" w:rsidP="00563FFD">
      <w:pPr>
        <w:pStyle w:val="Marge"/>
        <w:numPr>
          <w:ilvl w:val="0"/>
          <w:numId w:val="23"/>
        </w:numPr>
        <w:tabs>
          <w:tab w:val="clear" w:pos="502"/>
          <w:tab w:val="clear" w:pos="567"/>
          <w:tab w:val="num" w:pos="1276"/>
        </w:tabs>
        <w:spacing w:after="120"/>
        <w:ind w:left="567" w:hanging="567"/>
        <w:rPr>
          <w:rFonts w:asciiTheme="minorBidi" w:hAnsiTheme="minorBidi" w:cstheme="minorBidi"/>
          <w:szCs w:val="22"/>
          <w:lang w:val="es-BO"/>
        </w:rPr>
      </w:pPr>
      <w:r w:rsidRPr="001836F4">
        <w:rPr>
          <w:rFonts w:asciiTheme="minorBidi" w:hAnsiTheme="minorBidi" w:cstheme="minorBidi"/>
          <w:szCs w:val="22"/>
          <w:lang w:bidi="es-ES"/>
        </w:rPr>
        <w:t>Las funciones del Comité se establecen en la Convención para la Salvaguardia del Patrimonio Cultural Inmaterial de 2003, en particular en su Artículo 7.</w:t>
      </w:r>
    </w:p>
    <w:p w14:paraId="2C4C454E" w14:textId="77777777" w:rsidR="00563FFD" w:rsidRPr="001836F4" w:rsidRDefault="00563FFD" w:rsidP="00563FFD">
      <w:pPr>
        <w:pStyle w:val="Marge"/>
        <w:numPr>
          <w:ilvl w:val="0"/>
          <w:numId w:val="23"/>
        </w:numPr>
        <w:tabs>
          <w:tab w:val="clear" w:pos="502"/>
          <w:tab w:val="clear" w:pos="567"/>
          <w:tab w:val="num" w:pos="1276"/>
        </w:tabs>
        <w:spacing w:after="120"/>
        <w:ind w:left="567" w:hanging="567"/>
        <w:rPr>
          <w:lang w:val="es-BO"/>
        </w:rPr>
      </w:pPr>
      <w:r w:rsidRPr="001836F4">
        <w:rPr>
          <w:lang w:bidi="es-ES"/>
        </w:rPr>
        <w:t xml:space="preserve">En 2024, </w:t>
      </w:r>
      <w:r w:rsidRPr="001836F4">
        <w:rPr>
          <w:rFonts w:asciiTheme="minorBidi" w:hAnsiTheme="minorBidi" w:cstheme="minorBidi"/>
          <w:lang w:bidi="es-ES"/>
        </w:rPr>
        <w:t>la Asamblea General renovó la mitad del Comité al elegir a doce Estados Partes junto con los miembros actuales</w:t>
      </w:r>
      <w:r w:rsidRPr="001836F4">
        <w:rPr>
          <w:lang w:bidi="es-ES"/>
        </w:rPr>
        <w:t xml:space="preserve">: Alemania, Angola, Argelia*, Bangladesh, Barbados*, Burkina Faso, China*, Emiratos Árabes Unidos*, Eslovaquia, España*, Etiopía, Francia*, Haití*, India, Malasia, Mauritania, Nigeria*, Paraguay, República Dominicana*, Ucrania*, Uganda*, Uzbekistán, Viet Nam y Zambia* </w:t>
      </w:r>
      <w:r w:rsidRPr="001836F4">
        <w:rPr>
          <w:rFonts w:asciiTheme="minorBidi" w:hAnsiTheme="minorBidi" w:cstheme="minorBidi"/>
          <w:lang w:bidi="es-ES"/>
        </w:rPr>
        <w:t>(los indicados con un asterisco tienen un mandato entre 2024 y 2028; el mandato de los que no tienen asterisco es entre 2022 y 2026)</w:t>
      </w:r>
      <w:r w:rsidRPr="001836F4">
        <w:rPr>
          <w:lang w:bidi="es-ES"/>
        </w:rPr>
        <w:t>.</w:t>
      </w:r>
    </w:p>
    <w:p w14:paraId="050B981B" w14:textId="6290FECF" w:rsidR="00563FFD" w:rsidRPr="001836F4" w:rsidRDefault="00563FFD" w:rsidP="00563FFD">
      <w:pPr>
        <w:pStyle w:val="Marge"/>
        <w:numPr>
          <w:ilvl w:val="0"/>
          <w:numId w:val="23"/>
        </w:numPr>
        <w:tabs>
          <w:tab w:val="clear" w:pos="502"/>
          <w:tab w:val="clear" w:pos="567"/>
          <w:tab w:val="num" w:pos="1276"/>
        </w:tabs>
        <w:spacing w:after="120"/>
        <w:ind w:left="567" w:hanging="567"/>
      </w:pPr>
      <w:r w:rsidRPr="001836F4">
        <w:rPr>
          <w:lang w:bidi="es-ES"/>
        </w:rPr>
        <w:t>La reunión ordinaria del Comité se convocó en dos ocasiones: del 2 al 6 de diciembre de 2024 (Asunción, República del Paraguay) para su decimonovena reunión (en adelante</w:t>
      </w:r>
      <w:r w:rsidR="00263B02" w:rsidRPr="001836F4">
        <w:rPr>
          <w:lang w:bidi="es-ES"/>
        </w:rPr>
        <w:t>,</w:t>
      </w:r>
      <w:r w:rsidRPr="001836F4">
        <w:rPr>
          <w:lang w:bidi="es-ES"/>
        </w:rPr>
        <w:t xml:space="preserve"> </w:t>
      </w:r>
      <w:r w:rsidR="00711356" w:rsidRPr="001836F4">
        <w:rPr>
          <w:lang w:bidi="es-ES"/>
        </w:rPr>
        <w:t>“</w:t>
      </w:r>
      <w:r w:rsidRPr="001836F4">
        <w:rPr>
          <w:lang w:bidi="es-ES"/>
        </w:rPr>
        <w:t>19.COM</w:t>
      </w:r>
      <w:r w:rsidR="00711356" w:rsidRPr="001836F4">
        <w:rPr>
          <w:lang w:bidi="es-ES"/>
        </w:rPr>
        <w:t>”</w:t>
      </w:r>
      <w:r w:rsidRPr="001836F4">
        <w:rPr>
          <w:lang w:bidi="es-ES"/>
        </w:rPr>
        <w:t>), y del 8 al 12 de diciembre de 2025 (Nueva Delhi, República de la India) para su vigésima reunión (en adelante</w:t>
      </w:r>
      <w:r w:rsidR="00263B02" w:rsidRPr="001836F4">
        <w:rPr>
          <w:lang w:bidi="es-ES"/>
        </w:rPr>
        <w:t>,</w:t>
      </w:r>
      <w:r w:rsidRPr="001836F4">
        <w:rPr>
          <w:lang w:bidi="es-ES"/>
        </w:rPr>
        <w:t xml:space="preserve"> </w:t>
      </w:r>
      <w:r w:rsidR="00711356" w:rsidRPr="001836F4">
        <w:rPr>
          <w:lang w:bidi="es-ES"/>
        </w:rPr>
        <w:t>“</w:t>
      </w:r>
      <w:r w:rsidRPr="001836F4">
        <w:rPr>
          <w:lang w:bidi="es-ES"/>
        </w:rPr>
        <w:t>20.COM</w:t>
      </w:r>
      <w:r w:rsidR="00711356" w:rsidRPr="001836F4">
        <w:rPr>
          <w:lang w:bidi="es-ES"/>
        </w:rPr>
        <w:t>”</w:t>
      </w:r>
      <w:r w:rsidRPr="001836F4">
        <w:rPr>
          <w:lang w:bidi="es-ES"/>
        </w:rPr>
        <w:t xml:space="preserve">). Además, del 24 al 31 de enero de 2025, tuvo lugar un intercambio electrónico de los miembros del Comité. La Mesa de la 19.COM estaba compuesta por: </w:t>
      </w:r>
      <w:r w:rsidR="00711356" w:rsidRPr="001836F4">
        <w:rPr>
          <w:lang w:bidi="es-ES"/>
        </w:rPr>
        <w:t>l</w:t>
      </w:r>
      <w:r w:rsidRPr="001836F4">
        <w:rPr>
          <w:lang w:bidi="es-ES"/>
        </w:rPr>
        <w:t xml:space="preserve">a Excma. Sra. Nancy Ovelar de Gorostiaga (Paraguay) como </w:t>
      </w:r>
      <w:proofErr w:type="gramStart"/>
      <w:r w:rsidRPr="001836F4">
        <w:rPr>
          <w:lang w:bidi="es-ES"/>
        </w:rPr>
        <w:t>Presidenta</w:t>
      </w:r>
      <w:proofErr w:type="gramEnd"/>
      <w:r w:rsidRPr="001836F4">
        <w:rPr>
          <w:lang w:bidi="es-ES"/>
        </w:rPr>
        <w:t xml:space="preserve">; Alemania, Uzbekistán, Viet Nam, Angola y Mauritania como </w:t>
      </w:r>
      <w:proofErr w:type="gramStart"/>
      <w:r w:rsidRPr="001836F4">
        <w:rPr>
          <w:lang w:bidi="es-ES"/>
        </w:rPr>
        <w:t>Vicepresiden</w:t>
      </w:r>
      <w:r w:rsidR="0028789B" w:rsidRPr="001836F4">
        <w:rPr>
          <w:lang w:bidi="es-ES"/>
        </w:rPr>
        <w:t>tes</w:t>
      </w:r>
      <w:proofErr w:type="gramEnd"/>
      <w:r w:rsidRPr="001836F4">
        <w:rPr>
          <w:lang w:bidi="es-ES"/>
        </w:rPr>
        <w:t xml:space="preserve">; y </w:t>
      </w:r>
      <w:r w:rsidR="00711356" w:rsidRPr="001836F4">
        <w:rPr>
          <w:lang w:bidi="es-ES"/>
        </w:rPr>
        <w:t xml:space="preserve">la Sra. </w:t>
      </w:r>
      <w:r w:rsidRPr="001836F4">
        <w:rPr>
          <w:lang w:bidi="es-ES"/>
        </w:rPr>
        <w:t xml:space="preserve">Ľubica </w:t>
      </w:r>
      <w:proofErr w:type="spellStart"/>
      <w:r w:rsidRPr="001836F4">
        <w:rPr>
          <w:lang w:bidi="es-ES"/>
        </w:rPr>
        <w:t>Voľanská</w:t>
      </w:r>
      <w:proofErr w:type="spellEnd"/>
      <w:r w:rsidRPr="001836F4">
        <w:rPr>
          <w:lang w:bidi="es-ES"/>
        </w:rPr>
        <w:t xml:space="preserve"> (Eslovaquia) como Relatora. La Mesa de la 20.COM estaba compuesta por: </w:t>
      </w:r>
      <w:r w:rsidR="00711356" w:rsidRPr="001836F4">
        <w:rPr>
          <w:lang w:bidi="es-ES"/>
        </w:rPr>
        <w:t>e</w:t>
      </w:r>
      <w:r w:rsidRPr="001836F4">
        <w:rPr>
          <w:lang w:bidi="es-ES"/>
        </w:rPr>
        <w:t xml:space="preserve">l Excmo. Sr. Vishal V. Sharma (India) como </w:t>
      </w:r>
      <w:proofErr w:type="gramStart"/>
      <w:r w:rsidRPr="001836F4">
        <w:rPr>
          <w:lang w:bidi="es-ES"/>
        </w:rPr>
        <w:t>Presidente</w:t>
      </w:r>
      <w:proofErr w:type="gramEnd"/>
      <w:r w:rsidRPr="001836F4">
        <w:rPr>
          <w:lang w:bidi="es-ES"/>
        </w:rPr>
        <w:t xml:space="preserve">; Francia, Eslovaquia, Barbados, Etiopía y Mauritania como </w:t>
      </w:r>
      <w:proofErr w:type="gramStart"/>
      <w:r w:rsidRPr="001836F4">
        <w:rPr>
          <w:lang w:bidi="es-ES"/>
        </w:rPr>
        <w:t>Vicepresiden</w:t>
      </w:r>
      <w:r w:rsidR="0028789B" w:rsidRPr="001836F4">
        <w:rPr>
          <w:lang w:bidi="es-ES"/>
        </w:rPr>
        <w:t>tes</w:t>
      </w:r>
      <w:proofErr w:type="gramEnd"/>
      <w:r w:rsidRPr="001836F4">
        <w:rPr>
          <w:lang w:bidi="es-ES"/>
        </w:rPr>
        <w:t>; y la Sra. Aysha Kamali (Emiratos Árabes Unidos) como Relatora</w:t>
      </w:r>
      <w:r w:rsidRPr="001836F4">
        <w:rPr>
          <w:rStyle w:val="FootnoteReference"/>
          <w:rFonts w:asciiTheme="minorBidi" w:hAnsiTheme="minorBidi" w:cstheme="minorBidi"/>
          <w:szCs w:val="22"/>
          <w:lang w:bidi="es-ES"/>
        </w:rPr>
        <w:footnoteReference w:id="1"/>
      </w:r>
      <w:r w:rsidRPr="001836F4">
        <w:rPr>
          <w:lang w:bidi="es-ES"/>
        </w:rPr>
        <w:t>.</w:t>
      </w:r>
    </w:p>
    <w:p w14:paraId="28D70453" w14:textId="7076E53C" w:rsidR="00563FFD" w:rsidRPr="001836F4" w:rsidRDefault="00563FFD" w:rsidP="00563FFD">
      <w:pPr>
        <w:pStyle w:val="Marge"/>
        <w:numPr>
          <w:ilvl w:val="0"/>
          <w:numId w:val="23"/>
        </w:numPr>
        <w:tabs>
          <w:tab w:val="clear" w:pos="502"/>
          <w:tab w:val="num" w:pos="567"/>
        </w:tabs>
        <w:spacing w:before="120" w:after="120"/>
        <w:ind w:left="567" w:hanging="567"/>
        <w:rPr>
          <w:lang w:val="es-BO"/>
        </w:rPr>
      </w:pPr>
      <w:r w:rsidRPr="001836F4">
        <w:rPr>
          <w:lang w:bidi="es-ES"/>
        </w:rPr>
        <w:t>La Mesa se reunió durante las dos reuniones del Comité, desde el martes hasta el último día de la reunión. Durante el período</w:t>
      </w:r>
      <w:r w:rsidR="002B2310" w:rsidRPr="001836F4">
        <w:rPr>
          <w:lang w:bidi="es-ES"/>
        </w:rPr>
        <w:t xml:space="preserve"> </w:t>
      </w:r>
      <w:r w:rsidRPr="001836F4">
        <w:rPr>
          <w:lang w:bidi="es-ES"/>
        </w:rPr>
        <w:t>de</w:t>
      </w:r>
      <w:r w:rsidR="002B2310" w:rsidRPr="001836F4">
        <w:rPr>
          <w:lang w:bidi="es-ES"/>
        </w:rPr>
        <w:t xml:space="preserve"> referencia</w:t>
      </w:r>
      <w:r w:rsidRPr="001836F4">
        <w:rPr>
          <w:lang w:bidi="es-ES"/>
        </w:rPr>
        <w:t xml:space="preserve">, también se reunió </w:t>
      </w:r>
      <w:r w:rsidR="00761134" w:rsidRPr="001836F4">
        <w:rPr>
          <w:lang w:bidi="es-ES"/>
        </w:rPr>
        <w:t xml:space="preserve">siete </w:t>
      </w:r>
      <w:r w:rsidRPr="001836F4">
        <w:rPr>
          <w:lang w:bidi="es-ES"/>
        </w:rPr>
        <w:t>veces presencialmente en la Sede de la UNESCO, excepto las reuniones celebradas el 1 de diciembre de 2024 (Asunción, República del Paraguay) y el 7 de diciembre de 2025 (Nueva Delhi, República de la India), el 5 de marzo de 2024 (19.COM 1.BUR), el 4 de junio de 2024 (19.COM 2.BUR), el 1 de octubre de 2024</w:t>
      </w:r>
      <w:r w:rsidR="00761134" w:rsidRPr="001836F4">
        <w:rPr>
          <w:lang w:bidi="es-ES"/>
        </w:rPr>
        <w:t xml:space="preserve"> </w:t>
      </w:r>
      <w:r w:rsidRPr="001836F4">
        <w:rPr>
          <w:rFonts w:asciiTheme="minorBidi" w:hAnsiTheme="minorBidi" w:cstheme="minorBidi"/>
          <w:szCs w:val="22"/>
          <w:lang w:bidi="es-ES"/>
        </w:rPr>
        <w:t>(</w:t>
      </w:r>
      <w:r w:rsidRPr="001836F4">
        <w:rPr>
          <w:lang w:bidi="es-ES"/>
        </w:rPr>
        <w:t>19.COM 3.BUR), el 30 de octubre de 2024 (19.COM 4.BUR), el 11 de marzo de 2025 (20.COM 2.BUR), el 11 de junio de 2025 (20.COM 3.BUR) y el 23 de octubre de 2025 (20.COM 4.BUR). Además, en enero de 2025 se realizó una consulta electrónica (20.COM 1.BUR).</w:t>
      </w:r>
    </w:p>
    <w:p w14:paraId="5BCDA6B0" w14:textId="3DC08A7D" w:rsidR="00563FFD" w:rsidRPr="001836F4" w:rsidRDefault="00563FFD" w:rsidP="00563FFD">
      <w:pPr>
        <w:pStyle w:val="Marge"/>
        <w:numPr>
          <w:ilvl w:val="0"/>
          <w:numId w:val="23"/>
        </w:numPr>
        <w:tabs>
          <w:tab w:val="clear" w:pos="502"/>
          <w:tab w:val="num" w:pos="567"/>
        </w:tabs>
        <w:spacing w:before="120" w:after="120"/>
        <w:ind w:left="567" w:hanging="567"/>
        <w:rPr>
          <w:rFonts w:asciiTheme="minorBidi" w:hAnsiTheme="minorBidi" w:cstheme="minorBidi"/>
          <w:szCs w:val="22"/>
          <w:lang w:val="es-BO"/>
        </w:rPr>
      </w:pPr>
      <w:r w:rsidRPr="001836F4">
        <w:rPr>
          <w:rFonts w:asciiTheme="minorBidi" w:hAnsiTheme="minorBidi" w:cstheme="minorBidi"/>
          <w:szCs w:val="22"/>
          <w:lang w:bidi="es-ES"/>
        </w:rPr>
        <w:t xml:space="preserve">El Comité y su Mesa examinaron un total de 91 puntos incluidos en sus órdenes del día, que iban acompañados de 80 documentos de trabajo o de información, 13 candidaturas para la Lista de Salvaguardia Urgente </w:t>
      </w:r>
      <w:r w:rsidRPr="001836F4">
        <w:rPr>
          <w:lang w:bidi="es-ES"/>
        </w:rPr>
        <w:t xml:space="preserve">(incluidas </w:t>
      </w:r>
      <w:r w:rsidR="00033ABA" w:rsidRPr="001836F4">
        <w:rPr>
          <w:lang w:bidi="es-ES"/>
        </w:rPr>
        <w:t>tres</w:t>
      </w:r>
      <w:r w:rsidRPr="001836F4">
        <w:rPr>
          <w:lang w:bidi="es-ES"/>
        </w:rPr>
        <w:t xml:space="preserve"> candidaturas junto con una solicitud de asistencia internacional),</w:t>
      </w:r>
      <w:r w:rsidRPr="001836F4">
        <w:rPr>
          <w:rFonts w:asciiTheme="minorBidi" w:hAnsiTheme="minorBidi" w:cstheme="minorBidi"/>
          <w:szCs w:val="22"/>
          <w:lang w:bidi="es-ES"/>
        </w:rPr>
        <w:t xml:space="preserve"> 111 candidaturas para la Lista Representativa, </w:t>
      </w:r>
      <w:r w:rsidR="00033ABA" w:rsidRPr="001836F4">
        <w:rPr>
          <w:rFonts w:asciiTheme="minorBidi" w:hAnsiTheme="minorBidi" w:cstheme="minorBidi"/>
          <w:szCs w:val="22"/>
          <w:lang w:bidi="es-ES"/>
        </w:rPr>
        <w:t>cuatro</w:t>
      </w:r>
      <w:r w:rsidRPr="001836F4">
        <w:rPr>
          <w:rFonts w:asciiTheme="minorBidi" w:hAnsiTheme="minorBidi" w:cstheme="minorBidi"/>
          <w:szCs w:val="22"/>
          <w:lang w:bidi="es-ES"/>
        </w:rPr>
        <w:t xml:space="preserve"> candidaturas para el Registro de Buenas Prácticas de Salvaguardia, </w:t>
      </w:r>
      <w:r w:rsidR="00033ABA" w:rsidRPr="001836F4">
        <w:rPr>
          <w:rFonts w:asciiTheme="minorBidi" w:hAnsiTheme="minorBidi" w:cstheme="minorBidi"/>
          <w:szCs w:val="22"/>
          <w:lang w:bidi="es-ES"/>
        </w:rPr>
        <w:t>cinco</w:t>
      </w:r>
      <w:r w:rsidRPr="001836F4">
        <w:rPr>
          <w:rFonts w:asciiTheme="minorBidi" w:hAnsiTheme="minorBidi" w:cstheme="minorBidi"/>
          <w:szCs w:val="22"/>
          <w:lang w:bidi="es-ES"/>
        </w:rPr>
        <w:t xml:space="preserve"> solicitudes de traspaso de un elemento de una lista a la otra y 24 solicitudes “independientes” de asistencia internacional, 108 informes periódicos presentados por los Estados Partes y 185</w:t>
      </w:r>
      <w:r w:rsidR="00033ABA" w:rsidRPr="001836F4">
        <w:rPr>
          <w:rFonts w:asciiTheme="minorBidi" w:hAnsiTheme="minorBidi" w:cstheme="minorBidi"/>
          <w:szCs w:val="22"/>
          <w:lang w:bidi="es-ES"/>
        </w:rPr>
        <w:t xml:space="preserve"> </w:t>
      </w:r>
      <w:r w:rsidRPr="001836F4">
        <w:rPr>
          <w:rFonts w:asciiTheme="minorBidi" w:hAnsiTheme="minorBidi" w:cstheme="minorBidi"/>
          <w:szCs w:val="22"/>
          <w:lang w:bidi="es-ES"/>
        </w:rPr>
        <w:t>solicitudes de acreditación o renovación de organizaciones no gubernamentales (en adelante, “ONG”).</w:t>
      </w:r>
    </w:p>
    <w:p w14:paraId="7B80932A" w14:textId="60450189" w:rsidR="00563FFD" w:rsidRPr="001836F4" w:rsidRDefault="00563FFD" w:rsidP="00563FFD">
      <w:pPr>
        <w:widowControl w:val="0"/>
        <w:numPr>
          <w:ilvl w:val="0"/>
          <w:numId w:val="24"/>
        </w:numPr>
        <w:tabs>
          <w:tab w:val="num" w:pos="567"/>
        </w:tabs>
        <w:snapToGrid w:val="0"/>
        <w:spacing w:before="240" w:after="120"/>
        <w:ind w:left="567" w:hanging="567"/>
        <w:jc w:val="both"/>
        <w:rPr>
          <w:rFonts w:ascii="Arial" w:hAnsi="Arial" w:cs="Arial"/>
          <w:b/>
          <w:sz w:val="22"/>
          <w:szCs w:val="22"/>
          <w:lang w:val="es-BO"/>
        </w:rPr>
      </w:pPr>
      <w:r w:rsidRPr="001836F4">
        <w:rPr>
          <w:rFonts w:ascii="Arial" w:eastAsia="Arial" w:hAnsi="Arial" w:cs="Arial"/>
          <w:b/>
          <w:sz w:val="22"/>
          <w:szCs w:val="22"/>
          <w:lang w:bidi="es-ES"/>
        </w:rPr>
        <w:t>Promoción de los objetivos de la Convención</w:t>
      </w:r>
      <w:r w:rsidR="00263B02" w:rsidRPr="001836F4">
        <w:rPr>
          <w:rFonts w:ascii="Arial" w:eastAsia="Arial" w:hAnsi="Arial" w:cs="Arial"/>
          <w:b/>
          <w:sz w:val="22"/>
          <w:szCs w:val="22"/>
          <w:lang w:bidi="es-ES"/>
        </w:rPr>
        <w:t>,</w:t>
      </w:r>
      <w:r w:rsidRPr="001836F4">
        <w:rPr>
          <w:rFonts w:ascii="Arial" w:eastAsia="Arial" w:hAnsi="Arial" w:cs="Arial"/>
          <w:b/>
          <w:sz w:val="22"/>
          <w:szCs w:val="22"/>
          <w:lang w:bidi="es-ES"/>
        </w:rPr>
        <w:t xml:space="preserve"> fomento y seguimiento de su aplicación, </w:t>
      </w:r>
      <w:r w:rsidR="0028789B" w:rsidRPr="001836F4">
        <w:rPr>
          <w:rFonts w:ascii="Arial" w:eastAsia="Arial" w:hAnsi="Arial" w:cs="Arial"/>
          <w:b/>
          <w:sz w:val="22"/>
          <w:szCs w:val="22"/>
          <w:lang w:bidi="es-ES"/>
        </w:rPr>
        <w:t>y</w:t>
      </w:r>
      <w:r w:rsidRPr="001836F4">
        <w:rPr>
          <w:rFonts w:ascii="Arial" w:eastAsia="Arial" w:hAnsi="Arial" w:cs="Arial"/>
          <w:b/>
          <w:sz w:val="22"/>
          <w:szCs w:val="22"/>
          <w:lang w:bidi="es-ES"/>
        </w:rPr>
        <w:t xml:space="preserve"> asesoramiento sobre medidas </w:t>
      </w:r>
      <w:r w:rsidR="00263B02" w:rsidRPr="001836F4">
        <w:rPr>
          <w:rFonts w:ascii="Arial" w:eastAsia="Arial" w:hAnsi="Arial" w:cs="Arial"/>
          <w:b/>
          <w:sz w:val="22"/>
          <w:szCs w:val="22"/>
          <w:lang w:bidi="es-ES"/>
        </w:rPr>
        <w:t>de</w:t>
      </w:r>
      <w:r w:rsidRPr="001836F4">
        <w:rPr>
          <w:rFonts w:ascii="Arial" w:eastAsia="Arial" w:hAnsi="Arial" w:cs="Arial"/>
          <w:b/>
          <w:sz w:val="22"/>
          <w:szCs w:val="22"/>
          <w:lang w:bidi="es-ES"/>
        </w:rPr>
        <w:t xml:space="preserve"> salvaguardia</w:t>
      </w:r>
      <w:r w:rsidR="0028789B" w:rsidRPr="001836F4">
        <w:rPr>
          <w:rFonts w:ascii="Arial" w:eastAsia="Arial" w:hAnsi="Arial" w:cs="Arial"/>
          <w:b/>
          <w:sz w:val="22"/>
          <w:szCs w:val="22"/>
          <w:lang w:bidi="es-ES"/>
        </w:rPr>
        <w:t xml:space="preserve"> y buenas prácticas </w:t>
      </w:r>
      <w:r w:rsidRPr="001836F4">
        <w:rPr>
          <w:rFonts w:ascii="Arial" w:eastAsia="Arial" w:hAnsi="Arial" w:cs="Arial"/>
          <w:sz w:val="22"/>
          <w:szCs w:val="22"/>
          <w:lang w:bidi="es-ES"/>
        </w:rPr>
        <w:t>(artículos 7</w:t>
      </w:r>
      <w:r w:rsidR="0028789B" w:rsidRPr="001836F4">
        <w:rPr>
          <w:rFonts w:ascii="Arial" w:eastAsia="Arial" w:hAnsi="Arial" w:cs="Arial"/>
          <w:sz w:val="22"/>
          <w:szCs w:val="22"/>
          <w:lang w:bidi="es-ES"/>
        </w:rPr>
        <w:t>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a</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 xml:space="preserve"> y 7</w:t>
      </w:r>
      <w:r w:rsidR="0028789B" w:rsidRPr="001836F4">
        <w:rPr>
          <w:rFonts w:ascii="Arial" w:eastAsia="Arial" w:hAnsi="Arial" w:cs="Arial"/>
          <w:sz w:val="22"/>
          <w:szCs w:val="22"/>
          <w:lang w:bidi="es-ES"/>
        </w:rPr>
        <w:t>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b</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w:t>
      </w:r>
    </w:p>
    <w:p w14:paraId="0E9A9B50" w14:textId="77777777" w:rsidR="00563FFD" w:rsidRPr="001836F4" w:rsidRDefault="00563FFD" w:rsidP="00563FFD">
      <w:pPr>
        <w:pStyle w:val="ListParagraph"/>
        <w:widowControl w:val="0"/>
        <w:numPr>
          <w:ilvl w:val="0"/>
          <w:numId w:val="25"/>
        </w:numPr>
        <w:tabs>
          <w:tab w:val="num" w:pos="567"/>
        </w:tabs>
        <w:snapToGrid w:val="0"/>
        <w:spacing w:before="120" w:after="120"/>
        <w:ind w:left="567" w:hanging="567"/>
        <w:contextualSpacing w:val="0"/>
        <w:rPr>
          <w:rFonts w:ascii="Arial" w:hAnsi="Arial" w:cs="Arial"/>
          <w:b/>
          <w:sz w:val="22"/>
          <w:szCs w:val="22"/>
          <w:lang w:val="en-GB"/>
        </w:rPr>
      </w:pPr>
      <w:r w:rsidRPr="001836F4">
        <w:rPr>
          <w:rFonts w:ascii="Arial" w:eastAsia="Arial" w:hAnsi="Arial" w:cs="Arial"/>
          <w:b/>
          <w:sz w:val="22"/>
          <w:szCs w:val="22"/>
          <w:lang w:bidi="es-ES"/>
        </w:rPr>
        <w:t>Ratificación</w:t>
      </w:r>
    </w:p>
    <w:p w14:paraId="5C44F2A6" w14:textId="77777777" w:rsidR="00563FFD" w:rsidRPr="001836F4" w:rsidRDefault="00563FFD" w:rsidP="00563FFD">
      <w:pPr>
        <w:pStyle w:val="Marge"/>
        <w:widowControl w:val="0"/>
        <w:numPr>
          <w:ilvl w:val="0"/>
          <w:numId w:val="23"/>
        </w:numPr>
        <w:tabs>
          <w:tab w:val="clear" w:pos="502"/>
          <w:tab w:val="num" w:pos="567"/>
        </w:tabs>
        <w:spacing w:before="120" w:after="120"/>
        <w:ind w:left="567" w:hanging="567"/>
        <w:rPr>
          <w:lang w:val="es-BO"/>
        </w:rPr>
      </w:pPr>
      <w:r w:rsidRPr="001836F4">
        <w:rPr>
          <w:lang w:bidi="es-ES"/>
        </w:rPr>
        <w:t xml:space="preserve">Tras las ratificaciones de Libia, el Reino Unido de Gran Bretaña </w:t>
      </w:r>
      <w:r w:rsidRPr="001836F4">
        <w:rPr>
          <w:rFonts w:asciiTheme="minorBidi" w:hAnsiTheme="minorBidi" w:cstheme="minorBidi"/>
          <w:szCs w:val="22"/>
          <w:lang w:bidi="es-ES"/>
        </w:rPr>
        <w:t>e</w:t>
      </w:r>
      <w:r w:rsidRPr="001836F4">
        <w:rPr>
          <w:lang w:bidi="es-ES"/>
        </w:rPr>
        <w:t xml:space="preserve"> Irlanda del Norte, Sierra Leona y Sudáfrica, 185 Estados forman parte de la Convención a 31 de diciembre de 2025.</w:t>
      </w:r>
    </w:p>
    <w:p w14:paraId="5C1DB90C" w14:textId="5258D34A" w:rsidR="00563FFD" w:rsidRPr="001836F4" w:rsidRDefault="00563FFD" w:rsidP="00563FFD">
      <w:pPr>
        <w:pStyle w:val="ListParagraph"/>
        <w:widowControl w:val="0"/>
        <w:numPr>
          <w:ilvl w:val="0"/>
          <w:numId w:val="25"/>
        </w:numPr>
        <w:spacing w:before="120" w:after="120"/>
        <w:ind w:left="561" w:hanging="561"/>
        <w:contextualSpacing w:val="0"/>
        <w:jc w:val="both"/>
        <w:rPr>
          <w:rFonts w:asciiTheme="minorBidi" w:hAnsiTheme="minorBidi" w:cstheme="minorBidi"/>
          <w:b/>
          <w:sz w:val="22"/>
          <w:szCs w:val="22"/>
          <w:lang w:val="es-BO"/>
        </w:rPr>
      </w:pPr>
      <w:r w:rsidRPr="001836F4">
        <w:rPr>
          <w:rFonts w:ascii="Arial" w:eastAsia="Arial" w:hAnsi="Arial" w:cs="Arial"/>
          <w:b/>
          <w:sz w:val="22"/>
          <w:szCs w:val="22"/>
          <w:lang w:bidi="es-ES"/>
        </w:rPr>
        <w:t xml:space="preserve">Refuerzo del programa de fortalecimiento de capacidades </w:t>
      </w:r>
      <w:r w:rsidR="0028789B" w:rsidRPr="001836F4">
        <w:rPr>
          <w:rFonts w:ascii="Arial" w:eastAsia="Arial" w:hAnsi="Arial" w:cs="Arial"/>
          <w:b/>
          <w:sz w:val="22"/>
          <w:szCs w:val="22"/>
          <w:lang w:bidi="es-ES"/>
        </w:rPr>
        <w:t>e</w:t>
      </w:r>
      <w:r w:rsidRPr="001836F4">
        <w:rPr>
          <w:rFonts w:ascii="Arial" w:eastAsia="Arial" w:hAnsi="Arial" w:cs="Arial"/>
          <w:b/>
          <w:sz w:val="22"/>
          <w:szCs w:val="22"/>
          <w:lang w:bidi="es-ES"/>
        </w:rPr>
        <w:t xml:space="preserve"> integración del patrimonio </w:t>
      </w:r>
      <w:r w:rsidRPr="001836F4">
        <w:rPr>
          <w:rFonts w:ascii="Arial" w:eastAsia="Arial" w:hAnsi="Arial" w:cs="Arial"/>
          <w:b/>
          <w:sz w:val="22"/>
          <w:szCs w:val="22"/>
          <w:lang w:bidi="es-ES"/>
        </w:rPr>
        <w:lastRenderedPageBreak/>
        <w:t xml:space="preserve">vivo </w:t>
      </w:r>
      <w:r w:rsidRPr="001836F4">
        <w:rPr>
          <w:rFonts w:asciiTheme="minorBidi" w:hAnsiTheme="minorBidi" w:cstheme="minorBidi"/>
          <w:b/>
          <w:sz w:val="22"/>
          <w:szCs w:val="22"/>
          <w:lang w:bidi="es-ES"/>
        </w:rPr>
        <w:t>en los planes, políticas y programas de desarrollo</w:t>
      </w:r>
    </w:p>
    <w:p w14:paraId="7B50ED07" w14:textId="3FAD4C9C" w:rsidR="00563FFD" w:rsidRPr="001836F4" w:rsidRDefault="00563FFD" w:rsidP="00563FFD">
      <w:pPr>
        <w:pStyle w:val="Marge"/>
        <w:widowControl w:val="0"/>
        <w:numPr>
          <w:ilvl w:val="0"/>
          <w:numId w:val="23"/>
        </w:numPr>
        <w:tabs>
          <w:tab w:val="clear" w:pos="502"/>
          <w:tab w:val="num" w:pos="567"/>
        </w:tabs>
        <w:spacing w:before="120" w:after="120"/>
        <w:ind w:left="567" w:hanging="567"/>
        <w:rPr>
          <w:lang w:val="es-BO"/>
        </w:rPr>
      </w:pPr>
      <w:r w:rsidRPr="001836F4">
        <w:rPr>
          <w:lang w:bidi="es-ES"/>
        </w:rPr>
        <w:t>La décima reunión de la Asamblea General (del 11 al 12 de julio de 2024, Sede de la UNESCO; en adelante, “10.GA”) aprobó un plan de utilización de los recursos del Fondo del Patrimonio Cultural Inmaterial (en adelante, el “Fondo”) para el período comprendido entre el 1 de enero de 2024 y el 31 de diciembre de 2025, que dedicaba el 20 % del presupuesto (1.637.916 dólares estadounidenses) a</w:t>
      </w:r>
      <w:r w:rsidR="00263B02" w:rsidRPr="001836F4">
        <w:rPr>
          <w:lang w:bidi="es-ES"/>
        </w:rPr>
        <w:t xml:space="preserve"> la partida</w:t>
      </w:r>
      <w:r w:rsidRPr="001836F4">
        <w:rPr>
          <w:lang w:bidi="es-ES"/>
        </w:rPr>
        <w:t xml:space="preserve"> “otras funciones del Comité” (Resolución </w:t>
      </w:r>
      <w:hyperlink r:id="rId12" w:history="1">
        <w:r w:rsidRPr="001836F4">
          <w:rPr>
            <w:rStyle w:val="Hyperlink"/>
            <w:lang w:bidi="es-ES"/>
          </w:rPr>
          <w:t>10.</w:t>
        </w:r>
        <w:r w:rsidRPr="001836F4">
          <w:rPr>
            <w:rStyle w:val="Hyperlink"/>
            <w:lang w:bidi="es-ES"/>
          </w:rPr>
          <w:t>G</w:t>
        </w:r>
        <w:r w:rsidRPr="001836F4">
          <w:rPr>
            <w:rStyle w:val="Hyperlink"/>
            <w:lang w:bidi="es-ES"/>
          </w:rPr>
          <w:t>A 8</w:t>
        </w:r>
      </w:hyperlink>
      <w:r w:rsidRPr="001836F4">
        <w:rPr>
          <w:lang w:bidi="es-ES"/>
        </w:rPr>
        <w:t xml:space="preserve">). Se asignó una suma total de 851.716 dólares (que representa el 52 % de la partida </w:t>
      </w:r>
      <w:r w:rsidR="00263B02" w:rsidRPr="001836F4">
        <w:rPr>
          <w:lang w:bidi="es-ES"/>
        </w:rPr>
        <w:t>“</w:t>
      </w:r>
      <w:r w:rsidRPr="001836F4">
        <w:rPr>
          <w:lang w:bidi="es-ES"/>
        </w:rPr>
        <w:t>otras funciones del Comité</w:t>
      </w:r>
      <w:r w:rsidR="00263B02" w:rsidRPr="001836F4">
        <w:rPr>
          <w:lang w:bidi="es-ES"/>
        </w:rPr>
        <w:t>”</w:t>
      </w:r>
      <w:r w:rsidRPr="001836F4">
        <w:rPr>
          <w:lang w:bidi="es-ES"/>
        </w:rPr>
        <w:t>) para el bienio con el fin de reforzar el programa de fortalecimiento de capacidades y la integración del patrimonio cultural inmaterial en los planes, políticas y programas de desarrollo.</w:t>
      </w:r>
    </w:p>
    <w:p w14:paraId="6AA2266B" w14:textId="61A1B862" w:rsidR="00563FFD" w:rsidRPr="001836F4" w:rsidRDefault="00563FFD" w:rsidP="00563FFD">
      <w:pPr>
        <w:pStyle w:val="Marge"/>
        <w:numPr>
          <w:ilvl w:val="0"/>
          <w:numId w:val="23"/>
        </w:numPr>
        <w:tabs>
          <w:tab w:val="clear" w:pos="502"/>
          <w:tab w:val="num" w:pos="567"/>
        </w:tabs>
        <w:spacing w:before="120" w:after="120"/>
        <w:ind w:left="567" w:hanging="567"/>
        <w:rPr>
          <w:lang w:val="es-BO"/>
        </w:rPr>
      </w:pPr>
      <w:r w:rsidRPr="001836F4">
        <w:rPr>
          <w:lang w:bidi="es-ES"/>
        </w:rPr>
        <w:t>El fortalecimiento de capacidades sigue siendo fundamental para el mandato de la Convención de 2003, ya que es una de las dos prioridades globales de financiación de la Convención para el cuatrienio 2022-2025 – “Fortalecimiento de las capacidades para la salvaguardia del patrimonio cultural inmaterial mediante enfoques multimodales y la contribución al desarrollo sostenible” (</w:t>
      </w:r>
      <w:r w:rsidR="002B2310" w:rsidRPr="001836F4">
        <w:rPr>
          <w:lang w:bidi="es-ES"/>
        </w:rPr>
        <w:t>Decisión</w:t>
      </w:r>
      <w:r w:rsidRPr="001836F4">
        <w:rPr>
          <w:lang w:bidi="es-ES"/>
        </w:rPr>
        <w:t xml:space="preserve"> </w:t>
      </w:r>
      <w:hyperlink r:id="rId13" w:history="1">
        <w:r w:rsidRPr="001836F4">
          <w:rPr>
            <w:rStyle w:val="Hyperlink"/>
            <w:lang w:bidi="es-ES"/>
          </w:rPr>
          <w:t>16.COM 12</w:t>
        </w:r>
      </w:hyperlink>
      <w:r w:rsidRPr="001836F4">
        <w:rPr>
          <w:lang w:bidi="es-ES"/>
        </w:rPr>
        <w:t xml:space="preserve">). La elevada tasa de presentación de informes periódicos por parte de los Estados de las dos regiones que llevaron a cabo el ejercicio durante el período de referencia, que llegó al 100% en África en 2024 y el 90% en Asia y el Pacífico en 2025, confirmó la eficacia del enfoque de fortalecimiento de capacidades adoptado. Además, la puesta en marcha de la </w:t>
      </w:r>
      <w:hyperlink r:id="rId14" w:history="1">
        <w:r w:rsidRPr="001836F4">
          <w:rPr>
            <w:rStyle w:val="Hyperlink"/>
            <w:rFonts w:asciiTheme="minorBidi" w:eastAsia="Calibri" w:hAnsiTheme="minorBidi" w:cstheme="minorBidi"/>
            <w:lang w:bidi="es-ES"/>
          </w:rPr>
          <w:t xml:space="preserve">plataforma </w:t>
        </w:r>
        <w:r w:rsidR="00EC2D76" w:rsidRPr="001836F4">
          <w:rPr>
            <w:rStyle w:val="Hyperlink"/>
            <w:rFonts w:asciiTheme="minorBidi" w:eastAsia="Calibri" w:hAnsiTheme="minorBidi" w:cstheme="minorBidi"/>
            <w:lang w:bidi="es-ES"/>
          </w:rPr>
          <w:t>de aprendizaje para la salvaguardia del patrimonio cultural inmaterial</w:t>
        </w:r>
        <w:r w:rsidR="00CC21ED" w:rsidRPr="001836F4">
          <w:rPr>
            <w:rStyle w:val="Hyperlink"/>
            <w:rFonts w:asciiTheme="minorBidi" w:eastAsia="Calibri" w:hAnsiTheme="minorBidi" w:cstheme="minorBidi"/>
            <w:lang w:bidi="es-ES"/>
          </w:rPr>
          <w:t xml:space="preserve"> de la UNESCO</w:t>
        </w:r>
      </w:hyperlink>
      <w:r w:rsidRPr="001836F4">
        <w:rPr>
          <w:lang w:bidi="es-ES"/>
        </w:rPr>
        <w:t xml:space="preserve"> contribuyó a ampliar la divulgación del programa entre nuevos públicos</w:t>
      </w:r>
      <w:r w:rsidR="00EF53FF" w:rsidRPr="001836F4">
        <w:rPr>
          <w:lang w:bidi="es-ES"/>
        </w:rPr>
        <w:t xml:space="preserve">, </w:t>
      </w:r>
      <w:r w:rsidRPr="001836F4">
        <w:rPr>
          <w:lang w:bidi="es-ES"/>
        </w:rPr>
        <w:t xml:space="preserve">y a reforzar la creación de redes y el intercambio de conocimientos. La 19.COM acogió con satisfacción la finalización de la formación de nuevos facilitadores </w:t>
      </w:r>
      <w:r w:rsidR="00EF53FF" w:rsidRPr="001836F4">
        <w:rPr>
          <w:lang w:bidi="es-ES"/>
        </w:rPr>
        <w:t>de</w:t>
      </w:r>
      <w:r w:rsidRPr="001836F4">
        <w:rPr>
          <w:lang w:bidi="es-ES"/>
        </w:rPr>
        <w:t xml:space="preserve"> la red mundial de facilitadores y la reorientación del programa mundial de fortalecimiento de capacidades hacia un enfoque de prestación totalmente multimodal (Decisión </w:t>
      </w:r>
      <w:hyperlink r:id="rId15" w:history="1">
        <w:r w:rsidRPr="001836F4">
          <w:rPr>
            <w:rStyle w:val="Hyperlink"/>
            <w:lang w:bidi="es-ES"/>
          </w:rPr>
          <w:t>19.COM</w:t>
        </w:r>
        <w:r w:rsidRPr="001836F4">
          <w:rPr>
            <w:rStyle w:val="Hyperlink"/>
            <w:lang w:bidi="es-ES"/>
          </w:rPr>
          <w:t xml:space="preserve"> </w:t>
        </w:r>
        <w:r w:rsidRPr="001836F4">
          <w:rPr>
            <w:rStyle w:val="Hyperlink"/>
            <w:lang w:bidi="es-ES"/>
          </w:rPr>
          <w:t>5</w:t>
        </w:r>
      </w:hyperlink>
      <w:r w:rsidRPr="001836F4">
        <w:rPr>
          <w:lang w:bidi="es-ES"/>
        </w:rPr>
        <w:t>).</w:t>
      </w:r>
    </w:p>
    <w:p w14:paraId="69A8C0E4" w14:textId="091FFD8B" w:rsidR="00563FFD" w:rsidRPr="001836F4" w:rsidRDefault="00563FFD" w:rsidP="00563FFD">
      <w:pPr>
        <w:pStyle w:val="Marge"/>
        <w:numPr>
          <w:ilvl w:val="0"/>
          <w:numId w:val="23"/>
        </w:numPr>
        <w:tabs>
          <w:tab w:val="clear" w:pos="502"/>
          <w:tab w:val="num" w:pos="567"/>
        </w:tabs>
        <w:spacing w:before="120" w:after="120"/>
        <w:ind w:left="567" w:hanging="567"/>
        <w:rPr>
          <w:lang w:val="es-BO"/>
        </w:rPr>
      </w:pPr>
      <w:r w:rsidRPr="001836F4">
        <w:rPr>
          <w:lang w:bidi="es-ES"/>
        </w:rPr>
        <w:t xml:space="preserve">Al mismo tiempo, la integración del patrimonio cultural inmaterial en los planes, políticas y programas de desarrollo </w:t>
      </w:r>
      <w:r w:rsidR="00292CF1" w:rsidRPr="001836F4">
        <w:rPr>
          <w:lang w:bidi="es-ES"/>
        </w:rPr>
        <w:t xml:space="preserve">resulta </w:t>
      </w:r>
      <w:r w:rsidRPr="001836F4">
        <w:rPr>
          <w:lang w:bidi="es-ES"/>
        </w:rPr>
        <w:t>clave para promover los objetivos de la Convención</w:t>
      </w:r>
      <w:r w:rsidR="00292CF1" w:rsidRPr="001836F4">
        <w:rPr>
          <w:lang w:bidi="es-ES"/>
        </w:rPr>
        <w:t>, especialmente</w:t>
      </w:r>
      <w:r w:rsidRPr="001836F4">
        <w:rPr>
          <w:lang w:bidi="es-ES"/>
        </w:rPr>
        <w:t xml:space="preserve"> en el contexto de la </w:t>
      </w:r>
      <w:r w:rsidR="00292CF1" w:rsidRPr="001836F4">
        <w:rPr>
          <w:lang w:bidi="es-ES"/>
        </w:rPr>
        <w:t xml:space="preserve">incorporación </w:t>
      </w:r>
      <w:r w:rsidRPr="001836F4">
        <w:rPr>
          <w:lang w:bidi="es-ES"/>
        </w:rPr>
        <w:t xml:space="preserve">de la cultura en el marco de desarrollo de las Naciones Unidas posterior a 2030, en </w:t>
      </w:r>
      <w:r w:rsidR="00292CF1" w:rsidRPr="001836F4">
        <w:rPr>
          <w:lang w:bidi="es-ES"/>
        </w:rPr>
        <w:t>consonancia con</w:t>
      </w:r>
      <w:r w:rsidRPr="001836F4">
        <w:rPr>
          <w:lang w:bidi="es-ES"/>
        </w:rPr>
        <w:t xml:space="preserve"> el </w:t>
      </w:r>
      <w:hyperlink r:id="rId16" w:history="1">
        <w:r w:rsidR="00292CF1" w:rsidRPr="001836F4">
          <w:rPr>
            <w:rStyle w:val="Hyperlink"/>
            <w:lang w:bidi="es-ES"/>
          </w:rPr>
          <w:t>D</w:t>
        </w:r>
        <w:r w:rsidRPr="001836F4">
          <w:rPr>
            <w:rStyle w:val="Hyperlink"/>
            <w:lang w:bidi="es-ES"/>
          </w:rPr>
          <w:t>ocumento final</w:t>
        </w:r>
      </w:hyperlink>
      <w:r w:rsidRPr="001836F4">
        <w:rPr>
          <w:lang w:bidi="es-ES"/>
        </w:rPr>
        <w:t xml:space="preserve"> de MONDIACULT 2025. </w:t>
      </w:r>
      <w:r w:rsidR="006917B5" w:rsidRPr="001836F4">
        <w:rPr>
          <w:lang w:bidi="es-ES"/>
        </w:rPr>
        <w:t xml:space="preserve">Asimismo, </w:t>
      </w:r>
      <w:r w:rsidR="0035034A" w:rsidRPr="001836F4">
        <w:rPr>
          <w:lang w:bidi="es-ES"/>
        </w:rPr>
        <w:t>e</w:t>
      </w:r>
      <w:r w:rsidRPr="001836F4">
        <w:rPr>
          <w:lang w:bidi="es-ES"/>
        </w:rPr>
        <w:t xml:space="preserve">n </w:t>
      </w:r>
      <w:r w:rsidR="0035034A" w:rsidRPr="001836F4">
        <w:rPr>
          <w:lang w:bidi="es-ES"/>
        </w:rPr>
        <w:t xml:space="preserve">línea </w:t>
      </w:r>
      <w:r w:rsidRPr="001836F4">
        <w:rPr>
          <w:lang w:bidi="es-ES"/>
        </w:rPr>
        <w:t xml:space="preserve">con la segunda prioridad mundial de financiación aprobada por el Comité – </w:t>
      </w:r>
      <w:r w:rsidR="0000206D" w:rsidRPr="001836F4">
        <w:rPr>
          <w:lang w:bidi="es-ES"/>
        </w:rPr>
        <w:t>“</w:t>
      </w:r>
      <w:r w:rsidRPr="001836F4">
        <w:rPr>
          <w:lang w:bidi="es-ES"/>
        </w:rPr>
        <w:t>Salvaguardia del patrimonio cultural inmaterial en la educación formal y no formal</w:t>
      </w:r>
      <w:r w:rsidR="0000206D" w:rsidRPr="001836F4">
        <w:rPr>
          <w:lang w:bidi="es-ES"/>
        </w:rPr>
        <w:t>”</w:t>
      </w:r>
      <w:r w:rsidRPr="001836F4">
        <w:rPr>
          <w:lang w:bidi="es-ES"/>
        </w:rPr>
        <w:t>–, el patrimonio vivo se integró en marcos educativos internacionales, como el Marco para la educación cultural y artística (2024)</w:t>
      </w:r>
      <w:r w:rsidR="0000206D" w:rsidRPr="001836F4">
        <w:rPr>
          <w:lang w:bidi="es-ES"/>
        </w:rPr>
        <w:t>. E</w:t>
      </w:r>
      <w:r w:rsidRPr="001836F4">
        <w:rPr>
          <w:lang w:bidi="es-ES"/>
        </w:rPr>
        <w:t xml:space="preserve">ste proceso contó con el apoyo de la gestión continua del </w:t>
      </w:r>
      <w:hyperlink r:id="rId17" w:history="1">
        <w:r w:rsidRPr="001836F4">
          <w:rPr>
            <w:rStyle w:val="Hyperlink"/>
            <w:lang w:bidi="es-ES"/>
          </w:rPr>
          <w:t>Centro de Información</w:t>
        </w:r>
      </w:hyperlink>
      <w:r w:rsidRPr="001836F4">
        <w:rPr>
          <w:lang w:bidi="es-ES"/>
        </w:rPr>
        <w:t xml:space="preserve"> </w:t>
      </w:r>
      <w:r w:rsidR="0000206D" w:rsidRPr="001836F4">
        <w:rPr>
          <w:lang w:bidi="es-ES"/>
        </w:rPr>
        <w:t xml:space="preserve">de la UNESCO </w:t>
      </w:r>
      <w:r w:rsidRPr="001836F4">
        <w:rPr>
          <w:lang w:bidi="es-ES"/>
        </w:rPr>
        <w:t xml:space="preserve">sobre patrimonio vivo y educación, actualizado con proyectos y recursos adicionales, </w:t>
      </w:r>
      <w:r w:rsidR="0000206D" w:rsidRPr="001836F4">
        <w:rPr>
          <w:lang w:bidi="es-ES"/>
        </w:rPr>
        <w:t>además</w:t>
      </w:r>
      <w:r w:rsidRPr="001836F4">
        <w:rPr>
          <w:lang w:bidi="es-ES"/>
        </w:rPr>
        <w:t xml:space="preserve"> de una reunión de reflexión en línea en 2025.</w:t>
      </w:r>
    </w:p>
    <w:p w14:paraId="09FCEBDC" w14:textId="2E74F7C9" w:rsidR="00563FFD" w:rsidRPr="001836F4" w:rsidRDefault="00563FFD" w:rsidP="00563FFD">
      <w:pPr>
        <w:pStyle w:val="Marge"/>
        <w:numPr>
          <w:ilvl w:val="0"/>
          <w:numId w:val="23"/>
        </w:numPr>
        <w:tabs>
          <w:tab w:val="clear" w:pos="502"/>
          <w:tab w:val="num" w:pos="567"/>
        </w:tabs>
        <w:spacing w:before="120" w:after="120"/>
        <w:ind w:left="567" w:hanging="567"/>
        <w:rPr>
          <w:lang w:val="es-BO"/>
        </w:rPr>
      </w:pPr>
      <w:r w:rsidRPr="001836F4">
        <w:rPr>
          <w:lang w:bidi="es-ES"/>
        </w:rPr>
        <w:t xml:space="preserve">También se avanzó en las iniciativas temáticas de la Convención de 2003. Tras una reunión de expertos en dos partes sobre la salvaguardia del patrimonio cultural inmaterial y el cambio climático, organizadas respectivamente los días 19 y 20 de junio de 2024 (Sede de la UNESCO), y 25 y 26 de septiembre de 2024 (en línea), se presentó a la 19.COM una </w:t>
      </w:r>
      <w:hyperlink r:id="rId18" w:history="1">
        <w:r w:rsidRPr="001836F4">
          <w:rPr>
            <w:rStyle w:val="Hyperlink"/>
            <w:lang w:bidi="es-ES"/>
          </w:rPr>
          <w:t>Nota de orientación</w:t>
        </w:r>
      </w:hyperlink>
      <w:r w:rsidRPr="001836F4">
        <w:rPr>
          <w:lang w:bidi="es-ES"/>
        </w:rPr>
        <w:t xml:space="preserve"> sobre acción climática para el patrimonio vivo, en la que se propone un enfoque global </w:t>
      </w:r>
      <w:r w:rsidR="0000206D" w:rsidRPr="001836F4">
        <w:rPr>
          <w:lang w:bidi="es-ES"/>
        </w:rPr>
        <w:t xml:space="preserve">basado en los derechos y centrado en las personas sobre </w:t>
      </w:r>
      <w:r w:rsidRPr="001836F4">
        <w:rPr>
          <w:lang w:bidi="es-ES"/>
        </w:rPr>
        <w:t>la acción climática para el patrimonio vivo. Además, se celebró una reunión de expertos en dos partes sobre la salvaguardia del patrimonio cultural inmaterial en contextos urbanos, los días 16 y 17 de junio de 2025 (Sede de la UNESCO)</w:t>
      </w:r>
      <w:r w:rsidR="0000206D" w:rsidRPr="001836F4">
        <w:rPr>
          <w:lang w:bidi="es-ES"/>
        </w:rPr>
        <w:t>,</w:t>
      </w:r>
      <w:r w:rsidRPr="001836F4">
        <w:rPr>
          <w:lang w:bidi="es-ES"/>
        </w:rPr>
        <w:t xml:space="preserve"> y 18 y 19 de septiembre de 2025 (en línea), respectivamente. Esta reunión dio lugar a la presentación de una </w:t>
      </w:r>
      <w:hyperlink r:id="rId19" w:history="1">
        <w:r w:rsidRPr="001836F4">
          <w:rPr>
            <w:rStyle w:val="Hyperlink"/>
            <w:lang w:bidi="es-ES"/>
          </w:rPr>
          <w:t xml:space="preserve">Nota </w:t>
        </w:r>
        <w:r w:rsidR="0000206D" w:rsidRPr="001836F4">
          <w:rPr>
            <w:rStyle w:val="Hyperlink"/>
            <w:lang w:bidi="es-ES"/>
          </w:rPr>
          <w:t>de orientación</w:t>
        </w:r>
      </w:hyperlink>
      <w:r w:rsidRPr="001836F4">
        <w:rPr>
          <w:lang w:bidi="es-ES"/>
        </w:rPr>
        <w:t xml:space="preserve"> sobre la salvaguardia del patrimonio cultural inmaterial en contextos urbanos durante la 20.COM</w:t>
      </w:r>
      <w:r w:rsidR="0000206D" w:rsidRPr="001836F4">
        <w:rPr>
          <w:lang w:bidi="es-ES"/>
        </w:rPr>
        <w:t xml:space="preserve"> </w:t>
      </w:r>
      <w:r w:rsidRPr="001836F4">
        <w:rPr>
          <w:rFonts w:cs="Arial"/>
          <w:szCs w:val="22"/>
          <w:lang w:bidi="es-ES"/>
        </w:rPr>
        <w:t xml:space="preserve">(Decisión </w:t>
      </w:r>
      <w:hyperlink r:id="rId20" w:history="1">
        <w:r w:rsidRPr="001836F4">
          <w:rPr>
            <w:rStyle w:val="Hyperlink"/>
            <w:rFonts w:cs="Arial"/>
            <w:szCs w:val="22"/>
            <w:lang w:bidi="es-ES"/>
          </w:rPr>
          <w:t>20.COM 1</w:t>
        </w:r>
        <w:r w:rsidRPr="001836F4">
          <w:rPr>
            <w:rStyle w:val="Hyperlink"/>
            <w:rFonts w:cs="Arial"/>
            <w:szCs w:val="22"/>
            <w:lang w:bidi="es-ES"/>
          </w:rPr>
          <w:t>2</w:t>
        </w:r>
      </w:hyperlink>
      <w:r w:rsidRPr="001836F4">
        <w:rPr>
          <w:lang w:bidi="es-ES"/>
        </w:rPr>
        <w:t xml:space="preserve">), en la que se exponía una visión para la integración de la salvaguardia del patrimonio cultural inmaterial en los planes urbanos y para el desarrollo urbano sostenible. Además, dentro de la iniciativa en curso sobre las dimensiones económicas de la salvaguardia del patrimonio cultural inmaterial, se están elaborando orientaciones adaptadas a las partes interesadas y específicas de cada sector en forma de conjuntos de herramientas para planificar las actividades económicas teniendo en cuenta el patrimonio, sobre la base de la </w:t>
      </w:r>
      <w:hyperlink r:id="rId21" w:history="1">
        <w:r w:rsidRPr="001836F4">
          <w:rPr>
            <w:rStyle w:val="Hyperlink"/>
            <w:lang w:bidi="es-ES"/>
          </w:rPr>
          <w:t xml:space="preserve">Nota de </w:t>
        </w:r>
        <w:r w:rsidRPr="001836F4">
          <w:rPr>
            <w:rStyle w:val="Hyperlink"/>
            <w:lang w:bidi="es-ES"/>
          </w:rPr>
          <w:lastRenderedPageBreak/>
          <w:t>orientación</w:t>
        </w:r>
      </w:hyperlink>
      <w:r w:rsidRPr="001836F4">
        <w:rPr>
          <w:lang w:bidi="es-ES"/>
        </w:rPr>
        <w:t xml:space="preserve"> presentada al Comité en 2023. Tanto la 19.COM como la 20.COM tomaron nota de los progresos realizados en las tres iniciativas (Decisiones </w:t>
      </w:r>
      <w:hyperlink r:id="rId22" w:history="1">
        <w:r w:rsidRPr="001836F4">
          <w:rPr>
            <w:rStyle w:val="Hyperlink"/>
            <w:lang w:bidi="es-ES"/>
          </w:rPr>
          <w:t>19.COM 11</w:t>
        </w:r>
      </w:hyperlink>
      <w:r w:rsidRPr="001836F4">
        <w:rPr>
          <w:lang w:bidi="es-ES"/>
        </w:rPr>
        <w:t xml:space="preserve"> y </w:t>
      </w:r>
      <w:hyperlink r:id="rId23" w:history="1">
        <w:r w:rsidRPr="001836F4">
          <w:rPr>
            <w:rStyle w:val="Hyperlink"/>
            <w:rFonts w:cs="Arial"/>
            <w:szCs w:val="22"/>
            <w:lang w:bidi="es-ES"/>
          </w:rPr>
          <w:t>20.COM 12</w:t>
        </w:r>
      </w:hyperlink>
      <w:r w:rsidRPr="001836F4">
        <w:rPr>
          <w:lang w:bidi="es-ES"/>
        </w:rPr>
        <w:t>).</w:t>
      </w:r>
    </w:p>
    <w:p w14:paraId="46F10228" w14:textId="77777777" w:rsidR="00563FFD" w:rsidRPr="001836F4" w:rsidRDefault="00563FFD" w:rsidP="00563FFD">
      <w:pPr>
        <w:pStyle w:val="ListParagraph"/>
        <w:keepNext/>
        <w:numPr>
          <w:ilvl w:val="0"/>
          <w:numId w:val="25"/>
        </w:numPr>
        <w:spacing w:before="120" w:after="120"/>
        <w:ind w:left="561" w:hanging="561"/>
        <w:contextualSpacing w:val="0"/>
        <w:jc w:val="both"/>
        <w:rPr>
          <w:b/>
          <w:bCs/>
          <w:lang w:val="es-BO"/>
        </w:rPr>
      </w:pPr>
      <w:r w:rsidRPr="001836F4">
        <w:rPr>
          <w:rFonts w:asciiTheme="minorBidi" w:hAnsiTheme="minorBidi" w:cstheme="minorBidi"/>
          <w:b/>
          <w:sz w:val="22"/>
          <w:szCs w:val="22"/>
          <w:lang w:bidi="es-ES"/>
        </w:rPr>
        <w:t>Facilitar</w:t>
      </w:r>
      <w:r w:rsidRPr="001836F4">
        <w:rPr>
          <w:b/>
          <w:lang w:bidi="es-ES"/>
        </w:rPr>
        <w:t xml:space="preserve"> </w:t>
      </w:r>
      <w:r w:rsidRPr="001836F4">
        <w:rPr>
          <w:rFonts w:asciiTheme="minorBidi" w:hAnsiTheme="minorBidi" w:cstheme="minorBidi"/>
          <w:b/>
          <w:sz w:val="22"/>
          <w:szCs w:val="22"/>
          <w:lang w:bidi="es-ES"/>
        </w:rPr>
        <w:t>la buena gobernanza y la sensibilización sobre la Convención</w:t>
      </w:r>
    </w:p>
    <w:p w14:paraId="26EC8AF4" w14:textId="5852A519" w:rsidR="00563FFD" w:rsidRPr="001836F4" w:rsidRDefault="00563FFD" w:rsidP="00563FFD">
      <w:pPr>
        <w:pStyle w:val="Marge"/>
        <w:numPr>
          <w:ilvl w:val="0"/>
          <w:numId w:val="23"/>
        </w:numPr>
        <w:tabs>
          <w:tab w:val="clear" w:pos="502"/>
          <w:tab w:val="num" w:pos="567"/>
        </w:tabs>
        <w:spacing w:before="120" w:after="120"/>
        <w:ind w:left="567" w:hanging="567"/>
        <w:rPr>
          <w:lang w:val="es-BO"/>
        </w:rPr>
      </w:pPr>
      <w:r w:rsidRPr="001836F4">
        <w:rPr>
          <w:lang w:bidi="es-ES"/>
        </w:rPr>
        <w:t xml:space="preserve">En el plan aprobado para el uso de los recursos del Fondo, se asignó una suma total de 786.199 dólares estadounidenses (que representa el 48 % de la partida "otras funciones del Comité") para garantizar la buena gobernanza de la Convención y sensibilizar sobre ella mediante acciones de divulgación (Resolución </w:t>
      </w:r>
      <w:hyperlink r:id="rId24" w:history="1">
        <w:r w:rsidRPr="001836F4">
          <w:rPr>
            <w:rStyle w:val="Hyperlink"/>
            <w:lang w:bidi="es-ES"/>
          </w:rPr>
          <w:t>10.G</w:t>
        </w:r>
        <w:r w:rsidRPr="001836F4">
          <w:rPr>
            <w:rStyle w:val="Hyperlink"/>
            <w:lang w:bidi="es-ES"/>
          </w:rPr>
          <w:t>A</w:t>
        </w:r>
        <w:r w:rsidRPr="001836F4">
          <w:rPr>
            <w:rStyle w:val="Hyperlink"/>
            <w:lang w:bidi="es-ES"/>
          </w:rPr>
          <w:t xml:space="preserve"> 8</w:t>
        </w:r>
      </w:hyperlink>
      <w:r w:rsidRPr="001836F4">
        <w:rPr>
          <w:lang w:bidi="es-ES"/>
        </w:rPr>
        <w:t>).</w:t>
      </w:r>
    </w:p>
    <w:p w14:paraId="5B9B84FC" w14:textId="429721DB" w:rsidR="00563FFD" w:rsidRPr="001836F4" w:rsidRDefault="00563FFD" w:rsidP="00563FFD">
      <w:pPr>
        <w:pStyle w:val="COMParaDecision"/>
        <w:numPr>
          <w:ilvl w:val="0"/>
          <w:numId w:val="23"/>
        </w:numPr>
        <w:tabs>
          <w:tab w:val="clear" w:pos="502"/>
          <w:tab w:val="num" w:pos="567"/>
        </w:tabs>
        <w:ind w:left="567" w:hanging="567"/>
        <w:rPr>
          <w:u w:val="none"/>
        </w:rPr>
      </w:pPr>
      <w:r w:rsidRPr="001836F4">
        <w:rPr>
          <w:u w:val="none"/>
          <w:lang w:bidi="es-ES"/>
        </w:rPr>
        <w:t>Iniciada en 2023,</w:t>
      </w:r>
      <w:r w:rsidR="00200394">
        <w:rPr>
          <w:u w:val="none"/>
          <w:lang w:bidi="es-ES"/>
        </w:rPr>
        <w:t xml:space="preserve"> la</w:t>
      </w:r>
      <w:r w:rsidRPr="001836F4">
        <w:rPr>
          <w:u w:val="none"/>
          <w:lang w:bidi="es-ES"/>
        </w:rPr>
        <w:t xml:space="preserve"> </w:t>
      </w:r>
      <w:hyperlink r:id="rId25" w:history="1">
        <w:r w:rsidRPr="001836F4">
          <w:rPr>
            <w:rStyle w:val="Hyperlink"/>
            <w:lang w:bidi="es-ES"/>
          </w:rPr>
          <w:t>reflexión mundial en curso</w:t>
        </w:r>
      </w:hyperlink>
      <w:r w:rsidRPr="001836F4">
        <w:rPr>
          <w:u w:val="none"/>
          <w:lang w:bidi="es-ES"/>
        </w:rPr>
        <w:t xml:space="preserve"> sobre una aplicación más amplia del Artículo 18 de la Convención de 2003 estudia cómo compartir de forma más general buenas experiencias de </w:t>
      </w:r>
      <w:r w:rsidR="007363BA" w:rsidRPr="001836F4">
        <w:rPr>
          <w:u w:val="none"/>
          <w:lang w:bidi="es-ES"/>
        </w:rPr>
        <w:t xml:space="preserve">salvaguardia </w:t>
      </w:r>
      <w:r w:rsidRPr="001836F4">
        <w:rPr>
          <w:u w:val="none"/>
          <w:lang w:bidi="es-ES"/>
        </w:rPr>
        <w:t xml:space="preserve">y cómo poner en primer plano las voces de las comunidades y sus aspiraciones </w:t>
      </w:r>
      <w:r w:rsidR="007363BA" w:rsidRPr="001836F4">
        <w:rPr>
          <w:u w:val="none"/>
          <w:lang w:bidi="es-ES"/>
        </w:rPr>
        <w:t xml:space="preserve">en la </w:t>
      </w:r>
      <w:r w:rsidRPr="001836F4">
        <w:rPr>
          <w:u w:val="none"/>
          <w:lang w:bidi="es-ES"/>
        </w:rPr>
        <w:t xml:space="preserve">salvaguardia de su patrimonio vivo. Basándose en las recomendaciones del grupo de trabajo intergubernamental de composición abierta </w:t>
      </w:r>
      <w:r w:rsidR="007363BA" w:rsidRPr="001836F4">
        <w:rPr>
          <w:u w:val="none"/>
          <w:lang w:bidi="es-ES"/>
        </w:rPr>
        <w:t xml:space="preserve">de </w:t>
      </w:r>
      <w:r w:rsidRPr="001836F4">
        <w:rPr>
          <w:u w:val="none"/>
          <w:lang w:bidi="es-ES"/>
        </w:rPr>
        <w:t xml:space="preserve">2023 presentadas a la 18.COM y a la 10.GA, el Comité tomó nota en la 19.COM de una hoja de ruta en la que se indicaban los pasos hacia la creación de una plataforma en línea para compartir buenas experiencias de salvaguardia (Decisión </w:t>
      </w:r>
      <w:hyperlink r:id="rId26" w:history="1">
        <w:r w:rsidRPr="001836F4">
          <w:rPr>
            <w:rStyle w:val="Hyperlink"/>
            <w:lang w:bidi="es-ES"/>
          </w:rPr>
          <w:t>19.COM</w:t>
        </w:r>
        <w:r w:rsidR="007363BA" w:rsidRPr="001836F4">
          <w:rPr>
            <w:rStyle w:val="Hyperlink"/>
            <w:lang w:bidi="es-ES"/>
          </w:rPr>
          <w:t> </w:t>
        </w:r>
        <w:r w:rsidRPr="001836F4">
          <w:rPr>
            <w:rStyle w:val="Hyperlink"/>
            <w:lang w:bidi="es-ES"/>
          </w:rPr>
          <w:t>10</w:t>
        </w:r>
      </w:hyperlink>
      <w:r w:rsidRPr="001836F4">
        <w:rPr>
          <w:u w:val="none"/>
          <w:lang w:bidi="es-ES"/>
        </w:rPr>
        <w:t xml:space="preserve">). Los avances en la creación de </w:t>
      </w:r>
      <w:r w:rsidR="007363BA" w:rsidRPr="001836F4">
        <w:rPr>
          <w:u w:val="none"/>
          <w:lang w:bidi="es-ES"/>
        </w:rPr>
        <w:t xml:space="preserve">dicha </w:t>
      </w:r>
      <w:r w:rsidRPr="001836F4">
        <w:rPr>
          <w:u w:val="none"/>
          <w:lang w:bidi="es-ES"/>
        </w:rPr>
        <w:t xml:space="preserve">plataforma, incluida la </w:t>
      </w:r>
      <w:r w:rsidR="007363BA" w:rsidRPr="001836F4">
        <w:rPr>
          <w:u w:val="none"/>
          <w:lang w:bidi="es-ES"/>
        </w:rPr>
        <w:t>“</w:t>
      </w:r>
      <w:hyperlink r:id="rId27" w:history="1">
        <w:r w:rsidRPr="001836F4">
          <w:rPr>
            <w:rStyle w:val="Hyperlink"/>
            <w:u w:val="none"/>
            <w:lang w:bidi="es-ES"/>
          </w:rPr>
          <w:t>versión preliminar</w:t>
        </w:r>
        <w:r w:rsidR="007363BA" w:rsidRPr="001836F4">
          <w:rPr>
            <w:rStyle w:val="Hyperlink"/>
            <w:u w:val="none"/>
            <w:lang w:bidi="es-ES"/>
          </w:rPr>
          <w:t>”</w:t>
        </w:r>
      </w:hyperlink>
      <w:r w:rsidR="007363BA" w:rsidRPr="001836F4">
        <w:t xml:space="preserve"> </w:t>
      </w:r>
      <w:r w:rsidRPr="001836F4">
        <w:rPr>
          <w:u w:val="none"/>
          <w:lang w:bidi="es-ES"/>
        </w:rPr>
        <w:t xml:space="preserve">de la plataforma con un grupo piloto de experiencias de salvaguardia, se presentaron a la 20.COM (Decisión </w:t>
      </w:r>
      <w:hyperlink r:id="rId28" w:history="1">
        <w:r w:rsidRPr="001836F4">
          <w:rPr>
            <w:rStyle w:val="Hyperlink"/>
            <w:lang w:bidi="es-ES"/>
          </w:rPr>
          <w:t>20.COM 11</w:t>
        </w:r>
      </w:hyperlink>
      <w:r w:rsidRPr="001836F4">
        <w:rPr>
          <w:u w:val="none"/>
          <w:lang w:bidi="es-ES"/>
        </w:rPr>
        <w:t>).</w:t>
      </w:r>
    </w:p>
    <w:p w14:paraId="7849A949" w14:textId="02063D3C" w:rsidR="00563FFD" w:rsidRPr="001836F4" w:rsidRDefault="00563FFD" w:rsidP="00563FFD">
      <w:pPr>
        <w:pStyle w:val="COMParaDecision"/>
        <w:numPr>
          <w:ilvl w:val="0"/>
          <w:numId w:val="23"/>
        </w:numPr>
        <w:ind w:left="567" w:hanging="567"/>
        <w:rPr>
          <w:u w:val="none"/>
        </w:rPr>
      </w:pPr>
      <w:r w:rsidRPr="001836F4">
        <w:rPr>
          <w:u w:val="none"/>
          <w:lang w:bidi="es-ES"/>
        </w:rPr>
        <w:t xml:space="preserve">Se garantizaban los servicios de gestión de los conocimientos de la Convención para apoyar su buena gobernanza, al tiempo que se mejoraba la seguridad y la accesibilidad. Incluye, entre otros puntos, el buen funcionamiento de la interfaz en línea para la presentación de informes periódicos, que utilizaron los </w:t>
      </w:r>
      <w:proofErr w:type="gramStart"/>
      <w:r w:rsidRPr="001836F4">
        <w:rPr>
          <w:u w:val="none"/>
          <w:lang w:bidi="es-ES"/>
        </w:rPr>
        <w:t>Estados Partes</w:t>
      </w:r>
      <w:proofErr w:type="gramEnd"/>
      <w:r w:rsidRPr="001836F4">
        <w:rPr>
          <w:u w:val="none"/>
          <w:lang w:bidi="es-ES"/>
        </w:rPr>
        <w:t xml:space="preserve"> de Asia y el Pacífico en 2024, así como el desarrollo de funcionalidades asociadas a los resultados de la reflexión mundial sobre los mecanismos de </w:t>
      </w:r>
      <w:r w:rsidR="00181CBC" w:rsidRPr="001836F4">
        <w:rPr>
          <w:u w:val="none"/>
          <w:lang w:bidi="es-ES"/>
        </w:rPr>
        <w:t xml:space="preserve">inscripción </w:t>
      </w:r>
      <w:r w:rsidRPr="001836F4">
        <w:rPr>
          <w:u w:val="none"/>
          <w:lang w:bidi="es-ES"/>
        </w:rPr>
        <w:t xml:space="preserve">en las Listas de la Convención. También se pusieron a disposición en línea varias herramientas educativas y de gestión del conocimiento en formatos de libre acceso y fáciles de usar sobre diferentes aspectos de la aplicación de la Convención, incluida </w:t>
      </w:r>
      <w:r w:rsidR="00181CBC" w:rsidRPr="001836F4">
        <w:rPr>
          <w:u w:val="none"/>
          <w:lang w:bidi="es-ES"/>
        </w:rPr>
        <w:t xml:space="preserve">con </w:t>
      </w:r>
      <w:r w:rsidRPr="001836F4">
        <w:rPr>
          <w:u w:val="none"/>
          <w:lang w:bidi="es-ES"/>
        </w:rPr>
        <w:t xml:space="preserve">referencia al Marco </w:t>
      </w:r>
      <w:r w:rsidR="00C62350" w:rsidRPr="001836F4">
        <w:rPr>
          <w:u w:val="none"/>
          <w:lang w:bidi="es-ES"/>
        </w:rPr>
        <w:t xml:space="preserve">global </w:t>
      </w:r>
      <w:r w:rsidRPr="001836F4">
        <w:rPr>
          <w:u w:val="none"/>
          <w:lang w:bidi="es-ES"/>
        </w:rPr>
        <w:t>de resultados.</w:t>
      </w:r>
    </w:p>
    <w:p w14:paraId="3CF04B62" w14:textId="3AB10D9E" w:rsidR="00563FFD" w:rsidRPr="001836F4" w:rsidRDefault="00563FFD" w:rsidP="00563FFD">
      <w:pPr>
        <w:pStyle w:val="COMParaDecision"/>
        <w:numPr>
          <w:ilvl w:val="0"/>
          <w:numId w:val="23"/>
        </w:numPr>
        <w:ind w:left="567" w:hanging="567"/>
        <w:rPr>
          <w:u w:val="none"/>
        </w:rPr>
      </w:pPr>
      <w:r w:rsidRPr="001836F4">
        <w:rPr>
          <w:u w:val="none"/>
          <w:lang w:bidi="es-ES"/>
        </w:rPr>
        <w:t xml:space="preserve">La sensibilización respecto a la importancia del patrimonio cultural inmaterial y la promoción de los objetivos de la Convención se consideran medidas de salvaguardia, tal como se definen en el Artículo 2.3 de la Convención. Un hito importante fue la proclamación del 17 de octubre como </w:t>
      </w:r>
      <w:hyperlink r:id="rId29" w:history="1">
        <w:r w:rsidRPr="001836F4">
          <w:rPr>
            <w:rStyle w:val="Hyperlink"/>
            <w:lang w:bidi="es-ES"/>
          </w:rPr>
          <w:t>Día Internacional</w:t>
        </w:r>
      </w:hyperlink>
      <w:r w:rsidRPr="001836F4">
        <w:rPr>
          <w:u w:val="none"/>
          <w:lang w:bidi="es-ES"/>
        </w:rPr>
        <w:t xml:space="preserve"> del Patrimonio Cultural Inmaterial por la Conferencia General de la UNESCO en noviembre de 2023. Durante la primera y la segunda edición, celebradas el 17 de octubre de 2024 y el 17 de octubre de 2025 respectivamente, se pusieron en marcha campañas en Internet para poner de relieve más de 200 actividades (100 actividades en </w:t>
      </w:r>
      <w:hyperlink r:id="rId30" w:history="1">
        <w:r w:rsidRPr="001836F4">
          <w:rPr>
            <w:rStyle w:val="Hyperlink"/>
            <w:lang w:bidi="es-ES"/>
          </w:rPr>
          <w:t>2024</w:t>
        </w:r>
      </w:hyperlink>
      <w:r w:rsidRPr="001836F4">
        <w:rPr>
          <w:u w:val="none"/>
          <w:lang w:bidi="es-ES"/>
        </w:rPr>
        <w:t xml:space="preserve"> y 134 actividades en </w:t>
      </w:r>
      <w:hyperlink r:id="rId31" w:history="1">
        <w:r w:rsidRPr="001836F4">
          <w:rPr>
            <w:rStyle w:val="Hyperlink"/>
            <w:lang w:bidi="es-ES"/>
          </w:rPr>
          <w:t>2025</w:t>
        </w:r>
      </w:hyperlink>
      <w:r w:rsidRPr="001836F4">
        <w:rPr>
          <w:u w:val="none"/>
          <w:lang w:bidi="es-ES"/>
        </w:rPr>
        <w:t>) celebradas en todo el mundo por los Estados Partes, comunidades, ONG, instituciones culturales, centros de categoría 2, las Cátedras UNESCO y los agentes educativos, con el fin de subrayar la diversidad y la riqueza del patrimonio vivo y sensibilizar sobre la importancia de su salvaguardia.</w:t>
      </w:r>
    </w:p>
    <w:p w14:paraId="6988BDCC" w14:textId="032069DD" w:rsidR="00563FFD" w:rsidRPr="001836F4" w:rsidRDefault="00563FFD" w:rsidP="00563FFD">
      <w:pPr>
        <w:pStyle w:val="COMParaDecision"/>
        <w:numPr>
          <w:ilvl w:val="0"/>
          <w:numId w:val="23"/>
        </w:numPr>
        <w:ind w:left="567" w:hanging="567"/>
        <w:rPr>
          <w:u w:val="none"/>
        </w:rPr>
      </w:pPr>
      <w:r w:rsidRPr="001836F4">
        <w:rPr>
          <w:u w:val="none"/>
          <w:lang w:bidi="es-ES"/>
        </w:rPr>
        <w:t xml:space="preserve">Siguiendo la práctica introducida en 2020, la 19.COM y la 20.COM examinaron el </w:t>
      </w:r>
      <w:r w:rsidR="009725EA" w:rsidRPr="001836F4">
        <w:rPr>
          <w:u w:val="none"/>
          <w:lang w:bidi="es-ES"/>
        </w:rPr>
        <w:t>“I</w:t>
      </w:r>
      <w:r w:rsidRPr="001836F4">
        <w:rPr>
          <w:u w:val="none"/>
          <w:lang w:bidi="es-ES"/>
        </w:rPr>
        <w:t>nforme del foro de organizaciones no gubernamentales</w:t>
      </w:r>
      <w:r w:rsidR="009725EA" w:rsidRPr="001836F4">
        <w:rPr>
          <w:u w:val="none"/>
          <w:lang w:bidi="es-ES"/>
        </w:rPr>
        <w:t>”</w:t>
      </w:r>
      <w:r w:rsidRPr="001836F4">
        <w:rPr>
          <w:u w:val="none"/>
          <w:lang w:bidi="es-ES"/>
        </w:rPr>
        <w:t xml:space="preserve"> en un punto independiente del orden del día. Una vez finalizada la primera fase de cartografía de las competencias de 60 ONG acreditadas y su visualización a través de la página web de la Convención (2021-2023), el Foro de ONG del PCI colaboró con la Secretaría para poner en marcha la segunda fase de este proyecto, de acuerdo con la petición de la 19.COM (Decisión </w:t>
      </w:r>
      <w:hyperlink r:id="rId32" w:history="1">
        <w:r w:rsidRPr="001836F4">
          <w:rPr>
            <w:rStyle w:val="Hyperlink"/>
            <w:lang w:bidi="es-ES"/>
          </w:rPr>
          <w:t>19.COM 13</w:t>
        </w:r>
      </w:hyperlink>
      <w:r w:rsidRPr="001836F4">
        <w:rPr>
          <w:u w:val="none"/>
          <w:lang w:bidi="es-ES"/>
        </w:rPr>
        <w:t xml:space="preserve">), con el objetivo de presentar los perfiles de otras 100 ONG acreditadas, aumentando así </w:t>
      </w:r>
      <w:r w:rsidR="009725EA" w:rsidRPr="001836F4">
        <w:rPr>
          <w:u w:val="none"/>
          <w:lang w:bidi="es-ES"/>
        </w:rPr>
        <w:t xml:space="preserve">su </w:t>
      </w:r>
      <w:r w:rsidRPr="001836F4">
        <w:rPr>
          <w:u w:val="none"/>
          <w:lang w:bidi="es-ES"/>
        </w:rPr>
        <w:t>visibilidad y mejorando la posibilidad de intercambiar y compartir conocimientos.</w:t>
      </w:r>
    </w:p>
    <w:p w14:paraId="3DE63B16" w14:textId="00A70A33" w:rsidR="00563FFD" w:rsidRPr="001836F4" w:rsidRDefault="00563FFD" w:rsidP="00563FFD">
      <w:pPr>
        <w:widowControl w:val="0"/>
        <w:numPr>
          <w:ilvl w:val="0"/>
          <w:numId w:val="24"/>
        </w:numPr>
        <w:tabs>
          <w:tab w:val="num" w:pos="567"/>
        </w:tabs>
        <w:snapToGrid w:val="0"/>
        <w:spacing w:after="120"/>
        <w:ind w:left="567" w:hanging="567"/>
        <w:jc w:val="both"/>
        <w:rPr>
          <w:rFonts w:ascii="Arial" w:hAnsi="Arial" w:cs="Arial"/>
          <w:bCs/>
          <w:sz w:val="22"/>
          <w:szCs w:val="22"/>
          <w:lang w:val="es-BO"/>
        </w:rPr>
      </w:pPr>
      <w:r w:rsidRPr="001836F4">
        <w:rPr>
          <w:rFonts w:ascii="Arial" w:eastAsia="Arial" w:hAnsi="Arial" w:cs="Arial"/>
          <w:b/>
          <w:sz w:val="22"/>
          <w:szCs w:val="22"/>
          <w:lang w:bidi="es-ES"/>
        </w:rPr>
        <w:t>Preparación de un proyecto de plan para la utilización de los recursos del Fondo e incremento de sus recursos</w:t>
      </w:r>
      <w:r w:rsidRPr="001836F4">
        <w:rPr>
          <w:rFonts w:ascii="Arial" w:eastAsia="Arial" w:hAnsi="Arial" w:cs="Arial"/>
          <w:sz w:val="22"/>
          <w:szCs w:val="22"/>
          <w:lang w:bidi="es-ES"/>
        </w:rPr>
        <w:t xml:space="preserve"> (Artículos 7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c</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 xml:space="preserve"> y 7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d</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w:t>
      </w:r>
    </w:p>
    <w:p w14:paraId="44759E1F" w14:textId="1A65510A" w:rsidR="00563FFD" w:rsidRPr="001836F4" w:rsidRDefault="00563FFD" w:rsidP="00563FFD">
      <w:pPr>
        <w:pStyle w:val="COMParaDecision"/>
        <w:numPr>
          <w:ilvl w:val="0"/>
          <w:numId w:val="23"/>
        </w:numPr>
        <w:ind w:hanging="502"/>
        <w:rPr>
          <w:u w:val="none"/>
        </w:rPr>
      </w:pPr>
      <w:r w:rsidRPr="001836F4">
        <w:rPr>
          <w:u w:val="none"/>
          <w:lang w:bidi="es-ES"/>
        </w:rPr>
        <w:t xml:space="preserve">En su vigésima reunión, el Comité examinó un proyecto de plan para la utilización de los recursos del Fondo para el período comprendido entre el 1 de enero de 2026 y el 31 de diciembre de 2027 y, con carácter provisional, el primer semestre de 2028 (Decisión </w:t>
      </w:r>
      <w:hyperlink r:id="rId33" w:history="1">
        <w:r w:rsidRPr="001836F4">
          <w:rPr>
            <w:rStyle w:val="Hyperlink"/>
            <w:rFonts w:asciiTheme="minorBidi" w:hAnsiTheme="minorBidi" w:cstheme="minorBidi"/>
            <w:lang w:bidi="es-ES"/>
          </w:rPr>
          <w:t>20.COM</w:t>
        </w:r>
        <w:r w:rsidR="00EB7145" w:rsidRPr="001836F4">
          <w:rPr>
            <w:rStyle w:val="Hyperlink"/>
            <w:rFonts w:asciiTheme="minorBidi" w:hAnsiTheme="minorBidi" w:cstheme="minorBidi"/>
            <w:lang w:bidi="es-ES"/>
          </w:rPr>
          <w:t> </w:t>
        </w:r>
        <w:r w:rsidRPr="001836F4">
          <w:rPr>
            <w:rStyle w:val="Hyperlink"/>
            <w:rFonts w:asciiTheme="minorBidi" w:hAnsiTheme="minorBidi" w:cstheme="minorBidi"/>
            <w:lang w:bidi="es-ES"/>
          </w:rPr>
          <w:t>14</w:t>
        </w:r>
      </w:hyperlink>
      <w:r w:rsidRPr="001836F4">
        <w:rPr>
          <w:u w:val="none"/>
          <w:lang w:bidi="es-ES"/>
        </w:rPr>
        <w:t xml:space="preserve">). En consonancia con el procedimiento de aprobación introducido por el Comité en 2019 para las “otras funciones del Comité” (Decisión </w:t>
      </w:r>
      <w:hyperlink r:id="rId34" w:history="1">
        <w:r w:rsidRPr="001836F4">
          <w:rPr>
            <w:rStyle w:val="Hyperlink"/>
            <w:lang w:bidi="es-ES"/>
          </w:rPr>
          <w:t>14.COM 7</w:t>
        </w:r>
      </w:hyperlink>
      <w:r w:rsidRPr="001836F4">
        <w:rPr>
          <w:u w:val="none"/>
          <w:lang w:bidi="es-ES"/>
        </w:rPr>
        <w:t xml:space="preserve">), se presentó el proyecto </w:t>
      </w:r>
      <w:r w:rsidRPr="001836F4">
        <w:rPr>
          <w:u w:val="none"/>
          <w:lang w:bidi="es-ES"/>
        </w:rPr>
        <w:lastRenderedPageBreak/>
        <w:t xml:space="preserve">de plan con un desglose porcentual de la partida presupuestaria </w:t>
      </w:r>
      <w:r w:rsidR="00EB7145" w:rsidRPr="001836F4">
        <w:rPr>
          <w:u w:val="none"/>
          <w:lang w:bidi="es-ES"/>
        </w:rPr>
        <w:t>“</w:t>
      </w:r>
      <w:r w:rsidRPr="001836F4">
        <w:rPr>
          <w:u w:val="none"/>
          <w:lang w:bidi="es-ES"/>
        </w:rPr>
        <w:t>Otras funciones del Comité</w:t>
      </w:r>
      <w:r w:rsidR="00EB7145" w:rsidRPr="001836F4">
        <w:rPr>
          <w:u w:val="none"/>
          <w:lang w:bidi="es-ES"/>
        </w:rPr>
        <w:t>”</w:t>
      </w:r>
      <w:r w:rsidRPr="001836F4">
        <w:rPr>
          <w:u w:val="none"/>
          <w:lang w:bidi="es-ES"/>
        </w:rPr>
        <w:t>, en términos de resultados esperados según el programa y presupuesto aprobado (C/5). Este proyecto de plan se presentará a la 11.GA en 2026 para su aprobación. El mayor porcentaje sigue dedicándose a la asistencia internacional (véase el documento </w:t>
      </w:r>
      <w:hyperlink r:id="rId35" w:history="1">
        <w:r w:rsidRPr="001836F4">
          <w:rPr>
            <w:rStyle w:val="Hyperlink"/>
            <w:rFonts w:asciiTheme="minorBidi" w:hAnsiTheme="minorBidi" w:cstheme="minorBidi"/>
            <w:lang w:bidi="es-ES"/>
          </w:rPr>
          <w:t>LHE/25/20.COM/14</w:t>
        </w:r>
      </w:hyperlink>
      <w:r w:rsidRPr="001836F4">
        <w:rPr>
          <w:u w:val="none"/>
          <w:lang w:bidi="es-ES"/>
        </w:rPr>
        <w:t xml:space="preserve"> para consultar el plan detallado).</w:t>
      </w:r>
    </w:p>
    <w:p w14:paraId="6F3FF103" w14:textId="39EAB3A3" w:rsidR="00563FFD" w:rsidRPr="001836F4" w:rsidRDefault="00563FFD" w:rsidP="00563FFD">
      <w:pPr>
        <w:pStyle w:val="Marge"/>
        <w:numPr>
          <w:ilvl w:val="0"/>
          <w:numId w:val="23"/>
        </w:numPr>
        <w:tabs>
          <w:tab w:val="clear" w:pos="502"/>
          <w:tab w:val="num" w:pos="567"/>
        </w:tabs>
        <w:spacing w:before="120" w:after="120"/>
        <w:ind w:left="567" w:hanging="567"/>
        <w:rPr>
          <w:szCs w:val="22"/>
          <w:lang w:val="es-BO"/>
        </w:rPr>
      </w:pPr>
      <w:r w:rsidRPr="001836F4">
        <w:rPr>
          <w:rFonts w:asciiTheme="minorBidi" w:hAnsiTheme="minorBidi" w:cstheme="minorBidi"/>
          <w:szCs w:val="22"/>
          <w:lang w:bidi="es-ES"/>
        </w:rPr>
        <w:t xml:space="preserve">Durante el período de </w:t>
      </w:r>
      <w:r w:rsidR="006506CF" w:rsidRPr="001836F4">
        <w:rPr>
          <w:rFonts w:asciiTheme="minorBidi" w:hAnsiTheme="minorBidi" w:cstheme="minorBidi"/>
          <w:szCs w:val="22"/>
          <w:lang w:bidi="es-ES"/>
        </w:rPr>
        <w:t>referencia</w:t>
      </w:r>
      <w:r w:rsidRPr="001836F4">
        <w:rPr>
          <w:rFonts w:asciiTheme="minorBidi" w:hAnsiTheme="minorBidi" w:cstheme="minorBidi"/>
          <w:szCs w:val="22"/>
          <w:lang w:bidi="es-ES"/>
        </w:rPr>
        <w:t xml:space="preserve"> se hicieron contribuciones voluntarias complementarias al Fondo por valor de 299.846 dólares estadounidenses procedentes del Reino de los Países Bajos, San Vicente y las </w:t>
      </w:r>
      <w:proofErr w:type="gramStart"/>
      <w:r w:rsidRPr="001836F4">
        <w:rPr>
          <w:rFonts w:asciiTheme="minorBidi" w:hAnsiTheme="minorBidi" w:cstheme="minorBidi"/>
          <w:szCs w:val="22"/>
          <w:lang w:bidi="es-ES"/>
        </w:rPr>
        <w:t>Granadinas</w:t>
      </w:r>
      <w:proofErr w:type="gramEnd"/>
      <w:r w:rsidRPr="001836F4">
        <w:rPr>
          <w:rFonts w:asciiTheme="minorBidi" w:hAnsiTheme="minorBidi" w:cstheme="minorBidi"/>
          <w:szCs w:val="22"/>
          <w:lang w:bidi="es-ES"/>
        </w:rPr>
        <w:t xml:space="preserve"> y Suecia, para financiar actividades del programa</w:t>
      </w:r>
      <w:r w:rsidR="00C62350" w:rsidRPr="001836F4">
        <w:rPr>
          <w:rFonts w:asciiTheme="minorBidi" w:hAnsiTheme="minorBidi" w:cstheme="minorBidi"/>
          <w:szCs w:val="22"/>
          <w:lang w:bidi="es-ES"/>
        </w:rPr>
        <w:t>,</w:t>
      </w:r>
      <w:r w:rsidRPr="001836F4">
        <w:rPr>
          <w:rFonts w:asciiTheme="minorBidi" w:hAnsiTheme="minorBidi" w:cstheme="minorBidi"/>
          <w:szCs w:val="22"/>
          <w:lang w:bidi="es-ES"/>
        </w:rPr>
        <w:t xml:space="preserve"> así como</w:t>
      </w:r>
      <w:r w:rsidR="00C62350" w:rsidRPr="001836F4">
        <w:rPr>
          <w:rFonts w:asciiTheme="minorBidi" w:hAnsiTheme="minorBidi" w:cstheme="minorBidi"/>
          <w:szCs w:val="22"/>
          <w:lang w:bidi="es-ES"/>
        </w:rPr>
        <w:t xml:space="preserve"> actividades con</w:t>
      </w:r>
      <w:r w:rsidRPr="001836F4">
        <w:rPr>
          <w:rFonts w:asciiTheme="minorBidi" w:hAnsiTheme="minorBidi" w:cstheme="minorBidi"/>
          <w:szCs w:val="22"/>
          <w:lang w:bidi="es-ES"/>
        </w:rPr>
        <w:t xml:space="preserve"> fines específicos. Además, el </w:t>
      </w:r>
      <w:proofErr w:type="spellStart"/>
      <w:r w:rsidRPr="001836F4">
        <w:rPr>
          <w:rFonts w:asciiTheme="minorBidi" w:hAnsiTheme="minorBidi" w:cstheme="minorBidi"/>
          <w:szCs w:val="22"/>
          <w:lang w:bidi="es-ES"/>
        </w:rPr>
        <w:t>subfondo</w:t>
      </w:r>
      <w:proofErr w:type="spellEnd"/>
      <w:r w:rsidRPr="001836F4">
        <w:rPr>
          <w:rFonts w:asciiTheme="minorBidi" w:hAnsiTheme="minorBidi" w:cstheme="minorBidi"/>
          <w:szCs w:val="22"/>
          <w:lang w:bidi="es-ES"/>
        </w:rPr>
        <w:t xml:space="preserve"> del Fondo, dedicado exclusivamente a mejorar las capacidades humanas de la Secretaría, también recibió contribuciones por valor de 238.113 dólares de Eslovenia, Francia, Lituania, Mónaco y el Reino Unido de Gran Bretaña e Irlanda del Norte (Documento </w:t>
      </w:r>
      <w:hyperlink r:id="rId36" w:history="1">
        <w:r w:rsidRPr="001836F4">
          <w:rPr>
            <w:rStyle w:val="Hyperlink"/>
            <w:rFonts w:asciiTheme="minorBidi" w:hAnsiTheme="minorBidi" w:cstheme="minorBidi"/>
            <w:szCs w:val="22"/>
            <w:lang w:bidi="es-ES"/>
          </w:rPr>
          <w:t>LHE/25/20.COM/INF.14</w:t>
        </w:r>
      </w:hyperlink>
      <w:r w:rsidRPr="001836F4">
        <w:rPr>
          <w:rFonts w:asciiTheme="minorBidi" w:hAnsiTheme="minorBidi" w:cstheme="minorBidi"/>
          <w:szCs w:val="22"/>
          <w:lang w:bidi="es-ES"/>
        </w:rPr>
        <w:t xml:space="preserve">). </w:t>
      </w:r>
      <w:r w:rsidRPr="001836F4">
        <w:rPr>
          <w:rFonts w:cs="Arial"/>
          <w:szCs w:val="22"/>
          <w:lang w:bidi="es-ES"/>
        </w:rPr>
        <w:t xml:space="preserve">En la 20.COM se constató la finalización de las dos </w:t>
      </w:r>
      <w:r w:rsidRPr="001836F4">
        <w:rPr>
          <w:szCs w:val="22"/>
          <w:lang w:bidi="es-ES"/>
        </w:rPr>
        <w:t>prioridades de financiación de la Convención para el período 2022-2025. Al mismo tiempo, la 20.COM abrió dos nuevas prioridades de financiación para el período 2026-2029 (Decisi</w:t>
      </w:r>
      <w:r w:rsidR="00EB7145" w:rsidRPr="001836F4">
        <w:rPr>
          <w:szCs w:val="22"/>
          <w:lang w:bidi="es-ES"/>
        </w:rPr>
        <w:t>ón</w:t>
      </w:r>
      <w:r w:rsidRPr="001836F4">
        <w:rPr>
          <w:rStyle w:val="Hyperlink"/>
          <w:color w:val="auto"/>
          <w:szCs w:val="22"/>
          <w:u w:val="none"/>
          <w:lang w:bidi="es-ES"/>
        </w:rPr>
        <w:t xml:space="preserve"> </w:t>
      </w:r>
      <w:hyperlink r:id="rId37" w:history="1">
        <w:r w:rsidRPr="001836F4">
          <w:rPr>
            <w:rStyle w:val="Hyperlink"/>
            <w:szCs w:val="22"/>
            <w:lang w:bidi="es-ES"/>
          </w:rPr>
          <w:t>20.COM 13</w:t>
        </w:r>
      </w:hyperlink>
      <w:r w:rsidRPr="001836F4">
        <w:rPr>
          <w:szCs w:val="22"/>
          <w:lang w:bidi="es-ES"/>
        </w:rPr>
        <w:t>), es decir,</w:t>
      </w:r>
      <w:r w:rsidR="00EB7145" w:rsidRPr="001836F4">
        <w:rPr>
          <w:rFonts w:asciiTheme="minorBidi" w:hAnsiTheme="minorBidi" w:cstheme="minorBidi"/>
          <w:szCs w:val="22"/>
          <w:lang w:bidi="es-ES"/>
        </w:rPr>
        <w:t xml:space="preserve"> “</w:t>
      </w:r>
      <w:r w:rsidRPr="001836F4">
        <w:rPr>
          <w:rFonts w:asciiTheme="minorBidi" w:hAnsiTheme="minorBidi" w:cstheme="minorBidi"/>
          <w:szCs w:val="22"/>
          <w:lang w:bidi="es-ES"/>
        </w:rPr>
        <w:t>Mejorar los enfoques de fortalecimiento de capacidades para salvaguardar el patrimonio cultural inmaterial centrándose en el bienestar humano y el empoderamiento de la</w:t>
      </w:r>
      <w:r w:rsidR="00EB7145" w:rsidRPr="001836F4">
        <w:rPr>
          <w:rFonts w:asciiTheme="minorBidi" w:hAnsiTheme="minorBidi" w:cstheme="minorBidi"/>
          <w:szCs w:val="22"/>
          <w:lang w:bidi="es-ES"/>
        </w:rPr>
        <w:t>s</w:t>
      </w:r>
      <w:r w:rsidRPr="001836F4">
        <w:rPr>
          <w:rFonts w:asciiTheme="minorBidi" w:hAnsiTheme="minorBidi" w:cstheme="minorBidi"/>
          <w:szCs w:val="22"/>
          <w:lang w:bidi="es-ES"/>
        </w:rPr>
        <w:t xml:space="preserve"> comunidad</w:t>
      </w:r>
      <w:r w:rsidR="00EB7145" w:rsidRPr="001836F4">
        <w:rPr>
          <w:rFonts w:asciiTheme="minorBidi" w:hAnsiTheme="minorBidi" w:cstheme="minorBidi"/>
          <w:szCs w:val="22"/>
          <w:lang w:bidi="es-ES"/>
        </w:rPr>
        <w:t>es”</w:t>
      </w:r>
      <w:r w:rsidRPr="001836F4">
        <w:rPr>
          <w:rFonts w:asciiTheme="minorBidi" w:hAnsiTheme="minorBidi" w:cstheme="minorBidi"/>
          <w:szCs w:val="22"/>
          <w:lang w:bidi="es-ES"/>
        </w:rPr>
        <w:t xml:space="preserve"> (Prioridad de financiación A) y </w:t>
      </w:r>
      <w:r w:rsidR="00EB7145" w:rsidRPr="001836F4">
        <w:rPr>
          <w:rFonts w:asciiTheme="minorBidi" w:hAnsiTheme="minorBidi" w:cstheme="minorBidi"/>
          <w:szCs w:val="22"/>
          <w:lang w:bidi="es-ES"/>
        </w:rPr>
        <w:t>“</w:t>
      </w:r>
      <w:r w:rsidRPr="001836F4">
        <w:rPr>
          <w:rFonts w:asciiTheme="minorBidi" w:hAnsiTheme="minorBidi" w:cstheme="minorBidi"/>
          <w:szCs w:val="22"/>
          <w:lang w:bidi="es-ES"/>
        </w:rPr>
        <w:t>Perfeccionar los enfoques para salvaguardar el patrimonio cultural inmaterial</w:t>
      </w:r>
      <w:r w:rsidR="00EB7145" w:rsidRPr="001836F4">
        <w:rPr>
          <w:rFonts w:asciiTheme="minorBidi" w:hAnsiTheme="minorBidi" w:cstheme="minorBidi"/>
          <w:szCs w:val="22"/>
          <w:lang w:bidi="es-ES"/>
        </w:rPr>
        <w:t>”</w:t>
      </w:r>
      <w:r w:rsidRPr="001836F4">
        <w:rPr>
          <w:rFonts w:asciiTheme="minorBidi" w:hAnsiTheme="minorBidi" w:cstheme="minorBidi"/>
          <w:szCs w:val="22"/>
          <w:lang w:bidi="es-ES"/>
        </w:rPr>
        <w:t xml:space="preserve"> (Prioridad de financiación B)</w:t>
      </w:r>
      <w:r w:rsidRPr="001836F4">
        <w:rPr>
          <w:szCs w:val="22"/>
          <w:lang w:bidi="es-ES"/>
        </w:rPr>
        <w:t>.</w:t>
      </w:r>
    </w:p>
    <w:p w14:paraId="030DF38F" w14:textId="7BFA4E0D" w:rsidR="00563FFD" w:rsidRPr="001836F4" w:rsidRDefault="00563FFD" w:rsidP="00563FFD">
      <w:pPr>
        <w:keepNext/>
        <w:numPr>
          <w:ilvl w:val="0"/>
          <w:numId w:val="24"/>
        </w:numPr>
        <w:tabs>
          <w:tab w:val="clear" w:pos="720"/>
          <w:tab w:val="num" w:pos="567"/>
        </w:tabs>
        <w:spacing w:before="240" w:after="120"/>
        <w:ind w:left="562" w:hanging="562"/>
        <w:rPr>
          <w:rFonts w:ascii="Arial" w:hAnsi="Arial" w:cs="Arial"/>
          <w:b/>
          <w:sz w:val="22"/>
          <w:szCs w:val="22"/>
          <w:lang w:val="es-BO"/>
        </w:rPr>
      </w:pPr>
      <w:r w:rsidRPr="001836F4">
        <w:rPr>
          <w:rFonts w:ascii="Arial" w:eastAsia="Arial" w:hAnsi="Arial" w:cs="Arial"/>
          <w:b/>
          <w:sz w:val="22"/>
          <w:szCs w:val="22"/>
          <w:lang w:bidi="es-ES"/>
        </w:rPr>
        <w:t>Examen de los informes periódicos</w:t>
      </w:r>
      <w:r w:rsidRPr="001836F4">
        <w:rPr>
          <w:rFonts w:ascii="Arial" w:eastAsia="Arial" w:hAnsi="Arial" w:cs="Arial"/>
          <w:sz w:val="22"/>
          <w:szCs w:val="22"/>
          <w:lang w:bidi="es-ES"/>
        </w:rPr>
        <w:t xml:space="preserve"> (artículo 7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f</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w:t>
      </w:r>
    </w:p>
    <w:p w14:paraId="494564FA" w14:textId="77777777" w:rsidR="00563FFD" w:rsidRPr="001836F4" w:rsidRDefault="00563FFD" w:rsidP="00563FFD">
      <w:pPr>
        <w:pStyle w:val="COMParaDecision"/>
        <w:numPr>
          <w:ilvl w:val="0"/>
          <w:numId w:val="23"/>
        </w:numPr>
        <w:ind w:hanging="502"/>
        <w:rPr>
          <w:u w:val="none"/>
        </w:rPr>
      </w:pPr>
      <w:r w:rsidRPr="001836F4">
        <w:rPr>
          <w:u w:val="none"/>
          <w:lang w:bidi="es-ES"/>
        </w:rPr>
        <w:t xml:space="preserve">El Comité examinó 26 informes sobre el estado de los elementos incluidos en la Lista de Salvaguardia Urgente: 18 en la 19.COM de 2024 y 8 en la 20.COM de 2025. Al examinar estos informes, el Comité reconoció la mayor viabilidad de algunos elementos inscritos, los cuales, según se ha informado, ya no requieren medidas urgentes de salvaguardia, y tomó nota de los Estados Partes que expresaron su deseo de traspasar elementos de la Lista de Salvaguardia Urgente a la Lista Representativa (Decisión </w:t>
      </w:r>
      <w:hyperlink r:id="rId38" w:history="1">
        <w:r w:rsidRPr="001836F4">
          <w:rPr>
            <w:rStyle w:val="Hyperlink"/>
            <w:lang w:bidi="es-ES"/>
          </w:rPr>
          <w:t>19.COM 6.a</w:t>
        </w:r>
      </w:hyperlink>
      <w:r w:rsidRPr="001836F4">
        <w:rPr>
          <w:u w:val="none"/>
          <w:lang w:bidi="es-ES"/>
        </w:rPr>
        <w:t xml:space="preserve">), dos de las cuales se examinaron en la 20.COM (Decisiones </w:t>
      </w:r>
      <w:hyperlink r:id="rId39" w:history="1">
        <w:r w:rsidRPr="001836F4">
          <w:rPr>
            <w:rStyle w:val="Hyperlink"/>
            <w:lang w:bidi="es-ES"/>
          </w:rPr>
          <w:t>20.COM 7.c.1</w:t>
        </w:r>
      </w:hyperlink>
      <w:r w:rsidRPr="001836F4">
        <w:rPr>
          <w:u w:val="none"/>
          <w:lang w:bidi="es-ES"/>
        </w:rPr>
        <w:t xml:space="preserve"> y </w:t>
      </w:r>
      <w:hyperlink r:id="rId40" w:history="1">
        <w:r w:rsidRPr="001836F4">
          <w:rPr>
            <w:rStyle w:val="Hyperlink"/>
            <w:lang w:bidi="es-ES"/>
          </w:rPr>
          <w:t>20.COM 7.c.2</w:t>
        </w:r>
      </w:hyperlink>
      <w:r w:rsidRPr="001836F4">
        <w:rPr>
          <w:u w:val="none"/>
          <w:lang w:bidi="es-ES"/>
        </w:rPr>
        <w:t>).</w:t>
      </w:r>
    </w:p>
    <w:p w14:paraId="063FB53A" w14:textId="4C9140C2" w:rsidR="00563FFD" w:rsidRPr="001836F4" w:rsidRDefault="00563FFD" w:rsidP="00563FFD">
      <w:pPr>
        <w:pStyle w:val="COMParaDecision"/>
        <w:numPr>
          <w:ilvl w:val="0"/>
          <w:numId w:val="23"/>
        </w:numPr>
        <w:ind w:hanging="502"/>
        <w:rPr>
          <w:u w:val="none"/>
        </w:rPr>
      </w:pPr>
      <w:r w:rsidRPr="001836F4">
        <w:rPr>
          <w:u w:val="none"/>
          <w:lang w:bidi="es-ES"/>
        </w:rPr>
        <w:t xml:space="preserve">En cuanto al sistema de presentación de informes periódicos sobre la aplicación de la Convención, el Comité examinó un total de 82 informes presentados por las dos últimas regiones, concluyendo así el examen de los informes de este primer ciclo regional: la 19.COM examinó los informes presentados por los cuarenta y cuatro Estados Partes de África (Decisión </w:t>
      </w:r>
      <w:hyperlink r:id="rId41" w:history="1">
        <w:r w:rsidRPr="001836F4">
          <w:rPr>
            <w:rStyle w:val="Hyperlink"/>
            <w:lang w:bidi="es-ES"/>
          </w:rPr>
          <w:t>19.COM 6.b</w:t>
        </w:r>
      </w:hyperlink>
      <w:r w:rsidRPr="001836F4">
        <w:rPr>
          <w:u w:val="none"/>
          <w:lang w:bidi="es-ES"/>
        </w:rPr>
        <w:t xml:space="preserve">) y la 20.COM examinó los informes presentados por 38 de los 42 Estados Partes de Asia y el Pacífico (Decisión </w:t>
      </w:r>
      <w:hyperlink r:id="rId42" w:history="1">
        <w:r w:rsidRPr="001836F4">
          <w:rPr>
            <w:rStyle w:val="Hyperlink"/>
            <w:rFonts w:asciiTheme="minorBidi" w:hAnsiTheme="minorBidi" w:cstheme="minorBidi"/>
            <w:lang w:bidi="es-ES"/>
          </w:rPr>
          <w:t>20.COM 6.b</w:t>
        </w:r>
      </w:hyperlink>
      <w:r w:rsidRPr="001836F4">
        <w:rPr>
          <w:u w:val="none"/>
          <w:lang w:bidi="es-ES"/>
        </w:rPr>
        <w:t>). Desde el inicio de este ciclo de presentación de informes en 2021, se han presentado 172 de los 182 informes previstos, lo que representa un índice de presentación del 95% para todo el primer ciclo.</w:t>
      </w:r>
    </w:p>
    <w:p w14:paraId="5518137D" w14:textId="178AE01E" w:rsidR="00563FFD" w:rsidRPr="001836F4" w:rsidRDefault="00563FFD" w:rsidP="00563FFD">
      <w:pPr>
        <w:pStyle w:val="COMParaDecision"/>
        <w:numPr>
          <w:ilvl w:val="0"/>
          <w:numId w:val="23"/>
        </w:numPr>
        <w:ind w:hanging="502"/>
        <w:rPr>
          <w:u w:val="none"/>
        </w:rPr>
      </w:pPr>
      <w:r w:rsidRPr="001836F4">
        <w:rPr>
          <w:u w:val="none"/>
          <w:lang w:bidi="es-ES"/>
        </w:rPr>
        <w:t xml:space="preserve">Además, el Comité examinó la manera de racionalizar el mecanismo de presentación de informes periódicos para avanzar hacia un sistema </w:t>
      </w:r>
      <w:r w:rsidR="0019474B" w:rsidRPr="001836F4">
        <w:rPr>
          <w:u w:val="none"/>
          <w:lang w:bidi="es-ES"/>
        </w:rPr>
        <w:t xml:space="preserve">global </w:t>
      </w:r>
      <w:r w:rsidRPr="001836F4">
        <w:rPr>
          <w:u w:val="none"/>
          <w:lang w:bidi="es-ES"/>
        </w:rPr>
        <w:t xml:space="preserve">único de presentación. Se solicitaría a todos los </w:t>
      </w:r>
      <w:proofErr w:type="gramStart"/>
      <w:r w:rsidRPr="001836F4">
        <w:rPr>
          <w:u w:val="none"/>
          <w:lang w:bidi="es-ES"/>
        </w:rPr>
        <w:t>Estados Partes</w:t>
      </w:r>
      <w:proofErr w:type="gramEnd"/>
      <w:r w:rsidRPr="001836F4">
        <w:rPr>
          <w:u w:val="none"/>
          <w:lang w:bidi="es-ES"/>
        </w:rPr>
        <w:t xml:space="preserve"> que presentaran sus informes sobre la aplicación de la Convención y el estado actual de los elementos incluidos en la Lista Representativa y en la Lista de Salvaguardia Urgente antes de la fecha límite del 30 de junio de 2027 y cada cuatro años a partir de entonces (Decisiones </w:t>
      </w:r>
      <w:hyperlink r:id="rId43" w:history="1">
        <w:r w:rsidRPr="001836F4">
          <w:rPr>
            <w:rStyle w:val="Hyperlink"/>
            <w:lang w:bidi="es-ES"/>
          </w:rPr>
          <w:t>19.COM 6.c</w:t>
        </w:r>
      </w:hyperlink>
      <w:r w:rsidRPr="001836F4">
        <w:rPr>
          <w:u w:val="none"/>
          <w:lang w:bidi="es-ES"/>
        </w:rPr>
        <w:t xml:space="preserve"> y </w:t>
      </w:r>
      <w:hyperlink r:id="rId44" w:history="1">
        <w:r w:rsidRPr="001836F4">
          <w:rPr>
            <w:rStyle w:val="Hyperlink"/>
            <w:rFonts w:asciiTheme="minorBidi" w:hAnsiTheme="minorBidi" w:cstheme="minorBidi"/>
            <w:lang w:bidi="es-ES"/>
          </w:rPr>
          <w:t>20.COM 6.c</w:t>
        </w:r>
      </w:hyperlink>
      <w:r w:rsidRPr="001836F4">
        <w:rPr>
          <w:u w:val="none"/>
          <w:lang w:bidi="es-ES"/>
        </w:rPr>
        <w:t>). Esta iniciativa está en consonancia con el compromiso del Sector de Cultura de la UNESCO de elaborar cada cuatro años un Informe Mundial sobre Políticas Culturales</w:t>
      </w:r>
      <w:r w:rsidR="004A51D0" w:rsidRPr="001836F4">
        <w:rPr>
          <w:u w:val="none"/>
          <w:lang w:bidi="es-ES"/>
        </w:rPr>
        <w:t>,</w:t>
      </w:r>
      <w:r w:rsidRPr="001836F4">
        <w:rPr>
          <w:u w:val="none"/>
          <w:lang w:bidi="es-ES"/>
        </w:rPr>
        <w:t xml:space="preserve"> a raíz de la </w:t>
      </w:r>
      <w:hyperlink r:id="rId45" w:history="1">
        <w:r w:rsidRPr="001836F4">
          <w:rPr>
            <w:rStyle w:val="Hyperlink"/>
            <w:lang w:bidi="es-ES"/>
          </w:rPr>
          <w:t>Declaración</w:t>
        </w:r>
      </w:hyperlink>
      <w:r w:rsidR="0074350B" w:rsidRPr="001836F4">
        <w:rPr>
          <w:u w:val="none"/>
          <w:lang w:bidi="es-ES"/>
        </w:rPr>
        <w:t xml:space="preserve"> </w:t>
      </w:r>
      <w:r w:rsidRPr="001836F4">
        <w:rPr>
          <w:u w:val="none"/>
          <w:lang w:bidi="es-ES"/>
        </w:rPr>
        <w:t xml:space="preserve">MONDIACULT </w:t>
      </w:r>
      <w:r w:rsidR="0074350B" w:rsidRPr="001836F4">
        <w:rPr>
          <w:u w:val="none"/>
          <w:lang w:bidi="es-ES"/>
        </w:rPr>
        <w:t xml:space="preserve">de </w:t>
      </w:r>
      <w:r w:rsidRPr="001836F4">
        <w:rPr>
          <w:u w:val="none"/>
          <w:lang w:bidi="es-ES"/>
        </w:rPr>
        <w:t>2022.</w:t>
      </w:r>
    </w:p>
    <w:p w14:paraId="17B07CB4" w14:textId="45C48A22" w:rsidR="00563FFD" w:rsidRPr="001836F4" w:rsidRDefault="00563FFD" w:rsidP="00563FFD">
      <w:pPr>
        <w:widowControl w:val="0"/>
        <w:numPr>
          <w:ilvl w:val="0"/>
          <w:numId w:val="24"/>
        </w:numPr>
        <w:tabs>
          <w:tab w:val="clear" w:pos="720"/>
        </w:tabs>
        <w:spacing w:before="240" w:after="120"/>
        <w:ind w:left="567" w:hanging="567"/>
        <w:jc w:val="both"/>
        <w:rPr>
          <w:rFonts w:ascii="Arial" w:hAnsi="Arial" w:cs="Arial"/>
          <w:b/>
          <w:sz w:val="22"/>
          <w:szCs w:val="22"/>
          <w:lang w:val="es-BO"/>
        </w:rPr>
      </w:pPr>
      <w:r w:rsidRPr="001836F4">
        <w:rPr>
          <w:rFonts w:ascii="Arial" w:eastAsia="Arial" w:hAnsi="Arial" w:cs="Arial"/>
          <w:b/>
          <w:sz w:val="22"/>
          <w:szCs w:val="22"/>
          <w:lang w:bidi="es-ES"/>
        </w:rPr>
        <w:t>Inscripciones en las listas de la Convención, selección de buenas prácticas de salvaguardia y prestación de asistencia internacional</w:t>
      </w:r>
      <w:r w:rsidRPr="001836F4">
        <w:rPr>
          <w:rFonts w:ascii="Arial" w:eastAsia="Arial" w:hAnsi="Arial" w:cs="Arial"/>
          <w:sz w:val="22"/>
          <w:szCs w:val="22"/>
          <w:lang w:bidi="es-ES"/>
        </w:rPr>
        <w:t xml:space="preserve"> (artículo 7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g</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w:t>
      </w:r>
    </w:p>
    <w:p w14:paraId="68ACB425" w14:textId="040A5E54" w:rsidR="00563FFD" w:rsidRPr="001836F4" w:rsidRDefault="00563FFD" w:rsidP="00563FFD">
      <w:pPr>
        <w:pStyle w:val="Marge"/>
        <w:numPr>
          <w:ilvl w:val="0"/>
          <w:numId w:val="23"/>
        </w:numPr>
        <w:tabs>
          <w:tab w:val="clear" w:pos="502"/>
          <w:tab w:val="num" w:pos="567"/>
        </w:tabs>
        <w:spacing w:before="120" w:after="120"/>
        <w:ind w:left="567" w:hanging="567"/>
        <w:rPr>
          <w:rFonts w:asciiTheme="minorBidi" w:hAnsiTheme="minorBidi"/>
          <w:szCs w:val="22"/>
        </w:rPr>
      </w:pPr>
      <w:r w:rsidRPr="001836F4">
        <w:rPr>
          <w:rFonts w:asciiTheme="minorBidi" w:hAnsiTheme="minorBidi" w:cstheme="minorBidi"/>
          <w:szCs w:val="22"/>
          <w:lang w:bidi="es-ES"/>
        </w:rPr>
        <w:t xml:space="preserve">Durante el período de </w:t>
      </w:r>
      <w:r w:rsidR="00C62350" w:rsidRPr="001836F4">
        <w:rPr>
          <w:rFonts w:asciiTheme="minorBidi" w:hAnsiTheme="minorBidi" w:cstheme="minorBidi"/>
          <w:szCs w:val="22"/>
          <w:lang w:bidi="es-ES"/>
        </w:rPr>
        <w:t>referencia</w:t>
      </w:r>
      <w:r w:rsidRPr="001836F4">
        <w:rPr>
          <w:rFonts w:asciiTheme="minorBidi" w:hAnsiTheme="minorBidi" w:cstheme="minorBidi"/>
          <w:szCs w:val="22"/>
          <w:lang w:bidi="es-ES"/>
        </w:rPr>
        <w:t>, el Comité inscribió, traspasó o seleccionó un total de 135 elementos en las Listas y el Registro del Convenio: 13 en la Lista de Salvaguardia Urgente</w:t>
      </w:r>
      <w:r w:rsidR="00864085" w:rsidRPr="001836F4">
        <w:rPr>
          <w:rFonts w:asciiTheme="minorBidi" w:hAnsiTheme="minorBidi" w:cstheme="minorBidi"/>
          <w:szCs w:val="22"/>
          <w:lang w:bidi="es-ES"/>
        </w:rPr>
        <w:t xml:space="preserve"> </w:t>
      </w:r>
      <w:r w:rsidRPr="001836F4">
        <w:rPr>
          <w:rFonts w:asciiTheme="minorBidi" w:hAnsiTheme="minorBidi" w:cstheme="minorBidi"/>
          <w:szCs w:val="22"/>
          <w:lang w:bidi="es-ES"/>
        </w:rPr>
        <w:t xml:space="preserve">(tres de </w:t>
      </w:r>
      <w:r w:rsidR="00864085" w:rsidRPr="001836F4">
        <w:rPr>
          <w:rFonts w:asciiTheme="minorBidi" w:hAnsiTheme="minorBidi" w:cstheme="minorBidi"/>
          <w:szCs w:val="22"/>
          <w:lang w:bidi="es-ES"/>
        </w:rPr>
        <w:t xml:space="preserve">los </w:t>
      </w:r>
      <w:r w:rsidRPr="001836F4">
        <w:rPr>
          <w:rFonts w:asciiTheme="minorBidi" w:hAnsiTheme="minorBidi" w:cstheme="minorBidi"/>
          <w:szCs w:val="22"/>
          <w:lang w:bidi="es-ES"/>
        </w:rPr>
        <w:t>cuales incluían una solicitud de asistencia internacional), 111 en la Lista Representativa, incluidas 11 inscripciones ampliad</w:t>
      </w:r>
      <w:r w:rsidR="004A51D0" w:rsidRPr="001836F4">
        <w:rPr>
          <w:rFonts w:asciiTheme="minorBidi" w:hAnsiTheme="minorBidi" w:cstheme="minorBidi"/>
          <w:szCs w:val="22"/>
          <w:lang w:bidi="es-ES"/>
        </w:rPr>
        <w:t>as</w:t>
      </w:r>
      <w:r w:rsidRPr="001836F4">
        <w:rPr>
          <w:rFonts w:asciiTheme="minorBidi" w:hAnsiTheme="minorBidi" w:cstheme="minorBidi"/>
          <w:szCs w:val="22"/>
          <w:lang w:bidi="es-ES"/>
        </w:rPr>
        <w:t xml:space="preserve">. Además, otros cinco elementos se traspasaron de la Lista de Salvaguardia Urgente a la Lista Representativa, en reconocimiento de la mejora de la viabilidad desde su </w:t>
      </w:r>
      <w:r w:rsidR="00864085" w:rsidRPr="001836F4">
        <w:rPr>
          <w:rFonts w:asciiTheme="minorBidi" w:hAnsiTheme="minorBidi" w:cstheme="minorBidi"/>
          <w:szCs w:val="22"/>
          <w:lang w:bidi="es-ES"/>
        </w:rPr>
        <w:t xml:space="preserve">inscripción </w:t>
      </w:r>
      <w:r w:rsidRPr="001836F4">
        <w:rPr>
          <w:rFonts w:asciiTheme="minorBidi" w:hAnsiTheme="minorBidi" w:cstheme="minorBidi"/>
          <w:szCs w:val="22"/>
          <w:lang w:bidi="es-ES"/>
        </w:rPr>
        <w:t xml:space="preserve">inicial. El Comité también seleccionó seis programas para el Registro de Buenas Prácticas de Salvaguardia, incluidas dos experiencias </w:t>
      </w:r>
      <w:r w:rsidRPr="001836F4">
        <w:rPr>
          <w:rFonts w:asciiTheme="minorBidi" w:hAnsiTheme="minorBidi" w:cstheme="minorBidi"/>
          <w:szCs w:val="22"/>
          <w:lang w:bidi="es-ES"/>
        </w:rPr>
        <w:lastRenderedPageBreak/>
        <w:t>de salvaguardia derivadas de traspasos de la Lista de Salvaguardia Urgente a la Lista Representativa.</w:t>
      </w:r>
    </w:p>
    <w:p w14:paraId="4487D678" w14:textId="28AE415D" w:rsidR="00563FFD" w:rsidRPr="001836F4" w:rsidRDefault="00563FFD" w:rsidP="00563FFD">
      <w:pPr>
        <w:pStyle w:val="Marge"/>
        <w:numPr>
          <w:ilvl w:val="0"/>
          <w:numId w:val="23"/>
        </w:numPr>
        <w:tabs>
          <w:tab w:val="clear" w:pos="502"/>
          <w:tab w:val="num" w:pos="567"/>
        </w:tabs>
        <w:spacing w:before="120" w:after="120"/>
        <w:ind w:left="567" w:hanging="567"/>
        <w:rPr>
          <w:rFonts w:cs="Arial"/>
          <w:szCs w:val="22"/>
          <w:lang w:val="es-BO"/>
        </w:rPr>
      </w:pPr>
      <w:r w:rsidRPr="001836F4">
        <w:rPr>
          <w:rFonts w:cs="Arial"/>
          <w:szCs w:val="22"/>
          <w:lang w:bidi="es-ES"/>
        </w:rPr>
        <w:t xml:space="preserve">El Comité (para las solicitudes superiores a 100.000 dólares estadounidenses) y la Mesa (para las solicitudes de hasta 100.000 dólares estadounidenses y las solicitudes urgentes) aprobaron 27 </w:t>
      </w:r>
      <w:r w:rsidRPr="001836F4">
        <w:rPr>
          <w:rFonts w:asciiTheme="minorBidi" w:hAnsiTheme="minorBidi" w:cstheme="minorBidi"/>
          <w:szCs w:val="22"/>
          <w:lang w:bidi="es-ES"/>
        </w:rPr>
        <w:t xml:space="preserve">solicitudes de asistencia internacional, por un importe total de </w:t>
      </w:r>
      <w:r w:rsidRPr="001836F4">
        <w:rPr>
          <w:rFonts w:cs="Arial"/>
          <w:szCs w:val="22"/>
          <w:lang w:bidi="es-ES"/>
        </w:rPr>
        <w:t xml:space="preserve">1.993.676 dólares estadounidenses, que beneficiaron a 31 países. En total, 37 </w:t>
      </w:r>
      <w:proofErr w:type="gramStart"/>
      <w:r w:rsidRPr="001836F4">
        <w:rPr>
          <w:rFonts w:cs="Arial"/>
          <w:szCs w:val="22"/>
          <w:lang w:bidi="es-ES"/>
        </w:rPr>
        <w:t>Estados Partes</w:t>
      </w:r>
      <w:proofErr w:type="gramEnd"/>
      <w:r w:rsidRPr="001836F4">
        <w:rPr>
          <w:rFonts w:cs="Arial"/>
          <w:szCs w:val="22"/>
          <w:lang w:bidi="es-ES"/>
        </w:rPr>
        <w:t xml:space="preserve"> recibieron ayuda financiera del Fondo durante el período de </w:t>
      </w:r>
      <w:r w:rsidR="00C62350" w:rsidRPr="001836F4">
        <w:rPr>
          <w:rFonts w:cs="Arial"/>
          <w:szCs w:val="22"/>
          <w:lang w:bidi="es-ES"/>
        </w:rPr>
        <w:t>referencia</w:t>
      </w:r>
      <w:r w:rsidRPr="001836F4">
        <w:rPr>
          <w:rFonts w:cs="Arial"/>
          <w:szCs w:val="22"/>
          <w:lang w:bidi="es-ES"/>
        </w:rPr>
        <w:t>.</w:t>
      </w:r>
    </w:p>
    <w:p w14:paraId="2A3B8A12" w14:textId="0B7EFD6F" w:rsidR="00563FFD" w:rsidRPr="001836F4" w:rsidRDefault="00563FFD" w:rsidP="00563FFD">
      <w:pPr>
        <w:pStyle w:val="Marge"/>
        <w:numPr>
          <w:ilvl w:val="0"/>
          <w:numId w:val="23"/>
        </w:numPr>
        <w:tabs>
          <w:tab w:val="clear" w:pos="502"/>
          <w:tab w:val="num" w:pos="567"/>
        </w:tabs>
        <w:spacing w:before="120" w:after="120"/>
        <w:ind w:left="567" w:hanging="567"/>
        <w:rPr>
          <w:rFonts w:asciiTheme="minorBidi" w:hAnsiTheme="minorBidi" w:cstheme="minorBidi"/>
          <w:lang w:val="es-BO"/>
        </w:rPr>
      </w:pPr>
      <w:r w:rsidRPr="001836F4">
        <w:rPr>
          <w:rFonts w:cs="Arial"/>
          <w:szCs w:val="22"/>
          <w:lang w:bidi="es-ES"/>
        </w:rPr>
        <w:t xml:space="preserve">Siguiendo las recomendaciones de los grupos de trabajo intergubernamentales de composición abierta en el marco de la reflexión mundial sobre los mecanismos de </w:t>
      </w:r>
      <w:r w:rsidR="00864085" w:rsidRPr="001836F4">
        <w:rPr>
          <w:rFonts w:cs="Arial"/>
          <w:szCs w:val="22"/>
          <w:lang w:bidi="es-ES"/>
        </w:rPr>
        <w:t xml:space="preserve">inscripción </w:t>
      </w:r>
      <w:r w:rsidRPr="001836F4">
        <w:rPr>
          <w:rFonts w:cs="Arial"/>
          <w:szCs w:val="22"/>
          <w:lang w:bidi="es-ES"/>
        </w:rPr>
        <w:t xml:space="preserve">en las Listas (2018-2022) y en el marco de la reflexión sobre una aplicación más amplia del Artículo 18 (2023), la 10.GA aprobó enmiendas a las Directrices Operativas (Resolución </w:t>
      </w:r>
      <w:hyperlink r:id="rId46" w:history="1">
        <w:r w:rsidRPr="001836F4">
          <w:rPr>
            <w:rStyle w:val="Hyperlink"/>
            <w:rFonts w:asciiTheme="minorBidi" w:hAnsiTheme="minorBidi" w:cstheme="minorBidi"/>
            <w:szCs w:val="22"/>
            <w:lang w:bidi="es-ES"/>
          </w:rPr>
          <w:t>10.GA 7</w:t>
        </w:r>
      </w:hyperlink>
      <w:r w:rsidRPr="001836F4">
        <w:rPr>
          <w:rFonts w:asciiTheme="minorBidi" w:hAnsiTheme="minorBidi" w:cstheme="minorBidi"/>
          <w:szCs w:val="22"/>
          <w:lang w:bidi="es-ES"/>
        </w:rPr>
        <w:t xml:space="preserve">), refrendadas por la decimoctava sesión del Comité (Decisiones </w:t>
      </w:r>
      <w:hyperlink r:id="rId47" w:history="1">
        <w:r w:rsidRPr="001836F4">
          <w:rPr>
            <w:rStyle w:val="Hyperlink"/>
            <w:rFonts w:asciiTheme="minorBidi" w:hAnsiTheme="minorBidi" w:cstheme="minorBidi"/>
            <w:szCs w:val="22"/>
            <w:lang w:bidi="es-ES"/>
          </w:rPr>
          <w:t>18.COM</w:t>
        </w:r>
        <w:r w:rsidR="00864085" w:rsidRPr="001836F4">
          <w:rPr>
            <w:rStyle w:val="Hyperlink"/>
            <w:rFonts w:asciiTheme="minorBidi" w:hAnsiTheme="minorBidi" w:cstheme="minorBidi"/>
            <w:szCs w:val="22"/>
            <w:lang w:bidi="es-ES"/>
          </w:rPr>
          <w:t> </w:t>
        </w:r>
        <w:r w:rsidRPr="001836F4">
          <w:rPr>
            <w:rStyle w:val="Hyperlink"/>
            <w:rFonts w:asciiTheme="minorBidi" w:hAnsiTheme="minorBidi" w:cstheme="minorBidi"/>
            <w:szCs w:val="22"/>
            <w:lang w:bidi="es-ES"/>
          </w:rPr>
          <w:t>10</w:t>
        </w:r>
      </w:hyperlink>
      <w:r w:rsidRPr="001836F4">
        <w:rPr>
          <w:rFonts w:asciiTheme="minorBidi" w:hAnsiTheme="minorBidi" w:cstheme="minorBidi"/>
          <w:szCs w:val="22"/>
          <w:lang w:bidi="es-ES"/>
        </w:rPr>
        <w:t xml:space="preserve"> y </w:t>
      </w:r>
      <w:hyperlink r:id="rId48" w:history="1">
        <w:r w:rsidRPr="001836F4">
          <w:rPr>
            <w:rStyle w:val="Hyperlink"/>
            <w:rFonts w:asciiTheme="minorBidi" w:hAnsiTheme="minorBidi" w:cstheme="minorBidi"/>
            <w:szCs w:val="22"/>
            <w:lang w:bidi="es-ES"/>
          </w:rPr>
          <w:t>18.COM 11</w:t>
        </w:r>
      </w:hyperlink>
      <w:r w:rsidRPr="001836F4">
        <w:rPr>
          <w:rFonts w:asciiTheme="minorBidi" w:hAnsiTheme="minorBidi" w:cstheme="minorBidi"/>
          <w:szCs w:val="22"/>
          <w:lang w:bidi="es-ES"/>
        </w:rPr>
        <w:t>). Estas reformas tenían por objeto simplificar los criterios de selección para el Registro de Buenas Prácticas de Salvaguardia</w:t>
      </w:r>
      <w:r w:rsidR="00864085" w:rsidRPr="001836F4">
        <w:rPr>
          <w:rFonts w:asciiTheme="minorBidi" w:hAnsiTheme="minorBidi" w:cstheme="minorBidi"/>
          <w:szCs w:val="22"/>
          <w:lang w:bidi="es-ES"/>
        </w:rPr>
        <w:t xml:space="preserve">, </w:t>
      </w:r>
      <w:r w:rsidRPr="001836F4">
        <w:rPr>
          <w:rFonts w:asciiTheme="minorBidi" w:hAnsiTheme="minorBidi" w:cstheme="minorBidi"/>
          <w:szCs w:val="22"/>
          <w:lang w:bidi="es-ES"/>
        </w:rPr>
        <w:t xml:space="preserve">con arreglo al Capítulo I.3 (los nuevos criterios entrarán en vigor a partir del ciclo de 2026), y ampliar el alcance de la asistencia preparatoria con arreglo al Capítulo I.7, permitiendo a los Estados Partes que no tengan elementos del patrimonio cultural inmaterial presentes en su territorio ya </w:t>
      </w:r>
      <w:r w:rsidR="00864085" w:rsidRPr="001836F4">
        <w:rPr>
          <w:rFonts w:asciiTheme="minorBidi" w:hAnsiTheme="minorBidi" w:cstheme="minorBidi"/>
          <w:szCs w:val="22"/>
          <w:lang w:bidi="es-ES"/>
        </w:rPr>
        <w:t xml:space="preserve">inscritos </w:t>
      </w:r>
      <w:r w:rsidRPr="001836F4">
        <w:rPr>
          <w:rFonts w:asciiTheme="minorBidi" w:hAnsiTheme="minorBidi" w:cstheme="minorBidi"/>
          <w:szCs w:val="22"/>
          <w:lang w:bidi="es-ES"/>
        </w:rPr>
        <w:t>en la Lista Representativa</w:t>
      </w:r>
      <w:r w:rsidR="00864085" w:rsidRPr="001836F4">
        <w:rPr>
          <w:rFonts w:asciiTheme="minorBidi" w:hAnsiTheme="minorBidi" w:cstheme="minorBidi"/>
          <w:szCs w:val="22"/>
          <w:lang w:bidi="es-ES"/>
        </w:rPr>
        <w:t xml:space="preserve"> (</w:t>
      </w:r>
      <w:r w:rsidRPr="001836F4">
        <w:rPr>
          <w:rFonts w:asciiTheme="minorBidi" w:hAnsiTheme="minorBidi" w:cstheme="minorBidi"/>
          <w:szCs w:val="22"/>
          <w:lang w:bidi="es-ES"/>
        </w:rPr>
        <w:t>exceptuando los elementos propuestos mediante candidaturas multinacionales</w:t>
      </w:r>
      <w:r w:rsidR="00864085" w:rsidRPr="001836F4">
        <w:rPr>
          <w:rFonts w:asciiTheme="minorBidi" w:hAnsiTheme="minorBidi" w:cstheme="minorBidi"/>
          <w:szCs w:val="22"/>
          <w:lang w:bidi="es-ES"/>
        </w:rPr>
        <w:t xml:space="preserve">) </w:t>
      </w:r>
      <w:r w:rsidRPr="001836F4">
        <w:rPr>
          <w:rFonts w:asciiTheme="minorBidi" w:hAnsiTheme="minorBidi" w:cstheme="minorBidi"/>
          <w:szCs w:val="22"/>
          <w:lang w:bidi="es-ES"/>
        </w:rPr>
        <w:t>solicitar asistencia internacional para preparar un expediente de candidatura a dicha Lista. Las cinco primeras solicitudes fueron aprobadas por la Mesa el 11 de junio de 2025.</w:t>
      </w:r>
    </w:p>
    <w:p w14:paraId="492C8B29" w14:textId="21CD3656" w:rsidR="00563FFD" w:rsidRPr="001836F4" w:rsidRDefault="00563FFD" w:rsidP="00563FFD">
      <w:pPr>
        <w:widowControl w:val="0"/>
        <w:numPr>
          <w:ilvl w:val="0"/>
          <w:numId w:val="24"/>
        </w:numPr>
        <w:tabs>
          <w:tab w:val="clear" w:pos="720"/>
        </w:tabs>
        <w:spacing w:before="240" w:after="120"/>
        <w:ind w:left="567" w:hanging="567"/>
        <w:jc w:val="both"/>
        <w:rPr>
          <w:rFonts w:ascii="Arial" w:hAnsi="Arial" w:cs="Arial"/>
          <w:b/>
          <w:sz w:val="22"/>
          <w:szCs w:val="22"/>
          <w:lang w:val="es-BO"/>
        </w:rPr>
      </w:pPr>
      <w:r w:rsidRPr="001836F4">
        <w:rPr>
          <w:rFonts w:ascii="Arial" w:eastAsia="Arial" w:hAnsi="Arial" w:cs="Arial"/>
          <w:b/>
          <w:sz w:val="22"/>
          <w:szCs w:val="22"/>
          <w:lang w:bidi="es-ES"/>
        </w:rPr>
        <w:t>Preparación de las directrices operativas para la aplicación de la Convención</w:t>
      </w:r>
      <w:r w:rsidRPr="001836F4">
        <w:rPr>
          <w:rFonts w:ascii="Arial" w:eastAsia="Arial" w:hAnsi="Arial" w:cs="Arial"/>
          <w:sz w:val="22"/>
          <w:szCs w:val="22"/>
          <w:lang w:bidi="es-ES"/>
        </w:rPr>
        <w:t xml:space="preserve"> (artículo 7 </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e</w:t>
      </w:r>
      <w:r w:rsidR="00034FBA" w:rsidRPr="001836F4">
        <w:rPr>
          <w:rFonts w:ascii="Arial" w:eastAsia="Arial" w:hAnsi="Arial" w:cs="Arial"/>
          <w:sz w:val="22"/>
          <w:szCs w:val="22"/>
          <w:lang w:bidi="es-ES"/>
        </w:rPr>
        <w:t>]</w:t>
      </w:r>
      <w:r w:rsidRPr="001836F4">
        <w:rPr>
          <w:rFonts w:ascii="Arial" w:eastAsia="Arial" w:hAnsi="Arial" w:cs="Arial"/>
          <w:sz w:val="22"/>
          <w:szCs w:val="22"/>
          <w:lang w:bidi="es-ES"/>
        </w:rPr>
        <w:t>)</w:t>
      </w:r>
    </w:p>
    <w:p w14:paraId="4CE38DB1" w14:textId="428736B1" w:rsidR="00563FFD" w:rsidRPr="001836F4" w:rsidRDefault="00563FFD" w:rsidP="00563FFD">
      <w:pPr>
        <w:pStyle w:val="Marge"/>
        <w:numPr>
          <w:ilvl w:val="0"/>
          <w:numId w:val="23"/>
        </w:numPr>
        <w:tabs>
          <w:tab w:val="clear" w:pos="502"/>
          <w:tab w:val="clear" w:pos="567"/>
        </w:tabs>
        <w:spacing w:before="120" w:after="120"/>
        <w:ind w:left="567" w:hanging="567"/>
        <w:rPr>
          <w:rFonts w:asciiTheme="minorBidi" w:hAnsiTheme="minorBidi"/>
          <w:szCs w:val="22"/>
          <w:lang w:val="es-BO"/>
        </w:rPr>
      </w:pPr>
      <w:r w:rsidRPr="001836F4">
        <w:rPr>
          <w:rFonts w:cs="Arial"/>
          <w:szCs w:val="22"/>
          <w:lang w:bidi="es-ES"/>
        </w:rPr>
        <w:t xml:space="preserve">Durante el período de </w:t>
      </w:r>
      <w:r w:rsidR="006506CF" w:rsidRPr="001836F4">
        <w:rPr>
          <w:rFonts w:cs="Arial"/>
          <w:szCs w:val="22"/>
          <w:lang w:bidi="es-ES"/>
        </w:rPr>
        <w:t>referencia</w:t>
      </w:r>
      <w:r w:rsidRPr="001836F4">
        <w:rPr>
          <w:rFonts w:cs="Arial"/>
          <w:szCs w:val="22"/>
          <w:lang w:bidi="es-ES"/>
        </w:rPr>
        <w:t>, el Comité también recomendó a la Asamblea General que aprobara modificaciones de las Directivas Operativas relativas al calendario de tramitación de los expedientes de candidatura (</w:t>
      </w:r>
      <w:r w:rsidRPr="001836F4">
        <w:rPr>
          <w:rFonts w:asciiTheme="minorBidi" w:hAnsiTheme="minorBidi" w:cstheme="minorBidi"/>
          <w:szCs w:val="22"/>
          <w:lang w:bidi="es-ES"/>
        </w:rPr>
        <w:t>Decisión</w:t>
      </w:r>
      <w:r w:rsidR="00CC121B" w:rsidRPr="001836F4">
        <w:rPr>
          <w:rFonts w:asciiTheme="minorBidi" w:hAnsiTheme="minorBidi" w:cstheme="minorBidi"/>
          <w:szCs w:val="22"/>
          <w:lang w:bidi="es-ES"/>
        </w:rPr>
        <w:t xml:space="preserve"> </w:t>
      </w:r>
      <w:hyperlink r:id="rId49" w:history="1">
        <w:r w:rsidRPr="001836F4">
          <w:rPr>
            <w:rStyle w:val="Hyperlink"/>
            <w:rFonts w:asciiTheme="minorBidi" w:hAnsiTheme="minorBidi" w:cstheme="minorBidi"/>
            <w:szCs w:val="22"/>
            <w:lang w:bidi="es-ES"/>
          </w:rPr>
          <w:t>20.COM 8</w:t>
        </w:r>
      </w:hyperlink>
      <w:r w:rsidRPr="001836F4">
        <w:rPr>
          <w:rFonts w:asciiTheme="minorBidi" w:hAnsiTheme="minorBidi" w:cstheme="minorBidi"/>
          <w:szCs w:val="22"/>
          <w:lang w:bidi="es-ES"/>
        </w:rPr>
        <w:t xml:space="preserve">), así como en apoyo del paso al sistema </w:t>
      </w:r>
      <w:r w:rsidR="0019474B" w:rsidRPr="001836F4">
        <w:rPr>
          <w:rFonts w:asciiTheme="minorBidi" w:hAnsiTheme="minorBidi" w:cstheme="minorBidi"/>
          <w:szCs w:val="22"/>
          <w:lang w:bidi="es-ES"/>
        </w:rPr>
        <w:t xml:space="preserve">global </w:t>
      </w:r>
      <w:r w:rsidRPr="001836F4">
        <w:rPr>
          <w:rFonts w:asciiTheme="minorBidi" w:hAnsiTheme="minorBidi" w:cstheme="minorBidi"/>
          <w:szCs w:val="22"/>
          <w:lang w:bidi="es-ES"/>
        </w:rPr>
        <w:t xml:space="preserve">único de presentación de informes periódicos (Decisión </w:t>
      </w:r>
      <w:hyperlink r:id="rId50" w:history="1">
        <w:r w:rsidRPr="001836F4">
          <w:rPr>
            <w:rStyle w:val="Hyperlink"/>
            <w:rFonts w:asciiTheme="minorBidi" w:hAnsiTheme="minorBidi" w:cstheme="minorBidi"/>
            <w:szCs w:val="22"/>
            <w:lang w:bidi="es-ES"/>
          </w:rPr>
          <w:t>20.COM 6.c</w:t>
        </w:r>
      </w:hyperlink>
      <w:r w:rsidRPr="001836F4">
        <w:rPr>
          <w:rFonts w:asciiTheme="minorBidi" w:hAnsiTheme="minorBidi" w:cstheme="minorBidi"/>
          <w:szCs w:val="22"/>
          <w:lang w:bidi="es-ES"/>
        </w:rPr>
        <w:t>).</w:t>
      </w:r>
    </w:p>
    <w:p w14:paraId="1B08DF9D" w14:textId="77777777" w:rsidR="00190205" w:rsidRPr="002D409D" w:rsidRDefault="00190205" w:rsidP="00D86BB3">
      <w:pPr>
        <w:rPr>
          <w:rFonts w:ascii="Arial" w:eastAsia="SimSun" w:hAnsi="Arial" w:cs="Arial"/>
          <w:sz w:val="22"/>
          <w:szCs w:val="22"/>
          <w:u w:val="single"/>
          <w:lang w:val="es-BO"/>
        </w:rPr>
      </w:pPr>
    </w:p>
    <w:sectPr w:rsidR="00190205" w:rsidRPr="002D409D" w:rsidSect="00655736">
      <w:headerReference w:type="even" r:id="rId51"/>
      <w:headerReference w:type="default" r:id="rId52"/>
      <w:headerReference w:type="first" r:id="rId5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BFBE" w14:textId="77777777" w:rsidR="00223F8B" w:rsidRDefault="00223F8B" w:rsidP="00655736">
      <w:r>
        <w:separator/>
      </w:r>
    </w:p>
  </w:endnote>
  <w:endnote w:type="continuationSeparator" w:id="0">
    <w:p w14:paraId="4B3D1EBD" w14:textId="77777777" w:rsidR="00223F8B" w:rsidRDefault="00223F8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2247" w14:textId="77777777" w:rsidR="00223F8B" w:rsidRDefault="00223F8B" w:rsidP="00655736">
      <w:r>
        <w:separator/>
      </w:r>
    </w:p>
  </w:footnote>
  <w:footnote w:type="continuationSeparator" w:id="0">
    <w:p w14:paraId="0EFF2E8F" w14:textId="77777777" w:rsidR="00223F8B" w:rsidRDefault="00223F8B" w:rsidP="00655736">
      <w:r>
        <w:continuationSeparator/>
      </w:r>
    </w:p>
  </w:footnote>
  <w:footnote w:id="1">
    <w:p w14:paraId="50BFAB6C" w14:textId="77777777" w:rsidR="00563FFD" w:rsidRPr="002D409D" w:rsidRDefault="00563FFD" w:rsidP="00563FFD">
      <w:pPr>
        <w:pStyle w:val="FootnoteText"/>
        <w:ind w:left="567" w:hanging="567"/>
        <w:jc w:val="both"/>
        <w:rPr>
          <w:rFonts w:ascii="Arial" w:hAnsi="Arial" w:cs="Arial"/>
          <w:sz w:val="18"/>
          <w:szCs w:val="18"/>
          <w:lang w:val="es-BO"/>
        </w:rPr>
      </w:pPr>
      <w:r w:rsidRPr="00761134">
        <w:rPr>
          <w:rStyle w:val="FootnoteReference"/>
          <w:rFonts w:ascii="Arial" w:eastAsia="Arial" w:hAnsi="Arial" w:cs="Arial"/>
          <w:sz w:val="18"/>
          <w:szCs w:val="18"/>
          <w:lang w:bidi="es-ES"/>
        </w:rPr>
        <w:footnoteRef/>
      </w:r>
      <w:r w:rsidRPr="00761134">
        <w:rPr>
          <w:rFonts w:ascii="Arial" w:eastAsia="Arial" w:hAnsi="Arial" w:cs="Arial"/>
          <w:sz w:val="18"/>
          <w:szCs w:val="18"/>
          <w:lang w:bidi="es-ES"/>
        </w:rPr>
        <w:t xml:space="preserve"> </w:t>
      </w:r>
      <w:r w:rsidRPr="00761134">
        <w:rPr>
          <w:rFonts w:ascii="Arial" w:eastAsia="Arial" w:hAnsi="Arial" w:cs="Arial"/>
          <w:sz w:val="18"/>
          <w:szCs w:val="18"/>
          <w:lang w:bidi="es-ES"/>
        </w:rPr>
        <w:tab/>
        <w:t>Habiendo participado en las reuniones primera, segunda, tercera y cuarta de la Mesa de dicho Comité, la Sra. Kamali no pudo desplazarse para asistir a la 20.COM, y Francia (en su calidad de Vicepresidencia del Comité) actuó como Relatora de dicha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D160CC9" w:rsidR="00D95C4C" w:rsidRPr="009836AB" w:rsidRDefault="00C5776D" w:rsidP="00C5776D">
    <w:pPr>
      <w:pStyle w:val="Header"/>
      <w:rPr>
        <w:rFonts w:ascii="Arial" w:hAnsi="Arial" w:cs="Arial"/>
      </w:rPr>
    </w:pPr>
    <w:r w:rsidRPr="009836AB">
      <w:rPr>
        <w:rFonts w:ascii="Arial" w:hAnsi="Arial"/>
        <w:sz w:val="20"/>
      </w:rPr>
      <w:t xml:space="preserve">LHE/26/11.GA/5 – página </w:t>
    </w:r>
    <w:r w:rsidR="00D95C4C" w:rsidRPr="009836AB">
      <w:rPr>
        <w:rStyle w:val="PageNumber"/>
        <w:rFonts w:ascii="Arial" w:hAnsi="Arial" w:cs="Arial"/>
        <w:sz w:val="20"/>
      </w:rPr>
      <w:fldChar w:fldCharType="begin"/>
    </w:r>
    <w:r w:rsidR="00D95C4C" w:rsidRPr="009836AB">
      <w:rPr>
        <w:rStyle w:val="PageNumber"/>
        <w:rFonts w:ascii="Arial" w:hAnsi="Arial" w:cs="Arial"/>
        <w:sz w:val="20"/>
      </w:rPr>
      <w:instrText xml:space="preserve"> PAGE </w:instrText>
    </w:r>
    <w:r w:rsidR="00D95C4C" w:rsidRPr="009836AB">
      <w:rPr>
        <w:rStyle w:val="PageNumber"/>
        <w:rFonts w:ascii="Arial" w:hAnsi="Arial" w:cs="Arial"/>
        <w:sz w:val="20"/>
      </w:rPr>
      <w:fldChar w:fldCharType="separate"/>
    </w:r>
    <w:r w:rsidR="006E75EB" w:rsidRPr="009836AB">
      <w:rPr>
        <w:rStyle w:val="PageNumber"/>
        <w:rFonts w:ascii="Arial" w:hAnsi="Arial" w:cs="Arial"/>
        <w:sz w:val="20"/>
      </w:rPr>
      <w:t>2</w:t>
    </w:r>
    <w:r w:rsidR="00D95C4C" w:rsidRPr="009836AB">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2A01214C" w:rsidR="00D95C4C" w:rsidRPr="009836AB" w:rsidRDefault="00C5776D" w:rsidP="00C5776D">
    <w:pPr>
      <w:pStyle w:val="Header"/>
      <w:jc w:val="right"/>
      <w:rPr>
        <w:rFonts w:ascii="Arial" w:hAnsi="Arial" w:cs="Arial"/>
      </w:rPr>
    </w:pPr>
    <w:r w:rsidRPr="009836AB">
      <w:rPr>
        <w:rFonts w:ascii="Arial" w:hAnsi="Arial"/>
        <w:sz w:val="20"/>
      </w:rPr>
      <w:t xml:space="preserve">LHE/26/11.GA/5 – página </w:t>
    </w:r>
    <w:r w:rsidR="004A34A0" w:rsidRPr="009836AB">
      <w:rPr>
        <w:rStyle w:val="PageNumber"/>
        <w:rFonts w:ascii="Arial" w:hAnsi="Arial" w:cs="Arial"/>
        <w:sz w:val="20"/>
      </w:rPr>
      <w:fldChar w:fldCharType="begin"/>
    </w:r>
    <w:r w:rsidR="004A34A0" w:rsidRPr="009836AB">
      <w:rPr>
        <w:rStyle w:val="PageNumber"/>
        <w:rFonts w:ascii="Arial" w:hAnsi="Arial" w:cs="Arial"/>
        <w:sz w:val="20"/>
      </w:rPr>
      <w:instrText xml:space="preserve"> PAGE </w:instrText>
    </w:r>
    <w:r w:rsidR="004A34A0" w:rsidRPr="009836AB">
      <w:rPr>
        <w:rStyle w:val="PageNumber"/>
        <w:rFonts w:ascii="Arial" w:hAnsi="Arial" w:cs="Arial"/>
        <w:sz w:val="20"/>
      </w:rPr>
      <w:fldChar w:fldCharType="separate"/>
    </w:r>
    <w:r w:rsidR="00190205" w:rsidRPr="009836AB">
      <w:rPr>
        <w:rStyle w:val="PageNumber"/>
        <w:rFonts w:ascii="Arial" w:hAnsi="Arial" w:cs="Arial"/>
        <w:sz w:val="20"/>
      </w:rPr>
      <w:t>3</w:t>
    </w:r>
    <w:r w:rsidR="004A34A0" w:rsidRPr="009836AB">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0838DBA" w:rsidR="00D95C4C" w:rsidRPr="00E95AE2" w:rsidRDefault="000875B4">
    <w:pPr>
      <w:pStyle w:val="Header"/>
      <w:rPr>
        <w:sz w:val="22"/>
        <w:szCs w:val="22"/>
      </w:rPr>
    </w:pPr>
    <w:r>
      <w:rPr>
        <w:noProof/>
        <w:lang w:bidi="es-ES"/>
      </w:rPr>
      <w:drawing>
        <wp:anchor distT="0" distB="0" distL="114300" distR="114300" simplePos="0" relativeHeight="251661312" behindDoc="0" locked="0" layoutInCell="1" allowOverlap="1" wp14:anchorId="38876ACA" wp14:editId="248FD717">
          <wp:simplePos x="0" y="0"/>
          <wp:positionH relativeFrom="margin">
            <wp:posOffset>3175</wp:posOffset>
          </wp:positionH>
          <wp:positionV relativeFrom="paragraph">
            <wp:posOffset>97155</wp:posOffset>
          </wp:positionV>
          <wp:extent cx="1709420" cy="1439545"/>
          <wp:effectExtent l="0" t="0" r="5080" b="8255"/>
          <wp:wrapNone/>
          <wp:docPr id="2"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6DA8A611" w:rsidR="00D95C4C" w:rsidRPr="009836AB" w:rsidRDefault="005C792B" w:rsidP="00C5776D">
    <w:pPr>
      <w:pStyle w:val="Header"/>
      <w:spacing w:after="520"/>
      <w:jc w:val="right"/>
      <w:rPr>
        <w:rFonts w:ascii="Arial" w:hAnsi="Arial" w:cs="Arial"/>
        <w:b/>
        <w:sz w:val="44"/>
        <w:szCs w:val="44"/>
        <w:lang w:val="pt-BR"/>
      </w:rPr>
    </w:pPr>
    <w:r w:rsidRPr="009836AB">
      <w:rPr>
        <w:rFonts w:ascii="Arial" w:hAnsi="Arial"/>
        <w:b/>
        <w:sz w:val="44"/>
        <w:lang w:val="pt-BR" w:eastAsia="pt-BR" w:bidi="pt-BR"/>
      </w:rPr>
      <w:t>11 GA</w:t>
    </w:r>
  </w:p>
  <w:p w14:paraId="306484B8" w14:textId="0CE40DF9" w:rsidR="00D95C4C" w:rsidRPr="009836AB" w:rsidRDefault="00C5776D" w:rsidP="00C5776D">
    <w:pPr>
      <w:jc w:val="right"/>
      <w:rPr>
        <w:rFonts w:ascii="Arial" w:hAnsi="Arial" w:cs="Arial"/>
        <w:b/>
        <w:sz w:val="22"/>
        <w:szCs w:val="22"/>
        <w:lang w:val="pt-BR"/>
      </w:rPr>
    </w:pPr>
    <w:r w:rsidRPr="009836AB">
      <w:rPr>
        <w:rFonts w:ascii="Arial" w:hAnsi="Arial"/>
        <w:b/>
        <w:sz w:val="22"/>
        <w:lang w:val="pt-BR" w:eastAsia="pt-BR" w:bidi="pt-BR"/>
      </w:rPr>
      <w:t>LHE/26/11.GA/5</w:t>
    </w:r>
  </w:p>
  <w:p w14:paraId="1B4446C3" w14:textId="71EDF218" w:rsidR="00D95C4C" w:rsidRPr="009836AB" w:rsidRDefault="00D95C4C" w:rsidP="00655736">
    <w:pPr>
      <w:jc w:val="right"/>
      <w:rPr>
        <w:rFonts w:ascii="Arial" w:eastAsiaTheme="minorEastAsia" w:hAnsi="Arial" w:cs="Arial"/>
        <w:b/>
        <w:sz w:val="22"/>
        <w:szCs w:val="22"/>
        <w:lang w:val="pt-BR"/>
      </w:rPr>
    </w:pPr>
    <w:r w:rsidRPr="009836AB">
      <w:rPr>
        <w:rFonts w:ascii="Arial" w:hAnsi="Arial"/>
        <w:b/>
        <w:sz w:val="22"/>
        <w:lang w:val="pt-BR" w:eastAsia="pt-BR" w:bidi="pt-BR"/>
      </w:rPr>
      <w:t>París, 18 de mayo de 2026</w:t>
    </w:r>
  </w:p>
  <w:p w14:paraId="255B57FF" w14:textId="1D72292B" w:rsidR="00D95C4C" w:rsidRPr="009836AB" w:rsidRDefault="00D95C4C" w:rsidP="00962034">
    <w:pPr>
      <w:spacing w:after="120"/>
      <w:jc w:val="right"/>
      <w:rPr>
        <w:rFonts w:ascii="Arial" w:hAnsi="Arial" w:cs="Arial"/>
        <w:b/>
        <w:sz w:val="22"/>
        <w:szCs w:val="22"/>
      </w:rPr>
    </w:pPr>
    <w:r w:rsidRPr="009836AB">
      <w:rPr>
        <w:rFonts w:ascii="Arial" w:hAnsi="Arial"/>
        <w:b/>
        <w:sz w:val="22"/>
      </w:rPr>
      <w:t>Original: inglés</w:t>
    </w:r>
  </w:p>
  <w:p w14:paraId="3C4B8B1B" w14:textId="77777777" w:rsidR="00D95C4C" w:rsidRPr="009C4D47" w:rsidRDefault="00D95C4C">
    <w:pPr>
      <w:pStyle w:val="Header"/>
      <w:rPr>
        <w:vanish/>
        <w:sz w:val="22"/>
        <w:szCs w:val="22"/>
      </w:rPr>
    </w:pPr>
  </w:p>
  <w:p w14:paraId="3C997849" w14:textId="77777777" w:rsidR="007F171D" w:rsidRPr="00671799" w:rsidRDefault="007F171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B35019"/>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4"/>
  </w:num>
  <w:num w:numId="2" w16cid:durableId="699629408">
    <w:abstractNumId w:val="9"/>
  </w:num>
  <w:num w:numId="3" w16cid:durableId="164177712">
    <w:abstractNumId w:val="4"/>
  </w:num>
  <w:num w:numId="4" w16cid:durableId="1416590798">
    <w:abstractNumId w:val="16"/>
  </w:num>
  <w:num w:numId="5" w16cid:durableId="1762608160">
    <w:abstractNumId w:val="15"/>
  </w:num>
  <w:num w:numId="6" w16cid:durableId="2146270374">
    <w:abstractNumId w:val="2"/>
  </w:num>
  <w:num w:numId="7" w16cid:durableId="1113592211">
    <w:abstractNumId w:val="5"/>
  </w:num>
  <w:num w:numId="8" w16cid:durableId="1920598164">
    <w:abstractNumId w:val="13"/>
  </w:num>
  <w:num w:numId="9" w16cid:durableId="1533764642">
    <w:abstractNumId w:val="8"/>
  </w:num>
  <w:num w:numId="10" w16cid:durableId="1246129">
    <w:abstractNumId w:val="10"/>
  </w:num>
  <w:num w:numId="11" w16cid:durableId="111829808">
    <w:abstractNumId w:val="12"/>
  </w:num>
  <w:num w:numId="12" w16cid:durableId="1088770206">
    <w:abstractNumId w:val="11"/>
  </w:num>
  <w:num w:numId="13" w16cid:durableId="1263951029">
    <w:abstractNumId w:val="17"/>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2046514942">
    <w:abstractNumId w:val="8"/>
  </w:num>
  <w:num w:numId="23" w16cid:durableId="236406030">
    <w:abstractNumId w:val="6"/>
  </w:num>
  <w:num w:numId="24" w16cid:durableId="1762335666">
    <w:abstractNumId w:val="0"/>
  </w:num>
  <w:num w:numId="25" w16cid:durableId="108907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206D"/>
    <w:rsid w:val="000048ED"/>
    <w:rsid w:val="00014915"/>
    <w:rsid w:val="0003000E"/>
    <w:rsid w:val="00033ABA"/>
    <w:rsid w:val="00034FBA"/>
    <w:rsid w:val="00041A66"/>
    <w:rsid w:val="00042D88"/>
    <w:rsid w:val="0005176E"/>
    <w:rsid w:val="000765F7"/>
    <w:rsid w:val="0007725F"/>
    <w:rsid w:val="00077AB7"/>
    <w:rsid w:val="00081CD8"/>
    <w:rsid w:val="000875B4"/>
    <w:rsid w:val="000A7F0E"/>
    <w:rsid w:val="000B1C8F"/>
    <w:rsid w:val="000C0D61"/>
    <w:rsid w:val="000F3A3F"/>
    <w:rsid w:val="00102557"/>
    <w:rsid w:val="00147A38"/>
    <w:rsid w:val="00150EE8"/>
    <w:rsid w:val="00164D56"/>
    <w:rsid w:val="00167B10"/>
    <w:rsid w:val="00171493"/>
    <w:rsid w:val="0017402F"/>
    <w:rsid w:val="00181CBC"/>
    <w:rsid w:val="001836F4"/>
    <w:rsid w:val="00190205"/>
    <w:rsid w:val="0019474B"/>
    <w:rsid w:val="00196C1B"/>
    <w:rsid w:val="001B0F73"/>
    <w:rsid w:val="001C2DB7"/>
    <w:rsid w:val="001D14FE"/>
    <w:rsid w:val="001D5C04"/>
    <w:rsid w:val="001F26CF"/>
    <w:rsid w:val="00200394"/>
    <w:rsid w:val="00204447"/>
    <w:rsid w:val="00213CD2"/>
    <w:rsid w:val="00222A2D"/>
    <w:rsid w:val="00223029"/>
    <w:rsid w:val="00223F8B"/>
    <w:rsid w:val="00234745"/>
    <w:rsid w:val="002351A6"/>
    <w:rsid w:val="002407AF"/>
    <w:rsid w:val="00245501"/>
    <w:rsid w:val="00254B26"/>
    <w:rsid w:val="0026221A"/>
    <w:rsid w:val="00263B02"/>
    <w:rsid w:val="0027466B"/>
    <w:rsid w:val="00280CC6"/>
    <w:rsid w:val="00281008"/>
    <w:rsid w:val="002814F6"/>
    <w:rsid w:val="002838A5"/>
    <w:rsid w:val="00285BB4"/>
    <w:rsid w:val="0028789B"/>
    <w:rsid w:val="00292CF1"/>
    <w:rsid w:val="002B2310"/>
    <w:rsid w:val="002C09E3"/>
    <w:rsid w:val="002C6A2C"/>
    <w:rsid w:val="002D1244"/>
    <w:rsid w:val="002D409D"/>
    <w:rsid w:val="002E2624"/>
    <w:rsid w:val="002F7D0E"/>
    <w:rsid w:val="00337CEB"/>
    <w:rsid w:val="00344B58"/>
    <w:rsid w:val="0034539A"/>
    <w:rsid w:val="00345CB4"/>
    <w:rsid w:val="0035034A"/>
    <w:rsid w:val="00375D42"/>
    <w:rsid w:val="00385D97"/>
    <w:rsid w:val="00395331"/>
    <w:rsid w:val="003B03E1"/>
    <w:rsid w:val="003D069C"/>
    <w:rsid w:val="003D7646"/>
    <w:rsid w:val="003F113A"/>
    <w:rsid w:val="003F3E63"/>
    <w:rsid w:val="00407480"/>
    <w:rsid w:val="00414643"/>
    <w:rsid w:val="004313C4"/>
    <w:rsid w:val="004421E5"/>
    <w:rsid w:val="00452284"/>
    <w:rsid w:val="00457C8E"/>
    <w:rsid w:val="00480175"/>
    <w:rsid w:val="004856CA"/>
    <w:rsid w:val="00487E67"/>
    <w:rsid w:val="004906B7"/>
    <w:rsid w:val="00490982"/>
    <w:rsid w:val="0049705E"/>
    <w:rsid w:val="004A2875"/>
    <w:rsid w:val="004A34A0"/>
    <w:rsid w:val="004A51D0"/>
    <w:rsid w:val="004C7C82"/>
    <w:rsid w:val="004E0EB4"/>
    <w:rsid w:val="005008A8"/>
    <w:rsid w:val="00517FD8"/>
    <w:rsid w:val="00526B7B"/>
    <w:rsid w:val="005274D2"/>
    <w:rsid w:val="005308CE"/>
    <w:rsid w:val="0053318C"/>
    <w:rsid w:val="0054535F"/>
    <w:rsid w:val="00563FFD"/>
    <w:rsid w:val="0057439C"/>
    <w:rsid w:val="005960FA"/>
    <w:rsid w:val="005B0127"/>
    <w:rsid w:val="005B7A35"/>
    <w:rsid w:val="005C4B73"/>
    <w:rsid w:val="005C792B"/>
    <w:rsid w:val="005E1D2B"/>
    <w:rsid w:val="005E7074"/>
    <w:rsid w:val="005F2BAF"/>
    <w:rsid w:val="00600D93"/>
    <w:rsid w:val="00626BEA"/>
    <w:rsid w:val="0063300C"/>
    <w:rsid w:val="006360E3"/>
    <w:rsid w:val="006506CF"/>
    <w:rsid w:val="00651A5B"/>
    <w:rsid w:val="00655736"/>
    <w:rsid w:val="00663B8D"/>
    <w:rsid w:val="00671799"/>
    <w:rsid w:val="006917B5"/>
    <w:rsid w:val="00696C8D"/>
    <w:rsid w:val="006A2AC2"/>
    <w:rsid w:val="006A3617"/>
    <w:rsid w:val="006B4452"/>
    <w:rsid w:val="006E46E4"/>
    <w:rsid w:val="006E75EB"/>
    <w:rsid w:val="00711356"/>
    <w:rsid w:val="00717DA5"/>
    <w:rsid w:val="007333D0"/>
    <w:rsid w:val="007363BA"/>
    <w:rsid w:val="0074350B"/>
    <w:rsid w:val="00744484"/>
    <w:rsid w:val="00747566"/>
    <w:rsid w:val="00761134"/>
    <w:rsid w:val="00773188"/>
    <w:rsid w:val="00783782"/>
    <w:rsid w:val="00784B8C"/>
    <w:rsid w:val="007879E1"/>
    <w:rsid w:val="007E57AA"/>
    <w:rsid w:val="007F171D"/>
    <w:rsid w:val="00823A11"/>
    <w:rsid w:val="0085405E"/>
    <w:rsid w:val="0085414A"/>
    <w:rsid w:val="00857EB9"/>
    <w:rsid w:val="0086269D"/>
    <w:rsid w:val="00864085"/>
    <w:rsid w:val="0086543A"/>
    <w:rsid w:val="008724E5"/>
    <w:rsid w:val="008765C9"/>
    <w:rsid w:val="00884A9D"/>
    <w:rsid w:val="0088512B"/>
    <w:rsid w:val="008A2B2D"/>
    <w:rsid w:val="008A4E1E"/>
    <w:rsid w:val="008A6458"/>
    <w:rsid w:val="008C296C"/>
    <w:rsid w:val="008D4305"/>
    <w:rsid w:val="008E1A85"/>
    <w:rsid w:val="008E344F"/>
    <w:rsid w:val="00910BB6"/>
    <w:rsid w:val="009163A7"/>
    <w:rsid w:val="00937D53"/>
    <w:rsid w:val="00946D0B"/>
    <w:rsid w:val="00955877"/>
    <w:rsid w:val="00962034"/>
    <w:rsid w:val="009725EA"/>
    <w:rsid w:val="009836AB"/>
    <w:rsid w:val="00994FA4"/>
    <w:rsid w:val="009A18CD"/>
    <w:rsid w:val="009C4D47"/>
    <w:rsid w:val="009D5428"/>
    <w:rsid w:val="00A12558"/>
    <w:rsid w:val="00A13903"/>
    <w:rsid w:val="00A34ED5"/>
    <w:rsid w:val="00A45DBF"/>
    <w:rsid w:val="00A725CF"/>
    <w:rsid w:val="00A755A2"/>
    <w:rsid w:val="00A91430"/>
    <w:rsid w:val="00AA590D"/>
    <w:rsid w:val="00AA6660"/>
    <w:rsid w:val="00AB2C36"/>
    <w:rsid w:val="00AB6DDE"/>
    <w:rsid w:val="00AB70B6"/>
    <w:rsid w:val="00AC18C1"/>
    <w:rsid w:val="00AD1A86"/>
    <w:rsid w:val="00AD5C46"/>
    <w:rsid w:val="00AE103E"/>
    <w:rsid w:val="00AF0A07"/>
    <w:rsid w:val="00AF4AEC"/>
    <w:rsid w:val="00AF625E"/>
    <w:rsid w:val="00B139BE"/>
    <w:rsid w:val="00B2172B"/>
    <w:rsid w:val="00B34428"/>
    <w:rsid w:val="00B677BB"/>
    <w:rsid w:val="00B81ABE"/>
    <w:rsid w:val="00B917D2"/>
    <w:rsid w:val="00B97EB3"/>
    <w:rsid w:val="00BA241A"/>
    <w:rsid w:val="00BB04AF"/>
    <w:rsid w:val="00BB6EEC"/>
    <w:rsid w:val="00BD52C9"/>
    <w:rsid w:val="00BE6354"/>
    <w:rsid w:val="00C138D1"/>
    <w:rsid w:val="00C23A97"/>
    <w:rsid w:val="00C52EBE"/>
    <w:rsid w:val="00C5776D"/>
    <w:rsid w:val="00C62350"/>
    <w:rsid w:val="00C64855"/>
    <w:rsid w:val="00C70EA7"/>
    <w:rsid w:val="00C7433F"/>
    <w:rsid w:val="00C7516E"/>
    <w:rsid w:val="00C75770"/>
    <w:rsid w:val="00CA56BB"/>
    <w:rsid w:val="00CB0542"/>
    <w:rsid w:val="00CC121B"/>
    <w:rsid w:val="00CC21ED"/>
    <w:rsid w:val="00D00B2B"/>
    <w:rsid w:val="00D24877"/>
    <w:rsid w:val="00D63318"/>
    <w:rsid w:val="00D64D9C"/>
    <w:rsid w:val="00D7105A"/>
    <w:rsid w:val="00D8250F"/>
    <w:rsid w:val="00D86BB3"/>
    <w:rsid w:val="00D95C4C"/>
    <w:rsid w:val="00DA36ED"/>
    <w:rsid w:val="00DC49CB"/>
    <w:rsid w:val="00DE34F1"/>
    <w:rsid w:val="00DE6160"/>
    <w:rsid w:val="00DF4942"/>
    <w:rsid w:val="00E2125F"/>
    <w:rsid w:val="00E244E1"/>
    <w:rsid w:val="00E4150C"/>
    <w:rsid w:val="00E627B1"/>
    <w:rsid w:val="00E70169"/>
    <w:rsid w:val="00E9376C"/>
    <w:rsid w:val="00E95AE2"/>
    <w:rsid w:val="00EA335E"/>
    <w:rsid w:val="00EA528C"/>
    <w:rsid w:val="00EA580C"/>
    <w:rsid w:val="00EB7145"/>
    <w:rsid w:val="00EC2D76"/>
    <w:rsid w:val="00EC6F8D"/>
    <w:rsid w:val="00ED39B2"/>
    <w:rsid w:val="00ED7D93"/>
    <w:rsid w:val="00EE49F4"/>
    <w:rsid w:val="00EF34E2"/>
    <w:rsid w:val="00EF53FF"/>
    <w:rsid w:val="00F30DC6"/>
    <w:rsid w:val="00F31F96"/>
    <w:rsid w:val="00F32C23"/>
    <w:rsid w:val="00F53DE9"/>
    <w:rsid w:val="00F576CB"/>
    <w:rsid w:val="00F7035D"/>
    <w:rsid w:val="00F70CC5"/>
    <w:rsid w:val="00F71A02"/>
    <w:rsid w:val="00FA0D63"/>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List Paragraph Char Char Char,Indicator Text,Numbered Para 1,Bullet 1,List Paragraph12,Bullet Points,MAIN CONTENT,List Paragraph1"/>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03000E"/>
    <w:rPr>
      <w:rFonts w:ascii="Times New Roman" w:eastAsia="Times New Roman" w:hAnsi="Times New Roman"/>
      <w:sz w:val="24"/>
      <w:szCs w:val="24"/>
    </w:rPr>
  </w:style>
  <w:style w:type="character" w:styleId="Hyperlink">
    <w:name w:val="Hyperlink"/>
    <w:basedOn w:val="DefaultParagraphFont"/>
    <w:uiPriority w:val="99"/>
    <w:unhideWhenUsed/>
    <w:rsid w:val="009C4D47"/>
    <w:rPr>
      <w:color w:val="0000FF" w:themeColor="hyperlink"/>
      <w:u w:val="single"/>
    </w:rPr>
  </w:style>
  <w:style w:type="character" w:customStyle="1" w:styleId="MargeChar">
    <w:name w:val="Marge Char"/>
    <w:link w:val="Marge"/>
    <w:locked/>
    <w:rsid w:val="00563FFD"/>
    <w:rPr>
      <w:rFonts w:ascii="Arial" w:eastAsia="Times New Roman" w:hAnsi="Arial"/>
      <w:snapToGrid w:val="0"/>
      <w:sz w:val="22"/>
      <w:szCs w:val="24"/>
      <w:lang w:eastAsia="en-US"/>
    </w:rPr>
  </w:style>
  <w:style w:type="character" w:customStyle="1" w:styleId="ListParagraphChar">
    <w:name w:val="List Paragraph Char"/>
    <w:aliases w:val="List Paragraph (numbered (a)) Char,Lapis Bulleted List Char,Dot pt Char,F5 List Paragraph Char,List Paragraph Char Char Char Char,Indicator Text Char,Numbered Para 1 Char,Bullet 1 Char,List Paragraph12 Char,Bullet Points Char"/>
    <w:link w:val="ListParagraph"/>
    <w:uiPriority w:val="34"/>
    <w:locked/>
    <w:rsid w:val="00563FFD"/>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020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6.COM/12" TargetMode="External"/><Relationship Id="rId18" Type="http://schemas.openxmlformats.org/officeDocument/2006/relationships/hyperlink" Target="https://ich.unesco.org/doc/src/68292-EN.pdf" TargetMode="External"/><Relationship Id="rId26" Type="http://schemas.openxmlformats.org/officeDocument/2006/relationships/hyperlink" Target="https://ich.unesco.org/en/decisions/19.COM/10" TargetMode="External"/><Relationship Id="rId39" Type="http://schemas.openxmlformats.org/officeDocument/2006/relationships/hyperlink" Target="https://ich.unesco.org/en/decisions/20.COM/7.C.1" TargetMode="External"/><Relationship Id="rId21" Type="http://schemas.openxmlformats.org/officeDocument/2006/relationships/hyperlink" Target="https://ich.unesco.org/doc/src/68297-EN.pdf" TargetMode="External"/><Relationship Id="rId34" Type="http://schemas.openxmlformats.org/officeDocument/2006/relationships/hyperlink" Target="https://ich.unesco.org/en/decisions/14.COM/7" TargetMode="External"/><Relationship Id="rId42" Type="http://schemas.openxmlformats.org/officeDocument/2006/relationships/hyperlink" Target="https://ich.unesco.org/en/decisions/20.COM/6.B" TargetMode="External"/><Relationship Id="rId47" Type="http://schemas.openxmlformats.org/officeDocument/2006/relationships/hyperlink" Target="https://ich.unesco.org/en/decisions/18.COM/10" TargetMode="External"/><Relationship Id="rId50" Type="http://schemas.openxmlformats.org/officeDocument/2006/relationships/hyperlink" Target="https://ich.unesco.org/en/decisions/20.COM/6.C"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esco.org/sites/default/files/medias/fichiers/2025/09/ES%20MONDIACULT%20Documento%20Final%2027.09.25.pdf?hub=171169" TargetMode="External"/><Relationship Id="rId29" Type="http://schemas.openxmlformats.org/officeDocument/2006/relationships/hyperlink" Target="https://ich.unesco.org/es/dia-internacional-patrimonio-cultural-inmaterial" TargetMode="External"/><Relationship Id="rId11" Type="http://schemas.openxmlformats.org/officeDocument/2006/relationships/hyperlink" Target="https://ich.unesco.org/doc/src/ITH-16_6.GA-Resolutions_SP.docx" TargetMode="External"/><Relationship Id="rId24" Type="http://schemas.openxmlformats.org/officeDocument/2006/relationships/hyperlink" Target="https://ich.unesco.org/doc/src/LHE-24-10.GA-Resolutions_SP.docx" TargetMode="External"/><Relationship Id="rId32" Type="http://schemas.openxmlformats.org/officeDocument/2006/relationships/hyperlink" Target="https://ich.unesco.org/en/decisions/19.COM/13" TargetMode="External"/><Relationship Id="rId37" Type="http://schemas.openxmlformats.org/officeDocument/2006/relationships/hyperlink" Target="https://ich.unesco.org/en/Decisions/20.COM/13" TargetMode="External"/><Relationship Id="rId40" Type="http://schemas.openxmlformats.org/officeDocument/2006/relationships/hyperlink" Target="https://ich.unesco.org/en/decisions/20.COM/7.C.2" TargetMode="External"/><Relationship Id="rId45" Type="http://schemas.openxmlformats.org/officeDocument/2006/relationships/hyperlink" Target="https://www.unesco.org/es/articles/conferencia-mundial-de-la-unesco-sobre-las-politicas-culturales-y-el-desarrollo-sostenible?hub=758"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ich.unesco.org/doc/src/LHE-26-11.GA-INF.8_EN.docx" TargetMode="External"/><Relationship Id="rId19" Type="http://schemas.openxmlformats.org/officeDocument/2006/relationships/hyperlink" Target="https://ich.unesco.org/doc/src/72796-EN.pdf?v=1769168252" TargetMode="External"/><Relationship Id="rId31" Type="http://schemas.openxmlformats.org/officeDocument/2006/relationships/hyperlink" Target="https://ich.unesco.org/es/actividades-2025-01421" TargetMode="External"/><Relationship Id="rId44" Type="http://schemas.openxmlformats.org/officeDocument/2006/relationships/hyperlink" Target="https://ich.unesco.org/en/decisions/20.COM/6.C"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doc/src/LHE-26-11.GA-6_ES.docx" TargetMode="External"/><Relationship Id="rId14" Type="http://schemas.openxmlformats.org/officeDocument/2006/relationships/hyperlink" Target="https://ich.unesco.org/en/learning-platform-01397" TargetMode="External"/><Relationship Id="rId22" Type="http://schemas.openxmlformats.org/officeDocument/2006/relationships/hyperlink" Target="https://ich.unesco.org/en/decisions/19.COM/11" TargetMode="External"/><Relationship Id="rId27" Type="http://schemas.openxmlformats.org/officeDocument/2006/relationships/hyperlink" Target="https://ich.unesco.org/en/towards-a-platform-for-sharing-good-safeguarding-experiences-01376" TargetMode="External"/><Relationship Id="rId30" Type="http://schemas.openxmlformats.org/officeDocument/2006/relationships/hyperlink" Target="https://ich.unesco.org/es/actividades-2024-01401" TargetMode="External"/><Relationship Id="rId35" Type="http://schemas.openxmlformats.org/officeDocument/2006/relationships/hyperlink" Target="https://ich.unesco.org/doc/src/LHE-25-20.COM-14_EN.docx?t=1764362577" TargetMode="External"/><Relationship Id="rId43" Type="http://schemas.openxmlformats.org/officeDocument/2006/relationships/hyperlink" Target="https://ich.unesco.org/en/decisions/19.COM/6.C" TargetMode="External"/><Relationship Id="rId48" Type="http://schemas.openxmlformats.org/officeDocument/2006/relationships/hyperlink" Target="https://ich.unesco.org/en/decisions/18.COM/11" TargetMode="External"/><Relationship Id="rId8" Type="http://schemas.openxmlformats.org/officeDocument/2006/relationships/hyperlink" Target="https://ich.unesco.org/doc/src/ITH-16_6.GA-Resolutions_SP.docx"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ich.unesco.org/doc/src/LHE-24-10.GA-Resolutions_SP.docx" TargetMode="External"/><Relationship Id="rId17" Type="http://schemas.openxmlformats.org/officeDocument/2006/relationships/hyperlink" Target="https://ich.unesco.org/es/recursos-educacion" TargetMode="External"/><Relationship Id="rId25" Type="http://schemas.openxmlformats.org/officeDocument/2006/relationships/hyperlink" Target="https://ich.unesco.org/en/decisions/19.COM/10" TargetMode="External"/><Relationship Id="rId33" Type="http://schemas.openxmlformats.org/officeDocument/2006/relationships/hyperlink" Target="https://ich.unesco.org/en/decisions/20.COM/14" TargetMode="External"/><Relationship Id="rId38" Type="http://schemas.openxmlformats.org/officeDocument/2006/relationships/hyperlink" Target="https://ich.unesco.org/en/decisions/19.COM/6.A" TargetMode="External"/><Relationship Id="rId46" Type="http://schemas.openxmlformats.org/officeDocument/2006/relationships/hyperlink" Target="https://ich.unesco.org/doc/src/LHE-24-10.GA-Resolutions_SP.docx" TargetMode="External"/><Relationship Id="rId20" Type="http://schemas.openxmlformats.org/officeDocument/2006/relationships/hyperlink" Target="https://ich.unesco.org/en/decisions/20.COM/12" TargetMode="External"/><Relationship Id="rId41" Type="http://schemas.openxmlformats.org/officeDocument/2006/relationships/hyperlink" Target="https://ich.unesco.org/en/decisions/19.COM/6.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19.COM/5" TargetMode="External"/><Relationship Id="rId23" Type="http://schemas.openxmlformats.org/officeDocument/2006/relationships/hyperlink" Target="https://ich.unesco.org/en/decisions/20.COM/12" TargetMode="External"/><Relationship Id="rId28" Type="http://schemas.openxmlformats.org/officeDocument/2006/relationships/hyperlink" Target="https://ich.unesco.org/en/decisions/20.COM/11" TargetMode="External"/><Relationship Id="rId36" Type="http://schemas.openxmlformats.org/officeDocument/2006/relationships/hyperlink" Target="https://ich.unesco.org/doc/src/LHE-25-20.COM-INF.14_EN.docx" TargetMode="External"/><Relationship Id="rId49" Type="http://schemas.openxmlformats.org/officeDocument/2006/relationships/hyperlink" Target="https://ich.unesco.org/en/decisions/20.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161</TotalTime>
  <Pages>8</Pages>
  <Words>4136</Words>
  <Characters>22752</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Figea, Clarence</cp:lastModifiedBy>
  <cp:revision>33</cp:revision>
  <cp:lastPrinted>2011-08-06T10:22:00Z</cp:lastPrinted>
  <dcterms:created xsi:type="dcterms:W3CDTF">2026-05-18T09:49:00Z</dcterms:created>
  <dcterms:modified xsi:type="dcterms:W3CDTF">2026-05-18T21:00:00Z</dcterms:modified>
</cp:coreProperties>
</file>