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FB2880" w:rsidRDefault="00EC6F8D" w:rsidP="00EC6F8D">
      <w:pPr>
        <w:spacing w:before="1440"/>
        <w:jc w:val="center"/>
        <w:rPr>
          <w:rFonts w:ascii="Arial" w:hAnsi="Arial" w:cs="Arial"/>
          <w:b/>
          <w:sz w:val="22"/>
          <w:szCs w:val="22"/>
          <w:lang w:val="en-GB"/>
        </w:rPr>
      </w:pPr>
      <w:r w:rsidRPr="00FB2880">
        <w:rPr>
          <w:rFonts w:ascii="Arial" w:hAnsi="Arial" w:cs="Arial"/>
          <w:b/>
          <w:sz w:val="22"/>
          <w:szCs w:val="22"/>
          <w:lang w:val="en-GB"/>
        </w:rPr>
        <w:t>CONVENTION FOR THE SAFEGUARDING OF THE</w:t>
      </w:r>
      <w:r w:rsidRPr="00FB2880">
        <w:rPr>
          <w:rFonts w:ascii="Arial" w:hAnsi="Arial" w:cs="Arial"/>
          <w:b/>
          <w:sz w:val="22"/>
          <w:szCs w:val="22"/>
          <w:lang w:val="en-GB"/>
        </w:rPr>
        <w:br/>
        <w:t>INTANGIBLE CULTURAL HERITAGE</w:t>
      </w:r>
    </w:p>
    <w:p w14:paraId="3F72B1D3" w14:textId="37133200" w:rsidR="00EC6F8D" w:rsidRPr="00FB2880" w:rsidRDefault="005C792B" w:rsidP="00EC6F8D">
      <w:pPr>
        <w:spacing w:before="1200"/>
        <w:jc w:val="center"/>
        <w:rPr>
          <w:rFonts w:ascii="Arial" w:hAnsi="Arial" w:cs="Arial"/>
          <w:b/>
          <w:sz w:val="22"/>
          <w:szCs w:val="22"/>
          <w:lang w:val="en-GB"/>
        </w:rPr>
      </w:pPr>
      <w:r w:rsidRPr="00FB2880">
        <w:rPr>
          <w:rFonts w:ascii="Arial" w:hAnsi="Arial" w:cs="Arial"/>
          <w:b/>
          <w:sz w:val="22"/>
          <w:szCs w:val="22"/>
          <w:lang w:val="en-GB"/>
        </w:rPr>
        <w:t>GENERAL ASSEMBLY OF THE STATES PARTIES TO THE CONVENTION</w:t>
      </w:r>
    </w:p>
    <w:p w14:paraId="2E1CD4B4" w14:textId="762C97E8" w:rsidR="00EC6F8D" w:rsidRPr="00FB2880" w:rsidRDefault="0026085B" w:rsidP="001D14FE">
      <w:pPr>
        <w:spacing w:before="840"/>
        <w:jc w:val="center"/>
        <w:rPr>
          <w:rFonts w:ascii="Arial" w:hAnsi="Arial" w:cs="Arial"/>
          <w:b/>
          <w:sz w:val="22"/>
          <w:szCs w:val="22"/>
          <w:lang w:val="en-GB"/>
        </w:rPr>
      </w:pPr>
      <w:r w:rsidRPr="00FB2880">
        <w:rPr>
          <w:rFonts w:ascii="Arial" w:eastAsiaTheme="minorEastAsia" w:hAnsi="Arial" w:cs="Arial"/>
          <w:b/>
          <w:sz w:val="22"/>
          <w:szCs w:val="22"/>
          <w:lang w:val="en-GB" w:eastAsia="ko-KR"/>
        </w:rPr>
        <w:t>Eleventh</w:t>
      </w:r>
      <w:r w:rsidR="00B2172B" w:rsidRPr="00FB2880">
        <w:rPr>
          <w:rFonts w:ascii="Arial" w:eastAsiaTheme="minorEastAsia" w:hAnsi="Arial" w:cs="Arial"/>
          <w:b/>
          <w:sz w:val="22"/>
          <w:szCs w:val="22"/>
          <w:lang w:val="en-GB" w:eastAsia="ko-KR"/>
        </w:rPr>
        <w:t xml:space="preserve"> </w:t>
      </w:r>
      <w:r w:rsidR="00EC6F8D" w:rsidRPr="00FB2880">
        <w:rPr>
          <w:rFonts w:ascii="Arial" w:hAnsi="Arial" w:cs="Arial"/>
          <w:b/>
          <w:sz w:val="22"/>
          <w:szCs w:val="22"/>
          <w:lang w:val="en-GB"/>
        </w:rPr>
        <w:t>session</w:t>
      </w:r>
    </w:p>
    <w:p w14:paraId="1FD89575" w14:textId="05D2C62D" w:rsidR="00B2172B" w:rsidRPr="00FB2880" w:rsidRDefault="005C792B" w:rsidP="00B2172B">
      <w:pPr>
        <w:jc w:val="center"/>
        <w:rPr>
          <w:rFonts w:ascii="Arial" w:hAnsi="Arial" w:cs="Arial"/>
          <w:b/>
          <w:sz w:val="22"/>
          <w:szCs w:val="22"/>
          <w:lang w:val="en-GB"/>
        </w:rPr>
      </w:pPr>
      <w:r w:rsidRPr="00FB2880">
        <w:rPr>
          <w:rFonts w:ascii="Arial" w:hAnsi="Arial" w:cs="Arial"/>
          <w:b/>
          <w:sz w:val="22"/>
          <w:szCs w:val="22"/>
          <w:lang w:val="en-GB"/>
        </w:rPr>
        <w:t>UNESCO Headquarters, Room I</w:t>
      </w:r>
    </w:p>
    <w:p w14:paraId="52EA6D50" w14:textId="46BCF87A" w:rsidR="00B2172B" w:rsidRPr="00FB2880" w:rsidRDefault="00544C93" w:rsidP="00B2172B">
      <w:pPr>
        <w:jc w:val="center"/>
        <w:rPr>
          <w:rFonts w:ascii="Arial" w:hAnsi="Arial" w:cs="Arial"/>
          <w:b/>
          <w:sz w:val="22"/>
          <w:szCs w:val="22"/>
          <w:lang w:val="en-GB"/>
        </w:rPr>
      </w:pPr>
      <w:r w:rsidRPr="00FB2880">
        <w:rPr>
          <w:rFonts w:ascii="Arial" w:hAnsi="Arial" w:cs="Arial"/>
          <w:b/>
          <w:sz w:val="22"/>
          <w:szCs w:val="22"/>
          <w:lang w:val="en-GB"/>
        </w:rPr>
        <w:t>17</w:t>
      </w:r>
      <w:r w:rsidR="0026221A" w:rsidRPr="00FB2880">
        <w:rPr>
          <w:rFonts w:ascii="Arial" w:hAnsi="Arial" w:cs="Arial"/>
          <w:b/>
          <w:sz w:val="22"/>
          <w:szCs w:val="22"/>
          <w:lang w:val="en-GB"/>
        </w:rPr>
        <w:t xml:space="preserve"> to </w:t>
      </w:r>
      <w:r w:rsidRPr="00FB2880">
        <w:rPr>
          <w:rFonts w:ascii="Arial" w:hAnsi="Arial" w:cs="Arial"/>
          <w:b/>
          <w:sz w:val="22"/>
          <w:szCs w:val="22"/>
          <w:lang w:val="en-GB"/>
        </w:rPr>
        <w:t>18</w:t>
      </w:r>
      <w:r w:rsidR="0054535F" w:rsidRPr="00FB2880">
        <w:rPr>
          <w:rFonts w:ascii="Arial" w:hAnsi="Arial" w:cs="Arial"/>
          <w:b/>
          <w:sz w:val="22"/>
          <w:szCs w:val="22"/>
          <w:lang w:val="en-GB"/>
        </w:rPr>
        <w:t xml:space="preserve"> June</w:t>
      </w:r>
      <w:r w:rsidR="00B2172B" w:rsidRPr="00FB2880">
        <w:rPr>
          <w:rFonts w:ascii="Arial" w:hAnsi="Arial" w:cs="Arial"/>
          <w:b/>
          <w:sz w:val="22"/>
          <w:szCs w:val="22"/>
          <w:lang w:val="en-GB"/>
        </w:rPr>
        <w:t xml:space="preserve"> 202</w:t>
      </w:r>
      <w:r w:rsidR="0026085B" w:rsidRPr="00FB2880">
        <w:rPr>
          <w:rFonts w:ascii="Arial" w:hAnsi="Arial" w:cs="Arial"/>
          <w:b/>
          <w:sz w:val="22"/>
          <w:szCs w:val="22"/>
          <w:lang w:val="en-GB"/>
        </w:rPr>
        <w:t>6</w:t>
      </w:r>
    </w:p>
    <w:p w14:paraId="0365203A" w14:textId="7B520D21" w:rsidR="00EC6F8D" w:rsidRPr="00FB2880" w:rsidRDefault="00EC6F8D" w:rsidP="00EC6F8D">
      <w:pPr>
        <w:pStyle w:val="Sansinterligne2"/>
        <w:spacing w:before="1200"/>
        <w:jc w:val="center"/>
        <w:rPr>
          <w:rFonts w:ascii="Arial" w:hAnsi="Arial" w:cs="Arial"/>
          <w:b/>
          <w:sz w:val="22"/>
          <w:szCs w:val="22"/>
          <w:lang w:val="en-GB"/>
        </w:rPr>
      </w:pPr>
      <w:r w:rsidRPr="00FB2880">
        <w:rPr>
          <w:rFonts w:ascii="Arial" w:hAnsi="Arial" w:cs="Arial"/>
          <w:b/>
          <w:sz w:val="22"/>
          <w:szCs w:val="22"/>
          <w:u w:val="single"/>
          <w:lang w:val="en-GB"/>
        </w:rPr>
        <w:t xml:space="preserve">Item </w:t>
      </w:r>
      <w:r w:rsidR="009918BB" w:rsidRPr="00FB2880">
        <w:rPr>
          <w:rFonts w:ascii="Arial" w:hAnsi="Arial" w:cs="Arial"/>
          <w:b/>
          <w:sz w:val="22"/>
          <w:szCs w:val="22"/>
          <w:u w:val="single"/>
          <w:lang w:val="en-GB"/>
        </w:rPr>
        <w:t>5</w:t>
      </w:r>
      <w:r w:rsidR="00651A5B" w:rsidRPr="00FB2880">
        <w:rPr>
          <w:rFonts w:ascii="Arial" w:hAnsi="Arial" w:cs="Arial"/>
          <w:b/>
          <w:sz w:val="22"/>
          <w:szCs w:val="22"/>
          <w:u w:val="single"/>
          <w:lang w:val="en-GB"/>
        </w:rPr>
        <w:t xml:space="preserve"> </w:t>
      </w:r>
      <w:r w:rsidRPr="00FB2880">
        <w:rPr>
          <w:rFonts w:ascii="Arial" w:hAnsi="Arial" w:cs="Arial"/>
          <w:b/>
          <w:sz w:val="22"/>
          <w:szCs w:val="22"/>
          <w:u w:val="single"/>
          <w:lang w:val="en-GB"/>
        </w:rPr>
        <w:t xml:space="preserve">of the </w:t>
      </w:r>
      <w:r w:rsidR="00937D53" w:rsidRPr="00FB2880">
        <w:rPr>
          <w:rFonts w:ascii="Arial" w:hAnsi="Arial" w:cs="Arial"/>
          <w:b/>
          <w:sz w:val="22"/>
          <w:szCs w:val="22"/>
          <w:u w:val="single"/>
          <w:lang w:val="en-GB"/>
        </w:rPr>
        <w:t>p</w:t>
      </w:r>
      <w:r w:rsidRPr="00FB2880">
        <w:rPr>
          <w:rFonts w:ascii="Arial" w:hAnsi="Arial" w:cs="Arial"/>
          <w:b/>
          <w:sz w:val="22"/>
          <w:szCs w:val="22"/>
          <w:u w:val="single"/>
          <w:lang w:val="en-GB"/>
        </w:rPr>
        <w:t xml:space="preserve">rovisional </w:t>
      </w:r>
      <w:r w:rsidR="00937D53" w:rsidRPr="00FB2880">
        <w:rPr>
          <w:rFonts w:ascii="Arial" w:hAnsi="Arial" w:cs="Arial"/>
          <w:b/>
          <w:sz w:val="22"/>
          <w:szCs w:val="22"/>
          <w:u w:val="single"/>
          <w:lang w:val="en-GB"/>
        </w:rPr>
        <w:t>a</w:t>
      </w:r>
      <w:r w:rsidRPr="00FB2880">
        <w:rPr>
          <w:rFonts w:ascii="Arial" w:hAnsi="Arial" w:cs="Arial"/>
          <w:b/>
          <w:sz w:val="22"/>
          <w:szCs w:val="22"/>
          <w:u w:val="single"/>
          <w:lang w:val="en-GB"/>
        </w:rPr>
        <w:t>genda</w:t>
      </w:r>
      <w:r w:rsidRPr="00FB2880">
        <w:rPr>
          <w:rFonts w:ascii="Arial" w:hAnsi="Arial" w:cs="Arial"/>
          <w:b/>
          <w:sz w:val="22"/>
          <w:szCs w:val="22"/>
          <w:lang w:val="en-GB"/>
        </w:rPr>
        <w:t>:</w:t>
      </w:r>
    </w:p>
    <w:p w14:paraId="59920478" w14:textId="18C88F12" w:rsidR="004A2875" w:rsidRPr="00FB2880" w:rsidRDefault="009918BB" w:rsidP="009918BB">
      <w:pPr>
        <w:pStyle w:val="Sansinterligne2"/>
        <w:spacing w:after="960"/>
        <w:jc w:val="center"/>
        <w:rPr>
          <w:rFonts w:ascii="Arial" w:hAnsi="Arial" w:cs="Arial"/>
          <w:bCs/>
          <w:sz w:val="22"/>
          <w:szCs w:val="22"/>
          <w:lang w:val="en-GB"/>
        </w:rPr>
      </w:pPr>
      <w:r w:rsidRPr="00FB2880">
        <w:rPr>
          <w:rFonts w:ascii="Arial" w:hAnsi="Arial" w:cs="Arial"/>
          <w:b/>
          <w:sz w:val="22"/>
          <w:szCs w:val="22"/>
          <w:lang w:val="en-GB"/>
        </w:rPr>
        <w:t>Report by the Committee to the General Assembly (January 2024 to December 2025)</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FB2880" w14:paraId="75AC6221" w14:textId="77777777" w:rsidTr="00EC6F8D">
        <w:trPr>
          <w:jc w:val="center"/>
        </w:trPr>
        <w:tc>
          <w:tcPr>
            <w:tcW w:w="5670" w:type="dxa"/>
            <w:vAlign w:val="center"/>
          </w:tcPr>
          <w:p w14:paraId="51C260A9" w14:textId="77777777" w:rsidR="00EC6F8D" w:rsidRPr="00FB2880" w:rsidRDefault="00EC6F8D" w:rsidP="00CA56BB">
            <w:pPr>
              <w:pStyle w:val="Sansinterligne1"/>
              <w:spacing w:before="200" w:after="200"/>
              <w:jc w:val="center"/>
              <w:rPr>
                <w:rFonts w:ascii="Arial" w:hAnsi="Arial" w:cs="Arial"/>
                <w:b/>
                <w:sz w:val="22"/>
                <w:szCs w:val="22"/>
                <w:lang w:val="en-GB"/>
              </w:rPr>
            </w:pPr>
            <w:r w:rsidRPr="00FB2880">
              <w:rPr>
                <w:rFonts w:ascii="Arial" w:hAnsi="Arial" w:cs="Arial"/>
                <w:b/>
                <w:sz w:val="22"/>
                <w:szCs w:val="22"/>
                <w:lang w:val="en-GB"/>
              </w:rPr>
              <w:t>Summary</w:t>
            </w:r>
          </w:p>
          <w:p w14:paraId="279D6B0F" w14:textId="79B4F6A4" w:rsidR="00DB2F67" w:rsidRPr="00FB2880" w:rsidRDefault="00DB2F67" w:rsidP="00CA56BB">
            <w:pPr>
              <w:pStyle w:val="Sansinterligne2"/>
              <w:spacing w:before="200" w:after="200"/>
              <w:jc w:val="both"/>
              <w:rPr>
                <w:rFonts w:ascii="Arial" w:hAnsi="Arial" w:cs="Arial"/>
                <w:sz w:val="22"/>
                <w:szCs w:val="22"/>
                <w:lang w:val="en-GB"/>
              </w:rPr>
            </w:pPr>
            <w:r w:rsidRPr="00FB2880">
              <w:rPr>
                <w:rFonts w:ascii="Arial" w:hAnsi="Arial" w:cs="Arial"/>
                <w:sz w:val="22"/>
                <w:szCs w:val="22"/>
                <w:lang w:val="en-GB"/>
              </w:rPr>
              <w:t>Article 30.1 of the 2003 Convention states that ‘on the basis of its activities and the reports by States Parties [...] the Committee shall submit a report to the General Assembly at each of its sessions’. This document contains a report on the Committee</w:t>
            </w:r>
            <w:r w:rsidR="00D94CD4" w:rsidRPr="00FB2880">
              <w:rPr>
                <w:rFonts w:ascii="Arial" w:hAnsi="Arial" w:cs="Arial"/>
                <w:sz w:val="22"/>
                <w:szCs w:val="22"/>
                <w:lang w:val="en-GB"/>
              </w:rPr>
              <w:t>’</w:t>
            </w:r>
            <w:r w:rsidRPr="00FB2880">
              <w:rPr>
                <w:rFonts w:ascii="Arial" w:hAnsi="Arial" w:cs="Arial"/>
                <w:sz w:val="22"/>
                <w:szCs w:val="22"/>
                <w:lang w:val="en-GB"/>
              </w:rPr>
              <w:t xml:space="preserve">s activities from January 2024 to December 2025, including a review of the reports by States Parties adopted at the Committee’s </w:t>
            </w:r>
            <w:r w:rsidR="003376D9" w:rsidRPr="00FB2880">
              <w:rPr>
                <w:rFonts w:ascii="Arial" w:hAnsi="Arial" w:cs="Arial"/>
                <w:sz w:val="22"/>
                <w:szCs w:val="22"/>
                <w:lang w:val="en-GB"/>
              </w:rPr>
              <w:t>nineteenth</w:t>
            </w:r>
            <w:r w:rsidRPr="00FB2880">
              <w:rPr>
                <w:rFonts w:ascii="Arial" w:hAnsi="Arial" w:cs="Arial"/>
                <w:sz w:val="22"/>
                <w:szCs w:val="22"/>
                <w:lang w:val="en-GB"/>
              </w:rPr>
              <w:t xml:space="preserve"> and </w:t>
            </w:r>
            <w:r w:rsidR="003376D9" w:rsidRPr="00FB2880">
              <w:rPr>
                <w:rFonts w:ascii="Arial" w:hAnsi="Arial" w:cs="Arial"/>
                <w:sz w:val="22"/>
                <w:szCs w:val="22"/>
                <w:lang w:val="en-GB"/>
              </w:rPr>
              <w:t xml:space="preserve">twentieth </w:t>
            </w:r>
            <w:r w:rsidRPr="00FB2880">
              <w:rPr>
                <w:rFonts w:ascii="Arial" w:hAnsi="Arial" w:cs="Arial"/>
                <w:sz w:val="22"/>
                <w:szCs w:val="22"/>
                <w:lang w:val="en-GB"/>
              </w:rPr>
              <w:t>sessions.</w:t>
            </w:r>
          </w:p>
          <w:p w14:paraId="290310E8" w14:textId="5EB5E4D7" w:rsidR="00EC6F8D" w:rsidRPr="00FB2880" w:rsidRDefault="00EC6F8D" w:rsidP="00CA56BB">
            <w:pPr>
              <w:pStyle w:val="Sansinterligne2"/>
              <w:spacing w:before="200" w:after="200"/>
              <w:jc w:val="both"/>
              <w:rPr>
                <w:rFonts w:ascii="Arial" w:hAnsi="Arial" w:cs="Arial"/>
                <w:b/>
                <w:sz w:val="22"/>
                <w:szCs w:val="22"/>
                <w:lang w:val="en-GB"/>
              </w:rPr>
            </w:pPr>
            <w:r w:rsidRPr="00FB2880">
              <w:rPr>
                <w:rFonts w:ascii="Arial" w:hAnsi="Arial" w:cs="Arial"/>
                <w:b/>
                <w:sz w:val="22"/>
                <w:szCs w:val="22"/>
                <w:lang w:val="en-GB"/>
              </w:rPr>
              <w:t xml:space="preserve">Decision required: </w:t>
            </w:r>
            <w:r w:rsidRPr="00FB2880">
              <w:rPr>
                <w:rFonts w:ascii="Arial" w:hAnsi="Arial" w:cs="Arial"/>
                <w:bCs/>
                <w:sz w:val="22"/>
                <w:szCs w:val="22"/>
                <w:lang w:val="en-GB"/>
              </w:rPr>
              <w:t xml:space="preserve">paragraph </w:t>
            </w:r>
            <w:r w:rsidR="001D2D51" w:rsidRPr="00FB2880">
              <w:rPr>
                <w:rFonts w:ascii="Arial" w:hAnsi="Arial" w:cs="Arial"/>
                <w:bCs/>
                <w:sz w:val="22"/>
                <w:szCs w:val="22"/>
                <w:lang w:val="en-GB"/>
              </w:rPr>
              <w:t>4</w:t>
            </w:r>
          </w:p>
        </w:tc>
      </w:tr>
    </w:tbl>
    <w:p w14:paraId="713D819F" w14:textId="77777777" w:rsidR="004A2875" w:rsidRPr="00FB2880"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lang w:val="en-GB" w:eastAsia="en-US"/>
        </w:rPr>
      </w:pPr>
      <w:r w:rsidRPr="00FB2880">
        <w:rPr>
          <w:lang w:val="en-GB"/>
        </w:rPr>
        <w:br w:type="page"/>
      </w:r>
    </w:p>
    <w:p w14:paraId="6C62585F" w14:textId="1FBD00B9" w:rsidR="00F70CC5" w:rsidRPr="00FB2880" w:rsidRDefault="00FD4BC8" w:rsidP="00F70CC5">
      <w:pPr>
        <w:pStyle w:val="COMPara"/>
        <w:numPr>
          <w:ilvl w:val="0"/>
          <w:numId w:val="0"/>
        </w:numPr>
        <w:spacing w:before="240"/>
        <w:jc w:val="both"/>
        <w:rPr>
          <w:b/>
          <w:bCs/>
        </w:rPr>
      </w:pPr>
      <w:bookmarkStart w:id="0" w:name="_Hlk124351255"/>
      <w:r w:rsidRPr="00FB2880">
        <w:rPr>
          <w:b/>
          <w:bCs/>
        </w:rPr>
        <w:lastRenderedPageBreak/>
        <w:t>Background</w:t>
      </w:r>
    </w:p>
    <w:bookmarkEnd w:id="0"/>
    <w:p w14:paraId="3161EA90" w14:textId="354FDC74" w:rsidR="00DB2F67" w:rsidRPr="00FB2880" w:rsidRDefault="00DB2F67" w:rsidP="00DB2F67">
      <w:pPr>
        <w:pStyle w:val="COMPara"/>
        <w:ind w:left="567" w:hanging="567"/>
        <w:jc w:val="both"/>
      </w:pPr>
      <w:r w:rsidRPr="00FB2880">
        <w:t xml:space="preserve">Article 30.1 of the 2003 Convention for the Safeguarding of the Intangible Cultural Heritage states that ‘on the basis of its activities and the reports by States Parties [...] the Committee shall submit a report to the General Assembly at each of its sessions’. Article 30.2 </w:t>
      </w:r>
      <w:r w:rsidR="00D83976" w:rsidRPr="00FB2880">
        <w:t>adds</w:t>
      </w:r>
      <w:r w:rsidRPr="00FB2880">
        <w:t xml:space="preserve"> that ‘[t]he report shall be brought to the attention of the General Conference of UNESCO’. The period covered by this report</w:t>
      </w:r>
      <w:r w:rsidR="00F32A57" w:rsidRPr="00FB2880">
        <w:t xml:space="preserve"> (see annex)</w:t>
      </w:r>
      <w:r w:rsidRPr="00FB2880">
        <w:t xml:space="preserve"> is January 2024 to December 2025.</w:t>
      </w:r>
    </w:p>
    <w:p w14:paraId="147058DA" w14:textId="703CA3ED" w:rsidR="00DB2F67" w:rsidRPr="00FB2880" w:rsidRDefault="00DB2F67" w:rsidP="00DB2F67">
      <w:pPr>
        <w:pStyle w:val="COMPara"/>
        <w:ind w:left="567" w:hanging="567"/>
        <w:jc w:val="both"/>
      </w:pPr>
      <w:r w:rsidRPr="00FB2880">
        <w:t>This reporting period follows Resolution </w:t>
      </w:r>
      <w:hyperlink r:id="rId8" w:history="1">
        <w:r w:rsidRPr="00FB2880">
          <w:rPr>
            <w:rStyle w:val="Hyperlink"/>
          </w:rPr>
          <w:t>6.GA 5</w:t>
        </w:r>
      </w:hyperlink>
      <w:r w:rsidRPr="00FB2880">
        <w:t xml:space="preserve">, whereby the General Assembly requested in 2016 that the Committee use a biennium calendar year for future reports. In this regard, </w:t>
      </w:r>
      <w:r w:rsidR="00F32A57" w:rsidRPr="00FB2880">
        <w:t>t</w:t>
      </w:r>
      <w:r w:rsidRPr="00FB2880">
        <w:t>he report also contains a review of national reports submitted by States Parties, in the sense of Article 29 of the Convention, which were adopted by the Committee during its nineteenth and twentieth sessions.</w:t>
      </w:r>
    </w:p>
    <w:p w14:paraId="350D6210" w14:textId="7A8B9A56" w:rsidR="00DB2F67" w:rsidRPr="00FB2880" w:rsidRDefault="00D94CD4" w:rsidP="00DB2F67">
      <w:pPr>
        <w:pStyle w:val="COMPara"/>
        <w:ind w:left="567" w:hanging="567"/>
        <w:jc w:val="both"/>
      </w:pPr>
      <w:r w:rsidRPr="00FB2880">
        <w:t>T</w:t>
      </w:r>
      <w:r w:rsidR="00DB2F67" w:rsidRPr="00FB2880">
        <w:t>his report should be read in conjunction with the report by the Secretariat on its activities (document </w:t>
      </w:r>
      <w:hyperlink r:id="rId9" w:history="1">
        <w:r w:rsidR="00DB2F67" w:rsidRPr="00FB2880">
          <w:rPr>
            <w:rStyle w:val="Hyperlink"/>
          </w:rPr>
          <w:t>LHE/26/11.GA/6</w:t>
        </w:r>
      </w:hyperlink>
      <w:r w:rsidR="00DB2F67" w:rsidRPr="00FB2880">
        <w:t>) and the report on the Intangible Cultural Heritage Fund</w:t>
      </w:r>
      <w:r w:rsidR="00DB2F67" w:rsidRPr="00FB2880">
        <w:rPr>
          <w:i/>
        </w:rPr>
        <w:t xml:space="preserve"> </w:t>
      </w:r>
      <w:r w:rsidR="00DB2F67" w:rsidRPr="00FB2880">
        <w:t>(document </w:t>
      </w:r>
      <w:hyperlink r:id="rId10" w:history="1">
        <w:r w:rsidR="00DB2F67" w:rsidRPr="00FB2880">
          <w:rPr>
            <w:rStyle w:val="Hyperlink"/>
          </w:rPr>
          <w:t>LHE/26/11.GA/INF.8</w:t>
        </w:r>
      </w:hyperlink>
      <w:r w:rsidR="00DB2F67" w:rsidRPr="00FB2880">
        <w:t>).</w:t>
      </w:r>
    </w:p>
    <w:p w14:paraId="50D3EAFF" w14:textId="3A349EC1" w:rsidR="00D95C4C" w:rsidRPr="00FB2880" w:rsidRDefault="005C792B" w:rsidP="005C792B">
      <w:pPr>
        <w:pStyle w:val="COMPara"/>
        <w:ind w:left="567" w:hanging="567"/>
      </w:pPr>
      <w:r w:rsidRPr="00FB2880">
        <w:t>The General Assembly may wish to adopt the following resolution:</w:t>
      </w:r>
    </w:p>
    <w:p w14:paraId="6CEB1E9D" w14:textId="1E26400A" w:rsidR="00D95C4C" w:rsidRPr="00FB2880" w:rsidRDefault="004A34A0" w:rsidP="001D14FE">
      <w:pPr>
        <w:pStyle w:val="COMTitleDecision"/>
        <w:rPr>
          <w:rFonts w:eastAsia="SimSun"/>
        </w:rPr>
      </w:pPr>
      <w:r w:rsidRPr="00FB2880">
        <w:t xml:space="preserve">DRAFT </w:t>
      </w:r>
      <w:r w:rsidR="005C792B" w:rsidRPr="00FB2880">
        <w:t>RESOLUTION</w:t>
      </w:r>
      <w:r w:rsidR="00CB0542" w:rsidRPr="00FB2880">
        <w:t xml:space="preserve"> 1</w:t>
      </w:r>
      <w:r w:rsidR="0026085B" w:rsidRPr="00FB2880">
        <w:t>1</w:t>
      </w:r>
      <w:r w:rsidR="00EC6F8D" w:rsidRPr="00FB2880">
        <w:t>.</w:t>
      </w:r>
      <w:r w:rsidR="005C792B" w:rsidRPr="00FB2880">
        <w:t>GA</w:t>
      </w:r>
      <w:r w:rsidR="00517FD8" w:rsidRPr="00FB2880">
        <w:t xml:space="preserve"> </w:t>
      </w:r>
      <w:r w:rsidR="009219A9" w:rsidRPr="00FB2880">
        <w:t>5</w:t>
      </w:r>
    </w:p>
    <w:p w14:paraId="13024F0B" w14:textId="5181E164" w:rsidR="00D95C4C" w:rsidRPr="00FB2880" w:rsidRDefault="005C792B" w:rsidP="00285BB4">
      <w:pPr>
        <w:pStyle w:val="COMPreambulaDecisions"/>
        <w:rPr>
          <w:rFonts w:eastAsia="SimSun"/>
        </w:rPr>
      </w:pPr>
      <w:r w:rsidRPr="00FB2880">
        <w:t>The General Assembly,</w:t>
      </w:r>
    </w:p>
    <w:p w14:paraId="5A9F22F3" w14:textId="6AC66C98" w:rsidR="0057439C" w:rsidRPr="00FB2880" w:rsidRDefault="00D95C4C" w:rsidP="007435E5">
      <w:pPr>
        <w:pStyle w:val="COMParaDecision"/>
        <w:ind w:left="1134" w:hanging="567"/>
      </w:pPr>
      <w:r w:rsidRPr="00FB2880">
        <w:t>Having examined</w:t>
      </w:r>
      <w:r w:rsidRPr="00FB2880">
        <w:rPr>
          <w:u w:val="none"/>
        </w:rPr>
        <w:t xml:space="preserve"> </w:t>
      </w:r>
      <w:r w:rsidR="00480175" w:rsidRPr="00FB2880">
        <w:rPr>
          <w:u w:val="none"/>
        </w:rPr>
        <w:t>d</w:t>
      </w:r>
      <w:r w:rsidRPr="00FB2880">
        <w:rPr>
          <w:u w:val="none"/>
        </w:rPr>
        <w:t>oc</w:t>
      </w:r>
      <w:r w:rsidR="00CB0542" w:rsidRPr="00FB2880">
        <w:rPr>
          <w:u w:val="none"/>
        </w:rPr>
        <w:t xml:space="preserve">ument </w:t>
      </w:r>
      <w:r w:rsidR="00C5776D" w:rsidRPr="00FB2880">
        <w:rPr>
          <w:u w:val="none"/>
        </w:rPr>
        <w:t>LHE</w:t>
      </w:r>
      <w:r w:rsidR="00CB0542" w:rsidRPr="00FB2880">
        <w:rPr>
          <w:u w:val="none"/>
        </w:rPr>
        <w:t>/</w:t>
      </w:r>
      <w:r w:rsidR="00D7105A" w:rsidRPr="00FB2880">
        <w:rPr>
          <w:u w:val="none"/>
        </w:rPr>
        <w:t>2</w:t>
      </w:r>
      <w:r w:rsidR="0026085B" w:rsidRPr="00FB2880">
        <w:rPr>
          <w:u w:val="none"/>
        </w:rPr>
        <w:t>6</w:t>
      </w:r>
      <w:r w:rsidR="00337CEB" w:rsidRPr="00FB2880">
        <w:rPr>
          <w:u w:val="none"/>
        </w:rPr>
        <w:t>/1</w:t>
      </w:r>
      <w:r w:rsidR="0026085B" w:rsidRPr="00FB2880">
        <w:rPr>
          <w:u w:val="none"/>
        </w:rPr>
        <w:t>1</w:t>
      </w:r>
      <w:r w:rsidR="00EC6F8D" w:rsidRPr="00FB2880">
        <w:rPr>
          <w:u w:val="none"/>
        </w:rPr>
        <w:t>.</w:t>
      </w:r>
      <w:r w:rsidR="005C792B" w:rsidRPr="00FB2880">
        <w:rPr>
          <w:u w:val="none"/>
        </w:rPr>
        <w:t>GA</w:t>
      </w:r>
      <w:r w:rsidR="004A34A0" w:rsidRPr="00FB2880">
        <w:rPr>
          <w:u w:val="none"/>
        </w:rPr>
        <w:t>/</w:t>
      </w:r>
      <w:r w:rsidR="009219A9" w:rsidRPr="00FB2880">
        <w:rPr>
          <w:u w:val="none"/>
        </w:rPr>
        <w:t>5</w:t>
      </w:r>
      <w:r w:rsidR="006E75EB" w:rsidRPr="00FB2880">
        <w:rPr>
          <w:u w:val="none"/>
        </w:rPr>
        <w:t xml:space="preserve"> and its annex,</w:t>
      </w:r>
    </w:p>
    <w:p w14:paraId="2E6C5523" w14:textId="77777777" w:rsidR="009219A9" w:rsidRPr="00FB2880" w:rsidRDefault="009219A9" w:rsidP="007435E5">
      <w:pPr>
        <w:pStyle w:val="COMParaDecision"/>
        <w:ind w:left="1134" w:hanging="567"/>
      </w:pPr>
      <w:r w:rsidRPr="00FB2880">
        <w:t>Recalling</w:t>
      </w:r>
      <w:r w:rsidRPr="00FB2880">
        <w:rPr>
          <w:u w:val="none"/>
        </w:rPr>
        <w:t xml:space="preserve"> Article 30 of the Convention and Resolution </w:t>
      </w:r>
      <w:hyperlink r:id="rId11" w:history="1">
        <w:r w:rsidRPr="00FB2880">
          <w:rPr>
            <w:rStyle w:val="Hyperlink"/>
          </w:rPr>
          <w:t>6.GA 5</w:t>
        </w:r>
      </w:hyperlink>
      <w:r w:rsidRPr="00FB2880">
        <w:rPr>
          <w:u w:val="none"/>
        </w:rPr>
        <w:t>,</w:t>
      </w:r>
    </w:p>
    <w:p w14:paraId="788BE1A8" w14:textId="623FD407" w:rsidR="009219A9" w:rsidRPr="00FB2880" w:rsidRDefault="009219A9" w:rsidP="007435E5">
      <w:pPr>
        <w:pStyle w:val="COMParaDecision"/>
        <w:ind w:left="1134" w:hanging="567"/>
      </w:pPr>
      <w:r w:rsidRPr="00FB2880">
        <w:t>Welcomes</w:t>
      </w:r>
      <w:r w:rsidRPr="00FB2880">
        <w:rPr>
          <w:u w:val="none"/>
        </w:rPr>
        <w:t xml:space="preserve"> </w:t>
      </w:r>
      <w:r w:rsidR="0046253C" w:rsidRPr="00FB2880">
        <w:rPr>
          <w:u w:val="none"/>
        </w:rPr>
        <w:t xml:space="preserve">Libya, </w:t>
      </w:r>
      <w:r w:rsidRPr="00FB2880">
        <w:rPr>
          <w:u w:val="none"/>
        </w:rPr>
        <w:t>Sierra Leon</w:t>
      </w:r>
      <w:r w:rsidR="00AF293B" w:rsidRPr="00FB2880">
        <w:rPr>
          <w:u w:val="none"/>
        </w:rPr>
        <w:t>e</w:t>
      </w:r>
      <w:r w:rsidRPr="00FB2880">
        <w:rPr>
          <w:u w:val="none"/>
        </w:rPr>
        <w:t xml:space="preserve">, South Africa and the United Kingdom of Great Britain and Northern Ireland, which ratified the Convention during the reporting period, bringing the total number of States Parties to 185, and </w:t>
      </w:r>
      <w:r w:rsidRPr="00FB2880">
        <w:t>encourages</w:t>
      </w:r>
      <w:r w:rsidRPr="00FB2880">
        <w:rPr>
          <w:u w:val="none"/>
        </w:rPr>
        <w:t xml:space="preserve"> those States which have not yet ratified to consider doing so;</w:t>
      </w:r>
    </w:p>
    <w:p w14:paraId="295CEA03" w14:textId="5F7D3970" w:rsidR="009219A9" w:rsidRPr="00FB2880" w:rsidRDefault="009219A9" w:rsidP="007435E5">
      <w:pPr>
        <w:pStyle w:val="COMParaDecision"/>
        <w:ind w:left="1134" w:hanging="567"/>
      </w:pPr>
      <w:r w:rsidRPr="00FB2880">
        <w:t>Takes note</w:t>
      </w:r>
      <w:r w:rsidRPr="00FB2880">
        <w:rPr>
          <w:u w:val="none"/>
        </w:rPr>
        <w:t xml:space="preserve"> of the report by the Committee to the General Assembly on its activities between January 2024 and December 2025, as annexed to this document, and </w:t>
      </w:r>
      <w:r w:rsidRPr="00FB2880">
        <w:t>thanks</w:t>
      </w:r>
      <w:r w:rsidRPr="00FB2880">
        <w:rPr>
          <w:u w:val="none"/>
        </w:rPr>
        <w:t xml:space="preserve"> the Committee for its effective work;</w:t>
      </w:r>
    </w:p>
    <w:p w14:paraId="6C8A31DB" w14:textId="404C1DFE" w:rsidR="009219A9" w:rsidRPr="00FB2880" w:rsidRDefault="009219A9" w:rsidP="007435E5">
      <w:pPr>
        <w:pStyle w:val="COMParaDecision"/>
        <w:ind w:left="1134" w:hanging="567"/>
      </w:pPr>
      <w:r w:rsidRPr="00FB2880">
        <w:t>Commends</w:t>
      </w:r>
      <w:r w:rsidRPr="00FB2880">
        <w:rPr>
          <w:u w:val="none"/>
        </w:rPr>
        <w:t xml:space="preserve"> the Committee for </w:t>
      </w:r>
      <w:r w:rsidR="00615A93" w:rsidRPr="00FB2880">
        <w:rPr>
          <w:u w:val="none"/>
        </w:rPr>
        <w:t xml:space="preserve">advancing the thematic initiatives of the Convention, notably </w:t>
      </w:r>
      <w:r w:rsidRPr="00FB2880">
        <w:rPr>
          <w:u w:val="none"/>
        </w:rPr>
        <w:t>the Guidance note on climate action for living heritage</w:t>
      </w:r>
      <w:r w:rsidR="0046253C" w:rsidRPr="00FB2880">
        <w:rPr>
          <w:u w:val="none"/>
        </w:rPr>
        <w:t xml:space="preserve"> (2024)</w:t>
      </w:r>
      <w:r w:rsidRPr="00FB2880">
        <w:rPr>
          <w:u w:val="none"/>
        </w:rPr>
        <w:t xml:space="preserve"> and the Guidance note on safeguarding intangible cultural heritage in urban contexts</w:t>
      </w:r>
      <w:r w:rsidR="0046253C" w:rsidRPr="00FB2880">
        <w:rPr>
          <w:u w:val="none"/>
        </w:rPr>
        <w:t xml:space="preserve"> (2025)</w:t>
      </w:r>
      <w:r w:rsidR="00064596" w:rsidRPr="00FB2880">
        <w:rPr>
          <w:u w:val="none"/>
        </w:rPr>
        <w:t>,</w:t>
      </w:r>
      <w:r w:rsidR="0046253C" w:rsidRPr="00FB2880">
        <w:rPr>
          <w:u w:val="none"/>
        </w:rPr>
        <w:t xml:space="preserve"> in addition to the </w:t>
      </w:r>
      <w:r w:rsidR="00630621" w:rsidRPr="00FB2880">
        <w:rPr>
          <w:u w:val="none"/>
        </w:rPr>
        <w:t xml:space="preserve">previously established </w:t>
      </w:r>
      <w:r w:rsidR="0046253C" w:rsidRPr="00FB2880">
        <w:rPr>
          <w:u w:val="none"/>
        </w:rPr>
        <w:t xml:space="preserve">Guidance note on the economic </w:t>
      </w:r>
      <w:r w:rsidR="008830B4" w:rsidRPr="00FB2880">
        <w:rPr>
          <w:u w:val="none"/>
        </w:rPr>
        <w:t xml:space="preserve">dimensions </w:t>
      </w:r>
      <w:r w:rsidR="0046253C" w:rsidRPr="00FB2880">
        <w:rPr>
          <w:u w:val="none"/>
        </w:rPr>
        <w:t>of intangible cultural heritage safeguarding (2023),</w:t>
      </w:r>
      <w:r w:rsidR="00064596" w:rsidRPr="00FB2880">
        <w:rPr>
          <w:u w:val="none"/>
        </w:rPr>
        <w:t xml:space="preserve"> and </w:t>
      </w:r>
      <w:r w:rsidR="00064596" w:rsidRPr="00FB2880">
        <w:t>calls for</w:t>
      </w:r>
      <w:r w:rsidR="00064596" w:rsidRPr="00FB2880">
        <w:rPr>
          <w:u w:val="none"/>
        </w:rPr>
        <w:t xml:space="preserve"> their integration into the Convention’s programmes, capacity-building interventions and other international frameworks;</w:t>
      </w:r>
    </w:p>
    <w:p w14:paraId="0CA78451" w14:textId="51FC4F6C" w:rsidR="009219A9" w:rsidRPr="00FB2880" w:rsidRDefault="009219A9" w:rsidP="007435E5">
      <w:pPr>
        <w:pStyle w:val="COMParaDecision"/>
        <w:ind w:left="1134" w:hanging="567"/>
      </w:pPr>
      <w:r w:rsidRPr="00FB2880">
        <w:t>Further commends</w:t>
      </w:r>
      <w:r w:rsidRPr="00FB2880">
        <w:rPr>
          <w:u w:val="none"/>
        </w:rPr>
        <w:t xml:space="preserve"> the Committee for the progress it made concerning the reflection on a broader implementation of Article 18</w:t>
      </w:r>
      <w:r w:rsidR="00D94CD4" w:rsidRPr="00FB2880">
        <w:rPr>
          <w:u w:val="none"/>
        </w:rPr>
        <w:t>,</w:t>
      </w:r>
      <w:r w:rsidR="00045B83" w:rsidRPr="00FB2880">
        <w:rPr>
          <w:u w:val="none"/>
        </w:rPr>
        <w:t xml:space="preserve"> with reference to the establishment of</w:t>
      </w:r>
      <w:r w:rsidR="000C35D1" w:rsidRPr="00FB2880">
        <w:rPr>
          <w:u w:val="none"/>
        </w:rPr>
        <w:t xml:space="preserve"> </w:t>
      </w:r>
      <w:r w:rsidR="00C6366A" w:rsidRPr="00FB2880">
        <w:rPr>
          <w:u w:val="none"/>
        </w:rPr>
        <w:t>the online platform for sharing good safeguarding experiences</w:t>
      </w:r>
      <w:r w:rsidR="00615A93" w:rsidRPr="00FB2880">
        <w:rPr>
          <w:u w:val="none"/>
        </w:rPr>
        <w:t xml:space="preserve"> to reflect aspirations, experiences and knowledge of communities across regions</w:t>
      </w:r>
      <w:r w:rsidRPr="00FB2880">
        <w:rPr>
          <w:u w:val="none"/>
        </w:rPr>
        <w:t>;</w:t>
      </w:r>
    </w:p>
    <w:p w14:paraId="0ADA6F68" w14:textId="43276387" w:rsidR="000C35D1" w:rsidRPr="00FB2880" w:rsidRDefault="00630621" w:rsidP="007435E5">
      <w:pPr>
        <w:pStyle w:val="COMParaDecision"/>
        <w:ind w:left="1134" w:hanging="567"/>
        <w:rPr>
          <w:u w:val="none"/>
        </w:rPr>
      </w:pPr>
      <w:r w:rsidRPr="00FB2880">
        <w:t>Acknowledges</w:t>
      </w:r>
      <w:r w:rsidR="000C35D1" w:rsidRPr="00FB2880">
        <w:rPr>
          <w:u w:val="none"/>
        </w:rPr>
        <w:t xml:space="preserve"> the positive outcomes of the two funding priorities for 2022-2025</w:t>
      </w:r>
      <w:r w:rsidR="00563A66" w:rsidRPr="00FB2880">
        <w:rPr>
          <w:u w:val="none"/>
        </w:rPr>
        <w:t xml:space="preserve">, </w:t>
      </w:r>
      <w:r w:rsidR="000C35D1" w:rsidRPr="00FB2880">
        <w:t>further welcomes</w:t>
      </w:r>
      <w:r w:rsidR="000C35D1" w:rsidRPr="00FB2880">
        <w:rPr>
          <w:u w:val="none"/>
        </w:rPr>
        <w:t xml:space="preserve"> the</w:t>
      </w:r>
      <w:r w:rsidR="00563A66" w:rsidRPr="00FB2880">
        <w:rPr>
          <w:u w:val="none"/>
        </w:rPr>
        <w:t xml:space="preserve"> Committee’s approval of the</w:t>
      </w:r>
      <w:r w:rsidR="000C35D1" w:rsidRPr="00FB2880">
        <w:rPr>
          <w:u w:val="none"/>
        </w:rPr>
        <w:t xml:space="preserve"> two new f</w:t>
      </w:r>
      <w:r w:rsidR="000C35D1" w:rsidRPr="00FB2880">
        <w:rPr>
          <w:rFonts w:asciiTheme="minorBidi" w:hAnsiTheme="minorBidi" w:cstheme="minorBidi"/>
          <w:u w:val="none"/>
        </w:rPr>
        <w:t>unding priorities for the period 2026</w:t>
      </w:r>
      <w:r w:rsidR="00662D50" w:rsidRPr="00FB2880">
        <w:rPr>
          <w:u w:val="none"/>
        </w:rPr>
        <w:t>-</w:t>
      </w:r>
      <w:r w:rsidR="000C35D1" w:rsidRPr="00FB2880">
        <w:rPr>
          <w:rFonts w:asciiTheme="minorBidi" w:hAnsiTheme="minorBidi" w:cstheme="minorBidi"/>
          <w:u w:val="none"/>
        </w:rPr>
        <w:t xml:space="preserve">2029: ‘Enhancing capacity-building approaches for safeguarding intangible cultural heritage with a focus on human well-being and community empowerment’ (Funding Priority A) and ‘Refining approaches for safeguarding intangible cultural heritage’ (Funding Priority B), and </w:t>
      </w:r>
      <w:r w:rsidR="000C35D1" w:rsidRPr="00FB2880">
        <w:rPr>
          <w:rFonts w:asciiTheme="minorBidi" w:hAnsiTheme="minorBidi" w:cstheme="minorBidi"/>
        </w:rPr>
        <w:t>invites</w:t>
      </w:r>
      <w:r w:rsidR="000C35D1" w:rsidRPr="00FB2880">
        <w:rPr>
          <w:rFonts w:asciiTheme="minorBidi" w:hAnsiTheme="minorBidi" w:cstheme="minorBidi"/>
          <w:u w:val="none"/>
        </w:rPr>
        <w:t xml:space="preserve"> all States Parties to </w:t>
      </w:r>
      <w:r w:rsidR="00563A66" w:rsidRPr="00FB2880">
        <w:rPr>
          <w:rFonts w:asciiTheme="minorBidi" w:hAnsiTheme="minorBidi" w:cstheme="minorBidi"/>
          <w:u w:val="none"/>
        </w:rPr>
        <w:t>provide voluntary supplementary contributions to support activities within the scope of these priorities;</w:t>
      </w:r>
    </w:p>
    <w:p w14:paraId="118BBE51" w14:textId="7D157E9A" w:rsidR="009219A9" w:rsidRPr="00FB2880" w:rsidRDefault="009219A9" w:rsidP="007435E5">
      <w:pPr>
        <w:pStyle w:val="COMParaDecision"/>
        <w:ind w:left="1134" w:hanging="567"/>
        <w:rPr>
          <w:u w:val="none"/>
        </w:rPr>
      </w:pPr>
      <w:r w:rsidRPr="00FB2880">
        <w:t>Notes with satisfaction</w:t>
      </w:r>
      <w:r w:rsidRPr="00FB2880">
        <w:rPr>
          <w:u w:val="none"/>
        </w:rPr>
        <w:t xml:space="preserve"> the </w:t>
      </w:r>
      <w:r w:rsidR="00630621" w:rsidRPr="00FB2880">
        <w:rPr>
          <w:u w:val="none"/>
        </w:rPr>
        <w:t xml:space="preserve">significantly </w:t>
      </w:r>
      <w:r w:rsidR="00563A66" w:rsidRPr="00FB2880">
        <w:rPr>
          <w:u w:val="none"/>
        </w:rPr>
        <w:t>high</w:t>
      </w:r>
      <w:r w:rsidR="000C35D1" w:rsidRPr="00FB2880">
        <w:rPr>
          <w:u w:val="none"/>
        </w:rPr>
        <w:t xml:space="preserve"> </w:t>
      </w:r>
      <w:r w:rsidRPr="00FB2880">
        <w:rPr>
          <w:u w:val="none"/>
        </w:rPr>
        <w:t>rates of submission under the</w:t>
      </w:r>
      <w:r w:rsidR="00935FFC" w:rsidRPr="00FB2880">
        <w:rPr>
          <w:u w:val="none"/>
        </w:rPr>
        <w:t xml:space="preserve"> </w:t>
      </w:r>
      <w:r w:rsidR="00630621" w:rsidRPr="00FB2880">
        <w:rPr>
          <w:u w:val="none"/>
        </w:rPr>
        <w:t xml:space="preserve">first regional </w:t>
      </w:r>
      <w:r w:rsidRPr="00FB2880">
        <w:rPr>
          <w:u w:val="none"/>
        </w:rPr>
        <w:t xml:space="preserve">cycle of periodic reporting and </w:t>
      </w:r>
      <w:r w:rsidR="00F32A57" w:rsidRPr="00FB2880">
        <w:t>acknowledges</w:t>
      </w:r>
      <w:r w:rsidRPr="00FB2880">
        <w:rPr>
          <w:u w:val="none"/>
        </w:rPr>
        <w:t xml:space="preserve"> the Committee’s </w:t>
      </w:r>
      <w:r w:rsidR="00563A66" w:rsidRPr="00FB2880">
        <w:rPr>
          <w:u w:val="none"/>
        </w:rPr>
        <w:t xml:space="preserve">endorsement </w:t>
      </w:r>
      <w:r w:rsidR="00D94CD4" w:rsidRPr="00FB2880">
        <w:rPr>
          <w:u w:val="none"/>
        </w:rPr>
        <w:t>of the</w:t>
      </w:r>
      <w:r w:rsidR="00563A66" w:rsidRPr="00FB2880">
        <w:rPr>
          <w:u w:val="none"/>
        </w:rPr>
        <w:t xml:space="preserve"> move towards a single global submission system for </w:t>
      </w:r>
      <w:r w:rsidR="0087279E" w:rsidRPr="00FB2880">
        <w:rPr>
          <w:u w:val="none"/>
        </w:rPr>
        <w:t xml:space="preserve">the </w:t>
      </w:r>
      <w:r w:rsidR="00563A66" w:rsidRPr="00FB2880">
        <w:rPr>
          <w:u w:val="none"/>
        </w:rPr>
        <w:t>periodic reporting</w:t>
      </w:r>
      <w:r w:rsidR="0087279E" w:rsidRPr="00FB2880">
        <w:rPr>
          <w:u w:val="none"/>
        </w:rPr>
        <w:t xml:space="preserve"> mechanisms</w:t>
      </w:r>
      <w:r w:rsidRPr="00FB2880">
        <w:rPr>
          <w:u w:val="none"/>
        </w:rPr>
        <w:t>;</w:t>
      </w:r>
    </w:p>
    <w:p w14:paraId="4ABD080C" w14:textId="77777777" w:rsidR="009219A9" w:rsidRPr="00FB2880" w:rsidRDefault="009219A9" w:rsidP="007435E5">
      <w:pPr>
        <w:pStyle w:val="COMParaDecision"/>
        <w:ind w:left="1134" w:hanging="567"/>
      </w:pPr>
      <w:r w:rsidRPr="00FB2880">
        <w:t>Requests</w:t>
      </w:r>
      <w:r w:rsidRPr="00FB2880">
        <w:rPr>
          <w:u w:val="none"/>
        </w:rPr>
        <w:t xml:space="preserve"> that the Director-General bring this report to the attention of the General Conference of UNESCO, in conformity with Article 30, paragraph 2 of the Convention.</w:t>
      </w:r>
    </w:p>
    <w:p w14:paraId="78A45008" w14:textId="0BC53A0B" w:rsidR="00935FFC" w:rsidRPr="00FB2880" w:rsidRDefault="00935FFC" w:rsidP="00812021">
      <w:pPr>
        <w:pageBreakBefore/>
        <w:spacing w:after="120"/>
        <w:jc w:val="center"/>
        <w:rPr>
          <w:rFonts w:ascii="Arial" w:hAnsi="Arial" w:cs="Arial"/>
          <w:sz w:val="22"/>
          <w:szCs w:val="22"/>
          <w:lang w:val="en-GB"/>
        </w:rPr>
      </w:pPr>
      <w:r w:rsidRPr="00FB2880">
        <w:rPr>
          <w:rFonts w:ascii="Arial" w:hAnsi="Arial" w:cs="Arial"/>
          <w:b/>
          <w:bCs/>
          <w:sz w:val="22"/>
          <w:szCs w:val="22"/>
          <w:u w:val="single"/>
          <w:lang w:val="en-GB"/>
        </w:rPr>
        <w:lastRenderedPageBreak/>
        <w:t>ANNEX</w:t>
      </w:r>
    </w:p>
    <w:p w14:paraId="529F4069" w14:textId="77777777" w:rsidR="00935FFC" w:rsidRPr="00FB2880" w:rsidRDefault="00935FFC" w:rsidP="00812021">
      <w:pPr>
        <w:spacing w:after="120"/>
        <w:jc w:val="center"/>
        <w:rPr>
          <w:rFonts w:ascii="Arial" w:hAnsi="Arial" w:cs="Arial"/>
          <w:sz w:val="22"/>
          <w:szCs w:val="22"/>
          <w:lang w:val="en-GB"/>
        </w:rPr>
      </w:pPr>
      <w:r w:rsidRPr="00FB2880">
        <w:rPr>
          <w:rFonts w:ascii="Arial" w:hAnsi="Arial" w:cs="Arial"/>
          <w:b/>
          <w:bCs/>
          <w:sz w:val="22"/>
          <w:szCs w:val="22"/>
          <w:lang w:val="en-GB"/>
        </w:rPr>
        <w:t>Report by the Committee to the General Assembly on its activities</w:t>
      </w:r>
    </w:p>
    <w:p w14:paraId="4276DF93" w14:textId="6DA98F5A" w:rsidR="00935FFC" w:rsidRPr="00FB2880" w:rsidRDefault="00935FFC" w:rsidP="00812021">
      <w:pPr>
        <w:keepNext/>
        <w:numPr>
          <w:ilvl w:val="0"/>
          <w:numId w:val="24"/>
        </w:numPr>
        <w:tabs>
          <w:tab w:val="num" w:pos="567"/>
        </w:tabs>
        <w:snapToGrid w:val="0"/>
        <w:spacing w:before="240" w:after="120"/>
        <w:ind w:left="561" w:hanging="561"/>
        <w:jc w:val="both"/>
        <w:rPr>
          <w:rFonts w:asciiTheme="minorBidi" w:hAnsiTheme="minorBidi" w:cstheme="minorBidi"/>
          <w:szCs w:val="22"/>
          <w:lang w:val="en-GB"/>
        </w:rPr>
      </w:pPr>
      <w:r w:rsidRPr="00FB2880">
        <w:rPr>
          <w:rFonts w:ascii="Arial" w:hAnsi="Arial" w:cs="Arial"/>
          <w:b/>
          <w:sz w:val="22"/>
          <w:szCs w:val="22"/>
          <w:lang w:val="en-GB"/>
        </w:rPr>
        <w:t>Introduction</w:t>
      </w:r>
    </w:p>
    <w:p w14:paraId="656BE5AA" w14:textId="77777777" w:rsidR="00935FFC" w:rsidRPr="00FB2880" w:rsidRDefault="00935FFC" w:rsidP="00935FFC">
      <w:pPr>
        <w:pStyle w:val="Marge"/>
        <w:numPr>
          <w:ilvl w:val="0"/>
          <w:numId w:val="23"/>
        </w:numPr>
        <w:tabs>
          <w:tab w:val="clear" w:pos="502"/>
          <w:tab w:val="clear" w:pos="567"/>
          <w:tab w:val="num" w:pos="1276"/>
        </w:tabs>
        <w:spacing w:after="120"/>
        <w:ind w:left="567" w:hanging="567"/>
        <w:rPr>
          <w:rFonts w:asciiTheme="minorBidi" w:hAnsiTheme="minorBidi" w:cstheme="minorBidi"/>
          <w:szCs w:val="22"/>
          <w:lang w:val="en-GB"/>
        </w:rPr>
      </w:pPr>
      <w:r w:rsidRPr="00FB2880">
        <w:rPr>
          <w:rFonts w:asciiTheme="minorBidi" w:hAnsiTheme="minorBidi" w:cstheme="minorBidi"/>
          <w:szCs w:val="22"/>
          <w:lang w:val="en-GB"/>
        </w:rPr>
        <w:t>The functions of the Committee are set out in the 2003 Convention for the Safeguarding of the Intangible Cultural Heritage, in particular in Article 7.</w:t>
      </w:r>
    </w:p>
    <w:p w14:paraId="6DAAAB0F" w14:textId="59220C1B" w:rsidR="00A6511E" w:rsidRPr="00FB2880" w:rsidRDefault="00A6511E" w:rsidP="00775FCC">
      <w:pPr>
        <w:pStyle w:val="Marge"/>
        <w:numPr>
          <w:ilvl w:val="0"/>
          <w:numId w:val="23"/>
        </w:numPr>
        <w:tabs>
          <w:tab w:val="clear" w:pos="502"/>
          <w:tab w:val="clear" w:pos="567"/>
          <w:tab w:val="num" w:pos="1276"/>
        </w:tabs>
        <w:spacing w:after="120"/>
        <w:ind w:left="567" w:hanging="567"/>
        <w:rPr>
          <w:lang w:val="en-GB"/>
        </w:rPr>
      </w:pPr>
      <w:r w:rsidRPr="00FB2880">
        <w:rPr>
          <w:lang w:val="en-GB"/>
        </w:rPr>
        <w:t xml:space="preserve">In 2024, </w:t>
      </w:r>
      <w:r w:rsidRPr="00FB2880">
        <w:rPr>
          <w:rFonts w:asciiTheme="minorBidi" w:hAnsiTheme="minorBidi" w:cstheme="minorBidi"/>
          <w:lang w:val="en-GB"/>
        </w:rPr>
        <w:t>the General Assembly renewed half of the Committee by electing twelve States Parties together with the ongoing members</w:t>
      </w:r>
      <w:r w:rsidRPr="00FB2880">
        <w:rPr>
          <w:lang w:val="en-GB"/>
        </w:rPr>
        <w:t xml:space="preserve">: Algeria*, Angola, Bangladesh, Barbados*, Burkina Faso, China*, Dominican Republic*, Ethiopia, France*, Germany, Haiti*, India, Malaysia, Mauritania, Nigeria*, Paraguay, Slovakia, Spain*, Ukraine*, Uganda*, United Arab Emirates*, Uzbekistan, Viet Nam and Zambia* </w:t>
      </w:r>
      <w:r w:rsidRPr="00FB2880">
        <w:rPr>
          <w:rFonts w:asciiTheme="minorBidi" w:hAnsiTheme="minorBidi" w:cstheme="minorBidi"/>
          <w:lang w:val="en-GB"/>
        </w:rPr>
        <w:t>(those indicated with an asterisk have a mandate between 2024 and 2028; the mandate for those without an asterisk is between 2022 and 2026)</w:t>
      </w:r>
      <w:r w:rsidRPr="00FB2880">
        <w:rPr>
          <w:lang w:val="en-GB"/>
        </w:rPr>
        <w:t>.</w:t>
      </w:r>
    </w:p>
    <w:p w14:paraId="6CDF0715" w14:textId="06C6F8FF" w:rsidR="00A6511E" w:rsidRPr="00FB2880" w:rsidRDefault="00A6511E" w:rsidP="00775FCC">
      <w:pPr>
        <w:pStyle w:val="Marge"/>
        <w:numPr>
          <w:ilvl w:val="0"/>
          <w:numId w:val="23"/>
        </w:numPr>
        <w:tabs>
          <w:tab w:val="clear" w:pos="502"/>
          <w:tab w:val="clear" w:pos="567"/>
          <w:tab w:val="num" w:pos="1276"/>
        </w:tabs>
        <w:spacing w:after="120"/>
        <w:ind w:left="567" w:hanging="567"/>
        <w:rPr>
          <w:lang w:val="en-GB"/>
        </w:rPr>
      </w:pPr>
      <w:r w:rsidRPr="00FB2880">
        <w:rPr>
          <w:lang w:val="en-GB"/>
        </w:rPr>
        <w:t>The ordinary session of the Committee was convened twice: from 2 to 6 December 2024 (Asunción, Republic of Paraguay) for its nineteenth session (hereafter ‘19.COM’), and from 8 to 12 December 2025 (New Delhi, Republic of India) for its twentieth session (hereafter ‘20.COM’). In addition, an electronic exchange of the Members of the Committee took place from 24 to 31 January 2025. The Bureau of the 19.COM was composed of: H.E. Ms Nancy Ovelar de Gorostiaga (Paraguay) as Chairperson; Germany, Uzbekistan, Viet Nam, Angola and Mauritania as Vice-Chairpersons; and Ms Ľubica Voľanská (Slovakia) as Rapporteur. The Bureau of the 20.COM was composed of: H.E. Mr Vishal V. Sharma (India) as Chairperson; France, Slovakia, Barbados, Ethiopia and Mauritania as Vice-Chairpersons; and Ms Aysha Kamali (United Arab Emirates) as Rapporteur</w:t>
      </w:r>
      <w:r w:rsidRPr="00FB2880">
        <w:rPr>
          <w:rStyle w:val="FootnoteReference"/>
          <w:rFonts w:asciiTheme="minorBidi" w:hAnsiTheme="minorBidi" w:cstheme="minorBidi"/>
          <w:szCs w:val="22"/>
          <w:lang w:val="en-GB"/>
        </w:rPr>
        <w:footnoteReference w:id="1"/>
      </w:r>
      <w:r w:rsidRPr="00FB2880">
        <w:rPr>
          <w:lang w:val="en-GB"/>
        </w:rPr>
        <w:t>.</w:t>
      </w:r>
    </w:p>
    <w:p w14:paraId="7FD06535" w14:textId="3F7611C8" w:rsidR="00F24EB5" w:rsidRPr="00FB2880" w:rsidRDefault="00F24EB5" w:rsidP="00775FCC">
      <w:pPr>
        <w:pStyle w:val="Marge"/>
        <w:numPr>
          <w:ilvl w:val="0"/>
          <w:numId w:val="23"/>
        </w:numPr>
        <w:tabs>
          <w:tab w:val="clear" w:pos="502"/>
          <w:tab w:val="num" w:pos="567"/>
        </w:tabs>
        <w:spacing w:before="120" w:after="120"/>
        <w:ind w:left="567" w:hanging="567"/>
        <w:rPr>
          <w:lang w:val="en-GB"/>
        </w:rPr>
      </w:pPr>
      <w:r w:rsidRPr="00FB2880">
        <w:rPr>
          <w:lang w:val="en-GB"/>
        </w:rPr>
        <w:t xml:space="preserve">The Bureau met during both sessions of the Committee from Tuesday to the last day of the session. During the reporting period, it also met </w:t>
      </w:r>
      <w:r w:rsidR="00862A0D" w:rsidRPr="00FB2880">
        <w:rPr>
          <w:lang w:val="en-GB"/>
        </w:rPr>
        <w:t xml:space="preserve">seven </w:t>
      </w:r>
      <w:r w:rsidRPr="00FB2880">
        <w:rPr>
          <w:lang w:val="en-GB"/>
        </w:rPr>
        <w:t xml:space="preserve">times </w:t>
      </w:r>
      <w:r w:rsidRPr="00FB2880">
        <w:rPr>
          <w:i/>
          <w:iCs/>
          <w:lang w:val="en-GB"/>
        </w:rPr>
        <w:t>in presentia</w:t>
      </w:r>
      <w:r w:rsidRPr="00FB2880">
        <w:rPr>
          <w:lang w:val="en-GB"/>
        </w:rPr>
        <w:t xml:space="preserve"> at UNESCO Headquarters</w:t>
      </w:r>
      <w:r w:rsidR="00B6782D" w:rsidRPr="00FB2880">
        <w:rPr>
          <w:lang w:val="en-GB"/>
        </w:rPr>
        <w:t>,</w:t>
      </w:r>
      <w:r w:rsidRPr="00FB2880">
        <w:rPr>
          <w:lang w:val="en-GB"/>
        </w:rPr>
        <w:t xml:space="preserve"> with the exception of the meeting</w:t>
      </w:r>
      <w:r w:rsidR="00752C6B" w:rsidRPr="00FB2880">
        <w:rPr>
          <w:lang w:val="en-GB"/>
        </w:rPr>
        <w:t>s</w:t>
      </w:r>
      <w:r w:rsidRPr="00FB2880">
        <w:rPr>
          <w:lang w:val="en-GB"/>
        </w:rPr>
        <w:t xml:space="preserve"> on 1 December 2024 </w:t>
      </w:r>
      <w:r w:rsidR="00752C6B" w:rsidRPr="00FB2880">
        <w:rPr>
          <w:lang w:val="en-GB"/>
        </w:rPr>
        <w:t>(</w:t>
      </w:r>
      <w:r w:rsidRPr="00FB2880">
        <w:rPr>
          <w:lang w:val="en-GB"/>
        </w:rPr>
        <w:t>Asunción, Republic of Paraguay)</w:t>
      </w:r>
      <w:r w:rsidR="00752C6B" w:rsidRPr="00FB2880">
        <w:rPr>
          <w:lang w:val="en-GB"/>
        </w:rPr>
        <w:t xml:space="preserve"> and 7 December 2025 (New Delhi, Republic of India)</w:t>
      </w:r>
      <w:r w:rsidRPr="00FB2880">
        <w:rPr>
          <w:lang w:val="en-GB"/>
        </w:rPr>
        <w:t>, on 5 March 2024 (19.COM 1.BUR), 4 June 2024 (19.COM 2.BUR), 1 October 2024 (</w:t>
      </w:r>
      <w:r w:rsidRPr="00FB2880">
        <w:rPr>
          <w:rFonts w:asciiTheme="minorBidi" w:hAnsiTheme="minorBidi" w:cstheme="minorBidi"/>
          <w:szCs w:val="22"/>
          <w:lang w:val="en-GB"/>
        </w:rPr>
        <w:t>19</w:t>
      </w:r>
      <w:r w:rsidRPr="00FB2880">
        <w:rPr>
          <w:lang w:val="en-GB"/>
        </w:rPr>
        <w:t>.COM 3.BUR), 30 October 2024 (19.COM 4.BUR), 11 March 2025 (20.COM 2.BUR), 11 June 2025 (20.COM 3.BUR) and 23 October 2025 (20.COM 4.BUR). In addition, an electronic consultation was held in January 2025 (20.COM 1.BUR).</w:t>
      </w:r>
    </w:p>
    <w:p w14:paraId="4AEE9353" w14:textId="02112C2C" w:rsidR="00935FFC" w:rsidRPr="00FB2880" w:rsidRDefault="00935FFC" w:rsidP="00935FFC">
      <w:pPr>
        <w:pStyle w:val="Marge"/>
        <w:numPr>
          <w:ilvl w:val="0"/>
          <w:numId w:val="23"/>
        </w:numPr>
        <w:tabs>
          <w:tab w:val="clear" w:pos="502"/>
          <w:tab w:val="num" w:pos="567"/>
        </w:tabs>
        <w:spacing w:before="120" w:after="120"/>
        <w:ind w:left="567" w:hanging="567"/>
        <w:rPr>
          <w:rFonts w:asciiTheme="minorBidi" w:hAnsiTheme="minorBidi" w:cstheme="minorBidi"/>
          <w:szCs w:val="22"/>
          <w:lang w:val="en-GB"/>
        </w:rPr>
      </w:pPr>
      <w:r w:rsidRPr="00FB2880">
        <w:rPr>
          <w:rFonts w:asciiTheme="minorBidi" w:hAnsiTheme="minorBidi" w:cstheme="minorBidi"/>
          <w:szCs w:val="22"/>
          <w:lang w:val="en-GB"/>
        </w:rPr>
        <w:t xml:space="preserve">The Committee and its Bureau examined a total of 91 items inscribed on their agendas, which were accompanied by </w:t>
      </w:r>
      <w:r w:rsidR="00A9609D" w:rsidRPr="00FB2880">
        <w:rPr>
          <w:rFonts w:asciiTheme="minorBidi" w:hAnsiTheme="minorBidi" w:cstheme="minorBidi"/>
          <w:szCs w:val="22"/>
          <w:lang w:val="en-GB"/>
        </w:rPr>
        <w:t>80</w:t>
      </w:r>
      <w:r w:rsidRPr="00FB2880">
        <w:rPr>
          <w:rFonts w:asciiTheme="minorBidi" w:hAnsiTheme="minorBidi" w:cstheme="minorBidi"/>
          <w:szCs w:val="22"/>
          <w:lang w:val="en-GB"/>
        </w:rPr>
        <w:t xml:space="preserve"> working documents or information documents, </w:t>
      </w:r>
      <w:r w:rsidR="00A9609D" w:rsidRPr="00FB2880">
        <w:rPr>
          <w:rFonts w:asciiTheme="minorBidi" w:hAnsiTheme="minorBidi" w:cstheme="minorBidi"/>
          <w:szCs w:val="22"/>
          <w:lang w:val="en-GB"/>
        </w:rPr>
        <w:t>13</w:t>
      </w:r>
      <w:r w:rsidR="00C65FAD" w:rsidRPr="00FB2880">
        <w:rPr>
          <w:rFonts w:asciiTheme="minorBidi" w:hAnsiTheme="minorBidi" w:cstheme="minorBidi"/>
          <w:szCs w:val="22"/>
          <w:lang w:val="en-GB"/>
        </w:rPr>
        <w:t xml:space="preserve"> </w:t>
      </w:r>
      <w:r w:rsidRPr="00FB2880">
        <w:rPr>
          <w:rFonts w:asciiTheme="minorBidi" w:hAnsiTheme="minorBidi" w:cstheme="minorBidi"/>
          <w:szCs w:val="22"/>
          <w:lang w:val="en-GB"/>
        </w:rPr>
        <w:t>nominations for the Urgent Safeguarding List</w:t>
      </w:r>
      <w:r w:rsidR="001D2D51" w:rsidRPr="00FB2880">
        <w:rPr>
          <w:rFonts w:asciiTheme="minorBidi" w:hAnsiTheme="minorBidi" w:cstheme="minorBidi"/>
          <w:szCs w:val="22"/>
          <w:lang w:val="en-GB"/>
        </w:rPr>
        <w:t xml:space="preserve"> </w:t>
      </w:r>
      <w:r w:rsidR="001D2D51" w:rsidRPr="00FB2880">
        <w:rPr>
          <w:lang w:val="en-GB"/>
        </w:rPr>
        <w:t xml:space="preserve">(including </w:t>
      </w:r>
      <w:r w:rsidR="008739E9" w:rsidRPr="00FB2880">
        <w:rPr>
          <w:lang w:val="en-GB"/>
        </w:rPr>
        <w:t xml:space="preserve">three </w:t>
      </w:r>
      <w:r w:rsidR="001D2D51" w:rsidRPr="00FB2880">
        <w:rPr>
          <w:lang w:val="en-GB"/>
        </w:rPr>
        <w:t>nominations combined with a request for International Assistance)</w:t>
      </w:r>
      <w:r w:rsidRPr="00FB2880">
        <w:rPr>
          <w:rFonts w:asciiTheme="minorBidi" w:hAnsiTheme="minorBidi" w:cstheme="minorBidi"/>
          <w:szCs w:val="22"/>
          <w:lang w:val="en-GB"/>
        </w:rPr>
        <w:t xml:space="preserve">, </w:t>
      </w:r>
      <w:r w:rsidR="00A9609D" w:rsidRPr="00FB2880">
        <w:rPr>
          <w:rFonts w:asciiTheme="minorBidi" w:hAnsiTheme="minorBidi" w:cstheme="minorBidi"/>
          <w:szCs w:val="22"/>
          <w:lang w:val="en-GB"/>
        </w:rPr>
        <w:t>111</w:t>
      </w:r>
      <w:r w:rsidRPr="00FB2880">
        <w:rPr>
          <w:rFonts w:asciiTheme="minorBidi" w:hAnsiTheme="minorBidi" w:cstheme="minorBidi"/>
          <w:szCs w:val="22"/>
          <w:lang w:val="en-GB"/>
        </w:rPr>
        <w:t xml:space="preserve"> nominations for the Representative List, </w:t>
      </w:r>
      <w:r w:rsidR="008739E9" w:rsidRPr="00FB2880">
        <w:rPr>
          <w:rFonts w:asciiTheme="minorBidi" w:hAnsiTheme="minorBidi" w:cstheme="minorBidi"/>
          <w:szCs w:val="22"/>
          <w:lang w:val="en-GB"/>
        </w:rPr>
        <w:t xml:space="preserve">four </w:t>
      </w:r>
      <w:r w:rsidRPr="00FB2880">
        <w:rPr>
          <w:rFonts w:asciiTheme="minorBidi" w:hAnsiTheme="minorBidi" w:cstheme="minorBidi"/>
          <w:szCs w:val="22"/>
          <w:lang w:val="en-GB"/>
        </w:rPr>
        <w:t>proposals for the Register of Good Safeguarding Practices,</w:t>
      </w:r>
      <w:r w:rsidR="00A9609D" w:rsidRPr="00FB2880">
        <w:rPr>
          <w:rFonts w:asciiTheme="minorBidi" w:hAnsiTheme="minorBidi" w:cstheme="minorBidi"/>
          <w:szCs w:val="22"/>
          <w:lang w:val="en-GB"/>
        </w:rPr>
        <w:t xml:space="preserve"> </w:t>
      </w:r>
      <w:r w:rsidR="008739E9" w:rsidRPr="00FB2880">
        <w:rPr>
          <w:rFonts w:asciiTheme="minorBidi" w:hAnsiTheme="minorBidi" w:cstheme="minorBidi"/>
          <w:szCs w:val="22"/>
          <w:lang w:val="en-GB"/>
        </w:rPr>
        <w:t xml:space="preserve">five </w:t>
      </w:r>
      <w:r w:rsidR="00CB1923" w:rsidRPr="00FB2880">
        <w:rPr>
          <w:rFonts w:asciiTheme="minorBidi" w:hAnsiTheme="minorBidi" w:cstheme="minorBidi"/>
          <w:szCs w:val="22"/>
          <w:lang w:val="en-GB"/>
        </w:rPr>
        <w:t xml:space="preserve">requests for the </w:t>
      </w:r>
      <w:r w:rsidR="00A9609D" w:rsidRPr="00FB2880">
        <w:rPr>
          <w:rFonts w:asciiTheme="minorBidi" w:hAnsiTheme="minorBidi" w:cstheme="minorBidi"/>
          <w:szCs w:val="22"/>
          <w:lang w:val="en-GB"/>
        </w:rPr>
        <w:t xml:space="preserve">transfer </w:t>
      </w:r>
      <w:r w:rsidR="00CB1923" w:rsidRPr="00FB2880">
        <w:rPr>
          <w:rFonts w:asciiTheme="minorBidi" w:hAnsiTheme="minorBidi" w:cstheme="minorBidi"/>
          <w:szCs w:val="22"/>
          <w:lang w:val="en-GB"/>
        </w:rPr>
        <w:t>of an element from one list to the other</w:t>
      </w:r>
      <w:r w:rsidR="00A9609D" w:rsidRPr="00FB2880">
        <w:rPr>
          <w:rFonts w:asciiTheme="minorBidi" w:hAnsiTheme="minorBidi" w:cstheme="minorBidi"/>
          <w:szCs w:val="22"/>
          <w:lang w:val="en-GB"/>
        </w:rPr>
        <w:t>, 2</w:t>
      </w:r>
      <w:r w:rsidR="001D2D51" w:rsidRPr="00FB2880">
        <w:rPr>
          <w:rFonts w:asciiTheme="minorBidi" w:hAnsiTheme="minorBidi" w:cstheme="minorBidi"/>
          <w:szCs w:val="22"/>
          <w:lang w:val="en-GB"/>
        </w:rPr>
        <w:t>4</w:t>
      </w:r>
      <w:r w:rsidRPr="00FB2880">
        <w:rPr>
          <w:rFonts w:asciiTheme="minorBidi" w:hAnsiTheme="minorBidi" w:cstheme="minorBidi"/>
          <w:szCs w:val="22"/>
          <w:lang w:val="en-GB"/>
        </w:rPr>
        <w:t xml:space="preserve"> </w:t>
      </w:r>
      <w:r w:rsidR="00CB1923" w:rsidRPr="00FB2880">
        <w:rPr>
          <w:rFonts w:asciiTheme="minorBidi" w:hAnsiTheme="minorBidi" w:cstheme="minorBidi"/>
          <w:szCs w:val="22"/>
          <w:lang w:val="en-GB"/>
        </w:rPr>
        <w:t xml:space="preserve">‘stand-alone’ </w:t>
      </w:r>
      <w:r w:rsidRPr="00FB2880">
        <w:rPr>
          <w:rFonts w:asciiTheme="minorBidi" w:hAnsiTheme="minorBidi" w:cstheme="minorBidi"/>
          <w:szCs w:val="22"/>
          <w:lang w:val="en-GB"/>
        </w:rPr>
        <w:t>requests for International Assistance, 10</w:t>
      </w:r>
      <w:r w:rsidR="00A9609D" w:rsidRPr="00FB2880">
        <w:rPr>
          <w:rFonts w:asciiTheme="minorBidi" w:hAnsiTheme="minorBidi" w:cstheme="minorBidi"/>
          <w:szCs w:val="22"/>
          <w:lang w:val="en-GB"/>
        </w:rPr>
        <w:t>8</w:t>
      </w:r>
      <w:r w:rsidR="00C65FAD" w:rsidRPr="00FB2880">
        <w:rPr>
          <w:rFonts w:asciiTheme="minorBidi" w:hAnsiTheme="minorBidi" w:cstheme="minorBidi"/>
          <w:szCs w:val="22"/>
          <w:lang w:val="en-GB"/>
        </w:rPr>
        <w:t xml:space="preserve"> </w:t>
      </w:r>
      <w:r w:rsidRPr="00FB2880">
        <w:rPr>
          <w:rFonts w:asciiTheme="minorBidi" w:hAnsiTheme="minorBidi" w:cstheme="minorBidi"/>
          <w:szCs w:val="22"/>
          <w:lang w:val="en-GB"/>
        </w:rPr>
        <w:t xml:space="preserve">periodic reports submitted by States Parties, and </w:t>
      </w:r>
      <w:r w:rsidR="00A9609D" w:rsidRPr="00FB2880">
        <w:rPr>
          <w:rFonts w:asciiTheme="minorBidi" w:hAnsiTheme="minorBidi" w:cstheme="minorBidi"/>
          <w:szCs w:val="22"/>
          <w:lang w:val="en-GB"/>
        </w:rPr>
        <w:t>185</w:t>
      </w:r>
      <w:r w:rsidRPr="00FB2880">
        <w:rPr>
          <w:rFonts w:asciiTheme="minorBidi" w:hAnsiTheme="minorBidi" w:cstheme="minorBidi"/>
          <w:szCs w:val="22"/>
          <w:lang w:val="en-GB"/>
        </w:rPr>
        <w:t xml:space="preserve"> requests for accreditation or renewal from non-governmental organizations (hereafter ‘NGOs’).</w:t>
      </w:r>
    </w:p>
    <w:p w14:paraId="3D96C1A0" w14:textId="7463D49B" w:rsidR="00935FFC" w:rsidRPr="00FB2880" w:rsidRDefault="00935FFC" w:rsidP="00812021">
      <w:pPr>
        <w:widowControl w:val="0"/>
        <w:numPr>
          <w:ilvl w:val="0"/>
          <w:numId w:val="24"/>
        </w:numPr>
        <w:tabs>
          <w:tab w:val="num" w:pos="567"/>
        </w:tabs>
        <w:snapToGrid w:val="0"/>
        <w:spacing w:before="240" w:after="120"/>
        <w:ind w:left="567" w:hanging="567"/>
        <w:jc w:val="both"/>
        <w:rPr>
          <w:rFonts w:ascii="Arial" w:hAnsi="Arial" w:cs="Arial"/>
          <w:b/>
          <w:sz w:val="22"/>
          <w:szCs w:val="22"/>
          <w:lang w:val="en-GB"/>
        </w:rPr>
      </w:pPr>
      <w:r w:rsidRPr="00FB2880">
        <w:rPr>
          <w:rFonts w:ascii="Arial" w:hAnsi="Arial" w:cs="Arial"/>
          <w:b/>
          <w:sz w:val="22"/>
          <w:szCs w:val="22"/>
          <w:lang w:val="en-GB"/>
        </w:rPr>
        <w:t xml:space="preserve">Promoting the objectives of the Convention, encouraging and monitoring its implementation, and providing guidance on safeguarding measures and good practices </w:t>
      </w:r>
      <w:r w:rsidRPr="00FB2880">
        <w:rPr>
          <w:rFonts w:ascii="Arial" w:hAnsi="Arial" w:cs="Arial"/>
          <w:sz w:val="22"/>
          <w:szCs w:val="22"/>
          <w:lang w:val="en-GB"/>
        </w:rPr>
        <w:t>(Article 7[a] and 7[b])</w:t>
      </w:r>
    </w:p>
    <w:p w14:paraId="5B8EF53C" w14:textId="77777777" w:rsidR="00935FFC" w:rsidRPr="00FB2880" w:rsidRDefault="00935FFC" w:rsidP="00812021">
      <w:pPr>
        <w:pStyle w:val="ListParagraph"/>
        <w:widowControl w:val="0"/>
        <w:numPr>
          <w:ilvl w:val="0"/>
          <w:numId w:val="25"/>
        </w:numPr>
        <w:tabs>
          <w:tab w:val="num" w:pos="567"/>
        </w:tabs>
        <w:snapToGrid w:val="0"/>
        <w:spacing w:before="120" w:after="120"/>
        <w:ind w:left="567" w:hanging="567"/>
        <w:contextualSpacing w:val="0"/>
        <w:rPr>
          <w:rFonts w:ascii="Arial" w:hAnsi="Arial" w:cs="Arial"/>
          <w:b/>
          <w:sz w:val="22"/>
          <w:szCs w:val="22"/>
          <w:lang w:val="en-GB"/>
        </w:rPr>
      </w:pPr>
      <w:r w:rsidRPr="00FB2880">
        <w:rPr>
          <w:rFonts w:ascii="Arial" w:hAnsi="Arial" w:cs="Arial"/>
          <w:b/>
          <w:sz w:val="22"/>
          <w:szCs w:val="22"/>
          <w:lang w:val="en-GB"/>
        </w:rPr>
        <w:t>Ratification</w:t>
      </w:r>
    </w:p>
    <w:p w14:paraId="05A265CA" w14:textId="7D52B951" w:rsidR="005D7864" w:rsidRPr="00FB2880" w:rsidRDefault="005D7864" w:rsidP="00217B14">
      <w:pPr>
        <w:pStyle w:val="Marge"/>
        <w:widowControl w:val="0"/>
        <w:numPr>
          <w:ilvl w:val="0"/>
          <w:numId w:val="23"/>
        </w:numPr>
        <w:tabs>
          <w:tab w:val="clear" w:pos="502"/>
          <w:tab w:val="num" w:pos="567"/>
        </w:tabs>
        <w:spacing w:before="120" w:after="120"/>
        <w:ind w:left="567" w:hanging="567"/>
        <w:rPr>
          <w:lang w:val="en-GB"/>
        </w:rPr>
      </w:pPr>
      <w:r w:rsidRPr="00FB2880">
        <w:rPr>
          <w:lang w:val="en-GB"/>
        </w:rPr>
        <w:t xml:space="preserve">Following the ratifications of Libya, Sierra Leone, South Africa and the United Kingdom of Great Britain </w:t>
      </w:r>
      <w:r w:rsidRPr="00FB2880">
        <w:rPr>
          <w:rFonts w:asciiTheme="minorBidi" w:hAnsiTheme="minorBidi" w:cstheme="minorBidi"/>
          <w:szCs w:val="22"/>
          <w:lang w:val="en-GB"/>
        </w:rPr>
        <w:t>and</w:t>
      </w:r>
      <w:r w:rsidRPr="00FB2880">
        <w:rPr>
          <w:lang w:val="en-GB"/>
        </w:rPr>
        <w:t xml:space="preserve"> Northern Ireland, 185 States are party to the Convention as of 31 December 2025.</w:t>
      </w:r>
    </w:p>
    <w:p w14:paraId="7F545EFF" w14:textId="67D85312" w:rsidR="00441941" w:rsidRPr="00FB2880" w:rsidRDefault="00441941" w:rsidP="00812021">
      <w:pPr>
        <w:pStyle w:val="ListParagraph"/>
        <w:widowControl w:val="0"/>
        <w:numPr>
          <w:ilvl w:val="0"/>
          <w:numId w:val="25"/>
        </w:numPr>
        <w:spacing w:before="120" w:after="120"/>
        <w:ind w:left="561" w:hanging="561"/>
        <w:contextualSpacing w:val="0"/>
        <w:jc w:val="both"/>
        <w:rPr>
          <w:rFonts w:asciiTheme="minorBidi" w:hAnsiTheme="minorBidi" w:cstheme="minorBidi"/>
          <w:b/>
          <w:sz w:val="22"/>
          <w:szCs w:val="22"/>
          <w:lang w:val="en-GB"/>
        </w:rPr>
      </w:pPr>
      <w:r w:rsidRPr="00FB2880">
        <w:rPr>
          <w:rFonts w:ascii="Arial" w:hAnsi="Arial" w:cs="Arial"/>
          <w:b/>
          <w:sz w:val="22"/>
          <w:szCs w:val="22"/>
          <w:lang w:val="en-GB"/>
        </w:rPr>
        <w:t xml:space="preserve">Strengthening the capacity-building programme and integrating living heritage </w:t>
      </w:r>
      <w:r w:rsidRPr="00FB2880">
        <w:rPr>
          <w:rFonts w:asciiTheme="minorBidi" w:hAnsiTheme="minorBidi" w:cstheme="minorBidi"/>
          <w:b/>
          <w:sz w:val="22"/>
          <w:szCs w:val="22"/>
          <w:lang w:val="en-GB"/>
        </w:rPr>
        <w:t>into development plans, policies and programmes</w:t>
      </w:r>
    </w:p>
    <w:p w14:paraId="52C9B53B" w14:textId="4623D8B5" w:rsidR="00441941" w:rsidRPr="00FB2880" w:rsidRDefault="00441941" w:rsidP="00217B14">
      <w:pPr>
        <w:pStyle w:val="Marge"/>
        <w:widowControl w:val="0"/>
        <w:numPr>
          <w:ilvl w:val="0"/>
          <w:numId w:val="23"/>
        </w:numPr>
        <w:tabs>
          <w:tab w:val="clear" w:pos="502"/>
          <w:tab w:val="num" w:pos="567"/>
        </w:tabs>
        <w:spacing w:before="120" w:after="120"/>
        <w:ind w:left="567" w:hanging="567"/>
        <w:rPr>
          <w:lang w:val="en-GB"/>
        </w:rPr>
      </w:pPr>
      <w:r w:rsidRPr="00FB2880">
        <w:rPr>
          <w:lang w:val="en-GB"/>
        </w:rPr>
        <w:t xml:space="preserve">The tenth session of the General Assembly (11 to 12 June 2024, UNESCO Headquarters; </w:t>
      </w:r>
      <w:r w:rsidRPr="00FB2880">
        <w:rPr>
          <w:lang w:val="en-GB"/>
        </w:rPr>
        <w:lastRenderedPageBreak/>
        <w:t xml:space="preserve">hereafter ‘10.GA’) approved a plan for the use of the resources of the Intangible Cultural Heritage Fund (hereafter ‘the Fund’) for the period 1 January 2024 to 31 December 2025, which devoted 20 per cent of the budget (corresponding to US$1,637,916) to the line ‘other functions of the Committee’ (Resolution </w:t>
      </w:r>
      <w:hyperlink r:id="rId12" w:history="1">
        <w:r w:rsidRPr="00FB2880">
          <w:rPr>
            <w:rStyle w:val="Hyperlink"/>
            <w:lang w:val="en-GB"/>
          </w:rPr>
          <w:t>10.GA 8</w:t>
        </w:r>
      </w:hyperlink>
      <w:r w:rsidRPr="00FB2880">
        <w:rPr>
          <w:lang w:val="en-GB"/>
        </w:rPr>
        <w:t>). A total sum of US$851,716 (representing 52 per cent of the line ‘other functions of the Committee’) was allocated for the biennium to strengthen the capacity</w:t>
      </w:r>
      <w:r w:rsidR="007216D4" w:rsidRPr="00FB2880">
        <w:rPr>
          <w:lang w:val="en-GB"/>
        </w:rPr>
        <w:t>-</w:t>
      </w:r>
      <w:r w:rsidRPr="00FB2880">
        <w:rPr>
          <w:lang w:val="en-GB"/>
        </w:rPr>
        <w:t>building programme and the integration of intangible cultural heritage into development plans, policies and programmes.</w:t>
      </w:r>
    </w:p>
    <w:p w14:paraId="128DC9C8" w14:textId="15FCBFC2" w:rsidR="00441941" w:rsidRPr="00FB2880" w:rsidRDefault="00441941" w:rsidP="00775FCC">
      <w:pPr>
        <w:pStyle w:val="Marge"/>
        <w:numPr>
          <w:ilvl w:val="0"/>
          <w:numId w:val="23"/>
        </w:numPr>
        <w:tabs>
          <w:tab w:val="clear" w:pos="502"/>
          <w:tab w:val="num" w:pos="567"/>
        </w:tabs>
        <w:spacing w:before="120" w:after="120"/>
        <w:ind w:left="567" w:hanging="567"/>
        <w:rPr>
          <w:lang w:val="en-GB"/>
        </w:rPr>
      </w:pPr>
      <w:r w:rsidRPr="00FB2880">
        <w:rPr>
          <w:lang w:val="en-GB"/>
        </w:rPr>
        <w:t xml:space="preserve">Capacity building continues to be central to the mandate of the 2003 Convention as one of the two global funding priorities of the Convention for the quadrennium 2022-2025 – ‘Strengthening capacities to safeguard intangible cultural heritage using multi-modal approaches and contribute to sustainable development’ (Decision </w:t>
      </w:r>
      <w:hyperlink r:id="rId13" w:history="1">
        <w:r w:rsidRPr="00FB2880">
          <w:rPr>
            <w:rStyle w:val="Hyperlink"/>
            <w:lang w:val="en-GB"/>
          </w:rPr>
          <w:t>16.COM 12</w:t>
        </w:r>
      </w:hyperlink>
      <w:r w:rsidRPr="00FB2880">
        <w:rPr>
          <w:lang w:val="en-GB"/>
        </w:rPr>
        <w:t>). The high submission rate of periodic reports from States in the two regions that carried out the exercise during the reporting period, which reached 100</w:t>
      </w:r>
      <w:r w:rsidR="007216D4" w:rsidRPr="00FB2880">
        <w:rPr>
          <w:lang w:val="en-GB"/>
        </w:rPr>
        <w:t xml:space="preserve"> per cent </w:t>
      </w:r>
      <w:r w:rsidRPr="00FB2880">
        <w:rPr>
          <w:lang w:val="en-GB"/>
        </w:rPr>
        <w:t>for Africa in 2024 and 90</w:t>
      </w:r>
      <w:r w:rsidR="007216D4" w:rsidRPr="00FB2880">
        <w:rPr>
          <w:lang w:val="en-GB"/>
        </w:rPr>
        <w:t xml:space="preserve"> per cent </w:t>
      </w:r>
      <w:r w:rsidRPr="00FB2880">
        <w:rPr>
          <w:lang w:val="en-GB"/>
        </w:rPr>
        <w:t xml:space="preserve">for Asia and the Pacific in 2025, confirmed the effectiveness of the capacity-building approach adopted. Furthermore, the launch of the </w:t>
      </w:r>
      <w:hyperlink r:id="rId14" w:history="1">
        <w:r w:rsidRPr="00FB2880">
          <w:rPr>
            <w:rStyle w:val="Hyperlink"/>
            <w:rFonts w:asciiTheme="minorBidi" w:eastAsia="Calibri" w:hAnsiTheme="minorBidi" w:cstheme="minorBidi"/>
            <w:lang w:val="en-GB"/>
          </w:rPr>
          <w:t>UNESCO Learning platform</w:t>
        </w:r>
      </w:hyperlink>
      <w:r w:rsidRPr="00FB2880">
        <w:rPr>
          <w:lang w:val="en-GB"/>
        </w:rPr>
        <w:t xml:space="preserve"> </w:t>
      </w:r>
      <w:r w:rsidR="00365599" w:rsidRPr="00FB2880">
        <w:rPr>
          <w:lang w:val="en-GB"/>
        </w:rPr>
        <w:t xml:space="preserve">for safeguarding intangible cultural heritage </w:t>
      </w:r>
      <w:r w:rsidRPr="00FB2880">
        <w:rPr>
          <w:lang w:val="en-GB"/>
        </w:rPr>
        <w:t xml:space="preserve">contributed to broadening the outreach of the programme to new audiences, and bolstering networking and knowledge exchange. The 19.COM welcomed the completion of the training of new facilitators in the global network of facilitators and the reorientation of the global capacity-building programme to a fully multimodal delivery approach (Decision </w:t>
      </w:r>
      <w:hyperlink r:id="rId15" w:history="1">
        <w:r w:rsidRPr="00FB2880">
          <w:rPr>
            <w:rStyle w:val="Hyperlink"/>
            <w:lang w:val="en-GB"/>
          </w:rPr>
          <w:t>19.COM 5</w:t>
        </w:r>
      </w:hyperlink>
      <w:r w:rsidRPr="00FB2880">
        <w:rPr>
          <w:lang w:val="en-GB"/>
        </w:rPr>
        <w:t>).</w:t>
      </w:r>
    </w:p>
    <w:p w14:paraId="3F803F9B" w14:textId="0CC88B05" w:rsidR="00441941" w:rsidRPr="00FB2880" w:rsidRDefault="00441941" w:rsidP="00775FCC">
      <w:pPr>
        <w:pStyle w:val="Marge"/>
        <w:numPr>
          <w:ilvl w:val="0"/>
          <w:numId w:val="23"/>
        </w:numPr>
        <w:tabs>
          <w:tab w:val="clear" w:pos="502"/>
          <w:tab w:val="num" w:pos="567"/>
        </w:tabs>
        <w:spacing w:before="120" w:after="120"/>
        <w:ind w:left="567" w:hanging="567"/>
        <w:rPr>
          <w:lang w:val="en-GB"/>
        </w:rPr>
      </w:pPr>
      <w:r w:rsidRPr="00FB2880">
        <w:rPr>
          <w:lang w:val="en-GB"/>
        </w:rPr>
        <w:t xml:space="preserve">At the same time, the integration of intangible cultural heritage into development plans, policies and programmes is key to promoting the objectives of the Convention in the context of the integration of culture in the post-2030 United Nations development framework in the sense of the 2025 MONDIACULT </w:t>
      </w:r>
      <w:hyperlink r:id="rId16" w:history="1">
        <w:r w:rsidRPr="00FB2880">
          <w:rPr>
            <w:rStyle w:val="Hyperlink"/>
            <w:lang w:val="en-GB"/>
          </w:rPr>
          <w:t>outcome document</w:t>
        </w:r>
      </w:hyperlink>
      <w:r w:rsidRPr="00FB2880">
        <w:rPr>
          <w:lang w:val="en-GB"/>
        </w:rPr>
        <w:t>. In line with the second global funding priority approved by the Committee – ‘Safeguarding intangible cultural heritage in formal and non-formal education’ – living heritage was integrated into international education frameworks, such as the Framework for Culture and Arts Education (2024)</w:t>
      </w:r>
      <w:r w:rsidR="00365599" w:rsidRPr="00FB2880">
        <w:rPr>
          <w:lang w:val="en-GB"/>
        </w:rPr>
        <w:t>.</w:t>
      </w:r>
      <w:r w:rsidRPr="00FB2880">
        <w:rPr>
          <w:lang w:val="en-GB"/>
        </w:rPr>
        <w:t xml:space="preserve"> </w:t>
      </w:r>
      <w:r w:rsidR="00365599" w:rsidRPr="00FB2880">
        <w:rPr>
          <w:lang w:val="en-GB"/>
        </w:rPr>
        <w:t>T</w:t>
      </w:r>
      <w:r w:rsidRPr="00FB2880">
        <w:rPr>
          <w:lang w:val="en-GB"/>
        </w:rPr>
        <w:t xml:space="preserve">his process was supported by the continuous management of the </w:t>
      </w:r>
      <w:hyperlink r:id="rId17" w:history="1">
        <w:r w:rsidRPr="00FB2880">
          <w:rPr>
            <w:rStyle w:val="Hyperlink"/>
            <w:lang w:val="en-GB"/>
          </w:rPr>
          <w:t>Clearinghouse</w:t>
        </w:r>
      </w:hyperlink>
      <w:r w:rsidRPr="00FB2880">
        <w:rPr>
          <w:lang w:val="en-GB"/>
        </w:rPr>
        <w:t xml:space="preserve"> on living heritage and education</w:t>
      </w:r>
      <w:r w:rsidR="00AA14DC" w:rsidRPr="00FB2880">
        <w:rPr>
          <w:lang w:val="en-GB"/>
        </w:rPr>
        <w:t>,</w:t>
      </w:r>
      <w:r w:rsidRPr="00FB2880">
        <w:rPr>
          <w:lang w:val="en-GB"/>
        </w:rPr>
        <w:t xml:space="preserve"> updated with additional projects and resources</w:t>
      </w:r>
      <w:r w:rsidR="00AA14DC" w:rsidRPr="00FB2880">
        <w:rPr>
          <w:lang w:val="en-GB"/>
        </w:rPr>
        <w:t>,</w:t>
      </w:r>
      <w:r w:rsidRPr="00FB2880">
        <w:rPr>
          <w:lang w:val="en-GB"/>
        </w:rPr>
        <w:t xml:space="preserve"> and an online reflection meeting in 2025.</w:t>
      </w:r>
    </w:p>
    <w:p w14:paraId="3DAB3310" w14:textId="6D925781" w:rsidR="00441941" w:rsidRPr="00FB2880" w:rsidRDefault="00441941" w:rsidP="00441941">
      <w:pPr>
        <w:pStyle w:val="Marge"/>
        <w:numPr>
          <w:ilvl w:val="0"/>
          <w:numId w:val="23"/>
        </w:numPr>
        <w:tabs>
          <w:tab w:val="clear" w:pos="502"/>
          <w:tab w:val="num" w:pos="567"/>
        </w:tabs>
        <w:spacing w:before="120" w:after="120"/>
        <w:ind w:left="567" w:hanging="567"/>
        <w:rPr>
          <w:lang w:val="en-GB"/>
        </w:rPr>
      </w:pPr>
      <w:r w:rsidRPr="00FB2880">
        <w:rPr>
          <w:lang w:val="en-GB"/>
        </w:rPr>
        <w:t xml:space="preserve">Progress was also made on the thematic initiatives under the 2003 Convention. Following a two-part expert meeting on safeguarding intangible cultural heritage and climate change, organized respectively on 19 and 20 June 2024 (UNESCO Headquarters), and on 25 and 26 September 2024 (online), a </w:t>
      </w:r>
      <w:hyperlink r:id="rId18" w:history="1">
        <w:r w:rsidRPr="00FB2880">
          <w:rPr>
            <w:rStyle w:val="Hyperlink"/>
            <w:lang w:val="en-GB"/>
          </w:rPr>
          <w:t>Guidance note</w:t>
        </w:r>
      </w:hyperlink>
      <w:r w:rsidRPr="00FB2880">
        <w:rPr>
          <w:lang w:val="en-GB"/>
        </w:rPr>
        <w:t xml:space="preserve"> on climate action for living heritage, proposing a comprehensive, rights-based and people-centred approach to climate action for living heritage, was presented to the 19.COM. In addition, a two-part expert meeting on safeguarding intangible cultural heritage in urban contexts was held, respectively on 16 and 17 June 2025 (UNESCO Headquarters), and on 18 and 19 September 2025 (online). This meeting led to the presentation of a </w:t>
      </w:r>
      <w:hyperlink r:id="rId19" w:history="1">
        <w:r w:rsidRPr="00FB2880">
          <w:rPr>
            <w:rStyle w:val="Hyperlink"/>
            <w:lang w:val="en-GB"/>
          </w:rPr>
          <w:t>Guidance note</w:t>
        </w:r>
      </w:hyperlink>
      <w:r w:rsidRPr="00FB2880">
        <w:rPr>
          <w:lang w:val="en-GB"/>
        </w:rPr>
        <w:t xml:space="preserve"> on safeguarding intangible cultural heritage in urban contexts during the 20.COM (</w:t>
      </w:r>
      <w:r w:rsidR="009B287C" w:rsidRPr="00FB2880">
        <w:rPr>
          <w:rFonts w:cs="Arial"/>
          <w:szCs w:val="22"/>
          <w:lang w:val="en-GB"/>
        </w:rPr>
        <w:t xml:space="preserve">Decision </w:t>
      </w:r>
      <w:hyperlink r:id="rId20" w:history="1">
        <w:r w:rsidR="009B287C" w:rsidRPr="00FB2880">
          <w:rPr>
            <w:rStyle w:val="Hyperlink"/>
            <w:rFonts w:cs="Arial"/>
            <w:szCs w:val="22"/>
            <w:lang w:val="en-GB"/>
          </w:rPr>
          <w:t>20.COM 12</w:t>
        </w:r>
      </w:hyperlink>
      <w:r w:rsidRPr="00FB2880">
        <w:rPr>
          <w:lang w:val="en-GB"/>
        </w:rPr>
        <w:t xml:space="preserve">), setting out a vision for the integration of intangible cultural heritage safeguarding into urban plans and for sustainable urban development. Furthermore, under the ongoing initiative of economic dimensions of safeguarding intangible cultural heritage, stakeholder-tailored and sector specific guidance is being developed in the form of toolkits for heritage-sensitive planning for economic activities on the basis of the </w:t>
      </w:r>
      <w:hyperlink r:id="rId21" w:history="1">
        <w:r w:rsidRPr="00FB2880">
          <w:rPr>
            <w:rStyle w:val="Hyperlink"/>
            <w:lang w:val="en-GB"/>
          </w:rPr>
          <w:t>Guidance note</w:t>
        </w:r>
      </w:hyperlink>
      <w:r w:rsidRPr="00FB2880">
        <w:rPr>
          <w:lang w:val="en-GB"/>
        </w:rPr>
        <w:t xml:space="preserve"> presented to the Committee in 2023. Both the 19.COM and 20.COM took note of the progress made in all three initiatives (Decisions </w:t>
      </w:r>
      <w:hyperlink r:id="rId22" w:history="1">
        <w:r w:rsidRPr="00FB2880">
          <w:rPr>
            <w:rStyle w:val="Hyperlink"/>
            <w:lang w:val="en-GB"/>
          </w:rPr>
          <w:t>19.COM 11</w:t>
        </w:r>
      </w:hyperlink>
      <w:r w:rsidRPr="00FB2880">
        <w:rPr>
          <w:lang w:val="en-GB"/>
        </w:rPr>
        <w:t xml:space="preserve"> and </w:t>
      </w:r>
      <w:hyperlink r:id="rId23" w:history="1">
        <w:r w:rsidR="009B287C" w:rsidRPr="00FB2880">
          <w:rPr>
            <w:rStyle w:val="Hyperlink"/>
            <w:rFonts w:cs="Arial"/>
            <w:szCs w:val="22"/>
            <w:lang w:val="en-GB"/>
          </w:rPr>
          <w:t>20.COM 12</w:t>
        </w:r>
      </w:hyperlink>
      <w:r w:rsidRPr="00FB2880">
        <w:rPr>
          <w:lang w:val="en-GB"/>
        </w:rPr>
        <w:t>).</w:t>
      </w:r>
    </w:p>
    <w:p w14:paraId="61EEE421" w14:textId="77777777" w:rsidR="00441941" w:rsidRPr="00FB2880" w:rsidRDefault="00441941" w:rsidP="00812021">
      <w:pPr>
        <w:pStyle w:val="ListParagraph"/>
        <w:keepNext/>
        <w:numPr>
          <w:ilvl w:val="0"/>
          <w:numId w:val="25"/>
        </w:numPr>
        <w:spacing w:before="120" w:after="120"/>
        <w:ind w:left="561" w:hanging="561"/>
        <w:contextualSpacing w:val="0"/>
        <w:jc w:val="both"/>
        <w:rPr>
          <w:b/>
          <w:bCs/>
          <w:lang w:val="en-GB"/>
        </w:rPr>
      </w:pPr>
      <w:r w:rsidRPr="00FB2880">
        <w:rPr>
          <w:rFonts w:asciiTheme="minorBidi" w:hAnsiTheme="minorBidi" w:cstheme="minorBidi"/>
          <w:b/>
          <w:sz w:val="22"/>
          <w:szCs w:val="22"/>
          <w:lang w:val="en-GB"/>
        </w:rPr>
        <w:t>Facilitating</w:t>
      </w:r>
      <w:r w:rsidRPr="00FB2880">
        <w:rPr>
          <w:b/>
          <w:bCs/>
          <w:lang w:val="en-GB"/>
        </w:rPr>
        <w:t xml:space="preserve"> </w:t>
      </w:r>
      <w:r w:rsidRPr="00FB2880">
        <w:rPr>
          <w:rFonts w:asciiTheme="minorBidi" w:hAnsiTheme="minorBidi" w:cstheme="minorBidi"/>
          <w:b/>
          <w:sz w:val="22"/>
          <w:szCs w:val="22"/>
          <w:lang w:val="en-GB"/>
        </w:rPr>
        <w:t>the sound governance and raising awareness of the Convention</w:t>
      </w:r>
    </w:p>
    <w:p w14:paraId="66C54D24" w14:textId="77777777" w:rsidR="00441941" w:rsidRPr="00FB2880" w:rsidRDefault="00441941" w:rsidP="007435E5">
      <w:pPr>
        <w:pStyle w:val="Marge"/>
        <w:numPr>
          <w:ilvl w:val="0"/>
          <w:numId w:val="23"/>
        </w:numPr>
        <w:tabs>
          <w:tab w:val="clear" w:pos="502"/>
          <w:tab w:val="num" w:pos="567"/>
        </w:tabs>
        <w:spacing w:before="120" w:after="120"/>
        <w:ind w:left="567" w:hanging="567"/>
        <w:rPr>
          <w:lang w:val="en-GB"/>
        </w:rPr>
      </w:pPr>
      <w:r w:rsidRPr="00FB2880">
        <w:rPr>
          <w:lang w:val="en-GB"/>
        </w:rPr>
        <w:t xml:space="preserve">In the approved plan for the use of the resources of the Fund, a total sum of US$786,199 (representing 48 per cent of the line ‘other functions of the Committee’) was allocated to ensure the sound governance of the Convention and raise awareness about the Convention through outreach </w:t>
      </w:r>
      <w:r w:rsidRPr="00FB2880">
        <w:rPr>
          <w:snapToGrid/>
          <w:lang w:val="en-GB"/>
        </w:rPr>
        <w:t>actions</w:t>
      </w:r>
      <w:r w:rsidRPr="00FB2880">
        <w:rPr>
          <w:lang w:val="en-GB"/>
        </w:rPr>
        <w:t xml:space="preserve"> (Resolution </w:t>
      </w:r>
      <w:hyperlink r:id="rId24" w:history="1">
        <w:r w:rsidRPr="00FB2880">
          <w:rPr>
            <w:rStyle w:val="Hyperlink"/>
            <w:lang w:val="en-GB"/>
          </w:rPr>
          <w:t>10.GA 8</w:t>
        </w:r>
      </w:hyperlink>
      <w:r w:rsidRPr="00FB2880">
        <w:rPr>
          <w:lang w:val="en-GB"/>
        </w:rPr>
        <w:t>).</w:t>
      </w:r>
    </w:p>
    <w:p w14:paraId="0E097D84" w14:textId="3B157970" w:rsidR="00441941" w:rsidRPr="00FB2880" w:rsidRDefault="00441941" w:rsidP="009E0AD6">
      <w:pPr>
        <w:pStyle w:val="COMParaDecision"/>
        <w:numPr>
          <w:ilvl w:val="0"/>
          <w:numId w:val="23"/>
        </w:numPr>
        <w:tabs>
          <w:tab w:val="clear" w:pos="502"/>
          <w:tab w:val="num" w:pos="567"/>
        </w:tabs>
        <w:ind w:left="567" w:hanging="567"/>
        <w:rPr>
          <w:u w:val="none"/>
        </w:rPr>
      </w:pPr>
      <w:r w:rsidRPr="00FB2880">
        <w:rPr>
          <w:u w:val="none"/>
        </w:rPr>
        <w:t xml:space="preserve">Initiated in 2023, the reflection on a broader implementation of Article 18 of the Convention considers how to share good safeguarding experiences more broadly and how to bring the voices of communities and their aspirations for safeguarding their living heritage to the fore. </w:t>
      </w:r>
      <w:r w:rsidRPr="00FB2880">
        <w:rPr>
          <w:u w:val="none"/>
        </w:rPr>
        <w:lastRenderedPageBreak/>
        <w:t xml:space="preserve">Based on the recommendations of the 2023 Open-ended intergovernmental working group presented to the 18.COM and 10.GA, the Committee took note at the 19.COM of a roadmap indicating steps towards the establishment of an online platform for sharing good safeguarding experiences (Decision </w:t>
      </w:r>
      <w:hyperlink r:id="rId25" w:history="1">
        <w:r w:rsidRPr="00FB2880">
          <w:rPr>
            <w:rStyle w:val="Hyperlink"/>
          </w:rPr>
          <w:t>19.COM 10</w:t>
        </w:r>
      </w:hyperlink>
      <w:r w:rsidRPr="00FB2880">
        <w:rPr>
          <w:u w:val="none"/>
        </w:rPr>
        <w:t>). Progress in the establishment of the platform, including the ‘</w:t>
      </w:r>
      <w:hyperlink r:id="rId26" w:history="1">
        <w:r w:rsidRPr="00FB2880">
          <w:rPr>
            <w:rStyle w:val="Hyperlink"/>
            <w:u w:val="none"/>
          </w:rPr>
          <w:t>preliminary version</w:t>
        </w:r>
      </w:hyperlink>
      <w:r w:rsidRPr="00FB2880">
        <w:rPr>
          <w:u w:val="none"/>
        </w:rPr>
        <w:t xml:space="preserve">’ of the platform featuring a pilot group of safeguarding experiences, was presented to the 20.COM (Decision </w:t>
      </w:r>
      <w:hyperlink r:id="rId27" w:history="1">
        <w:r w:rsidRPr="00FB2880">
          <w:rPr>
            <w:rStyle w:val="Hyperlink"/>
          </w:rPr>
          <w:t>20.COM 11</w:t>
        </w:r>
      </w:hyperlink>
      <w:r w:rsidRPr="00FB2880">
        <w:rPr>
          <w:u w:val="none"/>
        </w:rPr>
        <w:t>).</w:t>
      </w:r>
    </w:p>
    <w:p w14:paraId="416EE786" w14:textId="5ADDACDF" w:rsidR="00441941" w:rsidRPr="00FB2880" w:rsidRDefault="00441941" w:rsidP="009E0AD6">
      <w:pPr>
        <w:pStyle w:val="COMParaDecision"/>
        <w:numPr>
          <w:ilvl w:val="0"/>
          <w:numId w:val="23"/>
        </w:numPr>
        <w:ind w:left="567" w:hanging="567"/>
        <w:rPr>
          <w:u w:val="none"/>
        </w:rPr>
      </w:pPr>
      <w:r w:rsidRPr="00FB2880">
        <w:rPr>
          <w:u w:val="none"/>
        </w:rPr>
        <w:t>The knowledge management services of the Convention were ensured to support its sound governance, while enhancing security and accessibility. This includes, among other points, the smooth running of the online periodic reporting interface, which was used by States Parties in Asia and the Pacific in 2024, as</w:t>
      </w:r>
      <w:r w:rsidR="00F23463" w:rsidRPr="00FB2880">
        <w:rPr>
          <w:u w:val="none"/>
        </w:rPr>
        <w:t xml:space="preserve"> well as</w:t>
      </w:r>
      <w:r w:rsidRPr="00FB2880">
        <w:rPr>
          <w:u w:val="none"/>
        </w:rPr>
        <w:t xml:space="preserve"> the development of functionalities associated with the outcomes of the global reflection on the listing mechanisms of the Convention. Various educational and knowledge management tools were also made available online in open access and user-friendly formats on different aspects of the implementation of the Convention</w:t>
      </w:r>
      <w:r w:rsidR="00F23463" w:rsidRPr="00FB2880">
        <w:rPr>
          <w:u w:val="none"/>
        </w:rPr>
        <w:t>,</w:t>
      </w:r>
      <w:r w:rsidRPr="00FB2880">
        <w:rPr>
          <w:u w:val="none"/>
        </w:rPr>
        <w:t xml:space="preserve"> including with reference to the Overall Results Framework.</w:t>
      </w:r>
    </w:p>
    <w:p w14:paraId="2FE267AC" w14:textId="02F310E2" w:rsidR="00441941" w:rsidRPr="00FB2880" w:rsidRDefault="003C0465" w:rsidP="009E0AD6">
      <w:pPr>
        <w:pStyle w:val="COMParaDecision"/>
        <w:numPr>
          <w:ilvl w:val="0"/>
          <w:numId w:val="23"/>
        </w:numPr>
        <w:ind w:left="567" w:hanging="567"/>
        <w:rPr>
          <w:u w:val="none"/>
        </w:rPr>
      </w:pPr>
      <w:r w:rsidRPr="00FB2880">
        <w:rPr>
          <w:u w:val="none"/>
        </w:rPr>
        <w:tab/>
      </w:r>
      <w:r w:rsidR="00441941" w:rsidRPr="00FB2880">
        <w:rPr>
          <w:u w:val="none"/>
        </w:rPr>
        <w:t xml:space="preserve">Raising awareness on the importance of intangible cultural heritage and promoting the objectives of the Convention are considered as safeguarding actions, as defined in Article 2.3 of the Convention. An important milestone was the proclamation of 17 October as the </w:t>
      </w:r>
      <w:hyperlink r:id="rId28" w:history="1">
        <w:r w:rsidR="00441941" w:rsidRPr="00FB2880">
          <w:rPr>
            <w:rStyle w:val="Hyperlink"/>
          </w:rPr>
          <w:t>International Day</w:t>
        </w:r>
      </w:hyperlink>
      <w:r w:rsidR="00441941" w:rsidRPr="00FB2880">
        <w:rPr>
          <w:u w:val="none"/>
        </w:rPr>
        <w:t xml:space="preserve"> of the Intangible Cultural Heritage by the General Conference of UNESCO in November 2023. During the first and second editions, held on 17 October 2024 and 17 October 2025 respectively, web-based campaigns were launched to highlight more than 200 activities</w:t>
      </w:r>
      <w:r w:rsidR="00A849DA" w:rsidRPr="00FB2880">
        <w:rPr>
          <w:u w:val="none"/>
        </w:rPr>
        <w:t xml:space="preserve"> (100 activities in </w:t>
      </w:r>
      <w:hyperlink r:id="rId29" w:history="1">
        <w:r w:rsidR="00A849DA" w:rsidRPr="00FB2880">
          <w:rPr>
            <w:rStyle w:val="Hyperlink"/>
          </w:rPr>
          <w:t>2024</w:t>
        </w:r>
      </w:hyperlink>
      <w:r w:rsidR="00A849DA" w:rsidRPr="00FB2880">
        <w:rPr>
          <w:u w:val="none"/>
        </w:rPr>
        <w:t xml:space="preserve"> and 134 activities in </w:t>
      </w:r>
      <w:hyperlink r:id="rId30" w:history="1">
        <w:r w:rsidR="00A849DA" w:rsidRPr="00FB2880">
          <w:rPr>
            <w:rStyle w:val="Hyperlink"/>
          </w:rPr>
          <w:t>2025</w:t>
        </w:r>
      </w:hyperlink>
      <w:r w:rsidR="00A849DA" w:rsidRPr="00FB2880">
        <w:rPr>
          <w:u w:val="none"/>
        </w:rPr>
        <w:t>)</w:t>
      </w:r>
      <w:r w:rsidR="00441941" w:rsidRPr="00FB2880">
        <w:rPr>
          <w:u w:val="none"/>
        </w:rPr>
        <w:t xml:space="preserve"> held around the world by States Parties, communities, NGOs, cultural institutions, category 2 centres, UNESCO Chairs and educational actors, in order to underscore the diversity and richness of living heritage and to raise awareness of the importance of its safeguarding.</w:t>
      </w:r>
    </w:p>
    <w:p w14:paraId="69B6D8EE" w14:textId="25CDD188" w:rsidR="00BA22C0" w:rsidRPr="00FB2880" w:rsidRDefault="003C0465" w:rsidP="009E0AD6">
      <w:pPr>
        <w:pStyle w:val="COMParaDecision"/>
        <w:numPr>
          <w:ilvl w:val="0"/>
          <w:numId w:val="23"/>
        </w:numPr>
        <w:ind w:left="567" w:hanging="567"/>
        <w:rPr>
          <w:u w:val="none"/>
        </w:rPr>
      </w:pPr>
      <w:r w:rsidRPr="00FB2880">
        <w:rPr>
          <w:u w:val="none"/>
        </w:rPr>
        <w:tab/>
      </w:r>
      <w:r w:rsidR="00BA22C0" w:rsidRPr="00FB2880">
        <w:rPr>
          <w:u w:val="none"/>
        </w:rPr>
        <w:t xml:space="preserve">Following the practice introduced in 2020, the 19.COM and the 20.COM examined a ‘Report of the non-governmental organizations forum’ under a stand-alone item on the agenda. Having completed the first phase of the mapping of the competencies of 60 accredited NGOs and their visualization through the webpage of the Convention (2021-2023), the ICH NGO Forum collaborated with the Secretariat to launch the second phase of this project, in line with the request of the 19.COM (Decision </w:t>
      </w:r>
      <w:hyperlink r:id="rId31" w:history="1">
        <w:r w:rsidR="00BA22C0" w:rsidRPr="00FB2880">
          <w:rPr>
            <w:rStyle w:val="Hyperlink"/>
          </w:rPr>
          <w:t>19.COM 13</w:t>
        </w:r>
      </w:hyperlink>
      <w:r w:rsidR="00BA22C0" w:rsidRPr="00FB2880">
        <w:rPr>
          <w:u w:val="none"/>
        </w:rPr>
        <w:t>), with the objective of presenting the profiles of an additional 100 accredited NGOs, thereby raising the visibility of NGOs and improving the possibility for exchange and knowledge-sharing.</w:t>
      </w:r>
    </w:p>
    <w:p w14:paraId="4CD3DE3B" w14:textId="2EC10FCF" w:rsidR="00BA22C0" w:rsidRPr="00FB2880" w:rsidRDefault="00BA22C0" w:rsidP="00775FCC">
      <w:pPr>
        <w:widowControl w:val="0"/>
        <w:numPr>
          <w:ilvl w:val="0"/>
          <w:numId w:val="24"/>
        </w:numPr>
        <w:tabs>
          <w:tab w:val="num" w:pos="567"/>
        </w:tabs>
        <w:snapToGrid w:val="0"/>
        <w:spacing w:after="120"/>
        <w:ind w:left="567" w:hanging="567"/>
        <w:jc w:val="both"/>
        <w:rPr>
          <w:rFonts w:ascii="Arial" w:hAnsi="Arial" w:cs="Arial"/>
          <w:bCs/>
          <w:sz w:val="22"/>
          <w:szCs w:val="22"/>
          <w:lang w:val="en-GB"/>
        </w:rPr>
      </w:pPr>
      <w:r w:rsidRPr="00FB2880">
        <w:rPr>
          <w:rFonts w:ascii="Arial" w:hAnsi="Arial" w:cs="Arial"/>
          <w:b/>
          <w:sz w:val="22"/>
          <w:szCs w:val="22"/>
          <w:lang w:val="en-GB"/>
        </w:rPr>
        <w:t xml:space="preserve">Preparation of a draft plan for the use of the resources of the Fund and increasing the resources of the Fund </w:t>
      </w:r>
      <w:r w:rsidRPr="00FB2880">
        <w:rPr>
          <w:rFonts w:ascii="Arial" w:hAnsi="Arial" w:cs="Arial"/>
          <w:bCs/>
          <w:sz w:val="22"/>
          <w:szCs w:val="22"/>
          <w:lang w:val="en-GB"/>
        </w:rPr>
        <w:t>(Articles 7[c] and 7[d])</w:t>
      </w:r>
    </w:p>
    <w:p w14:paraId="1CC1C15C" w14:textId="1A1459C1" w:rsidR="00BA22C0" w:rsidRPr="00FB2880" w:rsidRDefault="00BA22C0" w:rsidP="009E0AD6">
      <w:pPr>
        <w:pStyle w:val="COMParaDecision"/>
        <w:numPr>
          <w:ilvl w:val="0"/>
          <w:numId w:val="23"/>
        </w:numPr>
        <w:ind w:hanging="502"/>
        <w:rPr>
          <w:u w:val="none"/>
        </w:rPr>
      </w:pPr>
      <w:r w:rsidRPr="00FB2880">
        <w:rPr>
          <w:u w:val="none"/>
        </w:rPr>
        <w:t xml:space="preserve">At its twentieth session, the Committee examined a draft plan for the use of the resources of the Fund for the period 1 January 2026 to 31 December 2027 and, on a provisional basis, the first semester of 2028 (Decision </w:t>
      </w:r>
      <w:hyperlink r:id="rId32" w:history="1">
        <w:r w:rsidRPr="00FB2880">
          <w:rPr>
            <w:rStyle w:val="Hyperlink"/>
            <w:rFonts w:asciiTheme="minorBidi" w:hAnsiTheme="minorBidi" w:cstheme="minorBidi"/>
          </w:rPr>
          <w:t>20.COM 14</w:t>
        </w:r>
      </w:hyperlink>
      <w:r w:rsidRPr="00FB2880">
        <w:rPr>
          <w:u w:val="none"/>
        </w:rPr>
        <w:t xml:space="preserve">). In line with the approval procedure introduced by the Committee in 2019 for the ‘other functions of the Committee’ (Decision </w:t>
      </w:r>
      <w:hyperlink r:id="rId33" w:history="1">
        <w:r w:rsidRPr="00FB2880">
          <w:rPr>
            <w:rStyle w:val="Hyperlink"/>
          </w:rPr>
          <w:t>14.COM 7</w:t>
        </w:r>
      </w:hyperlink>
      <w:r w:rsidRPr="00FB2880">
        <w:rPr>
          <w:u w:val="none"/>
        </w:rPr>
        <w:t xml:space="preserve">), the draft plan was presented with a percentage breakdown under the budget line ‘other functions of the Committee’, in terms of the Expected Results as per the Approved Programme and Budget (C/5). This draft plan will be submitted to the 11.GA in 2026 for its approval. The largest percentage continues to be dedicated to International Assistance (see document </w:t>
      </w:r>
      <w:hyperlink r:id="rId34" w:history="1">
        <w:r w:rsidRPr="00FB2880">
          <w:rPr>
            <w:rStyle w:val="Hyperlink"/>
            <w:rFonts w:asciiTheme="minorBidi" w:hAnsiTheme="minorBidi" w:cstheme="minorBidi"/>
          </w:rPr>
          <w:t>LHE/25/20.COM/14</w:t>
        </w:r>
      </w:hyperlink>
      <w:r w:rsidRPr="00FB2880">
        <w:rPr>
          <w:u w:val="none"/>
        </w:rPr>
        <w:t xml:space="preserve"> for the detailed plan).</w:t>
      </w:r>
    </w:p>
    <w:p w14:paraId="7142F65D" w14:textId="41E08133" w:rsidR="0087295E" w:rsidRPr="00FB2880" w:rsidRDefault="00BA22C0" w:rsidP="0082186A">
      <w:pPr>
        <w:pStyle w:val="Marge"/>
        <w:numPr>
          <w:ilvl w:val="0"/>
          <w:numId w:val="23"/>
        </w:numPr>
        <w:tabs>
          <w:tab w:val="clear" w:pos="502"/>
          <w:tab w:val="num" w:pos="567"/>
        </w:tabs>
        <w:spacing w:before="120" w:after="120"/>
        <w:ind w:left="567" w:hanging="567"/>
        <w:rPr>
          <w:szCs w:val="22"/>
          <w:lang w:val="en-GB"/>
        </w:rPr>
      </w:pPr>
      <w:r w:rsidRPr="00FB2880">
        <w:rPr>
          <w:rFonts w:asciiTheme="minorBidi" w:hAnsiTheme="minorBidi" w:cstheme="minorBidi"/>
          <w:szCs w:val="22"/>
          <w:lang w:val="en-GB"/>
        </w:rPr>
        <w:t xml:space="preserve">During the reporting period, voluntary supplementary contributions of US$299,846 from the Kingdom </w:t>
      </w:r>
      <w:r w:rsidR="00E7076C" w:rsidRPr="00FB2880">
        <w:rPr>
          <w:rFonts w:asciiTheme="minorBidi" w:hAnsiTheme="minorBidi" w:cstheme="minorBidi"/>
          <w:szCs w:val="22"/>
          <w:lang w:val="en-GB"/>
        </w:rPr>
        <w:t xml:space="preserve">of the </w:t>
      </w:r>
      <w:r w:rsidRPr="00FB2880">
        <w:rPr>
          <w:rFonts w:asciiTheme="minorBidi" w:hAnsiTheme="minorBidi" w:cstheme="minorBidi"/>
          <w:szCs w:val="22"/>
          <w:lang w:val="en-GB"/>
        </w:rPr>
        <w:t>Netherlands, Saint Vincent and the Grenadines</w:t>
      </w:r>
      <w:r w:rsidR="000F3C51" w:rsidRPr="00FB2880">
        <w:rPr>
          <w:rFonts w:asciiTheme="minorBidi" w:hAnsiTheme="minorBidi" w:cstheme="minorBidi"/>
          <w:szCs w:val="22"/>
          <w:lang w:val="en-GB"/>
        </w:rPr>
        <w:t>,</w:t>
      </w:r>
      <w:r w:rsidRPr="00FB2880">
        <w:rPr>
          <w:rFonts w:asciiTheme="minorBidi" w:hAnsiTheme="minorBidi" w:cstheme="minorBidi"/>
          <w:szCs w:val="22"/>
          <w:lang w:val="en-GB"/>
        </w:rPr>
        <w:t xml:space="preserve"> and Sweden were made to the Fund</w:t>
      </w:r>
      <w:r w:rsidR="00BE08A6" w:rsidRPr="00FB2880">
        <w:rPr>
          <w:rFonts w:asciiTheme="minorBidi" w:hAnsiTheme="minorBidi" w:cstheme="minorBidi"/>
          <w:szCs w:val="22"/>
          <w:lang w:val="en-GB"/>
        </w:rPr>
        <w:t xml:space="preserve">, </w:t>
      </w:r>
      <w:r w:rsidRPr="00FB2880">
        <w:rPr>
          <w:rFonts w:asciiTheme="minorBidi" w:hAnsiTheme="minorBidi" w:cstheme="minorBidi"/>
          <w:szCs w:val="22"/>
          <w:lang w:val="en-GB"/>
        </w:rPr>
        <w:t xml:space="preserve">to finance programme activities as well as specific purposes. </w:t>
      </w:r>
      <w:r w:rsidR="00E7076C" w:rsidRPr="00FB2880">
        <w:rPr>
          <w:rFonts w:asciiTheme="minorBidi" w:hAnsiTheme="minorBidi" w:cstheme="minorBidi"/>
          <w:szCs w:val="22"/>
          <w:lang w:val="en-GB"/>
        </w:rPr>
        <w:t>In addition, t</w:t>
      </w:r>
      <w:r w:rsidRPr="00FB2880">
        <w:rPr>
          <w:rFonts w:asciiTheme="minorBidi" w:hAnsiTheme="minorBidi" w:cstheme="minorBidi"/>
          <w:szCs w:val="22"/>
          <w:lang w:val="en-GB"/>
        </w:rPr>
        <w:t>he Sub-Fund of the Fund, devoted exclusively to enhancing the human capacities of the Secretariat, also received contributions of US$238,113 from France, Lithuania, Monaco, Slovenia</w:t>
      </w:r>
      <w:r w:rsidR="000F3C51" w:rsidRPr="00FB2880">
        <w:rPr>
          <w:rFonts w:asciiTheme="minorBidi" w:hAnsiTheme="minorBidi" w:cstheme="minorBidi"/>
          <w:szCs w:val="22"/>
          <w:lang w:val="en-GB"/>
        </w:rPr>
        <w:t>,</w:t>
      </w:r>
      <w:r w:rsidRPr="00FB2880">
        <w:rPr>
          <w:rFonts w:asciiTheme="minorBidi" w:hAnsiTheme="minorBidi" w:cstheme="minorBidi"/>
          <w:szCs w:val="22"/>
          <w:lang w:val="en-GB"/>
        </w:rPr>
        <w:t xml:space="preserve"> and the United Kingdom of Great Britain and Northern Ireland (Document </w:t>
      </w:r>
      <w:hyperlink r:id="rId35" w:history="1">
        <w:r w:rsidRPr="00FB2880">
          <w:rPr>
            <w:rStyle w:val="Hyperlink"/>
            <w:rFonts w:asciiTheme="minorBidi" w:hAnsiTheme="minorBidi" w:cstheme="minorBidi"/>
            <w:szCs w:val="22"/>
            <w:lang w:val="en-GB"/>
          </w:rPr>
          <w:t>LHE/25/20.COM/INF.14</w:t>
        </w:r>
      </w:hyperlink>
      <w:r w:rsidRPr="00FB2880">
        <w:rPr>
          <w:rFonts w:asciiTheme="minorBidi" w:hAnsiTheme="minorBidi" w:cstheme="minorBidi"/>
          <w:szCs w:val="22"/>
          <w:lang w:val="en-GB"/>
        </w:rPr>
        <w:t>).</w:t>
      </w:r>
      <w:r w:rsidR="0082186A" w:rsidRPr="00FB2880">
        <w:rPr>
          <w:rFonts w:asciiTheme="minorBidi" w:hAnsiTheme="minorBidi" w:cstheme="minorBidi"/>
          <w:szCs w:val="22"/>
          <w:lang w:val="en-GB"/>
        </w:rPr>
        <w:t xml:space="preserve"> </w:t>
      </w:r>
      <w:r w:rsidR="0082186A" w:rsidRPr="00FB2880">
        <w:rPr>
          <w:rFonts w:cs="Arial"/>
          <w:szCs w:val="22"/>
          <w:lang w:val="en-GB"/>
        </w:rPr>
        <w:t>The 20.COM saw the</w:t>
      </w:r>
      <w:r w:rsidR="00170B5C" w:rsidRPr="00FB2880">
        <w:rPr>
          <w:rFonts w:asciiTheme="minorBidi" w:hAnsiTheme="minorBidi" w:cstheme="minorBidi"/>
          <w:szCs w:val="22"/>
          <w:lang w:val="en-GB"/>
        </w:rPr>
        <w:t xml:space="preserve"> </w:t>
      </w:r>
      <w:r w:rsidR="0082186A" w:rsidRPr="00FB2880">
        <w:rPr>
          <w:rFonts w:asciiTheme="minorBidi" w:hAnsiTheme="minorBidi" w:cstheme="minorBidi"/>
          <w:szCs w:val="22"/>
          <w:lang w:val="en-GB"/>
        </w:rPr>
        <w:t>conclusion of</w:t>
      </w:r>
      <w:r w:rsidR="00170B5C" w:rsidRPr="00FB2880">
        <w:rPr>
          <w:rFonts w:asciiTheme="minorBidi" w:hAnsiTheme="minorBidi" w:cstheme="minorBidi"/>
          <w:szCs w:val="22"/>
          <w:lang w:val="en-GB"/>
        </w:rPr>
        <w:t xml:space="preserve"> the two </w:t>
      </w:r>
      <w:r w:rsidR="00935FFC" w:rsidRPr="00FB2880">
        <w:rPr>
          <w:szCs w:val="22"/>
          <w:lang w:val="en-GB"/>
        </w:rPr>
        <w:t>funding priorities of the Convention</w:t>
      </w:r>
      <w:r w:rsidR="00170B5C" w:rsidRPr="00FB2880">
        <w:rPr>
          <w:szCs w:val="22"/>
          <w:lang w:val="en-GB"/>
        </w:rPr>
        <w:t xml:space="preserve"> for the period 2022-2025</w:t>
      </w:r>
      <w:r w:rsidR="0082186A" w:rsidRPr="00FB2880">
        <w:rPr>
          <w:szCs w:val="22"/>
          <w:lang w:val="en-GB"/>
        </w:rPr>
        <w:t>. At the same time, the 20.COM opened two new funding priorities for the period 2026-2029 (Decision</w:t>
      </w:r>
      <w:r w:rsidR="0082186A" w:rsidRPr="00FB2880">
        <w:rPr>
          <w:rStyle w:val="Hyperlink"/>
          <w:color w:val="auto"/>
          <w:szCs w:val="22"/>
          <w:u w:val="none"/>
          <w:lang w:val="en-GB"/>
        </w:rPr>
        <w:t xml:space="preserve"> </w:t>
      </w:r>
      <w:hyperlink r:id="rId36" w:history="1">
        <w:r w:rsidR="007435E5" w:rsidRPr="00FB2880">
          <w:rPr>
            <w:rStyle w:val="Hyperlink"/>
            <w:szCs w:val="22"/>
            <w:lang w:val="en-GB"/>
          </w:rPr>
          <w:t>20.COM 13</w:t>
        </w:r>
      </w:hyperlink>
      <w:r w:rsidR="0082186A" w:rsidRPr="00FB2880">
        <w:rPr>
          <w:szCs w:val="22"/>
          <w:lang w:val="en-GB"/>
        </w:rPr>
        <w:t xml:space="preserve">), namely </w:t>
      </w:r>
      <w:r w:rsidR="00170B5C" w:rsidRPr="00FB2880">
        <w:rPr>
          <w:rFonts w:asciiTheme="minorBidi" w:hAnsiTheme="minorBidi" w:cstheme="minorBidi"/>
          <w:szCs w:val="22"/>
          <w:lang w:val="en-GB"/>
        </w:rPr>
        <w:t xml:space="preserve">‘Enhancing capacity-building approaches for safeguarding intangible cultural heritage with a focus on human well-being and community </w:t>
      </w:r>
      <w:r w:rsidR="00170B5C" w:rsidRPr="00FB2880">
        <w:rPr>
          <w:rFonts w:asciiTheme="minorBidi" w:hAnsiTheme="minorBidi" w:cstheme="minorBidi"/>
          <w:szCs w:val="22"/>
          <w:lang w:val="en-GB"/>
        </w:rPr>
        <w:lastRenderedPageBreak/>
        <w:t>empowerment’ (Funding Priority A) and ‘Refining approaches for safeguarding intangible cultural heritage’ (Funding Priority B)</w:t>
      </w:r>
      <w:r w:rsidR="0082186A" w:rsidRPr="00FB2880">
        <w:rPr>
          <w:szCs w:val="22"/>
          <w:lang w:val="en-GB"/>
        </w:rPr>
        <w:t>.</w:t>
      </w:r>
    </w:p>
    <w:p w14:paraId="3EF65E58" w14:textId="7ABFD433" w:rsidR="00935FFC" w:rsidRPr="00FB2880" w:rsidRDefault="00935FFC" w:rsidP="00935FFC">
      <w:pPr>
        <w:keepNext/>
        <w:numPr>
          <w:ilvl w:val="0"/>
          <w:numId w:val="24"/>
        </w:numPr>
        <w:tabs>
          <w:tab w:val="clear" w:pos="720"/>
          <w:tab w:val="num" w:pos="567"/>
        </w:tabs>
        <w:spacing w:before="240" w:after="120"/>
        <w:ind w:left="562" w:hanging="562"/>
        <w:rPr>
          <w:rFonts w:ascii="Arial" w:hAnsi="Arial" w:cs="Arial"/>
          <w:b/>
          <w:sz w:val="22"/>
          <w:szCs w:val="22"/>
          <w:lang w:val="en-GB"/>
        </w:rPr>
      </w:pPr>
      <w:r w:rsidRPr="00FB2880">
        <w:rPr>
          <w:rFonts w:ascii="Arial" w:hAnsi="Arial" w:cs="Arial"/>
          <w:b/>
          <w:sz w:val="22"/>
          <w:szCs w:val="22"/>
          <w:lang w:val="en-GB"/>
        </w:rPr>
        <w:t>Examination of periodic reports</w:t>
      </w:r>
      <w:r w:rsidRPr="00FB2880">
        <w:rPr>
          <w:rFonts w:ascii="Arial" w:hAnsi="Arial" w:cs="Arial"/>
          <w:sz w:val="22"/>
          <w:szCs w:val="22"/>
          <w:lang w:val="en-GB"/>
        </w:rPr>
        <w:t xml:space="preserve"> (Article 7[f])</w:t>
      </w:r>
    </w:p>
    <w:p w14:paraId="379ED843" w14:textId="31CBED74" w:rsidR="001A1E2D" w:rsidRPr="00FB2880" w:rsidRDefault="001A1E2D" w:rsidP="009E0AD6">
      <w:pPr>
        <w:pStyle w:val="COMParaDecision"/>
        <w:numPr>
          <w:ilvl w:val="0"/>
          <w:numId w:val="23"/>
        </w:numPr>
        <w:ind w:hanging="502"/>
        <w:rPr>
          <w:u w:val="none"/>
        </w:rPr>
      </w:pPr>
      <w:r w:rsidRPr="00FB2880">
        <w:rPr>
          <w:u w:val="none"/>
        </w:rPr>
        <w:t xml:space="preserve">The Committee examined </w:t>
      </w:r>
      <w:r w:rsidR="00902F5A" w:rsidRPr="00FB2880">
        <w:rPr>
          <w:u w:val="none"/>
        </w:rPr>
        <w:t>26</w:t>
      </w:r>
      <w:r w:rsidRPr="00FB2880">
        <w:rPr>
          <w:u w:val="none"/>
        </w:rPr>
        <w:t xml:space="preserve"> reports on the status of elements inscribed on the Urgent Safeguarding List – </w:t>
      </w:r>
      <w:r w:rsidR="00902F5A" w:rsidRPr="00FB2880">
        <w:rPr>
          <w:u w:val="none"/>
        </w:rPr>
        <w:t xml:space="preserve">18 </w:t>
      </w:r>
      <w:r w:rsidRPr="00FB2880">
        <w:rPr>
          <w:u w:val="none"/>
        </w:rPr>
        <w:t xml:space="preserve">at the 19.COM in 2024 and eight at the 20.COM in 2025. While examining these reports, the Committee acknowledged the enhanced viability of certain inscribed elements, which have been reported to be no longer in need of urgent safeguarding, and took note of those States Parties that expressed their wish to transfer elements from the Urgent Safeguarding List to the Representative List (Decision </w:t>
      </w:r>
      <w:hyperlink r:id="rId37" w:history="1">
        <w:r w:rsidRPr="00FB2880">
          <w:rPr>
            <w:rStyle w:val="Hyperlink"/>
          </w:rPr>
          <w:t>19.COM 6.a</w:t>
        </w:r>
      </w:hyperlink>
      <w:r w:rsidRPr="00FB2880">
        <w:rPr>
          <w:u w:val="none"/>
        </w:rPr>
        <w:t xml:space="preserve">), two of which were examined by the 20.COM (Decisions </w:t>
      </w:r>
      <w:hyperlink r:id="rId38" w:history="1">
        <w:r w:rsidRPr="00FB2880">
          <w:rPr>
            <w:rStyle w:val="Hyperlink"/>
          </w:rPr>
          <w:t>20.COM 7.c.1</w:t>
        </w:r>
      </w:hyperlink>
      <w:r w:rsidRPr="00FB2880">
        <w:rPr>
          <w:u w:val="none"/>
        </w:rPr>
        <w:t xml:space="preserve"> and </w:t>
      </w:r>
      <w:hyperlink r:id="rId39" w:history="1">
        <w:r w:rsidRPr="00FB2880">
          <w:rPr>
            <w:rStyle w:val="Hyperlink"/>
          </w:rPr>
          <w:t>20.COM 7.c.2</w:t>
        </w:r>
      </w:hyperlink>
      <w:r w:rsidRPr="00FB2880">
        <w:rPr>
          <w:u w:val="none"/>
        </w:rPr>
        <w:t>).</w:t>
      </w:r>
    </w:p>
    <w:p w14:paraId="46AB4E6E" w14:textId="1CDDB659" w:rsidR="001A1E2D" w:rsidRPr="00FB2880" w:rsidRDefault="001A1E2D" w:rsidP="009E0AD6">
      <w:pPr>
        <w:pStyle w:val="COMParaDecision"/>
        <w:numPr>
          <w:ilvl w:val="0"/>
          <w:numId w:val="23"/>
        </w:numPr>
        <w:ind w:hanging="502"/>
        <w:rPr>
          <w:u w:val="none"/>
        </w:rPr>
      </w:pPr>
      <w:r w:rsidRPr="00FB2880">
        <w:rPr>
          <w:u w:val="none"/>
        </w:rPr>
        <w:t xml:space="preserve">With regard to the periodic reporting system on the implementation of the Convention, the Committee examined a total of 82 reports submitted by the last two regions, therefore concluding the examination of reports under this first regional cycle: the 19.COM examined reports submitted by all </w:t>
      </w:r>
      <w:r w:rsidR="00902F5A" w:rsidRPr="00FB2880">
        <w:rPr>
          <w:u w:val="none"/>
        </w:rPr>
        <w:t>44</w:t>
      </w:r>
      <w:r w:rsidRPr="00FB2880">
        <w:rPr>
          <w:u w:val="none"/>
        </w:rPr>
        <w:t xml:space="preserve"> States Parties in Africa (Decision </w:t>
      </w:r>
      <w:hyperlink r:id="rId40" w:history="1">
        <w:r w:rsidRPr="00FB2880">
          <w:rPr>
            <w:rStyle w:val="Hyperlink"/>
          </w:rPr>
          <w:t>19.COM 6.b</w:t>
        </w:r>
      </w:hyperlink>
      <w:r w:rsidRPr="00FB2880">
        <w:rPr>
          <w:u w:val="none"/>
        </w:rPr>
        <w:t xml:space="preserve">) and the 20.COM examined reports submitted by </w:t>
      </w:r>
      <w:r w:rsidR="00902F5A" w:rsidRPr="00FB2880">
        <w:rPr>
          <w:u w:val="none"/>
        </w:rPr>
        <w:t>38</w:t>
      </w:r>
      <w:r w:rsidRPr="00FB2880">
        <w:rPr>
          <w:u w:val="none"/>
        </w:rPr>
        <w:t xml:space="preserve"> out of </w:t>
      </w:r>
      <w:r w:rsidR="00902F5A" w:rsidRPr="00FB2880">
        <w:rPr>
          <w:u w:val="none"/>
        </w:rPr>
        <w:t>42</w:t>
      </w:r>
      <w:r w:rsidRPr="00FB2880">
        <w:rPr>
          <w:u w:val="none"/>
        </w:rPr>
        <w:t xml:space="preserve"> States Parties in Asia and the Pacific (Decision </w:t>
      </w:r>
      <w:hyperlink r:id="rId41" w:history="1">
        <w:r w:rsidRPr="00FB2880">
          <w:rPr>
            <w:rStyle w:val="Hyperlink"/>
            <w:rFonts w:asciiTheme="minorBidi" w:hAnsiTheme="minorBidi" w:cstheme="minorBidi"/>
          </w:rPr>
          <w:t>20.COM 6.b</w:t>
        </w:r>
      </w:hyperlink>
      <w:r w:rsidRPr="00FB2880">
        <w:rPr>
          <w:u w:val="none"/>
        </w:rPr>
        <w:t>). Since the beginning of this reporting cycle in 2021, 172 out of 182 reports expected were submitted, representing a submission rate of 95</w:t>
      </w:r>
      <w:r w:rsidR="00902F5A" w:rsidRPr="00FB2880">
        <w:rPr>
          <w:u w:val="none"/>
        </w:rPr>
        <w:t xml:space="preserve"> per cent</w:t>
      </w:r>
      <w:r w:rsidRPr="00FB2880">
        <w:rPr>
          <w:u w:val="none"/>
        </w:rPr>
        <w:t xml:space="preserve"> for the whole first cycle.</w:t>
      </w:r>
    </w:p>
    <w:p w14:paraId="6DD3CA0F" w14:textId="540BC19C" w:rsidR="001A1E2D" w:rsidRPr="00FB2880" w:rsidRDefault="001A1E2D" w:rsidP="009E0AD6">
      <w:pPr>
        <w:pStyle w:val="COMParaDecision"/>
        <w:numPr>
          <w:ilvl w:val="0"/>
          <w:numId w:val="23"/>
        </w:numPr>
        <w:ind w:hanging="502"/>
        <w:rPr>
          <w:u w:val="none"/>
        </w:rPr>
      </w:pPr>
      <w:r w:rsidRPr="00FB2880">
        <w:rPr>
          <w:u w:val="none"/>
        </w:rPr>
        <w:t xml:space="preserve">Furthermore, the Committee examined a way forward to rationalize the periodic reporting mechanism in the move towards a single global submission system. All States Parties would be requested to submit their reports on the implementation of the Convention and the current status of elements inscribed on the Representative List and the Urgent Safeguarding List by the deadline of 30 June 2027 and every four years thereafter (Decisions </w:t>
      </w:r>
      <w:hyperlink r:id="rId42" w:history="1">
        <w:r w:rsidRPr="00FB2880">
          <w:rPr>
            <w:rStyle w:val="Hyperlink"/>
          </w:rPr>
          <w:t>19.COM 6.c</w:t>
        </w:r>
      </w:hyperlink>
      <w:r w:rsidRPr="00FB2880">
        <w:rPr>
          <w:u w:val="none"/>
        </w:rPr>
        <w:t xml:space="preserve"> and </w:t>
      </w:r>
      <w:hyperlink r:id="rId43" w:history="1">
        <w:r w:rsidRPr="00FB2880">
          <w:rPr>
            <w:rStyle w:val="Hyperlink"/>
            <w:rFonts w:asciiTheme="minorBidi" w:hAnsiTheme="minorBidi" w:cstheme="minorBidi"/>
          </w:rPr>
          <w:t>20.COM 6.c</w:t>
        </w:r>
      </w:hyperlink>
      <w:r w:rsidRPr="00FB2880">
        <w:rPr>
          <w:u w:val="none"/>
        </w:rPr>
        <w:t>). This undertaking is in line with the UNESCO Culture Sector’s commitment to producing a quadrennial Global Report on Cultural Policies following the MONDIACULT 2022</w:t>
      </w:r>
      <w:r w:rsidRPr="00FB2880">
        <w:t xml:space="preserve"> </w:t>
      </w:r>
      <w:hyperlink r:id="rId44" w:history="1">
        <w:r w:rsidRPr="00FB2880">
          <w:rPr>
            <w:rStyle w:val="Hyperlink"/>
          </w:rPr>
          <w:t>Declaration</w:t>
        </w:r>
      </w:hyperlink>
      <w:r w:rsidRPr="00FB2880">
        <w:rPr>
          <w:u w:val="none"/>
        </w:rPr>
        <w:t>.</w:t>
      </w:r>
    </w:p>
    <w:p w14:paraId="12368C49" w14:textId="1432ABCA" w:rsidR="00935FFC" w:rsidRPr="00FB2880" w:rsidRDefault="00935FFC" w:rsidP="00935FFC">
      <w:pPr>
        <w:widowControl w:val="0"/>
        <w:numPr>
          <w:ilvl w:val="0"/>
          <w:numId w:val="24"/>
        </w:numPr>
        <w:tabs>
          <w:tab w:val="clear" w:pos="720"/>
        </w:tabs>
        <w:spacing w:before="240" w:after="120"/>
        <w:ind w:left="567" w:hanging="567"/>
        <w:jc w:val="both"/>
        <w:rPr>
          <w:rFonts w:ascii="Arial" w:hAnsi="Arial" w:cs="Arial"/>
          <w:b/>
          <w:sz w:val="22"/>
          <w:szCs w:val="22"/>
          <w:lang w:val="en-GB"/>
        </w:rPr>
      </w:pPr>
      <w:r w:rsidRPr="00FB2880">
        <w:rPr>
          <w:rFonts w:ascii="Arial" w:hAnsi="Arial" w:cs="Arial"/>
          <w:b/>
          <w:sz w:val="22"/>
          <w:szCs w:val="22"/>
          <w:lang w:val="en-GB"/>
        </w:rPr>
        <w:t>Inscriptions on the Lists of the Convention, selection of good safeguarding practices and granting of International Assistance</w:t>
      </w:r>
      <w:r w:rsidRPr="00FB2880">
        <w:rPr>
          <w:rFonts w:ascii="Arial" w:hAnsi="Arial" w:cs="Arial"/>
          <w:sz w:val="22"/>
          <w:szCs w:val="22"/>
          <w:lang w:val="en-GB"/>
        </w:rPr>
        <w:t xml:space="preserve"> (Article 7[g])</w:t>
      </w:r>
    </w:p>
    <w:p w14:paraId="2A100008" w14:textId="00A94329" w:rsidR="00552DFC" w:rsidRPr="00FB2880" w:rsidRDefault="00552DFC" w:rsidP="004F2D41">
      <w:pPr>
        <w:pStyle w:val="Marge"/>
        <w:numPr>
          <w:ilvl w:val="0"/>
          <w:numId w:val="23"/>
        </w:numPr>
        <w:tabs>
          <w:tab w:val="clear" w:pos="502"/>
          <w:tab w:val="num" w:pos="567"/>
        </w:tabs>
        <w:spacing w:before="120" w:after="120"/>
        <w:ind w:left="567" w:hanging="567"/>
        <w:rPr>
          <w:rFonts w:asciiTheme="minorBidi" w:hAnsiTheme="minorBidi"/>
          <w:szCs w:val="22"/>
          <w:lang w:val="en-GB"/>
        </w:rPr>
      </w:pPr>
      <w:r w:rsidRPr="00FB2880">
        <w:rPr>
          <w:rFonts w:asciiTheme="minorBidi" w:hAnsiTheme="minorBidi" w:cstheme="minorBidi"/>
          <w:szCs w:val="22"/>
          <w:lang w:val="en-GB"/>
        </w:rPr>
        <w:t>During the reporting</w:t>
      </w:r>
      <w:r w:rsidR="00B56AF7" w:rsidRPr="00FB2880">
        <w:rPr>
          <w:rFonts w:asciiTheme="minorBidi" w:hAnsiTheme="minorBidi" w:cstheme="minorBidi"/>
          <w:szCs w:val="22"/>
          <w:lang w:val="en-GB"/>
        </w:rPr>
        <w:t xml:space="preserve"> period</w:t>
      </w:r>
      <w:r w:rsidR="001900AB" w:rsidRPr="00FB2880">
        <w:rPr>
          <w:rFonts w:asciiTheme="minorBidi" w:hAnsiTheme="minorBidi" w:cstheme="minorBidi"/>
          <w:szCs w:val="22"/>
          <w:lang w:val="en-GB"/>
        </w:rPr>
        <w:t>,</w:t>
      </w:r>
      <w:r w:rsidRPr="00FB2880">
        <w:rPr>
          <w:rFonts w:asciiTheme="minorBidi" w:hAnsiTheme="minorBidi" w:cstheme="minorBidi"/>
          <w:szCs w:val="22"/>
          <w:lang w:val="en-GB"/>
        </w:rPr>
        <w:t xml:space="preserve"> </w:t>
      </w:r>
      <w:r w:rsidR="001900AB" w:rsidRPr="00FB2880">
        <w:rPr>
          <w:rFonts w:asciiTheme="minorBidi" w:hAnsiTheme="minorBidi" w:cstheme="minorBidi"/>
          <w:szCs w:val="22"/>
          <w:lang w:val="en-GB"/>
        </w:rPr>
        <w:t xml:space="preserve">the Committee </w:t>
      </w:r>
      <w:r w:rsidRPr="00FB2880">
        <w:rPr>
          <w:rFonts w:asciiTheme="minorBidi" w:hAnsiTheme="minorBidi" w:cstheme="minorBidi"/>
          <w:szCs w:val="22"/>
          <w:lang w:val="en-GB"/>
        </w:rPr>
        <w:t>inscribed</w:t>
      </w:r>
      <w:r w:rsidR="00960318" w:rsidRPr="00FB2880">
        <w:rPr>
          <w:rFonts w:asciiTheme="minorBidi" w:hAnsiTheme="minorBidi" w:cstheme="minorBidi"/>
          <w:szCs w:val="22"/>
          <w:lang w:val="en-GB"/>
        </w:rPr>
        <w:t>, transferred or selected</w:t>
      </w:r>
      <w:r w:rsidRPr="00FB2880">
        <w:rPr>
          <w:rFonts w:asciiTheme="minorBidi" w:hAnsiTheme="minorBidi" w:cstheme="minorBidi"/>
          <w:szCs w:val="22"/>
          <w:lang w:val="en-GB"/>
        </w:rPr>
        <w:t xml:space="preserve"> a total of </w:t>
      </w:r>
      <w:r w:rsidR="00A84ADC" w:rsidRPr="00FB2880">
        <w:rPr>
          <w:rFonts w:asciiTheme="minorBidi" w:hAnsiTheme="minorBidi" w:cstheme="minorBidi"/>
          <w:szCs w:val="22"/>
          <w:lang w:val="en-GB"/>
        </w:rPr>
        <w:t>135</w:t>
      </w:r>
      <w:r w:rsidR="00A84ADC" w:rsidRPr="00FB2880">
        <w:rPr>
          <w:rFonts w:asciiTheme="minorBidi" w:hAnsiTheme="minorBidi" w:cstheme="minorBidi"/>
          <w:color w:val="FF0000"/>
          <w:szCs w:val="22"/>
          <w:lang w:val="en-GB"/>
        </w:rPr>
        <w:t xml:space="preserve"> </w:t>
      </w:r>
      <w:r w:rsidRPr="00FB2880">
        <w:rPr>
          <w:rFonts w:asciiTheme="minorBidi" w:hAnsiTheme="minorBidi" w:cstheme="minorBidi"/>
          <w:szCs w:val="22"/>
          <w:lang w:val="en-GB"/>
        </w:rPr>
        <w:t xml:space="preserve">elements on the Lists </w:t>
      </w:r>
      <w:r w:rsidR="00960318" w:rsidRPr="00FB2880">
        <w:rPr>
          <w:rFonts w:asciiTheme="minorBidi" w:hAnsiTheme="minorBidi" w:cstheme="minorBidi"/>
          <w:szCs w:val="22"/>
          <w:lang w:val="en-GB"/>
        </w:rPr>
        <w:t xml:space="preserve">and Register </w:t>
      </w:r>
      <w:r w:rsidRPr="00FB2880">
        <w:rPr>
          <w:rFonts w:asciiTheme="minorBidi" w:hAnsiTheme="minorBidi" w:cstheme="minorBidi"/>
          <w:szCs w:val="22"/>
          <w:lang w:val="en-GB"/>
        </w:rPr>
        <w:t>of the Convention: 13 on the Urgent Safeguarding List</w:t>
      </w:r>
      <w:r w:rsidR="00353FB2" w:rsidRPr="00FB2880">
        <w:rPr>
          <w:rFonts w:asciiTheme="minorBidi" w:hAnsiTheme="minorBidi" w:cstheme="minorBidi"/>
          <w:szCs w:val="22"/>
          <w:lang w:val="en-GB"/>
        </w:rPr>
        <w:t xml:space="preserve"> (</w:t>
      </w:r>
      <w:r w:rsidR="001900AB" w:rsidRPr="00FB2880">
        <w:rPr>
          <w:rFonts w:asciiTheme="minorBidi" w:hAnsiTheme="minorBidi" w:cstheme="minorBidi"/>
          <w:szCs w:val="22"/>
          <w:lang w:val="en-GB"/>
        </w:rPr>
        <w:t>three of which includ</w:t>
      </w:r>
      <w:r w:rsidR="00B56AF7" w:rsidRPr="00FB2880">
        <w:rPr>
          <w:rFonts w:asciiTheme="minorBidi" w:hAnsiTheme="minorBidi" w:cstheme="minorBidi"/>
          <w:szCs w:val="22"/>
          <w:lang w:val="en-GB"/>
        </w:rPr>
        <w:t>ed</w:t>
      </w:r>
      <w:r w:rsidR="001900AB" w:rsidRPr="00FB2880">
        <w:rPr>
          <w:rFonts w:asciiTheme="minorBidi" w:hAnsiTheme="minorBidi" w:cstheme="minorBidi"/>
          <w:szCs w:val="22"/>
          <w:lang w:val="en-GB"/>
        </w:rPr>
        <w:t xml:space="preserve"> a request for International Assistance),</w:t>
      </w:r>
      <w:r w:rsidRPr="00FB2880">
        <w:rPr>
          <w:rFonts w:asciiTheme="minorBidi" w:hAnsiTheme="minorBidi" w:cstheme="minorBidi"/>
          <w:szCs w:val="22"/>
          <w:lang w:val="en-GB"/>
        </w:rPr>
        <w:t xml:space="preserve"> 111 on the Representative List</w:t>
      </w:r>
      <w:r w:rsidR="00353FB2" w:rsidRPr="00FB2880">
        <w:rPr>
          <w:rFonts w:asciiTheme="minorBidi" w:hAnsiTheme="minorBidi" w:cstheme="minorBidi"/>
          <w:szCs w:val="22"/>
          <w:lang w:val="en-GB"/>
        </w:rPr>
        <w:t>, including 11 inscriptions on an extend</w:t>
      </w:r>
      <w:r w:rsidR="00984D6A" w:rsidRPr="00FB2880">
        <w:rPr>
          <w:rFonts w:asciiTheme="minorBidi" w:hAnsiTheme="minorBidi" w:cstheme="minorBidi"/>
          <w:szCs w:val="22"/>
          <w:lang w:val="en-GB"/>
        </w:rPr>
        <w:t>ed</w:t>
      </w:r>
      <w:r w:rsidR="00353FB2" w:rsidRPr="00FB2880">
        <w:rPr>
          <w:rFonts w:asciiTheme="minorBidi" w:hAnsiTheme="minorBidi" w:cstheme="minorBidi"/>
          <w:szCs w:val="22"/>
          <w:lang w:val="en-GB"/>
        </w:rPr>
        <w:t xml:space="preserve"> basis. </w:t>
      </w:r>
      <w:r w:rsidR="002768B8" w:rsidRPr="00FB2880">
        <w:rPr>
          <w:rFonts w:asciiTheme="minorBidi" w:hAnsiTheme="minorBidi" w:cstheme="minorBidi"/>
          <w:szCs w:val="22"/>
          <w:lang w:val="en-GB"/>
        </w:rPr>
        <w:t>In addition,</w:t>
      </w:r>
      <w:r w:rsidR="00902F5A" w:rsidRPr="00FB2880">
        <w:rPr>
          <w:rFonts w:asciiTheme="minorBidi" w:hAnsiTheme="minorBidi" w:cstheme="minorBidi"/>
          <w:szCs w:val="22"/>
          <w:lang w:val="en-GB"/>
        </w:rPr>
        <w:t xml:space="preserve"> a</w:t>
      </w:r>
      <w:r w:rsidR="002768B8" w:rsidRPr="00FB2880">
        <w:rPr>
          <w:rFonts w:asciiTheme="minorBidi" w:hAnsiTheme="minorBidi" w:cstheme="minorBidi"/>
          <w:szCs w:val="22"/>
          <w:lang w:val="en-GB"/>
        </w:rPr>
        <w:t xml:space="preserve"> further f</w:t>
      </w:r>
      <w:r w:rsidR="00353FB2" w:rsidRPr="00FB2880">
        <w:rPr>
          <w:rFonts w:asciiTheme="minorBidi" w:hAnsiTheme="minorBidi" w:cstheme="minorBidi"/>
          <w:szCs w:val="22"/>
          <w:lang w:val="en-GB"/>
        </w:rPr>
        <w:t>ive elements were transferred from the Urgent Safeguarding List to the Representative List</w:t>
      </w:r>
      <w:r w:rsidR="00313283" w:rsidRPr="00FB2880">
        <w:rPr>
          <w:rFonts w:asciiTheme="minorBidi" w:hAnsiTheme="minorBidi" w:cstheme="minorBidi"/>
          <w:szCs w:val="22"/>
          <w:lang w:val="en-GB"/>
        </w:rPr>
        <w:t xml:space="preserve">, </w:t>
      </w:r>
      <w:r w:rsidR="00353FB2" w:rsidRPr="00FB2880">
        <w:rPr>
          <w:rFonts w:asciiTheme="minorBidi" w:hAnsiTheme="minorBidi" w:cstheme="minorBidi"/>
          <w:szCs w:val="22"/>
          <w:lang w:val="en-GB"/>
        </w:rPr>
        <w:t xml:space="preserve">in recognition </w:t>
      </w:r>
      <w:r w:rsidR="00902F5A" w:rsidRPr="00FB2880">
        <w:rPr>
          <w:rFonts w:asciiTheme="minorBidi" w:hAnsiTheme="minorBidi" w:cstheme="minorBidi"/>
          <w:szCs w:val="22"/>
          <w:lang w:val="en-GB"/>
        </w:rPr>
        <w:t xml:space="preserve">of </w:t>
      </w:r>
      <w:r w:rsidR="00353FB2" w:rsidRPr="00FB2880">
        <w:rPr>
          <w:rFonts w:asciiTheme="minorBidi" w:hAnsiTheme="minorBidi" w:cstheme="minorBidi"/>
          <w:szCs w:val="22"/>
          <w:lang w:val="en-GB"/>
        </w:rPr>
        <w:t xml:space="preserve">their improved viability since their initial inscription. </w:t>
      </w:r>
      <w:r w:rsidR="002768B8" w:rsidRPr="00FB2880">
        <w:rPr>
          <w:rFonts w:asciiTheme="minorBidi" w:hAnsiTheme="minorBidi" w:cstheme="minorBidi"/>
          <w:szCs w:val="22"/>
          <w:lang w:val="en-GB"/>
        </w:rPr>
        <w:t xml:space="preserve">The </w:t>
      </w:r>
      <w:r w:rsidR="00353FB2" w:rsidRPr="00FB2880">
        <w:rPr>
          <w:rFonts w:asciiTheme="minorBidi" w:hAnsiTheme="minorBidi" w:cstheme="minorBidi"/>
          <w:szCs w:val="22"/>
          <w:lang w:val="en-GB"/>
        </w:rPr>
        <w:t>Committee</w:t>
      </w:r>
      <w:r w:rsidR="002768B8" w:rsidRPr="00FB2880">
        <w:rPr>
          <w:rFonts w:asciiTheme="minorBidi" w:hAnsiTheme="minorBidi" w:cstheme="minorBidi"/>
          <w:szCs w:val="22"/>
          <w:lang w:val="en-GB"/>
        </w:rPr>
        <w:t xml:space="preserve"> also</w:t>
      </w:r>
      <w:r w:rsidR="00353FB2" w:rsidRPr="00FB2880">
        <w:rPr>
          <w:rFonts w:asciiTheme="minorBidi" w:hAnsiTheme="minorBidi" w:cstheme="minorBidi"/>
          <w:szCs w:val="22"/>
          <w:lang w:val="en-GB"/>
        </w:rPr>
        <w:t xml:space="preserve"> selected </w:t>
      </w:r>
      <w:r w:rsidR="002768B8" w:rsidRPr="00FB2880">
        <w:rPr>
          <w:rFonts w:asciiTheme="minorBidi" w:hAnsiTheme="minorBidi" w:cstheme="minorBidi"/>
          <w:szCs w:val="22"/>
          <w:lang w:val="en-GB"/>
        </w:rPr>
        <w:t>six</w:t>
      </w:r>
      <w:r w:rsidRPr="00FB2880">
        <w:rPr>
          <w:rFonts w:asciiTheme="minorBidi" w:hAnsiTheme="minorBidi" w:cstheme="minorBidi"/>
          <w:szCs w:val="22"/>
          <w:lang w:val="en-GB"/>
        </w:rPr>
        <w:t xml:space="preserve"> programmes </w:t>
      </w:r>
      <w:r w:rsidR="001900AB" w:rsidRPr="00FB2880">
        <w:rPr>
          <w:rFonts w:asciiTheme="minorBidi" w:hAnsiTheme="minorBidi" w:cstheme="minorBidi"/>
          <w:szCs w:val="22"/>
          <w:lang w:val="en-GB"/>
        </w:rPr>
        <w:t>for</w:t>
      </w:r>
      <w:r w:rsidRPr="00FB2880">
        <w:rPr>
          <w:rFonts w:asciiTheme="minorBidi" w:hAnsiTheme="minorBidi" w:cstheme="minorBidi"/>
          <w:szCs w:val="22"/>
          <w:lang w:val="en-GB"/>
        </w:rPr>
        <w:t xml:space="preserve"> the Register of Good Safeguarding Practices, including two</w:t>
      </w:r>
      <w:r w:rsidR="00EE0919" w:rsidRPr="00FB2880">
        <w:rPr>
          <w:rFonts w:asciiTheme="minorBidi" w:hAnsiTheme="minorBidi" w:cstheme="minorBidi"/>
          <w:szCs w:val="22"/>
          <w:lang w:val="en-GB"/>
        </w:rPr>
        <w:t xml:space="preserve"> </w:t>
      </w:r>
      <w:r w:rsidR="006B31CB" w:rsidRPr="00FB2880">
        <w:rPr>
          <w:rFonts w:asciiTheme="minorBidi" w:hAnsiTheme="minorBidi" w:cstheme="minorBidi"/>
          <w:szCs w:val="22"/>
          <w:lang w:val="en-GB"/>
        </w:rPr>
        <w:t xml:space="preserve">safeguarding </w:t>
      </w:r>
      <w:r w:rsidR="00EE0919" w:rsidRPr="00FB2880">
        <w:rPr>
          <w:rFonts w:asciiTheme="minorBidi" w:hAnsiTheme="minorBidi" w:cstheme="minorBidi"/>
          <w:szCs w:val="22"/>
          <w:lang w:val="en-GB"/>
        </w:rPr>
        <w:t>experiences</w:t>
      </w:r>
      <w:r w:rsidRPr="00FB2880">
        <w:rPr>
          <w:rFonts w:asciiTheme="minorBidi" w:hAnsiTheme="minorBidi" w:cstheme="minorBidi"/>
          <w:szCs w:val="22"/>
          <w:lang w:val="en-GB"/>
        </w:rPr>
        <w:t xml:space="preserve"> </w:t>
      </w:r>
      <w:r w:rsidR="000742FE" w:rsidRPr="00FB2880">
        <w:rPr>
          <w:rFonts w:asciiTheme="minorBidi" w:hAnsiTheme="minorBidi" w:cstheme="minorBidi"/>
          <w:szCs w:val="22"/>
          <w:lang w:val="en-GB"/>
        </w:rPr>
        <w:t>arising</w:t>
      </w:r>
      <w:r w:rsidRPr="00FB2880">
        <w:rPr>
          <w:rFonts w:asciiTheme="minorBidi" w:hAnsiTheme="minorBidi" w:cstheme="minorBidi"/>
          <w:szCs w:val="22"/>
          <w:lang w:val="en-GB"/>
        </w:rPr>
        <w:t xml:space="preserve"> from transfer</w:t>
      </w:r>
      <w:r w:rsidR="000742FE" w:rsidRPr="00FB2880">
        <w:rPr>
          <w:rFonts w:asciiTheme="minorBidi" w:hAnsiTheme="minorBidi" w:cstheme="minorBidi"/>
          <w:szCs w:val="22"/>
          <w:lang w:val="en-GB"/>
        </w:rPr>
        <w:t xml:space="preserve">s </w:t>
      </w:r>
      <w:r w:rsidRPr="00FB2880">
        <w:rPr>
          <w:rFonts w:asciiTheme="minorBidi" w:hAnsiTheme="minorBidi" w:cstheme="minorBidi"/>
          <w:szCs w:val="22"/>
          <w:lang w:val="en-GB"/>
        </w:rPr>
        <w:t>from the Urgent Safeguarding List to the Representative List.</w:t>
      </w:r>
    </w:p>
    <w:p w14:paraId="7A6A93F8" w14:textId="77DFD575" w:rsidR="00935FFC" w:rsidRPr="00FB2880" w:rsidRDefault="00935FFC" w:rsidP="00935FFC">
      <w:pPr>
        <w:pStyle w:val="Marge"/>
        <w:numPr>
          <w:ilvl w:val="0"/>
          <w:numId w:val="23"/>
        </w:numPr>
        <w:tabs>
          <w:tab w:val="clear" w:pos="502"/>
          <w:tab w:val="num" w:pos="567"/>
        </w:tabs>
        <w:spacing w:before="120" w:after="120"/>
        <w:ind w:left="567" w:hanging="567"/>
        <w:rPr>
          <w:rFonts w:cs="Arial"/>
          <w:szCs w:val="22"/>
          <w:lang w:val="en-GB"/>
        </w:rPr>
      </w:pPr>
      <w:r w:rsidRPr="00FB2880">
        <w:rPr>
          <w:rFonts w:cs="Arial"/>
          <w:szCs w:val="22"/>
          <w:lang w:val="en-GB"/>
        </w:rPr>
        <w:t xml:space="preserve">The Committee (for requests greater than US$100,000) and the Bureau (for requests up to US$100,000 and emergency requests) approved </w:t>
      </w:r>
      <w:r w:rsidR="00902F5A" w:rsidRPr="00FB2880">
        <w:rPr>
          <w:rFonts w:cs="Arial"/>
          <w:szCs w:val="22"/>
          <w:lang w:val="en-GB"/>
        </w:rPr>
        <w:t>27</w:t>
      </w:r>
      <w:r w:rsidRPr="00FB2880">
        <w:rPr>
          <w:rFonts w:cs="Arial"/>
          <w:szCs w:val="22"/>
          <w:lang w:val="en-GB"/>
        </w:rPr>
        <w:t xml:space="preserve"> </w:t>
      </w:r>
      <w:r w:rsidRPr="00FB2880">
        <w:rPr>
          <w:rFonts w:asciiTheme="minorBidi" w:hAnsiTheme="minorBidi" w:cstheme="minorBidi"/>
          <w:szCs w:val="22"/>
          <w:lang w:val="en-GB"/>
        </w:rPr>
        <w:t>requests</w:t>
      </w:r>
      <w:r w:rsidRPr="00FB2880">
        <w:rPr>
          <w:rFonts w:cs="Arial"/>
          <w:szCs w:val="22"/>
          <w:lang w:val="en-GB"/>
        </w:rPr>
        <w:t xml:space="preserve"> for International Assistance, for a total amount of US$</w:t>
      </w:r>
      <w:r w:rsidR="007D4388" w:rsidRPr="00FB2880">
        <w:rPr>
          <w:rFonts w:cs="Arial"/>
          <w:szCs w:val="22"/>
          <w:lang w:val="en-GB"/>
        </w:rPr>
        <w:t>1,993,676</w:t>
      </w:r>
      <w:r w:rsidR="00F046B3" w:rsidRPr="00FB2880">
        <w:rPr>
          <w:rFonts w:cs="Arial"/>
          <w:szCs w:val="22"/>
          <w:lang w:val="en-GB"/>
        </w:rPr>
        <w:t>, benefitting</w:t>
      </w:r>
      <w:r w:rsidRPr="00FB2880">
        <w:rPr>
          <w:rFonts w:cs="Arial"/>
          <w:szCs w:val="22"/>
          <w:lang w:val="en-GB"/>
        </w:rPr>
        <w:t xml:space="preserve"> </w:t>
      </w:r>
      <w:r w:rsidR="00902F5A" w:rsidRPr="00FB2880">
        <w:rPr>
          <w:rFonts w:cs="Arial"/>
          <w:szCs w:val="22"/>
          <w:lang w:val="en-GB"/>
        </w:rPr>
        <w:t>31</w:t>
      </w:r>
      <w:r w:rsidR="00567107" w:rsidRPr="00FB2880">
        <w:rPr>
          <w:rFonts w:cs="Arial"/>
          <w:szCs w:val="22"/>
          <w:lang w:val="en-GB"/>
        </w:rPr>
        <w:t xml:space="preserve"> </w:t>
      </w:r>
      <w:r w:rsidRPr="00FB2880">
        <w:rPr>
          <w:rFonts w:cs="Arial"/>
          <w:szCs w:val="22"/>
          <w:lang w:val="en-GB"/>
        </w:rPr>
        <w:t>countries.</w:t>
      </w:r>
      <w:r w:rsidR="00F046B3" w:rsidRPr="00FB2880">
        <w:rPr>
          <w:rFonts w:cs="Arial"/>
          <w:szCs w:val="22"/>
          <w:lang w:val="en-GB"/>
        </w:rPr>
        <w:t xml:space="preserve"> Overall, a total of </w:t>
      </w:r>
      <w:r w:rsidR="00902F5A" w:rsidRPr="00FB2880">
        <w:rPr>
          <w:rFonts w:cs="Arial"/>
          <w:szCs w:val="22"/>
          <w:lang w:val="en-GB"/>
        </w:rPr>
        <w:t>37</w:t>
      </w:r>
      <w:r w:rsidR="00F046B3" w:rsidRPr="00FB2880">
        <w:rPr>
          <w:rFonts w:cs="Arial"/>
          <w:szCs w:val="22"/>
          <w:lang w:val="en-GB"/>
        </w:rPr>
        <w:t xml:space="preserve"> States Parties received financial assistance from the Fund during the reporting period.</w:t>
      </w:r>
    </w:p>
    <w:p w14:paraId="5B93AA33" w14:textId="47B95323" w:rsidR="00CB22B9" w:rsidRPr="00FB2880" w:rsidRDefault="00CB22B9" w:rsidP="009E0AD6">
      <w:pPr>
        <w:pStyle w:val="Marge"/>
        <w:numPr>
          <w:ilvl w:val="0"/>
          <w:numId w:val="23"/>
        </w:numPr>
        <w:tabs>
          <w:tab w:val="clear" w:pos="502"/>
          <w:tab w:val="num" w:pos="567"/>
        </w:tabs>
        <w:spacing w:before="120" w:after="120"/>
        <w:ind w:left="567" w:hanging="567"/>
        <w:rPr>
          <w:rFonts w:asciiTheme="minorBidi" w:hAnsiTheme="minorBidi" w:cstheme="minorBidi"/>
          <w:lang w:val="en-GB"/>
        </w:rPr>
      </w:pPr>
      <w:r w:rsidRPr="00FB2880">
        <w:rPr>
          <w:rFonts w:cs="Arial"/>
          <w:szCs w:val="22"/>
          <w:lang w:val="en-GB"/>
        </w:rPr>
        <w:t>Following</w:t>
      </w:r>
      <w:r w:rsidRPr="00FB2880">
        <w:rPr>
          <w:rFonts w:asciiTheme="minorBidi" w:hAnsiTheme="minorBidi" w:cstheme="minorBidi"/>
          <w:szCs w:val="22"/>
          <w:lang w:val="en-GB"/>
        </w:rPr>
        <w:t xml:space="preserve"> the recommendations of the Open-ended intergovernmental working groups in the </w:t>
      </w:r>
      <w:r w:rsidRPr="00FB2880">
        <w:rPr>
          <w:rFonts w:cs="Arial"/>
          <w:szCs w:val="22"/>
          <w:lang w:val="en-GB"/>
        </w:rPr>
        <w:t>framework</w:t>
      </w:r>
      <w:r w:rsidRPr="00FB2880">
        <w:rPr>
          <w:rFonts w:asciiTheme="minorBidi" w:hAnsiTheme="minorBidi" w:cstheme="minorBidi"/>
          <w:szCs w:val="22"/>
          <w:lang w:val="en-GB"/>
        </w:rPr>
        <w:t xml:space="preserve"> of the global reflection on the listing mechanisms (2018-2022) and in the framework of the reflection on a broader implementation of Article 18 (2023), the 10.GA approved amendments to the Operational Directives (Resolution </w:t>
      </w:r>
      <w:hyperlink r:id="rId45" w:history="1">
        <w:r w:rsidRPr="00FB2880">
          <w:rPr>
            <w:rStyle w:val="Hyperlink"/>
            <w:rFonts w:asciiTheme="minorBidi" w:hAnsiTheme="minorBidi" w:cstheme="minorBidi"/>
            <w:szCs w:val="22"/>
            <w:lang w:val="en-GB"/>
          </w:rPr>
          <w:t>10.GA 7</w:t>
        </w:r>
      </w:hyperlink>
      <w:r w:rsidRPr="00FB2880">
        <w:rPr>
          <w:rFonts w:asciiTheme="minorBidi" w:hAnsiTheme="minorBidi" w:cstheme="minorBidi"/>
          <w:szCs w:val="22"/>
          <w:lang w:val="en-GB"/>
        </w:rPr>
        <w:t xml:space="preserve">), endorsed by the eighteenth session of the Committee (Decisions </w:t>
      </w:r>
      <w:hyperlink r:id="rId46" w:history="1">
        <w:r w:rsidRPr="00FB2880">
          <w:rPr>
            <w:rStyle w:val="Hyperlink"/>
            <w:rFonts w:asciiTheme="minorBidi" w:hAnsiTheme="minorBidi" w:cstheme="minorBidi"/>
            <w:szCs w:val="22"/>
            <w:lang w:val="en-GB"/>
          </w:rPr>
          <w:t>18.COM 10</w:t>
        </w:r>
      </w:hyperlink>
      <w:r w:rsidRPr="00FB2880">
        <w:rPr>
          <w:rFonts w:asciiTheme="minorBidi" w:hAnsiTheme="minorBidi" w:cstheme="minorBidi"/>
          <w:szCs w:val="22"/>
          <w:lang w:val="en-GB"/>
        </w:rPr>
        <w:t xml:space="preserve"> and </w:t>
      </w:r>
      <w:hyperlink r:id="rId47" w:history="1">
        <w:r w:rsidRPr="00FB2880">
          <w:rPr>
            <w:rStyle w:val="Hyperlink"/>
            <w:rFonts w:asciiTheme="minorBidi" w:hAnsiTheme="minorBidi" w:cstheme="minorBidi"/>
            <w:szCs w:val="22"/>
            <w:lang w:val="en-GB"/>
          </w:rPr>
          <w:t>18.COM 11</w:t>
        </w:r>
      </w:hyperlink>
      <w:r w:rsidRPr="00FB2880">
        <w:rPr>
          <w:rFonts w:asciiTheme="minorBidi" w:hAnsiTheme="minorBidi" w:cstheme="minorBidi"/>
          <w:szCs w:val="22"/>
          <w:lang w:val="en-GB"/>
        </w:rPr>
        <w:t xml:space="preserve">). These reforms aimed at </w:t>
      </w:r>
      <w:r w:rsidRPr="00FB2880">
        <w:rPr>
          <w:rFonts w:asciiTheme="minorBidi" w:eastAsia="SimSun" w:hAnsiTheme="minorBidi" w:cstheme="minorBidi"/>
          <w:szCs w:val="22"/>
          <w:lang w:val="en-GB"/>
        </w:rPr>
        <w:t xml:space="preserve">simplifying the selection criteria for the Register of Good Safeguarding Practices under Chapter I.3 (the new criteria will be in force from the 2026 cycle onwards), and </w:t>
      </w:r>
      <w:r w:rsidRPr="00FB2880">
        <w:rPr>
          <w:rFonts w:asciiTheme="minorBidi" w:hAnsiTheme="minorBidi" w:cstheme="minorBidi"/>
          <w:szCs w:val="22"/>
          <w:lang w:val="en-GB"/>
        </w:rPr>
        <w:t>enlarging the scope of preparatory Assistance under Chapter I.7, by allowing States Parties with no elements of the intangible cultural heritage present in their territory already inscribed on the Representative List</w:t>
      </w:r>
      <w:r w:rsidR="004F4436" w:rsidRPr="00FB2880">
        <w:rPr>
          <w:rFonts w:asciiTheme="minorBidi" w:hAnsiTheme="minorBidi" w:cstheme="minorBidi"/>
          <w:szCs w:val="22"/>
          <w:lang w:val="en-GB"/>
        </w:rPr>
        <w:t xml:space="preserve"> (</w:t>
      </w:r>
      <w:r w:rsidRPr="00FB2880">
        <w:rPr>
          <w:rFonts w:asciiTheme="minorBidi" w:hAnsiTheme="minorBidi" w:cstheme="minorBidi"/>
          <w:szCs w:val="22"/>
          <w:lang w:val="en-GB"/>
        </w:rPr>
        <w:t>excepting elements proposed via multinational nominations</w:t>
      </w:r>
      <w:r w:rsidR="004F4436" w:rsidRPr="00FB2880">
        <w:rPr>
          <w:rFonts w:asciiTheme="minorBidi" w:hAnsiTheme="minorBidi" w:cstheme="minorBidi"/>
          <w:szCs w:val="22"/>
          <w:lang w:val="en-GB"/>
        </w:rPr>
        <w:t>)</w:t>
      </w:r>
      <w:r w:rsidRPr="00FB2880">
        <w:rPr>
          <w:rFonts w:asciiTheme="minorBidi" w:hAnsiTheme="minorBidi" w:cstheme="minorBidi"/>
          <w:szCs w:val="22"/>
          <w:lang w:val="en-GB"/>
        </w:rPr>
        <w:t>, to request International Assistance to prepare a nomination file to that List. The first five such requests were approved by the Bureau on 11 June 2025.</w:t>
      </w:r>
    </w:p>
    <w:p w14:paraId="35D21FC6" w14:textId="77777777" w:rsidR="003F6063" w:rsidRPr="00FB2880" w:rsidRDefault="003F6063" w:rsidP="009E0AD6">
      <w:pPr>
        <w:widowControl w:val="0"/>
        <w:numPr>
          <w:ilvl w:val="0"/>
          <w:numId w:val="24"/>
        </w:numPr>
        <w:tabs>
          <w:tab w:val="clear" w:pos="720"/>
        </w:tabs>
        <w:spacing w:before="240" w:after="120"/>
        <w:ind w:left="567" w:hanging="567"/>
        <w:jc w:val="both"/>
        <w:rPr>
          <w:rFonts w:ascii="Arial" w:hAnsi="Arial" w:cs="Arial"/>
          <w:b/>
          <w:sz w:val="22"/>
          <w:szCs w:val="22"/>
          <w:lang w:val="en-GB"/>
        </w:rPr>
      </w:pPr>
      <w:r w:rsidRPr="00FB2880">
        <w:rPr>
          <w:rFonts w:ascii="Arial" w:hAnsi="Arial" w:cs="Arial"/>
          <w:b/>
          <w:sz w:val="22"/>
          <w:szCs w:val="22"/>
          <w:lang w:val="en-GB"/>
        </w:rPr>
        <w:lastRenderedPageBreak/>
        <w:t>Preparation of the Operational Directives for the implementation of the Convention</w:t>
      </w:r>
      <w:r w:rsidRPr="00FB2880">
        <w:rPr>
          <w:rFonts w:ascii="Arial" w:hAnsi="Arial" w:cs="Arial"/>
          <w:sz w:val="22"/>
          <w:szCs w:val="22"/>
          <w:lang w:val="en-GB"/>
        </w:rPr>
        <w:t xml:space="preserve"> (Article 7[e])</w:t>
      </w:r>
    </w:p>
    <w:p w14:paraId="56C672BB" w14:textId="04403CDD" w:rsidR="00F7173B" w:rsidRPr="00FB2880" w:rsidRDefault="00F7173B" w:rsidP="00775FCC">
      <w:pPr>
        <w:pStyle w:val="Marge"/>
        <w:numPr>
          <w:ilvl w:val="0"/>
          <w:numId w:val="23"/>
        </w:numPr>
        <w:tabs>
          <w:tab w:val="clear" w:pos="502"/>
          <w:tab w:val="clear" w:pos="567"/>
        </w:tabs>
        <w:spacing w:before="120" w:after="120"/>
        <w:ind w:left="567" w:hanging="567"/>
        <w:rPr>
          <w:rFonts w:asciiTheme="minorBidi" w:hAnsiTheme="minorBidi"/>
          <w:szCs w:val="22"/>
          <w:lang w:val="en-GB"/>
        </w:rPr>
      </w:pPr>
      <w:r w:rsidRPr="00FB2880">
        <w:rPr>
          <w:rFonts w:cs="Arial"/>
          <w:szCs w:val="22"/>
          <w:lang w:val="en-GB"/>
        </w:rPr>
        <w:t xml:space="preserve">During the reporting period, the Committee </w:t>
      </w:r>
      <w:r w:rsidR="00A356BF" w:rsidRPr="00FB2880">
        <w:rPr>
          <w:rFonts w:cs="Arial"/>
          <w:szCs w:val="22"/>
          <w:lang w:val="en-GB"/>
        </w:rPr>
        <w:t xml:space="preserve">also </w:t>
      </w:r>
      <w:r w:rsidRPr="00FB2880">
        <w:rPr>
          <w:rFonts w:cs="Arial"/>
          <w:szCs w:val="22"/>
          <w:lang w:val="en-GB"/>
        </w:rPr>
        <w:t xml:space="preserve">recommended that the General Assembly approve amendments to the Operational Directives </w:t>
      </w:r>
      <w:r w:rsidRPr="00FB2880">
        <w:rPr>
          <w:rFonts w:asciiTheme="minorBidi" w:hAnsiTheme="minorBidi" w:cstheme="minorBidi"/>
          <w:szCs w:val="22"/>
          <w:lang w:val="en-GB"/>
        </w:rPr>
        <w:t>regarding the timetable for treatment of nomination files (</w:t>
      </w:r>
      <w:r w:rsidRPr="00FB2880">
        <w:rPr>
          <w:rFonts w:cs="Arial"/>
          <w:szCs w:val="22"/>
          <w:lang w:val="en-GB"/>
        </w:rPr>
        <w:t>Decision</w:t>
      </w:r>
      <w:r w:rsidRPr="00FB2880">
        <w:rPr>
          <w:lang w:val="en-GB"/>
        </w:rPr>
        <w:t xml:space="preserve"> </w:t>
      </w:r>
      <w:hyperlink r:id="rId48" w:history="1">
        <w:r w:rsidRPr="00FB2880">
          <w:rPr>
            <w:rStyle w:val="Hyperlink"/>
            <w:rFonts w:asciiTheme="minorBidi" w:hAnsiTheme="minorBidi" w:cstheme="minorBidi"/>
            <w:szCs w:val="22"/>
            <w:lang w:val="en-GB"/>
          </w:rPr>
          <w:t>20.COM 8</w:t>
        </w:r>
      </w:hyperlink>
      <w:r w:rsidRPr="00FB2880">
        <w:rPr>
          <w:rFonts w:asciiTheme="minorBidi" w:hAnsiTheme="minorBidi" w:cstheme="minorBidi"/>
          <w:szCs w:val="22"/>
          <w:lang w:val="en-GB"/>
        </w:rPr>
        <w:t>), as well as in</w:t>
      </w:r>
      <w:r w:rsidRPr="00FB2880">
        <w:rPr>
          <w:rFonts w:cs="Arial"/>
          <w:szCs w:val="22"/>
          <w:lang w:val="en-GB"/>
        </w:rPr>
        <w:t xml:space="preserve"> support to the move towards the single global submission system of periodic reporting (Decision</w:t>
      </w:r>
      <w:r w:rsidRPr="00FB2880">
        <w:rPr>
          <w:lang w:val="en-GB"/>
        </w:rPr>
        <w:t xml:space="preserve"> </w:t>
      </w:r>
      <w:hyperlink r:id="rId49" w:history="1">
        <w:r w:rsidRPr="00FB2880">
          <w:rPr>
            <w:rStyle w:val="Hyperlink"/>
            <w:rFonts w:asciiTheme="minorBidi" w:hAnsiTheme="minorBidi" w:cstheme="minorBidi"/>
            <w:szCs w:val="22"/>
            <w:lang w:val="en-GB"/>
          </w:rPr>
          <w:t>20.COM 6.c</w:t>
        </w:r>
      </w:hyperlink>
      <w:r w:rsidRPr="00FB2880">
        <w:rPr>
          <w:rFonts w:asciiTheme="minorBidi" w:hAnsiTheme="minorBidi" w:cstheme="minorBidi"/>
          <w:szCs w:val="22"/>
          <w:lang w:val="en-GB"/>
        </w:rPr>
        <w:t>).</w:t>
      </w:r>
    </w:p>
    <w:sectPr w:rsidR="00F7173B" w:rsidRPr="00FB2880" w:rsidSect="00655736">
      <w:headerReference w:type="even" r:id="rId50"/>
      <w:headerReference w:type="default" r:id="rId51"/>
      <w:headerReference w:type="first" r:id="rId5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DD0DF" w14:textId="77777777" w:rsidR="00EC3AEF" w:rsidRDefault="00EC3AEF" w:rsidP="00655736">
      <w:r>
        <w:separator/>
      </w:r>
    </w:p>
  </w:endnote>
  <w:endnote w:type="continuationSeparator" w:id="0">
    <w:p w14:paraId="6626C120" w14:textId="77777777" w:rsidR="00EC3AEF" w:rsidRDefault="00EC3AEF"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285F1" w14:textId="77777777" w:rsidR="00EC3AEF" w:rsidRDefault="00EC3AEF" w:rsidP="00655736">
      <w:r>
        <w:separator/>
      </w:r>
    </w:p>
  </w:footnote>
  <w:footnote w:type="continuationSeparator" w:id="0">
    <w:p w14:paraId="34D5C331" w14:textId="77777777" w:rsidR="00EC3AEF" w:rsidRDefault="00EC3AEF" w:rsidP="00655736">
      <w:r>
        <w:continuationSeparator/>
      </w:r>
    </w:p>
  </w:footnote>
  <w:footnote w:id="1">
    <w:p w14:paraId="200EBC41" w14:textId="3BC545D6" w:rsidR="00A6511E" w:rsidRPr="00562BD0" w:rsidRDefault="00A6511E" w:rsidP="009E0AD6">
      <w:pPr>
        <w:pStyle w:val="FootnoteText"/>
        <w:ind w:left="567" w:hanging="567"/>
        <w:jc w:val="both"/>
        <w:rPr>
          <w:rFonts w:ascii="Arial" w:hAnsi="Arial" w:cs="Arial"/>
          <w:sz w:val="18"/>
          <w:szCs w:val="18"/>
          <w:lang w:val="en-US"/>
        </w:rPr>
      </w:pPr>
      <w:r w:rsidRPr="00BF73A9">
        <w:rPr>
          <w:rStyle w:val="FootnoteReference"/>
          <w:rFonts w:ascii="Arial" w:hAnsi="Arial" w:cs="Arial"/>
          <w:sz w:val="18"/>
          <w:szCs w:val="18"/>
        </w:rPr>
        <w:footnoteRef/>
      </w:r>
      <w:r w:rsidRPr="00BF73A9">
        <w:rPr>
          <w:rFonts w:ascii="Arial" w:hAnsi="Arial" w:cs="Arial"/>
          <w:sz w:val="18"/>
          <w:szCs w:val="18"/>
          <w:lang w:val="en-US"/>
        </w:rPr>
        <w:t xml:space="preserve"> </w:t>
      </w:r>
      <w:r w:rsidRPr="00BF73A9">
        <w:rPr>
          <w:rFonts w:ascii="Arial" w:hAnsi="Arial" w:cs="Arial"/>
          <w:sz w:val="18"/>
          <w:szCs w:val="18"/>
          <w:lang w:val="en-US"/>
        </w:rPr>
        <w:tab/>
      </w:r>
      <w:r w:rsidRPr="007B0704">
        <w:rPr>
          <w:rFonts w:ascii="Arial" w:hAnsi="Arial" w:cs="Arial"/>
          <w:sz w:val="18"/>
          <w:szCs w:val="18"/>
          <w:lang w:val="en-US"/>
        </w:rPr>
        <w:t xml:space="preserve">Having served the first, second, third and fourth meetings of the Bureau of that Committee, </w:t>
      </w:r>
      <w:r w:rsidR="00752C6B" w:rsidRPr="007B0704">
        <w:rPr>
          <w:rFonts w:ascii="Arial" w:hAnsi="Arial" w:cs="Arial"/>
          <w:sz w:val="18"/>
          <w:szCs w:val="18"/>
          <w:lang w:val="en-US"/>
        </w:rPr>
        <w:t>Ms Kamali</w:t>
      </w:r>
      <w:r w:rsidRPr="007B0704">
        <w:rPr>
          <w:rFonts w:ascii="Arial" w:hAnsi="Arial" w:cs="Arial"/>
          <w:sz w:val="18"/>
          <w:szCs w:val="18"/>
          <w:lang w:val="en-US"/>
        </w:rPr>
        <w:t xml:space="preserve"> was unable to travel to attend the 20.COM, and France </w:t>
      </w:r>
      <w:r w:rsidR="00775FCC" w:rsidRPr="007B0704">
        <w:rPr>
          <w:rFonts w:ascii="Arial" w:hAnsi="Arial" w:cs="Arial"/>
          <w:sz w:val="18"/>
          <w:szCs w:val="18"/>
          <w:lang w:val="en-US"/>
        </w:rPr>
        <w:t>(a</w:t>
      </w:r>
      <w:r w:rsidR="00752C6B" w:rsidRPr="007B0704">
        <w:rPr>
          <w:rFonts w:ascii="Arial" w:hAnsi="Arial" w:cs="Arial"/>
          <w:sz w:val="18"/>
          <w:szCs w:val="18"/>
          <w:lang w:val="en-US"/>
        </w:rPr>
        <w:t>s</w:t>
      </w:r>
      <w:r w:rsidR="00775FCC" w:rsidRPr="007B0704">
        <w:rPr>
          <w:rFonts w:ascii="Arial" w:hAnsi="Arial" w:cs="Arial"/>
          <w:sz w:val="18"/>
          <w:szCs w:val="18"/>
          <w:lang w:val="en-US"/>
        </w:rPr>
        <w:t xml:space="preserve"> </w:t>
      </w:r>
      <w:r w:rsidRPr="007B0704">
        <w:rPr>
          <w:rFonts w:ascii="Arial" w:hAnsi="Arial" w:cs="Arial"/>
          <w:sz w:val="18"/>
          <w:szCs w:val="18"/>
          <w:lang w:val="en-US"/>
        </w:rPr>
        <w:t>Vice-Chairperson of the Committee</w:t>
      </w:r>
      <w:r w:rsidR="00775FCC" w:rsidRPr="007B0704">
        <w:rPr>
          <w:rFonts w:ascii="Arial" w:hAnsi="Arial" w:cs="Arial"/>
          <w:sz w:val="18"/>
          <w:szCs w:val="18"/>
          <w:lang w:val="en-US"/>
        </w:rPr>
        <w:t>)</w:t>
      </w:r>
      <w:r w:rsidRPr="007B0704">
        <w:rPr>
          <w:rFonts w:ascii="Arial" w:hAnsi="Arial" w:cs="Arial"/>
          <w:sz w:val="18"/>
          <w:szCs w:val="18"/>
          <w:lang w:val="en-US"/>
        </w:rPr>
        <w:t xml:space="preserve"> served as Rapporteur for that session.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1B368535" w:rsidR="00D95C4C" w:rsidRPr="00C23A97" w:rsidRDefault="00C5776D" w:rsidP="00C5776D">
    <w:pPr>
      <w:pStyle w:val="Header"/>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6085B">
      <w:rPr>
        <w:rFonts w:ascii="Arial" w:hAnsi="Arial" w:cs="Arial"/>
        <w:sz w:val="20"/>
        <w:szCs w:val="20"/>
        <w:lang w:val="en-GB"/>
      </w:rPr>
      <w:t>6</w:t>
    </w:r>
    <w:r w:rsidR="00CB0542">
      <w:rPr>
        <w:rFonts w:ascii="Arial" w:hAnsi="Arial" w:cs="Arial"/>
        <w:sz w:val="20"/>
        <w:szCs w:val="20"/>
        <w:lang w:val="en-GB"/>
      </w:rPr>
      <w:t>/1</w:t>
    </w:r>
    <w:r w:rsidR="0026085B">
      <w:rPr>
        <w:rFonts w:ascii="Arial" w:hAnsi="Arial" w:cs="Arial"/>
        <w:sz w:val="20"/>
        <w:szCs w:val="20"/>
        <w:lang w:val="en-GB"/>
      </w:rPr>
      <w:t>1</w:t>
    </w:r>
    <w:r w:rsidR="00EC6F8D">
      <w:rPr>
        <w:rFonts w:ascii="Arial" w:hAnsi="Arial" w:cs="Arial"/>
        <w:sz w:val="20"/>
        <w:szCs w:val="20"/>
        <w:lang w:val="en-GB"/>
      </w:rPr>
      <w:t>.</w:t>
    </w:r>
    <w:r w:rsidR="005C792B">
      <w:rPr>
        <w:rFonts w:ascii="Arial" w:hAnsi="Arial" w:cs="Arial"/>
        <w:sz w:val="20"/>
        <w:szCs w:val="20"/>
        <w:lang w:val="en-GB"/>
      </w:rPr>
      <w:t>GA</w:t>
    </w:r>
    <w:r w:rsidR="00D95C4C" w:rsidRPr="00C23A97">
      <w:rPr>
        <w:rFonts w:ascii="Arial" w:hAnsi="Arial" w:cs="Arial"/>
        <w:sz w:val="20"/>
        <w:szCs w:val="20"/>
        <w:lang w:val="en-GB"/>
      </w:rPr>
      <w:t>/</w:t>
    </w:r>
    <w:r w:rsidR="00691C9D">
      <w:rPr>
        <w:rFonts w:ascii="Arial" w:hAnsi="Arial" w:cs="Arial"/>
        <w:sz w:val="20"/>
        <w:szCs w:val="20"/>
        <w:lang w:val="en-GB"/>
      </w:rPr>
      <w:t>5</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6E75EB">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0F425229"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26085B">
      <w:rPr>
        <w:rFonts w:ascii="Arial" w:hAnsi="Arial" w:cs="Arial"/>
        <w:sz w:val="20"/>
        <w:szCs w:val="20"/>
        <w:lang w:val="en-GB"/>
      </w:rPr>
      <w:t>6</w:t>
    </w:r>
    <w:r w:rsidR="0053318C">
      <w:rPr>
        <w:rFonts w:ascii="Arial" w:hAnsi="Arial" w:cs="Arial"/>
        <w:sz w:val="20"/>
        <w:szCs w:val="20"/>
        <w:lang w:val="en-GB"/>
      </w:rPr>
      <w:t>/1</w:t>
    </w:r>
    <w:r w:rsidR="0026085B">
      <w:rPr>
        <w:rFonts w:ascii="Arial" w:hAnsi="Arial" w:cs="Arial"/>
        <w:sz w:val="20"/>
        <w:szCs w:val="20"/>
        <w:lang w:val="en-GB"/>
      </w:rPr>
      <w:t>1</w:t>
    </w:r>
    <w:r w:rsidR="00EC6F8D">
      <w:rPr>
        <w:rFonts w:ascii="Arial" w:hAnsi="Arial" w:cs="Arial"/>
        <w:sz w:val="20"/>
        <w:szCs w:val="20"/>
        <w:lang w:val="en-GB"/>
      </w:rPr>
      <w:t>.</w:t>
    </w:r>
    <w:r w:rsidR="005C792B">
      <w:rPr>
        <w:rFonts w:ascii="Arial" w:hAnsi="Arial" w:cs="Arial"/>
        <w:sz w:val="20"/>
        <w:szCs w:val="20"/>
        <w:lang w:val="en-GB"/>
      </w:rPr>
      <w:t>GA</w:t>
    </w:r>
    <w:r w:rsidR="004A34A0" w:rsidRPr="0063300C">
      <w:rPr>
        <w:rFonts w:ascii="Arial" w:hAnsi="Arial" w:cs="Arial"/>
        <w:sz w:val="20"/>
        <w:szCs w:val="20"/>
        <w:lang w:val="en-GB"/>
      </w:rPr>
      <w:t>/</w:t>
    </w:r>
    <w:r w:rsidR="00935FFC">
      <w:rPr>
        <w:rFonts w:ascii="Arial" w:hAnsi="Arial" w:cs="Arial"/>
        <w:sz w:val="20"/>
        <w:szCs w:val="20"/>
        <w:lang w:val="en-GB"/>
      </w:rPr>
      <w:t>5</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51C361AB">
          <wp:simplePos x="0" y="0"/>
          <wp:positionH relativeFrom="margin">
            <wp:align>left</wp:align>
          </wp:positionH>
          <wp:positionV relativeFrom="paragraph">
            <wp:posOffset>97155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3DF77E6D" w:rsidR="00D95C4C" w:rsidRPr="00D7105A" w:rsidRDefault="005C792B" w:rsidP="00C5776D">
    <w:pPr>
      <w:pStyle w:val="Header"/>
      <w:spacing w:after="520"/>
      <w:jc w:val="right"/>
      <w:rPr>
        <w:rFonts w:ascii="Arial" w:hAnsi="Arial" w:cs="Arial"/>
        <w:b/>
        <w:sz w:val="44"/>
        <w:szCs w:val="44"/>
        <w:lang w:val="pt-PT"/>
      </w:rPr>
    </w:pPr>
    <w:r>
      <w:rPr>
        <w:rFonts w:ascii="Arial" w:hAnsi="Arial" w:cs="Arial"/>
        <w:b/>
        <w:sz w:val="44"/>
        <w:szCs w:val="44"/>
        <w:lang w:val="pt-PT"/>
      </w:rPr>
      <w:t>1</w:t>
    </w:r>
    <w:r w:rsidR="0026085B">
      <w:rPr>
        <w:rFonts w:ascii="Arial" w:hAnsi="Arial" w:cs="Arial"/>
        <w:b/>
        <w:sz w:val="44"/>
        <w:szCs w:val="44"/>
        <w:lang w:val="pt-PT"/>
      </w:rPr>
      <w:t>1</w:t>
    </w:r>
    <w:r w:rsidR="00EC6F8D" w:rsidRPr="00D7105A">
      <w:rPr>
        <w:rFonts w:ascii="Arial" w:hAnsi="Arial" w:cs="Arial"/>
        <w:b/>
        <w:sz w:val="44"/>
        <w:szCs w:val="44"/>
        <w:lang w:val="pt-PT"/>
      </w:rPr>
      <w:t xml:space="preserve"> </w:t>
    </w:r>
    <w:r>
      <w:rPr>
        <w:rFonts w:ascii="Arial" w:hAnsi="Arial" w:cs="Arial"/>
        <w:b/>
        <w:sz w:val="44"/>
        <w:szCs w:val="44"/>
        <w:lang w:val="pt-PT"/>
      </w:rPr>
      <w:t>GA</w:t>
    </w:r>
  </w:p>
  <w:p w14:paraId="306484B8" w14:textId="337350BE" w:rsidR="00D95C4C" w:rsidRPr="00D7105A" w:rsidRDefault="00C5776D" w:rsidP="00C5776D">
    <w:pPr>
      <w:jc w:val="right"/>
      <w:rPr>
        <w:rFonts w:ascii="Arial" w:hAnsi="Arial" w:cs="Arial"/>
        <w:b/>
        <w:sz w:val="22"/>
        <w:szCs w:val="22"/>
        <w:lang w:val="pt-PT"/>
      </w:rPr>
    </w:pPr>
    <w:r w:rsidRPr="00D7105A">
      <w:rPr>
        <w:rFonts w:ascii="Arial" w:hAnsi="Arial" w:cs="Arial"/>
        <w:b/>
        <w:sz w:val="22"/>
        <w:szCs w:val="22"/>
        <w:lang w:val="pt-PT"/>
      </w:rPr>
      <w:t>LHE</w:t>
    </w:r>
    <w:r w:rsidR="00337CEB" w:rsidRPr="00D7105A">
      <w:rPr>
        <w:rFonts w:ascii="Arial" w:hAnsi="Arial" w:cs="Arial"/>
        <w:b/>
        <w:sz w:val="22"/>
        <w:szCs w:val="22"/>
        <w:lang w:val="pt-PT"/>
      </w:rPr>
      <w:t>/</w:t>
    </w:r>
    <w:r w:rsidR="00D7105A">
      <w:rPr>
        <w:rFonts w:ascii="Arial" w:hAnsi="Arial" w:cs="Arial"/>
        <w:b/>
        <w:sz w:val="22"/>
        <w:szCs w:val="22"/>
        <w:lang w:val="pt-PT"/>
      </w:rPr>
      <w:t>2</w:t>
    </w:r>
    <w:r w:rsidR="0026085B">
      <w:rPr>
        <w:rFonts w:ascii="Arial" w:hAnsi="Arial" w:cs="Arial"/>
        <w:b/>
        <w:sz w:val="22"/>
        <w:szCs w:val="22"/>
        <w:lang w:val="pt-PT"/>
      </w:rPr>
      <w:t>6</w:t>
    </w:r>
    <w:r w:rsidR="00D95C4C" w:rsidRPr="00D7105A">
      <w:rPr>
        <w:rFonts w:ascii="Arial" w:hAnsi="Arial" w:cs="Arial"/>
        <w:b/>
        <w:sz w:val="22"/>
        <w:szCs w:val="22"/>
        <w:lang w:val="pt-PT"/>
      </w:rPr>
      <w:t>/</w:t>
    </w:r>
    <w:r w:rsidR="00CB0542" w:rsidRPr="00D7105A">
      <w:rPr>
        <w:rFonts w:ascii="Arial" w:hAnsi="Arial" w:cs="Arial"/>
        <w:b/>
        <w:sz w:val="22"/>
        <w:szCs w:val="22"/>
        <w:lang w:val="pt-PT"/>
      </w:rPr>
      <w:t>1</w:t>
    </w:r>
    <w:r w:rsidR="0026085B">
      <w:rPr>
        <w:rFonts w:ascii="Arial" w:hAnsi="Arial" w:cs="Arial"/>
        <w:b/>
        <w:sz w:val="22"/>
        <w:szCs w:val="22"/>
        <w:lang w:val="pt-PT"/>
      </w:rPr>
      <w:t>1</w:t>
    </w:r>
    <w:r w:rsidR="00D95C4C" w:rsidRPr="00D7105A">
      <w:rPr>
        <w:rFonts w:ascii="Arial" w:hAnsi="Arial" w:cs="Arial"/>
        <w:b/>
        <w:sz w:val="22"/>
        <w:szCs w:val="22"/>
        <w:lang w:val="pt-PT"/>
      </w:rPr>
      <w:t>.</w:t>
    </w:r>
    <w:r w:rsidR="005C792B">
      <w:rPr>
        <w:rFonts w:ascii="Arial" w:hAnsi="Arial" w:cs="Arial"/>
        <w:b/>
        <w:sz w:val="22"/>
        <w:szCs w:val="22"/>
        <w:lang w:val="pt-PT"/>
      </w:rPr>
      <w:t>GA</w:t>
    </w:r>
    <w:r w:rsidR="00D95C4C" w:rsidRPr="00D7105A">
      <w:rPr>
        <w:rFonts w:ascii="Arial" w:hAnsi="Arial" w:cs="Arial"/>
        <w:b/>
        <w:sz w:val="22"/>
        <w:szCs w:val="22"/>
        <w:lang w:val="pt-PT"/>
      </w:rPr>
      <w:t>/</w:t>
    </w:r>
    <w:r w:rsidR="00691C9D">
      <w:rPr>
        <w:rFonts w:ascii="Arial" w:hAnsi="Arial" w:cs="Arial"/>
        <w:b/>
        <w:sz w:val="22"/>
        <w:szCs w:val="22"/>
        <w:lang w:val="pt-PT"/>
      </w:rPr>
      <w:t>5</w:t>
    </w:r>
  </w:p>
  <w:p w14:paraId="1B4446C3" w14:textId="7F519009" w:rsidR="00D95C4C" w:rsidRPr="00D7105A" w:rsidRDefault="00D95C4C" w:rsidP="00655736">
    <w:pPr>
      <w:jc w:val="right"/>
      <w:rPr>
        <w:rFonts w:ascii="Arial" w:eastAsiaTheme="minorEastAsia" w:hAnsi="Arial" w:cs="Arial"/>
        <w:b/>
        <w:sz w:val="22"/>
        <w:szCs w:val="22"/>
        <w:lang w:val="pt-PT" w:eastAsia="ko-KR"/>
      </w:rPr>
    </w:pPr>
    <w:r w:rsidRPr="00691C9D">
      <w:rPr>
        <w:rFonts w:ascii="Arial" w:hAnsi="Arial" w:cs="Arial"/>
        <w:b/>
        <w:sz w:val="22"/>
        <w:szCs w:val="22"/>
        <w:lang w:val="pt-PT"/>
      </w:rPr>
      <w:t xml:space="preserve">Paris, </w:t>
    </w:r>
    <w:r w:rsidR="00691C9D" w:rsidRPr="00691C9D">
      <w:rPr>
        <w:rFonts w:ascii="Arial" w:hAnsi="Arial" w:cs="Arial"/>
        <w:b/>
        <w:sz w:val="22"/>
        <w:szCs w:val="22"/>
        <w:lang w:val="pt-PT"/>
      </w:rPr>
      <w:t>18 May</w:t>
    </w:r>
    <w:r w:rsidRPr="00691C9D">
      <w:rPr>
        <w:rFonts w:ascii="Arial" w:hAnsi="Arial" w:cs="Arial"/>
        <w:b/>
        <w:sz w:val="22"/>
        <w:szCs w:val="22"/>
        <w:lang w:val="pt-PT"/>
      </w:rPr>
      <w:t xml:space="preserve"> </w:t>
    </w:r>
    <w:r w:rsidR="00337CEB" w:rsidRPr="00691C9D">
      <w:rPr>
        <w:rFonts w:ascii="Arial" w:hAnsi="Arial" w:cs="Arial"/>
        <w:b/>
        <w:sz w:val="22"/>
        <w:szCs w:val="22"/>
        <w:lang w:val="pt-PT"/>
      </w:rPr>
      <w:t>20</w:t>
    </w:r>
    <w:r w:rsidR="00D7105A" w:rsidRPr="00691C9D">
      <w:rPr>
        <w:rFonts w:ascii="Arial" w:hAnsi="Arial" w:cs="Arial"/>
        <w:b/>
        <w:sz w:val="22"/>
        <w:szCs w:val="22"/>
        <w:lang w:val="pt-PT"/>
      </w:rPr>
      <w:t>2</w:t>
    </w:r>
    <w:r w:rsidR="0026085B" w:rsidRPr="00691C9D">
      <w:rPr>
        <w:rFonts w:ascii="Arial" w:hAnsi="Arial" w:cs="Arial"/>
        <w:b/>
        <w:sz w:val="22"/>
        <w:szCs w:val="22"/>
        <w:lang w:val="pt-PT"/>
      </w:rPr>
      <w:t>6</w:t>
    </w:r>
  </w:p>
  <w:p w14:paraId="255B57FF" w14:textId="71DECC64" w:rsidR="00D95C4C" w:rsidRPr="00691C9D" w:rsidRDefault="00D95C4C" w:rsidP="00962034">
    <w:pPr>
      <w:spacing w:after="120"/>
      <w:jc w:val="right"/>
      <w:rPr>
        <w:rFonts w:ascii="Arial" w:hAnsi="Arial" w:cs="Arial"/>
        <w:b/>
        <w:sz w:val="22"/>
        <w:szCs w:val="22"/>
        <w:lang w:val="pt-BR"/>
      </w:rPr>
    </w:pPr>
    <w:r w:rsidRPr="00691C9D">
      <w:rPr>
        <w:rFonts w:ascii="Arial" w:hAnsi="Arial" w:cs="Arial"/>
        <w:b/>
        <w:sz w:val="22"/>
        <w:szCs w:val="22"/>
        <w:lang w:val="pt-BR"/>
      </w:rPr>
      <w:t xml:space="preserve">Original: </w:t>
    </w:r>
    <w:r w:rsidR="00691C9D" w:rsidRPr="00691C9D">
      <w:rPr>
        <w:rFonts w:ascii="Arial" w:hAnsi="Arial" w:cs="Arial"/>
        <w:b/>
        <w:sz w:val="22"/>
        <w:szCs w:val="22"/>
        <w:lang w:val="pt-BR"/>
      </w:rPr>
      <w:t>E</w:t>
    </w:r>
    <w:r w:rsidR="00691C9D">
      <w:rPr>
        <w:rFonts w:ascii="Arial" w:hAnsi="Arial" w:cs="Arial"/>
        <w:b/>
        <w:sz w:val="22"/>
        <w:szCs w:val="22"/>
        <w:lang w:val="pt-BR"/>
      </w:rPr>
      <w:t>nglish</w:t>
    </w:r>
  </w:p>
  <w:p w14:paraId="3C4B8B1B" w14:textId="77777777" w:rsidR="00D95C4C" w:rsidRPr="00691C9D" w:rsidRDefault="00D95C4C">
    <w:pPr>
      <w:pStyle w:val="Header"/>
      <w:rPr>
        <w:sz w:val="22"/>
        <w:szCs w:val="22"/>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52DE94AE"/>
    <w:lvl w:ilvl="0">
      <w:start w:val="1"/>
      <w:numFmt w:val="upperRoman"/>
      <w:lvlText w:val="%1."/>
      <w:lvlJc w:val="left"/>
      <w:pPr>
        <w:tabs>
          <w:tab w:val="num" w:pos="720"/>
        </w:tabs>
        <w:ind w:left="720" w:hanging="360"/>
      </w:pPr>
      <w:rPr>
        <w:rFonts w:ascii="Arial" w:eastAsia="Arial" w:hAnsi="Arial" w:cs="Arial" w:hint="default"/>
        <w:b/>
        <w:bCs/>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E411C8"/>
    <w:multiLevelType w:val="hybridMultilevel"/>
    <w:tmpl w:val="AFC481B0"/>
    <w:lvl w:ilvl="0" w:tplc="CF1ACF60">
      <w:start w:val="1"/>
      <w:numFmt w:val="lowerLetter"/>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1DD074D"/>
    <w:multiLevelType w:val="hybridMultilevel"/>
    <w:tmpl w:val="A6F23FA6"/>
    <w:lvl w:ilvl="0" w:tplc="08090001">
      <w:start w:val="1"/>
      <w:numFmt w:val="bullet"/>
      <w:lvlText w:val=""/>
      <w:lvlJc w:val="left"/>
      <w:pPr>
        <w:ind w:left="360" w:hanging="360"/>
      </w:pPr>
      <w:rPr>
        <w:rFonts w:ascii="Symbol" w:hAnsi="Symbol" w:hint="default"/>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6F7798"/>
    <w:multiLevelType w:val="hybridMultilevel"/>
    <w:tmpl w:val="1478A43C"/>
    <w:lvl w:ilvl="0" w:tplc="BE429DE0">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2AB35019"/>
    <w:multiLevelType w:val="multilevel"/>
    <w:tmpl w:val="BBCAB5AA"/>
    <w:lvl w:ilvl="0">
      <w:start w:val="1"/>
      <w:numFmt w:val="decimal"/>
      <w:lvlText w:val="%1."/>
      <w:lvlJc w:val="left"/>
      <w:pPr>
        <w:tabs>
          <w:tab w:val="num" w:pos="502"/>
        </w:tabs>
        <w:ind w:left="502" w:hanging="360"/>
      </w:pPr>
      <w:rPr>
        <w:rFonts w:ascii="Arial" w:eastAsia="Arial" w:hAnsi="Arial" w:cs="Arial"/>
        <w:i w:val="0"/>
        <w:sz w:val="22"/>
        <w:szCs w:val="22"/>
        <w:lang w:val="en-G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DB7662"/>
    <w:multiLevelType w:val="hybridMultilevel"/>
    <w:tmpl w:val="F27AF1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D02847"/>
    <w:multiLevelType w:val="multilevel"/>
    <w:tmpl w:val="BBCAB5AA"/>
    <w:lvl w:ilvl="0">
      <w:start w:val="1"/>
      <w:numFmt w:val="decimal"/>
      <w:lvlText w:val="%1."/>
      <w:lvlJc w:val="left"/>
      <w:pPr>
        <w:tabs>
          <w:tab w:val="num" w:pos="502"/>
        </w:tabs>
        <w:ind w:left="502" w:hanging="360"/>
      </w:pPr>
      <w:rPr>
        <w:rFonts w:ascii="Arial" w:eastAsia="Arial" w:hAnsi="Arial" w:cs="Arial"/>
        <w:i w:val="0"/>
        <w:sz w:val="22"/>
        <w:szCs w:val="22"/>
        <w:lang w:val="en-G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7"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8"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9" w15:restartNumberingAfterBreak="0">
    <w:nsid w:val="5FDC490B"/>
    <w:multiLevelType w:val="hybridMultilevel"/>
    <w:tmpl w:val="F18AE4C8"/>
    <w:lvl w:ilvl="0" w:tplc="F15A9762">
      <w:start w:val="1"/>
      <w:numFmt w:val="lowerLetter"/>
      <w:lvlText w:val="%1)"/>
      <w:lvlJc w:val="left"/>
      <w:pPr>
        <w:ind w:left="207" w:hanging="360"/>
      </w:pPr>
      <w:rPr>
        <w:rFonts w:hint="default"/>
      </w:rPr>
    </w:lvl>
    <w:lvl w:ilvl="1" w:tplc="040C0019" w:tentative="1">
      <w:start w:val="1"/>
      <w:numFmt w:val="lowerLetter"/>
      <w:lvlText w:val="%2."/>
      <w:lvlJc w:val="left"/>
      <w:pPr>
        <w:ind w:left="927" w:hanging="360"/>
      </w:pPr>
    </w:lvl>
    <w:lvl w:ilvl="2" w:tplc="040C001B" w:tentative="1">
      <w:start w:val="1"/>
      <w:numFmt w:val="lowerRoman"/>
      <w:lvlText w:val="%3."/>
      <w:lvlJc w:val="right"/>
      <w:pPr>
        <w:ind w:left="1647" w:hanging="180"/>
      </w:pPr>
    </w:lvl>
    <w:lvl w:ilvl="3" w:tplc="040C000F" w:tentative="1">
      <w:start w:val="1"/>
      <w:numFmt w:val="decimal"/>
      <w:lvlText w:val="%4."/>
      <w:lvlJc w:val="left"/>
      <w:pPr>
        <w:ind w:left="2367" w:hanging="360"/>
      </w:pPr>
    </w:lvl>
    <w:lvl w:ilvl="4" w:tplc="040C0019" w:tentative="1">
      <w:start w:val="1"/>
      <w:numFmt w:val="lowerLetter"/>
      <w:lvlText w:val="%5."/>
      <w:lvlJc w:val="left"/>
      <w:pPr>
        <w:ind w:left="3087" w:hanging="360"/>
      </w:pPr>
    </w:lvl>
    <w:lvl w:ilvl="5" w:tplc="040C001B" w:tentative="1">
      <w:start w:val="1"/>
      <w:numFmt w:val="lowerRoman"/>
      <w:lvlText w:val="%6."/>
      <w:lvlJc w:val="right"/>
      <w:pPr>
        <w:ind w:left="3807" w:hanging="180"/>
      </w:pPr>
    </w:lvl>
    <w:lvl w:ilvl="6" w:tplc="040C000F" w:tentative="1">
      <w:start w:val="1"/>
      <w:numFmt w:val="decimal"/>
      <w:lvlText w:val="%7."/>
      <w:lvlJc w:val="left"/>
      <w:pPr>
        <w:ind w:left="4527" w:hanging="360"/>
      </w:pPr>
    </w:lvl>
    <w:lvl w:ilvl="7" w:tplc="040C0019" w:tentative="1">
      <w:start w:val="1"/>
      <w:numFmt w:val="lowerLetter"/>
      <w:lvlText w:val="%8."/>
      <w:lvlJc w:val="left"/>
      <w:pPr>
        <w:ind w:left="5247" w:hanging="360"/>
      </w:pPr>
    </w:lvl>
    <w:lvl w:ilvl="8" w:tplc="040C001B" w:tentative="1">
      <w:start w:val="1"/>
      <w:numFmt w:val="lowerRoman"/>
      <w:lvlText w:val="%9."/>
      <w:lvlJc w:val="right"/>
      <w:pPr>
        <w:ind w:left="5967" w:hanging="180"/>
      </w:pPr>
    </w:lvl>
  </w:abstractNum>
  <w:abstractNum w:abstractNumId="2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8"/>
  </w:num>
  <w:num w:numId="2" w16cid:durableId="699629408">
    <w:abstractNumId w:val="12"/>
  </w:num>
  <w:num w:numId="3" w16cid:durableId="164177712">
    <w:abstractNumId w:val="5"/>
  </w:num>
  <w:num w:numId="4" w16cid:durableId="1416590798">
    <w:abstractNumId w:val="21"/>
  </w:num>
  <w:num w:numId="5" w16cid:durableId="1762608160">
    <w:abstractNumId w:val="20"/>
  </w:num>
  <w:num w:numId="6" w16cid:durableId="2146270374">
    <w:abstractNumId w:val="2"/>
  </w:num>
  <w:num w:numId="7" w16cid:durableId="1113592211">
    <w:abstractNumId w:val="6"/>
  </w:num>
  <w:num w:numId="8" w16cid:durableId="1920598164">
    <w:abstractNumId w:val="17"/>
  </w:num>
  <w:num w:numId="9" w16cid:durableId="1533764642">
    <w:abstractNumId w:val="11"/>
  </w:num>
  <w:num w:numId="10" w16cid:durableId="1246129">
    <w:abstractNumId w:val="13"/>
  </w:num>
  <w:num w:numId="11" w16cid:durableId="111829808">
    <w:abstractNumId w:val="16"/>
  </w:num>
  <w:num w:numId="12" w16cid:durableId="1088770206">
    <w:abstractNumId w:val="14"/>
  </w:num>
  <w:num w:numId="13" w16cid:durableId="1263951029">
    <w:abstractNumId w:val="22"/>
  </w:num>
  <w:num w:numId="14" w16cid:durableId="395903570">
    <w:abstractNumId w:val="10"/>
  </w:num>
  <w:num w:numId="15" w16cid:durableId="1857570918">
    <w:abstractNumId w:val="11"/>
  </w:num>
  <w:num w:numId="16" w16cid:durableId="248199808">
    <w:abstractNumId w:val="11"/>
  </w:num>
  <w:num w:numId="17" w16cid:durableId="350380342">
    <w:abstractNumId w:val="11"/>
  </w:num>
  <w:num w:numId="18" w16cid:durableId="944581980">
    <w:abstractNumId w:val="11"/>
  </w:num>
  <w:num w:numId="19" w16cid:durableId="772675100">
    <w:abstractNumId w:val="11"/>
  </w:num>
  <w:num w:numId="20" w16cid:durableId="1253010311">
    <w:abstractNumId w:val="11"/>
  </w:num>
  <w:num w:numId="21" w16cid:durableId="540821319">
    <w:abstractNumId w:val="4"/>
  </w:num>
  <w:num w:numId="22" w16cid:durableId="2046514942">
    <w:abstractNumId w:val="11"/>
  </w:num>
  <w:num w:numId="23" w16cid:durableId="236406030">
    <w:abstractNumId w:val="8"/>
  </w:num>
  <w:num w:numId="24" w16cid:durableId="1762335666">
    <w:abstractNumId w:val="0"/>
  </w:num>
  <w:num w:numId="25" w16cid:durableId="1089079700">
    <w:abstractNumId w:val="1"/>
  </w:num>
  <w:num w:numId="26" w16cid:durableId="1400247666">
    <w:abstractNumId w:val="9"/>
  </w:num>
  <w:num w:numId="27" w16cid:durableId="925310434">
    <w:abstractNumId w:val="3"/>
  </w:num>
  <w:num w:numId="28" w16cid:durableId="969701546">
    <w:abstractNumId w:val="7"/>
  </w:num>
  <w:num w:numId="29" w16cid:durableId="1469321499">
    <w:abstractNumId w:val="19"/>
  </w:num>
  <w:num w:numId="30" w16cid:durableId="229777206">
    <w:abstractNumId w:val="13"/>
  </w:num>
  <w:num w:numId="31" w16cid:durableId="395476013">
    <w:abstractNumId w:val="13"/>
  </w:num>
  <w:num w:numId="32" w16cid:durableId="1684700149">
    <w:abstractNumId w:val="13"/>
  </w:num>
  <w:num w:numId="33" w16cid:durableId="235015644">
    <w:abstractNumId w:val="13"/>
  </w:num>
  <w:num w:numId="34" w16cid:durableId="510996962">
    <w:abstractNumId w:val="13"/>
  </w:num>
  <w:num w:numId="35" w16cid:durableId="1019282607">
    <w:abstractNumId w:val="13"/>
  </w:num>
  <w:num w:numId="36" w16cid:durableId="650869483">
    <w:abstractNumId w:val="13"/>
  </w:num>
  <w:num w:numId="37" w16cid:durableId="15357282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24229"/>
    <w:rsid w:val="00032069"/>
    <w:rsid w:val="00037C8F"/>
    <w:rsid w:val="00041A66"/>
    <w:rsid w:val="00042D88"/>
    <w:rsid w:val="0004336A"/>
    <w:rsid w:val="000440D6"/>
    <w:rsid w:val="00045B83"/>
    <w:rsid w:val="0005176E"/>
    <w:rsid w:val="00064596"/>
    <w:rsid w:val="000742FE"/>
    <w:rsid w:val="000765F7"/>
    <w:rsid w:val="0007725F"/>
    <w:rsid w:val="00077AB7"/>
    <w:rsid w:val="00081CD8"/>
    <w:rsid w:val="0009381C"/>
    <w:rsid w:val="000A2624"/>
    <w:rsid w:val="000A7F0E"/>
    <w:rsid w:val="000B1C8F"/>
    <w:rsid w:val="000B597E"/>
    <w:rsid w:val="000C0D61"/>
    <w:rsid w:val="000C35D1"/>
    <w:rsid w:val="000E251A"/>
    <w:rsid w:val="000E2CA5"/>
    <w:rsid w:val="000E5E9D"/>
    <w:rsid w:val="000F3A3F"/>
    <w:rsid w:val="000F3C51"/>
    <w:rsid w:val="000F5112"/>
    <w:rsid w:val="00102407"/>
    <w:rsid w:val="00102557"/>
    <w:rsid w:val="0011108A"/>
    <w:rsid w:val="00111EB0"/>
    <w:rsid w:val="00125094"/>
    <w:rsid w:val="001312B1"/>
    <w:rsid w:val="0014700A"/>
    <w:rsid w:val="00147A38"/>
    <w:rsid w:val="00153F7F"/>
    <w:rsid w:val="001607BF"/>
    <w:rsid w:val="00161579"/>
    <w:rsid w:val="00164D56"/>
    <w:rsid w:val="00167B10"/>
    <w:rsid w:val="00170B5C"/>
    <w:rsid w:val="00172986"/>
    <w:rsid w:val="0017402F"/>
    <w:rsid w:val="001900AB"/>
    <w:rsid w:val="00190205"/>
    <w:rsid w:val="00192377"/>
    <w:rsid w:val="00193C5F"/>
    <w:rsid w:val="00196C1B"/>
    <w:rsid w:val="001A1E2D"/>
    <w:rsid w:val="001A74CF"/>
    <w:rsid w:val="001B0F73"/>
    <w:rsid w:val="001B66C9"/>
    <w:rsid w:val="001C2DB7"/>
    <w:rsid w:val="001C5B95"/>
    <w:rsid w:val="001C6D37"/>
    <w:rsid w:val="001D14FE"/>
    <w:rsid w:val="001D2D51"/>
    <w:rsid w:val="001D4258"/>
    <w:rsid w:val="001D5C04"/>
    <w:rsid w:val="001F26CF"/>
    <w:rsid w:val="0020557B"/>
    <w:rsid w:val="00214751"/>
    <w:rsid w:val="00217B14"/>
    <w:rsid w:val="002221B4"/>
    <w:rsid w:val="00222A2D"/>
    <w:rsid w:val="00223029"/>
    <w:rsid w:val="00233419"/>
    <w:rsid w:val="00234745"/>
    <w:rsid w:val="002351A6"/>
    <w:rsid w:val="002407AF"/>
    <w:rsid w:val="00245501"/>
    <w:rsid w:val="0024629E"/>
    <w:rsid w:val="00254614"/>
    <w:rsid w:val="00254B26"/>
    <w:rsid w:val="0026085B"/>
    <w:rsid w:val="00260CE2"/>
    <w:rsid w:val="0026221A"/>
    <w:rsid w:val="00271973"/>
    <w:rsid w:val="0027466B"/>
    <w:rsid w:val="002768B8"/>
    <w:rsid w:val="002814F6"/>
    <w:rsid w:val="002838A5"/>
    <w:rsid w:val="00285BB4"/>
    <w:rsid w:val="00293316"/>
    <w:rsid w:val="002A7A0F"/>
    <w:rsid w:val="002B77E2"/>
    <w:rsid w:val="002C09E3"/>
    <w:rsid w:val="002C0A61"/>
    <w:rsid w:val="002C5DD0"/>
    <w:rsid w:val="002C6A2C"/>
    <w:rsid w:val="002D1244"/>
    <w:rsid w:val="002D6853"/>
    <w:rsid w:val="002E01FD"/>
    <w:rsid w:val="002E2D4F"/>
    <w:rsid w:val="002E3493"/>
    <w:rsid w:val="0030312A"/>
    <w:rsid w:val="00313283"/>
    <w:rsid w:val="003161AD"/>
    <w:rsid w:val="00335C73"/>
    <w:rsid w:val="0033715C"/>
    <w:rsid w:val="003376D9"/>
    <w:rsid w:val="00337CEB"/>
    <w:rsid w:val="00344874"/>
    <w:rsid w:val="00344B58"/>
    <w:rsid w:val="0034539A"/>
    <w:rsid w:val="00345CB4"/>
    <w:rsid w:val="00346134"/>
    <w:rsid w:val="00353FB2"/>
    <w:rsid w:val="00365599"/>
    <w:rsid w:val="003669D2"/>
    <w:rsid w:val="00375D42"/>
    <w:rsid w:val="00376744"/>
    <w:rsid w:val="00385542"/>
    <w:rsid w:val="00386A89"/>
    <w:rsid w:val="0038772C"/>
    <w:rsid w:val="003A1AE8"/>
    <w:rsid w:val="003A31BA"/>
    <w:rsid w:val="003B0419"/>
    <w:rsid w:val="003C0465"/>
    <w:rsid w:val="003C3B43"/>
    <w:rsid w:val="003D069C"/>
    <w:rsid w:val="003D7646"/>
    <w:rsid w:val="003F113A"/>
    <w:rsid w:val="003F3E63"/>
    <w:rsid w:val="003F6063"/>
    <w:rsid w:val="003F6D14"/>
    <w:rsid w:val="00407480"/>
    <w:rsid w:val="00414643"/>
    <w:rsid w:val="00415C51"/>
    <w:rsid w:val="004219F9"/>
    <w:rsid w:val="004236BB"/>
    <w:rsid w:val="004264DE"/>
    <w:rsid w:val="004313C4"/>
    <w:rsid w:val="00431920"/>
    <w:rsid w:val="00432B58"/>
    <w:rsid w:val="00441941"/>
    <w:rsid w:val="004421E5"/>
    <w:rsid w:val="00452284"/>
    <w:rsid w:val="00453762"/>
    <w:rsid w:val="00456F88"/>
    <w:rsid w:val="00457C8E"/>
    <w:rsid w:val="0046253C"/>
    <w:rsid w:val="00465958"/>
    <w:rsid w:val="004679AF"/>
    <w:rsid w:val="00480175"/>
    <w:rsid w:val="004856CA"/>
    <w:rsid w:val="0048725F"/>
    <w:rsid w:val="00487E67"/>
    <w:rsid w:val="004906B7"/>
    <w:rsid w:val="00490982"/>
    <w:rsid w:val="004918AB"/>
    <w:rsid w:val="0049705E"/>
    <w:rsid w:val="004A2875"/>
    <w:rsid w:val="004A34A0"/>
    <w:rsid w:val="004C41A3"/>
    <w:rsid w:val="004C7C82"/>
    <w:rsid w:val="004D45E6"/>
    <w:rsid w:val="004F4436"/>
    <w:rsid w:val="004F5C87"/>
    <w:rsid w:val="005008A8"/>
    <w:rsid w:val="00517FD8"/>
    <w:rsid w:val="00526B7B"/>
    <w:rsid w:val="005274D2"/>
    <w:rsid w:val="005308CE"/>
    <w:rsid w:val="0053318C"/>
    <w:rsid w:val="00544C93"/>
    <w:rsid w:val="0054535F"/>
    <w:rsid w:val="00546A75"/>
    <w:rsid w:val="00552DFC"/>
    <w:rsid w:val="00555102"/>
    <w:rsid w:val="00563A66"/>
    <w:rsid w:val="00567107"/>
    <w:rsid w:val="0057439C"/>
    <w:rsid w:val="005960FA"/>
    <w:rsid w:val="005A12C9"/>
    <w:rsid w:val="005B0127"/>
    <w:rsid w:val="005B0C0F"/>
    <w:rsid w:val="005B7A35"/>
    <w:rsid w:val="005C4B73"/>
    <w:rsid w:val="005C792B"/>
    <w:rsid w:val="005D7864"/>
    <w:rsid w:val="005E1D2B"/>
    <w:rsid w:val="005E7074"/>
    <w:rsid w:val="005F2BAF"/>
    <w:rsid w:val="00600D93"/>
    <w:rsid w:val="00607509"/>
    <w:rsid w:val="0061509D"/>
    <w:rsid w:val="00615A93"/>
    <w:rsid w:val="0062106C"/>
    <w:rsid w:val="0062211E"/>
    <w:rsid w:val="00626BEA"/>
    <w:rsid w:val="00630621"/>
    <w:rsid w:val="0063300C"/>
    <w:rsid w:val="00651A5B"/>
    <w:rsid w:val="006545E7"/>
    <w:rsid w:val="00655736"/>
    <w:rsid w:val="00662D50"/>
    <w:rsid w:val="00663B8D"/>
    <w:rsid w:val="006853AC"/>
    <w:rsid w:val="00691C9D"/>
    <w:rsid w:val="00696C8D"/>
    <w:rsid w:val="006A2AC2"/>
    <w:rsid w:val="006A3617"/>
    <w:rsid w:val="006B31CB"/>
    <w:rsid w:val="006B4452"/>
    <w:rsid w:val="006E46E4"/>
    <w:rsid w:val="006E75EB"/>
    <w:rsid w:val="0070357D"/>
    <w:rsid w:val="007121C4"/>
    <w:rsid w:val="00717DA5"/>
    <w:rsid w:val="007216D4"/>
    <w:rsid w:val="00722C26"/>
    <w:rsid w:val="00732527"/>
    <w:rsid w:val="007333D0"/>
    <w:rsid w:val="007346C8"/>
    <w:rsid w:val="007435E5"/>
    <w:rsid w:val="00744484"/>
    <w:rsid w:val="00747566"/>
    <w:rsid w:val="00752C6B"/>
    <w:rsid w:val="00764597"/>
    <w:rsid w:val="00771343"/>
    <w:rsid w:val="00773188"/>
    <w:rsid w:val="00775FCC"/>
    <w:rsid w:val="007772CD"/>
    <w:rsid w:val="00780AAD"/>
    <w:rsid w:val="00783782"/>
    <w:rsid w:val="00784B8C"/>
    <w:rsid w:val="007879E1"/>
    <w:rsid w:val="007B0704"/>
    <w:rsid w:val="007D4388"/>
    <w:rsid w:val="007E1402"/>
    <w:rsid w:val="007E57AA"/>
    <w:rsid w:val="007E653D"/>
    <w:rsid w:val="007F29F6"/>
    <w:rsid w:val="008007C5"/>
    <w:rsid w:val="0080480F"/>
    <w:rsid w:val="00812021"/>
    <w:rsid w:val="00817A17"/>
    <w:rsid w:val="0082186A"/>
    <w:rsid w:val="00823A11"/>
    <w:rsid w:val="00826C84"/>
    <w:rsid w:val="008343CC"/>
    <w:rsid w:val="00837898"/>
    <w:rsid w:val="0085185D"/>
    <w:rsid w:val="00851A9A"/>
    <w:rsid w:val="0085405E"/>
    <w:rsid w:val="0085414A"/>
    <w:rsid w:val="00857EB9"/>
    <w:rsid w:val="0086269D"/>
    <w:rsid w:val="00862A0D"/>
    <w:rsid w:val="0086543A"/>
    <w:rsid w:val="008708F9"/>
    <w:rsid w:val="008724E5"/>
    <w:rsid w:val="0087279E"/>
    <w:rsid w:val="0087295E"/>
    <w:rsid w:val="008739E9"/>
    <w:rsid w:val="008765C9"/>
    <w:rsid w:val="008830B4"/>
    <w:rsid w:val="00884A9D"/>
    <w:rsid w:val="0088512B"/>
    <w:rsid w:val="0089108C"/>
    <w:rsid w:val="008A2B2D"/>
    <w:rsid w:val="008A4E1E"/>
    <w:rsid w:val="008A5C9A"/>
    <w:rsid w:val="008A6458"/>
    <w:rsid w:val="008C296C"/>
    <w:rsid w:val="008D28A6"/>
    <w:rsid w:val="008D4305"/>
    <w:rsid w:val="008E1A85"/>
    <w:rsid w:val="008E344F"/>
    <w:rsid w:val="008E6C1B"/>
    <w:rsid w:val="00902F5A"/>
    <w:rsid w:val="00903861"/>
    <w:rsid w:val="009163A7"/>
    <w:rsid w:val="00916DA4"/>
    <w:rsid w:val="009219A9"/>
    <w:rsid w:val="009268B2"/>
    <w:rsid w:val="009327FB"/>
    <w:rsid w:val="00935FFC"/>
    <w:rsid w:val="00937D53"/>
    <w:rsid w:val="00946D0B"/>
    <w:rsid w:val="00947A62"/>
    <w:rsid w:val="00955877"/>
    <w:rsid w:val="00960318"/>
    <w:rsid w:val="00962034"/>
    <w:rsid w:val="00966CCC"/>
    <w:rsid w:val="00984D6A"/>
    <w:rsid w:val="00986311"/>
    <w:rsid w:val="009918BB"/>
    <w:rsid w:val="009A18CD"/>
    <w:rsid w:val="009B249A"/>
    <w:rsid w:val="009B287C"/>
    <w:rsid w:val="009B39F2"/>
    <w:rsid w:val="009D5428"/>
    <w:rsid w:val="009D720A"/>
    <w:rsid w:val="009E0AD6"/>
    <w:rsid w:val="009E6366"/>
    <w:rsid w:val="00A06811"/>
    <w:rsid w:val="00A113BB"/>
    <w:rsid w:val="00A12558"/>
    <w:rsid w:val="00A13903"/>
    <w:rsid w:val="00A21AC9"/>
    <w:rsid w:val="00A22E37"/>
    <w:rsid w:val="00A34ED5"/>
    <w:rsid w:val="00A356BF"/>
    <w:rsid w:val="00A45DBF"/>
    <w:rsid w:val="00A53626"/>
    <w:rsid w:val="00A6511E"/>
    <w:rsid w:val="00A725CF"/>
    <w:rsid w:val="00A755A2"/>
    <w:rsid w:val="00A849DA"/>
    <w:rsid w:val="00A84ADC"/>
    <w:rsid w:val="00A91430"/>
    <w:rsid w:val="00A9609D"/>
    <w:rsid w:val="00AA14DC"/>
    <w:rsid w:val="00AA590D"/>
    <w:rsid w:val="00AA6660"/>
    <w:rsid w:val="00AA6E72"/>
    <w:rsid w:val="00AB2C36"/>
    <w:rsid w:val="00AB3D3B"/>
    <w:rsid w:val="00AB6DDE"/>
    <w:rsid w:val="00AB70B6"/>
    <w:rsid w:val="00AC18C1"/>
    <w:rsid w:val="00AD1A86"/>
    <w:rsid w:val="00AD5C46"/>
    <w:rsid w:val="00AE103E"/>
    <w:rsid w:val="00AE21B9"/>
    <w:rsid w:val="00AE5E4A"/>
    <w:rsid w:val="00AF0A07"/>
    <w:rsid w:val="00AF293B"/>
    <w:rsid w:val="00AF4AEC"/>
    <w:rsid w:val="00AF625E"/>
    <w:rsid w:val="00B130EF"/>
    <w:rsid w:val="00B139BE"/>
    <w:rsid w:val="00B2172B"/>
    <w:rsid w:val="00B34428"/>
    <w:rsid w:val="00B36B14"/>
    <w:rsid w:val="00B4402D"/>
    <w:rsid w:val="00B4656D"/>
    <w:rsid w:val="00B540DD"/>
    <w:rsid w:val="00B55B90"/>
    <w:rsid w:val="00B56AF7"/>
    <w:rsid w:val="00B60685"/>
    <w:rsid w:val="00B6782D"/>
    <w:rsid w:val="00B917D2"/>
    <w:rsid w:val="00B9527F"/>
    <w:rsid w:val="00B97EB3"/>
    <w:rsid w:val="00BA22C0"/>
    <w:rsid w:val="00BA241A"/>
    <w:rsid w:val="00BB04AF"/>
    <w:rsid w:val="00BB6D9F"/>
    <w:rsid w:val="00BB6EEC"/>
    <w:rsid w:val="00BB6FBC"/>
    <w:rsid w:val="00BC60D7"/>
    <w:rsid w:val="00BD40D2"/>
    <w:rsid w:val="00BD52C9"/>
    <w:rsid w:val="00BE08A6"/>
    <w:rsid w:val="00BE6354"/>
    <w:rsid w:val="00BE6E70"/>
    <w:rsid w:val="00BF73A9"/>
    <w:rsid w:val="00C10C5F"/>
    <w:rsid w:val="00C12681"/>
    <w:rsid w:val="00C138D1"/>
    <w:rsid w:val="00C23A97"/>
    <w:rsid w:val="00C23B62"/>
    <w:rsid w:val="00C52EBE"/>
    <w:rsid w:val="00C564CF"/>
    <w:rsid w:val="00C5776D"/>
    <w:rsid w:val="00C6366A"/>
    <w:rsid w:val="00C64855"/>
    <w:rsid w:val="00C65FAD"/>
    <w:rsid w:val="00C70EA7"/>
    <w:rsid w:val="00C71A31"/>
    <w:rsid w:val="00C7433F"/>
    <w:rsid w:val="00C7516E"/>
    <w:rsid w:val="00C75770"/>
    <w:rsid w:val="00C77854"/>
    <w:rsid w:val="00C84331"/>
    <w:rsid w:val="00CA56BB"/>
    <w:rsid w:val="00CB0542"/>
    <w:rsid w:val="00CB1923"/>
    <w:rsid w:val="00CB22B9"/>
    <w:rsid w:val="00CB40A4"/>
    <w:rsid w:val="00CD1C4D"/>
    <w:rsid w:val="00CE22DD"/>
    <w:rsid w:val="00CF7733"/>
    <w:rsid w:val="00D00B2B"/>
    <w:rsid w:val="00D23DDF"/>
    <w:rsid w:val="00D24877"/>
    <w:rsid w:val="00D2636E"/>
    <w:rsid w:val="00D26D94"/>
    <w:rsid w:val="00D33575"/>
    <w:rsid w:val="00D63318"/>
    <w:rsid w:val="00D7105A"/>
    <w:rsid w:val="00D8250F"/>
    <w:rsid w:val="00D83976"/>
    <w:rsid w:val="00D86BB3"/>
    <w:rsid w:val="00D94CD4"/>
    <w:rsid w:val="00D95C4C"/>
    <w:rsid w:val="00D9708B"/>
    <w:rsid w:val="00DA36ED"/>
    <w:rsid w:val="00DB27AD"/>
    <w:rsid w:val="00DB2F67"/>
    <w:rsid w:val="00DB7B58"/>
    <w:rsid w:val="00DC49CB"/>
    <w:rsid w:val="00DE2DC3"/>
    <w:rsid w:val="00DE34F1"/>
    <w:rsid w:val="00DE5C29"/>
    <w:rsid w:val="00DE6160"/>
    <w:rsid w:val="00DF4942"/>
    <w:rsid w:val="00DF61DD"/>
    <w:rsid w:val="00E2125F"/>
    <w:rsid w:val="00E24248"/>
    <w:rsid w:val="00E244E1"/>
    <w:rsid w:val="00E3428A"/>
    <w:rsid w:val="00E35B79"/>
    <w:rsid w:val="00E4150C"/>
    <w:rsid w:val="00E46738"/>
    <w:rsid w:val="00E516BC"/>
    <w:rsid w:val="00E627B1"/>
    <w:rsid w:val="00E70169"/>
    <w:rsid w:val="00E7076C"/>
    <w:rsid w:val="00E8029C"/>
    <w:rsid w:val="00E86AB7"/>
    <w:rsid w:val="00E873DD"/>
    <w:rsid w:val="00E9376C"/>
    <w:rsid w:val="00E95AE2"/>
    <w:rsid w:val="00EA335E"/>
    <w:rsid w:val="00EA528C"/>
    <w:rsid w:val="00EA580C"/>
    <w:rsid w:val="00EC3AEF"/>
    <w:rsid w:val="00EC64D7"/>
    <w:rsid w:val="00EC6F8D"/>
    <w:rsid w:val="00ED39B2"/>
    <w:rsid w:val="00EE0919"/>
    <w:rsid w:val="00EE12AD"/>
    <w:rsid w:val="00EE49F4"/>
    <w:rsid w:val="00EF0559"/>
    <w:rsid w:val="00EF155C"/>
    <w:rsid w:val="00EF34E2"/>
    <w:rsid w:val="00F046B3"/>
    <w:rsid w:val="00F06FB0"/>
    <w:rsid w:val="00F20A40"/>
    <w:rsid w:val="00F23463"/>
    <w:rsid w:val="00F24EB5"/>
    <w:rsid w:val="00F30DC6"/>
    <w:rsid w:val="00F31F96"/>
    <w:rsid w:val="00F32A57"/>
    <w:rsid w:val="00F32C23"/>
    <w:rsid w:val="00F463FA"/>
    <w:rsid w:val="00F47A7B"/>
    <w:rsid w:val="00F53DE9"/>
    <w:rsid w:val="00F54CB7"/>
    <w:rsid w:val="00F576CB"/>
    <w:rsid w:val="00F7035D"/>
    <w:rsid w:val="00F70CC5"/>
    <w:rsid w:val="00F7173B"/>
    <w:rsid w:val="00F71A02"/>
    <w:rsid w:val="00F8088C"/>
    <w:rsid w:val="00FA06E3"/>
    <w:rsid w:val="00FA0D63"/>
    <w:rsid w:val="00FA7EA6"/>
    <w:rsid w:val="00FB2880"/>
    <w:rsid w:val="00FD1226"/>
    <w:rsid w:val="00FD4BC8"/>
    <w:rsid w:val="00FD4D05"/>
    <w:rsid w:val="00FD4D78"/>
    <w:rsid w:val="00FF4830"/>
    <w:rsid w:val="00FF707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numbered (a)),Lapis Bulleted List,Dot pt,F5 List Paragraph,List Paragraph Char Char Char,Indicator Text,Numbered Para 1,Bullet 1,List Paragraph12,Bullet Points,MAIN CONTENT,List Paragraph1"/>
    <w:basedOn w:val="Normal"/>
    <w:link w:val="ListParagraphChar"/>
    <w:uiPriority w:val="34"/>
    <w:qFormat/>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eastAsia="SimSun" w:hAnsi="Arial" w:cs="Arial"/>
      <w:sz w:val="22"/>
      <w:szCs w:val="22"/>
      <w:u w:val="single"/>
      <w:lang w:val="en-GB"/>
    </w:rPr>
  </w:style>
  <w:style w:type="character" w:styleId="Hyperlink">
    <w:name w:val="Hyperlink"/>
    <w:basedOn w:val="DefaultParagraphFont"/>
    <w:uiPriority w:val="99"/>
    <w:unhideWhenUsed/>
    <w:rsid w:val="00DB2F67"/>
    <w:rPr>
      <w:color w:val="0000FF" w:themeColor="hyperlink"/>
      <w:u w:val="single"/>
    </w:rPr>
  </w:style>
  <w:style w:type="character" w:customStyle="1" w:styleId="MargeChar">
    <w:name w:val="Marge Char"/>
    <w:link w:val="Marge"/>
    <w:locked/>
    <w:rsid w:val="00935FFC"/>
    <w:rPr>
      <w:rFonts w:ascii="Arial" w:eastAsia="Times New Roman" w:hAnsi="Arial"/>
      <w:snapToGrid w:val="0"/>
      <w:sz w:val="22"/>
      <w:szCs w:val="24"/>
      <w:lang w:eastAsia="en-US"/>
    </w:rPr>
  </w:style>
  <w:style w:type="character" w:customStyle="1" w:styleId="ListParagraphChar">
    <w:name w:val="List Paragraph Char"/>
    <w:aliases w:val="List Paragraph (numbered (a)) Char,Lapis Bulleted List Char,Dot pt Char,F5 List Paragraph Char,List Paragraph Char Char Char Char,Indicator Text Char,Numbered Para 1 Char,Bullet 1 Char,List Paragraph12 Char,Bullet Points Char"/>
    <w:link w:val="ListParagraph"/>
    <w:uiPriority w:val="34"/>
    <w:locked/>
    <w:rsid w:val="00935FFC"/>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DE5C29"/>
    <w:rPr>
      <w:color w:val="605E5C"/>
      <w:shd w:val="clear" w:color="auto" w:fill="E1DFDD"/>
    </w:rPr>
  </w:style>
  <w:style w:type="character" w:styleId="FollowedHyperlink">
    <w:name w:val="FollowedHyperlink"/>
    <w:basedOn w:val="DefaultParagraphFont"/>
    <w:uiPriority w:val="99"/>
    <w:semiHidden/>
    <w:unhideWhenUsed/>
    <w:rsid w:val="00B4656D"/>
    <w:rPr>
      <w:color w:val="800080" w:themeColor="followedHyperlink"/>
      <w:u w:val="single"/>
    </w:rPr>
  </w:style>
  <w:style w:type="character" w:styleId="CommentReference">
    <w:name w:val="annotation reference"/>
    <w:basedOn w:val="DefaultParagraphFont"/>
    <w:uiPriority w:val="99"/>
    <w:semiHidden/>
    <w:unhideWhenUsed/>
    <w:rsid w:val="002E2D4F"/>
    <w:rPr>
      <w:sz w:val="16"/>
      <w:szCs w:val="16"/>
    </w:rPr>
  </w:style>
  <w:style w:type="paragraph" w:styleId="CommentText">
    <w:name w:val="annotation text"/>
    <w:basedOn w:val="Normal"/>
    <w:link w:val="CommentTextChar"/>
    <w:uiPriority w:val="99"/>
    <w:unhideWhenUsed/>
    <w:rsid w:val="002E2D4F"/>
    <w:rPr>
      <w:sz w:val="20"/>
      <w:szCs w:val="20"/>
    </w:rPr>
  </w:style>
  <w:style w:type="character" w:customStyle="1" w:styleId="CommentTextChar">
    <w:name w:val="Comment Text Char"/>
    <w:basedOn w:val="DefaultParagraphFont"/>
    <w:link w:val="CommentText"/>
    <w:uiPriority w:val="99"/>
    <w:rsid w:val="002E2D4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E2D4F"/>
    <w:rPr>
      <w:b/>
      <w:bCs/>
    </w:rPr>
  </w:style>
  <w:style w:type="character" w:customStyle="1" w:styleId="CommentSubjectChar">
    <w:name w:val="Comment Subject Char"/>
    <w:basedOn w:val="CommentTextChar"/>
    <w:link w:val="CommentSubject"/>
    <w:uiPriority w:val="99"/>
    <w:semiHidden/>
    <w:rsid w:val="002E2D4F"/>
    <w:rPr>
      <w:rFonts w:ascii="Times New Roman" w:eastAsia="Times New Roman" w:hAnsi="Times New Roman"/>
      <w:b/>
      <w:bCs/>
    </w:rPr>
  </w:style>
  <w:style w:type="paragraph" w:styleId="Revision">
    <w:name w:val="Revision"/>
    <w:hidden/>
    <w:uiPriority w:val="99"/>
    <w:semiHidden/>
    <w:rsid w:val="0011108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en/decisions/16.COM/12" TargetMode="External"/><Relationship Id="rId18" Type="http://schemas.openxmlformats.org/officeDocument/2006/relationships/hyperlink" Target="https://ich.unesco.org/doc/src/68292-EN.pdf" TargetMode="External"/><Relationship Id="rId26" Type="http://schemas.openxmlformats.org/officeDocument/2006/relationships/hyperlink" Target="https://ich.unesco.org/en/towards-a-platform-for-sharing-good-safeguarding-experiences-01376" TargetMode="External"/><Relationship Id="rId39" Type="http://schemas.openxmlformats.org/officeDocument/2006/relationships/hyperlink" Target="https://ich.unesco.org/en/decisions/20.COM/7.C.2" TargetMode="External"/><Relationship Id="rId3" Type="http://schemas.openxmlformats.org/officeDocument/2006/relationships/styles" Target="styles.xml"/><Relationship Id="rId21" Type="http://schemas.openxmlformats.org/officeDocument/2006/relationships/hyperlink" Target="https://ich.unesco.org/doc/src/68297-EN.pdf" TargetMode="External"/><Relationship Id="rId34" Type="http://schemas.openxmlformats.org/officeDocument/2006/relationships/hyperlink" Target="https://ich.unesco.org/doc/src/LHE-25-20.COM-14_EN.docx?t=1764362577" TargetMode="External"/><Relationship Id="rId42" Type="http://schemas.openxmlformats.org/officeDocument/2006/relationships/hyperlink" Target="https://ich.unesco.org/en/decisions/19.COM/6.C" TargetMode="External"/><Relationship Id="rId47" Type="http://schemas.openxmlformats.org/officeDocument/2006/relationships/hyperlink" Target="https://ich.unesco.org/en/decisions/18.COM/11"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ch.unesco.org/en/decisions/10.GA/8" TargetMode="External"/><Relationship Id="rId17" Type="http://schemas.openxmlformats.org/officeDocument/2006/relationships/hyperlink" Target="https://ich.unesco.org/en/clearinghouse-education" TargetMode="External"/><Relationship Id="rId25" Type="http://schemas.openxmlformats.org/officeDocument/2006/relationships/hyperlink" Target="https://ich.unesco.org/en/decisions/19.COM/10" TargetMode="External"/><Relationship Id="rId33" Type="http://schemas.openxmlformats.org/officeDocument/2006/relationships/hyperlink" Target="https://ich.unesco.org/en/decisions/14.COM/7" TargetMode="External"/><Relationship Id="rId38" Type="http://schemas.openxmlformats.org/officeDocument/2006/relationships/hyperlink" Target="https://ich.unesco.org/en/decisions/20.COM/7.C.1" TargetMode="External"/><Relationship Id="rId46" Type="http://schemas.openxmlformats.org/officeDocument/2006/relationships/hyperlink" Target="https://ich.unesco.org/en/decisions/18.COM/10" TargetMode="External"/><Relationship Id="rId2" Type="http://schemas.openxmlformats.org/officeDocument/2006/relationships/numbering" Target="numbering.xml"/><Relationship Id="rId16" Type="http://schemas.openxmlformats.org/officeDocument/2006/relationships/hyperlink" Target="https://www.unesco.org/sites/default/files/medias/fichiers/2025/09/EN_MONDIACULT_Outcome_Document%20Final%2027.09.25.pdf" TargetMode="External"/><Relationship Id="rId20" Type="http://schemas.openxmlformats.org/officeDocument/2006/relationships/hyperlink" Target="https://ich.unesco.org/en/decisions/20.COM/12" TargetMode="External"/><Relationship Id="rId29" Type="http://schemas.openxmlformats.org/officeDocument/2006/relationships/hyperlink" Target="https://ich.unesco.org/en/activities-2024-01401" TargetMode="External"/><Relationship Id="rId41" Type="http://schemas.openxmlformats.org/officeDocument/2006/relationships/hyperlink" Target="https://ich.unesco.org/en/decisions/20.COM/6.B"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6.GA/5" TargetMode="External"/><Relationship Id="rId24" Type="http://schemas.openxmlformats.org/officeDocument/2006/relationships/hyperlink" Target="https://ich.unesco.org/en/decisions/10.GA/8" TargetMode="External"/><Relationship Id="rId32" Type="http://schemas.openxmlformats.org/officeDocument/2006/relationships/hyperlink" Target="https://ich.unesco.org/en/decisions/20.COM/14" TargetMode="External"/><Relationship Id="rId37" Type="http://schemas.openxmlformats.org/officeDocument/2006/relationships/hyperlink" Target="https://ich.unesco.org/en/decisions/19.COM/6.A" TargetMode="External"/><Relationship Id="rId40" Type="http://schemas.openxmlformats.org/officeDocument/2006/relationships/hyperlink" Target="https://ich.unesco.org/en/decisions/19.COM/6.B" TargetMode="External"/><Relationship Id="rId45" Type="http://schemas.openxmlformats.org/officeDocument/2006/relationships/hyperlink" Target="https://ich.unesco.org/en/decisions/10.GA/7"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h.unesco.org/en/decisions/19.COM/5" TargetMode="External"/><Relationship Id="rId23" Type="http://schemas.openxmlformats.org/officeDocument/2006/relationships/hyperlink" Target="https://ich.unesco.org/en/decisions/20.COM/12" TargetMode="External"/><Relationship Id="rId28" Type="http://schemas.openxmlformats.org/officeDocument/2006/relationships/hyperlink" Target="https://ich.unesco.org/en/international-day-intangible-cultural-heritage" TargetMode="External"/><Relationship Id="rId36" Type="http://schemas.openxmlformats.org/officeDocument/2006/relationships/hyperlink" Target="https://ich.unesco.org/en/Decisions/20.COM/13" TargetMode="External"/><Relationship Id="rId49" Type="http://schemas.openxmlformats.org/officeDocument/2006/relationships/hyperlink" Target="https://ich.unesco.org/en/decisions/20.COM/6.C" TargetMode="External"/><Relationship Id="rId10" Type="http://schemas.openxmlformats.org/officeDocument/2006/relationships/hyperlink" Target="https://ich.unesco.org/doc/src/LHE-26-11.GA-INF.8_EN.docx" TargetMode="External"/><Relationship Id="rId19" Type="http://schemas.openxmlformats.org/officeDocument/2006/relationships/hyperlink" Target="https://ich.unesco.org/doc/src/72796-EN.pdf?v=1769168252" TargetMode="External"/><Relationship Id="rId31" Type="http://schemas.openxmlformats.org/officeDocument/2006/relationships/hyperlink" Target="https://ich.unesco.org/en/decisions/19.COM/13" TargetMode="External"/><Relationship Id="rId44" Type="http://schemas.openxmlformats.org/officeDocument/2006/relationships/hyperlink" Target="https://www.unesco.org/sites/default/files/medias/fichiers/2022/10/6.MONDIACULT_EN_DRAFT%20FINAL%20DECLARATION_FINAL_1.pdf?hub=758"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ich.unesco.org/doc/src/LHE-26-11.GA-6_EN.docx" TargetMode="External"/><Relationship Id="rId14" Type="http://schemas.openxmlformats.org/officeDocument/2006/relationships/hyperlink" Target="https://ich.unesco.org/en/learning-platform-01397" TargetMode="External"/><Relationship Id="rId22" Type="http://schemas.openxmlformats.org/officeDocument/2006/relationships/hyperlink" Target="https://ich.unesco.org/en/decisions/19.COM/11" TargetMode="External"/><Relationship Id="rId27" Type="http://schemas.openxmlformats.org/officeDocument/2006/relationships/hyperlink" Target="https://ich.unesco.org/en/decisions/20.COM/11" TargetMode="External"/><Relationship Id="rId30" Type="http://schemas.openxmlformats.org/officeDocument/2006/relationships/hyperlink" Target="https://ich.unesco.org/en/activities-2025-01421" TargetMode="External"/><Relationship Id="rId35" Type="http://schemas.openxmlformats.org/officeDocument/2006/relationships/hyperlink" Target="https://ich.unesco.org/doc/src/LHE-25-20.COM-INF.14_EN.docx" TargetMode="External"/><Relationship Id="rId43" Type="http://schemas.openxmlformats.org/officeDocument/2006/relationships/hyperlink" Target="https://ich.unesco.org/en/decisions/20.COM/6.C" TargetMode="External"/><Relationship Id="rId48" Type="http://schemas.openxmlformats.org/officeDocument/2006/relationships/hyperlink" Target="https://ich.unesco.org/en/decisions/20.COM/8" TargetMode="External"/><Relationship Id="rId8" Type="http://schemas.openxmlformats.org/officeDocument/2006/relationships/hyperlink" Target="https://ich.unesco.org/en/Decisions/6.GA/5" TargetMode="External"/><Relationship Id="rId51"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256</TotalTime>
  <Pages>7</Pages>
  <Words>3795</Words>
  <Characters>20878</Characters>
  <Application>Microsoft Office Word</Application>
  <DocSecurity>0</DocSecurity>
  <Lines>173</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Glenat, Keiichi Julien</cp:lastModifiedBy>
  <cp:revision>24</cp:revision>
  <cp:lastPrinted>2011-08-06T10:22:00Z</cp:lastPrinted>
  <dcterms:created xsi:type="dcterms:W3CDTF">2026-05-18T09:15:00Z</dcterms:created>
  <dcterms:modified xsi:type="dcterms:W3CDTF">2026-05-18T21:35:00Z</dcterms:modified>
</cp:coreProperties>
</file>