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7E6FC8" w:rsidRDefault="00EC6F8D" w:rsidP="004428E6">
      <w:pPr>
        <w:bidi/>
        <w:spacing w:before="1440" w:line="288" w:lineRule="auto"/>
        <w:jc w:val="center"/>
        <w:rPr>
          <w:rFonts w:ascii="Arial" w:hAnsi="Arial"/>
          <w:b/>
          <w:sz w:val="22"/>
          <w:rtl/>
        </w:rPr>
      </w:pPr>
      <w:r w:rsidRPr="007E6FC8">
        <w:rPr>
          <w:rFonts w:ascii="Arial" w:hAnsi="Arial" w:hint="cs"/>
          <w:b/>
          <w:bCs/>
          <w:sz w:val="22"/>
          <w:rtl/>
        </w:rPr>
        <w:t>اتفاقية صون التراث الثقافي غير المادي</w:t>
      </w:r>
    </w:p>
    <w:p w14:paraId="3F72B1D3" w14:textId="37133200" w:rsidR="00EC6F8D" w:rsidRPr="007E6FC8" w:rsidRDefault="005C792B" w:rsidP="004428E6">
      <w:pPr>
        <w:bidi/>
        <w:spacing w:before="1200" w:line="288" w:lineRule="auto"/>
        <w:jc w:val="center"/>
        <w:rPr>
          <w:rFonts w:ascii="Arial" w:hAnsi="Arial"/>
          <w:b/>
          <w:sz w:val="22"/>
          <w:rtl/>
        </w:rPr>
      </w:pPr>
      <w:r w:rsidRPr="007E6FC8">
        <w:rPr>
          <w:rFonts w:ascii="Arial" w:hAnsi="Arial" w:hint="cs"/>
          <w:b/>
          <w:bCs/>
          <w:sz w:val="22"/>
          <w:rtl/>
        </w:rPr>
        <w:t>الجمعية العامة للدول الأطراف في الاتفاقية</w:t>
      </w:r>
    </w:p>
    <w:p w14:paraId="2E1CD4B4" w14:textId="762C97E8" w:rsidR="00EC6F8D" w:rsidRPr="007E6FC8" w:rsidRDefault="0026085B" w:rsidP="004428E6">
      <w:pPr>
        <w:bidi/>
        <w:spacing w:before="840" w:line="288" w:lineRule="auto"/>
        <w:jc w:val="center"/>
        <w:rPr>
          <w:rFonts w:ascii="Arial" w:hAnsi="Arial"/>
          <w:b/>
          <w:sz w:val="22"/>
          <w:rtl/>
        </w:rPr>
      </w:pPr>
      <w:r w:rsidRPr="007E6FC8">
        <w:rPr>
          <w:rFonts w:ascii="Arial" w:hAnsi="Arial" w:hint="cs"/>
          <w:b/>
          <w:bCs/>
          <w:sz w:val="22"/>
          <w:rtl/>
        </w:rPr>
        <w:t>الدورة الحادية عشرة</w:t>
      </w:r>
    </w:p>
    <w:p w14:paraId="1FD89575" w14:textId="05D2C62D" w:rsidR="00B2172B" w:rsidRPr="007E6FC8" w:rsidRDefault="005C792B" w:rsidP="004428E6">
      <w:pPr>
        <w:bidi/>
        <w:spacing w:line="288" w:lineRule="auto"/>
        <w:jc w:val="center"/>
        <w:rPr>
          <w:rFonts w:ascii="Arial" w:hAnsi="Arial"/>
          <w:b/>
          <w:sz w:val="22"/>
          <w:rtl/>
        </w:rPr>
      </w:pPr>
      <w:r w:rsidRPr="007E6FC8">
        <w:rPr>
          <w:rFonts w:ascii="Arial" w:hAnsi="Arial" w:hint="cs"/>
          <w:b/>
          <w:bCs/>
          <w:sz w:val="22"/>
          <w:rtl/>
        </w:rPr>
        <w:t>مقر اليونسكو، القاعة 1</w:t>
      </w:r>
    </w:p>
    <w:p w14:paraId="52EA6D50" w14:textId="46BCF87A" w:rsidR="00B2172B" w:rsidRPr="007E6FC8" w:rsidRDefault="00544C93" w:rsidP="004428E6">
      <w:pPr>
        <w:bidi/>
        <w:spacing w:line="288" w:lineRule="auto"/>
        <w:jc w:val="center"/>
        <w:rPr>
          <w:rFonts w:ascii="Arial" w:hAnsi="Arial"/>
          <w:b/>
          <w:sz w:val="22"/>
          <w:rtl/>
        </w:rPr>
      </w:pPr>
      <w:r w:rsidRPr="007E6FC8">
        <w:rPr>
          <w:rFonts w:ascii="Arial" w:hAnsi="Arial" w:hint="cs"/>
          <w:b/>
          <w:bCs/>
          <w:sz w:val="22"/>
          <w:rtl/>
        </w:rPr>
        <w:t>17 إلى 18 حزيران/يونيو 2026</w:t>
      </w:r>
    </w:p>
    <w:p w14:paraId="0365203A" w14:textId="7B520D21" w:rsidR="00EC6F8D" w:rsidRPr="007E6FC8" w:rsidRDefault="00EC6F8D" w:rsidP="004428E6">
      <w:pPr>
        <w:pStyle w:val="Sansinterligne2"/>
        <w:bidi/>
        <w:spacing w:before="1200" w:line="288" w:lineRule="auto"/>
        <w:jc w:val="center"/>
        <w:rPr>
          <w:rFonts w:ascii="Arial" w:hAnsi="Arial"/>
          <w:b/>
          <w:sz w:val="22"/>
          <w:rtl/>
        </w:rPr>
      </w:pPr>
      <w:r w:rsidRPr="007E6FC8">
        <w:rPr>
          <w:rFonts w:ascii="Arial" w:hAnsi="Arial" w:hint="cs"/>
          <w:b/>
          <w:bCs/>
          <w:sz w:val="22"/>
          <w:u w:val="single"/>
          <w:rtl/>
        </w:rPr>
        <w:t>البند رقم 5 من جدول الأعمال المؤقت</w:t>
      </w:r>
      <w:r w:rsidRPr="007E6FC8">
        <w:rPr>
          <w:rFonts w:ascii="Arial" w:hAnsi="Arial" w:hint="cs"/>
          <w:b/>
          <w:bCs/>
          <w:sz w:val="22"/>
          <w:rtl/>
        </w:rPr>
        <w:t>:</w:t>
      </w:r>
    </w:p>
    <w:p w14:paraId="59920478" w14:textId="2458DBF5" w:rsidR="004A2875" w:rsidRPr="007E6FC8" w:rsidRDefault="009918BB" w:rsidP="004428E6">
      <w:pPr>
        <w:pStyle w:val="Sansinterligne2"/>
        <w:bidi/>
        <w:spacing w:after="960" w:line="288" w:lineRule="auto"/>
        <w:jc w:val="center"/>
        <w:rPr>
          <w:rFonts w:ascii="Arial" w:hAnsi="Arial"/>
          <w:bCs/>
          <w:sz w:val="22"/>
          <w:rtl/>
        </w:rPr>
      </w:pPr>
      <w:r w:rsidRPr="007E6FC8">
        <w:rPr>
          <w:rFonts w:ascii="Arial" w:hAnsi="Arial" w:hint="cs"/>
          <w:b/>
          <w:bCs/>
          <w:sz w:val="22"/>
          <w:rtl/>
        </w:rPr>
        <w:t>التقرير اللجنة إلى الجمعية العامة (</w:t>
      </w:r>
      <w:r w:rsidR="00F820A7" w:rsidRPr="00102D37">
        <w:rPr>
          <w:rFonts w:ascii="Arial" w:hAnsi="Arial" w:hint="eastAsia"/>
          <w:b/>
          <w:bCs/>
          <w:sz w:val="22"/>
          <w:rtl/>
        </w:rPr>
        <w:t>كانون</w:t>
      </w:r>
      <w:r w:rsidR="00F820A7" w:rsidRPr="00102D37">
        <w:rPr>
          <w:rFonts w:ascii="Arial" w:hAnsi="Arial"/>
          <w:b/>
          <w:bCs/>
          <w:sz w:val="22"/>
          <w:rtl/>
        </w:rPr>
        <w:t xml:space="preserve"> الثاني</w:t>
      </w:r>
      <w:r w:rsidR="00F820A7" w:rsidRPr="00102D37">
        <w:rPr>
          <w:rFonts w:ascii="Arial" w:hAnsi="Arial"/>
          <w:b/>
          <w:bCs/>
          <w:sz w:val="22"/>
        </w:rPr>
        <w:t>/</w:t>
      </w:r>
      <w:r w:rsidRPr="007E6FC8">
        <w:rPr>
          <w:rFonts w:ascii="Arial" w:hAnsi="Arial" w:hint="eastAsia"/>
          <w:b/>
          <w:bCs/>
          <w:sz w:val="22"/>
          <w:rtl/>
        </w:rPr>
        <w:t>يناير</w:t>
      </w:r>
      <w:r w:rsidRPr="007E6FC8">
        <w:rPr>
          <w:rFonts w:ascii="Arial" w:hAnsi="Arial" w:hint="cs"/>
          <w:b/>
          <w:bCs/>
          <w:sz w:val="22"/>
          <w:rtl/>
        </w:rPr>
        <w:t xml:space="preserve"> 2024 إلى </w:t>
      </w:r>
      <w:r w:rsidR="00F820A7" w:rsidRPr="00102D37">
        <w:rPr>
          <w:rFonts w:ascii="Arial" w:hAnsi="Arial" w:hint="eastAsia"/>
          <w:b/>
          <w:bCs/>
          <w:sz w:val="22"/>
          <w:rtl/>
        </w:rPr>
        <w:t>كانون</w:t>
      </w:r>
      <w:r w:rsidR="00F820A7" w:rsidRPr="00102D37">
        <w:rPr>
          <w:rFonts w:ascii="Arial" w:hAnsi="Arial"/>
          <w:b/>
          <w:bCs/>
          <w:sz w:val="22"/>
          <w:rtl/>
        </w:rPr>
        <w:t xml:space="preserve"> الأول</w:t>
      </w:r>
      <w:r w:rsidR="00F820A7" w:rsidRPr="007E6FC8">
        <w:rPr>
          <w:rFonts w:hint="cs"/>
          <w:rtl/>
        </w:rPr>
        <w:t>/</w:t>
      </w:r>
      <w:r w:rsidRPr="007E6FC8">
        <w:rPr>
          <w:rFonts w:ascii="Arial" w:hAnsi="Arial" w:hint="cs"/>
          <w:b/>
          <w:bCs/>
          <w:sz w:val="22"/>
          <w:rtl/>
        </w:rPr>
        <w:t>ديسمبر 2025)</w:t>
      </w:r>
    </w:p>
    <w:tbl>
      <w:tblPr>
        <w:bidiVisual/>
        <w:tblW w:w="6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6"/>
      </w:tblGrid>
      <w:tr w:rsidR="00EC6F8D" w:rsidRPr="007E6FC8" w14:paraId="75AC6221" w14:textId="77777777" w:rsidTr="004428E6">
        <w:trPr>
          <w:jc w:val="center"/>
        </w:trPr>
        <w:tc>
          <w:tcPr>
            <w:tcW w:w="6306" w:type="dxa"/>
            <w:vAlign w:val="center"/>
          </w:tcPr>
          <w:p w14:paraId="51C260A9" w14:textId="77777777" w:rsidR="00EC6F8D" w:rsidRPr="007E6FC8" w:rsidRDefault="00EC6F8D" w:rsidP="004428E6">
            <w:pPr>
              <w:pStyle w:val="Sansinterligne1"/>
              <w:bidi/>
              <w:spacing w:before="200" w:after="200" w:line="288" w:lineRule="auto"/>
              <w:jc w:val="center"/>
              <w:rPr>
                <w:rFonts w:ascii="Arial" w:hAnsi="Arial"/>
                <w:b/>
                <w:sz w:val="22"/>
                <w:rtl/>
              </w:rPr>
            </w:pPr>
            <w:r w:rsidRPr="007E6FC8">
              <w:rPr>
                <w:rFonts w:ascii="Arial" w:hAnsi="Arial" w:hint="cs"/>
                <w:b/>
                <w:bCs/>
                <w:sz w:val="22"/>
                <w:rtl/>
              </w:rPr>
              <w:t>الملخص</w:t>
            </w:r>
          </w:p>
          <w:p w14:paraId="279D6B0F" w14:textId="6D67C680" w:rsidR="00DB2F67" w:rsidRPr="007E6FC8" w:rsidRDefault="00DB2F67" w:rsidP="004428E6">
            <w:pPr>
              <w:pStyle w:val="Sansinterligne2"/>
              <w:bidi/>
              <w:spacing w:before="200" w:after="200" w:line="288" w:lineRule="auto"/>
              <w:jc w:val="both"/>
              <w:rPr>
                <w:rFonts w:ascii="Arial" w:hAnsi="Arial"/>
                <w:sz w:val="22"/>
                <w:rtl/>
              </w:rPr>
            </w:pPr>
            <w:r w:rsidRPr="00102D37">
              <w:rPr>
                <w:rFonts w:ascii="Arial" w:hAnsi="Arial" w:hint="eastAsia"/>
                <w:sz w:val="22"/>
                <w:szCs w:val="22"/>
                <w:rtl/>
              </w:rPr>
              <w:t>تنص</w:t>
            </w:r>
            <w:r w:rsidRPr="00102D37">
              <w:rPr>
                <w:rFonts w:ascii="Arial" w:hAnsi="Arial"/>
                <w:sz w:val="22"/>
                <w:szCs w:val="22"/>
                <w:rtl/>
              </w:rPr>
              <w:t xml:space="preserve"> المادة </w:t>
            </w:r>
            <w:r w:rsidR="00F820A7" w:rsidRPr="007E6FC8">
              <w:rPr>
                <w:rFonts w:ascii="Arial" w:hAnsi="Arial" w:hint="cs"/>
                <w:sz w:val="22"/>
                <w:szCs w:val="22"/>
                <w:rtl/>
              </w:rPr>
              <w:t>30.1</w:t>
            </w:r>
            <w:r w:rsidR="00F820A7" w:rsidRPr="007E6FC8">
              <w:rPr>
                <w:rFonts w:ascii="Arial" w:hAnsi="Arial"/>
                <w:sz w:val="22"/>
                <w:szCs w:val="22"/>
              </w:rPr>
              <w:t xml:space="preserve"> </w:t>
            </w:r>
            <w:r w:rsidRPr="00102D37">
              <w:rPr>
                <w:rFonts w:ascii="Arial" w:hAnsi="Arial" w:hint="eastAsia"/>
                <w:sz w:val="22"/>
                <w:szCs w:val="22"/>
                <w:rtl/>
              </w:rPr>
              <w:t>من</w:t>
            </w:r>
            <w:r w:rsidRPr="00102D37">
              <w:rPr>
                <w:rFonts w:ascii="Arial" w:hAnsi="Arial"/>
                <w:sz w:val="22"/>
                <w:szCs w:val="22"/>
                <w:rtl/>
              </w:rPr>
              <w:t xml:space="preserve"> اتفاقية عام 2003 على </w:t>
            </w:r>
            <w:r w:rsidR="00F820A7" w:rsidRPr="007E6FC8">
              <w:rPr>
                <w:rFonts w:ascii="Arial" w:hAnsi="Arial" w:hint="cs"/>
                <w:sz w:val="22"/>
                <w:szCs w:val="22"/>
                <w:rtl/>
              </w:rPr>
              <w:t xml:space="preserve">أن "ترفع اللجنة </w:t>
            </w:r>
            <w:r w:rsidR="00F820A7" w:rsidRPr="007E6FC8">
              <w:rPr>
                <w:rFonts w:ascii="Arial" w:hAnsi="Arial"/>
                <w:sz w:val="22"/>
                <w:szCs w:val="22"/>
                <w:rtl/>
              </w:rPr>
              <w:t>إلى كل دورة من دورات الجمعية العامة تقريراً تعده بالاستناد إلى أنشطتها وإلى</w:t>
            </w:r>
            <w:r w:rsidR="00F820A7" w:rsidRPr="007E6FC8">
              <w:rPr>
                <w:rFonts w:ascii="Arial" w:hAnsi="Arial"/>
                <w:sz w:val="22"/>
                <w:szCs w:val="22"/>
              </w:rPr>
              <w:t xml:space="preserve"> </w:t>
            </w:r>
            <w:r w:rsidR="00F820A7" w:rsidRPr="007E6FC8">
              <w:rPr>
                <w:rFonts w:ascii="Arial" w:hAnsi="Arial"/>
                <w:sz w:val="22"/>
                <w:szCs w:val="22"/>
                <w:rtl/>
              </w:rPr>
              <w:t>تقارير</w:t>
            </w:r>
            <w:r w:rsidR="00F820A7" w:rsidRPr="007E6FC8">
              <w:rPr>
                <w:rFonts w:ascii="Arial" w:hAnsi="Arial"/>
                <w:sz w:val="22"/>
                <w:szCs w:val="22"/>
              </w:rPr>
              <w:t xml:space="preserve"> </w:t>
            </w:r>
            <w:r w:rsidR="00F820A7" w:rsidRPr="007E6FC8">
              <w:rPr>
                <w:rFonts w:ascii="Arial" w:hAnsi="Arial"/>
                <w:sz w:val="22"/>
                <w:szCs w:val="22"/>
                <w:rtl/>
              </w:rPr>
              <w:t>الدول</w:t>
            </w:r>
            <w:r w:rsidR="00F820A7" w:rsidRPr="007E6FC8">
              <w:rPr>
                <w:rFonts w:ascii="Arial" w:hAnsi="Arial"/>
                <w:sz w:val="22"/>
                <w:szCs w:val="22"/>
              </w:rPr>
              <w:t xml:space="preserve"> </w:t>
            </w:r>
            <w:r w:rsidR="00F820A7" w:rsidRPr="007E6FC8">
              <w:rPr>
                <w:rFonts w:ascii="Arial" w:hAnsi="Arial"/>
                <w:sz w:val="22"/>
                <w:szCs w:val="22"/>
                <w:rtl/>
              </w:rPr>
              <w:t xml:space="preserve">الأطراف </w:t>
            </w:r>
            <w:r w:rsidR="00F820A7" w:rsidRPr="007E6FC8">
              <w:rPr>
                <w:rFonts w:ascii="Arial" w:hAnsi="Arial" w:hint="cs"/>
                <w:sz w:val="22"/>
                <w:szCs w:val="22"/>
                <w:rtl/>
              </w:rPr>
              <w:t xml:space="preserve">[...]". تحتوي هذه الوثيقة على تقرير عن أنشطة اللجنة في الفترة من </w:t>
            </w:r>
            <w:r w:rsidR="00C7200C" w:rsidRPr="007E6FC8">
              <w:rPr>
                <w:rFonts w:ascii="Arial" w:hAnsi="Arial" w:hint="cs"/>
                <w:sz w:val="22"/>
                <w:szCs w:val="22"/>
                <w:rtl/>
              </w:rPr>
              <w:t>كانون الثاني/يناير</w:t>
            </w:r>
            <w:r w:rsidR="00C7200C" w:rsidRPr="007E6FC8">
              <w:rPr>
                <w:rFonts w:ascii="Arial" w:hAnsi="Arial"/>
                <w:sz w:val="22"/>
                <w:szCs w:val="22"/>
              </w:rPr>
              <w:t xml:space="preserve"> 2024</w:t>
            </w:r>
            <w:r w:rsidRPr="00102D37">
              <w:rPr>
                <w:rFonts w:ascii="Arial" w:hAnsi="Arial" w:hint="eastAsia"/>
                <w:sz w:val="22"/>
                <w:szCs w:val="22"/>
                <w:rtl/>
              </w:rPr>
              <w:t>إلى</w:t>
            </w:r>
            <w:r w:rsidRPr="00102D37">
              <w:rPr>
                <w:rFonts w:ascii="Arial" w:hAnsi="Arial"/>
                <w:sz w:val="22"/>
                <w:szCs w:val="22"/>
                <w:rtl/>
              </w:rPr>
              <w:t xml:space="preserve"> </w:t>
            </w:r>
            <w:r w:rsidR="00C7200C" w:rsidRPr="007E6FC8">
              <w:rPr>
                <w:rFonts w:ascii="Arial" w:hAnsi="Arial" w:hint="cs"/>
                <w:sz w:val="22"/>
                <w:szCs w:val="22"/>
                <w:rtl/>
              </w:rPr>
              <w:t xml:space="preserve">كانون الأول/ديسمبر </w:t>
            </w:r>
            <w:r w:rsidRPr="00102D37">
              <w:rPr>
                <w:rFonts w:ascii="Arial" w:hAnsi="Arial"/>
                <w:sz w:val="22"/>
                <w:szCs w:val="22"/>
                <w:rtl/>
              </w:rPr>
              <w:t xml:space="preserve">2025، </w:t>
            </w:r>
            <w:r w:rsidR="00C7200C" w:rsidRPr="007E6FC8">
              <w:rPr>
                <w:rFonts w:ascii="Arial" w:hAnsi="Arial" w:hint="cs"/>
                <w:sz w:val="22"/>
                <w:szCs w:val="22"/>
                <w:rtl/>
              </w:rPr>
              <w:t xml:space="preserve">بما يشمل مراجعة تقارير الدول الأطراف المعتمدة في الدورتين </w:t>
            </w:r>
            <w:r w:rsidRPr="00102D37">
              <w:rPr>
                <w:rFonts w:ascii="Arial" w:hAnsi="Arial" w:hint="eastAsia"/>
                <w:sz w:val="22"/>
                <w:szCs w:val="22"/>
                <w:rtl/>
              </w:rPr>
              <w:t>التاسعة</w:t>
            </w:r>
            <w:r w:rsidRPr="00102D37">
              <w:rPr>
                <w:rFonts w:ascii="Arial" w:hAnsi="Arial"/>
                <w:sz w:val="22"/>
                <w:szCs w:val="22"/>
                <w:rtl/>
              </w:rPr>
              <w:t xml:space="preserve"> عشرة والعشرين للجنة</w:t>
            </w:r>
            <w:r w:rsidRPr="007E6FC8">
              <w:rPr>
                <w:rFonts w:ascii="Arial" w:hAnsi="Arial" w:hint="cs"/>
                <w:sz w:val="22"/>
                <w:rtl/>
              </w:rPr>
              <w:t>.</w:t>
            </w:r>
          </w:p>
          <w:p w14:paraId="290310E8" w14:textId="5EB5E4D7" w:rsidR="00EC6F8D" w:rsidRPr="007E6FC8" w:rsidRDefault="00EC6F8D" w:rsidP="004428E6">
            <w:pPr>
              <w:pStyle w:val="Sansinterligne2"/>
              <w:bidi/>
              <w:spacing w:before="200" w:after="200" w:line="288" w:lineRule="auto"/>
              <w:jc w:val="both"/>
              <w:rPr>
                <w:rFonts w:ascii="Arial" w:hAnsi="Arial"/>
                <w:b/>
                <w:sz w:val="22"/>
                <w:rtl/>
              </w:rPr>
            </w:pPr>
            <w:r w:rsidRPr="007E6FC8">
              <w:rPr>
                <w:rFonts w:ascii="Arial" w:hAnsi="Arial" w:hint="cs"/>
                <w:b/>
                <w:bCs/>
                <w:sz w:val="22"/>
                <w:rtl/>
              </w:rPr>
              <w:t>المقرر المطلوب</w:t>
            </w:r>
            <w:r w:rsidRPr="007E6FC8">
              <w:rPr>
                <w:rFonts w:ascii="Arial" w:hAnsi="Arial" w:hint="cs"/>
                <w:sz w:val="22"/>
                <w:rtl/>
              </w:rPr>
              <w:t xml:space="preserve">: الفقرة </w:t>
            </w:r>
            <w:r w:rsidRPr="00102D37">
              <w:rPr>
                <w:rFonts w:ascii="Arial" w:hAnsi="Arial"/>
                <w:sz w:val="22"/>
                <w:rtl/>
              </w:rPr>
              <w:t>4</w:t>
            </w:r>
          </w:p>
        </w:tc>
      </w:tr>
    </w:tbl>
    <w:p w14:paraId="713D819F" w14:textId="77777777" w:rsidR="004A2875" w:rsidRPr="007E6FC8" w:rsidRDefault="00655736" w:rsidP="004428E6">
      <w:pPr>
        <w:pStyle w:val="ListParagraph"/>
        <w:keepLines/>
        <w:numPr>
          <w:ilvl w:val="0"/>
          <w:numId w:val="13"/>
        </w:numPr>
        <w:bidi/>
        <w:spacing w:after="240" w:line="288" w:lineRule="auto"/>
        <w:ind w:left="567" w:hanging="567"/>
        <w:contextualSpacing w:val="0"/>
        <w:rPr>
          <w:rFonts w:ascii="Arial" w:hAnsi="Arial"/>
          <w:b/>
          <w:snapToGrid w:val="0"/>
          <w:sz w:val="22"/>
          <w:rtl/>
        </w:rPr>
      </w:pPr>
      <w:r w:rsidRPr="007E6FC8">
        <w:rPr>
          <w:rFonts w:hint="cs"/>
          <w:rtl/>
        </w:rPr>
        <w:br w:type="page"/>
      </w:r>
    </w:p>
    <w:p w14:paraId="6C62585F" w14:textId="41371E20" w:rsidR="00F70CC5" w:rsidRPr="007E6FC8" w:rsidRDefault="00C7200C" w:rsidP="004428E6">
      <w:pPr>
        <w:pStyle w:val="COMPara"/>
        <w:numPr>
          <w:ilvl w:val="0"/>
          <w:numId w:val="0"/>
        </w:numPr>
        <w:bidi/>
        <w:spacing w:before="240" w:line="288" w:lineRule="auto"/>
        <w:jc w:val="both"/>
        <w:rPr>
          <w:b/>
          <w:bCs/>
          <w:sz w:val="24"/>
          <w:szCs w:val="26"/>
          <w:rtl/>
        </w:rPr>
      </w:pPr>
      <w:bookmarkStart w:id="0" w:name="_Hlk124351255"/>
      <w:r w:rsidRPr="007E6FC8">
        <w:rPr>
          <w:rFonts w:hint="cs"/>
          <w:b/>
          <w:bCs/>
          <w:rtl/>
        </w:rPr>
        <w:lastRenderedPageBreak/>
        <w:t>الخلفية</w:t>
      </w:r>
    </w:p>
    <w:bookmarkEnd w:id="0"/>
    <w:p w14:paraId="3161EA90" w14:textId="78E618C1" w:rsidR="00DB2F67" w:rsidRPr="00102D37" w:rsidRDefault="00DB2F67" w:rsidP="004428E6">
      <w:pPr>
        <w:pStyle w:val="COMPara"/>
        <w:bidi/>
        <w:spacing w:line="288" w:lineRule="auto"/>
        <w:ind w:left="567" w:hanging="567"/>
        <w:jc w:val="both"/>
        <w:rPr>
          <w:rtl/>
        </w:rPr>
      </w:pPr>
      <w:r w:rsidRPr="00102D37">
        <w:rPr>
          <w:rFonts w:hint="eastAsia"/>
          <w:rtl/>
        </w:rPr>
        <w:t>تنص</w:t>
      </w:r>
      <w:r w:rsidRPr="00102D37">
        <w:rPr>
          <w:rtl/>
        </w:rPr>
        <w:t xml:space="preserve"> المادة </w:t>
      </w:r>
      <w:r w:rsidR="00C7200C" w:rsidRPr="007E6FC8">
        <w:rPr>
          <w:rFonts w:hint="cs"/>
          <w:rtl/>
        </w:rPr>
        <w:t xml:space="preserve">30.1 </w:t>
      </w:r>
      <w:r w:rsidRPr="00102D37">
        <w:rPr>
          <w:rFonts w:hint="eastAsia"/>
          <w:rtl/>
        </w:rPr>
        <w:t>من</w:t>
      </w:r>
      <w:r w:rsidRPr="00102D37">
        <w:rPr>
          <w:rtl/>
        </w:rPr>
        <w:t xml:space="preserve"> اتفاقية عام 2003 بشأن صون التراث الثقافي غير المادي على </w:t>
      </w:r>
      <w:r w:rsidR="00B35ADA" w:rsidRPr="007E6FC8">
        <w:rPr>
          <w:rFonts w:hint="cs"/>
          <w:rtl/>
        </w:rPr>
        <w:t xml:space="preserve">أن "ترفع اللجنة </w:t>
      </w:r>
      <w:r w:rsidR="00B35ADA" w:rsidRPr="00102D37">
        <w:rPr>
          <w:rtl/>
        </w:rPr>
        <w:t>إلى كل دورة من دورات الجمعية العامة تقريراً تعده بالاستناد إلى أنشطتها وإلى</w:t>
      </w:r>
      <w:r w:rsidR="00B35ADA" w:rsidRPr="00102D37">
        <w:t xml:space="preserve"> </w:t>
      </w:r>
      <w:r w:rsidR="00B35ADA" w:rsidRPr="00102D37">
        <w:rPr>
          <w:rtl/>
        </w:rPr>
        <w:t>تقارير</w:t>
      </w:r>
      <w:r w:rsidR="00B35ADA" w:rsidRPr="00102D37">
        <w:t xml:space="preserve"> </w:t>
      </w:r>
      <w:r w:rsidR="00B35ADA" w:rsidRPr="00102D37">
        <w:rPr>
          <w:rtl/>
        </w:rPr>
        <w:t>الدول</w:t>
      </w:r>
      <w:r w:rsidR="00B35ADA" w:rsidRPr="00102D37">
        <w:t xml:space="preserve"> </w:t>
      </w:r>
      <w:r w:rsidR="00B35ADA" w:rsidRPr="00102D37">
        <w:rPr>
          <w:rtl/>
        </w:rPr>
        <w:t xml:space="preserve">الأطراف </w:t>
      </w:r>
      <w:r w:rsidR="00B35ADA" w:rsidRPr="007E6FC8">
        <w:rPr>
          <w:rFonts w:hint="cs"/>
          <w:rtl/>
        </w:rPr>
        <w:t>[...]". وتستطرد المادة 30.2 للإشارة إلى "</w:t>
      </w:r>
      <w:r w:rsidR="00B35ADA" w:rsidRPr="00102D37">
        <w:rPr>
          <w:rtl/>
        </w:rPr>
        <w:t>...ويعرض</w:t>
      </w:r>
      <w:r w:rsidR="00B35ADA" w:rsidRPr="00102D37">
        <w:t xml:space="preserve"> </w:t>
      </w:r>
      <w:r w:rsidR="00B35ADA" w:rsidRPr="00102D37">
        <w:rPr>
          <w:rtl/>
        </w:rPr>
        <w:t>هذا التقرير على المؤتمر العام لليونسكو</w:t>
      </w:r>
      <w:r w:rsidR="00B35ADA" w:rsidRPr="007E6FC8">
        <w:rPr>
          <w:rFonts w:hint="cs"/>
          <w:rtl/>
        </w:rPr>
        <w:t xml:space="preserve">". وتمتد الفترة التي يغطيها هذا التقرير </w:t>
      </w:r>
      <w:r w:rsidRPr="00102D37">
        <w:rPr>
          <w:rtl/>
        </w:rPr>
        <w:t xml:space="preserve">(انظر الملحق) </w:t>
      </w:r>
      <w:r w:rsidRPr="00102D37">
        <w:rPr>
          <w:rFonts w:hint="eastAsia"/>
          <w:rtl/>
        </w:rPr>
        <w:t>من</w:t>
      </w:r>
      <w:r w:rsidRPr="00102D37">
        <w:rPr>
          <w:rtl/>
        </w:rPr>
        <w:t xml:space="preserve"> كانون الثاني/يناير 2024 إلى كانون الأول/ديسمبر 2025.</w:t>
      </w:r>
    </w:p>
    <w:p w14:paraId="147058DA" w14:textId="2E509F72" w:rsidR="00DB2F67" w:rsidRPr="00102D37" w:rsidRDefault="00DB2F67" w:rsidP="004428E6">
      <w:pPr>
        <w:pStyle w:val="COMPara"/>
        <w:bidi/>
        <w:spacing w:line="288" w:lineRule="auto"/>
        <w:ind w:left="567" w:hanging="567"/>
        <w:jc w:val="both"/>
        <w:rPr>
          <w:rtl/>
        </w:rPr>
      </w:pPr>
      <w:r w:rsidRPr="00102D37">
        <w:rPr>
          <w:rFonts w:hint="eastAsia"/>
          <w:rtl/>
        </w:rPr>
        <w:t>وتتبع</w:t>
      </w:r>
      <w:r w:rsidRPr="00102D37">
        <w:rPr>
          <w:rtl/>
        </w:rPr>
        <w:t xml:space="preserve"> فترة التقرير هذه القرار </w:t>
      </w:r>
      <w:hyperlink r:id="rId8" w:history="1">
        <w:r w:rsidRPr="00102D37">
          <w:rPr>
            <w:rStyle w:val="Hyperlink"/>
            <w:cs/>
          </w:rPr>
          <w:t>‎</w:t>
        </w:r>
        <w:hyperlink r:id="rId9" w:history="1">
          <w:r w:rsidR="008A5ABA" w:rsidRPr="007E6FC8">
            <w:rPr>
              <w:rStyle w:val="Hyperlink"/>
            </w:rPr>
            <w:t>6.GA 5</w:t>
          </w:r>
        </w:hyperlink>
      </w:hyperlink>
      <w:r w:rsidRPr="00102D37">
        <w:rPr>
          <w:rFonts w:hint="eastAsia"/>
          <w:rtl/>
        </w:rPr>
        <w:t>،</w:t>
      </w:r>
      <w:r w:rsidRPr="00102D37">
        <w:rPr>
          <w:rtl/>
        </w:rPr>
        <w:t xml:space="preserve"> حيث طلبت الجمعية العامة في عام 2016 أن تعتمد اللجنة سنة تقويمية لفترة السنتين لإعداد التقارير المستقبلية. وفي هذا الصدد، يتضمن التقرير أيضا استعراضا للتقارير الوطنية المقدمة من الدول الأطراف، بالمعنى المقصود </w:t>
      </w:r>
      <w:r w:rsidRPr="00102D37">
        <w:rPr>
          <w:rFonts w:hint="eastAsia"/>
          <w:rtl/>
        </w:rPr>
        <w:t>في</w:t>
      </w:r>
      <w:r w:rsidRPr="00102D37">
        <w:rPr>
          <w:rtl/>
        </w:rPr>
        <w:t xml:space="preserve"> المادة 29 من الاتفاقية، والتي اعتمدتها اللجنة خلال دورتيها التاسعة عشرة والعشرين.</w:t>
      </w:r>
    </w:p>
    <w:p w14:paraId="350D6210" w14:textId="4AC237F9" w:rsidR="00DB2F67" w:rsidRPr="00102D37" w:rsidRDefault="00D94CD4" w:rsidP="004428E6">
      <w:pPr>
        <w:pStyle w:val="COMPara"/>
        <w:bidi/>
        <w:spacing w:line="288" w:lineRule="auto"/>
        <w:ind w:left="567" w:hanging="567"/>
        <w:jc w:val="both"/>
        <w:rPr>
          <w:rtl/>
        </w:rPr>
      </w:pPr>
      <w:r w:rsidRPr="00102D37">
        <w:rPr>
          <w:rFonts w:hint="eastAsia"/>
          <w:rtl/>
        </w:rPr>
        <w:t>ينبغي</w:t>
      </w:r>
      <w:r w:rsidRPr="00102D37">
        <w:rPr>
          <w:rtl/>
        </w:rPr>
        <w:t xml:space="preserve"> قراءة هذا التقرير بالاقتران مع تقرير الأمانة عن أنشطتها (الوثيقة </w:t>
      </w:r>
      <w:hyperlink r:id="rId10" w:history="1">
        <w:r w:rsidRPr="007E6FC8">
          <w:rPr>
            <w:rStyle w:val="Hyperlink"/>
          </w:rPr>
          <w:t>LHE/26/11.GA/6</w:t>
        </w:r>
      </w:hyperlink>
      <w:r w:rsidRPr="00102D37">
        <w:rPr>
          <w:rtl/>
        </w:rPr>
        <w:t>) والتقرير الخاص بصندوق التراث الثقافي غير المادي</w:t>
      </w:r>
      <w:r w:rsidRPr="00102D37">
        <w:rPr>
          <w:i/>
          <w:iCs/>
          <w:rtl/>
        </w:rPr>
        <w:t xml:space="preserve"> </w:t>
      </w:r>
      <w:r w:rsidRPr="00102D37">
        <w:rPr>
          <w:rtl/>
        </w:rPr>
        <w:t>(الوثيقة </w:t>
      </w:r>
      <w:hyperlink r:id="rId11" w:history="1">
        <w:r w:rsidRPr="007E6FC8">
          <w:rPr>
            <w:rStyle w:val="Hyperlink"/>
          </w:rPr>
          <w:t>LHE/26/11.GA/I</w:t>
        </w:r>
        <w:r w:rsidRPr="007E6FC8">
          <w:rPr>
            <w:rStyle w:val="Hyperlink"/>
          </w:rPr>
          <w:t>N</w:t>
        </w:r>
        <w:r w:rsidRPr="007E6FC8">
          <w:rPr>
            <w:rStyle w:val="Hyperlink"/>
          </w:rPr>
          <w:t>F.8</w:t>
        </w:r>
      </w:hyperlink>
      <w:r w:rsidR="004428E6" w:rsidRPr="00102D37">
        <w:rPr>
          <w:rtl/>
        </w:rPr>
        <w:t>)</w:t>
      </w:r>
      <w:r w:rsidRPr="007E6FC8">
        <w:t>.</w:t>
      </w:r>
    </w:p>
    <w:p w14:paraId="50D3EAFF" w14:textId="7F0F2FC8" w:rsidR="00D95C4C" w:rsidRPr="00102D37" w:rsidRDefault="00D20A0A" w:rsidP="004428E6">
      <w:pPr>
        <w:pStyle w:val="COMPara"/>
        <w:bidi/>
        <w:spacing w:line="288" w:lineRule="auto"/>
        <w:ind w:left="567" w:hanging="567"/>
        <w:rPr>
          <w:rtl/>
        </w:rPr>
      </w:pPr>
      <w:r w:rsidRPr="007E6FC8">
        <w:rPr>
          <w:rFonts w:asciiTheme="majorBidi" w:hAnsiTheme="majorBidi" w:cstheme="majorBidi"/>
          <w:rtl/>
        </w:rPr>
        <w:t xml:space="preserve">قد ترغب الجمعية العامة في </w:t>
      </w:r>
      <w:r w:rsidRPr="007E6FC8">
        <w:rPr>
          <w:rFonts w:hint="cs"/>
          <w:rtl/>
        </w:rPr>
        <w:t xml:space="preserve">اعتماد القرار </w:t>
      </w:r>
      <w:r w:rsidR="005C792B" w:rsidRPr="00102D37">
        <w:rPr>
          <w:rFonts w:hint="eastAsia"/>
          <w:rtl/>
        </w:rPr>
        <w:t>التالي</w:t>
      </w:r>
      <w:r w:rsidR="005C792B" w:rsidRPr="00102D37">
        <w:rPr>
          <w:rtl/>
        </w:rPr>
        <w:t>:</w:t>
      </w:r>
    </w:p>
    <w:p w14:paraId="6CEB1E9D" w14:textId="21B550F3" w:rsidR="00D95C4C" w:rsidRPr="007E6FC8" w:rsidRDefault="004A34A0" w:rsidP="004428E6">
      <w:pPr>
        <w:pStyle w:val="COMTitleDecision"/>
        <w:bidi/>
        <w:spacing w:line="288" w:lineRule="auto"/>
        <w:rPr>
          <w:rFonts w:eastAsia="SimSun"/>
          <w:b w:val="0"/>
          <w:bCs/>
          <w:szCs w:val="24"/>
          <w:rtl/>
        </w:rPr>
      </w:pPr>
      <w:r w:rsidRPr="007E6FC8">
        <w:rPr>
          <w:rFonts w:hint="cs"/>
          <w:b w:val="0"/>
          <w:bCs/>
          <w:szCs w:val="24"/>
          <w:rtl/>
        </w:rPr>
        <w:t xml:space="preserve">مشروع القرار </w:t>
      </w:r>
      <w:r w:rsidRPr="007E6FC8">
        <w:rPr>
          <w:b w:val="0"/>
          <w:bCs/>
          <w:szCs w:val="24"/>
          <w:cs/>
        </w:rPr>
        <w:t>‎</w:t>
      </w:r>
      <w:r w:rsidR="008A5ABA" w:rsidRPr="007E6FC8">
        <w:rPr>
          <w:szCs w:val="24"/>
        </w:rPr>
        <w:t>11.GA 5</w:t>
      </w:r>
    </w:p>
    <w:p w14:paraId="13024F0B" w14:textId="5181E164" w:rsidR="00D95C4C" w:rsidRPr="007E6FC8" w:rsidRDefault="005C792B" w:rsidP="004428E6">
      <w:pPr>
        <w:pStyle w:val="COMPreambulaDecisions"/>
        <w:bidi/>
        <w:spacing w:line="288" w:lineRule="auto"/>
        <w:rPr>
          <w:rFonts w:eastAsia="SimSun"/>
          <w:szCs w:val="24"/>
          <w:rtl/>
        </w:rPr>
      </w:pPr>
      <w:r w:rsidRPr="007E6FC8">
        <w:rPr>
          <w:rFonts w:hint="cs"/>
          <w:szCs w:val="24"/>
          <w:rtl/>
        </w:rPr>
        <w:t>إن الجمعية العامة،</w:t>
      </w:r>
    </w:p>
    <w:p w14:paraId="5A9F22F3" w14:textId="6AC66C98" w:rsidR="0057439C" w:rsidRPr="00102D37" w:rsidRDefault="00D95C4C" w:rsidP="004428E6">
      <w:pPr>
        <w:pStyle w:val="COMParaDecision"/>
        <w:bidi/>
        <w:spacing w:line="288" w:lineRule="auto"/>
        <w:ind w:left="1134" w:hanging="567"/>
        <w:rPr>
          <w:rtl/>
        </w:rPr>
      </w:pPr>
      <w:r w:rsidRPr="007E6FC8">
        <w:rPr>
          <w:rFonts w:hint="cs"/>
          <w:szCs w:val="24"/>
          <w:rtl/>
        </w:rPr>
        <w:t>وقد درست</w:t>
      </w:r>
      <w:r w:rsidRPr="007E6FC8">
        <w:rPr>
          <w:rFonts w:hint="cs"/>
          <w:szCs w:val="24"/>
          <w:u w:val="none"/>
          <w:rtl/>
        </w:rPr>
        <w:t xml:space="preserve"> الوثيقة رقم </w:t>
      </w:r>
      <w:r w:rsidRPr="007E6FC8">
        <w:rPr>
          <w:szCs w:val="24"/>
          <w:u w:val="none"/>
        </w:rPr>
        <w:t>LHE/26/11.GA/5</w:t>
      </w:r>
      <w:r w:rsidRPr="007E6FC8">
        <w:rPr>
          <w:rFonts w:hint="cs"/>
          <w:szCs w:val="24"/>
          <w:u w:val="none"/>
          <w:rtl/>
        </w:rPr>
        <w:t xml:space="preserve"> والملحق الخاص </w:t>
      </w:r>
      <w:r w:rsidRPr="00102D37">
        <w:rPr>
          <w:u w:val="none"/>
          <w:rtl/>
        </w:rPr>
        <w:t>بها،</w:t>
      </w:r>
    </w:p>
    <w:p w14:paraId="2E6C5523" w14:textId="71D19FED" w:rsidR="009219A9" w:rsidRPr="00102D37" w:rsidRDefault="00D20A0A" w:rsidP="004428E6">
      <w:pPr>
        <w:pStyle w:val="COMParaDecision"/>
        <w:bidi/>
        <w:spacing w:line="288" w:lineRule="auto"/>
        <w:ind w:left="1134" w:hanging="567"/>
        <w:rPr>
          <w:rtl/>
        </w:rPr>
      </w:pPr>
      <w:r w:rsidRPr="007E6FC8">
        <w:rPr>
          <w:rFonts w:asciiTheme="majorBidi" w:hAnsiTheme="majorBidi" w:cstheme="majorBidi"/>
          <w:rtl/>
        </w:rPr>
        <w:t>وإذ تذكّر</w:t>
      </w:r>
      <w:r w:rsidRPr="007E6FC8">
        <w:rPr>
          <w:rFonts w:asciiTheme="majorBidi" w:hAnsiTheme="majorBidi" w:cstheme="majorBidi"/>
          <w:u w:val="none"/>
          <w:rtl/>
        </w:rPr>
        <w:t xml:space="preserve"> بالمادة</w:t>
      </w:r>
      <w:r w:rsidRPr="007E6FC8" w:rsidDel="00993731">
        <w:rPr>
          <w:rFonts w:hint="cs"/>
          <w:u w:val="none"/>
          <w:rtl/>
        </w:rPr>
        <w:t xml:space="preserve"> </w:t>
      </w:r>
      <w:r w:rsidR="009219A9" w:rsidRPr="00102D37">
        <w:rPr>
          <w:u w:val="none"/>
          <w:rtl/>
        </w:rPr>
        <w:t xml:space="preserve">30 من الاتفاقية والقرار </w:t>
      </w:r>
      <w:hyperlink r:id="rId12" w:history="1">
        <w:r w:rsidR="009219A9" w:rsidRPr="00102D37">
          <w:rPr>
            <w:rStyle w:val="Hyperlink"/>
            <w:cs/>
          </w:rPr>
          <w:t>‎</w:t>
        </w:r>
        <w:hyperlink r:id="rId13" w:history="1">
          <w:r w:rsidR="008A5ABA" w:rsidRPr="007E6FC8">
            <w:rPr>
              <w:rStyle w:val="Hyperlink"/>
            </w:rPr>
            <w:t>6.GA 5</w:t>
          </w:r>
        </w:hyperlink>
      </w:hyperlink>
      <w:r w:rsidR="009219A9" w:rsidRPr="00102D37">
        <w:rPr>
          <w:u w:val="none"/>
          <w:rtl/>
        </w:rPr>
        <w:t>،</w:t>
      </w:r>
    </w:p>
    <w:p w14:paraId="788BE1A8" w14:textId="55808EFE" w:rsidR="009219A9" w:rsidRPr="00102D37" w:rsidRDefault="004E43D9" w:rsidP="004428E6">
      <w:pPr>
        <w:pStyle w:val="COMParaDecision"/>
        <w:bidi/>
        <w:spacing w:line="288" w:lineRule="auto"/>
        <w:ind w:left="1134" w:hanging="567"/>
        <w:rPr>
          <w:rtl/>
        </w:rPr>
      </w:pPr>
      <w:r w:rsidRPr="00102D37">
        <w:rPr>
          <w:rtl/>
        </w:rPr>
        <w:t>و</w:t>
      </w:r>
      <w:r w:rsidR="009219A9" w:rsidRPr="00102D37">
        <w:rPr>
          <w:rtl/>
        </w:rPr>
        <w:t>ترحب</w:t>
      </w:r>
      <w:r w:rsidR="009219A9" w:rsidRPr="00102D37">
        <w:rPr>
          <w:u w:val="none"/>
          <w:rtl/>
        </w:rPr>
        <w:t xml:space="preserve"> بليبيا وسيراليون وجنوب أفريقيا والمملكة المتحدة لبريطانيا العظمى وأيرلندا الشمالية، التي صدقت على الاتفاقية خلال الفترة المشمولة بالتقرير، ليصل بذلك إجمالي عدد الدول الأطراف إلى 185 دولة، </w:t>
      </w:r>
      <w:r w:rsidR="009219A9" w:rsidRPr="00102D37">
        <w:rPr>
          <w:rtl/>
        </w:rPr>
        <w:t>وتُشجع</w:t>
      </w:r>
      <w:r w:rsidR="009219A9" w:rsidRPr="00102D37">
        <w:rPr>
          <w:u w:val="none"/>
          <w:rtl/>
        </w:rPr>
        <w:t xml:space="preserve"> الدول التي لم تصدق عليها بعد على النظر في القيام بذلك؛</w:t>
      </w:r>
    </w:p>
    <w:p w14:paraId="295CEA03" w14:textId="11F13F5C" w:rsidR="009219A9" w:rsidRPr="00102D37" w:rsidRDefault="004E43D9" w:rsidP="004428E6">
      <w:pPr>
        <w:pStyle w:val="COMParaDecision"/>
        <w:bidi/>
        <w:spacing w:line="288" w:lineRule="auto"/>
        <w:ind w:left="1134" w:hanging="567"/>
        <w:rPr>
          <w:rtl/>
        </w:rPr>
      </w:pPr>
      <w:r w:rsidRPr="00102D37">
        <w:rPr>
          <w:rtl/>
        </w:rPr>
        <w:t>و</w:t>
      </w:r>
      <w:r w:rsidR="009219A9" w:rsidRPr="00102D37">
        <w:rPr>
          <w:rtl/>
        </w:rPr>
        <w:t>تحيط علماً</w:t>
      </w:r>
      <w:r w:rsidR="009219A9" w:rsidRPr="00102D37">
        <w:rPr>
          <w:u w:val="none"/>
          <w:rtl/>
        </w:rPr>
        <w:t xml:space="preserve"> بتقرير اللجنة المقدم إلى الجمعية العامة عن أنشطتها في الفترة بين كانون الثاني/ يناير 2024 إلى كانون الأول /ديسمبر 2025، على النحو المرفق بهذه الوثيقة، </w:t>
      </w:r>
      <w:r w:rsidR="009219A9" w:rsidRPr="00102D37">
        <w:rPr>
          <w:rtl/>
        </w:rPr>
        <w:t>وتشكر</w:t>
      </w:r>
      <w:r w:rsidR="009219A9" w:rsidRPr="00102D37">
        <w:rPr>
          <w:u w:val="none"/>
          <w:rtl/>
        </w:rPr>
        <w:t xml:space="preserve"> اللجنة على عملها الفعال؛</w:t>
      </w:r>
    </w:p>
    <w:p w14:paraId="6C8A31DB" w14:textId="20BBFC81" w:rsidR="009219A9" w:rsidRPr="00102D37" w:rsidRDefault="00740BB1" w:rsidP="00740BB1">
      <w:pPr>
        <w:pStyle w:val="COMParaDecision"/>
        <w:bidi/>
        <w:spacing w:line="288" w:lineRule="auto"/>
        <w:ind w:left="1134" w:hanging="567"/>
        <w:rPr>
          <w:rtl/>
        </w:rPr>
      </w:pPr>
      <w:r w:rsidRPr="007E6FC8">
        <w:rPr>
          <w:rFonts w:asciiTheme="majorBidi" w:hAnsiTheme="majorBidi" w:cstheme="majorBidi"/>
          <w:rtl/>
        </w:rPr>
        <w:t>وتهنيء</w:t>
      </w:r>
      <w:r w:rsidR="009219A9" w:rsidRPr="00102D37">
        <w:rPr>
          <w:u w:val="none"/>
          <w:rtl/>
        </w:rPr>
        <w:t xml:space="preserve"> اللجنة </w:t>
      </w:r>
      <w:r w:rsidRPr="007E6FC8">
        <w:rPr>
          <w:u w:val="none"/>
          <w:rtl/>
        </w:rPr>
        <w:t xml:space="preserve">لجهودها في </w:t>
      </w:r>
      <w:proofErr w:type="spellStart"/>
      <w:r w:rsidRPr="007E6FC8">
        <w:rPr>
          <w:u w:val="none"/>
          <w:rtl/>
        </w:rPr>
        <w:t>تطوير</w:t>
      </w:r>
      <w:r w:rsidR="009219A9" w:rsidRPr="00102D37">
        <w:rPr>
          <w:u w:val="none"/>
          <w:rtl/>
        </w:rPr>
        <w:t>المبادرات</w:t>
      </w:r>
      <w:proofErr w:type="spellEnd"/>
      <w:r w:rsidR="009219A9" w:rsidRPr="00102D37">
        <w:rPr>
          <w:u w:val="none"/>
          <w:rtl/>
        </w:rPr>
        <w:t xml:space="preserve"> الموضوعية للاتفاقية، ولا سيما "المذكرة التوجيهية بشأن العمل المناخي من أجل التراث الحي" (2024) و"المذكرة التوجيهية بشأن صون التراث الثقافي غير المادي في السياقات الحضرية" (2025)، بالإضافة إلى المذكرة التوجيهية الصادرة سابقاً بشأن الجوانب الاقتصادية لصون التراث الثقافي غير المادي (2023)، </w:t>
      </w:r>
      <w:r w:rsidR="009219A9" w:rsidRPr="00102D37">
        <w:rPr>
          <w:rtl/>
        </w:rPr>
        <w:t>وتدعو</w:t>
      </w:r>
      <w:r w:rsidR="009219A9" w:rsidRPr="00102D37">
        <w:rPr>
          <w:u w:val="none"/>
          <w:rtl/>
        </w:rPr>
        <w:t xml:space="preserve"> إلى إدماجها في برامج الاتفاقية، وتدخلات بناء القدرات، والأطر الدولية الأخرى؛</w:t>
      </w:r>
    </w:p>
    <w:p w14:paraId="0CA78451" w14:textId="2F21414D" w:rsidR="009219A9" w:rsidRPr="00102D37" w:rsidRDefault="00740BB1" w:rsidP="004428E6">
      <w:pPr>
        <w:pStyle w:val="COMParaDecision"/>
        <w:bidi/>
        <w:spacing w:line="288" w:lineRule="auto"/>
        <w:ind w:left="1134" w:hanging="567"/>
        <w:rPr>
          <w:rtl/>
        </w:rPr>
      </w:pPr>
      <w:r w:rsidRPr="007E6FC8">
        <w:rPr>
          <w:rFonts w:asciiTheme="majorBidi" w:hAnsiTheme="majorBidi" w:cstheme="majorBidi"/>
          <w:rtl/>
        </w:rPr>
        <w:t xml:space="preserve">وكما </w:t>
      </w:r>
      <w:proofErr w:type="gramStart"/>
      <w:r w:rsidRPr="007E6FC8">
        <w:rPr>
          <w:rFonts w:asciiTheme="majorBidi" w:hAnsiTheme="majorBidi" w:cstheme="majorBidi"/>
          <w:rtl/>
        </w:rPr>
        <w:t>تهنيء</w:t>
      </w:r>
      <w:proofErr w:type="gramEnd"/>
      <w:r w:rsidRPr="007E6FC8">
        <w:rPr>
          <w:rFonts w:asciiTheme="majorBidi" w:hAnsiTheme="majorBidi" w:cstheme="majorBidi"/>
          <w:u w:val="none"/>
          <w:rtl/>
        </w:rPr>
        <w:t xml:space="preserve"> </w:t>
      </w:r>
      <w:r w:rsidR="009219A9" w:rsidRPr="00102D37">
        <w:rPr>
          <w:u w:val="none"/>
          <w:rtl/>
        </w:rPr>
        <w:t xml:space="preserve">اللجنة للتقدم الذي أحرزته فيما يتعلق بعملية التأمل بشأن نطاق أوسع لتنفيذ المادة 18، بالإشارة إلى إنشاء المنصة الإلكترونية لتبادل ممارسات الصون الجيدة بما يعكس تطلعات </w:t>
      </w:r>
      <w:r w:rsidRPr="00102D37">
        <w:rPr>
          <w:u w:val="none"/>
          <w:rtl/>
        </w:rPr>
        <w:t>الجماعات</w:t>
      </w:r>
      <w:r w:rsidR="009219A9" w:rsidRPr="00102D37">
        <w:rPr>
          <w:u w:val="none"/>
          <w:rtl/>
        </w:rPr>
        <w:t xml:space="preserve"> وخبراتها ومعارفها عبر مختلف الأقاليم؛</w:t>
      </w:r>
    </w:p>
    <w:p w14:paraId="0ADA6F68" w14:textId="2106842F" w:rsidR="000C35D1" w:rsidRPr="00102D37" w:rsidRDefault="00740BB1" w:rsidP="004428E6">
      <w:pPr>
        <w:pStyle w:val="COMParaDecision"/>
        <w:bidi/>
        <w:spacing w:line="288" w:lineRule="auto"/>
        <w:ind w:left="1134" w:hanging="567"/>
        <w:rPr>
          <w:u w:val="none"/>
          <w:rtl/>
        </w:rPr>
      </w:pPr>
      <w:r w:rsidRPr="007E6FC8">
        <w:rPr>
          <w:rtl/>
        </w:rPr>
        <w:t>وتعترف</w:t>
      </w:r>
      <w:r w:rsidRPr="007E6FC8">
        <w:rPr>
          <w:rFonts w:hint="cs"/>
          <w:u w:val="none"/>
          <w:rtl/>
        </w:rPr>
        <w:t xml:space="preserve"> </w:t>
      </w:r>
      <w:r w:rsidR="00630621" w:rsidRPr="00102D37">
        <w:rPr>
          <w:u w:val="none"/>
          <w:rtl/>
        </w:rPr>
        <w:t xml:space="preserve">بالنتائج الإيجابية لأولويتي التمويل للفترة 2022-2025، </w:t>
      </w:r>
      <w:r w:rsidR="003D0F31" w:rsidRPr="007E6FC8">
        <w:rPr>
          <w:rFonts w:hint="cs"/>
          <w:rtl/>
        </w:rPr>
        <w:t>و</w:t>
      </w:r>
      <w:r w:rsidR="003D0F31" w:rsidRPr="007E6FC8">
        <w:rPr>
          <w:rFonts w:asciiTheme="majorBidi" w:hAnsiTheme="majorBidi" w:cstheme="majorBidi"/>
          <w:rtl/>
        </w:rPr>
        <w:t>كما</w:t>
      </w:r>
      <w:r w:rsidR="003D0F31" w:rsidRPr="007E6FC8">
        <w:rPr>
          <w:rFonts w:asciiTheme="majorBidi" w:hAnsiTheme="majorBidi" w:cstheme="majorBidi"/>
        </w:rPr>
        <w:t xml:space="preserve"> </w:t>
      </w:r>
      <w:r w:rsidR="003D0F31" w:rsidRPr="007E6FC8">
        <w:rPr>
          <w:rFonts w:hint="cs"/>
          <w:rtl/>
        </w:rPr>
        <w:t>ترحب</w:t>
      </w:r>
      <w:r w:rsidR="003D0F31" w:rsidRPr="00102D37" w:rsidDel="003D0F31">
        <w:rPr>
          <w:u w:val="none"/>
          <w:rtl/>
        </w:rPr>
        <w:t xml:space="preserve"> </w:t>
      </w:r>
      <w:r w:rsidR="00630621" w:rsidRPr="00102D37">
        <w:rPr>
          <w:u w:val="none"/>
          <w:rtl/>
        </w:rPr>
        <w:t>باعتماد اللجنة لأولويتي التمويل الجديدتين للفترة 2026-2029</w:t>
      </w:r>
      <w:proofErr w:type="gramStart"/>
      <w:r w:rsidR="00630621" w:rsidRPr="00102D37">
        <w:rPr>
          <w:u w:val="none"/>
          <w:rtl/>
        </w:rPr>
        <w:t>:</w:t>
      </w:r>
      <w:r w:rsidR="00630621" w:rsidRPr="00102D37">
        <w:rPr>
          <w:rFonts w:asciiTheme="minorBidi" w:hAnsiTheme="minorBidi" w:cstheme="minorBidi"/>
          <w:u w:val="none"/>
          <w:rtl/>
        </w:rPr>
        <w:t xml:space="preserve"> </w:t>
      </w:r>
      <w:r w:rsidR="003B2A0A" w:rsidRPr="007E6FC8">
        <w:rPr>
          <w:u w:val="none"/>
        </w:rPr>
        <w:t>”</w:t>
      </w:r>
      <w:r w:rsidR="00630621" w:rsidRPr="00102D37">
        <w:rPr>
          <w:u w:val="none"/>
          <w:rtl/>
        </w:rPr>
        <w:t>تعزيز</w:t>
      </w:r>
      <w:proofErr w:type="gramEnd"/>
      <w:r w:rsidR="00630621" w:rsidRPr="00102D37">
        <w:rPr>
          <w:u w:val="none"/>
          <w:rtl/>
        </w:rPr>
        <w:t xml:space="preserve"> نهج بناء القدرات من أجل صون التراث الثقافي غير المادي مع التركيز على الرفاه البشري وتمكين </w:t>
      </w:r>
      <w:proofErr w:type="gramStart"/>
      <w:r w:rsidR="003D0F31" w:rsidRPr="007E6FC8">
        <w:rPr>
          <w:u w:val="none"/>
          <w:rtl/>
        </w:rPr>
        <w:t>الجماعات</w:t>
      </w:r>
      <w:r w:rsidR="003B2A0A" w:rsidRPr="007E6FC8">
        <w:rPr>
          <w:u w:val="none"/>
        </w:rPr>
        <w:t>“</w:t>
      </w:r>
      <w:r w:rsidR="003B2A0A" w:rsidRPr="00102D37">
        <w:rPr>
          <w:u w:val="none"/>
          <w:rtl/>
        </w:rPr>
        <w:t xml:space="preserve"> </w:t>
      </w:r>
      <w:r w:rsidR="00630621" w:rsidRPr="00102D37">
        <w:rPr>
          <w:u w:val="none"/>
          <w:rtl/>
        </w:rPr>
        <w:t>(</w:t>
      </w:r>
      <w:proofErr w:type="gramEnd"/>
      <w:r w:rsidR="00630621" w:rsidRPr="00102D37">
        <w:rPr>
          <w:u w:val="none"/>
          <w:rtl/>
        </w:rPr>
        <w:t xml:space="preserve">أولوية التمويل "أ") </w:t>
      </w:r>
      <w:proofErr w:type="gramStart"/>
      <w:r w:rsidR="00630621" w:rsidRPr="00102D37">
        <w:rPr>
          <w:u w:val="none"/>
          <w:rtl/>
        </w:rPr>
        <w:t>و</w:t>
      </w:r>
      <w:r w:rsidR="003B2A0A" w:rsidRPr="007E6FC8">
        <w:rPr>
          <w:u w:val="none"/>
        </w:rPr>
        <w:t>”</w:t>
      </w:r>
      <w:r w:rsidR="00630621" w:rsidRPr="00102D37">
        <w:rPr>
          <w:u w:val="none"/>
          <w:rtl/>
        </w:rPr>
        <w:t>تحسين</w:t>
      </w:r>
      <w:proofErr w:type="gramEnd"/>
      <w:r w:rsidR="00630621" w:rsidRPr="00102D37">
        <w:rPr>
          <w:u w:val="none"/>
          <w:rtl/>
        </w:rPr>
        <w:t xml:space="preserve"> نهج صون التراث الثقافي غير </w:t>
      </w:r>
      <w:proofErr w:type="gramStart"/>
      <w:r w:rsidR="00630621" w:rsidRPr="00102D37">
        <w:rPr>
          <w:u w:val="none"/>
          <w:rtl/>
        </w:rPr>
        <w:t>المادي</w:t>
      </w:r>
      <w:r w:rsidR="003B2A0A" w:rsidRPr="007E6FC8">
        <w:rPr>
          <w:u w:val="none"/>
        </w:rPr>
        <w:t>“</w:t>
      </w:r>
      <w:r w:rsidR="003B2A0A" w:rsidRPr="00102D37">
        <w:rPr>
          <w:u w:val="none"/>
          <w:rtl/>
        </w:rPr>
        <w:t xml:space="preserve"> </w:t>
      </w:r>
      <w:r w:rsidR="00630621" w:rsidRPr="00102D37">
        <w:rPr>
          <w:u w:val="none"/>
          <w:rtl/>
        </w:rPr>
        <w:t>(</w:t>
      </w:r>
      <w:proofErr w:type="gramEnd"/>
      <w:r w:rsidR="00630621" w:rsidRPr="00102D37">
        <w:rPr>
          <w:u w:val="none"/>
          <w:rtl/>
        </w:rPr>
        <w:t>أولوية التمويل "</w:t>
      </w:r>
      <w:proofErr w:type="gramStart"/>
      <w:r w:rsidR="00630621" w:rsidRPr="00102D37">
        <w:rPr>
          <w:u w:val="none"/>
          <w:rtl/>
        </w:rPr>
        <w:t>ب"</w:t>
      </w:r>
      <w:proofErr w:type="gramEnd"/>
      <w:r w:rsidR="00630621" w:rsidRPr="00102D37">
        <w:rPr>
          <w:u w:val="none"/>
          <w:rtl/>
        </w:rPr>
        <w:t xml:space="preserve">)، </w:t>
      </w:r>
      <w:r w:rsidR="00630621" w:rsidRPr="00102D37">
        <w:rPr>
          <w:rtl/>
        </w:rPr>
        <w:t>وتدعو</w:t>
      </w:r>
      <w:r w:rsidR="00630621" w:rsidRPr="00102D37">
        <w:rPr>
          <w:u w:val="none"/>
          <w:rtl/>
        </w:rPr>
        <w:t xml:space="preserve"> جميع الدول الأطراف إلى تقديم مساهمات طوعية إضافية لدعم الأنشطة التي تندرج في إطار هاتين الأولويتين؛</w:t>
      </w:r>
    </w:p>
    <w:p w14:paraId="118BBE51" w14:textId="1B7DA118" w:rsidR="009219A9" w:rsidRPr="00102D37" w:rsidRDefault="003B2A0A" w:rsidP="004428E6">
      <w:pPr>
        <w:pStyle w:val="COMParaDecision"/>
        <w:bidi/>
        <w:spacing w:line="288" w:lineRule="auto"/>
        <w:ind w:left="1134" w:hanging="567"/>
        <w:rPr>
          <w:u w:val="none"/>
          <w:rtl/>
        </w:rPr>
      </w:pPr>
      <w:r w:rsidRPr="00102D37">
        <w:rPr>
          <w:rtl/>
        </w:rPr>
        <w:t>و</w:t>
      </w:r>
      <w:r w:rsidR="009219A9" w:rsidRPr="00102D37">
        <w:rPr>
          <w:rtl/>
        </w:rPr>
        <w:t>تلاحظ بارتياح</w:t>
      </w:r>
      <w:r w:rsidR="009219A9" w:rsidRPr="00102D37">
        <w:rPr>
          <w:u w:val="none"/>
          <w:rtl/>
        </w:rPr>
        <w:t xml:space="preserve"> الارتفاع الكبير في معدلات تقديم التقارير في إطار الدورة الإقليمية الأولى لتقديم التقارير الدورية، </w:t>
      </w:r>
      <w:r w:rsidR="009E21AA" w:rsidRPr="007E6FC8">
        <w:rPr>
          <w:rtl/>
        </w:rPr>
        <w:t>و</w:t>
      </w:r>
      <w:r w:rsidR="009E21AA" w:rsidRPr="007E6FC8">
        <w:rPr>
          <w:rFonts w:asciiTheme="majorBidi" w:hAnsiTheme="majorBidi" w:cstheme="majorBidi"/>
          <w:rtl/>
        </w:rPr>
        <w:t>كما</w:t>
      </w:r>
      <w:r w:rsidR="009E21AA" w:rsidRPr="007E6FC8">
        <w:rPr>
          <w:rFonts w:asciiTheme="majorBidi" w:hAnsiTheme="majorBidi" w:cstheme="majorBidi"/>
        </w:rPr>
        <w:t xml:space="preserve"> </w:t>
      </w:r>
      <w:r w:rsidR="009E21AA" w:rsidRPr="007E6FC8">
        <w:rPr>
          <w:rtl/>
        </w:rPr>
        <w:t>تعترف</w:t>
      </w:r>
      <w:r w:rsidR="009E21AA" w:rsidRPr="00102D37" w:rsidDel="009E21AA">
        <w:rPr>
          <w:u w:val="none"/>
          <w:rtl/>
        </w:rPr>
        <w:t xml:space="preserve"> </w:t>
      </w:r>
      <w:r w:rsidR="009E21AA" w:rsidRPr="007E6FC8">
        <w:rPr>
          <w:rFonts w:hint="cs"/>
          <w:u w:val="none"/>
          <w:rtl/>
        </w:rPr>
        <w:t>ب</w:t>
      </w:r>
      <w:r w:rsidR="009219A9" w:rsidRPr="00102D37">
        <w:rPr>
          <w:u w:val="none"/>
          <w:rtl/>
        </w:rPr>
        <w:t>تأييد اللجنة للتوجه نحو نظام عالمي موحد لتقديم التقارير في إطار آليات تقديم التقارير الدورية؛</w:t>
      </w:r>
    </w:p>
    <w:p w14:paraId="4ABD080C" w14:textId="77777777" w:rsidR="009219A9" w:rsidRPr="00102D37" w:rsidRDefault="009219A9" w:rsidP="004428E6">
      <w:pPr>
        <w:pStyle w:val="COMParaDecision"/>
        <w:bidi/>
        <w:spacing w:line="288" w:lineRule="auto"/>
        <w:ind w:left="1134" w:hanging="567"/>
        <w:rPr>
          <w:rtl/>
        </w:rPr>
      </w:pPr>
      <w:r w:rsidRPr="00102D37">
        <w:rPr>
          <w:rtl/>
        </w:rPr>
        <w:t>وتطلب</w:t>
      </w:r>
      <w:r w:rsidRPr="00102D37">
        <w:rPr>
          <w:u w:val="none"/>
          <w:rtl/>
        </w:rPr>
        <w:t xml:space="preserve"> من المدير العام عرض هذا التقرير على المؤتمر العام لليونسكو وفقاً للفقرة 2 من المادة 30 من الاتفاقية.</w:t>
      </w:r>
    </w:p>
    <w:p w14:paraId="78A45008" w14:textId="0BC53A0B" w:rsidR="00935FFC" w:rsidRPr="00102D37" w:rsidRDefault="00935FFC" w:rsidP="004428E6">
      <w:pPr>
        <w:pageBreakBefore/>
        <w:bidi/>
        <w:spacing w:after="120" w:line="300" w:lineRule="auto"/>
        <w:jc w:val="center"/>
        <w:rPr>
          <w:rFonts w:ascii="Arial" w:hAnsi="Arial"/>
          <w:sz w:val="22"/>
          <w:szCs w:val="22"/>
          <w:rtl/>
        </w:rPr>
      </w:pPr>
      <w:r w:rsidRPr="007E6FC8">
        <w:rPr>
          <w:rFonts w:ascii="Arial" w:hAnsi="Arial" w:hint="cs"/>
          <w:b/>
          <w:bCs/>
          <w:szCs w:val="26"/>
          <w:u w:val="single"/>
          <w:rtl/>
        </w:rPr>
        <w:lastRenderedPageBreak/>
        <w:t>ملحق</w:t>
      </w:r>
    </w:p>
    <w:p w14:paraId="529F4069" w14:textId="4F2A3BF3" w:rsidR="00935FFC" w:rsidRPr="00102D37" w:rsidRDefault="00935FFC" w:rsidP="004428E6">
      <w:pPr>
        <w:bidi/>
        <w:spacing w:after="120" w:line="300" w:lineRule="auto"/>
        <w:jc w:val="center"/>
        <w:rPr>
          <w:rFonts w:ascii="Arial" w:hAnsi="Arial"/>
          <w:sz w:val="22"/>
          <w:szCs w:val="22"/>
          <w:rtl/>
        </w:rPr>
      </w:pPr>
      <w:r w:rsidRPr="00102D37">
        <w:rPr>
          <w:rFonts w:ascii="Arial" w:hAnsi="Arial" w:hint="eastAsia"/>
          <w:b/>
          <w:bCs/>
          <w:sz w:val="22"/>
          <w:szCs w:val="22"/>
          <w:rtl/>
        </w:rPr>
        <w:t>التقرير</w:t>
      </w:r>
      <w:r w:rsidRPr="00102D37">
        <w:rPr>
          <w:rFonts w:ascii="Arial" w:hAnsi="Arial"/>
          <w:b/>
          <w:bCs/>
          <w:sz w:val="22"/>
          <w:szCs w:val="22"/>
          <w:rtl/>
        </w:rPr>
        <w:t xml:space="preserve"> </w:t>
      </w:r>
      <w:r w:rsidRPr="00102D37">
        <w:rPr>
          <w:rFonts w:ascii="Arial" w:hAnsi="Arial" w:hint="eastAsia"/>
          <w:b/>
          <w:bCs/>
          <w:sz w:val="22"/>
          <w:szCs w:val="22"/>
          <w:rtl/>
        </w:rPr>
        <w:t>اللجنة</w:t>
      </w:r>
      <w:r w:rsidRPr="00102D37">
        <w:rPr>
          <w:rFonts w:ascii="Arial" w:hAnsi="Arial"/>
          <w:b/>
          <w:bCs/>
          <w:sz w:val="22"/>
          <w:szCs w:val="22"/>
          <w:rtl/>
        </w:rPr>
        <w:t xml:space="preserve"> إلى الجمعية العامة </w:t>
      </w:r>
      <w:r w:rsidR="00911074" w:rsidRPr="007E6FC8">
        <w:rPr>
          <w:rFonts w:ascii="Arial" w:hAnsi="Arial"/>
          <w:b/>
          <w:bCs/>
          <w:sz w:val="22"/>
          <w:szCs w:val="22"/>
          <w:rtl/>
        </w:rPr>
        <w:t>حول</w:t>
      </w:r>
      <w:r w:rsidRPr="00102D37">
        <w:rPr>
          <w:rFonts w:ascii="Arial" w:hAnsi="Arial"/>
          <w:b/>
          <w:bCs/>
          <w:sz w:val="22"/>
          <w:szCs w:val="22"/>
          <w:rtl/>
        </w:rPr>
        <w:t xml:space="preserve"> أنشطتها</w:t>
      </w:r>
    </w:p>
    <w:p w14:paraId="4276DF93" w14:textId="6DA98F5A" w:rsidR="00935FFC" w:rsidRPr="00102D37" w:rsidRDefault="00935FFC" w:rsidP="004428E6">
      <w:pPr>
        <w:keepNext/>
        <w:numPr>
          <w:ilvl w:val="0"/>
          <w:numId w:val="24"/>
        </w:numPr>
        <w:tabs>
          <w:tab w:val="num" w:pos="567"/>
        </w:tabs>
        <w:bidi/>
        <w:snapToGrid w:val="0"/>
        <w:spacing w:before="240" w:after="120" w:line="300" w:lineRule="auto"/>
        <w:ind w:left="561" w:hanging="561"/>
        <w:jc w:val="both"/>
        <w:rPr>
          <w:rFonts w:asciiTheme="minorBidi" w:hAnsiTheme="minorBidi" w:cstheme="minorBidi"/>
          <w:sz w:val="22"/>
          <w:szCs w:val="22"/>
          <w:rtl/>
        </w:rPr>
      </w:pPr>
      <w:r w:rsidRPr="00102D37">
        <w:rPr>
          <w:rFonts w:ascii="Arial" w:hAnsi="Arial" w:hint="eastAsia"/>
          <w:b/>
          <w:bCs/>
          <w:sz w:val="22"/>
          <w:szCs w:val="22"/>
          <w:rtl/>
        </w:rPr>
        <w:t>مقدمة</w:t>
      </w:r>
    </w:p>
    <w:p w14:paraId="656BE5AA" w14:textId="262DFE6D" w:rsidR="00935FFC" w:rsidRPr="00102D37" w:rsidRDefault="00911074" w:rsidP="004428E6">
      <w:pPr>
        <w:pStyle w:val="Marge"/>
        <w:numPr>
          <w:ilvl w:val="0"/>
          <w:numId w:val="23"/>
        </w:numPr>
        <w:tabs>
          <w:tab w:val="clear" w:pos="502"/>
          <w:tab w:val="clear" w:pos="567"/>
          <w:tab w:val="num" w:pos="1276"/>
        </w:tabs>
        <w:bidi/>
        <w:spacing w:after="120" w:line="300" w:lineRule="auto"/>
        <w:ind w:left="567" w:hanging="567"/>
        <w:rPr>
          <w:rFonts w:asciiTheme="minorBidi" w:hAnsiTheme="minorBidi" w:cstheme="minorBidi"/>
          <w:szCs w:val="22"/>
          <w:rtl/>
        </w:rPr>
      </w:pPr>
      <w:r w:rsidRPr="00102D37">
        <w:rPr>
          <w:rFonts w:asciiTheme="minorBidi" w:hAnsiTheme="minorBidi" w:hint="eastAsia"/>
          <w:szCs w:val="22"/>
          <w:rtl/>
        </w:rPr>
        <w:t>تم</w:t>
      </w:r>
      <w:r w:rsidRPr="00102D37">
        <w:rPr>
          <w:rFonts w:asciiTheme="minorBidi" w:hAnsiTheme="minorBidi"/>
          <w:szCs w:val="22"/>
          <w:rtl/>
        </w:rPr>
        <w:t xml:space="preserve"> تحديد مهام اللجنة في اتفاقية 2003 لصون التراث الثقافي غير المادي وعلى وجه الخصوص مادة 7</w:t>
      </w:r>
      <w:r w:rsidR="00935FFC" w:rsidRPr="00102D37">
        <w:rPr>
          <w:rFonts w:asciiTheme="minorBidi" w:hAnsiTheme="minorBidi" w:cstheme="minorBidi"/>
          <w:szCs w:val="22"/>
          <w:rtl/>
        </w:rPr>
        <w:t>7.</w:t>
      </w:r>
    </w:p>
    <w:p w14:paraId="6DAAAB0F" w14:textId="1F1119C6" w:rsidR="00A6511E" w:rsidRPr="00102D37" w:rsidRDefault="00A6511E" w:rsidP="004428E6">
      <w:pPr>
        <w:pStyle w:val="Marge"/>
        <w:numPr>
          <w:ilvl w:val="0"/>
          <w:numId w:val="23"/>
        </w:numPr>
        <w:tabs>
          <w:tab w:val="clear" w:pos="502"/>
          <w:tab w:val="clear" w:pos="567"/>
          <w:tab w:val="num" w:pos="1276"/>
        </w:tabs>
        <w:bidi/>
        <w:spacing w:after="120" w:line="300" w:lineRule="auto"/>
        <w:ind w:left="567" w:hanging="567"/>
        <w:rPr>
          <w:szCs w:val="22"/>
          <w:rtl/>
        </w:rPr>
      </w:pPr>
      <w:r w:rsidRPr="00102D37">
        <w:rPr>
          <w:rFonts w:hint="eastAsia"/>
          <w:szCs w:val="22"/>
          <w:rtl/>
        </w:rPr>
        <w:t>وفي</w:t>
      </w:r>
      <w:r w:rsidRPr="00102D37">
        <w:rPr>
          <w:szCs w:val="22"/>
          <w:rtl/>
        </w:rPr>
        <w:t xml:space="preserve"> عام 2024، </w:t>
      </w:r>
      <w:r w:rsidRPr="00102D37">
        <w:rPr>
          <w:rFonts w:asciiTheme="minorBidi" w:hAnsiTheme="minorBidi" w:cstheme="minorBidi" w:hint="eastAsia"/>
          <w:szCs w:val="22"/>
          <w:rtl/>
        </w:rPr>
        <w:t>جددت</w:t>
      </w:r>
      <w:r w:rsidRPr="00102D37">
        <w:rPr>
          <w:rFonts w:asciiTheme="minorBidi" w:hAnsiTheme="minorBidi" w:cstheme="minorBidi"/>
          <w:szCs w:val="22"/>
          <w:rtl/>
        </w:rPr>
        <w:t xml:space="preserve"> الجمعية العامة نصف اللجنة بانتخاب اثنتي عشرة دولة طرفاً إلى جانب الأعضاء الحاليين:</w:t>
      </w:r>
      <w:r w:rsidRPr="00102D37">
        <w:rPr>
          <w:szCs w:val="22"/>
          <w:rtl/>
        </w:rPr>
        <w:t xml:space="preserve"> </w:t>
      </w:r>
      <w:r w:rsidR="00911074" w:rsidRPr="00102D37">
        <w:rPr>
          <w:szCs w:val="22"/>
          <w:rtl/>
        </w:rPr>
        <w:t>الإمارات العربية المتحدة*،و</w:t>
      </w:r>
      <w:r w:rsidRPr="00102D37">
        <w:rPr>
          <w:rFonts w:hint="eastAsia"/>
          <w:szCs w:val="22"/>
          <w:rtl/>
        </w:rPr>
        <w:t>الجزائر</w:t>
      </w:r>
      <w:r w:rsidRPr="00102D37">
        <w:rPr>
          <w:szCs w:val="22"/>
          <w:rtl/>
        </w:rPr>
        <w:t xml:space="preserve">*، </w:t>
      </w:r>
      <w:r w:rsidR="00911074" w:rsidRPr="00102D37">
        <w:rPr>
          <w:szCs w:val="22"/>
          <w:rtl/>
        </w:rPr>
        <w:t xml:space="preserve">والصين*، والهند، وإثيوبيا، وإسبانيا*، وألمانيا، </w:t>
      </w:r>
      <w:r w:rsidRPr="00102D37">
        <w:rPr>
          <w:szCs w:val="22"/>
          <w:rtl/>
        </w:rPr>
        <w:t xml:space="preserve">وأنغولا، </w:t>
      </w:r>
      <w:r w:rsidR="00911074" w:rsidRPr="00102D37">
        <w:rPr>
          <w:szCs w:val="22"/>
          <w:rtl/>
        </w:rPr>
        <w:t xml:space="preserve">وأوزبكستان، وأوغندا*، وأوكرانيا*، وباراغواي، وبربادوس*، </w:t>
      </w:r>
      <w:r w:rsidRPr="00102D37">
        <w:rPr>
          <w:szCs w:val="22"/>
          <w:rtl/>
        </w:rPr>
        <w:t xml:space="preserve">وبنغلاديش، وبوركينا فاسو، وجمهورية الدومينيكان*، </w:t>
      </w:r>
      <w:r w:rsidR="00911074" w:rsidRPr="00102D37">
        <w:rPr>
          <w:szCs w:val="22"/>
          <w:rtl/>
        </w:rPr>
        <w:t xml:space="preserve">وسلوفاكيا، </w:t>
      </w:r>
      <w:r w:rsidRPr="00102D37">
        <w:rPr>
          <w:szCs w:val="22"/>
          <w:rtl/>
        </w:rPr>
        <w:t xml:space="preserve">وفرنسا*، </w:t>
      </w:r>
      <w:r w:rsidR="00911074" w:rsidRPr="00102D37">
        <w:rPr>
          <w:szCs w:val="22"/>
          <w:rtl/>
        </w:rPr>
        <w:t xml:space="preserve">وفيتنام، </w:t>
      </w:r>
      <w:r w:rsidRPr="00102D37">
        <w:rPr>
          <w:szCs w:val="22"/>
          <w:rtl/>
        </w:rPr>
        <w:t xml:space="preserve">وهايتي*، وماليزيا، وموريتانيا، ونيجيريا*، وزامبيا* </w:t>
      </w:r>
      <w:r w:rsidRPr="00102D37">
        <w:rPr>
          <w:rFonts w:asciiTheme="minorBidi" w:hAnsiTheme="minorBidi" w:cstheme="minorBidi"/>
          <w:szCs w:val="22"/>
          <w:rtl/>
        </w:rPr>
        <w:t>(تشغل الدول المشار إليها بعلامة النجمة (*) ولاية تمتد بين عامي 2024 و2028؛ أما الدول التي لا تحمل علامة النجمة، فتمتد ولايتها بين عامي 2022 و2026)</w:t>
      </w:r>
      <w:r w:rsidRPr="00102D37">
        <w:rPr>
          <w:szCs w:val="22"/>
          <w:rtl/>
        </w:rPr>
        <w:t>.</w:t>
      </w:r>
    </w:p>
    <w:p w14:paraId="6CDF0715" w14:textId="16B9460D" w:rsidR="00A6511E" w:rsidRPr="00102D37" w:rsidRDefault="00A6511E" w:rsidP="003B7027">
      <w:pPr>
        <w:pStyle w:val="Marge"/>
        <w:numPr>
          <w:ilvl w:val="0"/>
          <w:numId w:val="23"/>
        </w:numPr>
        <w:tabs>
          <w:tab w:val="clear" w:pos="567"/>
        </w:tabs>
        <w:bidi/>
        <w:spacing w:after="120" w:line="300" w:lineRule="auto"/>
        <w:rPr>
          <w:szCs w:val="22"/>
          <w:rtl/>
        </w:rPr>
      </w:pPr>
      <w:r w:rsidRPr="00102D37">
        <w:rPr>
          <w:rFonts w:hint="eastAsia"/>
          <w:szCs w:val="22"/>
          <w:rtl/>
        </w:rPr>
        <w:t>وعقدت</w:t>
      </w:r>
      <w:r w:rsidRPr="00102D37">
        <w:rPr>
          <w:szCs w:val="22"/>
          <w:rtl/>
        </w:rPr>
        <w:t xml:space="preserve"> اللجنة دورتها العادية مرتين: من 2 إلى 6 كانون الأول/ديسمبر 2024 (أسونسيون، جمهورية باراغواي) في دورتها التاسعة عشرة (المشار إليها فيما يلي باسم </w:t>
      </w:r>
      <w:r w:rsidR="00817988" w:rsidRPr="00102D37">
        <w:rPr>
          <w:szCs w:val="22"/>
          <w:rtl/>
        </w:rPr>
        <w:t>"</w:t>
      </w:r>
      <w:r w:rsidR="00A84AEF" w:rsidRPr="00102D37">
        <w:rPr>
          <w:szCs w:val="22"/>
          <w:cs/>
        </w:rPr>
        <w:t>‎</w:t>
      </w:r>
      <w:r w:rsidR="008A5ABA" w:rsidRPr="007E6FC8">
        <w:rPr>
          <w:szCs w:val="22"/>
          <w:lang w:val="en-GB"/>
        </w:rPr>
        <w:t>19.COM</w:t>
      </w:r>
      <w:r w:rsidR="00817988" w:rsidRPr="00102D37">
        <w:rPr>
          <w:szCs w:val="22"/>
          <w:rtl/>
        </w:rPr>
        <w:t>"</w:t>
      </w:r>
      <w:r w:rsidR="008A5ABA" w:rsidRPr="00102D37">
        <w:rPr>
          <w:szCs w:val="22"/>
          <w:rtl/>
        </w:rPr>
        <w:t>)</w:t>
      </w:r>
      <w:r w:rsidRPr="00102D37">
        <w:rPr>
          <w:rFonts w:hint="eastAsia"/>
          <w:szCs w:val="22"/>
          <w:rtl/>
        </w:rPr>
        <w:t>،</w:t>
      </w:r>
      <w:r w:rsidRPr="00102D37">
        <w:rPr>
          <w:szCs w:val="22"/>
          <w:rtl/>
        </w:rPr>
        <w:t xml:space="preserve"> ومن 8 إلى 12 كانون الأول/ديسمبر 2025 (نيودلهي، جمهورية الهند) في دورتها العشرين (المشار إليها فيما يلي باسم </w:t>
      </w:r>
      <w:r w:rsidR="00817988" w:rsidRPr="00102D37">
        <w:rPr>
          <w:szCs w:val="22"/>
          <w:rtl/>
        </w:rPr>
        <w:t>"</w:t>
      </w:r>
      <w:r w:rsidRPr="00102D37">
        <w:rPr>
          <w:szCs w:val="22"/>
          <w:cs/>
        </w:rPr>
        <w:t>‎</w:t>
      </w:r>
      <w:r w:rsidR="008A5ABA" w:rsidRPr="007E6FC8">
        <w:rPr>
          <w:szCs w:val="22"/>
          <w:lang w:val="en-GB"/>
        </w:rPr>
        <w:t>20.COM</w:t>
      </w:r>
      <w:r w:rsidR="00817988" w:rsidRPr="00102D37">
        <w:rPr>
          <w:szCs w:val="22"/>
          <w:rtl/>
        </w:rPr>
        <w:t>"</w:t>
      </w:r>
      <w:r w:rsidR="008A5ABA" w:rsidRPr="00102D37">
        <w:rPr>
          <w:szCs w:val="22"/>
          <w:rtl/>
        </w:rPr>
        <w:t>)</w:t>
      </w:r>
      <w:r w:rsidRPr="00102D37">
        <w:rPr>
          <w:szCs w:val="22"/>
          <w:rtl/>
        </w:rPr>
        <w:t>. بالإضافة إلى ذلك، جرى تبادل إلكتروني بين أعضاء اللجنة في الفترة من 24 إلى 31 كانون الثاني/يناير 2025. تألف مكتب الدورة التاسعة عشرة (</w:t>
      </w:r>
      <w:r w:rsidR="008A5ABA" w:rsidRPr="007E6FC8">
        <w:rPr>
          <w:szCs w:val="22"/>
          <w:lang w:val="en-GB"/>
        </w:rPr>
        <w:t>19.COM</w:t>
      </w:r>
      <w:r w:rsidRPr="00102D37">
        <w:rPr>
          <w:szCs w:val="22"/>
          <w:rtl/>
        </w:rPr>
        <w:t xml:space="preserve">) من: سعادة السيدة نانسي </w:t>
      </w:r>
      <w:proofErr w:type="spellStart"/>
      <w:r w:rsidRPr="00102D37">
        <w:rPr>
          <w:rFonts w:hint="eastAsia"/>
          <w:szCs w:val="22"/>
          <w:rtl/>
        </w:rPr>
        <w:t>أوفيلار</w:t>
      </w:r>
      <w:proofErr w:type="spellEnd"/>
      <w:r w:rsidRPr="00102D37">
        <w:rPr>
          <w:szCs w:val="22"/>
          <w:rtl/>
        </w:rPr>
        <w:t xml:space="preserve"> دي </w:t>
      </w:r>
      <w:proofErr w:type="spellStart"/>
      <w:r w:rsidRPr="00102D37">
        <w:rPr>
          <w:rFonts w:hint="eastAsia"/>
          <w:szCs w:val="22"/>
          <w:rtl/>
        </w:rPr>
        <w:t>غوروستياغا</w:t>
      </w:r>
      <w:proofErr w:type="spellEnd"/>
      <w:r w:rsidRPr="00102D37">
        <w:rPr>
          <w:szCs w:val="22"/>
          <w:rtl/>
        </w:rPr>
        <w:t xml:space="preserve"> (باراغواي) رئيسةً؛ وألمانيا وأوزبكستان وفيتنام وأنغولا وموريتانيا نواباً للرئيس؛ والسيدة </w:t>
      </w:r>
      <w:proofErr w:type="spellStart"/>
      <w:r w:rsidRPr="00102D37">
        <w:rPr>
          <w:rFonts w:hint="eastAsia"/>
          <w:szCs w:val="22"/>
          <w:rtl/>
        </w:rPr>
        <w:t>لوبيكا</w:t>
      </w:r>
      <w:proofErr w:type="spellEnd"/>
      <w:r w:rsidRPr="00102D37">
        <w:rPr>
          <w:szCs w:val="22"/>
          <w:rtl/>
        </w:rPr>
        <w:t xml:space="preserve"> </w:t>
      </w:r>
      <w:proofErr w:type="spellStart"/>
      <w:r w:rsidRPr="00102D37">
        <w:rPr>
          <w:rFonts w:hint="eastAsia"/>
          <w:szCs w:val="22"/>
          <w:rtl/>
        </w:rPr>
        <w:t>فولانسكا</w:t>
      </w:r>
      <w:proofErr w:type="spellEnd"/>
      <w:r w:rsidRPr="00102D37">
        <w:rPr>
          <w:szCs w:val="22"/>
          <w:rtl/>
        </w:rPr>
        <w:t xml:space="preserve"> (سلوفاكيا) مقررةً. تألف مكتب الدورة العشرين (</w:t>
      </w:r>
      <w:r w:rsidR="008A5ABA" w:rsidRPr="007E6FC8">
        <w:rPr>
          <w:szCs w:val="22"/>
          <w:lang w:val="en-GB"/>
        </w:rPr>
        <w:t>20.COM</w:t>
      </w:r>
      <w:r w:rsidRPr="00102D37">
        <w:rPr>
          <w:szCs w:val="22"/>
          <w:rtl/>
        </w:rPr>
        <w:t>) من: سعادة السيدة فيشال ف. شارما (الهند) رئيساً؛ وفرنسا وسلوفاكيا وبربادوس وإثيوبيا وموريتانيا نواباً للرئيس؛ والسيدة عائشة كمالي (الإمارات العربية المتحدة) مقررةً.</w:t>
      </w:r>
      <w:r w:rsidR="003B7027" w:rsidRPr="007E6FC8">
        <w:rPr>
          <w:rStyle w:val="FootnoteReference"/>
          <w:rFonts w:asciiTheme="minorBidi" w:hAnsiTheme="minorBidi" w:cstheme="minorBidi"/>
          <w:szCs w:val="22"/>
          <w:lang w:val="en-GB"/>
        </w:rPr>
        <w:footnoteReference w:id="1"/>
      </w:r>
    </w:p>
    <w:p w14:paraId="7FD06535" w14:textId="6AD2F8EE" w:rsidR="00F24EB5" w:rsidRPr="00102D37" w:rsidRDefault="00F24EB5" w:rsidP="004428E6">
      <w:pPr>
        <w:pStyle w:val="Marge"/>
        <w:numPr>
          <w:ilvl w:val="0"/>
          <w:numId w:val="23"/>
        </w:numPr>
        <w:tabs>
          <w:tab w:val="clear" w:pos="502"/>
          <w:tab w:val="num" w:pos="567"/>
        </w:tabs>
        <w:bidi/>
        <w:spacing w:before="120" w:after="120" w:line="300" w:lineRule="auto"/>
        <w:ind w:left="567" w:hanging="567"/>
        <w:rPr>
          <w:szCs w:val="22"/>
          <w:rtl/>
        </w:rPr>
      </w:pPr>
      <w:r w:rsidRPr="00102D37">
        <w:rPr>
          <w:rFonts w:hint="eastAsia"/>
          <w:szCs w:val="22"/>
          <w:rtl/>
        </w:rPr>
        <w:t>واجتمع</w:t>
      </w:r>
      <w:r w:rsidRPr="00102D37">
        <w:rPr>
          <w:szCs w:val="22"/>
          <w:rtl/>
        </w:rPr>
        <w:t xml:space="preserve"> المكتب خلال دورتي اللجنة في الفترة من يوم الثلاثاء وحتى اليوم الأخير من كل دورة. وخلال الفترة المشمولة بالتقرير، اجتمع المكتب أيضاً </w:t>
      </w:r>
      <w:r w:rsidR="0048672D" w:rsidRPr="00102D37">
        <w:rPr>
          <w:szCs w:val="22"/>
          <w:rtl/>
        </w:rPr>
        <w:t xml:space="preserve">سبعة </w:t>
      </w:r>
      <w:r w:rsidRPr="00102D37">
        <w:rPr>
          <w:rFonts w:hint="eastAsia"/>
          <w:szCs w:val="22"/>
          <w:rtl/>
        </w:rPr>
        <w:t>مرات</w:t>
      </w:r>
      <w:r w:rsidRPr="00102D37">
        <w:rPr>
          <w:szCs w:val="22"/>
          <w:rtl/>
        </w:rPr>
        <w:t xml:space="preserve"> </w:t>
      </w:r>
      <w:r w:rsidRPr="00102D37">
        <w:rPr>
          <w:rFonts w:hint="eastAsia"/>
          <w:i/>
          <w:iCs/>
          <w:szCs w:val="22"/>
          <w:rtl/>
        </w:rPr>
        <w:t>حضورياً</w:t>
      </w:r>
      <w:r w:rsidRPr="00102D37">
        <w:rPr>
          <w:szCs w:val="22"/>
          <w:rtl/>
        </w:rPr>
        <w:t xml:space="preserve"> (في مقر اليونسكو باستثناء اجتماعي 1 كانون الأول/ديسمبر 2024 في أسونسيون، جمهورية باراغواي، و7 كانون الأول/ديسمبر 2025 في نيودلهي، جمهورية الهند)، وذلك في 5 آذار/مارس 2024 (</w:t>
      </w:r>
      <w:r w:rsidRPr="00102D37">
        <w:rPr>
          <w:szCs w:val="22"/>
          <w:cs/>
        </w:rPr>
        <w:t>‎</w:t>
      </w:r>
      <w:r w:rsidR="008A5ABA" w:rsidRPr="007E6FC8">
        <w:rPr>
          <w:szCs w:val="22"/>
          <w:lang w:val="en-GB"/>
        </w:rPr>
        <w:t>19.COM 1.BUR</w:t>
      </w:r>
      <w:r w:rsidR="008A5ABA" w:rsidRPr="00102D37">
        <w:rPr>
          <w:szCs w:val="22"/>
          <w:rtl/>
        </w:rPr>
        <w:t>)</w:t>
      </w:r>
      <w:r w:rsidRPr="00102D37">
        <w:rPr>
          <w:rFonts w:hint="eastAsia"/>
          <w:szCs w:val="22"/>
          <w:rtl/>
        </w:rPr>
        <w:t>،</w:t>
      </w:r>
      <w:r w:rsidRPr="00102D37">
        <w:rPr>
          <w:szCs w:val="22"/>
          <w:rtl/>
        </w:rPr>
        <w:t xml:space="preserve"> و4 حزيران/يونيو 2024 (</w:t>
      </w:r>
      <w:r w:rsidR="008A5ABA" w:rsidRPr="007E6FC8">
        <w:rPr>
          <w:szCs w:val="22"/>
          <w:lang w:val="en-GB"/>
        </w:rPr>
        <w:t>19.COM 2.BUR</w:t>
      </w:r>
      <w:r w:rsidR="008A5ABA" w:rsidRPr="00102D37">
        <w:rPr>
          <w:szCs w:val="22"/>
          <w:rtl/>
        </w:rPr>
        <w:t>)</w:t>
      </w:r>
      <w:r w:rsidRPr="00102D37">
        <w:rPr>
          <w:rFonts w:hint="eastAsia"/>
          <w:szCs w:val="22"/>
          <w:rtl/>
        </w:rPr>
        <w:t>،</w:t>
      </w:r>
      <w:r w:rsidRPr="00102D37">
        <w:rPr>
          <w:szCs w:val="22"/>
          <w:rtl/>
        </w:rPr>
        <w:t xml:space="preserve"> و1 تشرين الأول/أكتوبر 2024 (</w:t>
      </w:r>
      <w:r w:rsidRPr="00102D37">
        <w:rPr>
          <w:szCs w:val="22"/>
          <w:cs/>
        </w:rPr>
        <w:t>‎</w:t>
      </w:r>
      <w:r w:rsidR="008A5ABA" w:rsidRPr="007E6FC8">
        <w:rPr>
          <w:rFonts w:asciiTheme="minorBidi" w:hAnsiTheme="minorBidi" w:cstheme="minorBidi"/>
          <w:szCs w:val="22"/>
          <w:lang w:val="en-GB"/>
        </w:rPr>
        <w:t>19</w:t>
      </w:r>
      <w:r w:rsidR="008A5ABA" w:rsidRPr="007E6FC8">
        <w:rPr>
          <w:szCs w:val="22"/>
          <w:lang w:val="en-GB"/>
        </w:rPr>
        <w:t>.COM 3.BUR</w:t>
      </w:r>
      <w:r w:rsidR="008A5ABA" w:rsidRPr="007E6FC8">
        <w:rPr>
          <w:szCs w:val="22"/>
        </w:rPr>
        <w:t xml:space="preserve"> </w:t>
      </w:r>
      <w:r w:rsidRPr="007E6FC8">
        <w:rPr>
          <w:szCs w:val="22"/>
          <w:cs/>
        </w:rPr>
        <w:t>‎</w:t>
      </w:r>
      <w:r w:rsidRPr="00102D37">
        <w:rPr>
          <w:szCs w:val="22"/>
          <w:rtl/>
        </w:rPr>
        <w:t>)</w:t>
      </w:r>
      <w:r w:rsidRPr="00102D37">
        <w:rPr>
          <w:rFonts w:hint="eastAsia"/>
          <w:szCs w:val="22"/>
          <w:rtl/>
        </w:rPr>
        <w:t>،</w:t>
      </w:r>
      <w:r w:rsidRPr="00102D37">
        <w:rPr>
          <w:szCs w:val="22"/>
          <w:rtl/>
        </w:rPr>
        <w:t xml:space="preserve"> و30 تشرين الأول/أكتوبر 2024 (</w:t>
      </w:r>
      <w:r w:rsidRPr="00102D37">
        <w:rPr>
          <w:szCs w:val="22"/>
          <w:cs/>
        </w:rPr>
        <w:t>‎</w:t>
      </w:r>
      <w:r w:rsidR="008A5ABA" w:rsidRPr="007E6FC8">
        <w:rPr>
          <w:szCs w:val="22"/>
          <w:lang w:val="en-GB"/>
        </w:rPr>
        <w:t>19.COM 4.BUR</w:t>
      </w:r>
      <w:r w:rsidRPr="00102D37">
        <w:rPr>
          <w:szCs w:val="22"/>
          <w:rtl/>
        </w:rPr>
        <w:t>)</w:t>
      </w:r>
      <w:r w:rsidRPr="00102D37">
        <w:rPr>
          <w:rFonts w:hint="eastAsia"/>
          <w:szCs w:val="22"/>
          <w:rtl/>
        </w:rPr>
        <w:t>،</w:t>
      </w:r>
      <w:r w:rsidRPr="00102D37">
        <w:rPr>
          <w:szCs w:val="22"/>
          <w:rtl/>
        </w:rPr>
        <w:t xml:space="preserve"> </w:t>
      </w:r>
      <w:r w:rsidRPr="00102D37">
        <w:rPr>
          <w:rFonts w:hint="eastAsia"/>
          <w:szCs w:val="22"/>
          <w:rtl/>
        </w:rPr>
        <w:t>و</w:t>
      </w:r>
      <w:r w:rsidRPr="00102D37">
        <w:rPr>
          <w:szCs w:val="22"/>
          <w:rtl/>
        </w:rPr>
        <w:t>11 آذار/مارس 2025 (</w:t>
      </w:r>
      <w:r w:rsidR="008A5ABA" w:rsidRPr="007E6FC8">
        <w:rPr>
          <w:szCs w:val="22"/>
          <w:lang w:val="en-GB"/>
        </w:rPr>
        <w:t>20.COM 2.BUR</w:t>
      </w:r>
      <w:r w:rsidR="008A5ABA" w:rsidRPr="00102D37">
        <w:rPr>
          <w:szCs w:val="22"/>
          <w:rtl/>
        </w:rPr>
        <w:t>)</w:t>
      </w:r>
      <w:r w:rsidRPr="00102D37">
        <w:rPr>
          <w:rFonts w:hint="eastAsia"/>
          <w:szCs w:val="22"/>
          <w:rtl/>
        </w:rPr>
        <w:t>،</w:t>
      </w:r>
      <w:r w:rsidRPr="00102D37">
        <w:rPr>
          <w:szCs w:val="22"/>
          <w:rtl/>
        </w:rPr>
        <w:t xml:space="preserve"> و11 حزيران/يونيو 2025 (</w:t>
      </w:r>
      <w:r w:rsidRPr="00102D37">
        <w:rPr>
          <w:szCs w:val="22"/>
          <w:cs/>
        </w:rPr>
        <w:t>‎‎</w:t>
      </w:r>
      <w:r w:rsidR="008A5ABA" w:rsidRPr="007E6FC8">
        <w:rPr>
          <w:szCs w:val="22"/>
          <w:lang w:val="en-GB"/>
        </w:rPr>
        <w:t>20.COM 3.BUR</w:t>
      </w:r>
      <w:r w:rsidR="008A5ABA" w:rsidRPr="00102D37">
        <w:rPr>
          <w:szCs w:val="22"/>
          <w:rtl/>
        </w:rPr>
        <w:t>)</w:t>
      </w:r>
      <w:r w:rsidRPr="00102D37">
        <w:rPr>
          <w:rFonts w:hint="eastAsia"/>
          <w:szCs w:val="22"/>
          <w:rtl/>
        </w:rPr>
        <w:t>،</w:t>
      </w:r>
      <w:r w:rsidRPr="00102D37">
        <w:rPr>
          <w:szCs w:val="22"/>
          <w:rtl/>
        </w:rPr>
        <w:t xml:space="preserve"> و23 تشرين الأول/أكتوبر 2025 (</w:t>
      </w:r>
      <w:r w:rsidR="008A5ABA" w:rsidRPr="007E6FC8">
        <w:rPr>
          <w:szCs w:val="22"/>
          <w:lang w:val="en-GB"/>
        </w:rPr>
        <w:t>20.COM 4.BUR</w:t>
      </w:r>
      <w:r w:rsidRPr="00102D37">
        <w:rPr>
          <w:szCs w:val="22"/>
          <w:rtl/>
        </w:rPr>
        <w:t>). إضافةً إلى ذلك، عُقدت مشاورة إلكترونية في كانون الثاني/يناير 2025 (</w:t>
      </w:r>
      <w:r w:rsidRPr="00102D37">
        <w:rPr>
          <w:szCs w:val="22"/>
          <w:cs/>
        </w:rPr>
        <w:t>‎</w:t>
      </w:r>
      <w:r w:rsidR="008A5ABA" w:rsidRPr="007E6FC8">
        <w:rPr>
          <w:szCs w:val="22"/>
          <w:lang w:val="en-GB"/>
        </w:rPr>
        <w:t>20.COM 1.BUR</w:t>
      </w:r>
      <w:r w:rsidRPr="00102D37">
        <w:rPr>
          <w:szCs w:val="22"/>
          <w:rtl/>
        </w:rPr>
        <w:t>).</w:t>
      </w:r>
    </w:p>
    <w:p w14:paraId="4AEE9353" w14:textId="34B9AEE8" w:rsidR="00935FFC" w:rsidRPr="00102D37" w:rsidRDefault="00935FFC" w:rsidP="004428E6">
      <w:pPr>
        <w:pStyle w:val="Marge"/>
        <w:numPr>
          <w:ilvl w:val="0"/>
          <w:numId w:val="23"/>
        </w:numPr>
        <w:tabs>
          <w:tab w:val="clear" w:pos="502"/>
          <w:tab w:val="num" w:pos="567"/>
        </w:tabs>
        <w:bidi/>
        <w:spacing w:before="120" w:after="120" w:line="300" w:lineRule="auto"/>
        <w:ind w:left="567" w:hanging="567"/>
        <w:rPr>
          <w:rFonts w:asciiTheme="minorBidi" w:hAnsiTheme="minorBidi" w:cstheme="minorBidi"/>
          <w:szCs w:val="22"/>
          <w:rtl/>
        </w:rPr>
      </w:pPr>
      <w:r w:rsidRPr="00102D37">
        <w:rPr>
          <w:rFonts w:hint="eastAsia"/>
          <w:szCs w:val="22"/>
          <w:rtl/>
        </w:rPr>
        <w:t>وقد</w:t>
      </w:r>
      <w:r w:rsidRPr="00102D37">
        <w:rPr>
          <w:szCs w:val="22"/>
          <w:rtl/>
        </w:rPr>
        <w:t xml:space="preserve"> درست اللجنة ومكتبها ما مجموعه 91 بنداً مدرجاً على جدول أعمالهما، كانت مصحوبة بـ 80 وثيقة عمل أو وثيقة معلومات، و13 ترشيحاً لقائمة الصون العاجل (بما في ذلك </w:t>
      </w:r>
      <w:proofErr w:type="gramStart"/>
      <w:r w:rsidR="00817988" w:rsidRPr="007E6FC8">
        <w:rPr>
          <w:szCs w:val="22"/>
          <w:rtl/>
        </w:rPr>
        <w:t>ثلاثة</w:t>
      </w:r>
      <w:proofErr w:type="gramEnd"/>
      <w:r w:rsidRPr="00102D37">
        <w:rPr>
          <w:szCs w:val="22"/>
          <w:rtl/>
        </w:rPr>
        <w:t xml:space="preserve"> ترشيحات مقترنة بطلب مساعدة دولية)، و111 ترشيحاً للقائمة التمثيلية، و</w:t>
      </w:r>
      <w:r w:rsidR="00817988" w:rsidRPr="007E6FC8">
        <w:rPr>
          <w:szCs w:val="22"/>
          <w:rtl/>
        </w:rPr>
        <w:t>أربعة</w:t>
      </w:r>
      <w:r w:rsidRPr="00102D37">
        <w:rPr>
          <w:szCs w:val="22"/>
          <w:rtl/>
        </w:rPr>
        <w:t xml:space="preserve"> مقترحات لسجل ممارسات الصون الجيدة، و</w:t>
      </w:r>
      <w:r w:rsidR="00817988" w:rsidRPr="007E6FC8">
        <w:rPr>
          <w:szCs w:val="22"/>
          <w:rtl/>
        </w:rPr>
        <w:t>خمسة</w:t>
      </w:r>
      <w:r w:rsidRPr="00102D37">
        <w:rPr>
          <w:szCs w:val="22"/>
          <w:rtl/>
        </w:rPr>
        <w:t xml:space="preserve"> طلبات لنقل عنصر من قائمة إلى أخرى، و24 طلباً "مستقلاً" للمساعدة الدولية، و108 تقارير دورية مقدمة من الدول الأطراف، و185 طلباً للاعتماد أو التجديد من منظمات غير حكومية (يُشار إليها فيما يلي بـ </w:t>
      </w:r>
      <w:r w:rsidR="00817988" w:rsidRPr="007E6FC8">
        <w:rPr>
          <w:rFonts w:hint="cs"/>
          <w:szCs w:val="22"/>
          <w:rtl/>
        </w:rPr>
        <w:t>"</w:t>
      </w:r>
      <w:r w:rsidRPr="00102D37">
        <w:rPr>
          <w:rFonts w:hint="eastAsia"/>
          <w:szCs w:val="22"/>
          <w:rtl/>
        </w:rPr>
        <w:t>المنظمات</w:t>
      </w:r>
      <w:r w:rsidRPr="00102D37">
        <w:rPr>
          <w:szCs w:val="22"/>
          <w:rtl/>
        </w:rPr>
        <w:t xml:space="preserve"> غير الحكومية</w:t>
      </w:r>
      <w:r w:rsidR="00817988" w:rsidRPr="007E6FC8">
        <w:rPr>
          <w:rFonts w:hint="cs"/>
          <w:szCs w:val="22"/>
          <w:rtl/>
        </w:rPr>
        <w:t>"</w:t>
      </w:r>
      <w:r w:rsidRPr="00102D37">
        <w:rPr>
          <w:szCs w:val="22"/>
          <w:rtl/>
        </w:rPr>
        <w:t>).</w:t>
      </w:r>
    </w:p>
    <w:p w14:paraId="3D96C1A0" w14:textId="562927F0" w:rsidR="00935FFC" w:rsidRPr="00102D37" w:rsidRDefault="00935FFC" w:rsidP="004428E6">
      <w:pPr>
        <w:widowControl w:val="0"/>
        <w:numPr>
          <w:ilvl w:val="0"/>
          <w:numId w:val="24"/>
        </w:numPr>
        <w:tabs>
          <w:tab w:val="num" w:pos="567"/>
        </w:tabs>
        <w:bidi/>
        <w:snapToGrid w:val="0"/>
        <w:spacing w:before="240" w:after="120" w:line="300" w:lineRule="auto"/>
        <w:ind w:left="567" w:hanging="567"/>
        <w:jc w:val="both"/>
        <w:rPr>
          <w:rFonts w:ascii="Arial" w:hAnsi="Arial"/>
          <w:b/>
          <w:sz w:val="22"/>
          <w:szCs w:val="22"/>
          <w:rtl/>
        </w:rPr>
      </w:pPr>
      <w:r w:rsidRPr="00102D37">
        <w:rPr>
          <w:rFonts w:ascii="Arial" w:hAnsi="Arial" w:hint="eastAsia"/>
          <w:b/>
          <w:bCs/>
          <w:sz w:val="22"/>
          <w:szCs w:val="22"/>
          <w:rtl/>
        </w:rPr>
        <w:t>تعزيز</w:t>
      </w:r>
      <w:r w:rsidRPr="00102D37">
        <w:rPr>
          <w:rFonts w:ascii="Arial" w:hAnsi="Arial"/>
          <w:b/>
          <w:bCs/>
          <w:sz w:val="22"/>
          <w:szCs w:val="22"/>
          <w:rtl/>
        </w:rPr>
        <w:t xml:space="preserve"> أهداف الاتفاقية، وتشجيع </w:t>
      </w:r>
      <w:r w:rsidR="00817988" w:rsidRPr="007E6FC8">
        <w:rPr>
          <w:rFonts w:ascii="Arial" w:hAnsi="Arial" w:hint="cs"/>
          <w:b/>
          <w:bCs/>
          <w:sz w:val="22"/>
          <w:szCs w:val="22"/>
          <w:rtl/>
        </w:rPr>
        <w:t xml:space="preserve">ورصد </w:t>
      </w:r>
      <w:r w:rsidRPr="00102D37">
        <w:rPr>
          <w:rFonts w:ascii="Arial" w:hAnsi="Arial" w:hint="eastAsia"/>
          <w:b/>
          <w:bCs/>
          <w:sz w:val="22"/>
          <w:szCs w:val="22"/>
          <w:rtl/>
        </w:rPr>
        <w:t>تنفيذها،</w:t>
      </w:r>
      <w:r w:rsidRPr="00102D37">
        <w:rPr>
          <w:rFonts w:ascii="Arial" w:hAnsi="Arial"/>
          <w:b/>
          <w:bCs/>
          <w:sz w:val="22"/>
          <w:szCs w:val="22"/>
          <w:rtl/>
        </w:rPr>
        <w:t xml:space="preserve"> وتقديم </w:t>
      </w:r>
      <w:r w:rsidR="00817988" w:rsidRPr="007E6FC8">
        <w:rPr>
          <w:rFonts w:ascii="Arial" w:hAnsi="Arial"/>
          <w:b/>
          <w:bCs/>
          <w:sz w:val="22"/>
          <w:szCs w:val="22"/>
          <w:rtl/>
        </w:rPr>
        <w:t>إرشادات</w:t>
      </w:r>
      <w:r w:rsidRPr="00102D37">
        <w:rPr>
          <w:rFonts w:ascii="Arial" w:hAnsi="Arial"/>
          <w:b/>
          <w:bCs/>
          <w:sz w:val="22"/>
          <w:szCs w:val="22"/>
          <w:rtl/>
        </w:rPr>
        <w:t xml:space="preserve"> بشأن تدابير الصون والممارسات الجيدة</w:t>
      </w:r>
      <w:r w:rsidRPr="00102D37">
        <w:rPr>
          <w:rFonts w:ascii="Arial" w:hAnsi="Arial"/>
          <w:sz w:val="22"/>
          <w:szCs w:val="22"/>
          <w:rtl/>
        </w:rPr>
        <w:t xml:space="preserve"> (المادة 7[أ] و7[ب])</w:t>
      </w:r>
    </w:p>
    <w:p w14:paraId="5B8EF53C" w14:textId="77777777" w:rsidR="00935FFC" w:rsidRPr="00102D37" w:rsidRDefault="00935FFC" w:rsidP="004428E6">
      <w:pPr>
        <w:pStyle w:val="ListParagraph"/>
        <w:widowControl w:val="0"/>
        <w:numPr>
          <w:ilvl w:val="0"/>
          <w:numId w:val="25"/>
        </w:numPr>
        <w:tabs>
          <w:tab w:val="num" w:pos="567"/>
        </w:tabs>
        <w:bidi/>
        <w:snapToGrid w:val="0"/>
        <w:spacing w:before="120" w:after="120" w:line="300" w:lineRule="auto"/>
        <w:ind w:left="567" w:hanging="567"/>
        <w:contextualSpacing w:val="0"/>
        <w:rPr>
          <w:rFonts w:ascii="Arial" w:hAnsi="Arial"/>
          <w:b/>
          <w:sz w:val="22"/>
          <w:szCs w:val="22"/>
          <w:rtl/>
        </w:rPr>
      </w:pPr>
      <w:r w:rsidRPr="00102D37">
        <w:rPr>
          <w:rFonts w:ascii="Arial" w:hAnsi="Arial" w:hint="eastAsia"/>
          <w:b/>
          <w:bCs/>
          <w:sz w:val="22"/>
          <w:szCs w:val="22"/>
          <w:rtl/>
        </w:rPr>
        <w:t>التصديق</w:t>
      </w:r>
    </w:p>
    <w:p w14:paraId="05A265CA" w14:textId="7D52B951" w:rsidR="005D7864" w:rsidRPr="00102D37" w:rsidRDefault="005D7864" w:rsidP="004428E6">
      <w:pPr>
        <w:pStyle w:val="Marge"/>
        <w:widowControl w:val="0"/>
        <w:numPr>
          <w:ilvl w:val="0"/>
          <w:numId w:val="23"/>
        </w:numPr>
        <w:tabs>
          <w:tab w:val="clear" w:pos="502"/>
          <w:tab w:val="num" w:pos="567"/>
        </w:tabs>
        <w:bidi/>
        <w:spacing w:before="120" w:after="120" w:line="300" w:lineRule="auto"/>
        <w:ind w:left="567" w:hanging="567"/>
        <w:rPr>
          <w:szCs w:val="22"/>
          <w:rtl/>
        </w:rPr>
      </w:pPr>
      <w:r w:rsidRPr="00102D37">
        <w:rPr>
          <w:rFonts w:hint="eastAsia"/>
          <w:szCs w:val="22"/>
          <w:rtl/>
        </w:rPr>
        <w:t>أعقبت</w:t>
      </w:r>
      <w:r w:rsidRPr="00102D37">
        <w:rPr>
          <w:szCs w:val="22"/>
          <w:rtl/>
        </w:rPr>
        <w:t xml:space="preserve"> عمليات تصديق ليبيا وسيراليون وجنوب أفريقيا والمملكة المتحدة لبريطانيا العظمى </w:t>
      </w:r>
      <w:r w:rsidRPr="00102D37">
        <w:rPr>
          <w:rFonts w:asciiTheme="minorBidi" w:hAnsiTheme="minorBidi" w:cstheme="minorBidi" w:hint="eastAsia"/>
          <w:szCs w:val="22"/>
          <w:rtl/>
        </w:rPr>
        <w:t>و</w:t>
      </w:r>
      <w:r w:rsidRPr="00102D37">
        <w:rPr>
          <w:rFonts w:hint="eastAsia"/>
          <w:szCs w:val="22"/>
          <w:rtl/>
        </w:rPr>
        <w:t>أيرلندا</w:t>
      </w:r>
      <w:r w:rsidRPr="00102D37">
        <w:rPr>
          <w:szCs w:val="22"/>
          <w:rtl/>
        </w:rPr>
        <w:t xml:space="preserve"> الشمالية وصول عدد الدول الأطراف في الاتفاقية إلى 185 دولة، وذلك حتى 31 كانون الأول/ديسمبر 2025.</w:t>
      </w:r>
    </w:p>
    <w:p w14:paraId="7F545EFF" w14:textId="03EE0A44" w:rsidR="00441941" w:rsidRPr="00102D37" w:rsidRDefault="00441941" w:rsidP="004428E6">
      <w:pPr>
        <w:pStyle w:val="ListParagraph"/>
        <w:widowControl w:val="0"/>
        <w:numPr>
          <w:ilvl w:val="0"/>
          <w:numId w:val="25"/>
        </w:numPr>
        <w:bidi/>
        <w:spacing w:before="120" w:after="120" w:line="300" w:lineRule="auto"/>
        <w:ind w:left="561" w:hanging="561"/>
        <w:contextualSpacing w:val="0"/>
        <w:jc w:val="both"/>
        <w:rPr>
          <w:rFonts w:asciiTheme="minorBidi" w:hAnsiTheme="minorBidi" w:cstheme="minorBidi"/>
          <w:b/>
          <w:sz w:val="22"/>
          <w:szCs w:val="22"/>
          <w:rtl/>
        </w:rPr>
      </w:pPr>
      <w:r w:rsidRPr="00102D37">
        <w:rPr>
          <w:rFonts w:ascii="Arial" w:hAnsi="Arial" w:hint="eastAsia"/>
          <w:b/>
          <w:bCs/>
          <w:sz w:val="22"/>
          <w:szCs w:val="22"/>
          <w:rtl/>
        </w:rPr>
        <w:t>تعزيز</w:t>
      </w:r>
      <w:r w:rsidRPr="00102D37">
        <w:rPr>
          <w:rFonts w:ascii="Arial" w:hAnsi="Arial"/>
          <w:b/>
          <w:bCs/>
          <w:sz w:val="22"/>
          <w:szCs w:val="22"/>
          <w:rtl/>
        </w:rPr>
        <w:t xml:space="preserve"> برنامج بناء القدرات وإدماج التراث الحي في خطط وسياسات وبرامج التنمية</w:t>
      </w:r>
    </w:p>
    <w:p w14:paraId="52C9B53B" w14:textId="3FBDBA6A" w:rsidR="00441941" w:rsidRPr="00102D37" w:rsidRDefault="00441941" w:rsidP="004428E6">
      <w:pPr>
        <w:pStyle w:val="Marge"/>
        <w:widowControl w:val="0"/>
        <w:numPr>
          <w:ilvl w:val="0"/>
          <w:numId w:val="23"/>
        </w:numPr>
        <w:tabs>
          <w:tab w:val="clear" w:pos="502"/>
          <w:tab w:val="num" w:pos="567"/>
        </w:tabs>
        <w:bidi/>
        <w:spacing w:before="120" w:after="120" w:line="300" w:lineRule="auto"/>
        <w:ind w:left="567" w:hanging="567"/>
        <w:rPr>
          <w:szCs w:val="22"/>
          <w:rtl/>
        </w:rPr>
      </w:pPr>
      <w:r w:rsidRPr="00102D37">
        <w:rPr>
          <w:b/>
          <w:bCs/>
          <w:szCs w:val="22"/>
          <w:rtl/>
        </w:rPr>
        <w:t xml:space="preserve"> </w:t>
      </w:r>
      <w:r w:rsidRPr="00102D37">
        <w:rPr>
          <w:rFonts w:hint="eastAsia"/>
          <w:szCs w:val="22"/>
          <w:rtl/>
        </w:rPr>
        <w:t>اعتمدت</w:t>
      </w:r>
      <w:r w:rsidRPr="00102D37">
        <w:rPr>
          <w:szCs w:val="22"/>
          <w:rtl/>
        </w:rPr>
        <w:t xml:space="preserve"> الدورة العاشرة للجمعية العامة (المعقودة في الفترة من 11 إلى 12 حزيران/يونيو 2024 بمقر اليونسكو؛ والمشار إليها فيما يلي باسم </w:t>
      </w:r>
      <w:r w:rsidR="00EF75D0" w:rsidRPr="007E6FC8">
        <w:rPr>
          <w:rFonts w:hint="cs"/>
          <w:szCs w:val="22"/>
          <w:rtl/>
        </w:rPr>
        <w:t>"</w:t>
      </w:r>
      <w:r w:rsidR="006571C0" w:rsidRPr="007E6FC8">
        <w:rPr>
          <w:szCs w:val="22"/>
          <w:lang w:val="en-GB"/>
        </w:rPr>
        <w:t>10.GA</w:t>
      </w:r>
      <w:r w:rsidR="00EF75D0" w:rsidRPr="007E6FC8">
        <w:rPr>
          <w:rFonts w:hint="cs"/>
          <w:szCs w:val="22"/>
          <w:rtl/>
        </w:rPr>
        <w:t>"</w:t>
      </w:r>
      <w:r w:rsidRPr="00102D37">
        <w:rPr>
          <w:szCs w:val="22"/>
          <w:rtl/>
        </w:rPr>
        <w:t xml:space="preserve">) خطة لاستخدام موارد صندوق التراث الثقافي غير المادي (المشار إليه فيما يلي باسم </w:t>
      </w:r>
      <w:r w:rsidR="00EF75D0" w:rsidRPr="007E6FC8">
        <w:rPr>
          <w:rFonts w:hint="cs"/>
          <w:szCs w:val="22"/>
          <w:rtl/>
        </w:rPr>
        <w:t>"</w:t>
      </w:r>
      <w:r w:rsidRPr="00102D37">
        <w:rPr>
          <w:rFonts w:hint="eastAsia"/>
          <w:szCs w:val="22"/>
          <w:rtl/>
        </w:rPr>
        <w:t>الصندوق</w:t>
      </w:r>
      <w:r w:rsidR="00EF75D0" w:rsidRPr="007E6FC8">
        <w:rPr>
          <w:rFonts w:hint="cs"/>
          <w:szCs w:val="22"/>
          <w:rtl/>
        </w:rPr>
        <w:t>"</w:t>
      </w:r>
      <w:r w:rsidRPr="00102D37">
        <w:rPr>
          <w:szCs w:val="22"/>
          <w:rtl/>
        </w:rPr>
        <w:t>) للفت</w:t>
      </w:r>
      <w:r w:rsidRPr="00102D37">
        <w:rPr>
          <w:rFonts w:hint="eastAsia"/>
          <w:szCs w:val="22"/>
          <w:rtl/>
        </w:rPr>
        <w:t>رة</w:t>
      </w:r>
      <w:r w:rsidRPr="00102D37">
        <w:rPr>
          <w:szCs w:val="22"/>
          <w:rtl/>
        </w:rPr>
        <w:t xml:space="preserve"> من 1 كانون الثاني/يناير 2024 إلى 31 كانون الأول/ديسمبر 2025، والتي خصصت نسبة 20% من الميزانية (ما يعادل 1,637,916 دولاراً أمريكياً) لبند </w:t>
      </w:r>
      <w:r w:rsidR="00EF75D0" w:rsidRPr="007E6FC8">
        <w:rPr>
          <w:rFonts w:hint="cs"/>
          <w:szCs w:val="22"/>
          <w:rtl/>
        </w:rPr>
        <w:t>"</w:t>
      </w:r>
      <w:r w:rsidRPr="00102D37">
        <w:rPr>
          <w:rFonts w:hint="eastAsia"/>
          <w:szCs w:val="22"/>
          <w:rtl/>
        </w:rPr>
        <w:t>مهام</w:t>
      </w:r>
      <w:r w:rsidRPr="00102D37">
        <w:rPr>
          <w:szCs w:val="22"/>
          <w:rtl/>
        </w:rPr>
        <w:t xml:space="preserve"> أخرى للجنة</w:t>
      </w:r>
      <w:r w:rsidR="00EF75D0" w:rsidRPr="007E6FC8">
        <w:rPr>
          <w:rFonts w:hint="cs"/>
          <w:szCs w:val="22"/>
          <w:rtl/>
        </w:rPr>
        <w:t>"</w:t>
      </w:r>
      <w:r w:rsidRPr="00102D37">
        <w:rPr>
          <w:szCs w:val="22"/>
          <w:rtl/>
        </w:rPr>
        <w:t xml:space="preserve"> (القرار </w:t>
      </w:r>
      <w:hyperlink r:id="rId14" w:history="1">
        <w:r w:rsidRPr="00102D37">
          <w:rPr>
            <w:rStyle w:val="Hyperlink"/>
            <w:szCs w:val="22"/>
            <w:cs/>
          </w:rPr>
          <w:t>‎</w:t>
        </w:r>
        <w:hyperlink r:id="rId15" w:history="1">
          <w:r w:rsidR="006571C0" w:rsidRPr="007E6FC8">
            <w:rPr>
              <w:rStyle w:val="Hyperlink"/>
              <w:szCs w:val="22"/>
              <w:lang w:val="en-GB"/>
            </w:rPr>
            <w:t>10.GA 8</w:t>
          </w:r>
        </w:hyperlink>
      </w:hyperlink>
      <w:r w:rsidR="006571C0" w:rsidRPr="00102D37">
        <w:rPr>
          <w:szCs w:val="22"/>
          <w:rtl/>
        </w:rPr>
        <w:t>)</w:t>
      </w:r>
      <w:r w:rsidRPr="007E6FC8">
        <w:rPr>
          <w:szCs w:val="22"/>
        </w:rPr>
        <w:t>.</w:t>
      </w:r>
      <w:r w:rsidRPr="00102D37">
        <w:rPr>
          <w:szCs w:val="22"/>
          <w:rtl/>
        </w:rPr>
        <w:t xml:space="preserve"> وقد خُصص مبلغ إجمالي قدره 851,716 دولاراً أمريكياً (يمثل </w:t>
      </w:r>
      <w:r w:rsidRPr="00102D37">
        <w:rPr>
          <w:szCs w:val="22"/>
          <w:rtl/>
        </w:rPr>
        <w:lastRenderedPageBreak/>
        <w:t>52% من بند «مهام أخرى للجنة») لفترة السنتين لتعزيز برنامج بناء القدرات وإدماج التراث الثقافي غير المادي في خطط وسياسات وبرامج التنمية.</w:t>
      </w:r>
    </w:p>
    <w:p w14:paraId="128DC9C8" w14:textId="32B0C319" w:rsidR="00441941" w:rsidRPr="00102D37" w:rsidRDefault="00441941" w:rsidP="004428E6">
      <w:pPr>
        <w:pStyle w:val="Marge"/>
        <w:numPr>
          <w:ilvl w:val="0"/>
          <w:numId w:val="23"/>
        </w:numPr>
        <w:tabs>
          <w:tab w:val="clear" w:pos="502"/>
          <w:tab w:val="num" w:pos="567"/>
        </w:tabs>
        <w:bidi/>
        <w:spacing w:before="120" w:after="120" w:line="300" w:lineRule="auto"/>
        <w:ind w:left="567" w:hanging="567"/>
        <w:rPr>
          <w:szCs w:val="22"/>
          <w:rtl/>
        </w:rPr>
      </w:pPr>
      <w:r w:rsidRPr="00102D37">
        <w:rPr>
          <w:rFonts w:hint="eastAsia"/>
          <w:szCs w:val="22"/>
          <w:rtl/>
        </w:rPr>
        <w:t>ولا</w:t>
      </w:r>
      <w:r w:rsidRPr="00102D37">
        <w:rPr>
          <w:szCs w:val="22"/>
          <w:rtl/>
        </w:rPr>
        <w:t xml:space="preserve"> يزال بناء القدرات محوراً أساسياً لولاية اتفاقية عام 2003، باعتباره أحد أولويتي التمويل العالميتين للاتفاقية للفترة الرباعية 2022-2025 المتمثلة في: </w:t>
      </w:r>
      <w:r w:rsidR="00EF75D0" w:rsidRPr="007E6FC8">
        <w:rPr>
          <w:rFonts w:hint="cs"/>
          <w:szCs w:val="22"/>
          <w:rtl/>
        </w:rPr>
        <w:t>"</w:t>
      </w:r>
      <w:r w:rsidRPr="00102D37">
        <w:rPr>
          <w:rFonts w:hint="eastAsia"/>
          <w:szCs w:val="22"/>
          <w:rtl/>
        </w:rPr>
        <w:t>تعزيز</w:t>
      </w:r>
      <w:r w:rsidRPr="00102D37">
        <w:rPr>
          <w:szCs w:val="22"/>
          <w:rtl/>
        </w:rPr>
        <w:t xml:space="preserve"> القدرات على صون التراث الثقافي غير المادي باستخدام نهج متعدد الوسائط والمساهمة في التنمية المستدامة</w:t>
      </w:r>
      <w:r w:rsidR="00EF75D0" w:rsidRPr="007E6FC8">
        <w:rPr>
          <w:rFonts w:hint="cs"/>
          <w:szCs w:val="22"/>
          <w:rtl/>
        </w:rPr>
        <w:t>"</w:t>
      </w:r>
      <w:r w:rsidRPr="00102D37">
        <w:rPr>
          <w:szCs w:val="22"/>
          <w:rtl/>
        </w:rPr>
        <w:t xml:space="preserve"> (</w:t>
      </w:r>
      <w:r w:rsidR="00E54951" w:rsidRPr="00102D37">
        <w:rPr>
          <w:rFonts w:hint="eastAsia"/>
          <w:szCs w:val="22"/>
          <w:rtl/>
        </w:rPr>
        <w:t>القرار</w:t>
      </w:r>
      <w:r w:rsidRPr="00102D37">
        <w:rPr>
          <w:szCs w:val="22"/>
          <w:rtl/>
        </w:rPr>
        <w:t xml:space="preserve"> </w:t>
      </w:r>
      <w:hyperlink r:id="rId16" w:history="1">
        <w:r w:rsidR="00431A0D" w:rsidRPr="007E6FC8">
          <w:rPr>
            <w:rStyle w:val="Hyperlink"/>
            <w:szCs w:val="22"/>
            <w:lang w:val="en-GB"/>
          </w:rPr>
          <w:t>16.COM 12</w:t>
        </w:r>
      </w:hyperlink>
      <w:r w:rsidR="00431A0D" w:rsidRPr="00102D37">
        <w:rPr>
          <w:szCs w:val="22"/>
          <w:rtl/>
        </w:rPr>
        <w:t>)</w:t>
      </w:r>
      <w:r w:rsidRPr="007E6FC8">
        <w:rPr>
          <w:szCs w:val="22"/>
        </w:rPr>
        <w:t>.</w:t>
      </w:r>
      <w:r w:rsidRPr="00102D37">
        <w:rPr>
          <w:szCs w:val="22"/>
          <w:rtl/>
        </w:rPr>
        <w:t xml:space="preserve"> وقد أكد الارتفاع الكبير في معدلات تقديم التقارير الدورية من الدول في المنطقتين اللتين نفذتا هذه العملية خلال الفترة المشمولة بالتقرير، والتي بلغت 100% في أفريقيا عام 2024 و90% في آسيا والمحيط الهادئ عام 2025، فعالية نهج بناء القدرات المعتمد. وعلاوة على ذلك، ساهم إطلاق </w:t>
      </w:r>
      <w:hyperlink r:id="rId17" w:history="1">
        <w:r w:rsidR="00EF75D0" w:rsidRPr="00102D37">
          <w:rPr>
            <w:rStyle w:val="Hyperlink"/>
            <w:rFonts w:asciiTheme="minorBidi" w:hAnsiTheme="minorBidi" w:cstheme="minorBidi" w:hint="eastAsia"/>
            <w:szCs w:val="22"/>
            <w:rtl/>
          </w:rPr>
          <w:t>منصة</w:t>
        </w:r>
        <w:r w:rsidR="00EF75D0" w:rsidRPr="00102D37">
          <w:rPr>
            <w:rStyle w:val="Hyperlink"/>
            <w:rFonts w:asciiTheme="minorBidi" w:hAnsiTheme="minorBidi" w:cstheme="minorBidi"/>
            <w:szCs w:val="22"/>
            <w:rtl/>
          </w:rPr>
          <w:t xml:space="preserve"> اليونسكو للتعلم</w:t>
        </w:r>
      </w:hyperlink>
      <w:r w:rsidR="00EF75D0" w:rsidRPr="00102D37">
        <w:rPr>
          <w:szCs w:val="22"/>
        </w:rPr>
        <w:t xml:space="preserve"> </w:t>
      </w:r>
      <w:r w:rsidR="00EF75D0" w:rsidRPr="00102D37">
        <w:rPr>
          <w:rFonts w:hint="eastAsia"/>
          <w:szCs w:val="22"/>
          <w:u w:val="single"/>
          <w:rtl/>
        </w:rPr>
        <w:t>لصون</w:t>
      </w:r>
      <w:r w:rsidR="00EF75D0" w:rsidRPr="00102D37">
        <w:rPr>
          <w:szCs w:val="22"/>
          <w:u w:val="single"/>
          <w:rtl/>
        </w:rPr>
        <w:t xml:space="preserve"> التراث الثقافي غير المادي</w:t>
      </w:r>
      <w:r w:rsidR="00E54951" w:rsidRPr="00102D37">
        <w:rPr>
          <w:szCs w:val="22"/>
          <w:rtl/>
        </w:rPr>
        <w:t xml:space="preserve"> </w:t>
      </w:r>
      <w:r w:rsidRPr="00102D37">
        <w:rPr>
          <w:rFonts w:hint="eastAsia"/>
          <w:szCs w:val="22"/>
          <w:rtl/>
        </w:rPr>
        <w:t>في</w:t>
      </w:r>
      <w:r w:rsidRPr="00102D37">
        <w:rPr>
          <w:szCs w:val="22"/>
          <w:rtl/>
        </w:rPr>
        <w:t xml:space="preserve"> توسيع نطاق انتشار البرنامج ليصل إلى فئات جديدة، وتعزيز التواصل وتبادل المعارف. رحبت اللجنة في دورتها التاسعة عشرة (</w:t>
      </w:r>
      <w:r w:rsidRPr="00102D37">
        <w:rPr>
          <w:szCs w:val="22"/>
          <w:cs/>
        </w:rPr>
        <w:t>‎</w:t>
      </w:r>
      <w:r w:rsidR="00431A0D" w:rsidRPr="007E6FC8">
        <w:rPr>
          <w:szCs w:val="22"/>
          <w:lang w:val="en-GB"/>
        </w:rPr>
        <w:t>19.COM</w:t>
      </w:r>
      <w:r w:rsidRPr="00102D37">
        <w:rPr>
          <w:szCs w:val="22"/>
          <w:rtl/>
        </w:rPr>
        <w:t>) بإتمام تدريب الميسرين الجدد في الشبكة العالمية للميسرين، وإعادة توجيه برنامج بناء القدرات العالمي نحو نهج تقديم متعدد الوسائط بالكامل (</w:t>
      </w:r>
      <w:r w:rsidR="00E54951" w:rsidRPr="00102D37">
        <w:rPr>
          <w:rFonts w:hint="eastAsia"/>
          <w:szCs w:val="22"/>
          <w:rtl/>
        </w:rPr>
        <w:t>القرار</w:t>
      </w:r>
      <w:r w:rsidRPr="00102D37">
        <w:rPr>
          <w:szCs w:val="22"/>
          <w:rtl/>
        </w:rPr>
        <w:t xml:space="preserve"> </w:t>
      </w:r>
      <w:hyperlink r:id="rId18" w:history="1">
        <w:r w:rsidR="00431A0D" w:rsidRPr="007E6FC8">
          <w:rPr>
            <w:rStyle w:val="Hyperlink"/>
            <w:szCs w:val="22"/>
            <w:lang w:val="en-GB"/>
          </w:rPr>
          <w:t>19.COM 5</w:t>
        </w:r>
      </w:hyperlink>
      <w:r w:rsidR="00431A0D" w:rsidRPr="00102D37">
        <w:rPr>
          <w:szCs w:val="22"/>
          <w:rtl/>
        </w:rPr>
        <w:t>)</w:t>
      </w:r>
      <w:r w:rsidRPr="007E6FC8">
        <w:rPr>
          <w:szCs w:val="22"/>
        </w:rPr>
        <w:t>.</w:t>
      </w:r>
    </w:p>
    <w:p w14:paraId="3F803F9B" w14:textId="61888DE9" w:rsidR="00441941" w:rsidRPr="00102D37" w:rsidRDefault="00441941" w:rsidP="004428E6">
      <w:pPr>
        <w:pStyle w:val="Marge"/>
        <w:numPr>
          <w:ilvl w:val="0"/>
          <w:numId w:val="23"/>
        </w:numPr>
        <w:tabs>
          <w:tab w:val="clear" w:pos="502"/>
          <w:tab w:val="num" w:pos="567"/>
        </w:tabs>
        <w:bidi/>
        <w:spacing w:before="120" w:after="120" w:line="300" w:lineRule="auto"/>
        <w:ind w:left="567" w:hanging="567"/>
        <w:rPr>
          <w:szCs w:val="22"/>
          <w:rtl/>
        </w:rPr>
      </w:pPr>
      <w:r w:rsidRPr="00102D37">
        <w:rPr>
          <w:rFonts w:hint="eastAsia"/>
          <w:szCs w:val="22"/>
          <w:rtl/>
        </w:rPr>
        <w:t>وفي</w:t>
      </w:r>
      <w:r w:rsidRPr="00102D37">
        <w:rPr>
          <w:szCs w:val="22"/>
          <w:rtl/>
        </w:rPr>
        <w:t xml:space="preserve"> الوقت نفسه، يُعد دمج التراث الثقافي غير المادي في خطط وسياسات وبرامج التنمية أمراً أساسياً لتعزيز أهداف الاتفاقية في سياق إدماج الثقافة في إطار الأمم المتحدة الإنمائي لما بعد عام 2030، وذلك بالمعنى الوارد في </w:t>
      </w:r>
      <w:hyperlink r:id="rId19" w:history="1">
        <w:r w:rsidRPr="00102D37">
          <w:rPr>
            <w:rStyle w:val="Hyperlink"/>
            <w:rFonts w:hint="eastAsia"/>
            <w:szCs w:val="22"/>
            <w:rtl/>
          </w:rPr>
          <w:t>الوثيقة</w:t>
        </w:r>
        <w:r w:rsidRPr="00102D37">
          <w:rPr>
            <w:rStyle w:val="Hyperlink"/>
            <w:szCs w:val="22"/>
            <w:rtl/>
          </w:rPr>
          <w:t xml:space="preserve"> الختامية</w:t>
        </w:r>
      </w:hyperlink>
      <w:r w:rsidRPr="00102D37">
        <w:rPr>
          <w:szCs w:val="22"/>
          <w:rtl/>
        </w:rPr>
        <w:t xml:space="preserve"> لمؤتمر </w:t>
      </w:r>
      <w:r w:rsidR="0079433D" w:rsidRPr="007E6FC8">
        <w:rPr>
          <w:szCs w:val="22"/>
        </w:rPr>
        <w:t>"</w:t>
      </w:r>
      <w:proofErr w:type="spellStart"/>
      <w:r w:rsidRPr="00102D37">
        <w:rPr>
          <w:rFonts w:hint="eastAsia"/>
          <w:szCs w:val="22"/>
          <w:rtl/>
        </w:rPr>
        <w:t>موندياكولت</w:t>
      </w:r>
      <w:proofErr w:type="spellEnd"/>
      <w:r w:rsidRPr="00102D37">
        <w:rPr>
          <w:szCs w:val="22"/>
          <w:rtl/>
        </w:rPr>
        <w:t xml:space="preserve"> 2025</w:t>
      </w:r>
      <w:r w:rsidR="0079433D" w:rsidRPr="007E6FC8">
        <w:rPr>
          <w:szCs w:val="22"/>
        </w:rPr>
        <w:t>"</w:t>
      </w:r>
      <w:r w:rsidR="0079433D" w:rsidRPr="00102D37">
        <w:rPr>
          <w:szCs w:val="22"/>
          <w:rtl/>
        </w:rPr>
        <w:t xml:space="preserve">. </w:t>
      </w:r>
      <w:r w:rsidRPr="00102D37">
        <w:rPr>
          <w:rFonts w:hint="eastAsia"/>
          <w:szCs w:val="22"/>
          <w:rtl/>
        </w:rPr>
        <w:t>وتماشياً</w:t>
      </w:r>
      <w:r w:rsidRPr="00102D37">
        <w:rPr>
          <w:szCs w:val="22"/>
          <w:rtl/>
        </w:rPr>
        <w:t xml:space="preserve"> مع أولوية التمويل العالمية الثانية التي اعتمدتها اللجنة – </w:t>
      </w:r>
      <w:r w:rsidR="00043131" w:rsidRPr="007E6FC8">
        <w:rPr>
          <w:rFonts w:hint="cs"/>
          <w:szCs w:val="22"/>
          <w:rtl/>
        </w:rPr>
        <w:t>"</w:t>
      </w:r>
      <w:r w:rsidRPr="00102D37">
        <w:rPr>
          <w:rFonts w:hint="eastAsia"/>
          <w:szCs w:val="22"/>
          <w:rtl/>
        </w:rPr>
        <w:t>صون</w:t>
      </w:r>
      <w:r w:rsidRPr="00102D37">
        <w:rPr>
          <w:szCs w:val="22"/>
          <w:rtl/>
        </w:rPr>
        <w:t xml:space="preserve"> التراث الثقافي غير المادي في التعليم الرسمي وغير الرسمي</w:t>
      </w:r>
      <w:r w:rsidR="00043131" w:rsidRPr="007E6FC8">
        <w:rPr>
          <w:rFonts w:hint="cs"/>
          <w:szCs w:val="22"/>
          <w:rtl/>
        </w:rPr>
        <w:t>"</w:t>
      </w:r>
      <w:r w:rsidRPr="00102D37">
        <w:rPr>
          <w:szCs w:val="22"/>
          <w:rtl/>
        </w:rPr>
        <w:t xml:space="preserve"> – أُدمج التراث الحي في أطر التعليم الدولية، مثل «إطار تعليم الثقافة والفنون</w:t>
      </w:r>
      <w:r w:rsidR="00043131" w:rsidRPr="007E6FC8">
        <w:rPr>
          <w:rFonts w:hint="cs"/>
          <w:szCs w:val="22"/>
          <w:rtl/>
        </w:rPr>
        <w:t>"</w:t>
      </w:r>
      <w:r w:rsidRPr="00102D37">
        <w:rPr>
          <w:szCs w:val="22"/>
          <w:rtl/>
        </w:rPr>
        <w:t xml:space="preserve"> (2024</w:t>
      </w:r>
      <w:r w:rsidR="0079433D" w:rsidRPr="00102D37">
        <w:rPr>
          <w:szCs w:val="22"/>
          <w:rtl/>
        </w:rPr>
        <w:t>)</w:t>
      </w:r>
      <w:r w:rsidR="0079433D" w:rsidRPr="007E6FC8">
        <w:rPr>
          <w:szCs w:val="22"/>
        </w:rPr>
        <w:t>.</w:t>
      </w:r>
      <w:r w:rsidR="0079433D" w:rsidRPr="00102D37">
        <w:rPr>
          <w:szCs w:val="22"/>
          <w:rtl/>
        </w:rPr>
        <w:t xml:space="preserve"> </w:t>
      </w:r>
      <w:r w:rsidRPr="00102D37">
        <w:rPr>
          <w:rFonts w:hint="eastAsia"/>
          <w:szCs w:val="22"/>
          <w:rtl/>
        </w:rPr>
        <w:t>وقد</w:t>
      </w:r>
      <w:r w:rsidRPr="00102D37">
        <w:rPr>
          <w:szCs w:val="22"/>
          <w:rtl/>
        </w:rPr>
        <w:t xml:space="preserve"> حظيت هذه العملية بدعم من الإدارة المستمرة </w:t>
      </w:r>
      <w:r w:rsidR="0079433D" w:rsidRPr="007E6FC8">
        <w:rPr>
          <w:szCs w:val="22"/>
        </w:rPr>
        <w:t>"</w:t>
      </w:r>
      <w:hyperlink r:id="rId20" w:history="1">
        <w:r w:rsidRPr="00102D37">
          <w:rPr>
            <w:rStyle w:val="Hyperlink"/>
            <w:rFonts w:hint="eastAsia"/>
            <w:szCs w:val="22"/>
            <w:rtl/>
          </w:rPr>
          <w:t>لمركز</w:t>
        </w:r>
        <w:r w:rsidRPr="00102D37">
          <w:rPr>
            <w:rStyle w:val="Hyperlink"/>
            <w:szCs w:val="22"/>
            <w:rtl/>
          </w:rPr>
          <w:t xml:space="preserve"> تبادل المعلومات</w:t>
        </w:r>
      </w:hyperlink>
      <w:r w:rsidRPr="00102D37">
        <w:rPr>
          <w:szCs w:val="22"/>
          <w:rtl/>
        </w:rPr>
        <w:t xml:space="preserve"> بشأن التراث الحي والتعليم» الذي حُدِّث بمشاريع وموارد إضافية، فضلاً عن عقد اجتماع تأملي عبر الإنترنت في </w:t>
      </w:r>
      <w:r w:rsidRPr="00102D37">
        <w:rPr>
          <w:rFonts w:hint="eastAsia"/>
          <w:szCs w:val="22"/>
          <w:rtl/>
        </w:rPr>
        <w:t>عام</w:t>
      </w:r>
      <w:r w:rsidRPr="00102D37">
        <w:rPr>
          <w:szCs w:val="22"/>
          <w:rtl/>
        </w:rPr>
        <w:t xml:space="preserve"> 2025.</w:t>
      </w:r>
    </w:p>
    <w:p w14:paraId="3DAB3310" w14:textId="0DC2C4F3" w:rsidR="00441941" w:rsidRPr="00102D37" w:rsidRDefault="00441941" w:rsidP="004428E6">
      <w:pPr>
        <w:pStyle w:val="Marge"/>
        <w:numPr>
          <w:ilvl w:val="0"/>
          <w:numId w:val="23"/>
        </w:numPr>
        <w:tabs>
          <w:tab w:val="clear" w:pos="502"/>
          <w:tab w:val="num" w:pos="567"/>
        </w:tabs>
        <w:bidi/>
        <w:spacing w:before="120" w:after="120" w:line="300" w:lineRule="auto"/>
        <w:ind w:left="567" w:hanging="567"/>
        <w:rPr>
          <w:szCs w:val="22"/>
          <w:rtl/>
        </w:rPr>
      </w:pPr>
      <w:r w:rsidRPr="00102D37">
        <w:rPr>
          <w:rFonts w:hint="eastAsia"/>
          <w:szCs w:val="22"/>
          <w:rtl/>
        </w:rPr>
        <w:t>كما</w:t>
      </w:r>
      <w:r w:rsidRPr="00102D37">
        <w:rPr>
          <w:szCs w:val="22"/>
          <w:rtl/>
        </w:rPr>
        <w:t xml:space="preserve"> أُحرز تقدم في المبادرات الموضوعية بموجب اتفاقية عام 2003؛ ففي أعقاب اجتماع خبراء عُقد على جزأين بشأن صون التراث الثقافي غير المادي وتغير المناخ، نُظِّما على التوالي يومي 19 و20 حزيران/يونيو 2024 (بمقر اليونسكو)، ويومي 25 و26 أيلول/سبتمبر 2024 (عبر الإنترنت)، قُدِّمت إلى الدورة التاسعة عشرة للجنة (</w:t>
      </w:r>
      <w:r w:rsidRPr="00102D37">
        <w:rPr>
          <w:szCs w:val="22"/>
          <w:cs/>
        </w:rPr>
        <w:t>‎</w:t>
      </w:r>
      <w:r w:rsidR="00431A0D" w:rsidRPr="007E6FC8">
        <w:rPr>
          <w:szCs w:val="22"/>
          <w:lang w:val="en-GB"/>
        </w:rPr>
        <w:t>19.COM</w:t>
      </w:r>
      <w:r w:rsidR="00431A0D" w:rsidRPr="00102D37">
        <w:rPr>
          <w:szCs w:val="22"/>
          <w:rtl/>
        </w:rPr>
        <w:t>)</w:t>
      </w:r>
      <w:r w:rsidRPr="00102D37">
        <w:rPr>
          <w:szCs w:val="22"/>
          <w:rtl/>
        </w:rPr>
        <w:t xml:space="preserve"> </w:t>
      </w:r>
      <w:hyperlink r:id="rId21" w:history="1">
        <w:r w:rsidRPr="00102D37">
          <w:rPr>
            <w:rStyle w:val="Hyperlink"/>
            <w:rFonts w:hint="eastAsia"/>
            <w:szCs w:val="22"/>
            <w:rtl/>
          </w:rPr>
          <w:t>مذكرة</w:t>
        </w:r>
        <w:r w:rsidRPr="00102D37">
          <w:rPr>
            <w:rStyle w:val="Hyperlink"/>
            <w:szCs w:val="22"/>
            <w:rtl/>
          </w:rPr>
          <w:t xml:space="preserve"> توجيهية</w:t>
        </w:r>
      </w:hyperlink>
      <w:r w:rsidRPr="00102D37">
        <w:rPr>
          <w:szCs w:val="22"/>
          <w:rtl/>
        </w:rPr>
        <w:t xml:space="preserve"> بشأن العمل المناخي من أجل التراث الحي</w:t>
      </w:r>
      <w:r w:rsidRPr="00102D37">
        <w:rPr>
          <w:rFonts w:hint="eastAsia"/>
          <w:szCs w:val="22"/>
          <w:rtl/>
        </w:rPr>
        <w:t>،</w:t>
      </w:r>
      <w:r w:rsidRPr="00102D37">
        <w:rPr>
          <w:szCs w:val="22"/>
          <w:rtl/>
        </w:rPr>
        <w:t xml:space="preserve"> تقترح نهجاً شاملاً قائماً على الحقوق </w:t>
      </w:r>
      <w:proofErr w:type="spellStart"/>
      <w:r w:rsidRPr="00102D37">
        <w:rPr>
          <w:rFonts w:hint="eastAsia"/>
          <w:szCs w:val="22"/>
          <w:rtl/>
        </w:rPr>
        <w:t>ومتمحوراً</w:t>
      </w:r>
      <w:proofErr w:type="spellEnd"/>
      <w:r w:rsidRPr="00102D37">
        <w:rPr>
          <w:szCs w:val="22"/>
          <w:rtl/>
        </w:rPr>
        <w:t xml:space="preserve"> حول الناس للعمل المناخي من أجل التراث الحي. وإضافةً إلى ذلك، عُقد اجتماع خبراء من جزأين بشأن صون التراث الثقافي غير المادي في السياقات الحضرية، يومي 16 و17 حزيران/يونيو 2025 (بمقر اليونسكو)، ويومي 18 و19 أيلول/سبتمبر 2025 (عبر الإنترنت). أسفر هذا الاجتماع عن تقديم </w:t>
      </w:r>
      <w:hyperlink r:id="rId22" w:history="1">
        <w:r w:rsidRPr="00102D37">
          <w:rPr>
            <w:rStyle w:val="Hyperlink"/>
            <w:rFonts w:hint="eastAsia"/>
            <w:szCs w:val="22"/>
            <w:rtl/>
          </w:rPr>
          <w:t>مذكرة</w:t>
        </w:r>
        <w:r w:rsidRPr="00102D37">
          <w:rPr>
            <w:rStyle w:val="Hyperlink"/>
            <w:szCs w:val="22"/>
            <w:rtl/>
          </w:rPr>
          <w:t xml:space="preserve"> توجيهية</w:t>
        </w:r>
      </w:hyperlink>
      <w:r w:rsidRPr="00102D37">
        <w:rPr>
          <w:szCs w:val="22"/>
          <w:rtl/>
        </w:rPr>
        <w:t xml:space="preserve"> بشأن صون التراث الثقافي غير المادي في السياقات الحضرية خلال الدورة العشرين للجنة (</w:t>
      </w:r>
      <w:r w:rsidR="0079433D" w:rsidRPr="00102D37">
        <w:rPr>
          <w:rFonts w:hint="eastAsia"/>
          <w:szCs w:val="22"/>
          <w:rtl/>
        </w:rPr>
        <w:t>القرار</w:t>
      </w:r>
      <w:r w:rsidRPr="00102D37">
        <w:rPr>
          <w:szCs w:val="22"/>
          <w:rtl/>
        </w:rPr>
        <w:t xml:space="preserve"> </w:t>
      </w:r>
      <w:r w:rsidRPr="00102D37">
        <w:rPr>
          <w:szCs w:val="22"/>
          <w:cs/>
        </w:rPr>
        <w:t>‎</w:t>
      </w:r>
      <w:hyperlink r:id="rId23" w:history="1">
        <w:r w:rsidR="00431A0D" w:rsidRPr="00102D37">
          <w:rPr>
            <w:rStyle w:val="Hyperlink"/>
            <w:szCs w:val="22"/>
            <w:lang w:val="en-GB"/>
          </w:rPr>
          <w:t>20.COM 12</w:t>
        </w:r>
      </w:hyperlink>
      <w:r w:rsidRPr="00102D37">
        <w:rPr>
          <w:szCs w:val="22"/>
          <w:rtl/>
        </w:rPr>
        <w:t xml:space="preserve">)، والتي وضعت رؤية لإدماج صون التراث الثقافي غير المادي في الخطط الحضرية ومن أجل تحقيق التنمية الحضرية المستدامة. </w:t>
      </w:r>
      <w:r w:rsidRPr="00102D37">
        <w:rPr>
          <w:rFonts w:hint="eastAsia"/>
          <w:szCs w:val="22"/>
          <w:rtl/>
        </w:rPr>
        <w:t>وعلاوة</w:t>
      </w:r>
      <w:r w:rsidRPr="00102D37">
        <w:rPr>
          <w:szCs w:val="22"/>
          <w:rtl/>
        </w:rPr>
        <w:t xml:space="preserve"> على ذلك، وفي إطار المبادرة الجارية بشأن الأبعاد الاقتصادية لصون التراث الثقافي غير المادي، يجري إعداد إرشادات مصممة خصيصاً لأصحاب المصلحة ومحددة لقطاعات بعينها، وذلك في شكل مجموعات أدوات للتخطيط المراعي للتراث في الأنشطة الاقتصادية، استناداً إلى </w:t>
      </w:r>
      <w:hyperlink r:id="rId24" w:history="1">
        <w:r w:rsidRPr="00102D37">
          <w:rPr>
            <w:rStyle w:val="Hyperlink"/>
            <w:rFonts w:hint="eastAsia"/>
            <w:szCs w:val="22"/>
            <w:rtl/>
          </w:rPr>
          <w:t>المذكرة</w:t>
        </w:r>
        <w:r w:rsidRPr="00102D37">
          <w:rPr>
            <w:rStyle w:val="Hyperlink"/>
            <w:szCs w:val="22"/>
            <w:rtl/>
          </w:rPr>
          <w:t xml:space="preserve"> التوجيهية</w:t>
        </w:r>
      </w:hyperlink>
      <w:r w:rsidRPr="00102D37">
        <w:rPr>
          <w:szCs w:val="22"/>
          <w:rtl/>
        </w:rPr>
        <w:t xml:space="preserve"> المقدمة إلى اللجنة في عام 2023. وقد أحاطت اللجنة في دورتيها التاسعة عشرة والعشرين علماً بالتقدم المحرز في المبادرات الثلاث (المقرران </w:t>
      </w:r>
      <w:hyperlink r:id="rId25" w:history="1">
        <w:r w:rsidR="00431A0D" w:rsidRPr="007E6FC8">
          <w:rPr>
            <w:rStyle w:val="Hyperlink"/>
            <w:szCs w:val="22"/>
            <w:lang w:val="en-GB"/>
          </w:rPr>
          <w:t>19.COM 11</w:t>
        </w:r>
      </w:hyperlink>
      <w:r w:rsidRPr="00102D37">
        <w:rPr>
          <w:szCs w:val="22"/>
          <w:rtl/>
        </w:rPr>
        <w:t xml:space="preserve"> و</w:t>
      </w:r>
      <w:hyperlink r:id="rId26" w:history="1">
        <w:r w:rsidR="00431A0D" w:rsidRPr="00102D37">
          <w:rPr>
            <w:rStyle w:val="Hyperlink"/>
            <w:szCs w:val="22"/>
            <w:lang w:val="en-GB"/>
          </w:rPr>
          <w:t>20.COM 12</w:t>
        </w:r>
      </w:hyperlink>
      <w:r w:rsidR="00431A0D" w:rsidRPr="00102D37">
        <w:rPr>
          <w:szCs w:val="22"/>
          <w:rtl/>
        </w:rPr>
        <w:t>)</w:t>
      </w:r>
      <w:r w:rsidRPr="007E6FC8">
        <w:rPr>
          <w:szCs w:val="22"/>
        </w:rPr>
        <w:t>.</w:t>
      </w:r>
    </w:p>
    <w:p w14:paraId="61EEE421" w14:textId="77777777" w:rsidR="00441941" w:rsidRPr="00102D37" w:rsidRDefault="00441941" w:rsidP="004428E6">
      <w:pPr>
        <w:pStyle w:val="ListParagraph"/>
        <w:keepNext/>
        <w:numPr>
          <w:ilvl w:val="0"/>
          <w:numId w:val="25"/>
        </w:numPr>
        <w:bidi/>
        <w:spacing w:before="120" w:after="120" w:line="300" w:lineRule="auto"/>
        <w:ind w:left="561" w:hanging="561"/>
        <w:contextualSpacing w:val="0"/>
        <w:jc w:val="both"/>
        <w:rPr>
          <w:b/>
          <w:bCs/>
          <w:sz w:val="22"/>
          <w:szCs w:val="22"/>
          <w:rtl/>
        </w:rPr>
      </w:pPr>
      <w:r w:rsidRPr="00102D37">
        <w:rPr>
          <w:rFonts w:asciiTheme="minorBidi" w:hAnsiTheme="minorBidi" w:cstheme="minorBidi" w:hint="eastAsia"/>
          <w:b/>
          <w:bCs/>
          <w:sz w:val="22"/>
          <w:szCs w:val="22"/>
          <w:rtl/>
        </w:rPr>
        <w:t>تيسير</w:t>
      </w:r>
      <w:r w:rsidRPr="00102D37">
        <w:rPr>
          <w:rFonts w:asciiTheme="minorBidi" w:hAnsiTheme="minorBidi" w:cstheme="minorBidi"/>
          <w:b/>
          <w:bCs/>
          <w:sz w:val="22"/>
          <w:szCs w:val="22"/>
          <w:rtl/>
        </w:rPr>
        <w:t xml:space="preserve"> الحوكمة الرشيدة وإذكاء الوعي بالاتفاقية</w:t>
      </w:r>
    </w:p>
    <w:p w14:paraId="66C54D24" w14:textId="3A66B35C" w:rsidR="00441941" w:rsidRPr="00102D37" w:rsidRDefault="00441941" w:rsidP="004428E6">
      <w:pPr>
        <w:pStyle w:val="Marge"/>
        <w:numPr>
          <w:ilvl w:val="0"/>
          <w:numId w:val="23"/>
        </w:numPr>
        <w:tabs>
          <w:tab w:val="clear" w:pos="502"/>
          <w:tab w:val="num" w:pos="567"/>
        </w:tabs>
        <w:bidi/>
        <w:spacing w:before="120" w:after="120" w:line="300" w:lineRule="auto"/>
        <w:ind w:left="567" w:hanging="567"/>
        <w:rPr>
          <w:spacing w:val="-2"/>
          <w:szCs w:val="22"/>
          <w:rtl/>
        </w:rPr>
      </w:pPr>
      <w:r w:rsidRPr="00102D37">
        <w:rPr>
          <w:rFonts w:hint="eastAsia"/>
          <w:spacing w:val="-2"/>
          <w:szCs w:val="22"/>
          <w:rtl/>
        </w:rPr>
        <w:t>خُصص</w:t>
      </w:r>
      <w:r w:rsidRPr="00102D37">
        <w:rPr>
          <w:spacing w:val="-2"/>
          <w:szCs w:val="22"/>
          <w:rtl/>
        </w:rPr>
        <w:t xml:space="preserve"> مبلغ إجمالي قدره 786,199 دولاراً أمريكياً في الخطة المعتمدة لاستخدام موارد الصندوق (يمثل 48% من بند </w:t>
      </w:r>
      <w:r w:rsidR="005918A8" w:rsidRPr="007E6FC8">
        <w:rPr>
          <w:rFonts w:hint="cs"/>
          <w:szCs w:val="22"/>
          <w:rtl/>
        </w:rPr>
        <w:t>"</w:t>
      </w:r>
      <w:r w:rsidRPr="00102D37">
        <w:rPr>
          <w:rFonts w:hint="eastAsia"/>
          <w:spacing w:val="-2"/>
          <w:szCs w:val="22"/>
          <w:rtl/>
        </w:rPr>
        <w:t>مهام</w:t>
      </w:r>
      <w:r w:rsidRPr="00102D37">
        <w:rPr>
          <w:spacing w:val="-2"/>
          <w:szCs w:val="22"/>
          <w:rtl/>
        </w:rPr>
        <w:t xml:space="preserve"> أخرى للجنة</w:t>
      </w:r>
      <w:r w:rsidR="005918A8" w:rsidRPr="007E6FC8">
        <w:rPr>
          <w:rFonts w:hint="cs"/>
          <w:szCs w:val="22"/>
          <w:rtl/>
        </w:rPr>
        <w:t>"</w:t>
      </w:r>
      <w:r w:rsidRPr="00102D37">
        <w:rPr>
          <w:spacing w:val="-2"/>
          <w:szCs w:val="22"/>
          <w:rtl/>
        </w:rPr>
        <w:t xml:space="preserve">) لضمان الحوكمة الرشيدة للاتفاقية وإذكاء الوعي بها من خلال </w:t>
      </w:r>
      <w:r w:rsidRPr="00102D37">
        <w:rPr>
          <w:rFonts w:hint="eastAsia"/>
          <w:snapToGrid/>
          <w:spacing w:val="-2"/>
          <w:szCs w:val="22"/>
          <w:rtl/>
        </w:rPr>
        <w:t>أنشطة</w:t>
      </w:r>
      <w:r w:rsidRPr="00102D37">
        <w:rPr>
          <w:spacing w:val="-2"/>
          <w:szCs w:val="22"/>
          <w:rtl/>
        </w:rPr>
        <w:t xml:space="preserve"> التواصل (القرار </w:t>
      </w:r>
      <w:hyperlink r:id="rId27" w:history="1">
        <w:r w:rsidR="009B131C" w:rsidRPr="007E6FC8">
          <w:rPr>
            <w:rStyle w:val="Hyperlink"/>
            <w:spacing w:val="-2"/>
            <w:szCs w:val="22"/>
            <w:lang w:val="en-GB"/>
          </w:rPr>
          <w:t>10.GA 8</w:t>
        </w:r>
      </w:hyperlink>
      <w:r w:rsidR="009B131C" w:rsidRPr="00102D37">
        <w:rPr>
          <w:spacing w:val="-2"/>
          <w:szCs w:val="22"/>
          <w:rtl/>
        </w:rPr>
        <w:t>)</w:t>
      </w:r>
      <w:r w:rsidRPr="007E6FC8">
        <w:rPr>
          <w:spacing w:val="-2"/>
          <w:szCs w:val="22"/>
        </w:rPr>
        <w:t>.</w:t>
      </w:r>
    </w:p>
    <w:p w14:paraId="0E097D84" w14:textId="7FAAF562" w:rsidR="00441941" w:rsidRPr="00102D37" w:rsidRDefault="00441941" w:rsidP="004428E6">
      <w:pPr>
        <w:pStyle w:val="COMParaDecision"/>
        <w:numPr>
          <w:ilvl w:val="0"/>
          <w:numId w:val="23"/>
        </w:numPr>
        <w:tabs>
          <w:tab w:val="clear" w:pos="502"/>
          <w:tab w:val="num" w:pos="567"/>
        </w:tabs>
        <w:bidi/>
        <w:spacing w:line="300" w:lineRule="auto"/>
        <w:ind w:left="567" w:hanging="567"/>
        <w:rPr>
          <w:u w:val="none"/>
          <w:rtl/>
        </w:rPr>
      </w:pPr>
      <w:r w:rsidRPr="00102D37">
        <w:rPr>
          <w:u w:val="none"/>
          <w:rtl/>
        </w:rPr>
        <w:t xml:space="preserve">وتتناول عملية التأمل بشأن نطاق أوسع لتنفيذ المادة 18 من </w:t>
      </w:r>
      <w:proofErr w:type="spellStart"/>
      <w:r w:rsidRPr="00102D37">
        <w:rPr>
          <w:u w:val="none"/>
          <w:rtl/>
        </w:rPr>
        <w:t>ا</w:t>
      </w:r>
      <w:r w:rsidR="0079433D" w:rsidRPr="00102D37">
        <w:rPr>
          <w:u w:val="none"/>
          <w:rtl/>
        </w:rPr>
        <w:t>ل</w:t>
      </w:r>
      <w:r w:rsidRPr="00102D37">
        <w:rPr>
          <w:u w:val="none"/>
          <w:rtl/>
        </w:rPr>
        <w:t>تفاقية</w:t>
      </w:r>
      <w:proofErr w:type="spellEnd"/>
      <w:r w:rsidRPr="00102D37">
        <w:rPr>
          <w:u w:val="none"/>
          <w:rtl/>
        </w:rPr>
        <w:t xml:space="preserve"> كيفية تبادل ممارسات الصون الجيدة على نطاق أوسع، وكيفية إبراز أصوات </w:t>
      </w:r>
      <w:r w:rsidR="00804AF9" w:rsidRPr="007E6FC8">
        <w:rPr>
          <w:u w:val="none"/>
          <w:rtl/>
        </w:rPr>
        <w:t>الجماعات</w:t>
      </w:r>
      <w:r w:rsidRPr="00102D37">
        <w:rPr>
          <w:u w:val="none"/>
          <w:rtl/>
        </w:rPr>
        <w:t xml:space="preserve"> وتطلعاتها لصون تراثها الحي. استناداً إلى توصيات الفريق العامل الحكومي الدولي مفتوح العضوية لعام 2023، والتي عُرِضت على الدورة الثامنة عشرة للجنة (</w:t>
      </w:r>
      <w:r w:rsidRPr="00102D37">
        <w:rPr>
          <w:u w:val="none"/>
          <w:cs/>
        </w:rPr>
        <w:t>‎</w:t>
      </w:r>
      <w:r w:rsidR="009B131C" w:rsidRPr="007E6FC8">
        <w:rPr>
          <w:u w:val="none"/>
        </w:rPr>
        <w:t>18.COM</w:t>
      </w:r>
      <w:r w:rsidRPr="00102D37">
        <w:rPr>
          <w:u w:val="none"/>
          <w:rtl/>
        </w:rPr>
        <w:t>) والدورة العاشرة للجمعية العامة (</w:t>
      </w:r>
      <w:r w:rsidRPr="00102D37">
        <w:rPr>
          <w:u w:val="none"/>
          <w:cs/>
        </w:rPr>
        <w:t>‎</w:t>
      </w:r>
      <w:r w:rsidR="009B131C" w:rsidRPr="007E6FC8">
        <w:rPr>
          <w:u w:val="none"/>
        </w:rPr>
        <w:t>10.GA</w:t>
      </w:r>
      <w:r w:rsidR="009B131C" w:rsidRPr="00102D37">
        <w:rPr>
          <w:u w:val="none"/>
          <w:rtl/>
        </w:rPr>
        <w:t>)</w:t>
      </w:r>
      <w:r w:rsidRPr="00102D37">
        <w:rPr>
          <w:u w:val="none"/>
          <w:rtl/>
        </w:rPr>
        <w:t>، أحاطت اللجنة علماً في دورتها التاسعة عشرة بخارطة طريق تبين الخطوات الرامية إلى إنشاء منصة إلكترونية لتبادل ممارسات الصون الجيدة (</w:t>
      </w:r>
      <w:r w:rsidR="0079433D" w:rsidRPr="00102D37">
        <w:rPr>
          <w:spacing w:val="-2"/>
          <w:u w:val="none"/>
          <w:rtl/>
        </w:rPr>
        <w:t>القرار</w:t>
      </w:r>
      <w:r w:rsidRPr="00102D37">
        <w:rPr>
          <w:u w:val="none"/>
          <w:rtl/>
        </w:rPr>
        <w:t xml:space="preserve"> </w:t>
      </w:r>
      <w:hyperlink r:id="rId28" w:history="1">
        <w:r w:rsidR="009B131C" w:rsidRPr="007E6FC8">
          <w:rPr>
            <w:rStyle w:val="Hyperlink"/>
          </w:rPr>
          <w:t>19.COM 10</w:t>
        </w:r>
      </w:hyperlink>
      <w:r w:rsidR="009B131C" w:rsidRPr="00102D37">
        <w:rPr>
          <w:u w:val="none"/>
          <w:rtl/>
        </w:rPr>
        <w:t>)</w:t>
      </w:r>
      <w:r w:rsidRPr="007E6FC8">
        <w:rPr>
          <w:u w:val="none"/>
        </w:rPr>
        <w:t>.</w:t>
      </w:r>
      <w:r w:rsidRPr="00102D37">
        <w:rPr>
          <w:u w:val="none"/>
          <w:rtl/>
        </w:rPr>
        <w:t xml:space="preserve"> وعُرِض التقدم المحرز في إنشاء المنصة، بما في ذلك </w:t>
      </w:r>
      <w:r w:rsidR="00804AF9" w:rsidRPr="00102D37">
        <w:rPr>
          <w:u w:val="none"/>
          <w:rtl/>
        </w:rPr>
        <w:t>"</w:t>
      </w:r>
      <w:hyperlink r:id="rId29" w:history="1">
        <w:r w:rsidRPr="00102D37">
          <w:rPr>
            <w:rStyle w:val="Hyperlink"/>
            <w:u w:val="none"/>
            <w:rtl/>
          </w:rPr>
          <w:t>النسخة الأولية</w:t>
        </w:r>
      </w:hyperlink>
      <w:r w:rsidR="00804AF9" w:rsidRPr="00102D37">
        <w:rPr>
          <w:u w:val="none"/>
          <w:rtl/>
        </w:rPr>
        <w:t>"</w:t>
      </w:r>
      <w:r w:rsidRPr="00102D37">
        <w:rPr>
          <w:u w:val="none"/>
          <w:rtl/>
        </w:rPr>
        <w:t xml:space="preserve"> التي تضم مجموعة تجريبية من ممارسات الصون، على الدورة العشرين للجنة (</w:t>
      </w:r>
      <w:r w:rsidR="0079433D" w:rsidRPr="00102D37">
        <w:rPr>
          <w:spacing w:val="-2"/>
          <w:u w:val="none"/>
          <w:rtl/>
        </w:rPr>
        <w:t>القرار</w:t>
      </w:r>
      <w:hyperlink r:id="rId30" w:history="1">
        <w:r w:rsidRPr="00102D37">
          <w:rPr>
            <w:rtl/>
          </w:rPr>
          <w:t xml:space="preserve"> </w:t>
        </w:r>
        <w:hyperlink r:id="rId31" w:history="1">
          <w:r w:rsidR="009B131C" w:rsidRPr="00102D37">
            <w:rPr>
              <w:rStyle w:val="Hyperlink"/>
            </w:rPr>
            <w:t>20.COM 11</w:t>
          </w:r>
        </w:hyperlink>
      </w:hyperlink>
      <w:r w:rsidR="009B131C" w:rsidRPr="00102D37">
        <w:rPr>
          <w:u w:val="none"/>
          <w:rtl/>
        </w:rPr>
        <w:t>)</w:t>
      </w:r>
      <w:r w:rsidRPr="007E6FC8">
        <w:rPr>
          <w:u w:val="none"/>
        </w:rPr>
        <w:t>.</w:t>
      </w:r>
    </w:p>
    <w:p w14:paraId="416EE786" w14:textId="3DD3A83A" w:rsidR="00441941" w:rsidRPr="00102D37" w:rsidRDefault="00441941" w:rsidP="004428E6">
      <w:pPr>
        <w:pStyle w:val="COMParaDecision"/>
        <w:numPr>
          <w:ilvl w:val="0"/>
          <w:numId w:val="23"/>
        </w:numPr>
        <w:bidi/>
        <w:spacing w:line="300" w:lineRule="auto"/>
        <w:ind w:left="567" w:hanging="567"/>
        <w:rPr>
          <w:u w:val="none"/>
          <w:rtl/>
        </w:rPr>
      </w:pPr>
      <w:r w:rsidRPr="00102D37">
        <w:rPr>
          <w:u w:val="none"/>
          <w:rtl/>
        </w:rPr>
        <w:t xml:space="preserve">كما جرى ضمان دعم خدمات إدارة المعرفة الخاصة بالاتفاقية لحوكمتها الرشيدة، مع تعزيز الجوانب الأمنية وسهولة الوصول؛ ويشمل ذلك، من بين أمور أخرى، التشغيل السلس لواجهة تقديم التقارير الدورية عبر الإنترنت التي استخدمتها الدول الأطراف في منطقة آسيا والمحيط الهادئ في عام 2024، </w:t>
      </w:r>
      <w:r w:rsidRPr="00102D37">
        <w:rPr>
          <w:rtl/>
        </w:rPr>
        <w:t>فضلاً عن</w:t>
      </w:r>
      <w:r w:rsidRPr="00102D37">
        <w:rPr>
          <w:u w:val="none"/>
          <w:rtl/>
        </w:rPr>
        <w:t xml:space="preserve"> تطوير الوظائف المرتبطة بنتائج عملية التأمل العالمية بشأن آليات الإدراج في قوائم الاتفاقية. وأُتيحت أيضاً أدوات تعليمية وإدارية معرفية متنوعة عبر الإنترنت بصيغة الانتفاع الحر وبتنسيقات سهلة الاستخدام، تتناول جوانب مختلفة من تنفيذ الاتفاقية، بما في ذلك ما يتصل بـ </w:t>
      </w:r>
      <w:r w:rsidR="00804AF9" w:rsidRPr="007E6FC8">
        <w:rPr>
          <w:rFonts w:hint="cs"/>
          <w:u w:val="none"/>
          <w:rtl/>
        </w:rPr>
        <w:t>"</w:t>
      </w:r>
      <w:r w:rsidRPr="00102D37">
        <w:rPr>
          <w:u w:val="none"/>
          <w:rtl/>
        </w:rPr>
        <w:t>إطار النتائج الشامل</w:t>
      </w:r>
      <w:r w:rsidR="00804AF9" w:rsidRPr="007E6FC8">
        <w:rPr>
          <w:rFonts w:hint="cs"/>
          <w:u w:val="none"/>
          <w:rtl/>
        </w:rPr>
        <w:t>"</w:t>
      </w:r>
      <w:r w:rsidRPr="00102D37">
        <w:rPr>
          <w:u w:val="none"/>
          <w:rtl/>
        </w:rPr>
        <w:t>.</w:t>
      </w:r>
    </w:p>
    <w:p w14:paraId="2FE267AC" w14:textId="08B9A780" w:rsidR="00441941" w:rsidRPr="00102D37" w:rsidRDefault="00A74E8C" w:rsidP="004428E6">
      <w:pPr>
        <w:pStyle w:val="COMParaDecision"/>
        <w:numPr>
          <w:ilvl w:val="0"/>
          <w:numId w:val="23"/>
        </w:numPr>
        <w:bidi/>
        <w:spacing w:line="300" w:lineRule="auto"/>
        <w:ind w:left="567" w:hanging="567"/>
        <w:rPr>
          <w:u w:val="none"/>
          <w:rtl/>
        </w:rPr>
      </w:pPr>
      <w:r w:rsidRPr="00102D37">
        <w:rPr>
          <w:u w:val="none"/>
          <w:rtl/>
        </w:rPr>
        <w:lastRenderedPageBreak/>
        <w:t xml:space="preserve">تُعتبر التوعية </w:t>
      </w:r>
      <w:r w:rsidR="00441941" w:rsidRPr="00102D37">
        <w:rPr>
          <w:u w:val="none"/>
          <w:rtl/>
        </w:rPr>
        <w:t xml:space="preserve">بأهمية التراث الثقافي غير المادي وتعزيز أهداف الاتفاقية من تدابير الصون، وفقاً لما ورد في المادة 2.3 من الاتفاقية. وقد مثّل إعلان المؤتمر العام لليونسكو في تشرين الثاني/نوفمبر 2023 يوم 17 تشرين الأول/أكتوبر </w:t>
      </w:r>
      <w:hyperlink r:id="rId32" w:history="1">
        <w:r w:rsidR="00441941" w:rsidRPr="00102D37">
          <w:rPr>
            <w:rStyle w:val="Hyperlink"/>
            <w:rtl/>
          </w:rPr>
          <w:t>يوماً دولياً</w:t>
        </w:r>
      </w:hyperlink>
      <w:r w:rsidR="00441941" w:rsidRPr="00102D37">
        <w:rPr>
          <w:u w:val="none"/>
          <w:rtl/>
        </w:rPr>
        <w:t xml:space="preserve"> للتراث الثقافي غير المادي علامة فارقة في هذا الصدد. وخلال النسختين الأولى والثانية لهذا اليوم، اللتين احتُفل بهما في 17 تشرين الأول/أكتوبر 2024 و17 تشرين الأول/أكتوبر 2025 على التوالي، أُطلِقت حملات عبر الإنترنت لتسليط الضوء على أكثر من 200 نشاط (100 نشاط</w:t>
      </w:r>
      <w:r w:rsidR="00441941" w:rsidRPr="00102D37">
        <w:rPr>
          <w:rtl/>
        </w:rPr>
        <w:t xml:space="preserve"> </w:t>
      </w:r>
      <w:r w:rsidR="00441941" w:rsidRPr="00102D37">
        <w:rPr>
          <w:u w:val="none"/>
          <w:rtl/>
        </w:rPr>
        <w:t>في</w:t>
      </w:r>
      <w:r w:rsidR="00954783" w:rsidRPr="00102D37">
        <w:rPr>
          <w:u w:val="none"/>
        </w:rPr>
        <w:t xml:space="preserve"> </w:t>
      </w:r>
      <w:r w:rsidR="00954783" w:rsidRPr="00102D37">
        <w:rPr>
          <w:u w:val="none"/>
          <w:rtl/>
        </w:rPr>
        <w:t xml:space="preserve">عام </w:t>
      </w:r>
      <w:hyperlink r:id="rId33" w:history="1">
        <w:r w:rsidR="00954783" w:rsidRPr="00102D37">
          <w:rPr>
            <w:rStyle w:val="Hyperlink"/>
            <w:rtl/>
          </w:rPr>
          <w:t>2024</w:t>
        </w:r>
      </w:hyperlink>
      <w:r w:rsidR="00441941" w:rsidRPr="00102D37">
        <w:rPr>
          <w:u w:val="none"/>
          <w:rtl/>
        </w:rPr>
        <w:t xml:space="preserve"> و134 نشاطاً في عام </w:t>
      </w:r>
      <w:hyperlink r:id="rId34" w:history="1">
        <w:r w:rsidR="00441941" w:rsidRPr="00102D37">
          <w:rPr>
            <w:rStyle w:val="Hyperlink"/>
            <w:rtl/>
          </w:rPr>
          <w:t>2025</w:t>
        </w:r>
      </w:hyperlink>
      <w:r w:rsidR="00441941" w:rsidRPr="00102D37">
        <w:rPr>
          <w:u w:val="none"/>
          <w:rtl/>
        </w:rPr>
        <w:t>) نُظِّمت حول العالم من قبل الدول الأطراف، و</w:t>
      </w:r>
      <w:r w:rsidR="00954783" w:rsidRPr="007E6FC8">
        <w:rPr>
          <w:u w:val="none"/>
          <w:rtl/>
        </w:rPr>
        <w:t>الجماعات</w:t>
      </w:r>
      <w:r w:rsidR="00441941" w:rsidRPr="00102D37">
        <w:rPr>
          <w:u w:val="none"/>
          <w:rtl/>
        </w:rPr>
        <w:t>، والمنظمات غير الحكومية، والمؤسسات الثقافية، والمراكز التي تعمل تحت رعاية اليونسكو (الفئة 2)، وكراسي اليونسكو الجامعية، والجهات الفاعلة في المجال التعليمي، وذلك للتأكيد على تنوع التراث الحي وثرائه، ولإذكاء الوعي بأهمية صونه.</w:t>
      </w:r>
    </w:p>
    <w:p w14:paraId="69B6D8EE" w14:textId="21F63342" w:rsidR="00BA22C0" w:rsidRPr="00102D37" w:rsidRDefault="00BA22C0" w:rsidP="004428E6">
      <w:pPr>
        <w:pStyle w:val="COMParaDecision"/>
        <w:numPr>
          <w:ilvl w:val="0"/>
          <w:numId w:val="23"/>
        </w:numPr>
        <w:bidi/>
        <w:spacing w:line="300" w:lineRule="auto"/>
        <w:ind w:left="567" w:hanging="567"/>
        <w:rPr>
          <w:u w:val="none"/>
          <w:rtl/>
        </w:rPr>
      </w:pPr>
      <w:r w:rsidRPr="00102D37">
        <w:rPr>
          <w:u w:val="none"/>
          <w:rtl/>
        </w:rPr>
        <w:t xml:space="preserve">استمراراً للممارسة التي استُحدثت في عام 2020، درست اللجنة في دورتيها التاسعة عشرة والعشرين </w:t>
      </w:r>
      <w:r w:rsidR="00954783" w:rsidRPr="007E6FC8">
        <w:rPr>
          <w:rFonts w:hint="cs"/>
          <w:u w:val="none"/>
          <w:rtl/>
        </w:rPr>
        <w:t>"</w:t>
      </w:r>
      <w:r w:rsidRPr="00102D37">
        <w:rPr>
          <w:u w:val="none"/>
          <w:rtl/>
        </w:rPr>
        <w:t>تقرير منتدى المنظمات غير الحكومية</w:t>
      </w:r>
      <w:r w:rsidR="00954783" w:rsidRPr="007E6FC8">
        <w:rPr>
          <w:rFonts w:hint="cs"/>
          <w:u w:val="none"/>
          <w:rtl/>
        </w:rPr>
        <w:t>"</w:t>
      </w:r>
      <w:r w:rsidRPr="00102D37">
        <w:rPr>
          <w:u w:val="none"/>
          <w:rtl/>
        </w:rPr>
        <w:t xml:space="preserve"> كبند مستقل مدرج على جدول الأعمال. وبعد إتمام المرحلة الأولى من عملية حصر اختصاصات 60 منظمة غير حكومية معتمدة وعرضها بيانياً عبر الموقع الإلكتروني للاتفاقية (2021-2023)، تعاون منتدى المنظمات غير الحكومية المعني بالتراث الثقافي غير المادي مع الأمانة لإطلاق المرحلة الثانية من هذا المشروع، تماشياً مع طلب اللجنة في دورتها التاسعة عشرة (</w:t>
      </w:r>
      <w:r w:rsidR="00C03C25" w:rsidRPr="00102D37">
        <w:rPr>
          <w:spacing w:val="-2"/>
          <w:u w:val="none"/>
          <w:rtl/>
        </w:rPr>
        <w:t>القرار</w:t>
      </w:r>
      <w:r w:rsidRPr="00102D37">
        <w:rPr>
          <w:u w:val="none"/>
          <w:rtl/>
        </w:rPr>
        <w:t xml:space="preserve"> </w:t>
      </w:r>
      <w:hyperlink r:id="rId35" w:history="1">
        <w:r w:rsidRPr="00102D37">
          <w:rPr>
            <w:rStyle w:val="Hyperlink"/>
            <w:cs/>
          </w:rPr>
          <w:t>‎</w:t>
        </w:r>
        <w:hyperlink r:id="rId36" w:history="1">
          <w:r w:rsidR="009B131C" w:rsidRPr="007E6FC8">
            <w:rPr>
              <w:rStyle w:val="Hyperlink"/>
            </w:rPr>
            <w:t>19.COM 13</w:t>
          </w:r>
        </w:hyperlink>
      </w:hyperlink>
      <w:r w:rsidRPr="00102D37">
        <w:rPr>
          <w:u w:val="none"/>
          <w:rtl/>
        </w:rPr>
        <w:t>)، وذلك بهدف عرض الملفات التعريفية لمئة منظمة غير حكومية معتمدة إضافية، مما يساهم في إبراز دور هذه المنظمات وتحسين فرص التبادل ومشاطرة المعارف.</w:t>
      </w:r>
    </w:p>
    <w:p w14:paraId="4CD3DE3B" w14:textId="7D01B972" w:rsidR="00BA22C0" w:rsidRPr="00102D37" w:rsidRDefault="00BA22C0" w:rsidP="004428E6">
      <w:pPr>
        <w:widowControl w:val="0"/>
        <w:numPr>
          <w:ilvl w:val="0"/>
          <w:numId w:val="24"/>
        </w:numPr>
        <w:tabs>
          <w:tab w:val="num" w:pos="567"/>
        </w:tabs>
        <w:bidi/>
        <w:snapToGrid w:val="0"/>
        <w:spacing w:after="120" w:line="300" w:lineRule="auto"/>
        <w:ind w:left="567" w:hanging="567"/>
        <w:jc w:val="both"/>
        <w:rPr>
          <w:rFonts w:ascii="Arial" w:hAnsi="Arial"/>
          <w:bCs/>
          <w:sz w:val="22"/>
          <w:szCs w:val="22"/>
          <w:rtl/>
        </w:rPr>
      </w:pPr>
      <w:r w:rsidRPr="00102D37">
        <w:rPr>
          <w:rFonts w:ascii="Arial" w:hAnsi="Arial" w:hint="eastAsia"/>
          <w:b/>
          <w:bCs/>
          <w:sz w:val="22"/>
          <w:szCs w:val="22"/>
          <w:rtl/>
        </w:rPr>
        <w:t>إعداد</w:t>
      </w:r>
      <w:r w:rsidRPr="00102D37">
        <w:rPr>
          <w:rFonts w:ascii="Arial" w:hAnsi="Arial"/>
          <w:b/>
          <w:bCs/>
          <w:sz w:val="22"/>
          <w:szCs w:val="22"/>
          <w:rtl/>
        </w:rPr>
        <w:t xml:space="preserve"> مشروع خطة لاستخدام موارد الصندوق </w:t>
      </w:r>
      <w:r w:rsidR="005E3210" w:rsidRPr="007E6FC8">
        <w:rPr>
          <w:rFonts w:ascii="Arial" w:hAnsi="Arial"/>
          <w:b/>
          <w:bCs/>
          <w:sz w:val="22"/>
          <w:szCs w:val="22"/>
          <w:rtl/>
        </w:rPr>
        <w:t>وزيادتها</w:t>
      </w:r>
      <w:r w:rsidR="005E3210" w:rsidRPr="007E6FC8" w:rsidDel="005E3210">
        <w:rPr>
          <w:rFonts w:ascii="Arial" w:hAnsi="Arial" w:hint="cs"/>
          <w:b/>
          <w:bCs/>
          <w:sz w:val="22"/>
          <w:szCs w:val="22"/>
          <w:rtl/>
        </w:rPr>
        <w:t xml:space="preserve"> </w:t>
      </w:r>
      <w:r w:rsidRPr="00102D37">
        <w:rPr>
          <w:rFonts w:ascii="Arial" w:hAnsi="Arial"/>
          <w:sz w:val="22"/>
          <w:szCs w:val="22"/>
          <w:rtl/>
        </w:rPr>
        <w:t>(المادتان 7 [ج] و7 [د])</w:t>
      </w:r>
    </w:p>
    <w:p w14:paraId="1CC1C15C" w14:textId="2D39E029" w:rsidR="00BA22C0" w:rsidRPr="00102D37" w:rsidRDefault="00BA22C0" w:rsidP="004428E6">
      <w:pPr>
        <w:pStyle w:val="COMParaDecision"/>
        <w:numPr>
          <w:ilvl w:val="0"/>
          <w:numId w:val="23"/>
        </w:numPr>
        <w:bidi/>
        <w:spacing w:line="300" w:lineRule="auto"/>
        <w:ind w:hanging="502"/>
        <w:rPr>
          <w:spacing w:val="-2"/>
          <w:u w:val="none"/>
          <w:rtl/>
        </w:rPr>
      </w:pPr>
      <w:r w:rsidRPr="00102D37">
        <w:rPr>
          <w:spacing w:val="-2"/>
          <w:u w:val="none"/>
          <w:rtl/>
        </w:rPr>
        <w:t>درست اللجنة في دورتها العشرين مشروع خطة لاستخدام موارد الصندوق للفترة من 1 كانون الثاني/يناير 2026 إلى 31 كانون الأول/ديسمبر 2027، ولفترة الستة أشهر الأولى من عام 2028 بصفة مؤقتة (</w:t>
      </w:r>
      <w:r w:rsidR="00C03C25" w:rsidRPr="007E6FC8">
        <w:rPr>
          <w:rFonts w:hint="cs"/>
          <w:spacing w:val="-2"/>
          <w:u w:val="none"/>
          <w:rtl/>
        </w:rPr>
        <w:t>القرار</w:t>
      </w:r>
      <w:r w:rsidRPr="00102D37">
        <w:rPr>
          <w:spacing w:val="-2"/>
          <w:u w:val="none"/>
          <w:rtl/>
        </w:rPr>
        <w:t xml:space="preserve"> </w:t>
      </w:r>
      <w:hyperlink r:id="rId37" w:history="1">
        <w:r w:rsidR="009B131C" w:rsidRPr="00102D37">
          <w:rPr>
            <w:rStyle w:val="Hyperlink"/>
            <w:rFonts w:asciiTheme="minorBidi" w:hAnsiTheme="minorBidi" w:cstheme="minorBidi"/>
            <w:spacing w:val="-2"/>
          </w:rPr>
          <w:t>20.COM 14</w:t>
        </w:r>
      </w:hyperlink>
      <w:r w:rsidR="009B131C" w:rsidRPr="00102D37">
        <w:rPr>
          <w:spacing w:val="-2"/>
          <w:u w:val="none"/>
          <w:rtl/>
        </w:rPr>
        <w:t>)</w:t>
      </w:r>
      <w:r w:rsidRPr="007E6FC8">
        <w:rPr>
          <w:spacing w:val="-2"/>
          <w:u w:val="none"/>
        </w:rPr>
        <w:t>.</w:t>
      </w:r>
      <w:r w:rsidRPr="00102D37">
        <w:rPr>
          <w:spacing w:val="-2"/>
          <w:u w:val="none"/>
          <w:rtl/>
        </w:rPr>
        <w:t xml:space="preserve"> وتماشياً مع إجراءات الاعتماد التي استحدثتها اللجنة في عام 2019 بشأن </w:t>
      </w:r>
      <w:r w:rsidR="005E3210" w:rsidRPr="007E6FC8">
        <w:rPr>
          <w:rFonts w:hint="cs"/>
          <w:u w:val="none"/>
          <w:rtl/>
        </w:rPr>
        <w:t>"</w:t>
      </w:r>
      <w:r w:rsidRPr="00102D37">
        <w:rPr>
          <w:spacing w:val="-2"/>
          <w:u w:val="none"/>
          <w:rtl/>
        </w:rPr>
        <w:t>مهام اللجنة الأخرى</w:t>
      </w:r>
      <w:r w:rsidR="005E3210" w:rsidRPr="007E6FC8">
        <w:rPr>
          <w:rFonts w:hint="cs"/>
          <w:u w:val="none"/>
          <w:rtl/>
        </w:rPr>
        <w:t>"</w:t>
      </w:r>
      <w:r w:rsidRPr="00102D37">
        <w:rPr>
          <w:spacing w:val="-2"/>
          <w:u w:val="none"/>
          <w:rtl/>
        </w:rPr>
        <w:t xml:space="preserve"> (</w:t>
      </w:r>
      <w:r w:rsidR="00C03C25" w:rsidRPr="007E6FC8">
        <w:rPr>
          <w:rFonts w:hint="cs"/>
          <w:spacing w:val="-2"/>
          <w:u w:val="none"/>
          <w:rtl/>
        </w:rPr>
        <w:t>القرار</w:t>
      </w:r>
      <w:r w:rsidRPr="00102D37">
        <w:rPr>
          <w:spacing w:val="-2"/>
          <w:u w:val="none"/>
          <w:rtl/>
        </w:rPr>
        <w:t xml:space="preserve"> </w:t>
      </w:r>
      <w:hyperlink r:id="rId38" w:history="1">
        <w:r w:rsidR="009B131C" w:rsidRPr="007E6FC8">
          <w:rPr>
            <w:rStyle w:val="Hyperlink"/>
            <w:spacing w:val="-2"/>
          </w:rPr>
          <w:t>14.COM 7</w:t>
        </w:r>
      </w:hyperlink>
      <w:r w:rsidRPr="00102D37">
        <w:rPr>
          <w:spacing w:val="-2"/>
          <w:u w:val="none"/>
          <w:rtl/>
        </w:rPr>
        <w:t xml:space="preserve">)، عُرِض مشروع الخطة مع توزيع مئوي لبند الميزانية الخاص بـ </w:t>
      </w:r>
      <w:r w:rsidR="005E3210" w:rsidRPr="007E6FC8">
        <w:rPr>
          <w:rFonts w:hint="cs"/>
          <w:u w:val="none"/>
          <w:rtl/>
        </w:rPr>
        <w:t>"</w:t>
      </w:r>
      <w:r w:rsidRPr="00102D37">
        <w:rPr>
          <w:spacing w:val="-2"/>
          <w:u w:val="none"/>
          <w:rtl/>
        </w:rPr>
        <w:t>مهام اللجنة الأخرى</w:t>
      </w:r>
      <w:r w:rsidR="005E3210" w:rsidRPr="007E6FC8">
        <w:rPr>
          <w:rFonts w:hint="cs"/>
          <w:u w:val="none"/>
          <w:rtl/>
        </w:rPr>
        <w:t>"</w:t>
      </w:r>
      <w:r w:rsidRPr="00102D37">
        <w:rPr>
          <w:spacing w:val="-2"/>
          <w:u w:val="none"/>
          <w:rtl/>
        </w:rPr>
        <w:t xml:space="preserve">، وذلك من حيث النتائج المنشودة وفقاً للبرنامج والميزانية المعتمدين (الوثيقة </w:t>
      </w:r>
      <w:r w:rsidRPr="007E6FC8">
        <w:rPr>
          <w:spacing w:val="-2"/>
          <w:u w:val="none"/>
        </w:rPr>
        <w:t>C/5</w:t>
      </w:r>
      <w:r w:rsidR="009B131C" w:rsidRPr="00102D37">
        <w:rPr>
          <w:spacing w:val="-2"/>
          <w:u w:val="none"/>
          <w:rtl/>
        </w:rPr>
        <w:t>)</w:t>
      </w:r>
      <w:r w:rsidRPr="007E6FC8">
        <w:rPr>
          <w:spacing w:val="-2"/>
          <w:u w:val="none"/>
        </w:rPr>
        <w:t>.</w:t>
      </w:r>
      <w:r w:rsidRPr="00102D37">
        <w:rPr>
          <w:spacing w:val="-2"/>
          <w:u w:val="none"/>
          <w:rtl/>
        </w:rPr>
        <w:t xml:space="preserve"> وسوف يُرفع مشروع هذه الخطة إلى الدورة الحادية عشرة للجمعية العامة (</w:t>
      </w:r>
      <w:r w:rsidRPr="00102D37">
        <w:rPr>
          <w:spacing w:val="-2"/>
          <w:u w:val="none"/>
          <w:cs/>
        </w:rPr>
        <w:t>‎</w:t>
      </w:r>
      <w:r w:rsidR="009B131C" w:rsidRPr="007E6FC8">
        <w:rPr>
          <w:spacing w:val="-2"/>
          <w:u w:val="none"/>
        </w:rPr>
        <w:t>11.GA</w:t>
      </w:r>
      <w:r w:rsidRPr="00102D37">
        <w:rPr>
          <w:spacing w:val="-2"/>
          <w:u w:val="none"/>
          <w:rtl/>
        </w:rPr>
        <w:t xml:space="preserve">) في عام 2026 لاعتماده. ولا تزال النسبة الأكبر من الموارد مخصصة للمساعدة الدولية (انظر الوثيقة </w:t>
      </w:r>
      <w:hyperlink r:id="rId39" w:history="1">
        <w:r w:rsidRPr="00102D37">
          <w:rPr>
            <w:rStyle w:val="Hyperlink"/>
            <w:rFonts w:asciiTheme="minorBidi" w:hAnsiTheme="minorBidi" w:cstheme="minorBidi"/>
            <w:spacing w:val="-2"/>
          </w:rPr>
          <w:t>LHE/25/20.COM/14</w:t>
        </w:r>
      </w:hyperlink>
      <w:r w:rsidRPr="00102D37">
        <w:rPr>
          <w:spacing w:val="-2"/>
          <w:u w:val="none"/>
          <w:rtl/>
        </w:rPr>
        <w:t xml:space="preserve"> للاطلاع على الخطة التفصيلية).</w:t>
      </w:r>
    </w:p>
    <w:p w14:paraId="7142F65D" w14:textId="05DA5EE6" w:rsidR="0087295E" w:rsidRPr="00102D37" w:rsidRDefault="00BA22C0" w:rsidP="004428E6">
      <w:pPr>
        <w:pStyle w:val="Marge"/>
        <w:numPr>
          <w:ilvl w:val="0"/>
          <w:numId w:val="23"/>
        </w:numPr>
        <w:tabs>
          <w:tab w:val="clear" w:pos="502"/>
          <w:tab w:val="num" w:pos="567"/>
        </w:tabs>
        <w:bidi/>
        <w:spacing w:before="120" w:after="120" w:line="300" w:lineRule="auto"/>
        <w:ind w:left="567" w:hanging="567"/>
        <w:rPr>
          <w:spacing w:val="-2"/>
          <w:szCs w:val="22"/>
          <w:rtl/>
        </w:rPr>
      </w:pPr>
      <w:r w:rsidRPr="00102D37">
        <w:rPr>
          <w:rFonts w:asciiTheme="minorBidi" w:hAnsiTheme="minorBidi" w:cstheme="minorBidi" w:hint="eastAsia"/>
          <w:spacing w:val="-2"/>
          <w:szCs w:val="22"/>
          <w:rtl/>
        </w:rPr>
        <w:t>خلال</w:t>
      </w:r>
      <w:r w:rsidRPr="00102D37">
        <w:rPr>
          <w:rFonts w:asciiTheme="minorBidi" w:hAnsiTheme="minorBidi" w:cstheme="minorBidi"/>
          <w:spacing w:val="-2"/>
          <w:szCs w:val="22"/>
          <w:rtl/>
        </w:rPr>
        <w:t xml:space="preserve"> الفترة المشمولة بالتقرير، قُدِّمت مساهمات طوعية إضافية إلى الصندوق بقيمة 299,846 دولاراً أمريكياً من مملكة هولندا، وسانت فنسنت وجزر غرينادين، </w:t>
      </w:r>
      <w:r w:rsidRPr="00102D37">
        <w:rPr>
          <w:rFonts w:asciiTheme="minorBidi" w:hAnsiTheme="minorBidi" w:cstheme="minorBidi" w:hint="eastAsia"/>
          <w:spacing w:val="-2"/>
          <w:szCs w:val="22"/>
          <w:rtl/>
        </w:rPr>
        <w:t>والسويد،</w:t>
      </w:r>
      <w:r w:rsidRPr="00102D37">
        <w:rPr>
          <w:rFonts w:asciiTheme="minorBidi" w:hAnsiTheme="minorBidi" w:cstheme="minorBidi"/>
          <w:spacing w:val="-2"/>
          <w:szCs w:val="22"/>
          <w:rtl/>
        </w:rPr>
        <w:t xml:space="preserve"> وذلك </w:t>
      </w:r>
      <w:r w:rsidRPr="00102D37">
        <w:rPr>
          <w:rFonts w:asciiTheme="minorBidi" w:hAnsiTheme="minorBidi" w:cstheme="minorBidi" w:hint="eastAsia"/>
          <w:spacing w:val="-2"/>
          <w:szCs w:val="22"/>
          <w:rtl/>
        </w:rPr>
        <w:t>لتمويل</w:t>
      </w:r>
      <w:r w:rsidRPr="00102D37">
        <w:rPr>
          <w:rFonts w:asciiTheme="minorBidi" w:hAnsiTheme="minorBidi" w:cstheme="minorBidi"/>
          <w:spacing w:val="-2"/>
          <w:szCs w:val="22"/>
          <w:rtl/>
        </w:rPr>
        <w:t xml:space="preserve"> أنشطة البرنامج وأغراض محددة. وبالإضافة إلى ذلك، تلقى الصندوق الفرعي – المخصص حصرياً لتعزيز القدرات البشرية للأمانة – مساهمات بلغت 238,113 دولاراً أمريكياً من فرنسا، وليتوانيا، وموناكو، وسلوفينيا، والمملكة المتحدة لبريطانيا العظمى وأيرلندا الشمالية (الوثيقة </w:t>
      </w:r>
      <w:hyperlink r:id="rId40" w:history="1">
        <w:r w:rsidRPr="00102D37">
          <w:rPr>
            <w:rStyle w:val="Hyperlink"/>
            <w:rFonts w:asciiTheme="minorBidi" w:hAnsiTheme="minorBidi" w:cstheme="minorBidi"/>
            <w:spacing w:val="-2"/>
            <w:szCs w:val="22"/>
          </w:rPr>
          <w:t>LHE/25/20.COM/INF.14</w:t>
        </w:r>
      </w:hyperlink>
      <w:r w:rsidR="009B131C" w:rsidRPr="00102D37">
        <w:rPr>
          <w:rFonts w:asciiTheme="minorBidi" w:hAnsiTheme="minorBidi" w:cstheme="minorBidi"/>
          <w:spacing w:val="-2"/>
          <w:szCs w:val="22"/>
          <w:rtl/>
        </w:rPr>
        <w:t>)</w:t>
      </w:r>
      <w:r w:rsidRPr="007E6FC8">
        <w:rPr>
          <w:rFonts w:asciiTheme="minorBidi" w:hAnsiTheme="minorBidi" w:cstheme="minorBidi"/>
          <w:spacing w:val="-2"/>
          <w:szCs w:val="22"/>
        </w:rPr>
        <w:t>.</w:t>
      </w:r>
      <w:r w:rsidRPr="00102D37">
        <w:rPr>
          <w:rFonts w:asciiTheme="minorBidi" w:hAnsiTheme="minorBidi" w:cstheme="minorBidi"/>
          <w:spacing w:val="-2"/>
          <w:szCs w:val="22"/>
          <w:rtl/>
        </w:rPr>
        <w:t xml:space="preserve"> </w:t>
      </w:r>
      <w:r w:rsidRPr="00102D37">
        <w:rPr>
          <w:rFonts w:asciiTheme="minorBidi" w:hAnsiTheme="minorBidi" w:cstheme="minorBidi" w:hint="eastAsia"/>
          <w:spacing w:val="-2"/>
          <w:szCs w:val="22"/>
          <w:rtl/>
        </w:rPr>
        <w:t>وقد</w:t>
      </w:r>
      <w:r w:rsidRPr="00102D37">
        <w:rPr>
          <w:rFonts w:asciiTheme="minorBidi" w:hAnsiTheme="minorBidi" w:cstheme="minorBidi"/>
          <w:spacing w:val="-2"/>
          <w:szCs w:val="22"/>
          <w:rtl/>
        </w:rPr>
        <w:t xml:space="preserve"> شهدت الدورة العشرون للجنة (</w:t>
      </w:r>
      <w:r w:rsidRPr="00102D37">
        <w:rPr>
          <w:rFonts w:asciiTheme="minorBidi" w:hAnsiTheme="minorBidi"/>
          <w:spacing w:val="-2"/>
          <w:szCs w:val="22"/>
          <w:cs/>
        </w:rPr>
        <w:t>‎</w:t>
      </w:r>
      <w:r w:rsidR="009B131C" w:rsidRPr="00102D37">
        <w:rPr>
          <w:spacing w:val="-2"/>
          <w:szCs w:val="22"/>
          <w:lang w:val="en-GB"/>
        </w:rPr>
        <w:t>20.COM</w:t>
      </w:r>
      <w:r w:rsidRPr="00102D37">
        <w:rPr>
          <w:rFonts w:asciiTheme="minorBidi" w:hAnsiTheme="minorBidi" w:cstheme="minorBidi"/>
          <w:spacing w:val="-2"/>
          <w:szCs w:val="22"/>
          <w:rtl/>
        </w:rPr>
        <w:t>) اختتام أولويتي التمويل للاتفاقية للفترة 2022-2025؛</w:t>
      </w:r>
      <w:r w:rsidRPr="00102D37">
        <w:rPr>
          <w:spacing w:val="-2"/>
          <w:szCs w:val="22"/>
          <w:rtl/>
        </w:rPr>
        <w:t xml:space="preserve"> وفي الوقت نفسه، اعتمدت اللجنة أولويتي تمويل جديدتين للفترة 2026-2029 (</w:t>
      </w:r>
      <w:r w:rsidR="00463394" w:rsidRPr="00102D37">
        <w:rPr>
          <w:rFonts w:hint="eastAsia"/>
          <w:spacing w:val="-2"/>
          <w:szCs w:val="22"/>
          <w:rtl/>
        </w:rPr>
        <w:t>القرار</w:t>
      </w:r>
      <w:r w:rsidRPr="00102D37">
        <w:rPr>
          <w:spacing w:val="-2"/>
          <w:szCs w:val="22"/>
          <w:rtl/>
        </w:rPr>
        <w:t xml:space="preserve"> </w:t>
      </w:r>
      <w:hyperlink r:id="rId41" w:history="1">
        <w:r w:rsidR="009B131C" w:rsidRPr="00102D37">
          <w:rPr>
            <w:rStyle w:val="Hyperlink"/>
            <w:spacing w:val="-2"/>
            <w:szCs w:val="22"/>
            <w:lang w:val="en-GB"/>
          </w:rPr>
          <w:t>20.COM 13</w:t>
        </w:r>
      </w:hyperlink>
      <w:r w:rsidRPr="00102D37">
        <w:rPr>
          <w:rFonts w:asciiTheme="minorBidi" w:hAnsiTheme="minorBidi" w:cstheme="minorBidi"/>
          <w:spacing w:val="-2"/>
          <w:szCs w:val="22"/>
          <w:rtl/>
        </w:rPr>
        <w:t xml:space="preserve">)، وهما: </w:t>
      </w:r>
      <w:r w:rsidR="00004DCD" w:rsidRPr="007E6FC8">
        <w:rPr>
          <w:rFonts w:asciiTheme="minorBidi" w:hAnsiTheme="minorBidi" w:cstheme="minorBidi"/>
          <w:spacing w:val="-2"/>
          <w:szCs w:val="22"/>
          <w:rtl/>
        </w:rPr>
        <w:t>"</w:t>
      </w:r>
      <w:r w:rsidRPr="00102D37">
        <w:rPr>
          <w:rFonts w:asciiTheme="minorBidi" w:hAnsiTheme="minorBidi" w:cstheme="minorBidi"/>
          <w:spacing w:val="-2"/>
          <w:szCs w:val="22"/>
          <w:rtl/>
        </w:rPr>
        <w:t xml:space="preserve">تعزيز نهج بناء القدرات من أجل صون التراث الثقافي غير المادي مع التركيز على الرفاه البشري وتمكين </w:t>
      </w:r>
      <w:r w:rsidR="00004DCD" w:rsidRPr="007E6FC8">
        <w:rPr>
          <w:rtl/>
        </w:rPr>
        <w:t>الجماعات</w:t>
      </w:r>
      <w:r w:rsidR="00004DCD" w:rsidRPr="007E6FC8">
        <w:rPr>
          <w:rFonts w:asciiTheme="minorBidi" w:hAnsiTheme="minorBidi" w:cstheme="minorBidi"/>
          <w:spacing w:val="-2"/>
          <w:szCs w:val="22"/>
          <w:rtl/>
        </w:rPr>
        <w:t>"</w:t>
      </w:r>
      <w:r w:rsidRPr="00102D37">
        <w:rPr>
          <w:rFonts w:asciiTheme="minorBidi" w:hAnsiTheme="minorBidi" w:cstheme="minorBidi"/>
          <w:spacing w:val="-2"/>
          <w:szCs w:val="22"/>
          <w:rtl/>
        </w:rPr>
        <w:t xml:space="preserve"> (أولوية التمويل "أ") و</w:t>
      </w:r>
      <w:r w:rsidR="00004DCD" w:rsidRPr="007E6FC8">
        <w:rPr>
          <w:rFonts w:asciiTheme="minorBidi" w:hAnsiTheme="minorBidi" w:cstheme="minorBidi"/>
          <w:spacing w:val="-2"/>
          <w:szCs w:val="22"/>
          <w:rtl/>
        </w:rPr>
        <w:t>"</w:t>
      </w:r>
      <w:r w:rsidRPr="00102D37">
        <w:rPr>
          <w:rFonts w:asciiTheme="minorBidi" w:hAnsiTheme="minorBidi" w:cstheme="minorBidi"/>
          <w:spacing w:val="-2"/>
          <w:szCs w:val="22"/>
          <w:rtl/>
        </w:rPr>
        <w:t>تحسين نهج صون التراث الثقافي غير المادي</w:t>
      </w:r>
      <w:r w:rsidR="00004DCD" w:rsidRPr="007E6FC8">
        <w:rPr>
          <w:rFonts w:asciiTheme="minorBidi" w:hAnsiTheme="minorBidi" w:cstheme="minorBidi"/>
          <w:spacing w:val="-2"/>
          <w:szCs w:val="22"/>
          <w:rtl/>
        </w:rPr>
        <w:t>"</w:t>
      </w:r>
      <w:r w:rsidRPr="00102D37">
        <w:rPr>
          <w:rFonts w:asciiTheme="minorBidi" w:hAnsiTheme="minorBidi" w:cstheme="minorBidi"/>
          <w:spacing w:val="-2"/>
          <w:szCs w:val="22"/>
          <w:rtl/>
        </w:rPr>
        <w:t xml:space="preserve"> (أولوية التمويل "</w:t>
      </w:r>
      <w:proofErr w:type="gramStart"/>
      <w:r w:rsidRPr="00102D37">
        <w:rPr>
          <w:rFonts w:asciiTheme="minorBidi" w:hAnsiTheme="minorBidi" w:cstheme="minorBidi"/>
          <w:spacing w:val="-2"/>
          <w:szCs w:val="22"/>
          <w:rtl/>
        </w:rPr>
        <w:t>ب"</w:t>
      </w:r>
      <w:proofErr w:type="gramEnd"/>
      <w:r w:rsidRPr="00102D37">
        <w:rPr>
          <w:rFonts w:asciiTheme="minorBidi" w:hAnsiTheme="minorBidi" w:cstheme="minorBidi"/>
          <w:spacing w:val="-2"/>
          <w:szCs w:val="22"/>
          <w:rtl/>
        </w:rPr>
        <w:t>).</w:t>
      </w:r>
    </w:p>
    <w:p w14:paraId="3EF65E58" w14:textId="7ABFD433" w:rsidR="00935FFC" w:rsidRPr="00102D37" w:rsidRDefault="00935FFC" w:rsidP="004428E6">
      <w:pPr>
        <w:keepNext/>
        <w:numPr>
          <w:ilvl w:val="0"/>
          <w:numId w:val="24"/>
        </w:numPr>
        <w:tabs>
          <w:tab w:val="clear" w:pos="720"/>
          <w:tab w:val="num" w:pos="567"/>
        </w:tabs>
        <w:bidi/>
        <w:spacing w:before="240" w:after="120" w:line="300" w:lineRule="auto"/>
        <w:ind w:left="562" w:hanging="562"/>
        <w:rPr>
          <w:rFonts w:ascii="Arial" w:hAnsi="Arial"/>
          <w:b/>
          <w:sz w:val="22"/>
          <w:szCs w:val="22"/>
          <w:rtl/>
        </w:rPr>
      </w:pPr>
      <w:r w:rsidRPr="00102D37">
        <w:rPr>
          <w:rFonts w:ascii="Arial" w:hAnsi="Arial" w:hint="eastAsia"/>
          <w:b/>
          <w:bCs/>
          <w:sz w:val="22"/>
          <w:szCs w:val="22"/>
          <w:rtl/>
        </w:rPr>
        <w:t>فحص</w:t>
      </w:r>
      <w:r w:rsidRPr="00102D37">
        <w:rPr>
          <w:rFonts w:ascii="Arial" w:hAnsi="Arial"/>
          <w:b/>
          <w:bCs/>
          <w:sz w:val="22"/>
          <w:szCs w:val="22"/>
          <w:rtl/>
        </w:rPr>
        <w:t xml:space="preserve"> التقارير الدورية</w:t>
      </w:r>
      <w:r w:rsidRPr="00102D37">
        <w:rPr>
          <w:rFonts w:ascii="Arial" w:hAnsi="Arial"/>
          <w:sz w:val="22"/>
          <w:szCs w:val="22"/>
          <w:rtl/>
        </w:rPr>
        <w:t xml:space="preserve"> (المادة 7 [و])</w:t>
      </w:r>
    </w:p>
    <w:p w14:paraId="379ED843" w14:textId="0645E47B" w:rsidR="001A1E2D" w:rsidRPr="00102D37" w:rsidRDefault="001A1E2D" w:rsidP="004428E6">
      <w:pPr>
        <w:pStyle w:val="COMParaDecision"/>
        <w:numPr>
          <w:ilvl w:val="0"/>
          <w:numId w:val="23"/>
        </w:numPr>
        <w:bidi/>
        <w:spacing w:line="300" w:lineRule="auto"/>
        <w:ind w:hanging="502"/>
        <w:rPr>
          <w:u w:val="none"/>
          <w:rtl/>
        </w:rPr>
      </w:pPr>
      <w:r w:rsidRPr="00102D37">
        <w:rPr>
          <w:u w:val="none"/>
          <w:rtl/>
        </w:rPr>
        <w:t xml:space="preserve">ونظرت اللجنة في </w:t>
      </w:r>
      <w:r w:rsidR="004D1C72" w:rsidRPr="007E6FC8">
        <w:rPr>
          <w:u w:val="none"/>
        </w:rPr>
        <w:t>26</w:t>
      </w:r>
      <w:r w:rsidRPr="00102D37">
        <w:rPr>
          <w:u w:val="none"/>
          <w:rtl/>
        </w:rPr>
        <w:t xml:space="preserve"> تقريراً بشأن حالة العناصر المدرجة في قائمة الصون العاجل؛ عُرض منها </w:t>
      </w:r>
      <w:r w:rsidR="004D1C72" w:rsidRPr="007E6FC8">
        <w:rPr>
          <w:u w:val="none"/>
        </w:rPr>
        <w:t>18</w:t>
      </w:r>
      <w:r w:rsidRPr="00102D37">
        <w:rPr>
          <w:u w:val="none"/>
          <w:rtl/>
        </w:rPr>
        <w:t xml:space="preserve"> تقريراً على الدورة التاسعة عشرة (</w:t>
      </w:r>
      <w:r w:rsidRPr="00102D37">
        <w:rPr>
          <w:u w:val="none"/>
          <w:cs/>
        </w:rPr>
        <w:t>‎</w:t>
      </w:r>
      <w:r w:rsidR="009B131C" w:rsidRPr="007E6FC8">
        <w:rPr>
          <w:u w:val="none"/>
        </w:rPr>
        <w:t>19.COM</w:t>
      </w:r>
      <w:r w:rsidRPr="00102D37">
        <w:rPr>
          <w:u w:val="none"/>
          <w:rtl/>
        </w:rPr>
        <w:t>) في عام 2024، وثمانية تقارير على الدورة العشرين (</w:t>
      </w:r>
      <w:r w:rsidRPr="00102D37">
        <w:rPr>
          <w:u w:val="none"/>
          <w:cs/>
        </w:rPr>
        <w:t>‎</w:t>
      </w:r>
      <w:r w:rsidR="009B131C" w:rsidRPr="007E6FC8">
        <w:rPr>
          <w:u w:val="none"/>
        </w:rPr>
        <w:t>20.COM</w:t>
      </w:r>
      <w:r w:rsidRPr="00102D37">
        <w:rPr>
          <w:u w:val="none"/>
          <w:rtl/>
        </w:rPr>
        <w:t>) في عام 2025. وأثناء دراسة هذه التقارير، أقرّت اللجنة بتحسن قدرة بعض العناصر المدرجة على الاستمرار، والتي أفادت التقارير بأنها لم تعد بحاجة إلى صون عاجل، وأحاطت علماً بالدول الأطراف التي أعربت عن رغبتها في نقل عناصر من قائمة الصون العاجل إلى القائمة التمثيلية (</w:t>
      </w:r>
      <w:r w:rsidR="00463394" w:rsidRPr="007E6FC8">
        <w:rPr>
          <w:rFonts w:hint="cs"/>
          <w:spacing w:val="-2"/>
          <w:u w:val="none"/>
          <w:rtl/>
        </w:rPr>
        <w:t>القرار</w:t>
      </w:r>
      <w:r w:rsidRPr="00102D37">
        <w:rPr>
          <w:u w:val="none"/>
          <w:rtl/>
        </w:rPr>
        <w:t xml:space="preserve"> </w:t>
      </w:r>
      <w:hyperlink r:id="rId42" w:history="1">
        <w:r w:rsidRPr="00102D37">
          <w:rPr>
            <w:rStyle w:val="Hyperlink"/>
            <w:cs/>
          </w:rPr>
          <w:t>‎</w:t>
        </w:r>
        <w:hyperlink r:id="rId43" w:history="1">
          <w:r w:rsidR="009B131C" w:rsidRPr="007E6FC8">
            <w:rPr>
              <w:rStyle w:val="Hyperlink"/>
            </w:rPr>
            <w:t>19.COM 6.a</w:t>
          </w:r>
        </w:hyperlink>
      </w:hyperlink>
      <w:r w:rsidRPr="00102D37">
        <w:rPr>
          <w:u w:val="none"/>
          <w:rtl/>
        </w:rPr>
        <w:t>)، حيث نظرت الدورة العشرون للجنة في اثنين من هذه الطلبات (المقرران</w:t>
      </w:r>
      <w:r w:rsidRPr="00102D37">
        <w:rPr>
          <w:rtl/>
        </w:rPr>
        <w:t xml:space="preserve"> </w:t>
      </w:r>
      <w:hyperlink r:id="rId44" w:history="1">
        <w:r w:rsidR="009B131C" w:rsidRPr="00102D37">
          <w:rPr>
            <w:rStyle w:val="Hyperlink"/>
          </w:rPr>
          <w:t>20.COM 7.c.1</w:t>
        </w:r>
      </w:hyperlink>
      <w:r w:rsidRPr="00102D37">
        <w:rPr>
          <w:rtl/>
        </w:rPr>
        <w:t xml:space="preserve"> و</w:t>
      </w:r>
      <w:hyperlink r:id="rId45" w:history="1">
        <w:r w:rsidR="009B131C" w:rsidRPr="00102D37">
          <w:rPr>
            <w:rStyle w:val="Hyperlink"/>
          </w:rPr>
          <w:t>20.COM 7.c.2</w:t>
        </w:r>
      </w:hyperlink>
      <w:r w:rsidR="009B131C" w:rsidRPr="00102D37">
        <w:rPr>
          <w:u w:val="none"/>
          <w:rtl/>
        </w:rPr>
        <w:t>)</w:t>
      </w:r>
      <w:r w:rsidRPr="007E6FC8">
        <w:rPr>
          <w:u w:val="none"/>
        </w:rPr>
        <w:t>.</w:t>
      </w:r>
    </w:p>
    <w:p w14:paraId="46AB4E6E" w14:textId="17FC7074" w:rsidR="001A1E2D" w:rsidRPr="00102D37" w:rsidRDefault="001A1E2D" w:rsidP="004428E6">
      <w:pPr>
        <w:pStyle w:val="COMParaDecision"/>
        <w:numPr>
          <w:ilvl w:val="0"/>
          <w:numId w:val="23"/>
        </w:numPr>
        <w:bidi/>
        <w:spacing w:line="300" w:lineRule="auto"/>
        <w:ind w:hanging="502"/>
        <w:rPr>
          <w:u w:val="none"/>
          <w:rtl/>
        </w:rPr>
      </w:pPr>
      <w:r w:rsidRPr="00102D37">
        <w:rPr>
          <w:u w:val="none"/>
          <w:rtl/>
        </w:rPr>
        <w:t>وفيما يتعلق بنظام تقديم التقارير الدورية بشأن تنفيذ الاتفاقية، درست اللجنة ما مجموعه 82 تقريراً قدمتها المنطقتان الأخيرتان، لتختتم بذلك عملية فحص التقارير في إطار هذه الدورة الإقليمية الأولى؛ حيث درست اللجنة في دورتها التاسعة عشرة (</w:t>
      </w:r>
      <w:r w:rsidRPr="00102D37">
        <w:rPr>
          <w:u w:val="none"/>
          <w:cs/>
        </w:rPr>
        <w:t>‎</w:t>
      </w:r>
      <w:r w:rsidR="00922E8A" w:rsidRPr="007E6FC8">
        <w:rPr>
          <w:u w:val="none"/>
        </w:rPr>
        <w:t>19.COM</w:t>
      </w:r>
      <w:r w:rsidRPr="00102D37">
        <w:rPr>
          <w:u w:val="none"/>
          <w:rtl/>
        </w:rPr>
        <w:t xml:space="preserve">) التقارير المقدمة من كافة الدول الأطراف </w:t>
      </w:r>
      <w:r w:rsidR="00877230" w:rsidRPr="007E6FC8">
        <w:rPr>
          <w:u w:val="none"/>
        </w:rPr>
        <w:t>44</w:t>
      </w:r>
      <w:r w:rsidRPr="00102D37">
        <w:rPr>
          <w:u w:val="none"/>
          <w:rtl/>
        </w:rPr>
        <w:t xml:space="preserve"> في أفريقيا (</w:t>
      </w:r>
      <w:r w:rsidR="00463394" w:rsidRPr="007E6FC8">
        <w:rPr>
          <w:rFonts w:hint="cs"/>
          <w:spacing w:val="-2"/>
          <w:u w:val="none"/>
          <w:rtl/>
        </w:rPr>
        <w:t>القرار</w:t>
      </w:r>
      <w:r w:rsidRPr="00102D37">
        <w:rPr>
          <w:u w:val="none"/>
          <w:rtl/>
        </w:rPr>
        <w:t xml:space="preserve"> </w:t>
      </w:r>
      <w:hyperlink r:id="rId46" w:history="1">
        <w:r w:rsidRPr="00102D37">
          <w:rPr>
            <w:rStyle w:val="Hyperlink"/>
            <w:cs/>
          </w:rPr>
          <w:t>‎</w:t>
        </w:r>
        <w:hyperlink r:id="rId47" w:history="1">
          <w:r w:rsidR="00922E8A" w:rsidRPr="007E6FC8">
            <w:rPr>
              <w:rStyle w:val="Hyperlink"/>
            </w:rPr>
            <w:t>19.COM 6.b</w:t>
          </w:r>
        </w:hyperlink>
      </w:hyperlink>
      <w:r w:rsidRPr="00102D37">
        <w:rPr>
          <w:u w:val="none"/>
          <w:rtl/>
        </w:rPr>
        <w:t>)، بينما درست في دورتها العشرين (</w:t>
      </w:r>
      <w:r w:rsidRPr="00102D37">
        <w:rPr>
          <w:u w:val="none"/>
          <w:cs/>
        </w:rPr>
        <w:t>‎</w:t>
      </w:r>
      <w:r w:rsidR="00922E8A" w:rsidRPr="007E6FC8">
        <w:rPr>
          <w:u w:val="none"/>
        </w:rPr>
        <w:t>20.COM</w:t>
      </w:r>
      <w:r w:rsidRPr="00102D37">
        <w:rPr>
          <w:u w:val="none"/>
          <w:rtl/>
        </w:rPr>
        <w:t>) التقارير المقدمة من 38 دولة من أصل 42 دولة طرفاً في آسيا والمحيط الهادئ (</w:t>
      </w:r>
      <w:r w:rsidR="00463394" w:rsidRPr="007E6FC8">
        <w:rPr>
          <w:rFonts w:hint="cs"/>
          <w:spacing w:val="-2"/>
          <w:u w:val="none"/>
          <w:rtl/>
        </w:rPr>
        <w:t>القرار</w:t>
      </w:r>
      <w:r w:rsidRPr="00102D37">
        <w:rPr>
          <w:u w:val="none"/>
          <w:rtl/>
        </w:rPr>
        <w:t xml:space="preserve"> </w:t>
      </w:r>
      <w:hyperlink r:id="rId48" w:history="1">
        <w:r w:rsidR="00922E8A" w:rsidRPr="00102D37">
          <w:rPr>
            <w:rStyle w:val="Hyperlink"/>
            <w:rFonts w:asciiTheme="minorBidi" w:hAnsiTheme="minorBidi" w:cstheme="minorBidi"/>
          </w:rPr>
          <w:t>20.COM 6.b</w:t>
        </w:r>
      </w:hyperlink>
      <w:r w:rsidR="00922E8A" w:rsidRPr="00102D37">
        <w:rPr>
          <w:u w:val="none"/>
          <w:rtl/>
        </w:rPr>
        <w:t>)</w:t>
      </w:r>
      <w:r w:rsidRPr="007E6FC8">
        <w:rPr>
          <w:u w:val="none"/>
        </w:rPr>
        <w:t>.</w:t>
      </w:r>
      <w:r w:rsidRPr="00102D37">
        <w:rPr>
          <w:u w:val="none"/>
          <w:rtl/>
        </w:rPr>
        <w:t xml:space="preserve"> ومنذ انطلاق دورة تقديم التقارير هذه في عام 2021، قُدِّم 172 تقريراً من أصل 182 تقريراً متوقعاً، وهو ما يمثل معدل تقديم بلغ 95% للدورة الأولى بأكملها.</w:t>
      </w:r>
    </w:p>
    <w:p w14:paraId="6DD3CA0F" w14:textId="4A72BE33" w:rsidR="001A1E2D" w:rsidRPr="00102D37" w:rsidRDefault="001A1E2D" w:rsidP="004428E6">
      <w:pPr>
        <w:pStyle w:val="COMParaDecision"/>
        <w:numPr>
          <w:ilvl w:val="0"/>
          <w:numId w:val="23"/>
        </w:numPr>
        <w:bidi/>
        <w:spacing w:line="300" w:lineRule="auto"/>
        <w:ind w:hanging="502"/>
        <w:rPr>
          <w:u w:val="none"/>
          <w:rtl/>
        </w:rPr>
      </w:pPr>
      <w:r w:rsidRPr="00102D37">
        <w:rPr>
          <w:u w:val="none"/>
          <w:rtl/>
        </w:rPr>
        <w:t xml:space="preserve">وعلاوة على ذلك، بحثت اللجنة سبل ترشيد آلية تقديم التقارير الدورية في إطار التحول نحو نظام عالمي موحد لتقديم التقارير؛ حيث سيُطلب من كافة الدول الأطراف تقديم تقاريرها بشأن تنفيذ الاتفاقية والحالة الراهنة للعناصر المدرجة في القائمة التمثيلية وقائمة الصون العاجل في موعد أقصاه 30 حزيران/يونيو 2027، ومرة كل أربع سنوات بعد ذلك (المقرران </w:t>
      </w:r>
      <w:hyperlink r:id="rId49" w:history="1">
        <w:r w:rsidR="00922E8A" w:rsidRPr="007E6FC8">
          <w:rPr>
            <w:rStyle w:val="Hyperlink"/>
          </w:rPr>
          <w:t>19.COM 6.c</w:t>
        </w:r>
      </w:hyperlink>
      <w:r w:rsidRPr="00102D37">
        <w:rPr>
          <w:u w:val="none"/>
          <w:rtl/>
        </w:rPr>
        <w:t xml:space="preserve"> و</w:t>
      </w:r>
      <w:hyperlink r:id="rId50" w:history="1">
        <w:r w:rsidR="00922E8A" w:rsidRPr="00102D37">
          <w:rPr>
            <w:rStyle w:val="Hyperlink"/>
            <w:rFonts w:asciiTheme="minorBidi" w:hAnsiTheme="minorBidi" w:cstheme="minorBidi"/>
          </w:rPr>
          <w:t>20.COM 6.c</w:t>
        </w:r>
      </w:hyperlink>
      <w:r w:rsidR="00922E8A" w:rsidRPr="00102D37">
        <w:rPr>
          <w:u w:val="none"/>
          <w:rtl/>
        </w:rPr>
        <w:t>)</w:t>
      </w:r>
      <w:r w:rsidRPr="007E6FC8">
        <w:rPr>
          <w:u w:val="none"/>
        </w:rPr>
        <w:t>.</w:t>
      </w:r>
      <w:r w:rsidRPr="00102D37">
        <w:rPr>
          <w:u w:val="none"/>
          <w:rtl/>
        </w:rPr>
        <w:t xml:space="preserve"> </w:t>
      </w:r>
      <w:r w:rsidRPr="00102D37">
        <w:rPr>
          <w:u w:val="none"/>
          <w:rtl/>
        </w:rPr>
        <w:lastRenderedPageBreak/>
        <w:t xml:space="preserve">ويأتي هذا المسعى تماشياً مع التزام قطاع الثقافة في اليونسكو بإصدار تقرير عالمي دوري (كل أربع سنوات) بشأن السياسات الثقافية، وذلك في أعقاب </w:t>
      </w:r>
      <w:hyperlink r:id="rId51" w:history="1">
        <w:r w:rsidRPr="00102D37">
          <w:rPr>
            <w:rStyle w:val="Hyperlink"/>
            <w:rtl/>
          </w:rPr>
          <w:t>إعلان</w:t>
        </w:r>
      </w:hyperlink>
      <w:r w:rsidRPr="00102D37">
        <w:rPr>
          <w:u w:val="none"/>
          <w:rtl/>
        </w:rPr>
        <w:t xml:space="preserve"> </w:t>
      </w:r>
      <w:proofErr w:type="spellStart"/>
      <w:r w:rsidRPr="00102D37">
        <w:rPr>
          <w:u w:val="none"/>
          <w:rtl/>
        </w:rPr>
        <w:t>موندياكولت</w:t>
      </w:r>
      <w:proofErr w:type="spellEnd"/>
      <w:r w:rsidRPr="00102D37">
        <w:rPr>
          <w:u w:val="none"/>
          <w:rtl/>
        </w:rPr>
        <w:t xml:space="preserve"> 2022.</w:t>
      </w:r>
    </w:p>
    <w:p w14:paraId="12368C49" w14:textId="1432ABCA" w:rsidR="00935FFC" w:rsidRPr="00102D37" w:rsidRDefault="00935FFC" w:rsidP="004428E6">
      <w:pPr>
        <w:widowControl w:val="0"/>
        <w:numPr>
          <w:ilvl w:val="0"/>
          <w:numId w:val="24"/>
        </w:numPr>
        <w:tabs>
          <w:tab w:val="clear" w:pos="720"/>
        </w:tabs>
        <w:bidi/>
        <w:spacing w:before="240" w:after="120" w:line="300" w:lineRule="auto"/>
        <w:ind w:left="567" w:hanging="567"/>
        <w:jc w:val="both"/>
        <w:rPr>
          <w:rFonts w:ascii="Arial" w:hAnsi="Arial"/>
          <w:b/>
          <w:sz w:val="22"/>
          <w:szCs w:val="22"/>
          <w:rtl/>
        </w:rPr>
      </w:pPr>
      <w:r w:rsidRPr="00102D37">
        <w:rPr>
          <w:rFonts w:ascii="Arial" w:hAnsi="Arial" w:hint="eastAsia"/>
          <w:b/>
          <w:bCs/>
          <w:sz w:val="22"/>
          <w:szCs w:val="22"/>
          <w:rtl/>
        </w:rPr>
        <w:t>الإدراج</w:t>
      </w:r>
      <w:r w:rsidRPr="00102D37">
        <w:rPr>
          <w:rFonts w:ascii="Arial" w:hAnsi="Arial"/>
          <w:b/>
          <w:bCs/>
          <w:sz w:val="22"/>
          <w:szCs w:val="22"/>
          <w:rtl/>
        </w:rPr>
        <w:t xml:space="preserve"> في قوائم الاتفاقية، واختيار ممارسات الصون الجيدة، ومنح المساعدة الدولية</w:t>
      </w:r>
      <w:r w:rsidRPr="00102D37">
        <w:rPr>
          <w:rFonts w:ascii="Arial" w:hAnsi="Arial"/>
          <w:sz w:val="22"/>
          <w:szCs w:val="22"/>
          <w:rtl/>
        </w:rPr>
        <w:t xml:space="preserve"> (المادة 7 [ز])</w:t>
      </w:r>
    </w:p>
    <w:p w14:paraId="2A100008" w14:textId="0DBE05BF" w:rsidR="00552DFC" w:rsidRPr="00102D37" w:rsidRDefault="00552DFC" w:rsidP="004428E6">
      <w:pPr>
        <w:pStyle w:val="Marge"/>
        <w:numPr>
          <w:ilvl w:val="0"/>
          <w:numId w:val="23"/>
        </w:numPr>
        <w:tabs>
          <w:tab w:val="clear" w:pos="502"/>
          <w:tab w:val="num" w:pos="567"/>
        </w:tabs>
        <w:bidi/>
        <w:spacing w:before="120" w:after="120" w:line="300" w:lineRule="auto"/>
        <w:ind w:left="567" w:hanging="567"/>
        <w:rPr>
          <w:rFonts w:asciiTheme="minorBidi" w:hAnsiTheme="minorBidi" w:cstheme="minorBidi"/>
          <w:spacing w:val="2"/>
          <w:szCs w:val="22"/>
          <w:rtl/>
        </w:rPr>
      </w:pPr>
      <w:r w:rsidRPr="00102D37">
        <w:rPr>
          <w:rFonts w:asciiTheme="minorBidi" w:hAnsiTheme="minorBidi" w:cstheme="minorBidi" w:hint="eastAsia"/>
          <w:spacing w:val="2"/>
          <w:szCs w:val="22"/>
          <w:rtl/>
        </w:rPr>
        <w:t>أدرجت</w:t>
      </w:r>
      <w:r w:rsidRPr="00102D37">
        <w:rPr>
          <w:rFonts w:asciiTheme="minorBidi" w:hAnsiTheme="minorBidi" w:cstheme="minorBidi"/>
          <w:spacing w:val="2"/>
          <w:szCs w:val="22"/>
          <w:rtl/>
        </w:rPr>
        <w:t xml:space="preserve"> اللجنة أو نقلت أو اختارت، خلال الفترة المشمولة بالتقرير، ما مجموعه 135 عنصراً في قوائم الاتفاقية وسجلها: 13 عنصراً في قائمة الصون العاجل (تضمنت </w:t>
      </w:r>
      <w:r w:rsidRPr="00102D37">
        <w:rPr>
          <w:rFonts w:asciiTheme="minorBidi" w:hAnsiTheme="minorBidi" w:cstheme="minorBidi" w:hint="eastAsia"/>
          <w:spacing w:val="2"/>
          <w:szCs w:val="22"/>
          <w:rtl/>
        </w:rPr>
        <w:t>ثلاثة</w:t>
      </w:r>
      <w:r w:rsidRPr="00102D37">
        <w:rPr>
          <w:rFonts w:asciiTheme="minorBidi" w:hAnsiTheme="minorBidi" w:cstheme="minorBidi"/>
          <w:spacing w:val="2"/>
          <w:szCs w:val="22"/>
          <w:rtl/>
        </w:rPr>
        <w:t xml:space="preserve"> منها طلباً للمساعدة الدولية)، و111 عنصراً في القائمة التمثيلية، بما في ذلك 11 إدراجاً على أساس موسع. وبالإضافة إلى ذلك، نُقِل </w:t>
      </w:r>
      <w:r w:rsidRPr="00102D37">
        <w:rPr>
          <w:rFonts w:asciiTheme="minorBidi" w:hAnsiTheme="minorBidi" w:cstheme="minorBidi" w:hint="eastAsia"/>
          <w:spacing w:val="2"/>
          <w:szCs w:val="22"/>
          <w:rtl/>
        </w:rPr>
        <w:t>خمسة</w:t>
      </w:r>
      <w:r w:rsidRPr="00102D37">
        <w:rPr>
          <w:rFonts w:asciiTheme="minorBidi" w:hAnsiTheme="minorBidi" w:cstheme="minorBidi"/>
          <w:spacing w:val="2"/>
          <w:szCs w:val="22"/>
          <w:rtl/>
        </w:rPr>
        <w:t xml:space="preserve"> عناصر أخرى من قائمة الصون العاجل إلى القائمة التمثيلية، تقديراً لتحسن قدرتها على الاستمرار منذ إدراجها الأولي. كما اختارت اللجنة </w:t>
      </w:r>
      <w:r w:rsidRPr="00102D37">
        <w:rPr>
          <w:rFonts w:asciiTheme="minorBidi" w:hAnsiTheme="minorBidi" w:cstheme="minorBidi" w:hint="eastAsia"/>
          <w:spacing w:val="2"/>
          <w:szCs w:val="22"/>
          <w:rtl/>
        </w:rPr>
        <w:t>ستة</w:t>
      </w:r>
      <w:r w:rsidRPr="00102D37">
        <w:rPr>
          <w:rFonts w:asciiTheme="minorBidi" w:hAnsiTheme="minorBidi" w:cstheme="minorBidi"/>
          <w:spacing w:val="2"/>
          <w:szCs w:val="22"/>
          <w:rtl/>
        </w:rPr>
        <w:t xml:space="preserve"> برامج لسجل ممارسات الصون الجيدة، </w:t>
      </w:r>
      <w:r w:rsidRPr="00102D37">
        <w:rPr>
          <w:rFonts w:asciiTheme="minorBidi" w:hAnsiTheme="minorBidi" w:cstheme="minorBidi" w:hint="eastAsia"/>
          <w:spacing w:val="2"/>
          <w:szCs w:val="22"/>
          <w:rtl/>
        </w:rPr>
        <w:t>بما</w:t>
      </w:r>
      <w:r w:rsidRPr="00102D37">
        <w:rPr>
          <w:rFonts w:asciiTheme="minorBidi" w:hAnsiTheme="minorBidi" w:cstheme="minorBidi"/>
          <w:spacing w:val="2"/>
          <w:szCs w:val="22"/>
          <w:rtl/>
        </w:rPr>
        <w:t xml:space="preserve"> في ذلك تجربتان في مجال الصون ناتجتان عن عمليات النقل من قائمة الصون العاجل إلى القائمة التمثيلية.</w:t>
      </w:r>
    </w:p>
    <w:p w14:paraId="7A6A93F8" w14:textId="764645FB" w:rsidR="00935FFC" w:rsidRPr="00102D37" w:rsidRDefault="00935FFC" w:rsidP="004428E6">
      <w:pPr>
        <w:pStyle w:val="Marge"/>
        <w:numPr>
          <w:ilvl w:val="0"/>
          <w:numId w:val="23"/>
        </w:numPr>
        <w:tabs>
          <w:tab w:val="clear" w:pos="502"/>
          <w:tab w:val="num" w:pos="567"/>
        </w:tabs>
        <w:bidi/>
        <w:spacing w:before="120" w:line="300" w:lineRule="auto"/>
        <w:ind w:left="567" w:hanging="567"/>
        <w:rPr>
          <w:szCs w:val="22"/>
          <w:rtl/>
        </w:rPr>
      </w:pPr>
      <w:r w:rsidRPr="00102D37">
        <w:rPr>
          <w:rFonts w:hint="eastAsia"/>
          <w:szCs w:val="22"/>
          <w:rtl/>
        </w:rPr>
        <w:t>ووافقت</w:t>
      </w:r>
      <w:r w:rsidRPr="00102D37">
        <w:rPr>
          <w:szCs w:val="22"/>
          <w:rtl/>
        </w:rPr>
        <w:t xml:space="preserve"> اللجنة (للطلبات التي </w:t>
      </w:r>
      <w:r w:rsidR="00542A40" w:rsidRPr="007E6FC8">
        <w:rPr>
          <w:rFonts w:hint="cs"/>
          <w:rtl/>
        </w:rPr>
        <w:t>تتخطى قيمتها</w:t>
      </w:r>
      <w:r w:rsidRPr="00102D37">
        <w:rPr>
          <w:szCs w:val="22"/>
          <w:rtl/>
        </w:rPr>
        <w:t xml:space="preserve"> 100,000 دولار أمريكي) والمكتب (للطلبات التي تصل قيمتها إلى 100,000 دولار أمريكي </w:t>
      </w:r>
      <w:r w:rsidRPr="00102D37">
        <w:rPr>
          <w:rFonts w:asciiTheme="minorBidi" w:hAnsiTheme="minorBidi" w:cstheme="minorBidi" w:hint="eastAsia"/>
          <w:szCs w:val="22"/>
          <w:rtl/>
        </w:rPr>
        <w:t>ولطلبات</w:t>
      </w:r>
      <w:r w:rsidRPr="00102D37">
        <w:rPr>
          <w:rFonts w:asciiTheme="minorBidi" w:hAnsiTheme="minorBidi" w:cstheme="minorBidi"/>
          <w:szCs w:val="22"/>
          <w:rtl/>
        </w:rPr>
        <w:t xml:space="preserve"> </w:t>
      </w:r>
      <w:r w:rsidRPr="00102D37">
        <w:rPr>
          <w:rFonts w:hint="eastAsia"/>
          <w:szCs w:val="22"/>
          <w:rtl/>
        </w:rPr>
        <w:t>المساعدة</w:t>
      </w:r>
      <w:r w:rsidRPr="00102D37">
        <w:rPr>
          <w:szCs w:val="22"/>
          <w:rtl/>
        </w:rPr>
        <w:t xml:space="preserve"> العاجلة) على </w:t>
      </w:r>
      <w:r w:rsidR="007637A5" w:rsidRPr="00102D37">
        <w:rPr>
          <w:szCs w:val="22"/>
        </w:rPr>
        <w:t>27</w:t>
      </w:r>
      <w:r w:rsidRPr="00102D37">
        <w:rPr>
          <w:szCs w:val="22"/>
          <w:rtl/>
        </w:rPr>
        <w:t xml:space="preserve"> طلباً للمساعدة الدولية، بمبلغ إجمالي قدره 1,993,676 دولاراً أمريكياً</w:t>
      </w:r>
      <w:r w:rsidRPr="00102D37">
        <w:rPr>
          <w:rFonts w:hint="eastAsia"/>
          <w:szCs w:val="22"/>
          <w:rtl/>
        </w:rPr>
        <w:t>،</w:t>
      </w:r>
      <w:r w:rsidRPr="00102D37">
        <w:rPr>
          <w:szCs w:val="22"/>
          <w:rtl/>
        </w:rPr>
        <w:t xml:space="preserve"> استفادت منها </w:t>
      </w:r>
      <w:r w:rsidR="007637A5" w:rsidRPr="00102D37">
        <w:rPr>
          <w:szCs w:val="22"/>
        </w:rPr>
        <w:t>31</w:t>
      </w:r>
      <w:r w:rsidRPr="00102D37">
        <w:rPr>
          <w:szCs w:val="22"/>
          <w:rtl/>
        </w:rPr>
        <w:t xml:space="preserve"> دولة. وبوجه عام، تلقت </w:t>
      </w:r>
      <w:r w:rsidR="007637A5" w:rsidRPr="007E6FC8">
        <w:rPr>
          <w:szCs w:val="22"/>
        </w:rPr>
        <w:t>37</w:t>
      </w:r>
      <w:r w:rsidRPr="00102D37">
        <w:rPr>
          <w:szCs w:val="22"/>
          <w:rtl/>
        </w:rPr>
        <w:t xml:space="preserve"> دولة طرفاً مساعدة مالية من الصندوق خلال الفترة المشمولة بالتقرير.</w:t>
      </w:r>
    </w:p>
    <w:p w14:paraId="5B93AA33" w14:textId="353B0822" w:rsidR="00CB22B9" w:rsidRPr="00102D37" w:rsidRDefault="00CB22B9" w:rsidP="0009398E">
      <w:pPr>
        <w:pStyle w:val="Marge"/>
        <w:numPr>
          <w:ilvl w:val="0"/>
          <w:numId w:val="23"/>
        </w:numPr>
        <w:tabs>
          <w:tab w:val="clear" w:pos="502"/>
          <w:tab w:val="num" w:pos="567"/>
        </w:tabs>
        <w:bidi/>
        <w:spacing w:before="120" w:after="120" w:line="300" w:lineRule="auto"/>
        <w:ind w:left="567" w:hanging="567"/>
        <w:rPr>
          <w:rFonts w:asciiTheme="minorBidi" w:hAnsiTheme="minorBidi" w:cstheme="minorBidi"/>
          <w:szCs w:val="22"/>
          <w:rtl/>
        </w:rPr>
      </w:pPr>
      <w:r w:rsidRPr="00102D37">
        <w:rPr>
          <w:rFonts w:hint="eastAsia"/>
          <w:szCs w:val="22"/>
          <w:rtl/>
        </w:rPr>
        <w:t>وبناءً</w:t>
      </w:r>
      <w:r w:rsidRPr="00102D37">
        <w:rPr>
          <w:szCs w:val="22"/>
          <w:rtl/>
        </w:rPr>
        <w:t xml:space="preserve"> على توصيات فرق العمل الحكومية الدولية مفتوحة العضوية في إطار عملية التأمل العالمية بشأن آليات الإدراج (2018-2022) وفي إطار عملية التأمل بشأن نطاق أوسع لتنفيذ المادة 18 (2023)، اعتمدت الدورة العاشرة للجمعية العامة (</w:t>
      </w:r>
      <w:r w:rsidRPr="00102D37">
        <w:rPr>
          <w:szCs w:val="22"/>
          <w:cs/>
        </w:rPr>
        <w:t>‎</w:t>
      </w:r>
      <w:r w:rsidR="00624C84" w:rsidRPr="007E6FC8">
        <w:rPr>
          <w:rFonts w:asciiTheme="minorBidi" w:hAnsiTheme="minorBidi" w:cstheme="minorBidi"/>
          <w:szCs w:val="22"/>
          <w:lang w:val="en-GB"/>
        </w:rPr>
        <w:t>10.GA</w:t>
      </w:r>
      <w:r w:rsidRPr="00102D37">
        <w:rPr>
          <w:szCs w:val="22"/>
          <w:rtl/>
        </w:rPr>
        <w:t xml:space="preserve">) تعديلات على التوجيهات التنفيذية (القرار </w:t>
      </w:r>
      <w:hyperlink r:id="rId52" w:history="1">
        <w:r w:rsidR="00624C84" w:rsidRPr="007E6FC8">
          <w:rPr>
            <w:rStyle w:val="Hyperlink"/>
            <w:rFonts w:asciiTheme="minorBidi" w:hAnsiTheme="minorBidi" w:cstheme="minorBidi"/>
            <w:szCs w:val="22"/>
            <w:lang w:val="en-GB"/>
          </w:rPr>
          <w:t>10.GA 7</w:t>
        </w:r>
      </w:hyperlink>
      <w:r w:rsidRPr="00102D37">
        <w:rPr>
          <w:szCs w:val="22"/>
          <w:rtl/>
        </w:rPr>
        <w:t xml:space="preserve">)، كانت الدورة الثامنة عشرة للجنة قد أيدتها (المقرران </w:t>
      </w:r>
      <w:hyperlink r:id="rId53" w:history="1">
        <w:r w:rsidRPr="00102D37">
          <w:rPr>
            <w:rStyle w:val="Hyperlink"/>
            <w:rFonts w:asciiTheme="minorBidi" w:hAnsiTheme="minorBidi"/>
            <w:szCs w:val="22"/>
            <w:cs/>
          </w:rPr>
          <w:t>‎</w:t>
        </w:r>
        <w:hyperlink r:id="rId54" w:history="1">
          <w:r w:rsidR="00624C84" w:rsidRPr="007E6FC8">
            <w:rPr>
              <w:rStyle w:val="Hyperlink"/>
              <w:rFonts w:asciiTheme="minorBidi" w:hAnsiTheme="minorBidi" w:cstheme="minorBidi"/>
              <w:szCs w:val="22"/>
              <w:lang w:val="en-GB"/>
            </w:rPr>
            <w:t>18.COM 10</w:t>
          </w:r>
        </w:hyperlink>
      </w:hyperlink>
      <w:r w:rsidRPr="00102D37">
        <w:rPr>
          <w:rFonts w:asciiTheme="minorBidi" w:hAnsiTheme="minorBidi" w:cstheme="minorBidi"/>
          <w:szCs w:val="22"/>
          <w:rtl/>
        </w:rPr>
        <w:t xml:space="preserve"> و</w:t>
      </w:r>
      <w:hyperlink r:id="rId55" w:history="1">
        <w:r w:rsidR="00624C84" w:rsidRPr="007E6FC8">
          <w:rPr>
            <w:rStyle w:val="Hyperlink"/>
            <w:rFonts w:asciiTheme="minorBidi" w:hAnsiTheme="minorBidi" w:cstheme="minorBidi"/>
            <w:szCs w:val="22"/>
            <w:lang w:val="en-GB"/>
          </w:rPr>
          <w:t>18.COM 11</w:t>
        </w:r>
      </w:hyperlink>
      <w:r w:rsidR="00624C84" w:rsidRPr="00102D37">
        <w:rPr>
          <w:rFonts w:asciiTheme="minorBidi" w:hAnsiTheme="minorBidi" w:cstheme="minorBidi"/>
          <w:szCs w:val="22"/>
          <w:rtl/>
        </w:rPr>
        <w:t>)</w:t>
      </w:r>
      <w:r w:rsidRPr="007E6FC8">
        <w:rPr>
          <w:rFonts w:asciiTheme="minorBidi" w:hAnsiTheme="minorBidi" w:cstheme="minorBidi"/>
          <w:szCs w:val="22"/>
        </w:rPr>
        <w:t>.</w:t>
      </w:r>
      <w:r w:rsidRPr="00102D37">
        <w:rPr>
          <w:rFonts w:asciiTheme="minorBidi" w:hAnsiTheme="minorBidi" w:cstheme="minorBidi"/>
          <w:szCs w:val="22"/>
          <w:rtl/>
        </w:rPr>
        <w:t xml:space="preserve"> وهدفت هذه الإصلاحات إلى تبسيط معايير الاختيار الخاصة بسجل ممارسات الصون الجيدة بموجب الفقرة الثالثة من الفصل الأول (ستدخل المعايير الجديدة حيز التنفيذ اعتباراً من دورة عام 2026 فصاعداً)، وتوسيع نطاق المساعدة الدولية التحضيرية بموجب الفقرة السابعة من الفصل الأول، وذلك من خلال السماح للدول الأطراف التي ليس لديها </w:t>
      </w:r>
      <w:r w:rsidRPr="00102D37">
        <w:rPr>
          <w:rFonts w:asciiTheme="minorBidi" w:hAnsiTheme="minorBidi" w:cstheme="minorBidi" w:hint="eastAsia"/>
          <w:szCs w:val="22"/>
          <w:rtl/>
        </w:rPr>
        <w:t>عناصر</w:t>
      </w:r>
      <w:r w:rsidR="0009398E" w:rsidRPr="00102D37">
        <w:rPr>
          <w:rFonts w:asciiTheme="minorBidi" w:hAnsiTheme="minorBidi" w:cstheme="minorBidi"/>
          <w:szCs w:val="22"/>
        </w:rPr>
        <w:t xml:space="preserve"> </w:t>
      </w:r>
      <w:r w:rsidR="0009398E" w:rsidRPr="00102D37">
        <w:rPr>
          <w:rFonts w:asciiTheme="minorBidi" w:hAnsiTheme="minorBidi" w:cstheme="minorBidi"/>
          <w:szCs w:val="22"/>
          <w:rtl/>
        </w:rPr>
        <w:t xml:space="preserve">من التراث الثقافي غير المادي </w:t>
      </w:r>
      <w:r w:rsidRPr="00102D37">
        <w:rPr>
          <w:rFonts w:asciiTheme="minorBidi" w:hAnsiTheme="minorBidi" w:cstheme="minorBidi"/>
          <w:szCs w:val="22"/>
          <w:rtl/>
        </w:rPr>
        <w:t xml:space="preserve">مدرجة بالفعل في القائمة التمثيلية (باستثناء العناصر المدرجة ضمن ترشيحات متعددة الجنسيات)، بطلب مساعدة دولية لإعداد ملف ترشيح لتلك القائمة. وقد وافق المكتب على أول </w:t>
      </w:r>
      <w:proofErr w:type="gramStart"/>
      <w:r w:rsidRPr="00102D37">
        <w:rPr>
          <w:rFonts w:asciiTheme="minorBidi" w:hAnsiTheme="minorBidi" w:cstheme="minorBidi"/>
          <w:szCs w:val="22"/>
          <w:rtl/>
        </w:rPr>
        <w:t>خمسة</w:t>
      </w:r>
      <w:proofErr w:type="gramEnd"/>
      <w:r w:rsidRPr="00102D37">
        <w:rPr>
          <w:rFonts w:asciiTheme="minorBidi" w:hAnsiTheme="minorBidi" w:cstheme="minorBidi"/>
          <w:szCs w:val="22"/>
          <w:rtl/>
        </w:rPr>
        <w:t xml:space="preserve"> طلبات من هذا القبيل في 11 حزيران/يونيو 2025.</w:t>
      </w:r>
    </w:p>
    <w:p w14:paraId="35D21FC6" w14:textId="77777777" w:rsidR="003F6063" w:rsidRPr="00102D37" w:rsidRDefault="003F6063" w:rsidP="004428E6">
      <w:pPr>
        <w:widowControl w:val="0"/>
        <w:numPr>
          <w:ilvl w:val="0"/>
          <w:numId w:val="24"/>
        </w:numPr>
        <w:tabs>
          <w:tab w:val="clear" w:pos="720"/>
        </w:tabs>
        <w:bidi/>
        <w:spacing w:before="240" w:after="120" w:line="300" w:lineRule="auto"/>
        <w:ind w:left="567" w:hanging="567"/>
        <w:jc w:val="both"/>
        <w:rPr>
          <w:rFonts w:ascii="Arial" w:hAnsi="Arial"/>
          <w:b/>
          <w:sz w:val="22"/>
          <w:szCs w:val="22"/>
          <w:rtl/>
        </w:rPr>
      </w:pPr>
      <w:r w:rsidRPr="00102D37">
        <w:rPr>
          <w:rFonts w:ascii="Arial" w:hAnsi="Arial" w:hint="eastAsia"/>
          <w:b/>
          <w:bCs/>
          <w:sz w:val="22"/>
          <w:szCs w:val="22"/>
          <w:rtl/>
        </w:rPr>
        <w:t>إعداد</w:t>
      </w:r>
      <w:r w:rsidRPr="00102D37">
        <w:rPr>
          <w:rFonts w:ascii="Arial" w:hAnsi="Arial"/>
          <w:b/>
          <w:bCs/>
          <w:sz w:val="22"/>
          <w:szCs w:val="22"/>
          <w:rtl/>
        </w:rPr>
        <w:t xml:space="preserve"> التوجيهات التنفيذية لتنفيذ الاتفاقية</w:t>
      </w:r>
      <w:r w:rsidRPr="00102D37">
        <w:rPr>
          <w:rFonts w:ascii="Arial" w:hAnsi="Arial"/>
          <w:sz w:val="22"/>
          <w:szCs w:val="22"/>
          <w:rtl/>
        </w:rPr>
        <w:t xml:space="preserve"> (المادة 7[هـ])</w:t>
      </w:r>
    </w:p>
    <w:p w14:paraId="56C672BB" w14:textId="6F59AE6A" w:rsidR="00F7173B" w:rsidRPr="007E6FC8" w:rsidRDefault="00F7173B" w:rsidP="004428E6">
      <w:pPr>
        <w:pStyle w:val="Marge"/>
        <w:numPr>
          <w:ilvl w:val="0"/>
          <w:numId w:val="23"/>
        </w:numPr>
        <w:tabs>
          <w:tab w:val="clear" w:pos="502"/>
          <w:tab w:val="clear" w:pos="567"/>
        </w:tabs>
        <w:bidi/>
        <w:spacing w:before="120" w:after="120" w:line="300" w:lineRule="auto"/>
        <w:ind w:left="567" w:hanging="567"/>
        <w:rPr>
          <w:rFonts w:asciiTheme="minorBidi" w:hAnsiTheme="minorBidi" w:cstheme="minorBidi"/>
          <w:rtl/>
        </w:rPr>
      </w:pPr>
      <w:r w:rsidRPr="00102D37">
        <w:rPr>
          <w:rFonts w:hint="eastAsia"/>
          <w:szCs w:val="22"/>
          <w:rtl/>
        </w:rPr>
        <w:t>أوصت</w:t>
      </w:r>
      <w:r w:rsidRPr="00102D37">
        <w:rPr>
          <w:szCs w:val="22"/>
          <w:rtl/>
        </w:rPr>
        <w:t xml:space="preserve"> اللجنة أيضاً، خلال الفترة المشمولة بالتقرير، بأن تعتمد الجمعية العامة تعديلات على التوجيهات التنفيذية تتعلق بالجدول الزمني لمعالجة ملفات الترشيح (</w:t>
      </w:r>
      <w:r w:rsidR="00090626" w:rsidRPr="00102D37">
        <w:rPr>
          <w:rFonts w:hint="eastAsia"/>
          <w:szCs w:val="22"/>
          <w:rtl/>
        </w:rPr>
        <w:t>القرار</w:t>
      </w:r>
      <w:r w:rsidRPr="00102D37">
        <w:rPr>
          <w:szCs w:val="22"/>
          <w:rtl/>
        </w:rPr>
        <w:t xml:space="preserve"> </w:t>
      </w:r>
      <w:hyperlink r:id="rId56" w:history="1">
        <w:r w:rsidR="00624C84" w:rsidRPr="00102D37">
          <w:rPr>
            <w:rStyle w:val="Hyperlink"/>
            <w:rFonts w:asciiTheme="minorBidi" w:hAnsiTheme="minorBidi" w:cstheme="minorBidi"/>
            <w:szCs w:val="22"/>
            <w:lang w:val="en-GB"/>
          </w:rPr>
          <w:t>20.COM 8</w:t>
        </w:r>
      </w:hyperlink>
      <w:r w:rsidRPr="00102D37">
        <w:rPr>
          <w:rFonts w:hint="eastAsia"/>
          <w:szCs w:val="22"/>
          <w:rtl/>
        </w:rPr>
        <w:t>،</w:t>
      </w:r>
      <w:r w:rsidRPr="00102D37">
        <w:rPr>
          <w:szCs w:val="22"/>
          <w:rtl/>
        </w:rPr>
        <w:t xml:space="preserve"> فضلاً عن تعديلات تدعم التحول نحو النظام العالمي الموحد لتقديم التقارير الدورية</w:t>
      </w:r>
      <w:r w:rsidRPr="00102D37">
        <w:rPr>
          <w:rtl/>
        </w:rPr>
        <w:t xml:space="preserve"> </w:t>
      </w:r>
      <w:r w:rsidRPr="00102D37">
        <w:rPr>
          <w:szCs w:val="22"/>
          <w:rtl/>
        </w:rPr>
        <w:t>(</w:t>
      </w:r>
      <w:r w:rsidR="00090626" w:rsidRPr="00102D37">
        <w:rPr>
          <w:rFonts w:hint="eastAsia"/>
          <w:szCs w:val="22"/>
          <w:rtl/>
        </w:rPr>
        <w:t>القرار</w:t>
      </w:r>
      <w:r w:rsidRPr="00102D37">
        <w:rPr>
          <w:szCs w:val="22"/>
          <w:rtl/>
        </w:rPr>
        <w:t xml:space="preserve"> </w:t>
      </w:r>
      <w:hyperlink r:id="rId57" w:history="1">
        <w:r w:rsidRPr="00102D37">
          <w:rPr>
            <w:rStyle w:val="Hyperlink"/>
            <w:rFonts w:asciiTheme="minorBidi" w:hAnsiTheme="minorBidi"/>
            <w:szCs w:val="22"/>
            <w:cs/>
          </w:rPr>
          <w:t>‎</w:t>
        </w:r>
        <w:hyperlink r:id="rId58" w:history="1">
          <w:r w:rsidR="00624C84" w:rsidRPr="00102D37">
            <w:rPr>
              <w:rStyle w:val="Hyperlink"/>
              <w:rFonts w:asciiTheme="minorBidi" w:hAnsiTheme="minorBidi" w:cstheme="minorBidi"/>
              <w:szCs w:val="22"/>
              <w:lang w:val="en-GB"/>
            </w:rPr>
            <w:t>20.COM 6.c</w:t>
          </w:r>
        </w:hyperlink>
      </w:hyperlink>
      <w:r w:rsidR="00624C84" w:rsidRPr="00102D37">
        <w:rPr>
          <w:rFonts w:asciiTheme="minorBidi" w:hAnsiTheme="minorBidi" w:cstheme="minorBidi"/>
          <w:szCs w:val="22"/>
          <w:rtl/>
        </w:rPr>
        <w:t>)</w:t>
      </w:r>
      <w:r w:rsidRPr="00102D37">
        <w:rPr>
          <w:rFonts w:asciiTheme="minorBidi" w:hAnsiTheme="minorBidi" w:cstheme="minorBidi"/>
          <w:szCs w:val="22"/>
        </w:rPr>
        <w:t>.</w:t>
      </w:r>
    </w:p>
    <w:sectPr w:rsidR="00F7173B" w:rsidRPr="007E6FC8" w:rsidSect="00655736">
      <w:headerReference w:type="even" r:id="rId59"/>
      <w:headerReference w:type="default" r:id="rId60"/>
      <w:headerReference w:type="first" r:id="rId6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CC87" w14:textId="77777777" w:rsidR="006F4268" w:rsidRDefault="006F4268" w:rsidP="00655736">
      <w:r>
        <w:separator/>
      </w:r>
    </w:p>
  </w:endnote>
  <w:endnote w:type="continuationSeparator" w:id="0">
    <w:p w14:paraId="2ADE6323" w14:textId="77777777" w:rsidR="006F4268" w:rsidRDefault="006F426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B14A" w14:textId="77777777" w:rsidR="006F4268" w:rsidRDefault="006F4268" w:rsidP="00144E79">
      <w:pPr>
        <w:bidi/>
      </w:pPr>
      <w:r>
        <w:separator/>
      </w:r>
    </w:p>
  </w:footnote>
  <w:footnote w:type="continuationSeparator" w:id="0">
    <w:p w14:paraId="52DA5283" w14:textId="77777777" w:rsidR="006F4268" w:rsidRDefault="006F4268" w:rsidP="00655736">
      <w:r>
        <w:continuationSeparator/>
      </w:r>
    </w:p>
  </w:footnote>
  <w:footnote w:id="1">
    <w:p w14:paraId="3A5F42DA" w14:textId="1DDFD147" w:rsidR="003B7027" w:rsidRPr="00562BD0" w:rsidRDefault="003B7027" w:rsidP="00691CA1">
      <w:pPr>
        <w:pStyle w:val="FootnoteText"/>
        <w:bidi/>
        <w:ind w:left="567" w:hanging="567"/>
        <w:jc w:val="both"/>
        <w:rPr>
          <w:rFonts w:ascii="Arial" w:hAnsi="Arial"/>
          <w:sz w:val="18"/>
          <w:szCs w:val="18"/>
          <w:rtl/>
        </w:rPr>
      </w:pPr>
      <w:r>
        <w:rPr>
          <w:rStyle w:val="FootnoteReference"/>
          <w:rFonts w:ascii="Arial" w:hAnsi="Arial"/>
          <w:sz w:val="18"/>
          <w:szCs w:val="18"/>
        </w:rPr>
        <w:footnoteRef/>
      </w:r>
      <w:r>
        <w:rPr>
          <w:rFonts w:ascii="Arial" w:hAnsi="Arial" w:hint="cs"/>
          <w:sz w:val="18"/>
          <w:szCs w:val="18"/>
          <w:rtl/>
        </w:rPr>
        <w:tab/>
      </w:r>
      <w:r w:rsidRPr="00102D37">
        <w:rPr>
          <w:rFonts w:ascii="Arial" w:hAnsi="Arial" w:hint="eastAsia"/>
          <w:sz w:val="18"/>
          <w:szCs w:val="18"/>
          <w:rtl/>
        </w:rPr>
        <w:t>بعد</w:t>
      </w:r>
      <w:r w:rsidRPr="00102D37">
        <w:rPr>
          <w:rFonts w:ascii="Arial" w:hAnsi="Arial"/>
          <w:sz w:val="18"/>
          <w:szCs w:val="18"/>
          <w:rtl/>
        </w:rPr>
        <w:t xml:space="preserve"> أن شاركت السيدة كمالي في الاجتماعات الأول والثاني والثالث والرابع لمكتب تلك اللجنة، تعذر عليها السفر لحضور الدورة </w:t>
      </w:r>
      <w:r w:rsidR="00691CA1" w:rsidRPr="00102D37">
        <w:rPr>
          <w:rFonts w:ascii="Arial" w:hAnsi="Arial"/>
          <w:sz w:val="18"/>
          <w:szCs w:val="18"/>
          <w:rtl/>
        </w:rPr>
        <w:t>(</w:t>
      </w:r>
      <w:r w:rsidR="00691CA1" w:rsidRPr="00102D37">
        <w:rPr>
          <w:rFonts w:ascii="Arial" w:hAnsi="Arial"/>
          <w:sz w:val="18"/>
          <w:szCs w:val="18"/>
          <w:cs/>
        </w:rPr>
        <w:t>‎</w:t>
      </w:r>
      <w:r w:rsidR="00691CA1" w:rsidRPr="00102D37">
        <w:rPr>
          <w:rFonts w:ascii="Arial" w:hAnsi="Arial"/>
          <w:sz w:val="18"/>
          <w:szCs w:val="18"/>
        </w:rPr>
        <w:t>20.COM</w:t>
      </w:r>
      <w:r w:rsidR="00691CA1" w:rsidRPr="00102D37">
        <w:rPr>
          <w:rFonts w:ascii="Arial" w:hAnsi="Arial"/>
          <w:sz w:val="18"/>
          <w:szCs w:val="18"/>
          <w:rtl/>
        </w:rPr>
        <w:t>)</w:t>
      </w:r>
      <w:r w:rsidRPr="00102D37">
        <w:rPr>
          <w:rFonts w:ascii="Arial" w:hAnsi="Arial" w:hint="eastAsia"/>
          <w:sz w:val="18"/>
          <w:szCs w:val="18"/>
          <w:rtl/>
        </w:rPr>
        <w:t>،</w:t>
      </w:r>
      <w:r w:rsidRPr="00102D37">
        <w:rPr>
          <w:rFonts w:ascii="Arial" w:hAnsi="Arial"/>
          <w:sz w:val="18"/>
          <w:szCs w:val="18"/>
          <w:rtl/>
        </w:rPr>
        <w:t xml:space="preserve"> لذا تولت فرنسا (بصفتها نائباً لرئيس اللجنة) مهام المقرر لتلك الدورة.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B368535" w:rsidR="00D95C4C" w:rsidRPr="00C23A97" w:rsidRDefault="00C5776D" w:rsidP="00C5776D">
    <w:pPr>
      <w:pStyle w:val="Header"/>
      <w:bidi/>
      <w:rPr>
        <w:rFonts w:ascii="Arial" w:hAnsi="Arial"/>
        <w:rtl/>
      </w:rPr>
    </w:pPr>
    <w:r>
      <w:rPr>
        <w:rFonts w:ascii="Arial" w:hAnsi="Arial"/>
        <w:sz w:val="20"/>
        <w:szCs w:val="20"/>
      </w:rPr>
      <w:t>LHE/26/11.GA/5</w:t>
    </w:r>
    <w:r>
      <w:rPr>
        <w:rFonts w:ascii="Arial" w:hAnsi="Arial" w:hint="cs"/>
        <w:sz w:val="20"/>
        <w:szCs w:val="20"/>
        <w:rtl/>
      </w:rPr>
      <w:t xml:space="preserve"> – صفحة </w:t>
    </w:r>
    <w:r w:rsidR="00D95C4C" w:rsidRPr="00C23A97">
      <w:rPr>
        <w:rStyle w:val="PageNumber"/>
        <w:rFonts w:ascii="Arial" w:hAnsi="Arial" w:hint="cs"/>
        <w:sz w:val="20"/>
        <w:rtl/>
      </w:rPr>
      <w:fldChar w:fldCharType="begin"/>
    </w:r>
    <w:r>
      <w:rPr>
        <w:rtl/>
      </w:rPr>
      <w:instrText xml:space="preserve"> </w:instrText>
    </w:r>
    <w:r w:rsidR="00D95C4C" w:rsidRPr="00C23A97">
      <w:rPr>
        <w:rStyle w:val="PageNumber"/>
        <w:rFonts w:ascii="Arial" w:hAnsi="Arial" w:hint="cs"/>
        <w:sz w:val="20"/>
      </w:rPr>
      <w:instrText xml:space="preserve">PAGE </w:instrText>
    </w:r>
    <w:r w:rsidR="00D95C4C" w:rsidRPr="00C23A97">
      <w:rPr>
        <w:rStyle w:val="PageNumber"/>
        <w:rFonts w:ascii="Arial" w:hAnsi="Arial" w:hint="cs"/>
        <w:sz w:val="20"/>
        <w:rtl/>
      </w:rPr>
      <w:fldChar w:fldCharType="separate"/>
    </w:r>
    <w:r w:rsidR="00572B1C">
      <w:rPr>
        <w:noProof/>
        <w:rtl/>
      </w:rPr>
      <w:t>6</w:t>
    </w:r>
    <w:r w:rsidR="00D95C4C" w:rsidRPr="00C23A97">
      <w:rPr>
        <w:rStyle w:val="PageNumber"/>
        <w:rFonts w:ascii="Arial" w:hAnsi="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0F425229" w:rsidR="00D95C4C" w:rsidRPr="0063300C" w:rsidRDefault="00C5776D" w:rsidP="00C5776D">
    <w:pPr>
      <w:pStyle w:val="Header"/>
      <w:bidi/>
      <w:jc w:val="right"/>
      <w:rPr>
        <w:rFonts w:ascii="Arial" w:hAnsi="Arial"/>
        <w:rtl/>
      </w:rPr>
    </w:pPr>
    <w:r>
      <w:rPr>
        <w:rFonts w:ascii="Arial" w:hAnsi="Arial"/>
        <w:sz w:val="20"/>
        <w:szCs w:val="20"/>
      </w:rPr>
      <w:t>LHE/26/11.GA/5</w:t>
    </w:r>
    <w:r>
      <w:rPr>
        <w:rFonts w:ascii="Arial" w:hAnsi="Arial" w:hint="cs"/>
        <w:sz w:val="20"/>
        <w:szCs w:val="20"/>
        <w:rtl/>
      </w:rPr>
      <w:t xml:space="preserve"> – صفحة </w:t>
    </w:r>
    <w:r w:rsidR="004A34A0" w:rsidRPr="0063300C">
      <w:rPr>
        <w:rStyle w:val="PageNumber"/>
        <w:rFonts w:ascii="Arial" w:hAnsi="Arial" w:hint="cs"/>
        <w:sz w:val="20"/>
        <w:rtl/>
      </w:rPr>
      <w:fldChar w:fldCharType="begin"/>
    </w:r>
    <w:r>
      <w:rPr>
        <w:rtl/>
      </w:rPr>
      <w:instrText xml:space="preserve"> </w:instrText>
    </w:r>
    <w:r w:rsidR="004A34A0" w:rsidRPr="0063300C">
      <w:rPr>
        <w:rStyle w:val="PageNumber"/>
        <w:rFonts w:ascii="Arial" w:hAnsi="Arial" w:hint="cs"/>
        <w:sz w:val="20"/>
      </w:rPr>
      <w:instrText xml:space="preserve">PAGE </w:instrText>
    </w:r>
    <w:r w:rsidR="004A34A0" w:rsidRPr="0063300C">
      <w:rPr>
        <w:rStyle w:val="PageNumber"/>
        <w:rFonts w:ascii="Arial" w:hAnsi="Arial" w:hint="cs"/>
        <w:sz w:val="20"/>
        <w:rtl/>
      </w:rPr>
      <w:fldChar w:fldCharType="separate"/>
    </w:r>
    <w:r w:rsidR="00572B1C">
      <w:rPr>
        <w:noProof/>
        <w:rtl/>
      </w:rPr>
      <w:t>5</w:t>
    </w:r>
    <w:r w:rsidR="004A34A0" w:rsidRPr="0063300C">
      <w:rPr>
        <w:rStyle w:val="PageNumber"/>
        <w:rFonts w:ascii="Arial" w:hAnsi="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79F463D6" w:rsidR="00D95C4C" w:rsidRPr="00E95AE2" w:rsidRDefault="00273886">
    <w:pPr>
      <w:pStyle w:val="Header"/>
      <w:bidi/>
      <w:rPr>
        <w:sz w:val="22"/>
        <w:szCs w:val="22"/>
        <w:rtl/>
      </w:rPr>
    </w:pPr>
    <w:r>
      <w:rPr>
        <w:noProof/>
        <w:lang w:val="en-US" w:eastAsia="ja-JP"/>
      </w:rPr>
      <w:drawing>
        <wp:anchor distT="0" distB="0" distL="114300" distR="114300" simplePos="0" relativeHeight="251659264" behindDoc="0" locked="0" layoutInCell="1" allowOverlap="1" wp14:anchorId="2FA706FF" wp14:editId="0AB32EFF">
          <wp:simplePos x="0" y="0"/>
          <wp:positionH relativeFrom="margin">
            <wp:posOffset>4308475</wp:posOffset>
          </wp:positionH>
          <wp:positionV relativeFrom="paragraph">
            <wp:posOffset>-3175</wp:posOffset>
          </wp:positionV>
          <wp:extent cx="1842770" cy="1439545"/>
          <wp:effectExtent l="0" t="0" r="5080" b="8255"/>
          <wp:wrapSquare wrapText="bothSides"/>
          <wp:docPr id="2052832974" name="Image 205283297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0725" name="Image 1463000725"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3DF77E6D" w:rsidR="00D95C4C" w:rsidRPr="00D7105A" w:rsidRDefault="005C792B" w:rsidP="00273886">
    <w:pPr>
      <w:pStyle w:val="Header"/>
      <w:spacing w:after="520"/>
      <w:rPr>
        <w:rFonts w:ascii="Arial" w:hAnsi="Arial"/>
        <w:b/>
        <w:sz w:val="44"/>
        <w:szCs w:val="44"/>
        <w:rtl/>
      </w:rPr>
    </w:pPr>
    <w:r>
      <w:rPr>
        <w:rFonts w:ascii="Arial" w:hAnsi="Arial"/>
        <w:b/>
        <w:bCs/>
        <w:sz w:val="44"/>
        <w:szCs w:val="44"/>
      </w:rPr>
      <w:t>11</w:t>
    </w:r>
    <w:r>
      <w:rPr>
        <w:rFonts w:ascii="Arial" w:hAnsi="Arial"/>
        <w:b/>
        <w:bCs/>
        <w:sz w:val="44"/>
        <w:szCs w:val="44"/>
        <w:cs/>
      </w:rPr>
      <w:t>‎</w:t>
    </w:r>
    <w:r>
      <w:rPr>
        <w:rFonts w:ascii="Arial" w:hAnsi="Arial"/>
        <w:b/>
        <w:bCs/>
        <w:sz w:val="44"/>
        <w:szCs w:val="44"/>
        <w:rtl/>
        <w:cs/>
      </w:rPr>
      <w:t xml:space="preserve"> GA</w:t>
    </w:r>
  </w:p>
  <w:p w14:paraId="306484B8" w14:textId="337350BE" w:rsidR="00D95C4C" w:rsidRPr="00D7105A" w:rsidRDefault="00C5776D" w:rsidP="00C5776D">
    <w:pPr>
      <w:bidi/>
      <w:jc w:val="right"/>
      <w:rPr>
        <w:rFonts w:ascii="Arial" w:hAnsi="Arial"/>
        <w:b/>
        <w:sz w:val="22"/>
        <w:szCs w:val="22"/>
        <w:rtl/>
      </w:rPr>
    </w:pPr>
    <w:r>
      <w:rPr>
        <w:rFonts w:ascii="Arial" w:hAnsi="Arial"/>
        <w:b/>
        <w:bCs/>
        <w:sz w:val="22"/>
        <w:szCs w:val="22"/>
      </w:rPr>
      <w:t>LHE/26/11.GA/5</w:t>
    </w:r>
  </w:p>
  <w:p w14:paraId="1B4446C3" w14:textId="7F519009" w:rsidR="00D95C4C" w:rsidRPr="00D7105A" w:rsidRDefault="00D95C4C" w:rsidP="00655736">
    <w:pPr>
      <w:bidi/>
      <w:jc w:val="right"/>
      <w:rPr>
        <w:rFonts w:ascii="Arial" w:eastAsiaTheme="minorEastAsia" w:hAnsi="Arial"/>
        <w:b/>
        <w:sz w:val="22"/>
        <w:szCs w:val="22"/>
        <w:rtl/>
      </w:rPr>
    </w:pPr>
    <w:r>
      <w:rPr>
        <w:rFonts w:ascii="Arial" w:hAnsi="Arial" w:hint="cs"/>
        <w:b/>
        <w:bCs/>
        <w:sz w:val="22"/>
        <w:szCs w:val="22"/>
        <w:rtl/>
      </w:rPr>
      <w:t>باريس، 18 أيار/مايو 2026</w:t>
    </w:r>
  </w:p>
  <w:p w14:paraId="255B57FF" w14:textId="71DECC64" w:rsidR="00D95C4C" w:rsidRPr="00691C9D" w:rsidRDefault="00D95C4C" w:rsidP="00962034">
    <w:pPr>
      <w:bidi/>
      <w:spacing w:after="120"/>
      <w:jc w:val="right"/>
      <w:rPr>
        <w:rFonts w:ascii="Arial" w:hAnsi="Arial"/>
        <w:b/>
        <w:sz w:val="22"/>
        <w:szCs w:val="22"/>
        <w:rtl/>
      </w:rPr>
    </w:pPr>
    <w:r>
      <w:rPr>
        <w:rFonts w:ascii="Arial" w:hAnsi="Arial" w:hint="cs"/>
        <w:b/>
        <w:bCs/>
        <w:sz w:val="22"/>
        <w:szCs w:val="22"/>
        <w:rtl/>
      </w:rPr>
      <w:t>الأصل: إنجليزي</w:t>
    </w:r>
  </w:p>
  <w:p w14:paraId="3C4B8B1B" w14:textId="77777777" w:rsidR="00D95C4C" w:rsidRPr="00691C9D" w:rsidRDefault="00D95C4C">
    <w:pPr>
      <w:pStyle w:val="Header"/>
      <w:rPr>
        <w:sz w:val="22"/>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E411C8"/>
    <w:multiLevelType w:val="hybridMultilevel"/>
    <w:tmpl w:val="78B89F4C"/>
    <w:lvl w:ilvl="0" w:tplc="1916E1EA">
      <w:start w:val="1"/>
      <w:numFmt w:val="arabicAbjad"/>
      <w:lvlText w:val="%1."/>
      <w:lvlJc w:val="left"/>
      <w:pPr>
        <w:ind w:left="720" w:hanging="360"/>
      </w:pPr>
      <w:rPr>
        <w:rFonts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DD074D"/>
    <w:multiLevelType w:val="hybridMultilevel"/>
    <w:tmpl w:val="A6F23FA6"/>
    <w:lvl w:ilvl="0" w:tplc="08090001">
      <w:start w:val="1"/>
      <w:numFmt w:val="bullet"/>
      <w:lvlText w:val=""/>
      <w:lvlJc w:val="left"/>
      <w:pPr>
        <w:ind w:left="360" w:hanging="360"/>
      </w:pPr>
      <w:rPr>
        <w:rFonts w:ascii="Symbol" w:hAnsi="Symbol" w:hint="default"/>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6F7798"/>
    <w:multiLevelType w:val="hybridMultilevel"/>
    <w:tmpl w:val="1478A43C"/>
    <w:lvl w:ilvl="0" w:tplc="BE429DE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2AB35019"/>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DB7662"/>
    <w:multiLevelType w:val="hybridMultilevel"/>
    <w:tmpl w:val="F27AF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D02847"/>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7"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5FDC490B"/>
    <w:multiLevelType w:val="hybridMultilevel"/>
    <w:tmpl w:val="F18AE4C8"/>
    <w:lvl w:ilvl="0" w:tplc="F15A9762">
      <w:start w:val="1"/>
      <w:numFmt w:val="lowerLetter"/>
      <w:lvlText w:val="%1)"/>
      <w:lvlJc w:val="left"/>
      <w:pPr>
        <w:ind w:left="207" w:hanging="360"/>
      </w:pPr>
      <w:rPr>
        <w:rFonts w:hint="default"/>
      </w:rPr>
    </w:lvl>
    <w:lvl w:ilvl="1" w:tplc="040C0019" w:tentative="1">
      <w:start w:val="1"/>
      <w:numFmt w:val="lowerLetter"/>
      <w:lvlText w:val="%2."/>
      <w:lvlJc w:val="left"/>
      <w:pPr>
        <w:ind w:left="927" w:hanging="360"/>
      </w:pPr>
    </w:lvl>
    <w:lvl w:ilvl="2" w:tplc="040C001B" w:tentative="1">
      <w:start w:val="1"/>
      <w:numFmt w:val="lowerRoman"/>
      <w:lvlText w:val="%3."/>
      <w:lvlJc w:val="right"/>
      <w:pPr>
        <w:ind w:left="1647" w:hanging="180"/>
      </w:pPr>
    </w:lvl>
    <w:lvl w:ilvl="3" w:tplc="040C000F" w:tentative="1">
      <w:start w:val="1"/>
      <w:numFmt w:val="decimal"/>
      <w:lvlText w:val="%4."/>
      <w:lvlJc w:val="left"/>
      <w:pPr>
        <w:ind w:left="2367" w:hanging="360"/>
      </w:pPr>
    </w:lvl>
    <w:lvl w:ilvl="4" w:tplc="040C0019" w:tentative="1">
      <w:start w:val="1"/>
      <w:numFmt w:val="lowerLetter"/>
      <w:lvlText w:val="%5."/>
      <w:lvlJc w:val="left"/>
      <w:pPr>
        <w:ind w:left="3087" w:hanging="360"/>
      </w:pPr>
    </w:lvl>
    <w:lvl w:ilvl="5" w:tplc="040C001B" w:tentative="1">
      <w:start w:val="1"/>
      <w:numFmt w:val="lowerRoman"/>
      <w:lvlText w:val="%6."/>
      <w:lvlJc w:val="right"/>
      <w:pPr>
        <w:ind w:left="3807" w:hanging="180"/>
      </w:pPr>
    </w:lvl>
    <w:lvl w:ilvl="6" w:tplc="040C000F" w:tentative="1">
      <w:start w:val="1"/>
      <w:numFmt w:val="decimal"/>
      <w:lvlText w:val="%7."/>
      <w:lvlJc w:val="left"/>
      <w:pPr>
        <w:ind w:left="4527" w:hanging="360"/>
      </w:pPr>
    </w:lvl>
    <w:lvl w:ilvl="7" w:tplc="040C0019" w:tentative="1">
      <w:start w:val="1"/>
      <w:numFmt w:val="lowerLetter"/>
      <w:lvlText w:val="%8."/>
      <w:lvlJc w:val="left"/>
      <w:pPr>
        <w:ind w:left="5247" w:hanging="360"/>
      </w:pPr>
    </w:lvl>
    <w:lvl w:ilvl="8" w:tplc="040C001B" w:tentative="1">
      <w:start w:val="1"/>
      <w:numFmt w:val="lowerRoman"/>
      <w:lvlText w:val="%9."/>
      <w:lvlJc w:val="right"/>
      <w:pPr>
        <w:ind w:left="5967"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346714824">
    <w:abstractNumId w:val="18"/>
  </w:num>
  <w:num w:numId="2" w16cid:durableId="1376077666">
    <w:abstractNumId w:val="12"/>
  </w:num>
  <w:num w:numId="3" w16cid:durableId="2067561931">
    <w:abstractNumId w:val="5"/>
  </w:num>
  <w:num w:numId="4" w16cid:durableId="2082825616">
    <w:abstractNumId w:val="21"/>
  </w:num>
  <w:num w:numId="5" w16cid:durableId="1091705303">
    <w:abstractNumId w:val="20"/>
  </w:num>
  <w:num w:numId="6" w16cid:durableId="248781177">
    <w:abstractNumId w:val="2"/>
  </w:num>
  <w:num w:numId="7" w16cid:durableId="640421454">
    <w:abstractNumId w:val="6"/>
  </w:num>
  <w:num w:numId="8" w16cid:durableId="1082261949">
    <w:abstractNumId w:val="17"/>
  </w:num>
  <w:num w:numId="9" w16cid:durableId="444078721">
    <w:abstractNumId w:val="11"/>
  </w:num>
  <w:num w:numId="10" w16cid:durableId="142938575">
    <w:abstractNumId w:val="13"/>
  </w:num>
  <w:num w:numId="11" w16cid:durableId="796991590">
    <w:abstractNumId w:val="16"/>
  </w:num>
  <w:num w:numId="12" w16cid:durableId="960112295">
    <w:abstractNumId w:val="14"/>
  </w:num>
  <w:num w:numId="13" w16cid:durableId="1974019176">
    <w:abstractNumId w:val="22"/>
  </w:num>
  <w:num w:numId="14" w16cid:durableId="1315373369">
    <w:abstractNumId w:val="10"/>
  </w:num>
  <w:num w:numId="15" w16cid:durableId="742872639">
    <w:abstractNumId w:val="11"/>
  </w:num>
  <w:num w:numId="16" w16cid:durableId="1845629706">
    <w:abstractNumId w:val="11"/>
  </w:num>
  <w:num w:numId="17" w16cid:durableId="756099085">
    <w:abstractNumId w:val="11"/>
  </w:num>
  <w:num w:numId="18" w16cid:durableId="1461461666">
    <w:abstractNumId w:val="11"/>
  </w:num>
  <w:num w:numId="19" w16cid:durableId="310138632">
    <w:abstractNumId w:val="11"/>
  </w:num>
  <w:num w:numId="20" w16cid:durableId="1012146331">
    <w:abstractNumId w:val="11"/>
  </w:num>
  <w:num w:numId="21" w16cid:durableId="1997604886">
    <w:abstractNumId w:val="4"/>
  </w:num>
  <w:num w:numId="22" w16cid:durableId="1476601373">
    <w:abstractNumId w:val="11"/>
  </w:num>
  <w:num w:numId="23" w16cid:durableId="2114091290">
    <w:abstractNumId w:val="8"/>
  </w:num>
  <w:num w:numId="24" w16cid:durableId="370231394">
    <w:abstractNumId w:val="0"/>
  </w:num>
  <w:num w:numId="25" w16cid:durableId="1228032197">
    <w:abstractNumId w:val="1"/>
  </w:num>
  <w:num w:numId="26" w16cid:durableId="1865173262">
    <w:abstractNumId w:val="9"/>
  </w:num>
  <w:num w:numId="27" w16cid:durableId="2009364666">
    <w:abstractNumId w:val="3"/>
  </w:num>
  <w:num w:numId="28" w16cid:durableId="542912530">
    <w:abstractNumId w:val="7"/>
  </w:num>
  <w:num w:numId="29" w16cid:durableId="312833658">
    <w:abstractNumId w:val="19"/>
  </w:num>
  <w:num w:numId="30" w16cid:durableId="2140488862">
    <w:abstractNumId w:val="13"/>
  </w:num>
  <w:num w:numId="31" w16cid:durableId="1922257345">
    <w:abstractNumId w:val="13"/>
  </w:num>
  <w:num w:numId="32" w16cid:durableId="392195949">
    <w:abstractNumId w:val="13"/>
  </w:num>
  <w:num w:numId="33" w16cid:durableId="67772407">
    <w:abstractNumId w:val="13"/>
  </w:num>
  <w:num w:numId="34" w16cid:durableId="712802212">
    <w:abstractNumId w:val="13"/>
  </w:num>
  <w:num w:numId="35" w16cid:durableId="1977296750">
    <w:abstractNumId w:val="13"/>
  </w:num>
  <w:num w:numId="36" w16cid:durableId="1630938747">
    <w:abstractNumId w:val="13"/>
  </w:num>
  <w:num w:numId="37" w16cid:durableId="496189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2"/>
    <w:rsid w:val="000048ED"/>
    <w:rsid w:val="00004DCD"/>
    <w:rsid w:val="00014915"/>
    <w:rsid w:val="00024229"/>
    <w:rsid w:val="00032069"/>
    <w:rsid w:val="00036776"/>
    <w:rsid w:val="00037C8F"/>
    <w:rsid w:val="00041A66"/>
    <w:rsid w:val="00042D88"/>
    <w:rsid w:val="00043131"/>
    <w:rsid w:val="0004336A"/>
    <w:rsid w:val="000440D6"/>
    <w:rsid w:val="00045B83"/>
    <w:rsid w:val="0005176E"/>
    <w:rsid w:val="00064596"/>
    <w:rsid w:val="000742FE"/>
    <w:rsid w:val="000765F7"/>
    <w:rsid w:val="0007725F"/>
    <w:rsid w:val="00077AB7"/>
    <w:rsid w:val="00081CD8"/>
    <w:rsid w:val="00090626"/>
    <w:rsid w:val="0009381C"/>
    <w:rsid w:val="0009398E"/>
    <w:rsid w:val="000A2624"/>
    <w:rsid w:val="000A7F0E"/>
    <w:rsid w:val="000B1C8F"/>
    <w:rsid w:val="000B597E"/>
    <w:rsid w:val="000C0D61"/>
    <w:rsid w:val="000C35D1"/>
    <w:rsid w:val="000E251A"/>
    <w:rsid w:val="000E2CA5"/>
    <w:rsid w:val="000E5E9D"/>
    <w:rsid w:val="000F3A3F"/>
    <w:rsid w:val="000F5112"/>
    <w:rsid w:val="00102407"/>
    <w:rsid w:val="00102557"/>
    <w:rsid w:val="00102D37"/>
    <w:rsid w:val="0011108A"/>
    <w:rsid w:val="00111EB0"/>
    <w:rsid w:val="00144E79"/>
    <w:rsid w:val="0014700A"/>
    <w:rsid w:val="00147A38"/>
    <w:rsid w:val="001607BF"/>
    <w:rsid w:val="00161579"/>
    <w:rsid w:val="00164D56"/>
    <w:rsid w:val="00167B10"/>
    <w:rsid w:val="00170B5C"/>
    <w:rsid w:val="00172986"/>
    <w:rsid w:val="0017402F"/>
    <w:rsid w:val="001900AB"/>
    <w:rsid w:val="00190205"/>
    <w:rsid w:val="00192377"/>
    <w:rsid w:val="00193C5F"/>
    <w:rsid w:val="00196C1B"/>
    <w:rsid w:val="001A1E2D"/>
    <w:rsid w:val="001A74CF"/>
    <w:rsid w:val="001B0F73"/>
    <w:rsid w:val="001B3EA4"/>
    <w:rsid w:val="001B66C9"/>
    <w:rsid w:val="001C2DB7"/>
    <w:rsid w:val="001C5B95"/>
    <w:rsid w:val="001C6D37"/>
    <w:rsid w:val="001D14FE"/>
    <w:rsid w:val="001D2D51"/>
    <w:rsid w:val="001D4258"/>
    <w:rsid w:val="001D5C04"/>
    <w:rsid w:val="001F26CF"/>
    <w:rsid w:val="0020557B"/>
    <w:rsid w:val="00217B14"/>
    <w:rsid w:val="00222A2D"/>
    <w:rsid w:val="00223029"/>
    <w:rsid w:val="00233419"/>
    <w:rsid w:val="00234745"/>
    <w:rsid w:val="002351A6"/>
    <w:rsid w:val="002407AF"/>
    <w:rsid w:val="00245501"/>
    <w:rsid w:val="00254614"/>
    <w:rsid w:val="00254B26"/>
    <w:rsid w:val="0026085B"/>
    <w:rsid w:val="00260CE2"/>
    <w:rsid w:val="0026221A"/>
    <w:rsid w:val="00271973"/>
    <w:rsid w:val="00273886"/>
    <w:rsid w:val="0027466B"/>
    <w:rsid w:val="002768B8"/>
    <w:rsid w:val="002814F6"/>
    <w:rsid w:val="002838A5"/>
    <w:rsid w:val="00285BB4"/>
    <w:rsid w:val="00293316"/>
    <w:rsid w:val="002A7A0F"/>
    <w:rsid w:val="002B77E2"/>
    <w:rsid w:val="002C09E3"/>
    <w:rsid w:val="002C0A61"/>
    <w:rsid w:val="002C5DD0"/>
    <w:rsid w:val="002C6A2C"/>
    <w:rsid w:val="002D1244"/>
    <w:rsid w:val="002E2D4F"/>
    <w:rsid w:val="002E3493"/>
    <w:rsid w:val="002F14E5"/>
    <w:rsid w:val="00301931"/>
    <w:rsid w:val="0030312A"/>
    <w:rsid w:val="00313283"/>
    <w:rsid w:val="003161AD"/>
    <w:rsid w:val="00335C73"/>
    <w:rsid w:val="0033715C"/>
    <w:rsid w:val="003376D9"/>
    <w:rsid w:val="00337CEB"/>
    <w:rsid w:val="00344874"/>
    <w:rsid w:val="00344B58"/>
    <w:rsid w:val="0034539A"/>
    <w:rsid w:val="00345CB4"/>
    <w:rsid w:val="00346134"/>
    <w:rsid w:val="00353FB2"/>
    <w:rsid w:val="003669D2"/>
    <w:rsid w:val="00375D42"/>
    <w:rsid w:val="00376744"/>
    <w:rsid w:val="00385542"/>
    <w:rsid w:val="00386A89"/>
    <w:rsid w:val="00393DC1"/>
    <w:rsid w:val="003A31BA"/>
    <w:rsid w:val="003B0419"/>
    <w:rsid w:val="003B2A0A"/>
    <w:rsid w:val="003B7027"/>
    <w:rsid w:val="003C3B43"/>
    <w:rsid w:val="003D069C"/>
    <w:rsid w:val="003D0F31"/>
    <w:rsid w:val="003D7646"/>
    <w:rsid w:val="003F113A"/>
    <w:rsid w:val="003F3E63"/>
    <w:rsid w:val="003F6063"/>
    <w:rsid w:val="003F6D14"/>
    <w:rsid w:val="00407480"/>
    <w:rsid w:val="00414643"/>
    <w:rsid w:val="00415C51"/>
    <w:rsid w:val="00417804"/>
    <w:rsid w:val="004219F9"/>
    <w:rsid w:val="004236BB"/>
    <w:rsid w:val="004264DE"/>
    <w:rsid w:val="004313C4"/>
    <w:rsid w:val="00431920"/>
    <w:rsid w:val="00431A0D"/>
    <w:rsid w:val="00432B58"/>
    <w:rsid w:val="00441941"/>
    <w:rsid w:val="004421E5"/>
    <w:rsid w:val="004428E6"/>
    <w:rsid w:val="00452284"/>
    <w:rsid w:val="00453762"/>
    <w:rsid w:val="00456F88"/>
    <w:rsid w:val="00457C8E"/>
    <w:rsid w:val="0046253C"/>
    <w:rsid w:val="00463394"/>
    <w:rsid w:val="00465958"/>
    <w:rsid w:val="004679AF"/>
    <w:rsid w:val="00480175"/>
    <w:rsid w:val="004856CA"/>
    <w:rsid w:val="0048672D"/>
    <w:rsid w:val="0048725F"/>
    <w:rsid w:val="00487E67"/>
    <w:rsid w:val="004906B7"/>
    <w:rsid w:val="00490982"/>
    <w:rsid w:val="004918AB"/>
    <w:rsid w:val="0049705E"/>
    <w:rsid w:val="004A2875"/>
    <w:rsid w:val="004A34A0"/>
    <w:rsid w:val="004C7C82"/>
    <w:rsid w:val="004D1C72"/>
    <w:rsid w:val="004E43D9"/>
    <w:rsid w:val="004F5C87"/>
    <w:rsid w:val="005008A8"/>
    <w:rsid w:val="00517FD8"/>
    <w:rsid w:val="00526B7B"/>
    <w:rsid w:val="005274D2"/>
    <w:rsid w:val="005308CE"/>
    <w:rsid w:val="0053318C"/>
    <w:rsid w:val="00542A40"/>
    <w:rsid w:val="00544C93"/>
    <w:rsid w:val="0054535F"/>
    <w:rsid w:val="00546A75"/>
    <w:rsid w:val="00552DFC"/>
    <w:rsid w:val="00555102"/>
    <w:rsid w:val="00563A66"/>
    <w:rsid w:val="00567107"/>
    <w:rsid w:val="00572B1C"/>
    <w:rsid w:val="0057439C"/>
    <w:rsid w:val="005918A8"/>
    <w:rsid w:val="005960FA"/>
    <w:rsid w:val="005A12C9"/>
    <w:rsid w:val="005B0127"/>
    <w:rsid w:val="005B0C0F"/>
    <w:rsid w:val="005B7A35"/>
    <w:rsid w:val="005C4B73"/>
    <w:rsid w:val="005C792B"/>
    <w:rsid w:val="005D2D1B"/>
    <w:rsid w:val="005D7864"/>
    <w:rsid w:val="005E1D2B"/>
    <w:rsid w:val="005E3210"/>
    <w:rsid w:val="005E7074"/>
    <w:rsid w:val="005F2BAF"/>
    <w:rsid w:val="00600D93"/>
    <w:rsid w:val="0061509D"/>
    <w:rsid w:val="00615A93"/>
    <w:rsid w:val="0062106C"/>
    <w:rsid w:val="0062211E"/>
    <w:rsid w:val="00624C84"/>
    <w:rsid w:val="00626BEA"/>
    <w:rsid w:val="00630621"/>
    <w:rsid w:val="0063300C"/>
    <w:rsid w:val="00651A5B"/>
    <w:rsid w:val="006545E7"/>
    <w:rsid w:val="00655736"/>
    <w:rsid w:val="006571C0"/>
    <w:rsid w:val="00663B8D"/>
    <w:rsid w:val="006853AC"/>
    <w:rsid w:val="00691C9D"/>
    <w:rsid w:val="00691CA1"/>
    <w:rsid w:val="00696C8D"/>
    <w:rsid w:val="006A2AC2"/>
    <w:rsid w:val="006A3617"/>
    <w:rsid w:val="006B31CB"/>
    <w:rsid w:val="006B4452"/>
    <w:rsid w:val="006E46E4"/>
    <w:rsid w:val="006E75EB"/>
    <w:rsid w:val="006F4268"/>
    <w:rsid w:val="0070357D"/>
    <w:rsid w:val="007121C4"/>
    <w:rsid w:val="00717DA5"/>
    <w:rsid w:val="00722C26"/>
    <w:rsid w:val="00732527"/>
    <w:rsid w:val="007333D0"/>
    <w:rsid w:val="007346C8"/>
    <w:rsid w:val="00740BB1"/>
    <w:rsid w:val="00743198"/>
    <w:rsid w:val="007435E5"/>
    <w:rsid w:val="00744484"/>
    <w:rsid w:val="00747566"/>
    <w:rsid w:val="00752C6B"/>
    <w:rsid w:val="007637A5"/>
    <w:rsid w:val="00764597"/>
    <w:rsid w:val="00771343"/>
    <w:rsid w:val="00773188"/>
    <w:rsid w:val="00775FCC"/>
    <w:rsid w:val="007772CD"/>
    <w:rsid w:val="00780AAD"/>
    <w:rsid w:val="00783782"/>
    <w:rsid w:val="00784B8C"/>
    <w:rsid w:val="007879E1"/>
    <w:rsid w:val="0079433D"/>
    <w:rsid w:val="007976E6"/>
    <w:rsid w:val="007A6DD2"/>
    <w:rsid w:val="007C66B8"/>
    <w:rsid w:val="007D4388"/>
    <w:rsid w:val="007E57AA"/>
    <w:rsid w:val="007E653D"/>
    <w:rsid w:val="007E6FC8"/>
    <w:rsid w:val="007F29F6"/>
    <w:rsid w:val="0080480F"/>
    <w:rsid w:val="00804AF9"/>
    <w:rsid w:val="00812021"/>
    <w:rsid w:val="008158E3"/>
    <w:rsid w:val="00817988"/>
    <w:rsid w:val="00817A17"/>
    <w:rsid w:val="0082186A"/>
    <w:rsid w:val="00823A11"/>
    <w:rsid w:val="00826C84"/>
    <w:rsid w:val="008343CC"/>
    <w:rsid w:val="0085185D"/>
    <w:rsid w:val="00851A9A"/>
    <w:rsid w:val="0085405E"/>
    <w:rsid w:val="0085414A"/>
    <w:rsid w:val="00857EB9"/>
    <w:rsid w:val="0086269D"/>
    <w:rsid w:val="008640CD"/>
    <w:rsid w:val="0086543A"/>
    <w:rsid w:val="008708F9"/>
    <w:rsid w:val="008724E5"/>
    <w:rsid w:val="0087279E"/>
    <w:rsid w:val="0087295E"/>
    <w:rsid w:val="008765C9"/>
    <w:rsid w:val="00877230"/>
    <w:rsid w:val="00884A9D"/>
    <w:rsid w:val="0088512B"/>
    <w:rsid w:val="008A2B2D"/>
    <w:rsid w:val="008A4E1E"/>
    <w:rsid w:val="008A5ABA"/>
    <w:rsid w:val="008A6458"/>
    <w:rsid w:val="008C296C"/>
    <w:rsid w:val="008D28A6"/>
    <w:rsid w:val="008D4305"/>
    <w:rsid w:val="008E1A85"/>
    <w:rsid w:val="008E344F"/>
    <w:rsid w:val="008E6C1B"/>
    <w:rsid w:val="00903861"/>
    <w:rsid w:val="00911074"/>
    <w:rsid w:val="009163A7"/>
    <w:rsid w:val="009219A9"/>
    <w:rsid w:val="00922E8A"/>
    <w:rsid w:val="009268B2"/>
    <w:rsid w:val="009327FB"/>
    <w:rsid w:val="00935FFC"/>
    <w:rsid w:val="00937D53"/>
    <w:rsid w:val="00946D0B"/>
    <w:rsid w:val="00947A62"/>
    <w:rsid w:val="00954783"/>
    <w:rsid w:val="00955877"/>
    <w:rsid w:val="00960318"/>
    <w:rsid w:val="00962034"/>
    <w:rsid w:val="00966CCC"/>
    <w:rsid w:val="00984D6A"/>
    <w:rsid w:val="009918BB"/>
    <w:rsid w:val="009A18CD"/>
    <w:rsid w:val="009B131C"/>
    <w:rsid w:val="009B249A"/>
    <w:rsid w:val="009B287C"/>
    <w:rsid w:val="009B39F2"/>
    <w:rsid w:val="009D2C64"/>
    <w:rsid w:val="009D5428"/>
    <w:rsid w:val="009D720A"/>
    <w:rsid w:val="009E0AD6"/>
    <w:rsid w:val="009E21AA"/>
    <w:rsid w:val="00A06811"/>
    <w:rsid w:val="00A113BB"/>
    <w:rsid w:val="00A12558"/>
    <w:rsid w:val="00A13903"/>
    <w:rsid w:val="00A21AC9"/>
    <w:rsid w:val="00A22E37"/>
    <w:rsid w:val="00A34ED5"/>
    <w:rsid w:val="00A356BF"/>
    <w:rsid w:val="00A45DBF"/>
    <w:rsid w:val="00A53626"/>
    <w:rsid w:val="00A551FD"/>
    <w:rsid w:val="00A6511E"/>
    <w:rsid w:val="00A725CF"/>
    <w:rsid w:val="00A74E8C"/>
    <w:rsid w:val="00A755A2"/>
    <w:rsid w:val="00A849DA"/>
    <w:rsid w:val="00A84ADC"/>
    <w:rsid w:val="00A84AEF"/>
    <w:rsid w:val="00A91430"/>
    <w:rsid w:val="00A9609D"/>
    <w:rsid w:val="00AA590D"/>
    <w:rsid w:val="00AA6660"/>
    <w:rsid w:val="00AB2C36"/>
    <w:rsid w:val="00AB3D3B"/>
    <w:rsid w:val="00AB6DDE"/>
    <w:rsid w:val="00AB70B6"/>
    <w:rsid w:val="00AC18C1"/>
    <w:rsid w:val="00AD1A86"/>
    <w:rsid w:val="00AD5C46"/>
    <w:rsid w:val="00AE103E"/>
    <w:rsid w:val="00AF0A07"/>
    <w:rsid w:val="00AF293B"/>
    <w:rsid w:val="00AF4AEC"/>
    <w:rsid w:val="00AF625E"/>
    <w:rsid w:val="00B130EF"/>
    <w:rsid w:val="00B139BE"/>
    <w:rsid w:val="00B2172B"/>
    <w:rsid w:val="00B24977"/>
    <w:rsid w:val="00B34428"/>
    <w:rsid w:val="00B35ADA"/>
    <w:rsid w:val="00B36B14"/>
    <w:rsid w:val="00B417E5"/>
    <w:rsid w:val="00B4402D"/>
    <w:rsid w:val="00B4656D"/>
    <w:rsid w:val="00B540DD"/>
    <w:rsid w:val="00B55B90"/>
    <w:rsid w:val="00B56AF7"/>
    <w:rsid w:val="00B60685"/>
    <w:rsid w:val="00B71EC9"/>
    <w:rsid w:val="00B917D2"/>
    <w:rsid w:val="00B97EB3"/>
    <w:rsid w:val="00BA22C0"/>
    <w:rsid w:val="00BA241A"/>
    <w:rsid w:val="00BB04AF"/>
    <w:rsid w:val="00BB6D9F"/>
    <w:rsid w:val="00BB6EEC"/>
    <w:rsid w:val="00BB6FBC"/>
    <w:rsid w:val="00BC60D7"/>
    <w:rsid w:val="00BD40D2"/>
    <w:rsid w:val="00BD52C9"/>
    <w:rsid w:val="00BE08A6"/>
    <w:rsid w:val="00BE6354"/>
    <w:rsid w:val="00BE6E70"/>
    <w:rsid w:val="00C03C25"/>
    <w:rsid w:val="00C10C5F"/>
    <w:rsid w:val="00C12681"/>
    <w:rsid w:val="00C138D1"/>
    <w:rsid w:val="00C23A97"/>
    <w:rsid w:val="00C23B62"/>
    <w:rsid w:val="00C52EBE"/>
    <w:rsid w:val="00C564CF"/>
    <w:rsid w:val="00C5776D"/>
    <w:rsid w:val="00C6366A"/>
    <w:rsid w:val="00C64855"/>
    <w:rsid w:val="00C65FAD"/>
    <w:rsid w:val="00C70EA7"/>
    <w:rsid w:val="00C71A31"/>
    <w:rsid w:val="00C7200C"/>
    <w:rsid w:val="00C7433F"/>
    <w:rsid w:val="00C7516E"/>
    <w:rsid w:val="00C75770"/>
    <w:rsid w:val="00C77854"/>
    <w:rsid w:val="00C84331"/>
    <w:rsid w:val="00CA56BB"/>
    <w:rsid w:val="00CB0542"/>
    <w:rsid w:val="00CB1923"/>
    <w:rsid w:val="00CB22B9"/>
    <w:rsid w:val="00CB40A4"/>
    <w:rsid w:val="00CD1C4D"/>
    <w:rsid w:val="00CE22DD"/>
    <w:rsid w:val="00CF7733"/>
    <w:rsid w:val="00D00B2B"/>
    <w:rsid w:val="00D20A0A"/>
    <w:rsid w:val="00D23DDF"/>
    <w:rsid w:val="00D24877"/>
    <w:rsid w:val="00D25DC0"/>
    <w:rsid w:val="00D2636E"/>
    <w:rsid w:val="00D26D94"/>
    <w:rsid w:val="00D33575"/>
    <w:rsid w:val="00D63318"/>
    <w:rsid w:val="00D7105A"/>
    <w:rsid w:val="00D8250F"/>
    <w:rsid w:val="00D83976"/>
    <w:rsid w:val="00D86BB3"/>
    <w:rsid w:val="00D87601"/>
    <w:rsid w:val="00D94CD4"/>
    <w:rsid w:val="00D95C4C"/>
    <w:rsid w:val="00D9708B"/>
    <w:rsid w:val="00DA36ED"/>
    <w:rsid w:val="00DB27AD"/>
    <w:rsid w:val="00DB2F67"/>
    <w:rsid w:val="00DB7B58"/>
    <w:rsid w:val="00DC49CB"/>
    <w:rsid w:val="00DE2DC3"/>
    <w:rsid w:val="00DE34F1"/>
    <w:rsid w:val="00DE5C29"/>
    <w:rsid w:val="00DE6160"/>
    <w:rsid w:val="00DF4942"/>
    <w:rsid w:val="00E2125F"/>
    <w:rsid w:val="00E24248"/>
    <w:rsid w:val="00E244E1"/>
    <w:rsid w:val="00E3428A"/>
    <w:rsid w:val="00E35B79"/>
    <w:rsid w:val="00E40DD9"/>
    <w:rsid w:val="00E4150C"/>
    <w:rsid w:val="00E46738"/>
    <w:rsid w:val="00E53EFA"/>
    <w:rsid w:val="00E54951"/>
    <w:rsid w:val="00E627B1"/>
    <w:rsid w:val="00E70169"/>
    <w:rsid w:val="00E7076C"/>
    <w:rsid w:val="00E8029C"/>
    <w:rsid w:val="00E86AB7"/>
    <w:rsid w:val="00E872D7"/>
    <w:rsid w:val="00E9376C"/>
    <w:rsid w:val="00E95AE2"/>
    <w:rsid w:val="00EA335E"/>
    <w:rsid w:val="00EA528C"/>
    <w:rsid w:val="00EA580C"/>
    <w:rsid w:val="00EB4358"/>
    <w:rsid w:val="00EC6F8D"/>
    <w:rsid w:val="00ED39B2"/>
    <w:rsid w:val="00EE0919"/>
    <w:rsid w:val="00EE12AD"/>
    <w:rsid w:val="00EE49F4"/>
    <w:rsid w:val="00EF0559"/>
    <w:rsid w:val="00EF155C"/>
    <w:rsid w:val="00EF34E2"/>
    <w:rsid w:val="00EF75D0"/>
    <w:rsid w:val="00F046B3"/>
    <w:rsid w:val="00F06FB0"/>
    <w:rsid w:val="00F10C91"/>
    <w:rsid w:val="00F10FBA"/>
    <w:rsid w:val="00F20A40"/>
    <w:rsid w:val="00F24EB5"/>
    <w:rsid w:val="00F30DC6"/>
    <w:rsid w:val="00F31F96"/>
    <w:rsid w:val="00F32A57"/>
    <w:rsid w:val="00F32C23"/>
    <w:rsid w:val="00F463FA"/>
    <w:rsid w:val="00F47A7B"/>
    <w:rsid w:val="00F53DE9"/>
    <w:rsid w:val="00F54CB7"/>
    <w:rsid w:val="00F576CB"/>
    <w:rsid w:val="00F7035D"/>
    <w:rsid w:val="00F70CC5"/>
    <w:rsid w:val="00F7173B"/>
    <w:rsid w:val="00F71A02"/>
    <w:rsid w:val="00F820A7"/>
    <w:rsid w:val="00F90FA9"/>
    <w:rsid w:val="00FA06E3"/>
    <w:rsid w:val="00FA0D63"/>
    <w:rsid w:val="00FA7EA6"/>
    <w:rsid w:val="00FB25AB"/>
    <w:rsid w:val="00FD1226"/>
    <w:rsid w:val="00FD4BC8"/>
    <w:rsid w:val="00FD4D05"/>
    <w:rsid w:val="00FF4830"/>
    <w:rsid w:val="00FF707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C3735FDD-F322-4B37-B992-061551C3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sz w:val="16"/>
      <w:szCs w:val="16"/>
    </w:rPr>
  </w:style>
  <w:style w:type="character" w:customStyle="1" w:styleId="BalloonTextChar">
    <w:name w:val="Balloon Text Char"/>
    <w:link w:val="BalloonText"/>
    <w:uiPriority w:val="99"/>
    <w:semiHidden/>
    <w:rsid w:val="008724E5"/>
    <w:rPr>
      <w:rFonts w:ascii="Tahoma" w:hAnsi="Tahoma" w:cs="Arial"/>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cs="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Arial"/>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sz w:val="22"/>
      <w:szCs w:val="22"/>
      <w:u w:val="single"/>
      <w:lang w:val="en-GB"/>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List Paragraph Char Char Char,Indicator Text,Numbered Para 1,Bullet 1,List Paragraph12,Bullet Points,MAIN CONTENT,List Paragraph1"/>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cs="Arial"/>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sz w:val="22"/>
      <w:szCs w:val="22"/>
      <w:u w:val="single"/>
      <w:lang w:val="en-GB"/>
    </w:rPr>
  </w:style>
  <w:style w:type="character" w:styleId="Hyperlink">
    <w:name w:val="Hyperlink"/>
    <w:basedOn w:val="DefaultParagraphFont"/>
    <w:uiPriority w:val="99"/>
    <w:unhideWhenUsed/>
    <w:rsid w:val="00DB2F67"/>
    <w:rPr>
      <w:color w:val="0000FF" w:themeColor="hyperlink"/>
      <w:u w:val="single"/>
    </w:rPr>
  </w:style>
  <w:style w:type="character" w:customStyle="1" w:styleId="MargeChar">
    <w:name w:val="Marge Char"/>
    <w:link w:val="Marge"/>
    <w:locked/>
    <w:rsid w:val="00935FFC"/>
    <w:rPr>
      <w:rFonts w:ascii="Arial" w:eastAsia="Times New Roman" w:hAnsi="Arial" w:cs="Arial"/>
      <w:snapToGrid w:val="0"/>
      <w:sz w:val="22"/>
      <w:szCs w:val="24"/>
      <w:lang w:eastAsia="en-US"/>
    </w:rPr>
  </w:style>
  <w:style w:type="character" w:customStyle="1" w:styleId="ListParagraphChar">
    <w:name w:val="List Paragraph Char"/>
    <w:aliases w:val="List Paragraph (numbered (a)) Char,Lapis Bulleted List Char,Dot pt Char,F5 List Paragraph Char,List Paragraph Char Char Char Char,Indicator Text Char,Numbered Para 1 Char,Bullet 1 Char,List Paragraph12 Char,Bullet Points Char"/>
    <w:link w:val="ListParagraph"/>
    <w:uiPriority w:val="34"/>
    <w:locked/>
    <w:rsid w:val="00935FFC"/>
    <w:rPr>
      <w:rFonts w:ascii="Times New Roman" w:eastAsia="Times New Roman" w:hAnsi="Times New Roman" w:cs="Arial"/>
      <w:sz w:val="24"/>
      <w:szCs w:val="24"/>
    </w:rPr>
  </w:style>
  <w:style w:type="character" w:customStyle="1" w:styleId="Mentionnonrsolue1">
    <w:name w:val="Mention non résolue1"/>
    <w:basedOn w:val="DefaultParagraphFont"/>
    <w:uiPriority w:val="99"/>
    <w:semiHidden/>
    <w:unhideWhenUsed/>
    <w:rsid w:val="00DE5C29"/>
    <w:rPr>
      <w:color w:val="605E5C"/>
      <w:shd w:val="clear" w:color="auto" w:fill="E1DFDD"/>
    </w:rPr>
  </w:style>
  <w:style w:type="character" w:styleId="FollowedHyperlink">
    <w:name w:val="FollowedHyperlink"/>
    <w:basedOn w:val="DefaultParagraphFont"/>
    <w:uiPriority w:val="99"/>
    <w:semiHidden/>
    <w:unhideWhenUsed/>
    <w:rsid w:val="00B4656D"/>
    <w:rPr>
      <w:color w:val="800080" w:themeColor="followedHyperlink"/>
      <w:u w:val="single"/>
    </w:rPr>
  </w:style>
  <w:style w:type="character" w:styleId="CommentReference">
    <w:name w:val="annotation reference"/>
    <w:basedOn w:val="DefaultParagraphFont"/>
    <w:uiPriority w:val="99"/>
    <w:semiHidden/>
    <w:unhideWhenUsed/>
    <w:rsid w:val="002E2D4F"/>
    <w:rPr>
      <w:sz w:val="16"/>
      <w:szCs w:val="16"/>
    </w:rPr>
  </w:style>
  <w:style w:type="paragraph" w:styleId="CommentText">
    <w:name w:val="annotation text"/>
    <w:basedOn w:val="Normal"/>
    <w:link w:val="CommentTextChar"/>
    <w:uiPriority w:val="99"/>
    <w:unhideWhenUsed/>
    <w:rsid w:val="002E2D4F"/>
    <w:rPr>
      <w:sz w:val="20"/>
      <w:szCs w:val="20"/>
    </w:rPr>
  </w:style>
  <w:style w:type="character" w:customStyle="1" w:styleId="CommentTextChar">
    <w:name w:val="Comment Text Char"/>
    <w:basedOn w:val="DefaultParagraphFont"/>
    <w:link w:val="CommentText"/>
    <w:uiPriority w:val="99"/>
    <w:rsid w:val="002E2D4F"/>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2E2D4F"/>
    <w:rPr>
      <w:b/>
      <w:bCs/>
    </w:rPr>
  </w:style>
  <w:style w:type="character" w:customStyle="1" w:styleId="CommentSubjectChar">
    <w:name w:val="Comment Subject Char"/>
    <w:basedOn w:val="CommentTextChar"/>
    <w:link w:val="CommentSubject"/>
    <w:uiPriority w:val="99"/>
    <w:semiHidden/>
    <w:rsid w:val="002E2D4F"/>
    <w:rPr>
      <w:rFonts w:ascii="Times New Roman" w:eastAsia="Times New Roman" w:hAnsi="Times New Roman" w:cs="Arial"/>
      <w:b/>
      <w:bCs/>
    </w:rPr>
  </w:style>
  <w:style w:type="paragraph" w:styleId="Revision">
    <w:name w:val="Revision"/>
    <w:hidden/>
    <w:uiPriority w:val="99"/>
    <w:semiHidden/>
    <w:rsid w:val="0011108A"/>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9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6_6.GA-Resolutions_AR.docx?v=1465548842" TargetMode="External"/><Relationship Id="rId18" Type="http://schemas.openxmlformats.org/officeDocument/2006/relationships/hyperlink" Target="https://ich.unesco.org/en/decisions/19.COM/5" TargetMode="External"/><Relationship Id="rId26" Type="http://schemas.openxmlformats.org/officeDocument/2006/relationships/hyperlink" Target="https://ich.unesco.org/en/decisions/20.COM/12" TargetMode="External"/><Relationship Id="rId39" Type="http://schemas.openxmlformats.org/officeDocument/2006/relationships/hyperlink" Target="https://ich.unesco.org/doc/src/LHE-25-20.COM-14_EN.docx?t=1764362577" TargetMode="External"/><Relationship Id="rId21" Type="http://schemas.openxmlformats.org/officeDocument/2006/relationships/hyperlink" Target="https://ich.unesco.org/doc/src/68292-EN.pdf" TargetMode="External"/><Relationship Id="rId34" Type="http://schemas.openxmlformats.org/officeDocument/2006/relationships/hyperlink" Target="https://ich.unesco.org/en/activities-2025-01421" TargetMode="External"/><Relationship Id="rId42" Type="http://schemas.openxmlformats.org/officeDocument/2006/relationships/hyperlink" Target="https://ich.unesco.org/en/decisions/19.COM/6.A" TargetMode="External"/><Relationship Id="rId47" Type="http://schemas.openxmlformats.org/officeDocument/2006/relationships/hyperlink" Target="https://ich.unesco.org/en/decisions/19.COM/6.B" TargetMode="External"/><Relationship Id="rId50" Type="http://schemas.openxmlformats.org/officeDocument/2006/relationships/hyperlink" Target="https://ich.unesco.org/en/decisions/20.COM/6.C" TargetMode="External"/><Relationship Id="rId55" Type="http://schemas.openxmlformats.org/officeDocument/2006/relationships/hyperlink" Target="https://ich.unesco.org/en/decisions/18.COM/1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en/decisions/16.COM/12" TargetMode="External"/><Relationship Id="rId29" Type="http://schemas.openxmlformats.org/officeDocument/2006/relationships/hyperlink" Target="https://ich.unesco.org/en/towards-a-platform-for-sharing-good-safeguarding-experiences-01376" TargetMode="External"/><Relationship Id="rId11" Type="http://schemas.openxmlformats.org/officeDocument/2006/relationships/hyperlink" Target="https://ich.unesco.org/doc/src/LHE-26-11.GA-INF.8_EN.docx" TargetMode="External"/><Relationship Id="rId24" Type="http://schemas.openxmlformats.org/officeDocument/2006/relationships/hyperlink" Target="https://ich.unesco.org/doc/src/68297-EN.pdf" TargetMode="External"/><Relationship Id="rId32" Type="http://schemas.openxmlformats.org/officeDocument/2006/relationships/hyperlink" Target="https://ich.unesco.org/en/international-day-intangible-cultural-heritage" TargetMode="External"/><Relationship Id="rId37" Type="http://schemas.openxmlformats.org/officeDocument/2006/relationships/hyperlink" Target="https://ich.unesco.org/en/decisions/20.COM/14" TargetMode="External"/><Relationship Id="rId40" Type="http://schemas.openxmlformats.org/officeDocument/2006/relationships/hyperlink" Target="https://ich.unesco.org/doc/src/LHE-25-20.COM-INF.14_EN.docx" TargetMode="External"/><Relationship Id="rId45" Type="http://schemas.openxmlformats.org/officeDocument/2006/relationships/hyperlink" Target="https://ich.unesco.org/en/decisions/20.COM/7.C.2" TargetMode="External"/><Relationship Id="rId53" Type="http://schemas.openxmlformats.org/officeDocument/2006/relationships/hyperlink" Target="https://ich.unesco.org/en/decisions/18.COM/10" TargetMode="External"/><Relationship Id="rId58" Type="http://schemas.openxmlformats.org/officeDocument/2006/relationships/hyperlink" Target="https://ich.unesco.org/en/decisions/20.COM/6.C" TargetMode="Externa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unesco.org/sites/default/files/medias/fichiers/2025/09/EN_MONDIACULT_Outcome_Document%20Final%2027.09.25.pdf" TargetMode="External"/><Relationship Id="rId14" Type="http://schemas.openxmlformats.org/officeDocument/2006/relationships/hyperlink" Target="https://ich.unesco.org/en/decisions/10.GA/8" TargetMode="External"/><Relationship Id="rId22" Type="http://schemas.openxmlformats.org/officeDocument/2006/relationships/hyperlink" Target="https://ich.unesco.org/doc/src/72796-EN.pdf?v=1769168252" TargetMode="External"/><Relationship Id="rId27" Type="http://schemas.openxmlformats.org/officeDocument/2006/relationships/hyperlink" Target="https://ich.unesco.org/doc/src/LHE-24-10.GA-Resolutions_AR.docx?v=1721290675" TargetMode="External"/><Relationship Id="rId30" Type="http://schemas.openxmlformats.org/officeDocument/2006/relationships/hyperlink" Target="https://ich.unesco.org/en/decisions/20.COM/11" TargetMode="External"/><Relationship Id="rId35" Type="http://schemas.openxmlformats.org/officeDocument/2006/relationships/hyperlink" Target="https://ich.unesco.org/en/decisions/19.COM/13" TargetMode="External"/><Relationship Id="rId43" Type="http://schemas.openxmlformats.org/officeDocument/2006/relationships/hyperlink" Target="https://ich.unesco.org/en/decisions/19.COM/6.A" TargetMode="External"/><Relationship Id="rId48" Type="http://schemas.openxmlformats.org/officeDocument/2006/relationships/hyperlink" Target="https://ich.unesco.org/en/decisions/20.COM/6.B" TargetMode="External"/><Relationship Id="rId56" Type="http://schemas.openxmlformats.org/officeDocument/2006/relationships/hyperlink" Target="https://ich.unesco.org/en/decisions/20.COM/8" TargetMode="External"/><Relationship Id="rId8" Type="http://schemas.openxmlformats.org/officeDocument/2006/relationships/hyperlink" Target="https://ich.unesco.org/en/Decisions/6.GA/5" TargetMode="External"/><Relationship Id="rId51" Type="http://schemas.openxmlformats.org/officeDocument/2006/relationships/hyperlink" Target="https://www.unesco.org/sites/default/files/medias/fichiers/2022/10/6.MONDIACULT_AR_DRAFT%20FINAL%20DECLARATION.pdf?hub=758" TargetMode="External"/><Relationship Id="rId3" Type="http://schemas.openxmlformats.org/officeDocument/2006/relationships/styles" Target="styles.xml"/><Relationship Id="rId12" Type="http://schemas.openxmlformats.org/officeDocument/2006/relationships/hyperlink" Target="https://ich.unesco.org/en/Decisions/6.GA/5" TargetMode="External"/><Relationship Id="rId17" Type="http://schemas.openxmlformats.org/officeDocument/2006/relationships/hyperlink" Target="https://ich.unesco.org/en/learning-platform-01397" TargetMode="External"/><Relationship Id="rId25" Type="http://schemas.openxmlformats.org/officeDocument/2006/relationships/hyperlink" Target="https://ich.unesco.org/en/decisions/19.COM/11" TargetMode="External"/><Relationship Id="rId33" Type="http://schemas.openxmlformats.org/officeDocument/2006/relationships/hyperlink" Target="https://ich.unesco.org/en/activities-2024-01401" TargetMode="External"/><Relationship Id="rId38" Type="http://schemas.openxmlformats.org/officeDocument/2006/relationships/hyperlink" Target="https://ich.unesco.org/en/decisions/14.COM/7" TargetMode="External"/><Relationship Id="rId46" Type="http://schemas.openxmlformats.org/officeDocument/2006/relationships/hyperlink" Target="https://ich.unesco.org/en/decisions/19.COM/6.B" TargetMode="External"/><Relationship Id="rId59" Type="http://schemas.openxmlformats.org/officeDocument/2006/relationships/header" Target="header1.xml"/><Relationship Id="rId20" Type="http://schemas.openxmlformats.org/officeDocument/2006/relationships/hyperlink" Target="https://ich.unesco.org/en/clearinghouse-education" TargetMode="External"/><Relationship Id="rId41" Type="http://schemas.openxmlformats.org/officeDocument/2006/relationships/hyperlink" Target="https://ich.unesco.org/en/Decisions/20.COM/13" TargetMode="External"/><Relationship Id="rId54" Type="http://schemas.openxmlformats.org/officeDocument/2006/relationships/hyperlink" Target="https://ich.unesco.org/en/decisions/18.COM/1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4-10.GA-Resolutions_AR.docx?v=1721290675" TargetMode="External"/><Relationship Id="rId23" Type="http://schemas.openxmlformats.org/officeDocument/2006/relationships/hyperlink" Target="https://ich.unesco.org/en/decisions/20.COM/12" TargetMode="External"/><Relationship Id="rId28" Type="http://schemas.openxmlformats.org/officeDocument/2006/relationships/hyperlink" Target="https://ich.unesco.org/en/decisions/19.COM/10" TargetMode="External"/><Relationship Id="rId36" Type="http://schemas.openxmlformats.org/officeDocument/2006/relationships/hyperlink" Target="https://ich.unesco.org/en/decisions/19.COM/13" TargetMode="External"/><Relationship Id="rId49" Type="http://schemas.openxmlformats.org/officeDocument/2006/relationships/hyperlink" Target="https://ich.unesco.org/en/decisions/19.COM/6.C" TargetMode="External"/><Relationship Id="rId57" Type="http://schemas.openxmlformats.org/officeDocument/2006/relationships/hyperlink" Target="https://ich.unesco.org/en/decisions/20.COM/6.C" TargetMode="External"/><Relationship Id="rId10" Type="http://schemas.openxmlformats.org/officeDocument/2006/relationships/hyperlink" Target="https://ich.unesco.org/doc/src/LHE-26-11.GA-6_AR.docx" TargetMode="External"/><Relationship Id="rId31" Type="http://schemas.openxmlformats.org/officeDocument/2006/relationships/hyperlink" Target="https://ich.unesco.org/en/decisions/20.COM/11" TargetMode="External"/><Relationship Id="rId44" Type="http://schemas.openxmlformats.org/officeDocument/2006/relationships/hyperlink" Target="https://ich.unesco.org/en/decisions/20.COM/7.C.1" TargetMode="External"/><Relationship Id="rId52" Type="http://schemas.openxmlformats.org/officeDocument/2006/relationships/hyperlink" Target="https://ich.unesco.org/doc/src/LHE-24-10.GA-Resolutions_AR.docx?v=1721290675"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doc/src/ITH-16_6.GA-Resolutions_AR.docx?v=146554884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3A58-8F32-468D-9EA0-B9031D86026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151</TotalTime>
  <Pages>6</Pages>
  <Words>3393</Words>
  <Characters>18667</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Figea, Clarence</cp:lastModifiedBy>
  <cp:revision>41</cp:revision>
  <cp:lastPrinted>2026-05-18T09:21:00Z</cp:lastPrinted>
  <dcterms:created xsi:type="dcterms:W3CDTF">2026-05-18T13:42:00Z</dcterms:created>
  <dcterms:modified xsi:type="dcterms:W3CDTF">2026-05-18T20:41:00Z</dcterms:modified>
</cp:coreProperties>
</file>