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3C73EFB5" w:rsidR="00BC3420" w:rsidRPr="00A61C6E" w:rsidRDefault="00886994" w:rsidP="00BC3420">
      <w:pPr>
        <w:spacing w:before="1200"/>
        <w:jc w:val="center"/>
        <w:rPr>
          <w:rFonts w:ascii="Arial" w:hAnsi="Arial" w:cs="Arial"/>
          <w:b/>
          <w:sz w:val="22"/>
          <w:szCs w:val="22"/>
        </w:rPr>
      </w:pPr>
      <w:r w:rsidRPr="00886994">
        <w:rPr>
          <w:rFonts w:ascii="Arial" w:hAnsi="Arial" w:cs="Arial"/>
          <w:b/>
          <w:sz w:val="22"/>
          <w:szCs w:val="22"/>
        </w:rPr>
        <w:t>ASSEMBLÉE GÉNÉRALE DES ÉTATS PARTIES À LA CONVENTION</w:t>
      </w:r>
    </w:p>
    <w:p w14:paraId="32D15B6C" w14:textId="74D5FD4D" w:rsidR="00BC3420" w:rsidRPr="00B43974" w:rsidRDefault="007129DE" w:rsidP="00F4581D">
      <w:pPr>
        <w:spacing w:before="840"/>
        <w:jc w:val="center"/>
        <w:rPr>
          <w:rFonts w:ascii="Arial" w:hAnsi="Arial" w:cs="Arial"/>
          <w:b/>
          <w:sz w:val="22"/>
          <w:szCs w:val="22"/>
        </w:rPr>
      </w:pPr>
      <w:r>
        <w:rPr>
          <w:rFonts w:ascii="Arial" w:hAnsi="Arial" w:cs="Arial"/>
          <w:b/>
          <w:sz w:val="22"/>
          <w:szCs w:val="22"/>
        </w:rPr>
        <w:t>Onzième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5F6FA9C8" w:rsidR="00F4581D" w:rsidRPr="00F4581D" w:rsidRDefault="00886994" w:rsidP="00886994">
      <w:pPr>
        <w:tabs>
          <w:tab w:val="center" w:pos="4819"/>
          <w:tab w:val="left" w:pos="7073"/>
        </w:tabs>
        <w:jc w:val="center"/>
        <w:rPr>
          <w:rFonts w:ascii="Arial" w:hAnsi="Arial"/>
          <w:b/>
          <w:sz w:val="22"/>
        </w:rPr>
      </w:pPr>
      <w:r w:rsidRPr="00886994">
        <w:rPr>
          <w:rFonts w:ascii="Arial" w:hAnsi="Arial"/>
          <w:b/>
          <w:sz w:val="22"/>
        </w:rPr>
        <w:t>Siège de l’UNESCO, Salle I</w:t>
      </w:r>
    </w:p>
    <w:p w14:paraId="552550E8" w14:textId="29FEE4D8" w:rsidR="00EF74E3" w:rsidRPr="00F4581D" w:rsidRDefault="00576CF4" w:rsidP="00F4581D">
      <w:pPr>
        <w:jc w:val="center"/>
        <w:rPr>
          <w:rFonts w:ascii="Arial" w:hAnsi="Arial"/>
          <w:b/>
          <w:sz w:val="22"/>
        </w:rPr>
      </w:pPr>
      <w:r>
        <w:rPr>
          <w:rFonts w:ascii="Arial" w:hAnsi="Arial"/>
          <w:b/>
          <w:sz w:val="22"/>
        </w:rPr>
        <w:t>17</w:t>
      </w:r>
      <w:r w:rsidR="00F4581D" w:rsidRPr="00F4581D">
        <w:rPr>
          <w:rFonts w:ascii="Arial" w:hAnsi="Arial"/>
          <w:b/>
          <w:sz w:val="22"/>
        </w:rPr>
        <w:t> </w:t>
      </w:r>
      <w:r w:rsidR="007A000F">
        <w:rPr>
          <w:rFonts w:ascii="Arial" w:hAnsi="Arial"/>
          <w:b/>
          <w:sz w:val="22"/>
        </w:rPr>
        <w:t>–</w:t>
      </w:r>
      <w:r w:rsidR="00F4581D" w:rsidRPr="00F4581D">
        <w:rPr>
          <w:rFonts w:ascii="Arial" w:hAnsi="Arial"/>
          <w:b/>
          <w:sz w:val="22"/>
        </w:rPr>
        <w:t xml:space="preserve"> </w:t>
      </w:r>
      <w:r>
        <w:rPr>
          <w:rFonts w:ascii="Arial" w:hAnsi="Arial"/>
          <w:b/>
          <w:sz w:val="22"/>
        </w:rPr>
        <w:t>18</w:t>
      </w:r>
      <w:r w:rsidR="007C38A9">
        <w:rPr>
          <w:rFonts w:ascii="Arial" w:hAnsi="Arial"/>
          <w:b/>
          <w:sz w:val="22"/>
        </w:rPr>
        <w:t xml:space="preserve"> juin</w:t>
      </w:r>
      <w:r w:rsidR="00F4581D" w:rsidRPr="00F4581D">
        <w:rPr>
          <w:rFonts w:ascii="Arial" w:hAnsi="Arial"/>
          <w:b/>
          <w:sz w:val="22"/>
        </w:rPr>
        <w:t> 202</w:t>
      </w:r>
      <w:r w:rsidR="007129DE">
        <w:rPr>
          <w:rFonts w:ascii="Arial" w:hAnsi="Arial"/>
          <w:b/>
          <w:sz w:val="22"/>
        </w:rPr>
        <w:t>6</w:t>
      </w:r>
    </w:p>
    <w:p w14:paraId="72EF57E2" w14:textId="2C48B340"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FC1934">
        <w:rPr>
          <w:rFonts w:ascii="Arial" w:hAnsi="Arial" w:cs="Arial"/>
          <w:b/>
          <w:sz w:val="22"/>
          <w:szCs w:val="22"/>
          <w:u w:val="single"/>
        </w:rPr>
        <w:t>10</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1D9211BB" w14:textId="77777777" w:rsidR="00FC1934" w:rsidRDefault="00FC1934" w:rsidP="00114C01">
      <w:pPr>
        <w:pStyle w:val="NoSpacing"/>
        <w:tabs>
          <w:tab w:val="left" w:pos="4410"/>
          <w:tab w:val="center" w:pos="4819"/>
        </w:tabs>
        <w:spacing w:after="1200"/>
        <w:contextualSpacing/>
        <w:jc w:val="center"/>
        <w:rPr>
          <w:rFonts w:ascii="Arial" w:hAnsi="Arial" w:cs="Arial"/>
          <w:b/>
          <w:sz w:val="22"/>
          <w:szCs w:val="22"/>
        </w:rPr>
      </w:pPr>
      <w:r w:rsidRPr="00FC1934">
        <w:rPr>
          <w:rFonts w:ascii="Arial" w:hAnsi="Arial" w:cs="Arial"/>
          <w:b/>
          <w:sz w:val="22"/>
          <w:szCs w:val="22"/>
        </w:rPr>
        <w:t xml:space="preserve">Élection des membres du Comité intergouvernemental de </w:t>
      </w:r>
    </w:p>
    <w:p w14:paraId="630B69F1" w14:textId="0042CBD3" w:rsidR="008F09EC" w:rsidRPr="00B43974" w:rsidRDefault="00FC1934" w:rsidP="00114C01">
      <w:pPr>
        <w:pStyle w:val="NoSpacing"/>
        <w:tabs>
          <w:tab w:val="left" w:pos="4410"/>
          <w:tab w:val="center" w:pos="4819"/>
        </w:tabs>
        <w:spacing w:after="1200"/>
        <w:jc w:val="center"/>
        <w:rPr>
          <w:rFonts w:ascii="Arial" w:hAnsi="Arial" w:cs="Arial"/>
          <w:b/>
          <w:sz w:val="22"/>
          <w:szCs w:val="22"/>
        </w:rPr>
      </w:pPr>
      <w:r w:rsidRPr="00FC1934">
        <w:rPr>
          <w:rFonts w:ascii="Arial" w:hAnsi="Arial" w:cs="Arial"/>
          <w:b/>
          <w:sz w:val="22"/>
          <w:szCs w:val="22"/>
        </w:rPr>
        <w:t>sauvegarde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47EC31AB" w14:textId="77777777" w:rsidR="008F09EC" w:rsidRPr="00B43974" w:rsidRDefault="008F09EC" w:rsidP="00FF2F30">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13F58D2B" w14:textId="36A9ECB1" w:rsidR="00FC1934" w:rsidRPr="00BB6EEC" w:rsidRDefault="00FC1934" w:rsidP="00FC1934">
            <w:pPr>
              <w:pStyle w:val="Sansinterligne1"/>
              <w:jc w:val="both"/>
              <w:rPr>
                <w:rFonts w:ascii="Arial" w:hAnsi="Arial" w:cs="Arial"/>
                <w:bCs/>
                <w:sz w:val="22"/>
                <w:szCs w:val="22"/>
              </w:rPr>
            </w:pPr>
            <w:r>
              <w:rPr>
                <w:rFonts w:ascii="Arial" w:hAnsi="Arial"/>
                <w:sz w:val="22"/>
              </w:rPr>
              <w:t xml:space="preserve">L’article 5 de la Convention de 2003 dispose que le Comité intergouvernemental de sauvegarde du patrimoine culturel immatériel est composé de représentants de </w:t>
            </w:r>
            <w:r w:rsidR="00FB6DA0">
              <w:rPr>
                <w:rFonts w:ascii="Arial" w:hAnsi="Arial"/>
                <w:sz w:val="22"/>
              </w:rPr>
              <w:t xml:space="preserve">vingt-quatre </w:t>
            </w:r>
            <w:r>
              <w:rPr>
                <w:rFonts w:ascii="Arial" w:hAnsi="Arial"/>
                <w:sz w:val="22"/>
              </w:rPr>
              <w:t>États parties à la Convention. L’Assemblée générale renouvelle tous les deux ans la moitié des États membres du Comité, conformément à l’article 6 de la Convention.</w:t>
            </w:r>
          </w:p>
          <w:p w14:paraId="17E62457" w14:textId="1071284C"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paragraphe</w:t>
            </w:r>
            <w:r w:rsidR="00FC1934">
              <w:rPr>
                <w:rFonts w:ascii="Arial" w:hAnsi="Arial" w:cs="Arial"/>
                <w:bCs/>
                <w:sz w:val="22"/>
                <w:szCs w:val="22"/>
              </w:rPr>
              <w:t xml:space="preserve"> 8</w:t>
            </w:r>
          </w:p>
        </w:tc>
      </w:tr>
    </w:tbl>
    <w:p w14:paraId="5072A522" w14:textId="77777777" w:rsidR="009B5302" w:rsidRDefault="00BC3420" w:rsidP="007E60C6">
      <w:pPr>
        <w:pStyle w:val="COMTitleDecision"/>
        <w:spacing w:before="360" w:after="240"/>
        <w:ind w:left="0"/>
      </w:pPr>
      <w:r w:rsidRPr="00022428">
        <w:br w:type="page"/>
      </w:r>
    </w:p>
    <w:p w14:paraId="3DA523C8" w14:textId="2FEA1ED7" w:rsidR="00FC1934" w:rsidRPr="00FC1934" w:rsidRDefault="00FC1934" w:rsidP="00FC1934">
      <w:pPr>
        <w:pStyle w:val="COMPara"/>
        <w:numPr>
          <w:ilvl w:val="0"/>
          <w:numId w:val="9"/>
        </w:numPr>
        <w:ind w:left="567" w:hanging="567"/>
        <w:jc w:val="both"/>
        <w:rPr>
          <w:lang w:val="fr-FR"/>
        </w:rPr>
      </w:pPr>
      <w:r w:rsidRPr="00FC1934">
        <w:rPr>
          <w:lang w:val="fr-FR"/>
        </w:rPr>
        <w:lastRenderedPageBreak/>
        <w:t xml:space="preserve">L’article 5 de la Convention de 2003 dispose que le Comité intergouvernemental de sauvegarde du patrimoine culturel immatériel est composé de </w:t>
      </w:r>
      <w:r w:rsidR="00FB6DA0">
        <w:rPr>
          <w:lang w:val="fr-FR"/>
        </w:rPr>
        <w:t>vingt-quatre</w:t>
      </w:r>
      <w:r w:rsidR="00FB6DA0" w:rsidRPr="00FC1934">
        <w:rPr>
          <w:lang w:val="fr-FR"/>
        </w:rPr>
        <w:t xml:space="preserve"> </w:t>
      </w:r>
      <w:r w:rsidRPr="00FC1934">
        <w:rPr>
          <w:lang w:val="fr-FR"/>
        </w:rPr>
        <w:t>États membres élus par l’Assemblée générale des États parties.</w:t>
      </w:r>
    </w:p>
    <w:p w14:paraId="035A7652" w14:textId="77777777" w:rsidR="00FC1934" w:rsidRPr="00FC1934" w:rsidRDefault="00FC1934" w:rsidP="00FC1934">
      <w:pPr>
        <w:pStyle w:val="COMPara"/>
        <w:numPr>
          <w:ilvl w:val="0"/>
          <w:numId w:val="9"/>
        </w:numPr>
        <w:ind w:left="567" w:hanging="567"/>
        <w:jc w:val="both"/>
        <w:rPr>
          <w:lang w:val="fr-FR"/>
        </w:rPr>
      </w:pPr>
      <w:r w:rsidRPr="00FC1934">
        <w:rPr>
          <w:lang w:val="fr-FR"/>
        </w:rPr>
        <w:t xml:space="preserve">Conformément à l’article 6 de la Convention, les États membres du Comité sont élus pour un mandat de quatre ans. L’élection doit répondre aux principes de répartition géographique et de rotation équitables. Tous les deux ans, l’Assemblée générale renouvelle la moitié des États membres du Comité. Elle élit également autant d’États membres du Comité que nécessaire pour pourvoir les </w:t>
      </w:r>
      <w:r w:rsidRPr="00211645">
        <w:rPr>
          <w:lang w:val="fr-FR"/>
        </w:rPr>
        <w:t>postes</w:t>
      </w:r>
      <w:r w:rsidRPr="00FC1934">
        <w:rPr>
          <w:lang w:val="fr-FR"/>
        </w:rPr>
        <w:t xml:space="preserve"> vacants. Par ailleurs, un État membre du Comité ne peut être élu pour deux mandats consécutifs. </w:t>
      </w:r>
    </w:p>
    <w:p w14:paraId="4079D6EB" w14:textId="6B14D345" w:rsidR="00FC1934" w:rsidRPr="00FC1934" w:rsidRDefault="00FC1934" w:rsidP="00FC1934">
      <w:pPr>
        <w:pStyle w:val="COMPara"/>
        <w:numPr>
          <w:ilvl w:val="0"/>
          <w:numId w:val="9"/>
        </w:numPr>
        <w:ind w:left="567" w:hanging="567"/>
        <w:jc w:val="both"/>
        <w:rPr>
          <w:lang w:val="fr-FR"/>
        </w:rPr>
      </w:pPr>
      <w:r w:rsidRPr="00FC1934">
        <w:rPr>
          <w:lang w:val="fr-FR"/>
        </w:rPr>
        <w:t xml:space="preserve">En outre, comme le stipule l’article 35 du Règlement intérieur de l’Assemblée générale, l’élection des membres du Comité se déroule sur la base des groupes électoraux de l’UNESCO, étant entendu que le « Groupe V » est constitué de deux sous-groupes, l’un pour les États d’Afrique et l’autre pour les États arabes (article 35.1). Les sièges au sein du Comité sont répartis entre les différents groupes électoraux au prorata du nombre d’États parties de chaque groupe, étant entendu qu’au terme </w:t>
      </w:r>
      <w:r w:rsidR="00FB6DA0">
        <w:rPr>
          <w:lang w:val="fr-FR"/>
        </w:rPr>
        <w:t xml:space="preserve">de </w:t>
      </w:r>
      <w:r w:rsidRPr="00FC1934">
        <w:rPr>
          <w:lang w:val="fr-FR"/>
        </w:rPr>
        <w:t xml:space="preserve">cette répartition un minimum de trois sièges est attribué à chacun des groupes (article 35.2). La présente session de l’Assemblée doit établir cette répartition des sièges au titre du point 4 (document </w:t>
      </w:r>
      <w:hyperlink r:id="rId8" w:history="1">
        <w:r w:rsidRPr="00B5669F">
          <w:rPr>
            <w:rStyle w:val="Hyperlink"/>
            <w:lang w:val="fr-FR"/>
          </w:rPr>
          <w:t>LHE/26/11.GA/4</w:t>
        </w:r>
      </w:hyperlink>
      <w:r w:rsidRPr="00B5669F">
        <w:rPr>
          <w:lang w:val="fr-FR"/>
        </w:rPr>
        <w:t>).</w:t>
      </w:r>
      <w:r w:rsidRPr="00FC1934">
        <w:rPr>
          <w:lang w:val="fr-FR"/>
        </w:rPr>
        <w:t xml:space="preserve"> </w:t>
      </w:r>
    </w:p>
    <w:p w14:paraId="1D36D8E1" w14:textId="2422916D" w:rsidR="00FC1934" w:rsidRPr="00FC1934" w:rsidRDefault="00FC1934" w:rsidP="00FC1934">
      <w:pPr>
        <w:pStyle w:val="COMPara"/>
        <w:numPr>
          <w:ilvl w:val="0"/>
          <w:numId w:val="9"/>
        </w:numPr>
        <w:ind w:left="567" w:hanging="567"/>
        <w:jc w:val="both"/>
        <w:rPr>
          <w:lang w:val="fr-FR"/>
        </w:rPr>
      </w:pPr>
      <w:r w:rsidRPr="00FC1934">
        <w:rPr>
          <w:lang w:val="fr-FR"/>
        </w:rPr>
        <w:t>Conformément à l’article 36 du Règlement intérieur de l’Assemblée générale, le Secrétariat a demandé à tous les États parties, trois mois avant la date de l’élection,</w:t>
      </w:r>
      <w:r w:rsidRPr="00FC1934" w:rsidDel="00CE6D66">
        <w:rPr>
          <w:lang w:val="fr-FR"/>
        </w:rPr>
        <w:t xml:space="preserve"> </w:t>
      </w:r>
      <w:r w:rsidRPr="00FC1934">
        <w:rPr>
          <w:lang w:val="fr-FR"/>
        </w:rPr>
        <w:t xml:space="preserve">s’ils ont l’intention de se présenter à l’élection du Comité (article 36.1), par </w:t>
      </w:r>
      <w:r w:rsidR="00C2783F">
        <w:rPr>
          <w:lang w:val="fr-FR"/>
        </w:rPr>
        <w:t>une</w:t>
      </w:r>
      <w:r w:rsidR="00C2783F" w:rsidRPr="00FC1934">
        <w:rPr>
          <w:lang w:val="fr-FR"/>
        </w:rPr>
        <w:t xml:space="preserve"> </w:t>
      </w:r>
      <w:r w:rsidRPr="00FC1934">
        <w:rPr>
          <w:lang w:val="fr-FR"/>
        </w:rPr>
        <w:t xml:space="preserve">lettre circulaire envoyée le </w:t>
      </w:r>
      <w:r w:rsidRPr="00B5669F">
        <w:rPr>
          <w:lang w:val="fr-FR"/>
        </w:rPr>
        <w:t xml:space="preserve">17 mars 2026. La liste provisoire des candidatures figure dans le document </w:t>
      </w:r>
      <w:hyperlink r:id="rId9" w:history="1">
        <w:r w:rsidRPr="00B5669F">
          <w:rPr>
            <w:rStyle w:val="Hyperlink"/>
            <w:lang w:val="fr-FR"/>
          </w:rPr>
          <w:t>LHE/26/11.GA/INF.10</w:t>
        </w:r>
      </w:hyperlink>
      <w:r w:rsidRPr="00B5669F">
        <w:rPr>
          <w:lang w:val="fr-FR"/>
        </w:rPr>
        <w:t xml:space="preserve"> et</w:t>
      </w:r>
      <w:r w:rsidRPr="00FC1934">
        <w:rPr>
          <w:lang w:val="fr-FR"/>
        </w:rPr>
        <w:t xml:space="preserve"> sera révisée le cas échéant. Conformément à l’article 36.4, la liste des États parties candidats est finalisée trois jours ouvrables avant l’ouverture de l’Assemblée générale (</w:t>
      </w:r>
      <w:r w:rsidR="00C2783F">
        <w:rPr>
          <w:lang w:val="fr-FR"/>
        </w:rPr>
        <w:t>i.e.</w:t>
      </w:r>
      <w:r w:rsidR="00C2783F" w:rsidRPr="00FC1934">
        <w:rPr>
          <w:lang w:val="fr-FR"/>
        </w:rPr>
        <w:t xml:space="preserve"> </w:t>
      </w:r>
      <w:r w:rsidRPr="00FC1934">
        <w:rPr>
          <w:lang w:val="fr-FR"/>
        </w:rPr>
        <w:t xml:space="preserve">le </w:t>
      </w:r>
      <w:r>
        <w:rPr>
          <w:lang w:val="fr-FR"/>
        </w:rPr>
        <w:t>11</w:t>
      </w:r>
      <w:r w:rsidRPr="00FC1934">
        <w:rPr>
          <w:lang w:val="fr-FR"/>
        </w:rPr>
        <w:t xml:space="preserve"> juin </w:t>
      </w:r>
      <w:r>
        <w:rPr>
          <w:lang w:val="fr-FR"/>
        </w:rPr>
        <w:t>2026</w:t>
      </w:r>
      <w:r w:rsidRPr="00FC1934">
        <w:rPr>
          <w:lang w:val="fr-FR"/>
        </w:rPr>
        <w:t>).</w:t>
      </w:r>
    </w:p>
    <w:p w14:paraId="5C2AEB9B" w14:textId="77777777" w:rsidR="00FC1934" w:rsidRPr="00FC1934" w:rsidRDefault="00FC1934" w:rsidP="00FC1934">
      <w:pPr>
        <w:pStyle w:val="COMPara"/>
        <w:numPr>
          <w:ilvl w:val="0"/>
          <w:numId w:val="9"/>
        </w:numPr>
        <w:ind w:left="567" w:hanging="567"/>
        <w:jc w:val="both"/>
        <w:rPr>
          <w:lang w:val="fr-FR"/>
        </w:rPr>
      </w:pPr>
      <w:r w:rsidRPr="00FC1934">
        <w:rPr>
          <w:lang w:val="fr-FR"/>
        </w:rPr>
        <w:t xml:space="preserve">Selon l’article 26.5 de la Convention, « [t]out État partie à la présente Convention, en retard dans le paiement de sa contribution obligatoire ou volontaire au titre de l’année en cours et l’année civile qui l’a immédiatement précédée, n’est pas éligible au Comité » ; et « [l]e mandat d’un tel État qui est déjà membre du Comité prendra fin au moment de toute élection ». </w:t>
      </w:r>
    </w:p>
    <w:p w14:paraId="759D782A" w14:textId="6B1BF648" w:rsidR="00FC1934" w:rsidRPr="00FC1934" w:rsidRDefault="00FC1934" w:rsidP="00FC1934">
      <w:pPr>
        <w:pStyle w:val="COMPara"/>
        <w:numPr>
          <w:ilvl w:val="0"/>
          <w:numId w:val="9"/>
        </w:numPr>
        <w:ind w:left="567" w:hanging="567"/>
        <w:jc w:val="both"/>
        <w:rPr>
          <w:lang w:val="fr-FR"/>
        </w:rPr>
      </w:pPr>
      <w:r w:rsidRPr="00FC1934">
        <w:rPr>
          <w:lang w:val="fr-FR"/>
        </w:rPr>
        <w:t>En outre, conformément à l’article 36.3 du Règlement intérieur de l’Assemblée générale, « [a]</w:t>
      </w:r>
      <w:proofErr w:type="spellStart"/>
      <w:r w:rsidRPr="00FC1934">
        <w:rPr>
          <w:lang w:val="fr-FR"/>
        </w:rPr>
        <w:t>ucun</w:t>
      </w:r>
      <w:proofErr w:type="spellEnd"/>
      <w:r w:rsidRPr="00FC1934">
        <w:rPr>
          <w:lang w:val="fr-FR"/>
        </w:rPr>
        <w:t xml:space="preserve"> paiement de contributions obligatoires et volontaires au Fonds (ayant pour but de présenter une candidature au Comité) ne peut être accepté pendant la semaine précédant l’ouverture de l’Assemblée » (</w:t>
      </w:r>
      <w:r w:rsidR="00C2783F">
        <w:rPr>
          <w:lang w:val="fr-FR"/>
        </w:rPr>
        <w:t>i.e.</w:t>
      </w:r>
      <w:r w:rsidR="00C2783F" w:rsidRPr="00FC1934">
        <w:rPr>
          <w:lang w:val="fr-FR"/>
        </w:rPr>
        <w:t xml:space="preserve"> </w:t>
      </w:r>
      <w:r w:rsidRPr="00FC1934">
        <w:rPr>
          <w:lang w:val="fr-FR"/>
        </w:rPr>
        <w:t xml:space="preserve">le </w:t>
      </w:r>
      <w:r>
        <w:rPr>
          <w:lang w:val="fr-FR"/>
        </w:rPr>
        <w:t>10</w:t>
      </w:r>
      <w:r w:rsidRPr="00FC1934">
        <w:rPr>
          <w:lang w:val="fr-FR"/>
        </w:rPr>
        <w:t xml:space="preserve"> juin </w:t>
      </w:r>
      <w:r>
        <w:rPr>
          <w:lang w:val="fr-FR"/>
        </w:rPr>
        <w:t>2026</w:t>
      </w:r>
      <w:r w:rsidRPr="00FC1934">
        <w:rPr>
          <w:lang w:val="fr-FR"/>
        </w:rPr>
        <w:t xml:space="preserve">). À cet égard et selon l’article 36.2 du </w:t>
      </w:r>
      <w:r w:rsidRPr="00B5669F">
        <w:rPr>
          <w:lang w:val="fr-FR"/>
        </w:rPr>
        <w:t xml:space="preserve">Règlement intérieur de l’Assemblée générale, la liste provisoire des États parties candidats (document </w:t>
      </w:r>
      <w:hyperlink r:id="rId10" w:history="1">
        <w:r w:rsidRPr="00B5669F">
          <w:rPr>
            <w:rStyle w:val="Hyperlink"/>
            <w:lang w:val="fr-FR"/>
          </w:rPr>
          <w:t>LHE/26/11.GA/INF.10</w:t>
        </w:r>
      </w:hyperlink>
      <w:r w:rsidRPr="00B5669F">
        <w:rPr>
          <w:lang w:val="fr-FR"/>
        </w:rPr>
        <w:t>),</w:t>
      </w:r>
      <w:r w:rsidRPr="00FC1934">
        <w:rPr>
          <w:lang w:val="fr-FR"/>
        </w:rPr>
        <w:t xml:space="preserve"> publiée au moins quatre semaines avant la présente session de l’Assemblée générale (</w:t>
      </w:r>
      <w:r w:rsidR="00C2783F">
        <w:rPr>
          <w:lang w:val="fr-FR"/>
        </w:rPr>
        <w:t>i.e.</w:t>
      </w:r>
      <w:r w:rsidR="00C2783F" w:rsidRPr="00FC1934">
        <w:rPr>
          <w:lang w:val="fr-FR"/>
        </w:rPr>
        <w:t xml:space="preserve"> </w:t>
      </w:r>
      <w:r w:rsidRPr="00FC1934">
        <w:rPr>
          <w:lang w:val="fr-FR"/>
        </w:rPr>
        <w:t xml:space="preserve">le </w:t>
      </w:r>
      <w:r>
        <w:rPr>
          <w:lang w:val="fr-FR"/>
        </w:rPr>
        <w:t>20</w:t>
      </w:r>
      <w:r w:rsidRPr="00FC1934">
        <w:rPr>
          <w:lang w:val="fr-FR"/>
        </w:rPr>
        <w:t xml:space="preserve"> mai </w:t>
      </w:r>
      <w:r>
        <w:rPr>
          <w:lang w:val="fr-FR"/>
        </w:rPr>
        <w:t>2026</w:t>
      </w:r>
      <w:r w:rsidRPr="00FC1934">
        <w:rPr>
          <w:lang w:val="fr-FR"/>
        </w:rPr>
        <w:t>), contient des informations sur l’état de toutes les contributions obligatoires et volontaires au Fonds pour la sauvegarde du patrimoine culturel immatériel versées par chacun des États parties candidats pour les années </w:t>
      </w:r>
      <w:r>
        <w:rPr>
          <w:lang w:val="fr-FR"/>
        </w:rPr>
        <w:t>2025</w:t>
      </w:r>
      <w:r w:rsidRPr="00FC1934">
        <w:rPr>
          <w:lang w:val="fr-FR"/>
        </w:rPr>
        <w:t xml:space="preserve"> et </w:t>
      </w:r>
      <w:r>
        <w:rPr>
          <w:lang w:val="fr-FR"/>
        </w:rPr>
        <w:t>2026</w:t>
      </w:r>
      <w:r w:rsidRPr="00FC1934">
        <w:rPr>
          <w:lang w:val="fr-FR"/>
        </w:rPr>
        <w:t xml:space="preserve"> respectivement, ainsi que la date de leur dernier paiement. </w:t>
      </w:r>
    </w:p>
    <w:p w14:paraId="3517E1D0" w14:textId="0B2B62B1" w:rsidR="00FC1934" w:rsidRPr="00FC1934" w:rsidRDefault="00FC1934" w:rsidP="00FC1934">
      <w:pPr>
        <w:pStyle w:val="COMPara"/>
        <w:numPr>
          <w:ilvl w:val="0"/>
          <w:numId w:val="9"/>
        </w:numPr>
        <w:ind w:left="567" w:hanging="567"/>
        <w:jc w:val="both"/>
        <w:rPr>
          <w:lang w:val="fr-FR"/>
        </w:rPr>
      </w:pPr>
      <w:r w:rsidRPr="00FC1934">
        <w:rPr>
          <w:lang w:val="fr-FR"/>
        </w:rPr>
        <w:t>L’élection des membres du Comité se déroule conformément à l’article 37 du Règlement intérieur de l’Assemblée générale, et en particulier à l’article 37.1 : « </w:t>
      </w:r>
      <w:r w:rsidR="00685FD0">
        <w:rPr>
          <w:lang w:val="fr-FR"/>
        </w:rPr>
        <w:t>[l]</w:t>
      </w:r>
      <w:r w:rsidRPr="00FC1934">
        <w:rPr>
          <w:lang w:val="fr-FR"/>
        </w:rPr>
        <w:t>’élection des membres du Comité se fait au scrutin secret ; cependant lorsque le nombre de candidats selon la répartition géographique correspond ou est inférieur au nombre de sièges à pourvoir, les candidats sont déclarés élus sans qu’il y ait lieu de recourir à un vote »</w:t>
      </w:r>
      <w:r w:rsidR="00685FD0">
        <w:rPr>
          <w:lang w:val="fr-FR"/>
        </w:rPr>
        <w:t>.</w:t>
      </w:r>
      <w:r w:rsidRPr="00FC1934">
        <w:rPr>
          <w:lang w:val="fr-FR"/>
        </w:rPr>
        <w:t xml:space="preserve"> </w:t>
      </w:r>
    </w:p>
    <w:p w14:paraId="703EBA75" w14:textId="77777777" w:rsidR="00FC1934" w:rsidRPr="00FC1934" w:rsidRDefault="00FC1934" w:rsidP="00FC1934">
      <w:pPr>
        <w:pStyle w:val="COMPara"/>
        <w:numPr>
          <w:ilvl w:val="0"/>
          <w:numId w:val="9"/>
        </w:numPr>
        <w:ind w:left="567" w:hanging="567"/>
        <w:rPr>
          <w:lang w:val="fr-FR"/>
        </w:rPr>
      </w:pPr>
      <w:r w:rsidRPr="00FC1934">
        <w:rPr>
          <w:lang w:val="fr-FR"/>
        </w:rPr>
        <w:t>L’Assemblée générale souhaitera peut-être adopter la résolution suivante :</w:t>
      </w:r>
    </w:p>
    <w:p w14:paraId="318408CD" w14:textId="1EB37D1C" w:rsidR="00FC1934" w:rsidRPr="00BB6EEC" w:rsidRDefault="00FC1934" w:rsidP="00FC1934">
      <w:pPr>
        <w:pStyle w:val="COMTitleDecision"/>
        <w:rPr>
          <w:rFonts w:eastAsia="SimSun"/>
        </w:rPr>
      </w:pPr>
      <w:r>
        <w:t>PROJET DE RÉSOLUTION 11</w:t>
      </w:r>
      <w:r w:rsidRPr="001402ED">
        <w:t>.GA 1</w:t>
      </w:r>
      <w:r>
        <w:t>0</w:t>
      </w:r>
    </w:p>
    <w:p w14:paraId="31526256" w14:textId="77777777" w:rsidR="00FC1934" w:rsidRPr="00BB6EEC" w:rsidRDefault="00FC1934" w:rsidP="00FC1934">
      <w:pPr>
        <w:pStyle w:val="COMPreambulaDecisions"/>
        <w:rPr>
          <w:rFonts w:eastAsia="SimSun"/>
        </w:rPr>
      </w:pPr>
      <w:r>
        <w:t>L’Assemblée générale,</w:t>
      </w:r>
    </w:p>
    <w:p w14:paraId="40934A1E" w14:textId="3F3DF5EC" w:rsidR="00FC1934" w:rsidRPr="00BB6EEC" w:rsidRDefault="00FC1934" w:rsidP="00FC1934">
      <w:pPr>
        <w:pStyle w:val="COMParaDecision"/>
      </w:pPr>
      <w:r>
        <w:t>Ayant examiné</w:t>
      </w:r>
      <w:r>
        <w:rPr>
          <w:u w:val="none"/>
        </w:rPr>
        <w:t xml:space="preserve"> le document </w:t>
      </w:r>
      <w:r w:rsidRPr="001402ED">
        <w:rPr>
          <w:u w:val="none"/>
        </w:rPr>
        <w:t>LHE/2</w:t>
      </w:r>
      <w:r>
        <w:rPr>
          <w:u w:val="none"/>
        </w:rPr>
        <w:t>6</w:t>
      </w:r>
      <w:r w:rsidRPr="001402ED">
        <w:rPr>
          <w:u w:val="none"/>
        </w:rPr>
        <w:t>/1</w:t>
      </w:r>
      <w:r>
        <w:rPr>
          <w:u w:val="none"/>
        </w:rPr>
        <w:t>1</w:t>
      </w:r>
      <w:r w:rsidRPr="001402ED">
        <w:rPr>
          <w:u w:val="none"/>
        </w:rPr>
        <w:t>.GA/1</w:t>
      </w:r>
      <w:r>
        <w:rPr>
          <w:u w:val="none"/>
        </w:rPr>
        <w:t>0,</w:t>
      </w:r>
    </w:p>
    <w:p w14:paraId="6D8F48AC" w14:textId="77777777" w:rsidR="00FC1934" w:rsidRPr="005C792B" w:rsidRDefault="00FC1934" w:rsidP="00FC1934">
      <w:pPr>
        <w:pStyle w:val="COMParaDecision"/>
      </w:pPr>
      <w:r>
        <w:t>Rappelant</w:t>
      </w:r>
      <w:r w:rsidRPr="001402ED">
        <w:rPr>
          <w:u w:val="none"/>
        </w:rPr>
        <w:t xml:space="preserve"> les</w:t>
      </w:r>
      <w:r>
        <w:rPr>
          <w:u w:val="none"/>
        </w:rPr>
        <w:t xml:space="preserve"> articles 5, 6 et 26.5 de la Convention et les articles 35, 36 et 37 de son Règlement intérieur</w:t>
      </w:r>
      <w:r w:rsidRPr="001402ED">
        <w:rPr>
          <w:u w:val="none"/>
        </w:rPr>
        <w:t>,</w:t>
      </w:r>
    </w:p>
    <w:p w14:paraId="2CE3DE47" w14:textId="47103008" w:rsidR="00FC1934" w:rsidRPr="00345CB4" w:rsidRDefault="00FC1934" w:rsidP="00FC1934">
      <w:pPr>
        <w:pStyle w:val="COMParaDecision"/>
        <w:jc w:val="left"/>
      </w:pPr>
      <w:r>
        <w:t>Rappelant en outre</w:t>
      </w:r>
      <w:r w:rsidRPr="001402ED">
        <w:rPr>
          <w:u w:val="none"/>
        </w:rPr>
        <w:t xml:space="preserve"> la</w:t>
      </w:r>
      <w:r w:rsidRPr="00594E01">
        <w:rPr>
          <w:u w:val="none"/>
        </w:rPr>
        <w:t xml:space="preserve"> </w:t>
      </w:r>
      <w:r>
        <w:rPr>
          <w:u w:val="none"/>
        </w:rPr>
        <w:t>résolution 11.GA 4</w:t>
      </w:r>
      <w:r w:rsidRPr="001402ED">
        <w:rPr>
          <w:u w:val="none"/>
        </w:rPr>
        <w:t>,</w:t>
      </w:r>
    </w:p>
    <w:p w14:paraId="3CD323EF" w14:textId="77777777" w:rsidR="00FC1934" w:rsidRPr="006742E8" w:rsidRDefault="00FC1934" w:rsidP="00FC1934">
      <w:pPr>
        <w:pStyle w:val="COMParaDecision"/>
        <w:keepNext/>
      </w:pPr>
      <w:r>
        <w:lastRenderedPageBreak/>
        <w:t>Élit</w:t>
      </w:r>
      <w:r>
        <w:rPr>
          <w:u w:val="none"/>
        </w:rPr>
        <w:t xml:space="preserve"> les douze États parties suivants au Comité intergouvernemental de sauvegarde du patrimoine culturel immatériel pour un mandat de quatre ans à compter de la date de l’élection</w:t>
      </w:r>
      <w:r w:rsidRPr="001402ED">
        <w:rPr>
          <w:u w:val="none"/>
        </w:rPr>
        <w:t> :</w:t>
      </w:r>
    </w:p>
    <w:p w14:paraId="0B164F02" w14:textId="77777777" w:rsidR="00FC1934" w:rsidRPr="006742E8" w:rsidRDefault="00FC1934" w:rsidP="00FC1934">
      <w:pPr>
        <w:pStyle w:val="COMParaDecision"/>
        <w:numPr>
          <w:ilvl w:val="0"/>
          <w:numId w:val="0"/>
        </w:numPr>
        <w:ind w:left="1134"/>
        <w:rPr>
          <w:u w:val="none"/>
        </w:rPr>
      </w:pPr>
      <w:r>
        <w:rPr>
          <w:u w:val="none"/>
        </w:rPr>
        <w:t xml:space="preserve">Groupe I : </w:t>
      </w:r>
    </w:p>
    <w:p w14:paraId="71E1C8A1" w14:textId="77777777" w:rsidR="00FC1934" w:rsidRPr="006742E8" w:rsidRDefault="00FC1934" w:rsidP="00FC1934">
      <w:pPr>
        <w:pStyle w:val="COMParaDecision"/>
        <w:numPr>
          <w:ilvl w:val="0"/>
          <w:numId w:val="0"/>
        </w:numPr>
        <w:ind w:left="1134"/>
        <w:rPr>
          <w:u w:val="none"/>
        </w:rPr>
      </w:pPr>
      <w:r>
        <w:rPr>
          <w:u w:val="none"/>
        </w:rPr>
        <w:t xml:space="preserve">Groupe II : </w:t>
      </w:r>
    </w:p>
    <w:p w14:paraId="7DDABE92" w14:textId="77777777" w:rsidR="00FC1934" w:rsidRPr="006742E8" w:rsidRDefault="00FC1934" w:rsidP="00FC1934">
      <w:pPr>
        <w:pStyle w:val="COMParaDecision"/>
        <w:numPr>
          <w:ilvl w:val="0"/>
          <w:numId w:val="0"/>
        </w:numPr>
        <w:ind w:left="1134"/>
        <w:rPr>
          <w:u w:val="none"/>
        </w:rPr>
      </w:pPr>
      <w:r>
        <w:rPr>
          <w:u w:val="none"/>
        </w:rPr>
        <w:t xml:space="preserve">Groupe III : </w:t>
      </w:r>
    </w:p>
    <w:p w14:paraId="4BCDF16E" w14:textId="77777777" w:rsidR="00FC1934" w:rsidRPr="006742E8" w:rsidRDefault="00FC1934" w:rsidP="00FC1934">
      <w:pPr>
        <w:pStyle w:val="COMParaDecision"/>
        <w:numPr>
          <w:ilvl w:val="0"/>
          <w:numId w:val="0"/>
        </w:numPr>
        <w:ind w:left="1134"/>
        <w:rPr>
          <w:u w:val="none"/>
        </w:rPr>
      </w:pPr>
      <w:r>
        <w:rPr>
          <w:u w:val="none"/>
        </w:rPr>
        <w:t xml:space="preserve">Groupe IV : </w:t>
      </w:r>
    </w:p>
    <w:p w14:paraId="36B3F5AF" w14:textId="1A75CE02" w:rsidR="00FC1934" w:rsidRPr="006742E8" w:rsidRDefault="00FC1934" w:rsidP="00FC1934">
      <w:pPr>
        <w:pStyle w:val="COMParaDecision"/>
        <w:numPr>
          <w:ilvl w:val="0"/>
          <w:numId w:val="0"/>
        </w:numPr>
        <w:ind w:left="1134"/>
        <w:rPr>
          <w:u w:val="none"/>
        </w:rPr>
      </w:pPr>
      <w:r>
        <w:rPr>
          <w:u w:val="none"/>
        </w:rPr>
        <w:t xml:space="preserve">Groupe V(a) : </w:t>
      </w:r>
    </w:p>
    <w:p w14:paraId="65261340" w14:textId="2AC42510" w:rsidR="002E2F53" w:rsidRPr="00B5669F" w:rsidRDefault="00FC1934" w:rsidP="00B5669F">
      <w:pPr>
        <w:pStyle w:val="COMParaDecision"/>
        <w:numPr>
          <w:ilvl w:val="0"/>
          <w:numId w:val="0"/>
        </w:numPr>
        <w:ind w:left="1134"/>
        <w:rPr>
          <w:u w:val="none"/>
        </w:rPr>
      </w:pPr>
      <w:r>
        <w:rPr>
          <w:u w:val="none"/>
        </w:rPr>
        <w:t xml:space="preserve">Groupe V(b) : </w:t>
      </w:r>
    </w:p>
    <w:sectPr w:rsidR="002E2F53" w:rsidRPr="00B5669F"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74FB" w14:textId="77777777" w:rsidR="00F37706" w:rsidRDefault="00F37706" w:rsidP="00655736">
      <w:r>
        <w:separator/>
      </w:r>
    </w:p>
    <w:p w14:paraId="0FC6806D" w14:textId="77777777" w:rsidR="00F37706" w:rsidRDefault="00F37706"/>
    <w:p w14:paraId="4D3994C3" w14:textId="77777777" w:rsidR="00F37706" w:rsidRDefault="00F37706" w:rsidP="002E58D4"/>
    <w:p w14:paraId="350CDB66" w14:textId="77777777" w:rsidR="00F37706" w:rsidRDefault="00F37706" w:rsidP="002E58D4"/>
    <w:p w14:paraId="4949BABC" w14:textId="77777777" w:rsidR="00F37706" w:rsidRDefault="00F37706" w:rsidP="002E58D4"/>
  </w:endnote>
  <w:endnote w:type="continuationSeparator" w:id="0">
    <w:p w14:paraId="505719C6" w14:textId="77777777" w:rsidR="00F37706" w:rsidRDefault="00F37706" w:rsidP="00655736">
      <w:r>
        <w:continuationSeparator/>
      </w:r>
    </w:p>
    <w:p w14:paraId="38849500" w14:textId="77777777" w:rsidR="00F37706" w:rsidRDefault="00F37706"/>
    <w:p w14:paraId="5154F332" w14:textId="77777777" w:rsidR="00F37706" w:rsidRDefault="00F37706" w:rsidP="002E58D4"/>
    <w:p w14:paraId="4302A8F8" w14:textId="77777777" w:rsidR="00F37706" w:rsidRDefault="00F37706" w:rsidP="002E58D4"/>
    <w:p w14:paraId="581909D5" w14:textId="77777777" w:rsidR="00F37706" w:rsidRDefault="00F37706"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115B" w14:textId="77777777" w:rsidR="00F37706" w:rsidRDefault="00F37706" w:rsidP="00655736">
      <w:r>
        <w:separator/>
      </w:r>
    </w:p>
  </w:footnote>
  <w:footnote w:type="continuationSeparator" w:id="0">
    <w:p w14:paraId="5D2D745D" w14:textId="77777777" w:rsidR="00F37706" w:rsidRDefault="00F37706" w:rsidP="00655736">
      <w:r>
        <w:continuationSeparator/>
      </w:r>
    </w:p>
    <w:p w14:paraId="33D5EF59" w14:textId="77777777" w:rsidR="00F37706" w:rsidRDefault="00F37706"/>
    <w:p w14:paraId="314C01D3" w14:textId="77777777" w:rsidR="00F37706" w:rsidRDefault="00F37706" w:rsidP="002E58D4"/>
    <w:p w14:paraId="4BEEC2FC" w14:textId="77777777" w:rsidR="00F37706" w:rsidRDefault="00F37706" w:rsidP="002E58D4"/>
    <w:p w14:paraId="21BB1464" w14:textId="77777777" w:rsidR="00F37706" w:rsidRDefault="00F37706"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437459F3"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7129DE">
      <w:rPr>
        <w:rFonts w:ascii="Arial" w:hAnsi="Arial" w:cs="Arial"/>
        <w:sz w:val="20"/>
        <w:szCs w:val="20"/>
        <w:lang w:val="en-US"/>
      </w:rPr>
      <w:t>6</w:t>
    </w:r>
    <w:r>
      <w:rPr>
        <w:rFonts w:ascii="Arial" w:hAnsi="Arial" w:cs="Arial"/>
        <w:sz w:val="20"/>
        <w:szCs w:val="20"/>
        <w:lang w:val="en-US"/>
      </w:rPr>
      <w:t>/1</w:t>
    </w:r>
    <w:r w:rsidR="007129DE">
      <w:rPr>
        <w:rFonts w:ascii="Arial" w:hAnsi="Arial" w:cs="Arial"/>
        <w:sz w:val="20"/>
        <w:szCs w:val="20"/>
        <w:lang w:val="en-US"/>
      </w:rPr>
      <w:t>1</w:t>
    </w:r>
    <w:r>
      <w:rPr>
        <w:rFonts w:ascii="Arial" w:hAnsi="Arial" w:cs="Arial"/>
        <w:sz w:val="20"/>
        <w:szCs w:val="20"/>
        <w:lang w:val="en-US"/>
      </w:rPr>
      <w:t>.</w:t>
    </w:r>
    <w:r w:rsidR="00886994">
      <w:rPr>
        <w:rFonts w:ascii="Arial" w:hAnsi="Arial" w:cs="Arial"/>
        <w:sz w:val="20"/>
        <w:szCs w:val="20"/>
        <w:lang w:val="en-US"/>
      </w:rPr>
      <w:t>GA</w:t>
    </w:r>
    <w:r w:rsidR="00E9376C">
      <w:rPr>
        <w:rFonts w:ascii="Arial" w:hAnsi="Arial" w:cs="Arial"/>
        <w:sz w:val="20"/>
        <w:szCs w:val="20"/>
        <w:lang w:val="en-US"/>
      </w:rPr>
      <w:t>/</w:t>
    </w:r>
    <w:r w:rsidR="00FC1934">
      <w:rPr>
        <w:rFonts w:ascii="Arial" w:hAnsi="Arial" w:cs="Arial"/>
        <w:sz w:val="20"/>
        <w:szCs w:val="20"/>
        <w:lang w:val="en-US"/>
      </w:rPr>
      <w:t>10</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0E82AC8F"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7129DE">
      <w:rPr>
        <w:rFonts w:ascii="Arial" w:hAnsi="Arial" w:cs="Arial"/>
        <w:sz w:val="20"/>
        <w:szCs w:val="20"/>
        <w:lang w:val="en-US"/>
      </w:rPr>
      <w:t>6</w:t>
    </w:r>
    <w:r w:rsidR="00EF74E3">
      <w:rPr>
        <w:rFonts w:ascii="Arial" w:hAnsi="Arial" w:cs="Arial"/>
        <w:sz w:val="20"/>
        <w:szCs w:val="20"/>
        <w:lang w:val="en-US"/>
      </w:rPr>
      <w:t>/1</w:t>
    </w:r>
    <w:r w:rsidR="007129DE">
      <w:rPr>
        <w:rFonts w:ascii="Arial" w:hAnsi="Arial" w:cs="Arial"/>
        <w:sz w:val="20"/>
        <w:szCs w:val="20"/>
        <w:lang w:val="en-US"/>
      </w:rPr>
      <w:t>1</w:t>
    </w:r>
    <w:r>
      <w:rPr>
        <w:rFonts w:ascii="Arial" w:hAnsi="Arial" w:cs="Arial"/>
        <w:sz w:val="20"/>
        <w:szCs w:val="20"/>
        <w:lang w:val="en-US"/>
      </w:rPr>
      <w:t>.</w:t>
    </w:r>
    <w:r w:rsidR="0048558A">
      <w:rPr>
        <w:rFonts w:ascii="Arial" w:hAnsi="Arial" w:cs="Arial"/>
        <w:sz w:val="20"/>
        <w:szCs w:val="20"/>
        <w:lang w:val="en-US"/>
      </w:rPr>
      <w:t>GA</w:t>
    </w:r>
    <w:r w:rsidR="002C0D14">
      <w:rPr>
        <w:rFonts w:ascii="Arial" w:hAnsi="Arial" w:cs="Arial"/>
        <w:sz w:val="20"/>
        <w:szCs w:val="20"/>
        <w:lang w:val="en-US"/>
      </w:rPr>
      <w:t>/</w:t>
    </w:r>
    <w:r w:rsidR="00FC1934">
      <w:rPr>
        <w:rFonts w:ascii="Arial" w:hAnsi="Arial" w:cs="Arial"/>
        <w:sz w:val="20"/>
        <w:szCs w:val="20"/>
        <w:lang w:val="en-US"/>
      </w:rPr>
      <w:t>10</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629DAF96" w:rsidR="00E9376C" w:rsidRPr="00C318BF" w:rsidRDefault="00EA602C" w:rsidP="008F09EC">
    <w:pPr>
      <w:pStyle w:val="Header"/>
      <w:spacing w:after="520"/>
      <w:jc w:val="right"/>
      <w:rPr>
        <w:rFonts w:ascii="Arial" w:hAnsi="Arial" w:cs="Arial"/>
        <w:b/>
        <w:sz w:val="44"/>
        <w:szCs w:val="44"/>
        <w:lang w:val="pt-PT"/>
      </w:rPr>
    </w:pPr>
    <w:r w:rsidRPr="00C318BF">
      <w:rPr>
        <w:rFonts w:ascii="Arial" w:hAnsi="Arial" w:cs="Arial"/>
        <w:b/>
        <w:sz w:val="44"/>
        <w:szCs w:val="44"/>
        <w:lang w:val="pt-PT"/>
      </w:rPr>
      <w:t>1</w:t>
    </w:r>
    <w:r w:rsidR="007129DE">
      <w:rPr>
        <w:rFonts w:ascii="Arial" w:hAnsi="Arial" w:cs="Arial"/>
        <w:b/>
        <w:sz w:val="44"/>
        <w:szCs w:val="44"/>
        <w:lang w:val="pt-PT"/>
      </w:rPr>
      <w:t>1</w:t>
    </w:r>
    <w:r w:rsidR="00E9376C" w:rsidRPr="00C318BF">
      <w:rPr>
        <w:rFonts w:ascii="Arial" w:hAnsi="Arial" w:cs="Arial"/>
        <w:b/>
        <w:sz w:val="44"/>
        <w:szCs w:val="44"/>
        <w:lang w:val="pt-PT"/>
      </w:rPr>
      <w:t xml:space="preserve"> </w:t>
    </w:r>
    <w:r w:rsidR="00886994">
      <w:rPr>
        <w:rFonts w:ascii="Arial" w:hAnsi="Arial" w:cs="Arial"/>
        <w:b/>
        <w:sz w:val="44"/>
        <w:szCs w:val="44"/>
        <w:lang w:val="pt-PT"/>
      </w:rPr>
      <w:t>GA</w:t>
    </w:r>
  </w:p>
  <w:p w14:paraId="4AD38C3D" w14:textId="4058C55E"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7129DE">
      <w:rPr>
        <w:rFonts w:ascii="Arial" w:hAnsi="Arial" w:cs="Arial"/>
        <w:b/>
        <w:sz w:val="22"/>
        <w:szCs w:val="22"/>
        <w:lang w:val="pt-PT"/>
      </w:rPr>
      <w:t>6</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7129DE">
      <w:rPr>
        <w:rFonts w:ascii="Arial" w:hAnsi="Arial" w:cs="Arial"/>
        <w:b/>
        <w:sz w:val="22"/>
        <w:szCs w:val="22"/>
        <w:lang w:val="pt-PT"/>
      </w:rPr>
      <w:t>1</w:t>
    </w:r>
    <w:r w:rsidR="00E9376C" w:rsidRPr="00C318BF">
      <w:rPr>
        <w:rFonts w:ascii="Arial" w:hAnsi="Arial" w:cs="Arial"/>
        <w:b/>
        <w:sz w:val="22"/>
        <w:szCs w:val="22"/>
        <w:lang w:val="pt-PT"/>
      </w:rPr>
      <w:t>.</w:t>
    </w:r>
    <w:r w:rsidR="00886994">
      <w:rPr>
        <w:rFonts w:ascii="Arial" w:hAnsi="Arial" w:cs="Arial"/>
        <w:b/>
        <w:sz w:val="22"/>
        <w:szCs w:val="22"/>
        <w:lang w:val="pt-PT"/>
      </w:rPr>
      <w:t>GA</w:t>
    </w:r>
    <w:r w:rsidR="00E9376C" w:rsidRPr="00C318BF">
      <w:rPr>
        <w:rFonts w:ascii="Arial" w:hAnsi="Arial" w:cs="Arial"/>
        <w:b/>
        <w:sz w:val="22"/>
        <w:szCs w:val="22"/>
        <w:lang w:val="pt-PT"/>
      </w:rPr>
      <w:t>/</w:t>
    </w:r>
    <w:r w:rsidR="00FC1934">
      <w:rPr>
        <w:rFonts w:ascii="Arial" w:hAnsi="Arial" w:cs="Arial"/>
        <w:b/>
        <w:sz w:val="22"/>
        <w:szCs w:val="22"/>
        <w:lang w:val="pt-PT"/>
      </w:rPr>
      <w:t>10</w:t>
    </w:r>
  </w:p>
  <w:p w14:paraId="30B7DEB9" w14:textId="36D25D12"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 xml:space="preserve">le </w:t>
    </w:r>
    <w:r w:rsidR="00FC1934" w:rsidRPr="00B5669F">
      <w:rPr>
        <w:rFonts w:ascii="Arial" w:hAnsi="Arial" w:cs="Arial"/>
        <w:b/>
        <w:sz w:val="22"/>
        <w:szCs w:val="22"/>
        <w:lang w:val="pt-PT"/>
      </w:rPr>
      <w:t>18 mai</w:t>
    </w:r>
    <w:r w:rsidR="0057439C" w:rsidRPr="00B5669F">
      <w:rPr>
        <w:rFonts w:ascii="Arial" w:hAnsi="Arial" w:cs="Arial"/>
        <w:b/>
        <w:sz w:val="22"/>
        <w:szCs w:val="22"/>
        <w:lang w:val="pt-PT"/>
      </w:rPr>
      <w:t xml:space="preserve"> </w:t>
    </w:r>
    <w:r w:rsidR="00495C25" w:rsidRPr="00FB6DA0">
      <w:rPr>
        <w:rFonts w:ascii="Arial" w:hAnsi="Arial" w:cs="Arial"/>
        <w:b/>
        <w:sz w:val="22"/>
        <w:szCs w:val="22"/>
        <w:lang w:val="pt-PT"/>
      </w:rPr>
      <w:t>20</w:t>
    </w:r>
    <w:r w:rsidR="00D520C1" w:rsidRPr="00FB6DA0">
      <w:rPr>
        <w:rFonts w:ascii="Arial" w:hAnsi="Arial" w:cs="Arial"/>
        <w:b/>
        <w:sz w:val="22"/>
        <w:szCs w:val="22"/>
        <w:lang w:val="pt-PT"/>
      </w:rPr>
      <w:t>2</w:t>
    </w:r>
    <w:r w:rsidR="007129DE" w:rsidRPr="00FB6DA0">
      <w:rPr>
        <w:rFonts w:ascii="Arial" w:hAnsi="Arial" w:cs="Arial"/>
        <w:b/>
        <w:sz w:val="22"/>
        <w:szCs w:val="22"/>
        <w:lang w:val="pt-PT"/>
      </w:rPr>
      <w:t>6</w:t>
    </w:r>
  </w:p>
  <w:p w14:paraId="18E81B87" w14:textId="0AA17C1C"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FC1934">
      <w:rPr>
        <w:rFonts w:ascii="Arial" w:hAnsi="Arial" w:cs="Arial"/>
        <w:b/>
        <w:sz w:val="22"/>
        <w:szCs w:val="22"/>
      </w:rPr>
      <w:t>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3"/>
  </w:num>
  <w:num w:numId="2" w16cid:durableId="853350057">
    <w:abstractNumId w:val="7"/>
  </w:num>
  <w:num w:numId="3" w16cid:durableId="1589851626">
    <w:abstractNumId w:val="1"/>
  </w:num>
  <w:num w:numId="4" w16cid:durableId="1870560250">
    <w:abstractNumId w:val="17"/>
  </w:num>
  <w:num w:numId="5" w16cid:durableId="1596859225">
    <w:abstractNumId w:val="14"/>
  </w:num>
  <w:num w:numId="6" w16cid:durableId="2080975943">
    <w:abstractNumId w:val="0"/>
  </w:num>
  <w:num w:numId="7" w16cid:durableId="1851137970">
    <w:abstractNumId w:val="2"/>
  </w:num>
  <w:num w:numId="8" w16cid:durableId="1715739635">
    <w:abstractNumId w:val="10"/>
  </w:num>
  <w:num w:numId="9" w16cid:durableId="1954705027">
    <w:abstractNumId w:val="6"/>
  </w:num>
  <w:num w:numId="10" w16cid:durableId="1949507549">
    <w:abstractNumId w:val="8"/>
  </w:num>
  <w:num w:numId="11" w16cid:durableId="671029231">
    <w:abstractNumId w:val="5"/>
  </w:num>
  <w:num w:numId="12" w16cid:durableId="1165126896">
    <w:abstractNumId w:val="4"/>
  </w:num>
  <w:num w:numId="13" w16cid:durableId="90053317">
    <w:abstractNumId w:val="12"/>
  </w:num>
  <w:num w:numId="14" w16cid:durableId="1645357661">
    <w:abstractNumId w:val="3"/>
  </w:num>
  <w:num w:numId="15" w16cid:durableId="797996451">
    <w:abstractNumId w:val="16"/>
  </w:num>
  <w:num w:numId="16" w16cid:durableId="164127508">
    <w:abstractNumId w:val="11"/>
  </w:num>
  <w:num w:numId="17" w16cid:durableId="1405369454">
    <w:abstractNumId w:val="8"/>
    <w:lvlOverride w:ilvl="0">
      <w:startOverride w:val="1"/>
    </w:lvlOverride>
  </w:num>
  <w:num w:numId="18" w16cid:durableId="918949064">
    <w:abstractNumId w:val="15"/>
  </w:num>
  <w:num w:numId="19" w16cid:durableId="1916747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5176E"/>
    <w:rsid w:val="000573DC"/>
    <w:rsid w:val="00077AB7"/>
    <w:rsid w:val="00081CD8"/>
    <w:rsid w:val="0008329C"/>
    <w:rsid w:val="00084F78"/>
    <w:rsid w:val="000A7F0E"/>
    <w:rsid w:val="000B37DC"/>
    <w:rsid w:val="000E6CD7"/>
    <w:rsid w:val="000F3A3F"/>
    <w:rsid w:val="00114C01"/>
    <w:rsid w:val="00164D56"/>
    <w:rsid w:val="00165170"/>
    <w:rsid w:val="00167B10"/>
    <w:rsid w:val="0019264E"/>
    <w:rsid w:val="00196C1B"/>
    <w:rsid w:val="001A766C"/>
    <w:rsid w:val="001B0F73"/>
    <w:rsid w:val="001B28AF"/>
    <w:rsid w:val="0020150F"/>
    <w:rsid w:val="00211645"/>
    <w:rsid w:val="00222A2D"/>
    <w:rsid w:val="002407AF"/>
    <w:rsid w:val="00280D62"/>
    <w:rsid w:val="002A6C11"/>
    <w:rsid w:val="002A6F73"/>
    <w:rsid w:val="002A7A0F"/>
    <w:rsid w:val="002C0D14"/>
    <w:rsid w:val="002E2F53"/>
    <w:rsid w:val="002E3493"/>
    <w:rsid w:val="002E3D25"/>
    <w:rsid w:val="002E58D4"/>
    <w:rsid w:val="0032583C"/>
    <w:rsid w:val="00366C4F"/>
    <w:rsid w:val="003732E4"/>
    <w:rsid w:val="003845BE"/>
    <w:rsid w:val="003C1678"/>
    <w:rsid w:val="003D069C"/>
    <w:rsid w:val="003E07D8"/>
    <w:rsid w:val="003E2A08"/>
    <w:rsid w:val="003F113A"/>
    <w:rsid w:val="004239C7"/>
    <w:rsid w:val="00440F9B"/>
    <w:rsid w:val="004417A7"/>
    <w:rsid w:val="004421E5"/>
    <w:rsid w:val="00443880"/>
    <w:rsid w:val="004514DE"/>
    <w:rsid w:val="00452284"/>
    <w:rsid w:val="00461168"/>
    <w:rsid w:val="00467FBE"/>
    <w:rsid w:val="0048558A"/>
    <w:rsid w:val="00486948"/>
    <w:rsid w:val="00495C25"/>
    <w:rsid w:val="0049705E"/>
    <w:rsid w:val="005158FF"/>
    <w:rsid w:val="00526B7B"/>
    <w:rsid w:val="005308CE"/>
    <w:rsid w:val="005678AF"/>
    <w:rsid w:val="0057439C"/>
    <w:rsid w:val="00576CF4"/>
    <w:rsid w:val="005B0127"/>
    <w:rsid w:val="005C094D"/>
    <w:rsid w:val="005C4B73"/>
    <w:rsid w:val="00600D93"/>
    <w:rsid w:val="006042C6"/>
    <w:rsid w:val="00616C7B"/>
    <w:rsid w:val="00627C5C"/>
    <w:rsid w:val="00655736"/>
    <w:rsid w:val="00663B8D"/>
    <w:rsid w:val="00685FD0"/>
    <w:rsid w:val="006923BD"/>
    <w:rsid w:val="00696C8D"/>
    <w:rsid w:val="006A2AC2"/>
    <w:rsid w:val="006A3617"/>
    <w:rsid w:val="006B5001"/>
    <w:rsid w:val="006D21D9"/>
    <w:rsid w:val="006D2536"/>
    <w:rsid w:val="006E46E4"/>
    <w:rsid w:val="006F444F"/>
    <w:rsid w:val="007129DE"/>
    <w:rsid w:val="00717AAB"/>
    <w:rsid w:val="00717DBD"/>
    <w:rsid w:val="00741016"/>
    <w:rsid w:val="00764CF9"/>
    <w:rsid w:val="00784B8C"/>
    <w:rsid w:val="007A000F"/>
    <w:rsid w:val="007C354B"/>
    <w:rsid w:val="007C38A9"/>
    <w:rsid w:val="007E60C6"/>
    <w:rsid w:val="008064F0"/>
    <w:rsid w:val="00823A11"/>
    <w:rsid w:val="00824EF7"/>
    <w:rsid w:val="00850505"/>
    <w:rsid w:val="0085414A"/>
    <w:rsid w:val="0086269D"/>
    <w:rsid w:val="00863302"/>
    <w:rsid w:val="008712A2"/>
    <w:rsid w:val="00871C8F"/>
    <w:rsid w:val="008724E5"/>
    <w:rsid w:val="00884A9D"/>
    <w:rsid w:val="00886994"/>
    <w:rsid w:val="008A4E1E"/>
    <w:rsid w:val="008B64DF"/>
    <w:rsid w:val="008C0E44"/>
    <w:rsid w:val="008C296C"/>
    <w:rsid w:val="008D4305"/>
    <w:rsid w:val="008D4C67"/>
    <w:rsid w:val="008D4D0D"/>
    <w:rsid w:val="008F09EC"/>
    <w:rsid w:val="008F5A4F"/>
    <w:rsid w:val="00913D86"/>
    <w:rsid w:val="009163A7"/>
    <w:rsid w:val="00922E3E"/>
    <w:rsid w:val="00933C6B"/>
    <w:rsid w:val="00950F68"/>
    <w:rsid w:val="00962119"/>
    <w:rsid w:val="00974249"/>
    <w:rsid w:val="00993211"/>
    <w:rsid w:val="009A18CD"/>
    <w:rsid w:val="009B223B"/>
    <w:rsid w:val="009B5302"/>
    <w:rsid w:val="009E1B50"/>
    <w:rsid w:val="00A12558"/>
    <w:rsid w:val="00A13903"/>
    <w:rsid w:val="00A22951"/>
    <w:rsid w:val="00A34ED5"/>
    <w:rsid w:val="00A45DBF"/>
    <w:rsid w:val="00A61C6E"/>
    <w:rsid w:val="00A755A2"/>
    <w:rsid w:val="00A90761"/>
    <w:rsid w:val="00AB2C36"/>
    <w:rsid w:val="00AC35FB"/>
    <w:rsid w:val="00AD1A86"/>
    <w:rsid w:val="00AE103E"/>
    <w:rsid w:val="00AE3322"/>
    <w:rsid w:val="00AF0A07"/>
    <w:rsid w:val="00AF5AE5"/>
    <w:rsid w:val="00AF625E"/>
    <w:rsid w:val="00AF721B"/>
    <w:rsid w:val="00B03046"/>
    <w:rsid w:val="00B152B1"/>
    <w:rsid w:val="00B43974"/>
    <w:rsid w:val="00B45750"/>
    <w:rsid w:val="00B5229C"/>
    <w:rsid w:val="00B5669F"/>
    <w:rsid w:val="00B675B6"/>
    <w:rsid w:val="00B90701"/>
    <w:rsid w:val="00B907C4"/>
    <w:rsid w:val="00BC3420"/>
    <w:rsid w:val="00BD52C9"/>
    <w:rsid w:val="00BE6354"/>
    <w:rsid w:val="00C06C42"/>
    <w:rsid w:val="00C2783F"/>
    <w:rsid w:val="00C318BF"/>
    <w:rsid w:val="00C358C4"/>
    <w:rsid w:val="00C377F5"/>
    <w:rsid w:val="00C70EA7"/>
    <w:rsid w:val="00C7516E"/>
    <w:rsid w:val="00CB72A0"/>
    <w:rsid w:val="00CD0D5A"/>
    <w:rsid w:val="00D02494"/>
    <w:rsid w:val="00D24877"/>
    <w:rsid w:val="00D520C1"/>
    <w:rsid w:val="00D5368D"/>
    <w:rsid w:val="00D74CB6"/>
    <w:rsid w:val="00D75D42"/>
    <w:rsid w:val="00DA36ED"/>
    <w:rsid w:val="00DB4217"/>
    <w:rsid w:val="00DB4A84"/>
    <w:rsid w:val="00DC0F3C"/>
    <w:rsid w:val="00DC1F00"/>
    <w:rsid w:val="00DE34F1"/>
    <w:rsid w:val="00DF4942"/>
    <w:rsid w:val="00E22288"/>
    <w:rsid w:val="00E47AD3"/>
    <w:rsid w:val="00E60B9D"/>
    <w:rsid w:val="00E627B1"/>
    <w:rsid w:val="00E62B4C"/>
    <w:rsid w:val="00E9376C"/>
    <w:rsid w:val="00EA602C"/>
    <w:rsid w:val="00ED3691"/>
    <w:rsid w:val="00EE0429"/>
    <w:rsid w:val="00EF74E3"/>
    <w:rsid w:val="00F134B7"/>
    <w:rsid w:val="00F37706"/>
    <w:rsid w:val="00F4581D"/>
    <w:rsid w:val="00F576CB"/>
    <w:rsid w:val="00F62542"/>
    <w:rsid w:val="00F84A0B"/>
    <w:rsid w:val="00FB6DA0"/>
    <w:rsid w:val="00FC1934"/>
    <w:rsid w:val="00FC2940"/>
    <w:rsid w:val="00FC4715"/>
    <w:rsid w:val="00FD1226"/>
    <w:rsid w:val="00FE296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5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4_FR.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doc/src/LHE-26-11.GA-INF.10_EN.docx" TargetMode="External"/><Relationship Id="rId4" Type="http://schemas.openxmlformats.org/officeDocument/2006/relationships/settings" Target="settings.xml"/><Relationship Id="rId9" Type="http://schemas.openxmlformats.org/officeDocument/2006/relationships/hyperlink" Target="https://ich.unesco.org/doc/src/LHE-26-11.GA-INF.10_FR.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2026-05-18T08:49:00Z</dcterms:created>
  <dcterms:modified xsi:type="dcterms:W3CDTF">2026-05-18T08:49:00Z</dcterms:modified>
</cp:coreProperties>
</file>