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1D025" w14:textId="77777777" w:rsidR="00BC3420" w:rsidRPr="00A61C6E" w:rsidRDefault="00BC3420" w:rsidP="00BC3420">
      <w:pPr>
        <w:spacing w:before="1440"/>
        <w:jc w:val="center"/>
        <w:rPr>
          <w:rFonts w:ascii="Arial" w:hAnsi="Arial" w:cs="Arial"/>
          <w:b/>
          <w:sz w:val="22"/>
          <w:szCs w:val="22"/>
        </w:rPr>
      </w:pPr>
      <w:r w:rsidRPr="00A61C6E">
        <w:rPr>
          <w:rFonts w:ascii="Arial" w:hAnsi="Arial" w:cs="Arial"/>
          <w:b/>
          <w:sz w:val="22"/>
          <w:szCs w:val="22"/>
        </w:rPr>
        <w:t>CONVENTION POUR LA SAUVEGARDE DU</w:t>
      </w:r>
      <w:r w:rsidRPr="00A61C6E">
        <w:rPr>
          <w:rFonts w:ascii="Arial" w:hAnsi="Arial" w:cs="Arial"/>
          <w:b/>
          <w:sz w:val="22"/>
          <w:szCs w:val="22"/>
        </w:rPr>
        <w:br/>
        <w:t>PATRIMOINE CULTUREL IMMATÉRIEL</w:t>
      </w:r>
    </w:p>
    <w:p w14:paraId="2F1AD104" w14:textId="77777777" w:rsidR="00BC3420" w:rsidRPr="00A61C6E" w:rsidRDefault="00BC3420" w:rsidP="00BC3420">
      <w:pPr>
        <w:spacing w:before="1200"/>
        <w:jc w:val="center"/>
        <w:rPr>
          <w:rFonts w:ascii="Arial" w:hAnsi="Arial" w:cs="Arial"/>
          <w:b/>
          <w:sz w:val="22"/>
          <w:szCs w:val="22"/>
        </w:rPr>
      </w:pPr>
      <w:r w:rsidRPr="00A61C6E">
        <w:rPr>
          <w:rFonts w:ascii="Arial" w:hAnsi="Arial" w:cs="Arial"/>
          <w:b/>
          <w:sz w:val="22"/>
          <w:szCs w:val="22"/>
        </w:rPr>
        <w:t>COMITÉ INTERGOUVERNEMENTAL DE SAUVEGARDE</w:t>
      </w:r>
      <w:r w:rsidRPr="00A61C6E">
        <w:rPr>
          <w:rFonts w:ascii="Arial" w:hAnsi="Arial" w:cs="Arial"/>
          <w:b/>
          <w:sz w:val="22"/>
          <w:szCs w:val="22"/>
        </w:rPr>
        <w:br/>
        <w:t>DU PATRIMOINE CULTUREL IMMATÉRIEL</w:t>
      </w:r>
    </w:p>
    <w:p w14:paraId="040EDB3A" w14:textId="77777777" w:rsidR="00AC4027" w:rsidRPr="00C4434C" w:rsidRDefault="00AC4027" w:rsidP="00AC4027">
      <w:pPr>
        <w:spacing w:before="840" w:after="840"/>
        <w:jc w:val="center"/>
        <w:rPr>
          <w:rFonts w:ascii="Arial" w:hAnsi="Arial" w:cs="Arial"/>
          <w:b/>
          <w:sz w:val="22"/>
          <w:szCs w:val="22"/>
        </w:rPr>
      </w:pPr>
      <w:r w:rsidRPr="00C4434C">
        <w:rPr>
          <w:rFonts w:ascii="Arial" w:hAnsi="Arial" w:cs="Arial"/>
          <w:b/>
          <w:sz w:val="22"/>
          <w:szCs w:val="22"/>
        </w:rPr>
        <w:t>Réunion du Bureau</w:t>
      </w:r>
    </w:p>
    <w:p w14:paraId="342A8D74" w14:textId="176C67AF" w:rsidR="00AC4027" w:rsidRPr="00C4434C" w:rsidRDefault="00AC4027" w:rsidP="00AC4027">
      <w:pPr>
        <w:jc w:val="center"/>
        <w:rPr>
          <w:rFonts w:ascii="Arial" w:hAnsi="Arial"/>
          <w:b/>
          <w:sz w:val="22"/>
        </w:rPr>
      </w:pPr>
      <w:r w:rsidRPr="00C4434C">
        <w:rPr>
          <w:rFonts w:ascii="Arial" w:hAnsi="Arial"/>
          <w:b/>
          <w:sz w:val="22"/>
        </w:rPr>
        <w:t xml:space="preserve">Siège de l’UNESCO, </w:t>
      </w:r>
      <w:r w:rsidR="00130D3D" w:rsidRPr="00C4434C">
        <w:rPr>
          <w:rFonts w:ascii="Arial" w:hAnsi="Arial"/>
          <w:b/>
          <w:sz w:val="22"/>
        </w:rPr>
        <w:t xml:space="preserve">Salle </w:t>
      </w:r>
      <w:r w:rsidR="00130D3D" w:rsidRPr="00034D0C">
        <w:rPr>
          <w:rFonts w:ascii="Arial" w:hAnsi="Arial"/>
          <w:b/>
          <w:sz w:val="22"/>
        </w:rPr>
        <w:t>V</w:t>
      </w:r>
      <w:r w:rsidR="00034D0C" w:rsidRPr="00034D0C">
        <w:rPr>
          <w:rFonts w:ascii="Arial" w:hAnsi="Arial"/>
          <w:b/>
          <w:sz w:val="22"/>
        </w:rPr>
        <w:t>I</w:t>
      </w:r>
    </w:p>
    <w:p w14:paraId="5F817A00" w14:textId="22C3E5AD" w:rsidR="00AC4027" w:rsidRPr="00C4434C" w:rsidRDefault="00B607FC" w:rsidP="00AC4027">
      <w:pPr>
        <w:jc w:val="center"/>
        <w:rPr>
          <w:rFonts w:ascii="Arial" w:hAnsi="Arial"/>
          <w:b/>
          <w:sz w:val="22"/>
        </w:rPr>
      </w:pPr>
      <w:r>
        <w:rPr>
          <w:rFonts w:ascii="Arial" w:hAnsi="Arial"/>
          <w:b/>
          <w:sz w:val="22"/>
        </w:rPr>
        <w:t>1</w:t>
      </w:r>
      <w:r w:rsidR="006D7081">
        <w:rPr>
          <w:rFonts w:ascii="Arial" w:hAnsi="Arial"/>
          <w:b/>
          <w:sz w:val="22"/>
        </w:rPr>
        <w:t>1 mars</w:t>
      </w:r>
      <w:r>
        <w:rPr>
          <w:rFonts w:ascii="Arial" w:hAnsi="Arial"/>
          <w:b/>
          <w:sz w:val="22"/>
        </w:rPr>
        <w:t xml:space="preserve"> </w:t>
      </w:r>
      <w:r w:rsidR="00AC4027" w:rsidRPr="00C4434C">
        <w:rPr>
          <w:rFonts w:ascii="Arial" w:hAnsi="Arial"/>
          <w:b/>
          <w:sz w:val="22"/>
        </w:rPr>
        <w:t>202</w:t>
      </w:r>
      <w:r w:rsidR="00AE0806">
        <w:rPr>
          <w:rFonts w:ascii="Arial" w:hAnsi="Arial"/>
          <w:b/>
          <w:sz w:val="22"/>
        </w:rPr>
        <w:t>5</w:t>
      </w:r>
    </w:p>
    <w:p w14:paraId="05322A32" w14:textId="562B9935" w:rsidR="00AC4027" w:rsidRPr="008E67D8" w:rsidRDefault="00130D3D" w:rsidP="00AC4027">
      <w:pPr>
        <w:jc w:val="center"/>
        <w:rPr>
          <w:rFonts w:ascii="Arial" w:hAnsi="Arial"/>
          <w:b/>
          <w:sz w:val="22"/>
        </w:rPr>
      </w:pPr>
      <w:r w:rsidRPr="00C4434C">
        <w:rPr>
          <w:rFonts w:ascii="Arial" w:hAnsi="Arial"/>
          <w:b/>
          <w:sz w:val="22"/>
        </w:rPr>
        <w:t>1</w:t>
      </w:r>
      <w:r w:rsidR="006D7081">
        <w:rPr>
          <w:rFonts w:ascii="Arial" w:hAnsi="Arial"/>
          <w:b/>
          <w:sz w:val="22"/>
        </w:rPr>
        <w:t>4</w:t>
      </w:r>
      <w:r w:rsidR="00AC4027" w:rsidRPr="00C4434C">
        <w:rPr>
          <w:rFonts w:ascii="Arial" w:hAnsi="Arial"/>
          <w:b/>
          <w:sz w:val="22"/>
        </w:rPr>
        <w:t xml:space="preserve">h00 – </w:t>
      </w:r>
      <w:r w:rsidRPr="00C4434C">
        <w:rPr>
          <w:rFonts w:ascii="Arial" w:hAnsi="Arial"/>
          <w:b/>
          <w:sz w:val="22"/>
        </w:rPr>
        <w:t>1</w:t>
      </w:r>
      <w:r w:rsidR="006D7081">
        <w:rPr>
          <w:rFonts w:ascii="Arial" w:hAnsi="Arial"/>
          <w:b/>
          <w:sz w:val="22"/>
        </w:rPr>
        <w:t>7</w:t>
      </w:r>
      <w:r w:rsidR="00AC4027" w:rsidRPr="00C4434C">
        <w:rPr>
          <w:rFonts w:ascii="Arial" w:hAnsi="Arial"/>
          <w:b/>
          <w:sz w:val="22"/>
        </w:rPr>
        <w:t>h00</w:t>
      </w:r>
      <w:r w:rsidR="00AC4027" w:rsidRPr="008E67D8">
        <w:rPr>
          <w:rFonts w:ascii="Arial" w:hAnsi="Arial"/>
          <w:b/>
          <w:sz w:val="22"/>
        </w:rPr>
        <w:t xml:space="preserve"> </w:t>
      </w:r>
    </w:p>
    <w:p w14:paraId="72EF57E2" w14:textId="091A83B7" w:rsidR="008F09EC" w:rsidRPr="00B43974" w:rsidRDefault="00E15130" w:rsidP="008F09EC">
      <w:pPr>
        <w:pStyle w:val="Sansinterligne2"/>
        <w:spacing w:before="1200"/>
        <w:jc w:val="center"/>
        <w:rPr>
          <w:rFonts w:ascii="Arial" w:hAnsi="Arial" w:cs="Arial"/>
          <w:b/>
          <w:sz w:val="22"/>
          <w:szCs w:val="22"/>
        </w:rPr>
      </w:pPr>
      <w:r>
        <w:rPr>
          <w:rFonts w:ascii="Arial" w:hAnsi="Arial" w:cs="Arial"/>
          <w:b/>
          <w:sz w:val="22"/>
          <w:szCs w:val="22"/>
          <w:u w:val="single"/>
        </w:rPr>
        <w:t>DÉCISIONS</w:t>
      </w:r>
    </w:p>
    <w:p w14:paraId="630B69F1" w14:textId="047B204D" w:rsidR="008F09EC" w:rsidRPr="00B43974" w:rsidRDefault="00EF74E3" w:rsidP="00EF74E3">
      <w:pPr>
        <w:pStyle w:val="NoSpacing"/>
        <w:tabs>
          <w:tab w:val="left" w:pos="4410"/>
          <w:tab w:val="center" w:pos="4819"/>
        </w:tabs>
        <w:spacing w:after="1200"/>
        <w:rPr>
          <w:rFonts w:ascii="Arial" w:hAnsi="Arial" w:cs="Arial"/>
          <w:b/>
          <w:sz w:val="22"/>
          <w:szCs w:val="22"/>
        </w:rPr>
      </w:pPr>
      <w:r w:rsidRPr="007A000F">
        <w:rPr>
          <w:rFonts w:ascii="Arial" w:hAnsi="Arial" w:cs="Arial"/>
          <w:b/>
          <w:sz w:val="22"/>
          <w:szCs w:val="22"/>
        </w:rPr>
        <w:tab/>
      </w:r>
      <w:r w:rsidRPr="007A000F">
        <w:rPr>
          <w:rFonts w:ascii="Arial" w:hAnsi="Arial" w:cs="Arial"/>
          <w:b/>
          <w:sz w:val="22"/>
          <w:szCs w:val="22"/>
        </w:rPr>
        <w:tab/>
      </w:r>
    </w:p>
    <w:p w14:paraId="5072A522" w14:textId="77777777" w:rsidR="009B5302" w:rsidRDefault="00BC3420" w:rsidP="007E60C6">
      <w:pPr>
        <w:pStyle w:val="COMTitleDecision"/>
        <w:spacing w:before="360" w:after="240"/>
        <w:ind w:left="0"/>
      </w:pPr>
      <w:r w:rsidRPr="00022428">
        <w:br w:type="page"/>
      </w:r>
    </w:p>
    <w:p w14:paraId="793EC282" w14:textId="6B9EF90F" w:rsidR="00E15130" w:rsidRPr="00B43974" w:rsidRDefault="00E15130" w:rsidP="0034702E">
      <w:pPr>
        <w:pStyle w:val="GATitleResolution"/>
        <w:tabs>
          <w:tab w:val="clear" w:pos="567"/>
          <w:tab w:val="left" w:pos="0"/>
        </w:tabs>
        <w:ind w:left="0"/>
      </w:pPr>
      <w:r w:rsidRPr="0020150F">
        <w:lastRenderedPageBreak/>
        <w:t>DÉCIS</w:t>
      </w:r>
      <w:r>
        <w:t>ION 20</w:t>
      </w:r>
      <w:r w:rsidRPr="0020150F">
        <w:t>.COM</w:t>
      </w:r>
      <w:r>
        <w:t> 2.BUR 2</w:t>
      </w:r>
    </w:p>
    <w:p w14:paraId="77B8EF35" w14:textId="77777777" w:rsidR="00E15130" w:rsidRPr="00B43974" w:rsidRDefault="00E15130" w:rsidP="0034702E">
      <w:pPr>
        <w:pStyle w:val="COMPreambulaDecision"/>
        <w:tabs>
          <w:tab w:val="clear" w:pos="567"/>
          <w:tab w:val="left" w:pos="0"/>
        </w:tabs>
        <w:ind w:left="0"/>
      </w:pPr>
      <w:r w:rsidRPr="00B43974">
        <w:t xml:space="preserve">Le </w:t>
      </w:r>
      <w:r>
        <w:t>Bureau</w:t>
      </w:r>
      <w:r w:rsidRPr="00B43974">
        <w:t>,</w:t>
      </w:r>
    </w:p>
    <w:p w14:paraId="0CBDB95F" w14:textId="0156B23D" w:rsidR="00E15130" w:rsidRPr="00022428" w:rsidRDefault="00E15130" w:rsidP="0034702E">
      <w:pPr>
        <w:pStyle w:val="COMParaDecision"/>
        <w:ind w:left="567"/>
      </w:pPr>
      <w:r w:rsidRPr="00B43974">
        <w:t>Ayant examiné</w:t>
      </w:r>
      <w:r w:rsidRPr="00B43974">
        <w:rPr>
          <w:u w:val="none"/>
        </w:rPr>
        <w:t xml:space="preserve"> le document</w:t>
      </w:r>
      <w:r>
        <w:rPr>
          <w:u w:val="none"/>
        </w:rPr>
        <w:t xml:space="preserve"> </w:t>
      </w:r>
      <w:hyperlink r:id="rId8" w:history="1">
        <w:r w:rsidRPr="0034702E">
          <w:rPr>
            <w:rStyle w:val="Hyperlink"/>
          </w:rPr>
          <w:t>LHE/25/20.COM 2.BUR/2</w:t>
        </w:r>
      </w:hyperlink>
      <w:r>
        <w:rPr>
          <w:u w:val="none"/>
        </w:rPr>
        <w:t xml:space="preserve"> et son annexe,</w:t>
      </w:r>
    </w:p>
    <w:p w14:paraId="657D2164" w14:textId="77777777" w:rsidR="00E15130" w:rsidRPr="00D47391" w:rsidRDefault="00E15130" w:rsidP="0034702E">
      <w:pPr>
        <w:pStyle w:val="COMParaDecision"/>
        <w:ind w:left="567"/>
        <w:rPr>
          <w:u w:val="none"/>
        </w:rPr>
      </w:pPr>
      <w:r>
        <w:t>Adopte</w:t>
      </w:r>
      <w:r w:rsidRPr="00D47391">
        <w:rPr>
          <w:u w:val="none"/>
        </w:rPr>
        <w:t xml:space="preserve"> l’ordre du jour de sa </w:t>
      </w:r>
      <w:r>
        <w:rPr>
          <w:u w:val="none"/>
        </w:rPr>
        <w:t>deuxième</w:t>
      </w:r>
      <w:r w:rsidRPr="00D47391">
        <w:rPr>
          <w:u w:val="none"/>
        </w:rPr>
        <w:t xml:space="preserve"> réunion tel qu’indiqué en annexe de cette décision.</w:t>
      </w:r>
    </w:p>
    <w:p w14:paraId="0C76D5CB" w14:textId="77777777" w:rsidR="00E15130" w:rsidRPr="00D47391" w:rsidRDefault="00E15130" w:rsidP="00E15130">
      <w:pPr>
        <w:spacing w:before="480" w:after="120"/>
        <w:jc w:val="center"/>
        <w:rPr>
          <w:rFonts w:ascii="Arial" w:hAnsi="Arial" w:cs="Arial"/>
          <w:b/>
          <w:bCs/>
          <w:sz w:val="22"/>
          <w:szCs w:val="22"/>
          <w:u w:val="single"/>
        </w:rPr>
      </w:pPr>
      <w:r w:rsidRPr="00D47391">
        <w:rPr>
          <w:rFonts w:ascii="Arial" w:hAnsi="Arial" w:cs="Arial"/>
          <w:b/>
          <w:bCs/>
          <w:sz w:val="22"/>
          <w:szCs w:val="22"/>
          <w:u w:val="single"/>
        </w:rPr>
        <w:t>ANNEXE</w:t>
      </w:r>
    </w:p>
    <w:p w14:paraId="45F485C4" w14:textId="12855995" w:rsidR="00E15130" w:rsidRPr="008945E1" w:rsidRDefault="00E15130" w:rsidP="00E15130">
      <w:pPr>
        <w:spacing w:before="360" w:after="240"/>
        <w:jc w:val="center"/>
        <w:rPr>
          <w:rFonts w:ascii="Arial" w:hAnsi="Arial" w:cs="Arial"/>
          <w:b/>
          <w:bCs/>
          <w:sz w:val="22"/>
          <w:szCs w:val="22"/>
        </w:rPr>
      </w:pPr>
      <w:r w:rsidRPr="00D47391">
        <w:rPr>
          <w:rFonts w:ascii="Arial" w:hAnsi="Arial" w:cs="Arial"/>
          <w:b/>
          <w:bCs/>
          <w:sz w:val="22"/>
          <w:szCs w:val="22"/>
        </w:rPr>
        <w:t xml:space="preserve">Ordre du jour de la </w:t>
      </w:r>
      <w:r>
        <w:rPr>
          <w:rFonts w:ascii="Arial" w:hAnsi="Arial" w:cs="Arial"/>
          <w:b/>
          <w:bCs/>
          <w:sz w:val="22"/>
          <w:szCs w:val="22"/>
        </w:rPr>
        <w:t>deuxième</w:t>
      </w:r>
      <w:r w:rsidRPr="00D47391">
        <w:rPr>
          <w:rFonts w:ascii="Arial" w:hAnsi="Arial" w:cs="Arial"/>
          <w:b/>
          <w:bCs/>
          <w:sz w:val="22"/>
          <w:szCs w:val="22"/>
        </w:rPr>
        <w:t xml:space="preserve"> réunion du Bureau du 20.COM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124"/>
      </w:tblGrid>
      <w:tr w:rsidR="00E15130" w:rsidRPr="00D47391" w14:paraId="072A73B9" w14:textId="77777777" w:rsidTr="00D12766">
        <w:trPr>
          <w:jc w:val="center"/>
        </w:trPr>
        <w:tc>
          <w:tcPr>
            <w:tcW w:w="5240" w:type="dxa"/>
          </w:tcPr>
          <w:p w14:paraId="50BC92CF" w14:textId="77777777" w:rsidR="00E15130" w:rsidRPr="00D47391" w:rsidRDefault="00E15130" w:rsidP="00D12766">
            <w:pPr>
              <w:tabs>
                <w:tab w:val="left" w:pos="3240"/>
              </w:tabs>
              <w:spacing w:before="120" w:after="120"/>
              <w:rPr>
                <w:rFonts w:ascii="Arial" w:hAnsi="Arial" w:cs="Arial"/>
                <w:sz w:val="22"/>
                <w:szCs w:val="22"/>
                <w:u w:val="single"/>
              </w:rPr>
            </w:pPr>
            <w:r w:rsidRPr="00D47391">
              <w:rPr>
                <w:rFonts w:ascii="Arial" w:hAnsi="Arial" w:cs="Arial"/>
                <w:sz w:val="22"/>
                <w:szCs w:val="22"/>
                <w:u w:val="single"/>
              </w:rPr>
              <w:t>Point de l’ordre du jour</w:t>
            </w:r>
          </w:p>
        </w:tc>
        <w:tc>
          <w:tcPr>
            <w:tcW w:w="3124" w:type="dxa"/>
          </w:tcPr>
          <w:p w14:paraId="6D58EA89" w14:textId="77777777" w:rsidR="00E15130" w:rsidRPr="00D47391" w:rsidRDefault="00E15130" w:rsidP="00D12766">
            <w:pPr>
              <w:tabs>
                <w:tab w:val="left" w:pos="3240"/>
              </w:tabs>
              <w:spacing w:before="120" w:after="120"/>
              <w:rPr>
                <w:rFonts w:ascii="Arial" w:hAnsi="Arial" w:cs="Arial"/>
                <w:sz w:val="22"/>
                <w:szCs w:val="22"/>
                <w:u w:val="single"/>
              </w:rPr>
            </w:pPr>
            <w:r w:rsidRPr="00D47391">
              <w:rPr>
                <w:rFonts w:ascii="Arial" w:hAnsi="Arial" w:cs="Arial"/>
                <w:sz w:val="22"/>
                <w:szCs w:val="22"/>
                <w:u w:val="single"/>
              </w:rPr>
              <w:t>Document</w:t>
            </w:r>
          </w:p>
        </w:tc>
      </w:tr>
      <w:tr w:rsidR="00E15130" w14:paraId="230B3D07" w14:textId="77777777" w:rsidTr="00D12766">
        <w:trPr>
          <w:jc w:val="center"/>
        </w:trPr>
        <w:tc>
          <w:tcPr>
            <w:tcW w:w="5240" w:type="dxa"/>
          </w:tcPr>
          <w:p w14:paraId="02A62DB1" w14:textId="77777777" w:rsidR="00E15130" w:rsidRPr="00D47391" w:rsidRDefault="00E15130" w:rsidP="00E15130">
            <w:pPr>
              <w:pStyle w:val="ListParagraph"/>
              <w:numPr>
                <w:ilvl w:val="0"/>
                <w:numId w:val="18"/>
              </w:numPr>
              <w:tabs>
                <w:tab w:val="left" w:pos="3240"/>
              </w:tabs>
              <w:spacing w:before="120" w:after="120"/>
              <w:rPr>
                <w:rFonts w:ascii="Arial" w:hAnsi="Arial" w:cs="Arial"/>
                <w:sz w:val="22"/>
                <w:szCs w:val="22"/>
              </w:rPr>
            </w:pPr>
            <w:r>
              <w:rPr>
                <w:rFonts w:ascii="Arial" w:hAnsi="Arial" w:cs="Arial"/>
                <w:sz w:val="22"/>
                <w:szCs w:val="22"/>
              </w:rPr>
              <w:t>Ouverture</w:t>
            </w:r>
          </w:p>
        </w:tc>
        <w:tc>
          <w:tcPr>
            <w:tcW w:w="3124" w:type="dxa"/>
          </w:tcPr>
          <w:p w14:paraId="3C339C98" w14:textId="77777777" w:rsidR="00E15130" w:rsidRDefault="00E15130" w:rsidP="00D12766">
            <w:pPr>
              <w:tabs>
                <w:tab w:val="left" w:pos="3240"/>
              </w:tabs>
              <w:spacing w:before="120" w:after="120"/>
              <w:rPr>
                <w:rFonts w:ascii="Arial" w:hAnsi="Arial" w:cs="Arial"/>
                <w:sz w:val="22"/>
                <w:szCs w:val="22"/>
              </w:rPr>
            </w:pPr>
          </w:p>
        </w:tc>
      </w:tr>
      <w:tr w:rsidR="00E15130" w14:paraId="0D9C65F0" w14:textId="77777777" w:rsidTr="00D12766">
        <w:trPr>
          <w:jc w:val="center"/>
        </w:trPr>
        <w:tc>
          <w:tcPr>
            <w:tcW w:w="5240" w:type="dxa"/>
          </w:tcPr>
          <w:p w14:paraId="0130FCCE" w14:textId="77777777" w:rsidR="00E15130" w:rsidRPr="00D47391" w:rsidRDefault="00E15130" w:rsidP="00E15130">
            <w:pPr>
              <w:pStyle w:val="ListParagraph"/>
              <w:numPr>
                <w:ilvl w:val="0"/>
                <w:numId w:val="18"/>
              </w:numPr>
              <w:tabs>
                <w:tab w:val="left" w:pos="3240"/>
              </w:tabs>
              <w:spacing w:before="120" w:after="120"/>
              <w:rPr>
                <w:rFonts w:ascii="Arial" w:hAnsi="Arial" w:cs="Arial"/>
                <w:sz w:val="22"/>
                <w:szCs w:val="22"/>
              </w:rPr>
            </w:pPr>
            <w:r>
              <w:rPr>
                <w:rFonts w:ascii="Arial" w:hAnsi="Arial" w:cs="Arial"/>
                <w:sz w:val="22"/>
                <w:szCs w:val="22"/>
              </w:rPr>
              <w:t>Adoption de l’ordre du jour</w:t>
            </w:r>
          </w:p>
        </w:tc>
        <w:tc>
          <w:tcPr>
            <w:tcW w:w="3124" w:type="dxa"/>
          </w:tcPr>
          <w:p w14:paraId="4F5F1458" w14:textId="77777777" w:rsidR="00E15130" w:rsidRDefault="00E15130" w:rsidP="00D12766">
            <w:pPr>
              <w:tabs>
                <w:tab w:val="left" w:pos="3240"/>
              </w:tabs>
              <w:spacing w:before="120" w:after="120"/>
              <w:rPr>
                <w:rFonts w:ascii="Arial" w:hAnsi="Arial" w:cs="Arial"/>
                <w:sz w:val="22"/>
                <w:szCs w:val="22"/>
              </w:rPr>
            </w:pPr>
            <w:r w:rsidRPr="00D47391">
              <w:rPr>
                <w:rFonts w:ascii="Arial" w:hAnsi="Arial" w:cs="Arial"/>
                <w:sz w:val="22"/>
                <w:szCs w:val="22"/>
              </w:rPr>
              <w:t>LHE/25/20.COM 2.BUR/2</w:t>
            </w:r>
          </w:p>
        </w:tc>
      </w:tr>
      <w:tr w:rsidR="00E15130" w14:paraId="1AB3A335" w14:textId="77777777" w:rsidTr="00D12766">
        <w:trPr>
          <w:jc w:val="center"/>
        </w:trPr>
        <w:tc>
          <w:tcPr>
            <w:tcW w:w="5240" w:type="dxa"/>
          </w:tcPr>
          <w:p w14:paraId="43FF71B1" w14:textId="77777777" w:rsidR="00E15130" w:rsidRPr="00D47391" w:rsidRDefault="00E15130" w:rsidP="00E15130">
            <w:pPr>
              <w:pStyle w:val="ListParagraph"/>
              <w:numPr>
                <w:ilvl w:val="0"/>
                <w:numId w:val="18"/>
              </w:numPr>
              <w:tabs>
                <w:tab w:val="left" w:pos="3240"/>
              </w:tabs>
              <w:spacing w:before="120" w:after="120"/>
              <w:rPr>
                <w:rFonts w:ascii="Arial" w:hAnsi="Arial" w:cs="Arial"/>
                <w:sz w:val="22"/>
                <w:szCs w:val="22"/>
              </w:rPr>
            </w:pPr>
            <w:r w:rsidRPr="00D47391">
              <w:rPr>
                <w:rFonts w:ascii="Arial" w:hAnsi="Arial" w:cs="Arial"/>
                <w:sz w:val="22"/>
                <w:szCs w:val="22"/>
              </w:rPr>
              <w:t xml:space="preserve">Examen d’une demande d’assistance internationale jusqu’à 100 000 dollars </w:t>
            </w:r>
            <w:r>
              <w:rPr>
                <w:rFonts w:ascii="Arial" w:hAnsi="Arial" w:cs="Arial"/>
                <w:sz w:val="22"/>
                <w:szCs w:val="22"/>
              </w:rPr>
              <w:br/>
            </w:r>
            <w:r w:rsidRPr="00D47391">
              <w:rPr>
                <w:rFonts w:ascii="Arial" w:hAnsi="Arial" w:cs="Arial"/>
                <w:sz w:val="22"/>
                <w:szCs w:val="22"/>
              </w:rPr>
              <w:t>des États-Unis</w:t>
            </w:r>
          </w:p>
        </w:tc>
        <w:tc>
          <w:tcPr>
            <w:tcW w:w="3124" w:type="dxa"/>
          </w:tcPr>
          <w:p w14:paraId="39B97469" w14:textId="77777777" w:rsidR="00E15130" w:rsidRDefault="00E15130" w:rsidP="00D12766">
            <w:pPr>
              <w:tabs>
                <w:tab w:val="left" w:pos="3240"/>
              </w:tabs>
              <w:spacing w:before="120" w:after="120"/>
              <w:rPr>
                <w:rFonts w:ascii="Arial" w:hAnsi="Arial" w:cs="Arial"/>
                <w:sz w:val="22"/>
                <w:szCs w:val="22"/>
              </w:rPr>
            </w:pPr>
            <w:r w:rsidRPr="00D47391">
              <w:rPr>
                <w:rFonts w:ascii="Arial" w:hAnsi="Arial" w:cs="Arial"/>
                <w:sz w:val="22"/>
                <w:szCs w:val="22"/>
              </w:rPr>
              <w:t>LHE/25/20.COM 2.BUR/</w:t>
            </w:r>
            <w:r>
              <w:rPr>
                <w:rFonts w:ascii="Arial" w:hAnsi="Arial" w:cs="Arial"/>
                <w:sz w:val="22"/>
                <w:szCs w:val="22"/>
              </w:rPr>
              <w:t>3</w:t>
            </w:r>
          </w:p>
        </w:tc>
      </w:tr>
      <w:tr w:rsidR="00E15130" w14:paraId="3F16B1F9" w14:textId="77777777" w:rsidTr="00D12766">
        <w:trPr>
          <w:jc w:val="center"/>
        </w:trPr>
        <w:tc>
          <w:tcPr>
            <w:tcW w:w="5240" w:type="dxa"/>
          </w:tcPr>
          <w:p w14:paraId="7888F188" w14:textId="77777777" w:rsidR="00E15130" w:rsidRPr="00D47391" w:rsidRDefault="00E15130" w:rsidP="00E15130">
            <w:pPr>
              <w:pStyle w:val="ListParagraph"/>
              <w:numPr>
                <w:ilvl w:val="0"/>
                <w:numId w:val="18"/>
              </w:numPr>
              <w:tabs>
                <w:tab w:val="left" w:pos="3240"/>
              </w:tabs>
              <w:spacing w:before="120" w:after="120"/>
              <w:ind w:hanging="357"/>
              <w:contextualSpacing w:val="0"/>
              <w:rPr>
                <w:rFonts w:ascii="Arial" w:hAnsi="Arial" w:cs="Arial"/>
                <w:sz w:val="22"/>
                <w:szCs w:val="22"/>
              </w:rPr>
            </w:pPr>
            <w:r w:rsidRPr="00D47391">
              <w:rPr>
                <w:rFonts w:ascii="Arial" w:hAnsi="Arial" w:cs="Arial"/>
                <w:sz w:val="22"/>
                <w:szCs w:val="22"/>
              </w:rPr>
              <w:t>Questions diverses</w:t>
            </w:r>
          </w:p>
          <w:p w14:paraId="38A6E0F9" w14:textId="77777777" w:rsidR="00E15130" w:rsidRPr="00D47391" w:rsidRDefault="00E15130" w:rsidP="00E15130">
            <w:pPr>
              <w:pStyle w:val="ListParagraph"/>
              <w:numPr>
                <w:ilvl w:val="0"/>
                <w:numId w:val="19"/>
              </w:numPr>
              <w:tabs>
                <w:tab w:val="left" w:pos="3240"/>
              </w:tabs>
              <w:spacing w:before="120" w:after="120"/>
              <w:ind w:hanging="357"/>
              <w:contextualSpacing w:val="0"/>
              <w:rPr>
                <w:rFonts w:ascii="Arial" w:hAnsi="Arial" w:cs="Arial"/>
                <w:sz w:val="22"/>
                <w:szCs w:val="22"/>
              </w:rPr>
            </w:pPr>
            <w:r w:rsidRPr="00D47391">
              <w:rPr>
                <w:rFonts w:ascii="Arial" w:hAnsi="Arial" w:cs="Arial"/>
                <w:sz w:val="22"/>
                <w:szCs w:val="22"/>
              </w:rPr>
              <w:t>Dates des réunions statutaires en 202</w:t>
            </w:r>
            <w:r>
              <w:rPr>
                <w:rFonts w:ascii="Arial" w:hAnsi="Arial" w:cs="Arial"/>
                <w:sz w:val="22"/>
                <w:szCs w:val="22"/>
              </w:rPr>
              <w:t>5</w:t>
            </w:r>
          </w:p>
          <w:p w14:paraId="75117FF4" w14:textId="77777777" w:rsidR="00E15130" w:rsidRPr="00D47391" w:rsidRDefault="00E15130" w:rsidP="00E15130">
            <w:pPr>
              <w:pStyle w:val="ListParagraph"/>
              <w:numPr>
                <w:ilvl w:val="0"/>
                <w:numId w:val="19"/>
              </w:numPr>
              <w:tabs>
                <w:tab w:val="left" w:pos="3240"/>
              </w:tabs>
              <w:spacing w:before="120" w:after="120"/>
              <w:ind w:hanging="357"/>
              <w:contextualSpacing w:val="0"/>
              <w:rPr>
                <w:rFonts w:ascii="Arial" w:hAnsi="Arial" w:cs="Arial"/>
                <w:sz w:val="22"/>
                <w:szCs w:val="22"/>
              </w:rPr>
            </w:pPr>
            <w:r w:rsidRPr="00D47391">
              <w:rPr>
                <w:rFonts w:ascii="Arial" w:hAnsi="Arial" w:cs="Arial"/>
                <w:sz w:val="22"/>
                <w:szCs w:val="22"/>
              </w:rPr>
              <w:t>Candidatures du cycle 202</w:t>
            </w:r>
            <w:r>
              <w:rPr>
                <w:rFonts w:ascii="Arial" w:hAnsi="Arial" w:cs="Arial"/>
                <w:sz w:val="22"/>
                <w:szCs w:val="22"/>
              </w:rPr>
              <w:t>5</w:t>
            </w:r>
          </w:p>
          <w:p w14:paraId="3B66A921" w14:textId="77777777" w:rsidR="00E15130" w:rsidRPr="00D47391" w:rsidRDefault="00E15130" w:rsidP="00E15130">
            <w:pPr>
              <w:pStyle w:val="ListParagraph"/>
              <w:numPr>
                <w:ilvl w:val="0"/>
                <w:numId w:val="19"/>
              </w:numPr>
              <w:tabs>
                <w:tab w:val="left" w:pos="3240"/>
              </w:tabs>
              <w:spacing w:before="120" w:after="120"/>
              <w:ind w:hanging="357"/>
              <w:contextualSpacing w:val="0"/>
              <w:rPr>
                <w:rFonts w:ascii="Arial" w:hAnsi="Arial" w:cs="Arial"/>
                <w:sz w:val="22"/>
                <w:szCs w:val="22"/>
              </w:rPr>
            </w:pPr>
            <w:r w:rsidRPr="00D47391">
              <w:rPr>
                <w:rFonts w:ascii="Arial" w:hAnsi="Arial" w:cs="Arial"/>
                <w:sz w:val="22"/>
                <w:szCs w:val="22"/>
              </w:rPr>
              <w:t>Autres questions</w:t>
            </w:r>
          </w:p>
        </w:tc>
        <w:tc>
          <w:tcPr>
            <w:tcW w:w="3124" w:type="dxa"/>
          </w:tcPr>
          <w:p w14:paraId="6C7329A2" w14:textId="77777777" w:rsidR="00E15130" w:rsidRDefault="00E15130" w:rsidP="00D12766">
            <w:pPr>
              <w:tabs>
                <w:tab w:val="left" w:pos="3240"/>
              </w:tabs>
              <w:spacing w:before="120" w:after="120"/>
              <w:rPr>
                <w:rFonts w:ascii="Arial" w:hAnsi="Arial" w:cs="Arial"/>
                <w:sz w:val="22"/>
                <w:szCs w:val="22"/>
              </w:rPr>
            </w:pPr>
          </w:p>
          <w:p w14:paraId="1911131B" w14:textId="77777777" w:rsidR="00E15130" w:rsidRDefault="00E15130" w:rsidP="00D12766">
            <w:pPr>
              <w:tabs>
                <w:tab w:val="left" w:pos="3240"/>
              </w:tabs>
              <w:spacing w:before="120" w:after="120"/>
              <w:rPr>
                <w:rFonts w:ascii="Arial" w:hAnsi="Arial" w:cs="Arial"/>
                <w:sz w:val="22"/>
                <w:szCs w:val="22"/>
              </w:rPr>
            </w:pPr>
            <w:r>
              <w:rPr>
                <w:rFonts w:ascii="Arial" w:hAnsi="Arial" w:cs="Arial"/>
                <w:sz w:val="22"/>
                <w:szCs w:val="22"/>
              </w:rPr>
              <w:t>LHE/25/Schedule</w:t>
            </w:r>
          </w:p>
        </w:tc>
      </w:tr>
      <w:tr w:rsidR="00E15130" w14:paraId="403362A8" w14:textId="77777777" w:rsidTr="00D12766">
        <w:trPr>
          <w:jc w:val="center"/>
        </w:trPr>
        <w:tc>
          <w:tcPr>
            <w:tcW w:w="5240" w:type="dxa"/>
          </w:tcPr>
          <w:p w14:paraId="64B67C04" w14:textId="77777777" w:rsidR="00E15130" w:rsidRPr="00D47391" w:rsidRDefault="00E15130" w:rsidP="00E15130">
            <w:pPr>
              <w:pStyle w:val="ListParagraph"/>
              <w:numPr>
                <w:ilvl w:val="0"/>
                <w:numId w:val="18"/>
              </w:numPr>
              <w:tabs>
                <w:tab w:val="left" w:pos="3240"/>
              </w:tabs>
              <w:spacing w:before="120" w:after="120"/>
              <w:rPr>
                <w:rFonts w:ascii="Arial" w:hAnsi="Arial" w:cs="Arial"/>
                <w:sz w:val="22"/>
                <w:szCs w:val="22"/>
              </w:rPr>
            </w:pPr>
            <w:r>
              <w:rPr>
                <w:rFonts w:ascii="Arial" w:hAnsi="Arial" w:cs="Arial"/>
                <w:sz w:val="22"/>
                <w:szCs w:val="22"/>
              </w:rPr>
              <w:t>Clôture</w:t>
            </w:r>
          </w:p>
        </w:tc>
        <w:tc>
          <w:tcPr>
            <w:tcW w:w="3124" w:type="dxa"/>
          </w:tcPr>
          <w:p w14:paraId="47C08822" w14:textId="77777777" w:rsidR="00E15130" w:rsidRDefault="00E15130" w:rsidP="00D12766">
            <w:pPr>
              <w:tabs>
                <w:tab w:val="left" w:pos="3240"/>
              </w:tabs>
              <w:spacing w:before="120" w:after="120"/>
              <w:rPr>
                <w:rFonts w:ascii="Arial" w:hAnsi="Arial" w:cs="Arial"/>
                <w:sz w:val="22"/>
                <w:szCs w:val="22"/>
              </w:rPr>
            </w:pPr>
          </w:p>
        </w:tc>
      </w:tr>
    </w:tbl>
    <w:p w14:paraId="0E5CACDD" w14:textId="77777777" w:rsidR="00E15130" w:rsidRDefault="00E15130" w:rsidP="00E15130">
      <w:pPr>
        <w:tabs>
          <w:tab w:val="left" w:pos="3240"/>
        </w:tabs>
        <w:rPr>
          <w:rFonts w:ascii="Arial" w:hAnsi="Arial" w:cs="Arial"/>
          <w:sz w:val="22"/>
          <w:szCs w:val="22"/>
        </w:rPr>
      </w:pPr>
    </w:p>
    <w:p w14:paraId="146047FF" w14:textId="77777777" w:rsidR="00E15130" w:rsidRPr="00DC2A0B" w:rsidRDefault="00E15130" w:rsidP="00E15130">
      <w:pPr>
        <w:tabs>
          <w:tab w:val="left" w:pos="3240"/>
        </w:tabs>
        <w:rPr>
          <w:rFonts w:ascii="Arial" w:hAnsi="Arial" w:cs="Arial"/>
          <w:sz w:val="22"/>
          <w:szCs w:val="22"/>
        </w:rPr>
      </w:pPr>
    </w:p>
    <w:p w14:paraId="5920A11C" w14:textId="4CC5AE35" w:rsidR="00E15130" w:rsidRDefault="00E15130">
      <w:pPr>
        <w:rPr>
          <w:rFonts w:ascii="Arial" w:hAnsi="Arial" w:cs="Arial"/>
          <w:snapToGrid w:val="0"/>
          <w:sz w:val="22"/>
          <w:szCs w:val="22"/>
          <w:lang w:eastAsia="en-US"/>
        </w:rPr>
      </w:pPr>
      <w:r>
        <w:br w:type="page"/>
      </w:r>
    </w:p>
    <w:p w14:paraId="13BB212E" w14:textId="19619AD6" w:rsidR="00E15130" w:rsidRPr="007E399F" w:rsidRDefault="00E15130" w:rsidP="0034702E">
      <w:pPr>
        <w:pStyle w:val="COMTitleDecision"/>
        <w:ind w:left="0"/>
      </w:pPr>
      <w:bookmarkStart w:id="0" w:name="Dec1"/>
      <w:r w:rsidRPr="007E399F">
        <w:lastRenderedPageBreak/>
        <w:t>DÉCISION 20.COM 2.BUR 3</w:t>
      </w:r>
      <w:bookmarkEnd w:id="0"/>
    </w:p>
    <w:p w14:paraId="0CF4A2D4" w14:textId="77777777" w:rsidR="00E15130" w:rsidRPr="007E399F" w:rsidRDefault="00E15130" w:rsidP="0034702E">
      <w:pPr>
        <w:keepNext/>
        <w:spacing w:before="120" w:after="120"/>
        <w:jc w:val="both"/>
        <w:rPr>
          <w:rFonts w:asciiTheme="minorBidi" w:hAnsiTheme="minorBidi" w:cstheme="minorBidi"/>
          <w:sz w:val="22"/>
          <w:szCs w:val="22"/>
        </w:rPr>
      </w:pPr>
      <w:r w:rsidRPr="007E399F">
        <w:rPr>
          <w:rFonts w:asciiTheme="minorBidi" w:hAnsiTheme="minorBidi"/>
          <w:sz w:val="22"/>
        </w:rPr>
        <w:t>Le Bureau,</w:t>
      </w:r>
    </w:p>
    <w:p w14:paraId="20174C93" w14:textId="77777777" w:rsidR="00E15130" w:rsidRPr="007E399F" w:rsidRDefault="00E15130" w:rsidP="00692C51">
      <w:pPr>
        <w:numPr>
          <w:ilvl w:val="0"/>
          <w:numId w:val="20"/>
        </w:numPr>
        <w:spacing w:after="120"/>
        <w:ind w:left="567" w:hanging="567"/>
        <w:jc w:val="both"/>
        <w:rPr>
          <w:rFonts w:asciiTheme="minorBidi" w:hAnsiTheme="minorBidi" w:cstheme="minorBidi"/>
          <w:sz w:val="22"/>
          <w:szCs w:val="22"/>
        </w:rPr>
      </w:pPr>
      <w:r w:rsidRPr="007E399F">
        <w:rPr>
          <w:rFonts w:asciiTheme="minorBidi" w:hAnsiTheme="minorBidi"/>
          <w:sz w:val="22"/>
          <w:u w:val="single"/>
        </w:rPr>
        <w:t>Rappelant</w:t>
      </w:r>
      <w:r w:rsidRPr="007E399F">
        <w:rPr>
          <w:rFonts w:asciiTheme="minorBidi" w:hAnsiTheme="minorBidi"/>
          <w:sz w:val="22"/>
        </w:rPr>
        <w:t xml:space="preserve"> le Chapitre V de la Convention, ainsi que le chapitre I.4 des Directives opérationnelles relatif aux critères d’admissibilité et de sélection des demandes d’assistance internationale,</w:t>
      </w:r>
    </w:p>
    <w:p w14:paraId="38E167AA" w14:textId="76AEF498" w:rsidR="00E15130" w:rsidRPr="007E399F" w:rsidRDefault="00E15130" w:rsidP="00692C51">
      <w:pPr>
        <w:numPr>
          <w:ilvl w:val="0"/>
          <w:numId w:val="20"/>
        </w:numPr>
        <w:spacing w:after="120"/>
        <w:ind w:left="567" w:hanging="567"/>
        <w:jc w:val="both"/>
        <w:rPr>
          <w:rFonts w:asciiTheme="minorBidi" w:hAnsiTheme="minorBidi" w:cstheme="minorBidi"/>
          <w:sz w:val="22"/>
          <w:szCs w:val="22"/>
        </w:rPr>
      </w:pPr>
      <w:r w:rsidRPr="007E399F">
        <w:rPr>
          <w:rFonts w:asciiTheme="minorBidi" w:hAnsiTheme="minorBidi"/>
          <w:sz w:val="22"/>
          <w:u w:val="single"/>
        </w:rPr>
        <w:t>Ayant examiné</w:t>
      </w:r>
      <w:r w:rsidRPr="007E399F">
        <w:rPr>
          <w:rFonts w:asciiTheme="minorBidi" w:hAnsiTheme="minorBidi"/>
          <w:sz w:val="22"/>
        </w:rPr>
        <w:t xml:space="preserve"> le document </w:t>
      </w:r>
      <w:hyperlink r:id="rId9" w:history="1">
        <w:r w:rsidRPr="0034702E">
          <w:rPr>
            <w:rStyle w:val="Hyperlink"/>
            <w:rFonts w:asciiTheme="minorBidi" w:hAnsiTheme="minorBidi"/>
            <w:sz w:val="22"/>
          </w:rPr>
          <w:t>LHE/25/20.COM 2.BUR/3</w:t>
        </w:r>
      </w:hyperlink>
      <w:r w:rsidRPr="007E399F">
        <w:rPr>
          <w:rFonts w:asciiTheme="minorBidi" w:hAnsiTheme="minorBidi"/>
          <w:sz w:val="22"/>
        </w:rPr>
        <w:t xml:space="preserve"> ainsi que la demande d’assistance internationale n° 02209 soumise par le Honduras,</w:t>
      </w:r>
    </w:p>
    <w:p w14:paraId="3A52AA71" w14:textId="77777777" w:rsidR="00E15130" w:rsidRPr="00F97169" w:rsidRDefault="00E15130" w:rsidP="00692C51">
      <w:pPr>
        <w:numPr>
          <w:ilvl w:val="0"/>
          <w:numId w:val="20"/>
        </w:numPr>
        <w:spacing w:after="120"/>
        <w:ind w:left="567" w:hanging="567"/>
        <w:jc w:val="both"/>
        <w:rPr>
          <w:rFonts w:asciiTheme="minorBidi" w:hAnsiTheme="minorBidi" w:cstheme="minorBidi"/>
          <w:sz w:val="22"/>
          <w:szCs w:val="22"/>
        </w:rPr>
      </w:pPr>
      <w:r>
        <w:rPr>
          <w:rFonts w:asciiTheme="minorBidi" w:hAnsiTheme="minorBidi"/>
          <w:sz w:val="22"/>
          <w:u w:val="single"/>
        </w:rPr>
        <w:t>Prend note</w:t>
      </w:r>
      <w:r>
        <w:rPr>
          <w:rFonts w:asciiTheme="minorBidi" w:hAnsiTheme="minorBidi"/>
          <w:sz w:val="22"/>
        </w:rPr>
        <w:t xml:space="preserve"> que le Honduras a demandé une assistance internationale pour le projet intitulé </w:t>
      </w:r>
      <w:r>
        <w:rPr>
          <w:rFonts w:asciiTheme="minorBidi" w:hAnsiTheme="minorBidi"/>
          <w:b/>
          <w:sz w:val="22"/>
        </w:rPr>
        <w:t>Préparation des inventaires du patrimoine culturel immatériel du Honduras avec la participation active des communautés</w:t>
      </w:r>
      <w:r>
        <w:rPr>
          <w:rFonts w:asciiTheme="minorBidi" w:hAnsiTheme="minorBidi"/>
          <w:sz w:val="22"/>
        </w:rPr>
        <w:t> :</w:t>
      </w:r>
    </w:p>
    <w:p w14:paraId="1061880C" w14:textId="77777777" w:rsidR="00E15130" w:rsidRPr="007D29E9" w:rsidRDefault="00E15130" w:rsidP="00692C51">
      <w:pPr>
        <w:spacing w:after="120"/>
        <w:ind w:left="567"/>
        <w:jc w:val="both"/>
        <w:rPr>
          <w:rFonts w:asciiTheme="minorBidi" w:hAnsiTheme="minorBidi" w:cstheme="minorBidi"/>
          <w:sz w:val="22"/>
          <w:szCs w:val="22"/>
        </w:rPr>
      </w:pPr>
      <w:r>
        <w:rPr>
          <w:rFonts w:asciiTheme="minorBidi" w:hAnsiTheme="minorBidi"/>
          <w:sz w:val="22"/>
        </w:rPr>
        <w:t xml:space="preserve">Mis en œuvre par l’Institut hondurien d’anthropologie et d’histoire (IHAH), ce projet de vingt-six mois vise à renforcer les capacités nationales de sauvegarde du patrimoine culturel immatériel et à établir des inventaires complets avec la participation active des communautés dans quatre municipalités du Honduras. </w:t>
      </w:r>
      <w:r w:rsidRPr="00E767A9">
        <w:rPr>
          <w:rFonts w:asciiTheme="minorBidi" w:hAnsiTheme="minorBidi"/>
          <w:sz w:val="22"/>
        </w:rPr>
        <w:t xml:space="preserve">Le dernier </w:t>
      </w:r>
      <w:hyperlink r:id="rId10" w:history="1">
        <w:r w:rsidRPr="00E767A9">
          <w:rPr>
            <w:rStyle w:val="Hyperlink"/>
            <w:rFonts w:asciiTheme="minorBidi" w:hAnsiTheme="minorBidi"/>
            <w:sz w:val="22"/>
          </w:rPr>
          <w:t>rapport périodique</w:t>
        </w:r>
      </w:hyperlink>
      <w:r w:rsidRPr="00E767A9">
        <w:rPr>
          <w:rFonts w:asciiTheme="minorBidi" w:hAnsiTheme="minorBidi"/>
          <w:sz w:val="22"/>
        </w:rPr>
        <w:t xml:space="preserve"> soumis par le Honduras en 2021 indique la nécessité de systématiser les informations recueillies </w:t>
      </w:r>
      <w:r>
        <w:rPr>
          <w:rFonts w:asciiTheme="minorBidi" w:hAnsiTheme="minorBidi"/>
          <w:sz w:val="22"/>
        </w:rPr>
        <w:t xml:space="preserve">durant des </w:t>
      </w:r>
      <w:r w:rsidRPr="00E767A9">
        <w:rPr>
          <w:rFonts w:asciiTheme="minorBidi" w:hAnsiTheme="minorBidi"/>
          <w:sz w:val="22"/>
        </w:rPr>
        <w:t>décennies de recherche sous la forme d</w:t>
      </w:r>
      <w:r>
        <w:rPr>
          <w:rFonts w:asciiTheme="minorBidi" w:hAnsiTheme="minorBidi"/>
          <w:sz w:val="22"/>
        </w:rPr>
        <w:t>’</w:t>
      </w:r>
      <w:r w:rsidRPr="00E767A9">
        <w:rPr>
          <w:rFonts w:asciiTheme="minorBidi" w:hAnsiTheme="minorBidi"/>
          <w:sz w:val="22"/>
        </w:rPr>
        <w:t xml:space="preserve">inventaires à développer avec une large participation </w:t>
      </w:r>
      <w:r>
        <w:rPr>
          <w:rFonts w:asciiTheme="minorBidi" w:hAnsiTheme="minorBidi"/>
          <w:sz w:val="22"/>
        </w:rPr>
        <w:t xml:space="preserve">des </w:t>
      </w:r>
      <w:r w:rsidRPr="00E767A9">
        <w:rPr>
          <w:rFonts w:asciiTheme="minorBidi" w:hAnsiTheme="minorBidi"/>
          <w:sz w:val="22"/>
        </w:rPr>
        <w:t>communaut</w:t>
      </w:r>
      <w:r>
        <w:rPr>
          <w:rFonts w:asciiTheme="minorBidi" w:hAnsiTheme="minorBidi"/>
          <w:sz w:val="22"/>
        </w:rPr>
        <w:t>és</w:t>
      </w:r>
      <w:r w:rsidRPr="00E767A9">
        <w:rPr>
          <w:rFonts w:asciiTheme="minorBidi" w:hAnsiTheme="minorBidi"/>
          <w:sz w:val="22"/>
        </w:rPr>
        <w:t>.</w:t>
      </w:r>
      <w:r>
        <w:rPr>
          <w:rFonts w:asciiTheme="minorBidi" w:hAnsiTheme="minorBidi"/>
          <w:sz w:val="22"/>
        </w:rPr>
        <w:t xml:space="preserve"> Le projet prévoit le développement d’un guide méthodologique pour la préparation des inventaires, ainsi qu’une série d’ateliers de formation sur les principes de la Convention de 2003, sur l’élaboration d’inventaires et sur la sauvegarde. Les activités prévoient également des mesures de sensibilisation pour promouvoir le patrimoine vivant, en mettant l’accent sur l’importance de la sauvegarde des éléments inventoriés. En outre, le projet devrait faciliter la mise en place d’un réseau impliquant les autorités locales, les communautés, les universités et l’IHAH pour la sauvegarde du patrimoine vivant, et potentiellement inspirer d’autres municipalités à adopter des pratiques similaires. À long terme, les résultats du projet contribueront à la révision des dispositions de la Loi sur la protection du patrimoine culturel afin de garantir la protection juridique du patrimoine culturel immatériel et la reconnaissance des droits des communautés.</w:t>
      </w:r>
    </w:p>
    <w:p w14:paraId="08ACE36B" w14:textId="77777777" w:rsidR="00E15130" w:rsidRPr="00F97169" w:rsidRDefault="00E15130" w:rsidP="00692C51">
      <w:pPr>
        <w:numPr>
          <w:ilvl w:val="0"/>
          <w:numId w:val="20"/>
        </w:numPr>
        <w:spacing w:after="120"/>
        <w:ind w:left="567" w:hanging="567"/>
        <w:contextualSpacing/>
        <w:jc w:val="both"/>
        <w:rPr>
          <w:rFonts w:asciiTheme="minorBidi" w:hAnsiTheme="minorBidi" w:cstheme="minorBidi"/>
          <w:sz w:val="22"/>
          <w:szCs w:val="22"/>
        </w:rPr>
      </w:pPr>
      <w:r>
        <w:rPr>
          <w:rFonts w:asciiTheme="minorBidi" w:hAnsiTheme="minorBidi"/>
          <w:sz w:val="22"/>
          <w:u w:val="single"/>
        </w:rPr>
        <w:t>Prend note en outre</w:t>
      </w:r>
      <w:r>
        <w:rPr>
          <w:rFonts w:asciiTheme="minorBidi" w:hAnsiTheme="minorBidi"/>
          <w:sz w:val="22"/>
        </w:rPr>
        <w:t xml:space="preserve"> que cette assistance vise à soutenir un projet mis en œuvre au niveau national, conformément à l’article 20 (c) de la Convention, et qu’elle prend la forme d’</w:t>
      </w:r>
      <w:r>
        <w:rPr>
          <w:rFonts w:asciiTheme="minorBidi" w:hAnsiTheme="minorBidi"/>
          <w:b/>
          <w:bCs/>
          <w:sz w:val="22"/>
        </w:rPr>
        <w:t>octroi d’un don</w:t>
      </w:r>
      <w:r>
        <w:rPr>
          <w:rFonts w:asciiTheme="minorBidi" w:hAnsiTheme="minorBidi"/>
          <w:sz w:val="22"/>
        </w:rPr>
        <w:t>, conformément à l’article 21 (g) de la Convention ;</w:t>
      </w:r>
    </w:p>
    <w:p w14:paraId="6B9D360B" w14:textId="77777777" w:rsidR="00E15130" w:rsidRPr="00F97169" w:rsidRDefault="00E15130" w:rsidP="00692C51">
      <w:pPr>
        <w:keepNext/>
        <w:numPr>
          <w:ilvl w:val="0"/>
          <w:numId w:val="20"/>
        </w:numPr>
        <w:spacing w:after="120"/>
        <w:ind w:left="567" w:hanging="567"/>
        <w:jc w:val="both"/>
        <w:rPr>
          <w:rFonts w:asciiTheme="minorBidi" w:hAnsiTheme="minorBidi" w:cstheme="minorBidi"/>
          <w:sz w:val="22"/>
          <w:szCs w:val="22"/>
        </w:rPr>
      </w:pPr>
      <w:r>
        <w:rPr>
          <w:rFonts w:asciiTheme="minorBidi" w:hAnsiTheme="minorBidi"/>
          <w:sz w:val="22"/>
          <w:u w:val="single"/>
        </w:rPr>
        <w:t>Prend également note</w:t>
      </w:r>
      <w:r>
        <w:rPr>
          <w:rFonts w:asciiTheme="minorBidi" w:hAnsiTheme="minorBidi"/>
          <w:sz w:val="22"/>
        </w:rPr>
        <w:t xml:space="preserve"> que le Honduras a demandé une allocation d’un montant de 100 000 dollars des États-Unis au Fonds du patrimoine culturel immatériel pour la mise en œuvre du projet ;</w:t>
      </w:r>
    </w:p>
    <w:p w14:paraId="092F2A5A" w14:textId="77777777" w:rsidR="00E15130" w:rsidRPr="00F97169" w:rsidRDefault="00E15130" w:rsidP="00692C51">
      <w:pPr>
        <w:numPr>
          <w:ilvl w:val="0"/>
          <w:numId w:val="20"/>
        </w:numPr>
        <w:spacing w:after="120"/>
        <w:ind w:left="567" w:hanging="567"/>
        <w:jc w:val="both"/>
        <w:rPr>
          <w:rFonts w:asciiTheme="minorBidi" w:hAnsiTheme="minorBidi" w:cstheme="minorBidi"/>
          <w:sz w:val="22"/>
          <w:szCs w:val="22"/>
        </w:rPr>
      </w:pPr>
      <w:r>
        <w:rPr>
          <w:rFonts w:asciiTheme="minorBidi" w:hAnsiTheme="minorBidi"/>
          <w:sz w:val="22"/>
          <w:u w:val="single"/>
        </w:rPr>
        <w:t>Décide</w:t>
      </w:r>
      <w:r>
        <w:rPr>
          <w:rFonts w:asciiTheme="minorBidi" w:hAnsiTheme="minorBidi"/>
          <w:sz w:val="22"/>
        </w:rPr>
        <w:t xml:space="preserve"> que, d’après les informations contenues dans le dossier n° 02209, la demande satisfait aux critères d’octroi de l’assistance internationale énoncés aux paragraphes 10 et 12 des Directives opérationnelles comme suit :</w:t>
      </w:r>
    </w:p>
    <w:p w14:paraId="717876F7" w14:textId="77777777" w:rsidR="00E15130" w:rsidRPr="007E399F" w:rsidRDefault="00E15130" w:rsidP="00692C51">
      <w:pPr>
        <w:spacing w:after="120"/>
        <w:ind w:left="567"/>
        <w:jc w:val="both"/>
        <w:rPr>
          <w:rFonts w:asciiTheme="minorBidi" w:hAnsiTheme="minorBidi"/>
          <w:bCs/>
          <w:sz w:val="22"/>
        </w:rPr>
      </w:pPr>
      <w:r>
        <w:rPr>
          <w:rFonts w:asciiTheme="minorBidi" w:hAnsiTheme="minorBidi"/>
          <w:b/>
          <w:sz w:val="22"/>
        </w:rPr>
        <w:t xml:space="preserve">Critère A.1 : </w:t>
      </w:r>
      <w:r w:rsidRPr="00374B24">
        <w:rPr>
          <w:rFonts w:asciiTheme="minorBidi" w:hAnsiTheme="minorBidi"/>
          <w:bCs/>
          <w:sz w:val="22"/>
        </w:rPr>
        <w:t>Pour donner suite à</w:t>
      </w:r>
      <w:r w:rsidRPr="007E399F">
        <w:rPr>
          <w:rFonts w:asciiTheme="minorBidi" w:hAnsiTheme="minorBidi"/>
          <w:bCs/>
          <w:sz w:val="22"/>
        </w:rPr>
        <w:t xml:space="preserve"> la demande d</w:t>
      </w:r>
      <w:r>
        <w:rPr>
          <w:rFonts w:asciiTheme="minorBidi" w:hAnsiTheme="minorBidi"/>
          <w:bCs/>
          <w:sz w:val="22"/>
        </w:rPr>
        <w:t>’</w:t>
      </w:r>
      <w:r w:rsidRPr="007E399F">
        <w:rPr>
          <w:rFonts w:asciiTheme="minorBidi" w:hAnsiTheme="minorBidi"/>
          <w:bCs/>
          <w:sz w:val="22"/>
        </w:rPr>
        <w:t xml:space="preserve">assistance technique </w:t>
      </w:r>
      <w:r>
        <w:rPr>
          <w:rFonts w:asciiTheme="minorBidi" w:hAnsiTheme="minorBidi"/>
          <w:bCs/>
          <w:sz w:val="22"/>
        </w:rPr>
        <w:t>faite</w:t>
      </w:r>
      <w:r w:rsidRPr="007E399F">
        <w:rPr>
          <w:rFonts w:asciiTheme="minorBidi" w:hAnsiTheme="minorBidi"/>
          <w:bCs/>
          <w:sz w:val="22"/>
        </w:rPr>
        <w:t xml:space="preserve"> par les autorités nationales, un</w:t>
      </w:r>
      <w:r>
        <w:rPr>
          <w:rFonts w:asciiTheme="minorBidi" w:hAnsiTheme="minorBidi"/>
          <w:bCs/>
          <w:sz w:val="22"/>
        </w:rPr>
        <w:t>e</w:t>
      </w:r>
      <w:r w:rsidRPr="007E399F">
        <w:rPr>
          <w:rFonts w:asciiTheme="minorBidi" w:hAnsiTheme="minorBidi"/>
          <w:bCs/>
          <w:sz w:val="22"/>
        </w:rPr>
        <w:t xml:space="preserve"> expert</w:t>
      </w:r>
      <w:r>
        <w:rPr>
          <w:rFonts w:asciiTheme="minorBidi" w:hAnsiTheme="minorBidi"/>
          <w:bCs/>
          <w:sz w:val="22"/>
        </w:rPr>
        <w:t>e</w:t>
      </w:r>
      <w:r w:rsidRPr="007E399F">
        <w:rPr>
          <w:rFonts w:asciiTheme="minorBidi" w:hAnsiTheme="minorBidi"/>
          <w:bCs/>
          <w:sz w:val="22"/>
        </w:rPr>
        <w:t xml:space="preserve"> du Guatemala a effectué une mission dans le pays en juillet 2024.</w:t>
      </w:r>
      <w:r>
        <w:rPr>
          <w:rFonts w:asciiTheme="minorBidi" w:hAnsiTheme="minorBidi"/>
          <w:bCs/>
          <w:sz w:val="22"/>
        </w:rPr>
        <w:t xml:space="preserve"> </w:t>
      </w:r>
      <w:r>
        <w:rPr>
          <w:rFonts w:asciiTheme="minorBidi" w:hAnsiTheme="minorBidi"/>
          <w:sz w:val="22"/>
        </w:rPr>
        <w:t xml:space="preserve">Au cours de cette mission, les autorités nationales ont organisé un certain nombre d’ateliers avec les communautés, qui ont fait part de leurs besoins en matière de sauvegarde et qui ont donné leur accord pour participer au projet. Les communautés concernées sont les communautés autochtones de Lenca de San Francisco de </w:t>
      </w:r>
      <w:proofErr w:type="spellStart"/>
      <w:r>
        <w:rPr>
          <w:rFonts w:asciiTheme="minorBidi" w:hAnsiTheme="minorBidi"/>
          <w:sz w:val="22"/>
        </w:rPr>
        <w:t>Opalaca</w:t>
      </w:r>
      <w:proofErr w:type="spellEnd"/>
      <w:r>
        <w:rPr>
          <w:rFonts w:asciiTheme="minorBidi" w:hAnsiTheme="minorBidi"/>
          <w:sz w:val="22"/>
        </w:rPr>
        <w:t>, d’</w:t>
      </w:r>
      <w:proofErr w:type="spellStart"/>
      <w:r>
        <w:rPr>
          <w:rFonts w:asciiTheme="minorBidi" w:hAnsiTheme="minorBidi"/>
          <w:sz w:val="22"/>
        </w:rPr>
        <w:t>Opatoro</w:t>
      </w:r>
      <w:proofErr w:type="spellEnd"/>
      <w:r>
        <w:rPr>
          <w:rFonts w:asciiTheme="minorBidi" w:hAnsiTheme="minorBidi"/>
          <w:sz w:val="22"/>
        </w:rPr>
        <w:t xml:space="preserve">, de </w:t>
      </w:r>
      <w:proofErr w:type="spellStart"/>
      <w:r>
        <w:rPr>
          <w:rFonts w:asciiTheme="minorBidi" w:hAnsiTheme="minorBidi"/>
          <w:sz w:val="22"/>
        </w:rPr>
        <w:t>Guajiquiro</w:t>
      </w:r>
      <w:proofErr w:type="spellEnd"/>
      <w:r>
        <w:rPr>
          <w:rFonts w:asciiTheme="minorBidi" w:hAnsiTheme="minorBidi"/>
          <w:sz w:val="22"/>
        </w:rPr>
        <w:t xml:space="preserve"> et la communauté </w:t>
      </w:r>
      <w:proofErr w:type="spellStart"/>
      <w:r>
        <w:rPr>
          <w:rFonts w:asciiTheme="minorBidi" w:hAnsiTheme="minorBidi"/>
          <w:sz w:val="22"/>
        </w:rPr>
        <w:t>Yarumela</w:t>
      </w:r>
      <w:proofErr w:type="spellEnd"/>
      <w:r>
        <w:rPr>
          <w:rFonts w:asciiTheme="minorBidi" w:hAnsiTheme="minorBidi"/>
          <w:sz w:val="22"/>
        </w:rPr>
        <w:t xml:space="preserve"> (à </w:t>
      </w:r>
      <w:proofErr w:type="spellStart"/>
      <w:r>
        <w:rPr>
          <w:rFonts w:asciiTheme="minorBidi" w:hAnsiTheme="minorBidi"/>
          <w:sz w:val="22"/>
        </w:rPr>
        <w:t>Yarumela</w:t>
      </w:r>
      <w:proofErr w:type="spellEnd"/>
      <w:r>
        <w:rPr>
          <w:rFonts w:asciiTheme="minorBidi" w:hAnsiTheme="minorBidi"/>
          <w:sz w:val="22"/>
        </w:rPr>
        <w:t xml:space="preserve">). En outre, une série de réunions de consultation a été organisée d’août à novembre 2024 avec ces communautés pour élaborer la demande d’assistance internationale en question, qui sera mise en œuvre selon des approches inclusives et participatives. Par conséquent, les communautés seront impliquées dans le développement du guide méthodologique et l’élaboration des inventaires, et bénéficieront des différentes sessions de formation. Elles participeront également à la planification et au suivi du projet. La demande souligne l’importance de l’égalité des genres et de l’inclusion sociale, en garantissant la participation de plusieurs groupes, y compris les femmes et les jeunes, dans toutes les composantes du projet. </w:t>
      </w:r>
    </w:p>
    <w:p w14:paraId="3578CB61" w14:textId="77777777" w:rsidR="00E15130" w:rsidRPr="00F97169" w:rsidRDefault="00E15130" w:rsidP="00692C51">
      <w:pPr>
        <w:spacing w:after="120"/>
        <w:ind w:left="567"/>
        <w:jc w:val="both"/>
        <w:rPr>
          <w:rFonts w:asciiTheme="minorBidi" w:hAnsiTheme="minorBidi" w:cstheme="minorBidi"/>
          <w:bCs/>
          <w:sz w:val="22"/>
          <w:szCs w:val="22"/>
        </w:rPr>
      </w:pPr>
      <w:r>
        <w:rPr>
          <w:rFonts w:asciiTheme="minorBidi" w:hAnsiTheme="minorBidi"/>
          <w:b/>
          <w:sz w:val="22"/>
        </w:rPr>
        <w:lastRenderedPageBreak/>
        <w:t>Critère A.2 :</w:t>
      </w:r>
      <w:r>
        <w:rPr>
          <w:rFonts w:asciiTheme="minorBidi" w:hAnsiTheme="minorBidi"/>
          <w:sz w:val="22"/>
        </w:rPr>
        <w:t xml:space="preserve"> La ventilation du budget et le calendrier proposé sont bien structurés et conformes aux activités décrites dans la demande. Le montant de l’assistance demandé est considéré comme approprié.</w:t>
      </w:r>
    </w:p>
    <w:p w14:paraId="761F2692" w14:textId="77777777" w:rsidR="00E15130" w:rsidRPr="00F97169" w:rsidRDefault="00E15130" w:rsidP="00692C51">
      <w:pPr>
        <w:spacing w:after="120"/>
        <w:ind w:left="567"/>
        <w:jc w:val="both"/>
        <w:rPr>
          <w:rFonts w:asciiTheme="minorBidi" w:hAnsiTheme="minorBidi" w:cstheme="minorBidi"/>
          <w:bCs/>
          <w:sz w:val="22"/>
          <w:szCs w:val="22"/>
        </w:rPr>
      </w:pPr>
      <w:r>
        <w:rPr>
          <w:rFonts w:asciiTheme="minorBidi" w:hAnsiTheme="minorBidi"/>
          <w:b/>
          <w:sz w:val="22"/>
        </w:rPr>
        <w:t>Critère A.3 :</w:t>
      </w:r>
      <w:r>
        <w:rPr>
          <w:rFonts w:asciiTheme="minorBidi" w:hAnsiTheme="minorBidi"/>
          <w:sz w:val="22"/>
        </w:rPr>
        <w:t xml:space="preserve"> La demande présente quatre activités principales : (a) le développement d’un guide méthodologique pour la préparation des inventaires ; (b) des ateliers de renforcement des capacités pour les communautés et les responsables gouvernementaux ; (c) des inventaires basés sur les communautés ; et (d) des activités de sensibilisation et la diffusion des résultats du projet. Les activités sont présentées dans un ordre logique et correspondent aux objectifs et aux résultats attendus décrits dans la demande.</w:t>
      </w:r>
    </w:p>
    <w:p w14:paraId="2417A32E" w14:textId="77777777" w:rsidR="00E15130" w:rsidRPr="009C53B4" w:rsidRDefault="00E15130" w:rsidP="00692C51">
      <w:pPr>
        <w:snapToGrid w:val="0"/>
        <w:spacing w:after="120"/>
        <w:ind w:left="567"/>
        <w:jc w:val="both"/>
        <w:rPr>
          <w:rFonts w:asciiTheme="minorBidi" w:hAnsiTheme="minorBidi" w:cstheme="minorBidi"/>
          <w:sz w:val="22"/>
          <w:szCs w:val="22"/>
        </w:rPr>
      </w:pPr>
      <w:r>
        <w:rPr>
          <w:rFonts w:asciiTheme="minorBidi" w:hAnsiTheme="minorBidi"/>
          <w:b/>
          <w:sz w:val="22"/>
        </w:rPr>
        <w:t>Critère A.4 :</w:t>
      </w:r>
      <w:r>
        <w:rPr>
          <w:rFonts w:asciiTheme="minorBidi" w:hAnsiTheme="minorBidi"/>
          <w:sz w:val="22"/>
        </w:rPr>
        <w:t xml:space="preserve"> Le projet vise à établir une base durable pour la sauvegarde du patrimoine vivant au Honduras. Il </w:t>
      </w:r>
      <w:r w:rsidRPr="00864CA9">
        <w:rPr>
          <w:rFonts w:asciiTheme="minorBidi" w:hAnsiTheme="minorBidi"/>
          <w:sz w:val="22"/>
        </w:rPr>
        <w:t xml:space="preserve">contribuera au développement d’un guide méthodologique pour les inventaires basés sur les communautés, qui servira d’outil </w:t>
      </w:r>
      <w:r w:rsidRPr="007E399F">
        <w:rPr>
          <w:rFonts w:asciiTheme="minorBidi" w:hAnsiTheme="minorBidi"/>
          <w:sz w:val="22"/>
        </w:rPr>
        <w:t xml:space="preserve">pour l’inventaire et pour la </w:t>
      </w:r>
      <w:r w:rsidRPr="00864CA9">
        <w:rPr>
          <w:rFonts w:asciiTheme="minorBidi" w:hAnsiTheme="minorBidi"/>
          <w:sz w:val="22"/>
        </w:rPr>
        <w:t>sauvegarde du patrimoine culturel immatériel dans les quatre communautés, dans le cadre du projet.</w:t>
      </w:r>
      <w:r w:rsidRPr="00864CA9">
        <w:t xml:space="preserve"> </w:t>
      </w:r>
      <w:r w:rsidRPr="00864CA9">
        <w:rPr>
          <w:rFonts w:asciiTheme="minorBidi" w:hAnsiTheme="minorBidi"/>
          <w:sz w:val="22"/>
        </w:rPr>
        <w:t>La méthodologie établie</w:t>
      </w:r>
      <w:r w:rsidRPr="00FF51C6">
        <w:rPr>
          <w:rFonts w:asciiTheme="minorBidi" w:hAnsiTheme="minorBidi"/>
          <w:sz w:val="22"/>
        </w:rPr>
        <w:t xml:space="preserve"> sera appliquée à l</w:t>
      </w:r>
      <w:r>
        <w:rPr>
          <w:rFonts w:asciiTheme="minorBidi" w:hAnsiTheme="minorBidi"/>
          <w:sz w:val="22"/>
        </w:rPr>
        <w:t>’</w:t>
      </w:r>
      <w:r w:rsidRPr="00FF51C6">
        <w:rPr>
          <w:rFonts w:asciiTheme="minorBidi" w:hAnsiTheme="minorBidi"/>
          <w:sz w:val="22"/>
        </w:rPr>
        <w:t>inventaire du patrimoine vivant d</w:t>
      </w:r>
      <w:r>
        <w:rPr>
          <w:rFonts w:asciiTheme="minorBidi" w:hAnsiTheme="minorBidi"/>
          <w:sz w:val="22"/>
        </w:rPr>
        <w:t>’</w:t>
      </w:r>
      <w:r w:rsidRPr="00FF51C6">
        <w:rPr>
          <w:rFonts w:asciiTheme="minorBidi" w:hAnsiTheme="minorBidi"/>
          <w:sz w:val="22"/>
        </w:rPr>
        <w:t xml:space="preserve">autres communautés à travers le pays, </w:t>
      </w:r>
      <w:r>
        <w:rPr>
          <w:rFonts w:asciiTheme="minorBidi" w:hAnsiTheme="minorBidi"/>
          <w:sz w:val="22"/>
        </w:rPr>
        <w:t>au-</w:t>
      </w:r>
      <w:r w:rsidRPr="00FF51C6">
        <w:rPr>
          <w:rFonts w:asciiTheme="minorBidi" w:hAnsiTheme="minorBidi"/>
          <w:sz w:val="22"/>
        </w:rPr>
        <w:t>delà de l</w:t>
      </w:r>
      <w:r>
        <w:rPr>
          <w:rFonts w:asciiTheme="minorBidi" w:hAnsiTheme="minorBidi"/>
          <w:sz w:val="22"/>
        </w:rPr>
        <w:t>’</w:t>
      </w:r>
      <w:r w:rsidRPr="00FF51C6">
        <w:rPr>
          <w:rFonts w:asciiTheme="minorBidi" w:hAnsiTheme="minorBidi"/>
          <w:sz w:val="22"/>
        </w:rPr>
        <w:t>achèvement du projet.</w:t>
      </w:r>
      <w:r>
        <w:rPr>
          <w:rFonts w:asciiTheme="minorBidi" w:hAnsiTheme="minorBidi"/>
          <w:sz w:val="22"/>
        </w:rPr>
        <w:t xml:space="preserve"> En outre, le projet favorisera la création de réseaux entre l’IHAH, les communautés, les organisations non gouvernementales et les universités afin de promouvoir ses résultats. Il permettra également d’engager une réflexion sur la dynamique des genres dans la mise en œuvre du patrimoine culturel immatériel et sur la manière dont cette dynamique peut influencer sa sauvegarde, y compris sa transmission. À long terme, le projet contribuera à la mise en place de mécanismes durables, dont l’un des éléments clés sera le travail de l’IHAH sur la réglementation de la Loi pour la protection du patrimoine culturel (décret 220-97) afin d’assurer la protection juridique du patrimoine culturel immatériel et la reconnaissance des droits des communautés. La réglementation actuelle ne fait que définir le patrimoine culturel immatériel, mais elle ne réglemente pas les aspects liés à sa sauvegarde ou le rôle des communautés et des autorités locales et nationales. </w:t>
      </w:r>
    </w:p>
    <w:p w14:paraId="39DBE42B" w14:textId="77777777" w:rsidR="00E15130" w:rsidRPr="00F97169" w:rsidRDefault="00E15130" w:rsidP="00692C51">
      <w:pPr>
        <w:spacing w:after="120"/>
        <w:ind w:left="567"/>
        <w:jc w:val="both"/>
        <w:rPr>
          <w:rFonts w:asciiTheme="minorBidi" w:eastAsia="SimSun" w:hAnsiTheme="minorBidi" w:cstheme="minorBidi"/>
          <w:sz w:val="22"/>
          <w:szCs w:val="22"/>
        </w:rPr>
      </w:pPr>
      <w:r>
        <w:rPr>
          <w:rFonts w:asciiTheme="minorBidi" w:hAnsiTheme="minorBidi"/>
          <w:b/>
          <w:sz w:val="22"/>
        </w:rPr>
        <w:t>Critère A.5 :</w:t>
      </w:r>
      <w:r>
        <w:rPr>
          <w:rFonts w:asciiTheme="minorBidi" w:hAnsiTheme="minorBidi"/>
          <w:sz w:val="22"/>
        </w:rPr>
        <w:t xml:space="preserve"> L’État partie demandeur contribuera à hauteur de 28 pour cent (39 290 dollars des États-Unis) du montant total du budget du projet (139 290 dollars des États-Unis). Par conséquent, une assistance internationale est demandée au Fonds du patrimoine culturel immatériel pour les 72 pour cent restants du montant total du projet.</w:t>
      </w:r>
    </w:p>
    <w:p w14:paraId="43CD11E6" w14:textId="77777777" w:rsidR="00E15130" w:rsidRPr="005333CF" w:rsidRDefault="00E15130" w:rsidP="00692C51">
      <w:pPr>
        <w:spacing w:after="120"/>
        <w:ind w:left="567"/>
        <w:jc w:val="both"/>
        <w:rPr>
          <w:rFonts w:asciiTheme="minorBidi" w:hAnsiTheme="minorBidi" w:cstheme="minorBidi"/>
          <w:sz w:val="22"/>
          <w:szCs w:val="22"/>
        </w:rPr>
      </w:pPr>
      <w:r>
        <w:rPr>
          <w:rFonts w:asciiTheme="minorBidi" w:hAnsiTheme="minorBidi"/>
          <w:b/>
          <w:sz w:val="22"/>
        </w:rPr>
        <w:t>Critère A.6 :</w:t>
      </w:r>
      <w:r>
        <w:rPr>
          <w:rFonts w:asciiTheme="minorBidi" w:hAnsiTheme="minorBidi"/>
          <w:sz w:val="22"/>
        </w:rPr>
        <w:t xml:space="preserve"> Le projet comporte un important volet de renforcement des capacités qui inclut deux programmes de formation. Le premier porte sur la formation des formateurs, qui formera un groupe de douze personnes-ressources dans le domaine du patrimoine culturel immatériel. Ces formateurs seront identifiés parmi l’équipe du projet et des quatre communautés concernées, qui formeront à leur tour les membres des communautés. Le second volet consiste en une série de huit ateliers destinés à former les communautés, les détenteurs et les représentants des autorités locales aux principes clés de la Convention de 2003 et aux méthodologies de préparation d’inventaires basés sur les communautés. Environ 200 personnes bénéficieront des activités de renforcement des capacités aux niveaux institutionnel et communautaire. Le projet contribuera également à diffuser les connaissances auprès des communautés concernées et à soutenir l’élaboration de futurs inventaires aux niveaux local et national.</w:t>
      </w:r>
    </w:p>
    <w:p w14:paraId="2D347AF3" w14:textId="77777777" w:rsidR="00E15130" w:rsidRPr="00647552" w:rsidRDefault="00E15130" w:rsidP="00692C51">
      <w:pPr>
        <w:spacing w:after="120"/>
        <w:ind w:left="567"/>
        <w:jc w:val="both"/>
        <w:rPr>
          <w:rFonts w:asciiTheme="minorBidi" w:hAnsiTheme="minorBidi" w:cstheme="minorBidi"/>
          <w:snapToGrid w:val="0"/>
          <w:sz w:val="22"/>
          <w:szCs w:val="22"/>
          <w:shd w:val="clear" w:color="auto" w:fill="FFFFFF"/>
        </w:rPr>
      </w:pPr>
      <w:r>
        <w:rPr>
          <w:rFonts w:asciiTheme="minorBidi" w:hAnsiTheme="minorBidi"/>
          <w:b/>
          <w:snapToGrid w:val="0"/>
          <w:sz w:val="22"/>
        </w:rPr>
        <w:t>Critère A.7 </w:t>
      </w:r>
      <w:r>
        <w:rPr>
          <w:rFonts w:asciiTheme="minorBidi" w:hAnsiTheme="minorBidi"/>
          <w:b/>
          <w:snapToGrid w:val="0"/>
          <w:sz w:val="22"/>
          <w:shd w:val="clear" w:color="auto" w:fill="FFFFFF"/>
        </w:rPr>
        <w:t xml:space="preserve">: </w:t>
      </w:r>
      <w:r>
        <w:rPr>
          <w:rFonts w:asciiTheme="minorBidi" w:hAnsiTheme="minorBidi"/>
          <w:snapToGrid w:val="0"/>
          <w:sz w:val="22"/>
          <w:shd w:val="clear" w:color="auto" w:fill="FFFFFF"/>
        </w:rPr>
        <w:t>Le Honduras a bénéficié d’une assistance internationale du Fonds du patrimoine culturel immatériel par le biais d’un projet d’assistance préparatoire et de deux projets multinationaux d’assistance internationale</w:t>
      </w:r>
      <w:r>
        <w:rPr>
          <w:rStyle w:val="FootnoteReference"/>
          <w:rFonts w:asciiTheme="minorBidi" w:hAnsiTheme="minorBidi" w:cstheme="minorBidi"/>
          <w:snapToGrid w:val="0"/>
          <w:sz w:val="22"/>
          <w:szCs w:val="22"/>
          <w:shd w:val="clear" w:color="auto" w:fill="FFFFFF"/>
          <w:lang w:val="en-US" w:eastAsia="en-US"/>
        </w:rPr>
        <w:footnoteReference w:id="2"/>
      </w:r>
      <w:r>
        <w:rPr>
          <w:rFonts w:asciiTheme="minorBidi" w:hAnsiTheme="minorBidi"/>
          <w:snapToGrid w:val="0"/>
          <w:sz w:val="22"/>
          <w:shd w:val="clear" w:color="auto" w:fill="FFFFFF"/>
        </w:rPr>
        <w:t>. Les travaux stipulés dans les contrats relatifs à ces projets ont été réalisés conformément aux règlements de l’UNESCO.</w:t>
      </w:r>
    </w:p>
    <w:p w14:paraId="515D8050" w14:textId="77777777" w:rsidR="00E15130" w:rsidRPr="00B156A3" w:rsidRDefault="00E15130" w:rsidP="00692C51">
      <w:pPr>
        <w:spacing w:after="120"/>
        <w:ind w:left="567"/>
        <w:jc w:val="both"/>
        <w:rPr>
          <w:rFonts w:asciiTheme="minorBidi" w:hAnsiTheme="minorBidi" w:cstheme="minorBidi"/>
          <w:bCs/>
          <w:sz w:val="22"/>
          <w:szCs w:val="22"/>
        </w:rPr>
      </w:pPr>
      <w:r>
        <w:rPr>
          <w:rFonts w:asciiTheme="minorBidi" w:hAnsiTheme="minorBidi"/>
          <w:b/>
          <w:sz w:val="22"/>
        </w:rPr>
        <w:t>Paragraphe 10(a) :</w:t>
      </w:r>
      <w:r>
        <w:rPr>
          <w:rFonts w:asciiTheme="minorBidi" w:hAnsiTheme="minorBidi"/>
          <w:sz w:val="22"/>
        </w:rPr>
        <w:t xml:space="preserve"> Le projet sera mis en œuvre dans deux départements du Honduras, mais il a une portée nationale. Il implique des partenaires nationaux tels que l’IHAH, les autorités locales, et des organisations autochtones telles que l’Association des femmes Lenca, le Conseil environnemental Lenca du Honduras (ILECH) et la Plateforme environnementale autochtone Lenca de </w:t>
      </w:r>
      <w:proofErr w:type="spellStart"/>
      <w:r>
        <w:rPr>
          <w:rFonts w:asciiTheme="minorBidi" w:hAnsiTheme="minorBidi"/>
          <w:sz w:val="22"/>
        </w:rPr>
        <w:t>Guajiquiro</w:t>
      </w:r>
      <w:proofErr w:type="spellEnd"/>
      <w:r>
        <w:rPr>
          <w:rFonts w:asciiTheme="minorBidi" w:hAnsiTheme="minorBidi"/>
          <w:sz w:val="22"/>
        </w:rPr>
        <w:t xml:space="preserve"> (PALAGUA).</w:t>
      </w:r>
    </w:p>
    <w:p w14:paraId="0B105435" w14:textId="77777777" w:rsidR="00E15130" w:rsidRPr="00B07C41" w:rsidRDefault="00E15130" w:rsidP="00692C51">
      <w:pPr>
        <w:spacing w:after="120"/>
        <w:ind w:left="567"/>
        <w:jc w:val="both"/>
        <w:rPr>
          <w:rFonts w:asciiTheme="minorBidi" w:hAnsiTheme="minorBidi" w:cstheme="minorBidi"/>
          <w:bCs/>
          <w:snapToGrid w:val="0"/>
          <w:sz w:val="22"/>
          <w:szCs w:val="22"/>
        </w:rPr>
      </w:pPr>
      <w:r>
        <w:rPr>
          <w:rFonts w:asciiTheme="minorBidi" w:hAnsiTheme="minorBidi"/>
          <w:b/>
          <w:snapToGrid w:val="0"/>
          <w:sz w:val="22"/>
        </w:rPr>
        <w:t xml:space="preserve">Paragraphe 10(b) : </w:t>
      </w:r>
      <w:r>
        <w:rPr>
          <w:rFonts w:asciiTheme="minorBidi" w:hAnsiTheme="minorBidi"/>
          <w:sz w:val="22"/>
        </w:rPr>
        <w:t xml:space="preserve">L’État partie demandeur disposera de personnes-ressources formées dans le domaine du patrimoine culturel immatériel, au-delà de l’achèvement du projet. En outre, </w:t>
      </w:r>
      <w:r>
        <w:rPr>
          <w:rFonts w:asciiTheme="minorBidi" w:hAnsiTheme="minorBidi"/>
          <w:snapToGrid w:val="0"/>
          <w:sz w:val="22"/>
        </w:rPr>
        <w:t xml:space="preserve">les supports de communication qui seront développés au cours du projet contribueront à sensibiliser les communautés et le grand public à l’importance de la sauvegarde de leur </w:t>
      </w:r>
      <w:r w:rsidRPr="00B07C41">
        <w:rPr>
          <w:rFonts w:asciiTheme="minorBidi" w:hAnsiTheme="minorBidi" w:cstheme="minorBidi"/>
          <w:snapToGrid w:val="0"/>
          <w:sz w:val="22"/>
          <w:szCs w:val="22"/>
        </w:rPr>
        <w:t xml:space="preserve">patrimoine vivant. Enfin, les communautés et les autres parties prenantes disposeront des connaissances et des outils nécessaires pour développer des initiatives similaires dans d’autres régions du Honduras, avec la participation des communautés concernées. </w:t>
      </w:r>
    </w:p>
    <w:p w14:paraId="0C7B3240" w14:textId="77777777" w:rsidR="00E15130" w:rsidRPr="00B07C41" w:rsidRDefault="00E15130" w:rsidP="00692C51">
      <w:pPr>
        <w:numPr>
          <w:ilvl w:val="0"/>
          <w:numId w:val="20"/>
        </w:numPr>
        <w:spacing w:after="120"/>
        <w:ind w:left="567" w:hanging="567"/>
        <w:jc w:val="both"/>
        <w:rPr>
          <w:rFonts w:asciiTheme="minorBidi" w:hAnsiTheme="minorBidi" w:cstheme="minorBidi"/>
          <w:sz w:val="22"/>
          <w:szCs w:val="22"/>
        </w:rPr>
      </w:pPr>
      <w:r w:rsidRPr="00B07C41">
        <w:rPr>
          <w:rFonts w:asciiTheme="minorBidi" w:hAnsiTheme="minorBidi" w:cstheme="minorBidi"/>
          <w:sz w:val="22"/>
          <w:szCs w:val="22"/>
          <w:u w:val="single"/>
        </w:rPr>
        <w:t>Approuve</w:t>
      </w:r>
      <w:r w:rsidRPr="00B07C41">
        <w:rPr>
          <w:rFonts w:asciiTheme="minorBidi" w:hAnsiTheme="minorBidi" w:cstheme="minorBidi"/>
          <w:sz w:val="22"/>
          <w:szCs w:val="22"/>
        </w:rPr>
        <w:t xml:space="preserve"> la demande d’assistance internationale du Honduras pour le projet intitulé </w:t>
      </w:r>
      <w:r w:rsidRPr="00B07C41">
        <w:rPr>
          <w:rFonts w:asciiTheme="minorBidi" w:hAnsiTheme="minorBidi" w:cstheme="minorBidi"/>
          <w:b/>
          <w:sz w:val="22"/>
          <w:szCs w:val="22"/>
        </w:rPr>
        <w:t>Préparation des inventaires du patrimoine culturel immatériel du Honduras avec la participation active des communautés</w:t>
      </w:r>
      <w:r w:rsidRPr="00B07C41">
        <w:rPr>
          <w:rFonts w:asciiTheme="minorBidi" w:hAnsiTheme="minorBidi" w:cstheme="minorBidi"/>
          <w:sz w:val="22"/>
          <w:szCs w:val="22"/>
        </w:rPr>
        <w:t>,</w:t>
      </w:r>
      <w:r w:rsidRPr="00B07C41">
        <w:rPr>
          <w:rFonts w:asciiTheme="minorBidi" w:hAnsiTheme="minorBidi" w:cstheme="minorBidi"/>
          <w:b/>
          <w:sz w:val="22"/>
          <w:szCs w:val="22"/>
        </w:rPr>
        <w:t xml:space="preserve"> </w:t>
      </w:r>
      <w:r w:rsidRPr="00B07C41">
        <w:rPr>
          <w:rFonts w:asciiTheme="minorBidi" w:hAnsiTheme="minorBidi" w:cstheme="minorBidi"/>
          <w:sz w:val="22"/>
          <w:szCs w:val="22"/>
        </w:rPr>
        <w:t xml:space="preserve">et </w:t>
      </w:r>
      <w:r w:rsidRPr="00B07C41">
        <w:rPr>
          <w:rFonts w:asciiTheme="minorBidi" w:hAnsiTheme="minorBidi" w:cstheme="minorBidi"/>
          <w:sz w:val="22"/>
          <w:szCs w:val="22"/>
          <w:u w:val="single"/>
        </w:rPr>
        <w:t>accorde</w:t>
      </w:r>
      <w:r w:rsidRPr="00B07C41">
        <w:rPr>
          <w:rFonts w:asciiTheme="minorBidi" w:hAnsiTheme="minorBidi" w:cstheme="minorBidi"/>
          <w:sz w:val="22"/>
          <w:szCs w:val="22"/>
        </w:rPr>
        <w:t xml:space="preserve"> un montant de 100 000 dollars des États-Unis pour la mise en œuvre de ce projet ;</w:t>
      </w:r>
    </w:p>
    <w:p w14:paraId="6D436F2E" w14:textId="77777777" w:rsidR="00E15130" w:rsidRPr="00B07C41" w:rsidRDefault="00E15130" w:rsidP="00692C51">
      <w:pPr>
        <w:numPr>
          <w:ilvl w:val="0"/>
          <w:numId w:val="20"/>
        </w:numPr>
        <w:spacing w:after="120"/>
        <w:ind w:left="567" w:hanging="567"/>
        <w:jc w:val="both"/>
        <w:rPr>
          <w:rFonts w:asciiTheme="minorBidi" w:hAnsiTheme="minorBidi" w:cstheme="minorBidi"/>
          <w:sz w:val="22"/>
          <w:szCs w:val="22"/>
        </w:rPr>
      </w:pPr>
      <w:r w:rsidRPr="00B07C41">
        <w:rPr>
          <w:rFonts w:asciiTheme="minorBidi" w:hAnsiTheme="minorBidi" w:cstheme="minorBidi"/>
          <w:sz w:val="22"/>
          <w:szCs w:val="22"/>
          <w:u w:val="single"/>
        </w:rPr>
        <w:t>Encourage</w:t>
      </w:r>
      <w:r w:rsidRPr="00B07C41">
        <w:rPr>
          <w:rFonts w:asciiTheme="minorBidi" w:hAnsiTheme="minorBidi" w:cstheme="minorBidi"/>
          <w:sz w:val="22"/>
          <w:szCs w:val="22"/>
        </w:rPr>
        <w:t xml:space="preserve"> l’État partie demandeur à consulter la </w:t>
      </w:r>
      <w:hyperlink r:id="rId11" w:history="1">
        <w:r w:rsidRPr="00B07C41">
          <w:rPr>
            <w:rStyle w:val="Hyperlink"/>
            <w:rFonts w:asciiTheme="minorBidi" w:hAnsiTheme="minorBidi" w:cstheme="minorBidi"/>
            <w:sz w:val="22"/>
            <w:szCs w:val="22"/>
          </w:rPr>
          <w:t>Note d’orientation</w:t>
        </w:r>
      </w:hyperlink>
      <w:r w:rsidRPr="00B07C41">
        <w:rPr>
          <w:rFonts w:asciiTheme="minorBidi" w:hAnsiTheme="minorBidi" w:cstheme="minorBidi"/>
          <w:sz w:val="22"/>
          <w:szCs w:val="22"/>
        </w:rPr>
        <w:t xml:space="preserve"> (2021) pour la réalisation d’inventaires du patrimoine culturel immatériel, qui fournit une liste de questions à examiner avant et pendant le processus d’inventaire, ainsi que le </w:t>
      </w:r>
      <w:hyperlink r:id="rId12" w:history="1">
        <w:r w:rsidRPr="00B07C41">
          <w:rPr>
            <w:rStyle w:val="Hyperlink"/>
            <w:rFonts w:asciiTheme="minorBidi" w:hAnsiTheme="minorBidi" w:cstheme="minorBidi"/>
            <w:sz w:val="22"/>
            <w:szCs w:val="22"/>
          </w:rPr>
          <w:t>Répertoire des matériels de renforcement des capacités</w:t>
        </w:r>
      </w:hyperlink>
      <w:r w:rsidRPr="00B07C41">
        <w:rPr>
          <w:rFonts w:asciiTheme="minorBidi" w:hAnsiTheme="minorBidi" w:cstheme="minorBidi"/>
          <w:sz w:val="22"/>
          <w:szCs w:val="22"/>
        </w:rPr>
        <w:t xml:space="preserve"> de la Convention sur la préparation des inventaires, qui peut également fournir des informations supplémentaires ; </w:t>
      </w:r>
    </w:p>
    <w:p w14:paraId="4F0D1ED0" w14:textId="77777777" w:rsidR="00E15130" w:rsidRPr="00B07C41" w:rsidRDefault="00E15130" w:rsidP="00692C51">
      <w:pPr>
        <w:numPr>
          <w:ilvl w:val="0"/>
          <w:numId w:val="20"/>
        </w:numPr>
        <w:spacing w:after="120"/>
        <w:ind w:left="567" w:hanging="567"/>
        <w:jc w:val="both"/>
        <w:rPr>
          <w:rFonts w:asciiTheme="minorBidi" w:hAnsiTheme="minorBidi" w:cstheme="minorBidi"/>
          <w:sz w:val="22"/>
          <w:szCs w:val="22"/>
          <w:u w:val="single"/>
        </w:rPr>
      </w:pPr>
      <w:r w:rsidRPr="00B07C41">
        <w:rPr>
          <w:rFonts w:asciiTheme="minorBidi" w:hAnsiTheme="minorBidi" w:cstheme="minorBidi"/>
          <w:sz w:val="22"/>
          <w:szCs w:val="22"/>
          <w:u w:val="single"/>
        </w:rPr>
        <w:t>Demande</w:t>
      </w:r>
      <w:r w:rsidRPr="00B07C41">
        <w:rPr>
          <w:rFonts w:asciiTheme="minorBidi" w:hAnsiTheme="minorBidi" w:cstheme="minorBidi"/>
          <w:sz w:val="22"/>
          <w:szCs w:val="22"/>
        </w:rPr>
        <w:t xml:space="preserve"> au Secrétariat de se mettre d’accord avec l’État partie demandeur sur les détails techniques de l’assistance, en accordant une attention particulière à ce que le budget et le plan de travail détaillé des activités à couvrir par le Fonds du patrimoine culturel immatériel soit suffisamment précis pour justifier les dépenses ;</w:t>
      </w:r>
    </w:p>
    <w:p w14:paraId="30AA21D5" w14:textId="4232108D" w:rsidR="00DC2A0B" w:rsidRPr="00E15130" w:rsidRDefault="00E15130" w:rsidP="00692C51">
      <w:pPr>
        <w:numPr>
          <w:ilvl w:val="0"/>
          <w:numId w:val="20"/>
        </w:numPr>
        <w:spacing w:after="120"/>
        <w:ind w:left="567" w:hanging="567"/>
        <w:jc w:val="both"/>
        <w:rPr>
          <w:rFonts w:asciiTheme="minorBidi" w:hAnsiTheme="minorBidi" w:cstheme="minorBidi"/>
          <w:sz w:val="22"/>
          <w:szCs w:val="22"/>
        </w:rPr>
      </w:pPr>
      <w:r w:rsidRPr="00B07C41">
        <w:rPr>
          <w:rFonts w:asciiTheme="minorBidi" w:hAnsiTheme="minorBidi" w:cstheme="minorBidi"/>
          <w:sz w:val="22"/>
          <w:szCs w:val="22"/>
          <w:u w:val="single"/>
        </w:rPr>
        <w:t>Invite</w:t>
      </w:r>
      <w:r w:rsidRPr="00B07C41">
        <w:rPr>
          <w:rFonts w:asciiTheme="minorBidi" w:hAnsiTheme="minorBidi" w:cstheme="minorBidi"/>
          <w:sz w:val="22"/>
          <w:szCs w:val="22"/>
        </w:rPr>
        <w:t xml:space="preserve"> l’État partie demandeur à utiliser le formulaire ICH-04-Rapport pour rendre compte de l’utilisation de l’assistance accordée.</w:t>
      </w:r>
    </w:p>
    <w:sectPr w:rsidR="00DC2A0B" w:rsidRPr="00E15130" w:rsidSect="00655736">
      <w:headerReference w:type="even" r:id="rId13"/>
      <w:headerReference w:type="default" r:id="rId14"/>
      <w:headerReference w:type="first" r:id="rId15"/>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F2C9A" w14:textId="77777777" w:rsidR="00993211" w:rsidRDefault="00993211" w:rsidP="00655736">
      <w:r>
        <w:separator/>
      </w:r>
    </w:p>
    <w:p w14:paraId="5B4ED301" w14:textId="77777777" w:rsidR="00993211" w:rsidRDefault="00993211"/>
    <w:p w14:paraId="7A01BD01" w14:textId="77777777" w:rsidR="00993211" w:rsidRDefault="00993211" w:rsidP="002E58D4"/>
    <w:p w14:paraId="2FBCCD65" w14:textId="77777777" w:rsidR="00993211" w:rsidRDefault="00993211" w:rsidP="002E58D4"/>
    <w:p w14:paraId="7920633F" w14:textId="77777777" w:rsidR="00993211" w:rsidRDefault="00993211" w:rsidP="002E58D4"/>
  </w:endnote>
  <w:endnote w:type="continuationSeparator" w:id="0">
    <w:p w14:paraId="24714F7C" w14:textId="77777777" w:rsidR="00993211" w:rsidRDefault="00993211" w:rsidP="00655736">
      <w:r>
        <w:continuationSeparator/>
      </w:r>
    </w:p>
    <w:p w14:paraId="2A031586" w14:textId="77777777" w:rsidR="00993211" w:rsidRDefault="00993211"/>
    <w:p w14:paraId="535D8879" w14:textId="77777777" w:rsidR="00993211" w:rsidRDefault="00993211" w:rsidP="002E58D4"/>
    <w:p w14:paraId="46497F25" w14:textId="77777777" w:rsidR="00993211" w:rsidRDefault="00993211" w:rsidP="002E58D4"/>
    <w:p w14:paraId="0C9F8B95" w14:textId="77777777" w:rsidR="00993211" w:rsidRDefault="00993211"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9410C" w14:textId="77777777" w:rsidR="00993211" w:rsidRDefault="00993211" w:rsidP="000934E4">
      <w:r>
        <w:separator/>
      </w:r>
    </w:p>
  </w:footnote>
  <w:footnote w:type="continuationSeparator" w:id="0">
    <w:p w14:paraId="512413A2" w14:textId="2539374C" w:rsidR="00993211" w:rsidRDefault="00993211" w:rsidP="000934E4">
      <w:r>
        <w:continuationSeparator/>
      </w:r>
    </w:p>
  </w:footnote>
  <w:footnote w:type="continuationNotice" w:id="1">
    <w:p w14:paraId="0C78C5D7" w14:textId="77777777" w:rsidR="000934E4" w:rsidRDefault="000934E4"/>
  </w:footnote>
  <w:footnote w:id="2">
    <w:p w14:paraId="6EE302FA" w14:textId="77777777" w:rsidR="00E15130" w:rsidRPr="004F3A03" w:rsidRDefault="00E15130" w:rsidP="00E15130">
      <w:pPr>
        <w:pStyle w:val="FootnoteText"/>
        <w:jc w:val="both"/>
        <w:rPr>
          <w:rFonts w:asciiTheme="minorBidi" w:hAnsiTheme="minorBidi" w:cstheme="minorBidi"/>
        </w:rPr>
      </w:pPr>
      <w:r>
        <w:rPr>
          <w:rStyle w:val="FootnoteReference"/>
          <w:rFonts w:asciiTheme="minorBidi" w:hAnsiTheme="minorBidi" w:cstheme="minorBidi"/>
          <w:sz w:val="18"/>
          <w:szCs w:val="18"/>
        </w:rPr>
        <w:footnoteRef/>
      </w:r>
      <w:r>
        <w:rPr>
          <w:rFonts w:asciiTheme="minorBidi" w:hAnsiTheme="minorBidi"/>
          <w:sz w:val="18"/>
        </w:rPr>
        <w:t xml:space="preserve"> (a) Assistance préparatoire (Liste du patrimoine culturel immatériel nécessitant une sauvegarde urgente) pour le projet intitulé « Mythes, contes et langue du peuple Tolupan, Montaña de la Flor, Honduras » (10 000 dollars des États-Unis ; mars 2012 – mars 2013) ; (b) « Renforcement des capacités des dirigeants communautaires et des gestionnaires publics pour sauvegarder le patrimoine vivant des communautés afro-descendantes dans la région SICA et à Cuba » (Phase I) (99 986 dollars des États-Unis ; février 2023 – août 2024) ; et (c) « Partage d’expériences et échanges culturels sur la sauvegarde du patrimoine culturel immatériel des communautés afro-descendantes dans le cadre de la préparation des inventaires dans la région SICA et à Cuba » (Phase II) (99 990 dollars des États-Unis ; juin 2024 – contrat en cours d’établissement).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35C5C" w14:textId="64FAE7F5" w:rsidR="006B5001" w:rsidRPr="00AC4027" w:rsidRDefault="008F09EC" w:rsidP="00461168">
    <w:pPr>
      <w:pStyle w:val="Header"/>
      <w:rPr>
        <w:rFonts w:ascii="Arial" w:hAnsi="Arial" w:cs="Arial"/>
      </w:rPr>
    </w:pPr>
    <w:r w:rsidRPr="00AC4027">
      <w:rPr>
        <w:rFonts w:ascii="Arial" w:hAnsi="Arial" w:cs="Arial"/>
        <w:sz w:val="20"/>
        <w:szCs w:val="20"/>
      </w:rPr>
      <w:t>LHE/</w:t>
    </w:r>
    <w:r w:rsidR="00D520C1" w:rsidRPr="00AC4027">
      <w:rPr>
        <w:rFonts w:ascii="Arial" w:hAnsi="Arial" w:cs="Arial"/>
        <w:sz w:val="20"/>
        <w:szCs w:val="20"/>
      </w:rPr>
      <w:t>2</w:t>
    </w:r>
    <w:r w:rsidR="00AE0806">
      <w:rPr>
        <w:rFonts w:ascii="Arial" w:hAnsi="Arial" w:cs="Arial"/>
        <w:sz w:val="20"/>
        <w:szCs w:val="20"/>
      </w:rPr>
      <w:t>5</w:t>
    </w:r>
    <w:r w:rsidRPr="00AC4027">
      <w:rPr>
        <w:rFonts w:ascii="Arial" w:hAnsi="Arial" w:cs="Arial"/>
        <w:sz w:val="20"/>
        <w:szCs w:val="20"/>
      </w:rPr>
      <w:t>/</w:t>
    </w:r>
    <w:r w:rsidR="00AE0806">
      <w:rPr>
        <w:rFonts w:ascii="Arial" w:hAnsi="Arial" w:cs="Arial"/>
        <w:sz w:val="20"/>
        <w:szCs w:val="20"/>
      </w:rPr>
      <w:t>20</w:t>
    </w:r>
    <w:r w:rsidRPr="00AC4027">
      <w:rPr>
        <w:rFonts w:ascii="Arial" w:hAnsi="Arial" w:cs="Arial"/>
        <w:sz w:val="20"/>
        <w:szCs w:val="20"/>
      </w:rPr>
      <w:t>.</w:t>
    </w:r>
    <w:r w:rsidR="00AC4027">
      <w:rPr>
        <w:rFonts w:ascii="Arial" w:hAnsi="Arial" w:cs="Arial"/>
        <w:sz w:val="20"/>
        <w:szCs w:val="20"/>
      </w:rPr>
      <w:t>COM </w:t>
    </w:r>
    <w:r w:rsidR="006D7081">
      <w:rPr>
        <w:rFonts w:ascii="Arial" w:hAnsi="Arial" w:cs="Arial"/>
        <w:sz w:val="20"/>
        <w:szCs w:val="20"/>
      </w:rPr>
      <w:t>2</w:t>
    </w:r>
    <w:r w:rsidR="00AC4027" w:rsidRPr="0036787A">
      <w:rPr>
        <w:rFonts w:ascii="Arial" w:hAnsi="Arial" w:cs="Arial"/>
        <w:sz w:val="20"/>
        <w:szCs w:val="20"/>
      </w:rPr>
      <w:t>.BUR/</w:t>
    </w:r>
    <w:r w:rsidR="00E15130">
      <w:rPr>
        <w:rFonts w:ascii="Arial" w:hAnsi="Arial" w:cs="Arial"/>
        <w:sz w:val="20"/>
        <w:szCs w:val="20"/>
      </w:rPr>
      <w:t>Décisions</w:t>
    </w:r>
    <w:r w:rsidR="00AC4027">
      <w:rPr>
        <w:rFonts w:ascii="Arial" w:hAnsi="Arial" w:cs="Arial"/>
        <w:sz w:val="20"/>
        <w:szCs w:val="20"/>
      </w:rPr>
      <w:t xml:space="preserve"> </w:t>
    </w:r>
    <w:r w:rsidR="00E9376C" w:rsidRPr="00AC4027">
      <w:rPr>
        <w:rFonts w:ascii="Arial" w:hAnsi="Arial" w:cs="Arial"/>
        <w:sz w:val="20"/>
        <w:szCs w:val="20"/>
      </w:rPr>
      <w:t xml:space="preserve">– page </w:t>
    </w:r>
    <w:r w:rsidR="00E9376C" w:rsidRPr="00EF563B">
      <w:rPr>
        <w:rStyle w:val="PageNumber"/>
        <w:rFonts w:ascii="Arial" w:hAnsi="Arial" w:cs="Arial"/>
        <w:sz w:val="20"/>
        <w:szCs w:val="20"/>
      </w:rPr>
      <w:fldChar w:fldCharType="begin"/>
    </w:r>
    <w:r w:rsidR="00E9376C" w:rsidRPr="00AC4027">
      <w:rPr>
        <w:rStyle w:val="PageNumber"/>
        <w:rFonts w:ascii="Arial" w:hAnsi="Arial" w:cs="Arial"/>
        <w:sz w:val="20"/>
        <w:szCs w:val="20"/>
      </w:rPr>
      <w:instrText xml:space="preserve"> PAGE </w:instrText>
    </w:r>
    <w:r w:rsidR="00E9376C" w:rsidRPr="00EF563B">
      <w:rPr>
        <w:rStyle w:val="PageNumber"/>
        <w:rFonts w:ascii="Arial" w:hAnsi="Arial" w:cs="Arial"/>
        <w:sz w:val="20"/>
        <w:szCs w:val="20"/>
      </w:rPr>
      <w:fldChar w:fldCharType="separate"/>
    </w:r>
    <w:r w:rsidR="009B223B" w:rsidRPr="00AC4027">
      <w:rPr>
        <w:rStyle w:val="PageNumber"/>
        <w:rFonts w:ascii="Arial" w:hAnsi="Arial" w:cs="Arial"/>
        <w:noProof/>
        <w:sz w:val="20"/>
        <w:szCs w:val="20"/>
      </w:rPr>
      <w:t>2</w:t>
    </w:r>
    <w:r w:rsidR="00E9376C"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F0CBE" w14:textId="78F6855F" w:rsidR="006B5001" w:rsidRPr="00BC3420" w:rsidRDefault="008F09EC" w:rsidP="00461168">
    <w:pPr>
      <w:pStyle w:val="Header"/>
      <w:jc w:val="right"/>
      <w:rPr>
        <w:rFonts w:ascii="Arial" w:hAnsi="Arial" w:cs="Arial"/>
        <w:lang w:val="en-US"/>
      </w:rPr>
    </w:pPr>
    <w:r>
      <w:rPr>
        <w:rFonts w:ascii="Arial" w:hAnsi="Arial" w:cs="Arial"/>
        <w:sz w:val="20"/>
        <w:szCs w:val="20"/>
        <w:lang w:val="en-US"/>
      </w:rPr>
      <w:t>LHE/</w:t>
    </w:r>
    <w:r w:rsidR="00DC2A0B">
      <w:rPr>
        <w:rFonts w:ascii="Arial" w:hAnsi="Arial" w:cs="Arial"/>
        <w:sz w:val="20"/>
        <w:szCs w:val="20"/>
        <w:lang w:val="en-US"/>
      </w:rPr>
      <w:t>2</w:t>
    </w:r>
    <w:r w:rsidR="00E15130">
      <w:rPr>
        <w:rFonts w:ascii="Arial" w:hAnsi="Arial" w:cs="Arial"/>
        <w:sz w:val="20"/>
        <w:szCs w:val="20"/>
        <w:lang w:val="en-US"/>
      </w:rPr>
      <w:t>5</w:t>
    </w:r>
    <w:r w:rsidR="00EF74E3">
      <w:rPr>
        <w:rFonts w:ascii="Arial" w:hAnsi="Arial" w:cs="Arial"/>
        <w:sz w:val="20"/>
        <w:szCs w:val="20"/>
        <w:lang w:val="en-US"/>
      </w:rPr>
      <w:t>/</w:t>
    </w:r>
    <w:r w:rsidR="00E15130">
      <w:rPr>
        <w:rFonts w:ascii="Arial" w:hAnsi="Arial" w:cs="Arial"/>
        <w:sz w:val="20"/>
        <w:szCs w:val="20"/>
        <w:lang w:val="en-US"/>
      </w:rPr>
      <w:t>20</w:t>
    </w:r>
    <w:r>
      <w:rPr>
        <w:rFonts w:ascii="Arial" w:hAnsi="Arial" w:cs="Arial"/>
        <w:sz w:val="20"/>
        <w:szCs w:val="20"/>
        <w:lang w:val="en-US"/>
      </w:rPr>
      <w:t>.COM</w:t>
    </w:r>
    <w:r w:rsidR="00130D3D">
      <w:rPr>
        <w:rFonts w:ascii="Arial" w:hAnsi="Arial" w:cs="Arial"/>
        <w:sz w:val="20"/>
        <w:szCs w:val="20"/>
      </w:rPr>
      <w:t> </w:t>
    </w:r>
    <w:r w:rsidR="00E15130">
      <w:rPr>
        <w:rFonts w:ascii="Arial" w:hAnsi="Arial" w:cs="Arial"/>
        <w:sz w:val="20"/>
        <w:szCs w:val="20"/>
      </w:rPr>
      <w:t>2</w:t>
    </w:r>
    <w:r w:rsidR="00130D3D" w:rsidRPr="0036787A">
      <w:rPr>
        <w:rFonts w:ascii="Arial" w:hAnsi="Arial" w:cs="Arial"/>
        <w:sz w:val="20"/>
        <w:szCs w:val="20"/>
      </w:rPr>
      <w:t>.BUR</w:t>
    </w:r>
    <w:r w:rsidR="002C0D14">
      <w:rPr>
        <w:rFonts w:ascii="Arial" w:hAnsi="Arial" w:cs="Arial"/>
        <w:sz w:val="20"/>
        <w:szCs w:val="20"/>
        <w:lang w:val="en-US"/>
      </w:rPr>
      <w:t>/</w:t>
    </w:r>
    <w:r w:rsidR="00E15130">
      <w:rPr>
        <w:rFonts w:ascii="Arial" w:hAnsi="Arial" w:cs="Arial"/>
        <w:sz w:val="20"/>
        <w:szCs w:val="20"/>
        <w:lang w:val="en-US"/>
      </w:rPr>
      <w:t>Décisions</w:t>
    </w:r>
    <w:r w:rsidR="002C0D14" w:rsidRPr="00EF563B">
      <w:rPr>
        <w:rFonts w:ascii="Arial" w:hAnsi="Arial" w:cs="Arial"/>
        <w:sz w:val="20"/>
        <w:szCs w:val="20"/>
        <w:lang w:val="en-US"/>
      </w:rPr>
      <w:t xml:space="preserve"> – page </w:t>
    </w:r>
    <w:r w:rsidR="002C0D14" w:rsidRPr="00EF563B">
      <w:rPr>
        <w:rStyle w:val="PageNumber"/>
        <w:rFonts w:ascii="Arial" w:hAnsi="Arial" w:cs="Arial"/>
        <w:sz w:val="20"/>
        <w:szCs w:val="20"/>
      </w:rPr>
      <w:fldChar w:fldCharType="begin"/>
    </w:r>
    <w:r w:rsidR="002C0D14" w:rsidRPr="00EF563B">
      <w:rPr>
        <w:rStyle w:val="PageNumber"/>
        <w:rFonts w:ascii="Arial" w:hAnsi="Arial" w:cs="Arial"/>
        <w:sz w:val="20"/>
        <w:szCs w:val="20"/>
        <w:lang w:val="en-US"/>
      </w:rPr>
      <w:instrText xml:space="preserve"> </w:instrText>
    </w:r>
    <w:r w:rsidR="002C0D14">
      <w:rPr>
        <w:rStyle w:val="PageNumber"/>
        <w:rFonts w:ascii="Arial" w:hAnsi="Arial" w:cs="Arial"/>
        <w:sz w:val="20"/>
        <w:szCs w:val="20"/>
        <w:lang w:val="en-US"/>
      </w:rPr>
      <w:instrText>PAGE</w:instrText>
    </w:r>
    <w:r w:rsidR="002C0D14" w:rsidRPr="00EF563B">
      <w:rPr>
        <w:rStyle w:val="PageNumber"/>
        <w:rFonts w:ascii="Arial" w:hAnsi="Arial" w:cs="Arial"/>
        <w:sz w:val="20"/>
        <w:szCs w:val="20"/>
        <w:lang w:val="en-US"/>
      </w:rPr>
      <w:instrText xml:space="preserve"> </w:instrText>
    </w:r>
    <w:r w:rsidR="002C0D14" w:rsidRPr="00EF563B">
      <w:rPr>
        <w:rStyle w:val="PageNumber"/>
        <w:rFonts w:ascii="Arial" w:hAnsi="Arial" w:cs="Arial"/>
        <w:sz w:val="20"/>
        <w:szCs w:val="20"/>
      </w:rPr>
      <w:fldChar w:fldCharType="separate"/>
    </w:r>
    <w:r w:rsidR="007C354B">
      <w:rPr>
        <w:rStyle w:val="PageNumber"/>
        <w:rFonts w:ascii="Arial" w:hAnsi="Arial" w:cs="Arial"/>
        <w:noProof/>
        <w:sz w:val="20"/>
        <w:szCs w:val="20"/>
        <w:lang w:val="en-US"/>
      </w:rPr>
      <w:t>3</w:t>
    </w:r>
    <w:r w:rsidR="002C0D14"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8E5A4" w14:textId="645F339E" w:rsidR="00E9376C" w:rsidRPr="008B64DF" w:rsidRDefault="00F84A0B">
    <w:pPr>
      <w:pStyle w:val="Header"/>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334C283D" wp14:editId="0BB07EF6">
          <wp:simplePos x="0" y="0"/>
          <wp:positionH relativeFrom="column">
            <wp:posOffset>0</wp:posOffset>
          </wp:positionH>
          <wp:positionV relativeFrom="paragraph">
            <wp:posOffset>156210</wp:posOffset>
          </wp:positionV>
          <wp:extent cx="1657350" cy="13919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5920C" w14:textId="624AD5F1" w:rsidR="00AC4027" w:rsidRPr="00D7105A" w:rsidRDefault="00AE0806" w:rsidP="00AC4027">
    <w:pPr>
      <w:pStyle w:val="Header"/>
      <w:spacing w:after="520"/>
      <w:jc w:val="right"/>
      <w:rPr>
        <w:rFonts w:ascii="Arial" w:hAnsi="Arial" w:cs="Arial"/>
        <w:b/>
        <w:sz w:val="44"/>
        <w:szCs w:val="44"/>
        <w:lang w:val="pt-PT"/>
      </w:rPr>
    </w:pPr>
    <w:r>
      <w:rPr>
        <w:rFonts w:ascii="Arial" w:hAnsi="Arial" w:cs="Arial"/>
        <w:b/>
        <w:sz w:val="44"/>
        <w:szCs w:val="44"/>
        <w:lang w:val="pt-PT"/>
      </w:rPr>
      <w:t>20</w:t>
    </w:r>
    <w:r w:rsidR="00AC4027" w:rsidRPr="00D7105A">
      <w:rPr>
        <w:rFonts w:ascii="Arial" w:hAnsi="Arial" w:cs="Arial"/>
        <w:b/>
        <w:sz w:val="44"/>
        <w:szCs w:val="44"/>
        <w:lang w:val="pt-PT"/>
      </w:rPr>
      <w:t xml:space="preserve"> </w:t>
    </w:r>
    <w:r w:rsidR="00AC4027" w:rsidRPr="00232D65">
      <w:rPr>
        <w:rFonts w:ascii="Arial" w:hAnsi="Arial" w:cs="Arial"/>
        <w:b/>
        <w:sz w:val="44"/>
        <w:szCs w:val="44"/>
        <w:lang w:val="pt-PT"/>
      </w:rPr>
      <w:t xml:space="preserve">COM </w:t>
    </w:r>
    <w:r w:rsidR="006D7081">
      <w:rPr>
        <w:rFonts w:ascii="Arial" w:hAnsi="Arial" w:cs="Arial"/>
        <w:b/>
        <w:sz w:val="44"/>
        <w:szCs w:val="44"/>
        <w:lang w:val="pt-PT"/>
      </w:rPr>
      <w:t>2</w:t>
    </w:r>
    <w:r w:rsidR="00AC4027" w:rsidRPr="00232D65">
      <w:rPr>
        <w:rFonts w:ascii="Arial" w:hAnsi="Arial" w:cs="Arial"/>
        <w:b/>
        <w:sz w:val="44"/>
        <w:szCs w:val="44"/>
        <w:lang w:val="pt-PT"/>
      </w:rPr>
      <w:t xml:space="preserve"> BUR</w:t>
    </w:r>
  </w:p>
  <w:p w14:paraId="4AD38C3D" w14:textId="6073FC11" w:rsidR="00E9376C" w:rsidRPr="00C318BF" w:rsidRDefault="008F09EC" w:rsidP="008F09EC">
    <w:pPr>
      <w:jc w:val="right"/>
      <w:rPr>
        <w:rFonts w:ascii="Arial" w:hAnsi="Arial" w:cs="Arial"/>
        <w:b/>
        <w:sz w:val="22"/>
        <w:szCs w:val="22"/>
        <w:lang w:val="pt-PT"/>
      </w:rPr>
    </w:pPr>
    <w:r w:rsidRPr="00C33070">
      <w:rPr>
        <w:rFonts w:ascii="Arial" w:hAnsi="Arial" w:cs="Arial"/>
        <w:b/>
        <w:sz w:val="22"/>
        <w:szCs w:val="22"/>
        <w:lang w:val="pt-PT"/>
      </w:rPr>
      <w:t>LHE</w:t>
    </w:r>
    <w:r w:rsidR="00EA602C" w:rsidRPr="00C33070">
      <w:rPr>
        <w:rFonts w:ascii="Arial" w:hAnsi="Arial" w:cs="Arial"/>
        <w:b/>
        <w:sz w:val="22"/>
        <w:szCs w:val="22"/>
        <w:lang w:val="pt-PT"/>
      </w:rPr>
      <w:t>/</w:t>
    </w:r>
    <w:r w:rsidR="00F13192" w:rsidRPr="00C33070">
      <w:rPr>
        <w:rFonts w:ascii="Arial" w:hAnsi="Arial" w:cs="Arial"/>
        <w:b/>
        <w:sz w:val="22"/>
        <w:szCs w:val="22"/>
        <w:lang w:val="pt-PT"/>
      </w:rPr>
      <w:t>2</w:t>
    </w:r>
    <w:r w:rsidR="00AE0806" w:rsidRPr="00C33070">
      <w:rPr>
        <w:rFonts w:ascii="Arial" w:hAnsi="Arial" w:cs="Arial"/>
        <w:b/>
        <w:sz w:val="22"/>
        <w:szCs w:val="22"/>
        <w:lang w:val="pt-PT"/>
      </w:rPr>
      <w:t>5</w:t>
    </w:r>
    <w:r w:rsidR="00E9376C" w:rsidRPr="00C33070">
      <w:rPr>
        <w:rFonts w:ascii="Arial" w:hAnsi="Arial" w:cs="Arial"/>
        <w:b/>
        <w:sz w:val="22"/>
        <w:szCs w:val="22"/>
        <w:lang w:val="pt-PT"/>
      </w:rPr>
      <w:t>/</w:t>
    </w:r>
    <w:r w:rsidR="00AE0806" w:rsidRPr="00C33070">
      <w:rPr>
        <w:rFonts w:ascii="Arial" w:hAnsi="Arial" w:cs="Arial"/>
        <w:b/>
        <w:sz w:val="22"/>
        <w:szCs w:val="22"/>
        <w:lang w:val="pt-PT"/>
      </w:rPr>
      <w:t>20</w:t>
    </w:r>
    <w:r w:rsidR="00E9376C" w:rsidRPr="00C33070">
      <w:rPr>
        <w:rFonts w:ascii="Arial" w:hAnsi="Arial" w:cs="Arial"/>
        <w:b/>
        <w:sz w:val="22"/>
        <w:szCs w:val="22"/>
        <w:lang w:val="pt-PT"/>
      </w:rPr>
      <w:t>.</w:t>
    </w:r>
    <w:r w:rsidR="00AC4027" w:rsidRPr="00C33070">
      <w:rPr>
        <w:rFonts w:ascii="Arial" w:hAnsi="Arial" w:cs="Arial"/>
        <w:b/>
        <w:sz w:val="22"/>
        <w:szCs w:val="22"/>
        <w:lang w:val="pt-PT"/>
      </w:rPr>
      <w:t>COM </w:t>
    </w:r>
    <w:r w:rsidR="006D7081" w:rsidRPr="00C33070">
      <w:rPr>
        <w:rFonts w:ascii="Arial" w:hAnsi="Arial" w:cs="Arial"/>
        <w:b/>
        <w:sz w:val="22"/>
        <w:szCs w:val="22"/>
        <w:lang w:val="pt-PT"/>
      </w:rPr>
      <w:t>2</w:t>
    </w:r>
    <w:r w:rsidR="00AC4027" w:rsidRPr="00C33070">
      <w:rPr>
        <w:rFonts w:ascii="Arial" w:hAnsi="Arial" w:cs="Arial"/>
        <w:b/>
        <w:sz w:val="22"/>
        <w:szCs w:val="22"/>
        <w:lang w:val="pt-PT"/>
      </w:rPr>
      <w:t>.BUR/</w:t>
    </w:r>
    <w:r w:rsidR="00E15130" w:rsidRPr="00C33070">
      <w:rPr>
        <w:rFonts w:ascii="Arial" w:hAnsi="Arial" w:cs="Arial"/>
        <w:b/>
        <w:sz w:val="22"/>
        <w:szCs w:val="22"/>
        <w:lang w:val="pt-PT"/>
      </w:rPr>
      <w:t>Décisions</w:t>
    </w:r>
  </w:p>
  <w:p w14:paraId="30B7DEB9" w14:textId="25A95FFF" w:rsidR="00E9376C" w:rsidRPr="00C318BF" w:rsidRDefault="008F09EC" w:rsidP="007E60C6">
    <w:pPr>
      <w:jc w:val="right"/>
      <w:rPr>
        <w:rFonts w:ascii="Arial" w:eastAsiaTheme="minorEastAsia" w:hAnsi="Arial" w:cs="Arial"/>
        <w:b/>
        <w:sz w:val="22"/>
        <w:szCs w:val="22"/>
        <w:lang w:val="pt-PT" w:eastAsia="ko-KR"/>
      </w:rPr>
    </w:pPr>
    <w:r w:rsidRPr="00C318BF">
      <w:rPr>
        <w:rFonts w:ascii="Arial" w:hAnsi="Arial" w:cs="Arial"/>
        <w:b/>
        <w:sz w:val="22"/>
        <w:szCs w:val="22"/>
        <w:lang w:val="pt-PT"/>
      </w:rPr>
      <w:t>Paris</w:t>
    </w:r>
    <w:r w:rsidR="00E9376C" w:rsidRPr="00C318BF">
      <w:rPr>
        <w:rFonts w:ascii="Arial" w:hAnsi="Arial" w:cs="Arial"/>
        <w:b/>
        <w:sz w:val="22"/>
        <w:szCs w:val="22"/>
        <w:lang w:val="pt-PT"/>
      </w:rPr>
      <w:t xml:space="preserve">, </w:t>
    </w:r>
    <w:r w:rsidR="00962119" w:rsidRPr="00C318BF">
      <w:rPr>
        <w:rFonts w:ascii="Arial" w:hAnsi="Arial" w:cs="Arial"/>
        <w:b/>
        <w:sz w:val="22"/>
        <w:szCs w:val="22"/>
        <w:lang w:val="pt-PT"/>
      </w:rPr>
      <w:t>le</w:t>
    </w:r>
    <w:r w:rsidR="006D7081">
      <w:rPr>
        <w:rFonts w:ascii="Arial" w:hAnsi="Arial" w:cs="Arial"/>
        <w:b/>
        <w:sz w:val="22"/>
        <w:szCs w:val="22"/>
        <w:lang w:val="pt-PT"/>
      </w:rPr>
      <w:t xml:space="preserve"> </w:t>
    </w:r>
    <w:r w:rsidR="00EA0029">
      <w:rPr>
        <w:rFonts w:ascii="Arial" w:hAnsi="Arial" w:cs="Arial"/>
        <w:b/>
        <w:sz w:val="22"/>
        <w:szCs w:val="22"/>
        <w:lang w:val="pt-PT"/>
      </w:rPr>
      <w:t xml:space="preserve">14 </w:t>
    </w:r>
    <w:r w:rsidR="00E15130">
      <w:rPr>
        <w:rFonts w:ascii="Arial" w:hAnsi="Arial" w:cs="Arial"/>
        <w:b/>
        <w:sz w:val="22"/>
        <w:szCs w:val="22"/>
        <w:lang w:val="pt-PT"/>
      </w:rPr>
      <w:t>mars</w:t>
    </w:r>
    <w:r w:rsidR="00CC70DC">
      <w:rPr>
        <w:rFonts w:ascii="Arial" w:hAnsi="Arial" w:cs="Arial"/>
        <w:b/>
        <w:sz w:val="22"/>
        <w:szCs w:val="22"/>
        <w:lang w:val="pt-PT"/>
      </w:rPr>
      <w:t xml:space="preserve"> </w:t>
    </w:r>
    <w:r w:rsidR="00495C25" w:rsidRPr="00C318BF">
      <w:rPr>
        <w:rFonts w:ascii="Arial" w:hAnsi="Arial" w:cs="Arial"/>
        <w:b/>
        <w:sz w:val="22"/>
        <w:szCs w:val="22"/>
        <w:lang w:val="pt-PT"/>
      </w:rPr>
      <w:t>20</w:t>
    </w:r>
    <w:r w:rsidR="00D520C1">
      <w:rPr>
        <w:rFonts w:ascii="Arial" w:hAnsi="Arial" w:cs="Arial"/>
        <w:b/>
        <w:sz w:val="22"/>
        <w:szCs w:val="22"/>
        <w:lang w:val="pt-PT"/>
      </w:rPr>
      <w:t>2</w:t>
    </w:r>
    <w:r w:rsidR="00AE0806">
      <w:rPr>
        <w:rFonts w:ascii="Arial" w:hAnsi="Arial" w:cs="Arial"/>
        <w:b/>
        <w:sz w:val="22"/>
        <w:szCs w:val="22"/>
        <w:lang w:val="pt-PT"/>
      </w:rPr>
      <w:t>5</w:t>
    </w:r>
  </w:p>
  <w:p w14:paraId="18E81B87" w14:textId="2BFDBED4" w:rsidR="00E9376C" w:rsidRPr="0020150F" w:rsidRDefault="00E9376C" w:rsidP="00F84A0B">
    <w:pPr>
      <w:spacing w:after="240"/>
      <w:jc w:val="right"/>
      <w:rPr>
        <w:rFonts w:ascii="Arial" w:hAnsi="Arial" w:cs="Arial"/>
        <w:b/>
        <w:sz w:val="22"/>
        <w:szCs w:val="22"/>
      </w:rPr>
    </w:pPr>
    <w:r w:rsidRPr="00022428">
      <w:rPr>
        <w:rFonts w:ascii="Arial" w:hAnsi="Arial" w:cs="Arial"/>
        <w:b/>
        <w:sz w:val="22"/>
        <w:szCs w:val="22"/>
      </w:rPr>
      <w:t>Original</w:t>
    </w:r>
    <w:r w:rsidR="003E2A08" w:rsidRPr="00022428">
      <w:rPr>
        <w:rFonts w:ascii="Arial" w:hAnsi="Arial" w:cs="Arial"/>
        <w:b/>
        <w:sz w:val="22"/>
        <w:szCs w:val="22"/>
      </w:rPr>
      <w:t> </w:t>
    </w:r>
    <w:r w:rsidRPr="00022428">
      <w:rPr>
        <w:rFonts w:ascii="Arial" w:hAnsi="Arial" w:cs="Arial"/>
        <w:b/>
        <w:sz w:val="22"/>
        <w:szCs w:val="22"/>
      </w:rPr>
      <w:t xml:space="preserve">: </w:t>
    </w:r>
    <w:r w:rsidR="002B0CB6">
      <w:rPr>
        <w:rFonts w:ascii="Arial" w:hAnsi="Arial" w:cs="Arial"/>
        <w:b/>
        <w:sz w:val="22"/>
        <w:szCs w:val="22"/>
      </w:rPr>
      <w:t>anglais</w:t>
    </w:r>
    <w:r w:rsidR="00E15130">
      <w:rPr>
        <w:rFonts w:ascii="Arial" w:hAnsi="Arial" w:cs="Arial"/>
        <w:b/>
        <w:sz w:val="22"/>
        <w:szCs w:val="22"/>
      </w:rPr>
      <w:t>/français</w:t>
    </w:r>
  </w:p>
  <w:p w14:paraId="1B74C5FD" w14:textId="77777777" w:rsidR="00E9376C" w:rsidRPr="008B64DF" w:rsidRDefault="00E9376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E2D83"/>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5" w15:restartNumberingAfterBreak="0">
    <w:nsid w:val="21E330F0"/>
    <w:multiLevelType w:val="hybridMultilevel"/>
    <w:tmpl w:val="3708A862"/>
    <w:lvl w:ilvl="0" w:tplc="74E29F06">
      <w:start w:val="1"/>
      <w:numFmt w:val="lowerRoman"/>
      <w:lvlText w:val="%1)"/>
      <w:lvlJc w:val="left"/>
      <w:pPr>
        <w:ind w:left="1069" w:hanging="360"/>
      </w:pPr>
      <w:rPr>
        <w:rFonts w:ascii="Arial" w:eastAsia="SimSun" w:hAnsi="Arial" w:cs="Aria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15:restartNumberingAfterBreak="0">
    <w:nsid w:val="32F514C4"/>
    <w:multiLevelType w:val="hybridMultilevel"/>
    <w:tmpl w:val="BC2EB2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3"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39189010">
    <w:abstractNumId w:val="15"/>
  </w:num>
  <w:num w:numId="2" w16cid:durableId="1636250750">
    <w:abstractNumId w:val="10"/>
  </w:num>
  <w:num w:numId="3" w16cid:durableId="449670136">
    <w:abstractNumId w:val="1"/>
  </w:num>
  <w:num w:numId="4" w16cid:durableId="1849517735">
    <w:abstractNumId w:val="18"/>
  </w:num>
  <w:num w:numId="5" w16cid:durableId="2019426326">
    <w:abstractNumId w:val="16"/>
  </w:num>
  <w:num w:numId="6" w16cid:durableId="65031867">
    <w:abstractNumId w:val="0"/>
  </w:num>
  <w:num w:numId="7" w16cid:durableId="1649242412">
    <w:abstractNumId w:val="2"/>
  </w:num>
  <w:num w:numId="8" w16cid:durableId="913710126">
    <w:abstractNumId w:val="12"/>
  </w:num>
  <w:num w:numId="9" w16cid:durableId="1759131835">
    <w:abstractNumId w:val="9"/>
  </w:num>
  <w:num w:numId="10" w16cid:durableId="1966619608">
    <w:abstractNumId w:val="11"/>
  </w:num>
  <w:num w:numId="11" w16cid:durableId="1455564123">
    <w:abstractNumId w:val="8"/>
  </w:num>
  <w:num w:numId="12" w16cid:durableId="1828742323">
    <w:abstractNumId w:val="6"/>
  </w:num>
  <w:num w:numId="13" w16cid:durableId="49302815">
    <w:abstractNumId w:val="14"/>
  </w:num>
  <w:num w:numId="14" w16cid:durableId="998508841">
    <w:abstractNumId w:val="3"/>
  </w:num>
  <w:num w:numId="15" w16cid:durableId="153885044">
    <w:abstractNumId w:val="17"/>
  </w:num>
  <w:num w:numId="16" w16cid:durableId="909190638">
    <w:abstractNumId w:val="13"/>
  </w:num>
  <w:num w:numId="17" w16cid:durableId="599069835">
    <w:abstractNumId w:val="11"/>
    <w:lvlOverride w:ilvl="0">
      <w:startOverride w:val="1"/>
    </w:lvlOverride>
  </w:num>
  <w:num w:numId="18" w16cid:durableId="130637932">
    <w:abstractNumId w:val="7"/>
  </w:num>
  <w:num w:numId="19" w16cid:durableId="651642387">
    <w:abstractNumId w:val="5"/>
  </w:num>
  <w:num w:numId="20" w16cid:durableId="1105227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7168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10E56"/>
    <w:rsid w:val="00020BFC"/>
    <w:rsid w:val="00022428"/>
    <w:rsid w:val="00022DB1"/>
    <w:rsid w:val="000263BA"/>
    <w:rsid w:val="00034D0C"/>
    <w:rsid w:val="0003530D"/>
    <w:rsid w:val="0005176E"/>
    <w:rsid w:val="00077AB7"/>
    <w:rsid w:val="00081CD8"/>
    <w:rsid w:val="0008329C"/>
    <w:rsid w:val="000934E4"/>
    <w:rsid w:val="000968FB"/>
    <w:rsid w:val="000A7F0E"/>
    <w:rsid w:val="000E6CD7"/>
    <w:rsid w:val="000F3A3F"/>
    <w:rsid w:val="00130D3D"/>
    <w:rsid w:val="00164D56"/>
    <w:rsid w:val="00165170"/>
    <w:rsid w:val="00167B10"/>
    <w:rsid w:val="0019264E"/>
    <w:rsid w:val="00196C1B"/>
    <w:rsid w:val="001A2FC9"/>
    <w:rsid w:val="001A766C"/>
    <w:rsid w:val="001B0F73"/>
    <w:rsid w:val="001F2888"/>
    <w:rsid w:val="0020150F"/>
    <w:rsid w:val="002137DD"/>
    <w:rsid w:val="00222A2D"/>
    <w:rsid w:val="002407AF"/>
    <w:rsid w:val="00280D62"/>
    <w:rsid w:val="002A6C11"/>
    <w:rsid w:val="002A6F73"/>
    <w:rsid w:val="002B0CB6"/>
    <w:rsid w:val="002B0F69"/>
    <w:rsid w:val="002C0D14"/>
    <w:rsid w:val="002C1011"/>
    <w:rsid w:val="002E2F53"/>
    <w:rsid w:val="002E3D25"/>
    <w:rsid w:val="002E58D4"/>
    <w:rsid w:val="0032583C"/>
    <w:rsid w:val="0034702E"/>
    <w:rsid w:val="003732E4"/>
    <w:rsid w:val="00377A88"/>
    <w:rsid w:val="003845BE"/>
    <w:rsid w:val="003C1678"/>
    <w:rsid w:val="003D069C"/>
    <w:rsid w:val="003E07D8"/>
    <w:rsid w:val="003E2A08"/>
    <w:rsid w:val="003F113A"/>
    <w:rsid w:val="003F3974"/>
    <w:rsid w:val="004239C7"/>
    <w:rsid w:val="00440F9B"/>
    <w:rsid w:val="004421E5"/>
    <w:rsid w:val="00443880"/>
    <w:rsid w:val="00452284"/>
    <w:rsid w:val="00461168"/>
    <w:rsid w:val="00467FBE"/>
    <w:rsid w:val="00486948"/>
    <w:rsid w:val="00495C25"/>
    <w:rsid w:val="0049705E"/>
    <w:rsid w:val="005158FF"/>
    <w:rsid w:val="00526B7B"/>
    <w:rsid w:val="005308CE"/>
    <w:rsid w:val="005678AF"/>
    <w:rsid w:val="0057439C"/>
    <w:rsid w:val="005B0127"/>
    <w:rsid w:val="005C094D"/>
    <w:rsid w:val="005C4B73"/>
    <w:rsid w:val="00600D93"/>
    <w:rsid w:val="00616C7B"/>
    <w:rsid w:val="00627C5C"/>
    <w:rsid w:val="00655736"/>
    <w:rsid w:val="00663B8D"/>
    <w:rsid w:val="006923BD"/>
    <w:rsid w:val="00692C51"/>
    <w:rsid w:val="00694FEA"/>
    <w:rsid w:val="00696C8D"/>
    <w:rsid w:val="006A2AC2"/>
    <w:rsid w:val="006A3317"/>
    <w:rsid w:val="006A3617"/>
    <w:rsid w:val="006B5001"/>
    <w:rsid w:val="006B5788"/>
    <w:rsid w:val="006D21D9"/>
    <w:rsid w:val="006D2536"/>
    <w:rsid w:val="006D7081"/>
    <w:rsid w:val="006E2BE8"/>
    <w:rsid w:val="006E46E4"/>
    <w:rsid w:val="00717AAB"/>
    <w:rsid w:val="00717DBD"/>
    <w:rsid w:val="00733DFA"/>
    <w:rsid w:val="00741016"/>
    <w:rsid w:val="00764CF9"/>
    <w:rsid w:val="00784B8C"/>
    <w:rsid w:val="007A000F"/>
    <w:rsid w:val="007C354B"/>
    <w:rsid w:val="007E60C6"/>
    <w:rsid w:val="007F41BC"/>
    <w:rsid w:val="008064F0"/>
    <w:rsid w:val="00823A11"/>
    <w:rsid w:val="00824EF7"/>
    <w:rsid w:val="008272D8"/>
    <w:rsid w:val="0085414A"/>
    <w:rsid w:val="0086269D"/>
    <w:rsid w:val="00863302"/>
    <w:rsid w:val="008712A2"/>
    <w:rsid w:val="00871C8F"/>
    <w:rsid w:val="008724E5"/>
    <w:rsid w:val="0088270B"/>
    <w:rsid w:val="00884A9D"/>
    <w:rsid w:val="008A4E1E"/>
    <w:rsid w:val="008B64DF"/>
    <w:rsid w:val="008C0E44"/>
    <w:rsid w:val="008C296C"/>
    <w:rsid w:val="008D4305"/>
    <w:rsid w:val="008D4D0D"/>
    <w:rsid w:val="008E67D8"/>
    <w:rsid w:val="008F09EC"/>
    <w:rsid w:val="00913D86"/>
    <w:rsid w:val="009163A7"/>
    <w:rsid w:val="00922145"/>
    <w:rsid w:val="00922E3E"/>
    <w:rsid w:val="00933C6B"/>
    <w:rsid w:val="00950F68"/>
    <w:rsid w:val="00962119"/>
    <w:rsid w:val="00974249"/>
    <w:rsid w:val="00993211"/>
    <w:rsid w:val="009A18CD"/>
    <w:rsid w:val="009B223B"/>
    <w:rsid w:val="009B5302"/>
    <w:rsid w:val="009E1B50"/>
    <w:rsid w:val="00A12558"/>
    <w:rsid w:val="00A13903"/>
    <w:rsid w:val="00A22951"/>
    <w:rsid w:val="00A34ED5"/>
    <w:rsid w:val="00A379A2"/>
    <w:rsid w:val="00A45DBF"/>
    <w:rsid w:val="00A61C6E"/>
    <w:rsid w:val="00A64363"/>
    <w:rsid w:val="00A755A2"/>
    <w:rsid w:val="00A90761"/>
    <w:rsid w:val="00AB2C36"/>
    <w:rsid w:val="00AC4027"/>
    <w:rsid w:val="00AD1A86"/>
    <w:rsid w:val="00AE0806"/>
    <w:rsid w:val="00AE103E"/>
    <w:rsid w:val="00AE3322"/>
    <w:rsid w:val="00AF0A07"/>
    <w:rsid w:val="00AF5AE5"/>
    <w:rsid w:val="00AF625E"/>
    <w:rsid w:val="00AF721B"/>
    <w:rsid w:val="00B152B1"/>
    <w:rsid w:val="00B1630F"/>
    <w:rsid w:val="00B43974"/>
    <w:rsid w:val="00B45750"/>
    <w:rsid w:val="00B607FC"/>
    <w:rsid w:val="00B90701"/>
    <w:rsid w:val="00BC3420"/>
    <w:rsid w:val="00BD52C9"/>
    <w:rsid w:val="00BE6354"/>
    <w:rsid w:val="00C02886"/>
    <w:rsid w:val="00C06C42"/>
    <w:rsid w:val="00C109FD"/>
    <w:rsid w:val="00C318BF"/>
    <w:rsid w:val="00C33070"/>
    <w:rsid w:val="00C358C4"/>
    <w:rsid w:val="00C377F5"/>
    <w:rsid w:val="00C4434C"/>
    <w:rsid w:val="00C70EA7"/>
    <w:rsid w:val="00C7516E"/>
    <w:rsid w:val="00C86B77"/>
    <w:rsid w:val="00C9264A"/>
    <w:rsid w:val="00CC70DC"/>
    <w:rsid w:val="00D02494"/>
    <w:rsid w:val="00D24877"/>
    <w:rsid w:val="00D520C1"/>
    <w:rsid w:val="00D74F02"/>
    <w:rsid w:val="00D75D42"/>
    <w:rsid w:val="00DA36ED"/>
    <w:rsid w:val="00DB4A84"/>
    <w:rsid w:val="00DC0F3C"/>
    <w:rsid w:val="00DC2A0B"/>
    <w:rsid w:val="00DE34F1"/>
    <w:rsid w:val="00DF4942"/>
    <w:rsid w:val="00E15130"/>
    <w:rsid w:val="00E20CDF"/>
    <w:rsid w:val="00E22288"/>
    <w:rsid w:val="00E60B9D"/>
    <w:rsid w:val="00E627B1"/>
    <w:rsid w:val="00E62B4C"/>
    <w:rsid w:val="00E81ADD"/>
    <w:rsid w:val="00E86828"/>
    <w:rsid w:val="00E9376C"/>
    <w:rsid w:val="00EA0029"/>
    <w:rsid w:val="00EA602C"/>
    <w:rsid w:val="00ED3691"/>
    <w:rsid w:val="00EF0DCC"/>
    <w:rsid w:val="00EF74E3"/>
    <w:rsid w:val="00F13192"/>
    <w:rsid w:val="00F134B7"/>
    <w:rsid w:val="00F4581D"/>
    <w:rsid w:val="00F576CB"/>
    <w:rsid w:val="00F62B05"/>
    <w:rsid w:val="00F84A0B"/>
    <w:rsid w:val="00F84A91"/>
    <w:rsid w:val="00FC2940"/>
    <w:rsid w:val="00FC4715"/>
    <w:rsid w:val="00FD122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table" w:customStyle="1" w:styleId="TableGrid1">
    <w:name w:val="Table Grid1"/>
    <w:basedOn w:val="TableNormal"/>
    <w:next w:val="TableGrid"/>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ListParagraph">
    <w:name w:val="List Paragraph"/>
    <w:basedOn w:val="Normal"/>
    <w:uiPriority w:val="34"/>
    <w:rsid w:val="005158FF"/>
    <w:pPr>
      <w:ind w:left="720"/>
      <w:contextualSpacing/>
    </w:pPr>
  </w:style>
  <w:style w:type="character" w:styleId="Hyperlink">
    <w:name w:val="Hyperlink"/>
    <w:basedOn w:val="DefaultParagraphFont"/>
    <w:uiPriority w:val="99"/>
    <w:unhideWhenUsed/>
    <w:rsid w:val="009B5302"/>
    <w:rPr>
      <w:color w:val="0000FF" w:themeColor="hyperlink"/>
      <w:u w:val="single"/>
    </w:rPr>
  </w:style>
  <w:style w:type="paragraph" w:styleId="Revision">
    <w:name w:val="Revision"/>
    <w:hidden/>
    <w:uiPriority w:val="99"/>
    <w:semiHidden/>
    <w:rsid w:val="00DC2A0B"/>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E15130"/>
    <w:rPr>
      <w:sz w:val="20"/>
      <w:szCs w:val="20"/>
    </w:rPr>
  </w:style>
  <w:style w:type="character" w:customStyle="1" w:styleId="FootnoteTextChar">
    <w:name w:val="Footnote Text Char"/>
    <w:basedOn w:val="DefaultParagraphFont"/>
    <w:link w:val="FootnoteText"/>
    <w:uiPriority w:val="99"/>
    <w:semiHidden/>
    <w:rsid w:val="00E15130"/>
    <w:rPr>
      <w:rFonts w:ascii="Times New Roman" w:eastAsia="Times New Roman" w:hAnsi="Times New Roman"/>
    </w:rPr>
  </w:style>
  <w:style w:type="character" w:styleId="FootnoteReference">
    <w:name w:val="footnote reference"/>
    <w:basedOn w:val="DefaultParagraphFont"/>
    <w:uiPriority w:val="99"/>
    <w:semiHidden/>
    <w:unhideWhenUsed/>
    <w:rsid w:val="00E15130"/>
    <w:rPr>
      <w:vertAlign w:val="superscript"/>
    </w:rPr>
  </w:style>
  <w:style w:type="character" w:styleId="UnresolvedMention">
    <w:name w:val="Unresolved Mention"/>
    <w:basedOn w:val="DefaultParagraphFont"/>
    <w:uiPriority w:val="99"/>
    <w:semiHidden/>
    <w:unhideWhenUsed/>
    <w:rsid w:val="00347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5-20.COM_2.BUR-2_FR.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fr/materiel-renforcement-capacit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50279-FR.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ch.unesco.org/fr/7b-rapports-periodiques-lr-01205" TargetMode="External"/><Relationship Id="rId4" Type="http://schemas.openxmlformats.org/officeDocument/2006/relationships/settings" Target="settings.xml"/><Relationship Id="rId9" Type="http://schemas.openxmlformats.org/officeDocument/2006/relationships/hyperlink" Target="https://ich.unesco.org/doc/src/LHE-25-20.COM-2.BUR-3_FR.docx"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document_FR</Template>
  <TotalTime>141</TotalTime>
  <Pages>5</Pages>
  <Words>1738</Words>
  <Characters>9562</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d.kim@unesco.org</dc:creator>
  <cp:lastModifiedBy>Nakata Glenat, Keiichi Julien</cp:lastModifiedBy>
  <cp:revision>44</cp:revision>
  <cp:lastPrinted>2011-08-06T10:22:00Z</cp:lastPrinted>
  <dcterms:created xsi:type="dcterms:W3CDTF">2021-07-19T09:20:00Z</dcterms:created>
  <dcterms:modified xsi:type="dcterms:W3CDTF">2025-03-14T09:03:00Z</dcterms:modified>
</cp:coreProperties>
</file>