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30B" w14:textId="0EB3CCE4" w:rsidR="002938F2" w:rsidRPr="006555FF" w:rsidRDefault="002938F2" w:rsidP="00AE67DF">
      <w:pPr>
        <w:spacing w:before="1440" w:after="0"/>
        <w:jc w:val="center"/>
        <w:rPr>
          <w:rFonts w:ascii="Arial" w:hAnsi="Arial" w:cs="Arial"/>
          <w:b/>
          <w:szCs w:val="22"/>
        </w:rPr>
      </w:pPr>
      <w:r w:rsidRPr="006555FF">
        <w:rPr>
          <w:rFonts w:ascii="Arial" w:hAnsi="Arial" w:cs="Arial"/>
          <w:b/>
          <w:szCs w:val="22"/>
        </w:rPr>
        <w:t>CONVENT</w:t>
      </w:r>
      <w:r w:rsidR="00E72B36" w:rsidRPr="006555FF">
        <w:rPr>
          <w:rFonts w:ascii="Arial" w:hAnsi="Arial" w:cs="Arial"/>
          <w:b/>
          <w:szCs w:val="22"/>
        </w:rPr>
        <w:t>ION FOR THE SAFEGUARDING OF THE</w:t>
      </w:r>
      <w:r w:rsidRPr="006555FF">
        <w:rPr>
          <w:rFonts w:ascii="Arial" w:hAnsi="Arial" w:cs="Arial"/>
          <w:b/>
          <w:szCs w:val="22"/>
        </w:rPr>
        <w:br/>
        <w:t>INTANGIBLE CULTURAL HERITAGE</w:t>
      </w:r>
    </w:p>
    <w:p w14:paraId="1D2DE622" w14:textId="77777777" w:rsidR="007E4E37" w:rsidRPr="006555FF" w:rsidRDefault="007E4E37" w:rsidP="007E4E37">
      <w:pPr>
        <w:spacing w:before="1200"/>
        <w:jc w:val="center"/>
        <w:rPr>
          <w:rFonts w:ascii="Arial" w:hAnsi="Arial" w:cs="Arial"/>
          <w:b/>
          <w:szCs w:val="22"/>
        </w:rPr>
      </w:pPr>
      <w:r w:rsidRPr="006555FF">
        <w:rPr>
          <w:rFonts w:ascii="Arial" w:hAnsi="Arial" w:cs="Arial"/>
          <w:b/>
          <w:szCs w:val="22"/>
        </w:rPr>
        <w:t>INTERGOVERNMENTAL COMMITTEE FOR THE</w:t>
      </w:r>
      <w:r w:rsidRPr="006555FF">
        <w:rPr>
          <w:rFonts w:ascii="Arial" w:hAnsi="Arial" w:cs="Arial"/>
          <w:b/>
          <w:szCs w:val="22"/>
        </w:rPr>
        <w:br/>
        <w:t>SAFEGUARDING OF THE INTANGIBLE CULTURAL HERITAGE</w:t>
      </w:r>
    </w:p>
    <w:p w14:paraId="1DA5CC95" w14:textId="2C8488D8" w:rsidR="00FE41A9" w:rsidRPr="006555FF" w:rsidRDefault="006E053C" w:rsidP="00FE41A9">
      <w:pPr>
        <w:spacing w:before="840" w:after="0"/>
        <w:jc w:val="center"/>
        <w:rPr>
          <w:rFonts w:ascii="Arial" w:hAnsi="Arial" w:cs="Arial"/>
          <w:b/>
          <w:szCs w:val="22"/>
        </w:rPr>
      </w:pPr>
      <w:r w:rsidRPr="006555FF">
        <w:rPr>
          <w:rFonts w:ascii="Arial" w:eastAsiaTheme="minorEastAsia" w:hAnsi="Arial" w:cs="Arial"/>
          <w:b/>
          <w:szCs w:val="22"/>
          <w:lang w:eastAsia="ko-KR"/>
        </w:rPr>
        <w:t>Twentie</w:t>
      </w:r>
      <w:r w:rsidR="00FE41A9" w:rsidRPr="006555FF">
        <w:rPr>
          <w:rFonts w:ascii="Arial" w:eastAsiaTheme="minorEastAsia" w:hAnsi="Arial" w:cs="Arial"/>
          <w:b/>
          <w:szCs w:val="22"/>
          <w:lang w:eastAsia="ko-KR"/>
        </w:rPr>
        <w:t xml:space="preserve">th </w:t>
      </w:r>
      <w:r w:rsidR="00FE41A9" w:rsidRPr="006555FF">
        <w:rPr>
          <w:rFonts w:ascii="Arial" w:hAnsi="Arial" w:cs="Arial"/>
          <w:b/>
          <w:szCs w:val="22"/>
        </w:rPr>
        <w:t>session</w:t>
      </w:r>
    </w:p>
    <w:p w14:paraId="7CA63FC6" w14:textId="01CB91C7" w:rsidR="00FE41A9" w:rsidRPr="006555FF" w:rsidRDefault="006E053C" w:rsidP="00FE41A9">
      <w:pPr>
        <w:spacing w:after="0"/>
        <w:jc w:val="center"/>
        <w:rPr>
          <w:rFonts w:ascii="Arial" w:hAnsi="Arial" w:cs="Arial"/>
          <w:b/>
          <w:szCs w:val="22"/>
        </w:rPr>
      </w:pPr>
      <w:r w:rsidRPr="006555FF">
        <w:rPr>
          <w:rFonts w:ascii="Arial" w:hAnsi="Arial" w:cs="Arial"/>
          <w:b/>
          <w:szCs w:val="22"/>
        </w:rPr>
        <w:t>New Delhi</w:t>
      </w:r>
      <w:r w:rsidR="00FE41A9" w:rsidRPr="006555FF">
        <w:rPr>
          <w:rFonts w:ascii="Arial" w:hAnsi="Arial" w:cs="Arial"/>
          <w:b/>
          <w:szCs w:val="22"/>
        </w:rPr>
        <w:t xml:space="preserve">, Republic of </w:t>
      </w:r>
      <w:r w:rsidRPr="006555FF">
        <w:rPr>
          <w:rFonts w:ascii="Arial" w:hAnsi="Arial" w:cs="Arial"/>
          <w:b/>
          <w:szCs w:val="22"/>
        </w:rPr>
        <w:t>India</w:t>
      </w:r>
    </w:p>
    <w:p w14:paraId="10E9925B" w14:textId="64203A66" w:rsidR="00FE41A9" w:rsidRPr="006555FF" w:rsidRDefault="006E053C" w:rsidP="00FE41A9">
      <w:pPr>
        <w:spacing w:after="0"/>
        <w:jc w:val="center"/>
        <w:rPr>
          <w:rFonts w:ascii="Arial" w:hAnsi="Arial" w:cs="Arial"/>
          <w:b/>
          <w:szCs w:val="22"/>
        </w:rPr>
      </w:pPr>
      <w:r w:rsidRPr="006555FF">
        <w:rPr>
          <w:rFonts w:ascii="Arial" w:hAnsi="Arial" w:cs="Arial"/>
          <w:b/>
          <w:szCs w:val="22"/>
        </w:rPr>
        <w:t>8</w:t>
      </w:r>
      <w:r w:rsidR="00FE41A9" w:rsidRPr="006555FF">
        <w:rPr>
          <w:rFonts w:ascii="Arial" w:hAnsi="Arial" w:cs="Arial"/>
          <w:b/>
          <w:szCs w:val="22"/>
        </w:rPr>
        <w:t xml:space="preserve"> to</w:t>
      </w:r>
      <w:r w:rsidRPr="006555FF">
        <w:rPr>
          <w:rFonts w:ascii="Arial" w:hAnsi="Arial" w:cs="Arial"/>
          <w:b/>
          <w:szCs w:val="22"/>
        </w:rPr>
        <w:t xml:space="preserve"> 13</w:t>
      </w:r>
      <w:r w:rsidR="00FE41A9" w:rsidRPr="006555FF">
        <w:rPr>
          <w:rFonts w:ascii="Arial" w:hAnsi="Arial" w:cs="Arial"/>
          <w:b/>
          <w:szCs w:val="22"/>
        </w:rPr>
        <w:t xml:space="preserve"> December 202</w:t>
      </w:r>
      <w:r w:rsidRPr="006555FF">
        <w:rPr>
          <w:rFonts w:ascii="Arial" w:hAnsi="Arial" w:cs="Arial"/>
          <w:b/>
          <w:szCs w:val="22"/>
        </w:rPr>
        <w:t>5</w:t>
      </w:r>
    </w:p>
    <w:p w14:paraId="26B1BA06" w14:textId="08C86300" w:rsidR="00DB6CA2" w:rsidRPr="006555FF" w:rsidRDefault="00DB6CA2" w:rsidP="00DB6CA2">
      <w:pPr>
        <w:spacing w:before="1200" w:after="0"/>
        <w:jc w:val="center"/>
        <w:rPr>
          <w:rFonts w:ascii="Arial" w:eastAsiaTheme="minorEastAsia" w:hAnsi="Arial" w:cs="Arial"/>
          <w:b/>
          <w:szCs w:val="22"/>
          <w:u w:val="single"/>
          <w:lang w:eastAsia="ko-KR"/>
        </w:rPr>
      </w:pPr>
      <w:r w:rsidRPr="006555FF">
        <w:rPr>
          <w:rFonts w:ascii="Arial" w:eastAsiaTheme="minorEastAsia" w:hAnsi="Arial" w:cs="Arial"/>
          <w:b/>
          <w:szCs w:val="22"/>
          <w:u w:val="single"/>
          <w:lang w:eastAsia="ko-KR"/>
        </w:rPr>
        <w:t>Report on the use of the resources of the Intangible Cultural Heritage Fund</w:t>
      </w:r>
    </w:p>
    <w:p w14:paraId="0B3A4DFA" w14:textId="3E1BE1A5" w:rsidR="00DB6CA2" w:rsidRPr="006555FF" w:rsidRDefault="00DB6CA2" w:rsidP="00DB6CA2">
      <w:pPr>
        <w:spacing w:after="960"/>
        <w:jc w:val="center"/>
        <w:rPr>
          <w:rFonts w:ascii="Arial" w:eastAsiaTheme="minorEastAsia" w:hAnsi="Arial" w:cs="Arial"/>
          <w:b/>
          <w:szCs w:val="22"/>
          <w:u w:val="single"/>
          <w:lang w:eastAsia="ko-KR"/>
        </w:rPr>
      </w:pPr>
      <w:r w:rsidRPr="006555FF">
        <w:rPr>
          <w:rFonts w:ascii="Arial" w:eastAsiaTheme="minorEastAsia" w:hAnsi="Arial" w:cs="Arial"/>
          <w:b/>
          <w:szCs w:val="22"/>
          <w:u w:val="single"/>
          <w:lang w:eastAsia="ko-KR"/>
        </w:rPr>
        <w:t xml:space="preserve"> for the period 1 January 2024 to 30 June 2025</w:t>
      </w: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E27563" w:rsidRPr="006555FF" w14:paraId="6EEF665E" w14:textId="77777777" w:rsidTr="008B71B0">
        <w:trPr>
          <w:jc w:val="center"/>
        </w:trPr>
        <w:tc>
          <w:tcPr>
            <w:tcW w:w="5669" w:type="dxa"/>
          </w:tcPr>
          <w:p w14:paraId="5BED2AF4" w14:textId="77777777" w:rsidR="00E27563" w:rsidRPr="006555FF" w:rsidRDefault="00E27563" w:rsidP="008B71B0">
            <w:pPr>
              <w:pStyle w:val="NoSpacing"/>
              <w:spacing w:before="200" w:after="200"/>
              <w:ind w:left="284" w:right="284"/>
              <w:jc w:val="center"/>
              <w:rPr>
                <w:rFonts w:ascii="Arial" w:hAnsi="Arial" w:cs="Arial"/>
                <w:b/>
                <w:sz w:val="22"/>
                <w:szCs w:val="22"/>
                <w:lang w:val="en-GB"/>
              </w:rPr>
            </w:pPr>
            <w:r w:rsidRPr="006555FF">
              <w:rPr>
                <w:rFonts w:ascii="Arial" w:hAnsi="Arial" w:cs="Arial"/>
                <w:b/>
                <w:sz w:val="22"/>
                <w:szCs w:val="22"/>
                <w:lang w:val="en-GB"/>
              </w:rPr>
              <w:t>Summary</w:t>
            </w:r>
          </w:p>
          <w:p w14:paraId="3495B938" w14:textId="7232469D" w:rsidR="00E27563" w:rsidRPr="006555FF" w:rsidRDefault="00E27563" w:rsidP="008B71B0">
            <w:pPr>
              <w:pStyle w:val="Pranumrotrecommenc1"/>
              <w:tabs>
                <w:tab w:val="clear" w:pos="360"/>
              </w:tabs>
              <w:spacing w:before="200" w:after="200"/>
              <w:ind w:left="0" w:firstLine="0"/>
              <w:jc w:val="both"/>
              <w:rPr>
                <w:rFonts w:cs="Arial"/>
                <w:sz w:val="22"/>
                <w:szCs w:val="22"/>
                <w:lang w:val="en-GB"/>
              </w:rPr>
            </w:pPr>
            <w:r w:rsidRPr="006555FF">
              <w:rPr>
                <w:rFonts w:cs="Arial"/>
                <w:sz w:val="22"/>
                <w:szCs w:val="22"/>
                <w:lang w:val="en-GB"/>
              </w:rPr>
              <w:t xml:space="preserve">In conformity with Article 10 of the Financial Regulations of the Special Account for the Fund for the Safeguarding of the Intangible Cultural Heritage, </w:t>
            </w:r>
            <w:bookmarkStart w:id="0" w:name="_Hlk101342700"/>
            <w:r w:rsidRPr="006555FF">
              <w:rPr>
                <w:rFonts w:cs="Arial"/>
                <w:sz w:val="22"/>
                <w:szCs w:val="22"/>
                <w:lang w:val="en-GB"/>
              </w:rPr>
              <w:t>the present document includes narrative and financial reports for the Intangible Cultural Heritage Fund for the period 1 January 2024 to 30 June 2025.</w:t>
            </w:r>
            <w:bookmarkEnd w:id="0"/>
          </w:p>
        </w:tc>
      </w:tr>
    </w:tbl>
    <w:p w14:paraId="15BB87DD" w14:textId="77777777" w:rsidR="00CB4F60" w:rsidRPr="006555FF" w:rsidRDefault="00CB4F60" w:rsidP="00DB6CA2">
      <w:pPr>
        <w:spacing w:after="960"/>
        <w:jc w:val="center"/>
        <w:rPr>
          <w:rFonts w:ascii="Arial" w:eastAsiaTheme="minorEastAsia" w:hAnsi="Arial" w:cs="Arial"/>
          <w:b/>
          <w:szCs w:val="22"/>
          <w:u w:val="single"/>
          <w:lang w:eastAsia="ko-KR"/>
        </w:rPr>
      </w:pPr>
    </w:p>
    <w:p w14:paraId="2A28C911" w14:textId="48CE7D1B" w:rsidR="00DC2AB5" w:rsidRPr="006555FF" w:rsidRDefault="00851458" w:rsidP="00F726B0">
      <w:pPr>
        <w:pStyle w:val="1GAPara"/>
        <w:numPr>
          <w:ilvl w:val="0"/>
          <w:numId w:val="0"/>
        </w:numPr>
        <w:ind w:left="567" w:hanging="567"/>
        <w:rPr>
          <w:b/>
          <w:bCs/>
        </w:rPr>
      </w:pPr>
      <w:r w:rsidRPr="006555FF">
        <w:br w:type="page"/>
      </w:r>
      <w:r w:rsidR="00DC2AB5" w:rsidRPr="006555FF">
        <w:rPr>
          <w:b/>
          <w:bCs/>
        </w:rPr>
        <w:lastRenderedPageBreak/>
        <w:t xml:space="preserve">Background </w:t>
      </w:r>
    </w:p>
    <w:p w14:paraId="79B65223" w14:textId="75D85C87" w:rsidR="00DC2AB5" w:rsidRPr="006555FF" w:rsidRDefault="00DC2AB5" w:rsidP="00DC2AB5">
      <w:pPr>
        <w:pStyle w:val="1GAPara"/>
        <w:ind w:left="567" w:hanging="567"/>
        <w:jc w:val="both"/>
      </w:pPr>
      <w:r w:rsidRPr="006555FF">
        <w:t xml:space="preserve">The Special Account for the Fund for the Safeguarding of the Intangible Cultural Heritage (hereafter </w:t>
      </w:r>
      <w:r w:rsidR="005A1027" w:rsidRPr="006555FF">
        <w:t>‘</w:t>
      </w:r>
      <w:r w:rsidRPr="006555FF">
        <w:t>the Fund</w:t>
      </w:r>
      <w:r w:rsidR="005A1027" w:rsidRPr="006555FF">
        <w:t>’</w:t>
      </w:r>
      <w:r w:rsidRPr="006555FF">
        <w:t xml:space="preserve">) is governed by its Financial Regulations, adopted by the Committee at its first extraordinary session and last amended by the General Assembly at its eighth session (Resolution </w:t>
      </w:r>
      <w:hyperlink r:id="rId8" w:history="1">
        <w:r w:rsidRPr="006555FF">
          <w:rPr>
            <w:rStyle w:val="Hyperlink"/>
          </w:rPr>
          <w:t>8.GA 7</w:t>
        </w:r>
      </w:hyperlink>
      <w:r w:rsidRPr="006555FF">
        <w:t>). In conformity with Article 10 of the Financial Regulations, a biennial financial report showing the income and expenditure and a biennial narrative report shall be submitted to the Committee. The present document includes such reports, covering the period from 1 January 202</w:t>
      </w:r>
      <w:r w:rsidR="00F90F7E" w:rsidRPr="006555FF">
        <w:t>4</w:t>
      </w:r>
      <w:r w:rsidRPr="006555FF">
        <w:t xml:space="preserve"> to 30 June 202</w:t>
      </w:r>
      <w:r w:rsidR="00F90F7E" w:rsidRPr="006555FF">
        <w:t>5</w:t>
      </w:r>
      <w:r w:rsidRPr="006555FF">
        <w:t>. A document covering the entire biennium from 1 January 202</w:t>
      </w:r>
      <w:r w:rsidR="00F90F7E" w:rsidRPr="006555FF">
        <w:t>4</w:t>
      </w:r>
      <w:r w:rsidRPr="006555FF">
        <w:t xml:space="preserve"> to 31 December 202</w:t>
      </w:r>
      <w:r w:rsidR="00F90F7E" w:rsidRPr="006555FF">
        <w:t>5</w:t>
      </w:r>
      <w:r w:rsidRPr="006555FF">
        <w:t xml:space="preserve"> will then be presented to the </w:t>
      </w:r>
      <w:r w:rsidR="00556A6D" w:rsidRPr="006555FF">
        <w:t>eleve</w:t>
      </w:r>
      <w:r w:rsidRPr="006555FF">
        <w:t>nth session of the General Assembly in mid-202</w:t>
      </w:r>
      <w:r w:rsidR="00F90F7E" w:rsidRPr="006555FF">
        <w:t>6</w:t>
      </w:r>
      <w:r w:rsidRPr="006555FF">
        <w:t>.</w:t>
      </w:r>
    </w:p>
    <w:p w14:paraId="627A0C10" w14:textId="1AFBEE5E" w:rsidR="00DC2AB5" w:rsidRPr="006555FF" w:rsidRDefault="00DC2AB5" w:rsidP="00DC2AB5">
      <w:pPr>
        <w:pStyle w:val="1GAPara"/>
        <w:ind w:left="567" w:hanging="567"/>
        <w:jc w:val="both"/>
      </w:pPr>
      <w:r w:rsidRPr="006555FF">
        <w:t xml:space="preserve">The reports should be read in conjunction with the overview of status and trends of the Fund contained in document </w:t>
      </w:r>
      <w:hyperlink r:id="rId9" w:history="1">
        <w:r w:rsidR="006552DF" w:rsidRPr="006555FF">
          <w:rPr>
            <w:rStyle w:val="Hyperlink"/>
          </w:rPr>
          <w:t>LHE/25/20.COM/14</w:t>
        </w:r>
      </w:hyperlink>
      <w:r w:rsidRPr="006555FF">
        <w:t xml:space="preserve">, the Report by the Secretariat on its activities during the same reporting period (document </w:t>
      </w:r>
      <w:hyperlink r:id="rId10" w:history="1">
        <w:r w:rsidR="006552DF" w:rsidRPr="006555FF">
          <w:rPr>
            <w:rStyle w:val="Hyperlink"/>
          </w:rPr>
          <w:t>LHE/25/20.COM/5</w:t>
        </w:r>
      </w:hyperlink>
      <w:r w:rsidRPr="006555FF">
        <w:t xml:space="preserve">) and the two reports on voluntary supplementary contributions received during the period (documents </w:t>
      </w:r>
      <w:hyperlink r:id="rId11" w:history="1">
        <w:r w:rsidRPr="006555FF">
          <w:rPr>
            <w:rStyle w:val="Hyperlink"/>
          </w:rPr>
          <w:t>LHE/2</w:t>
        </w:r>
        <w:r w:rsidR="00012D9F" w:rsidRPr="006555FF">
          <w:rPr>
            <w:rStyle w:val="Hyperlink"/>
          </w:rPr>
          <w:t>4</w:t>
        </w:r>
        <w:r w:rsidRPr="006555FF">
          <w:rPr>
            <w:rStyle w:val="Hyperlink"/>
          </w:rPr>
          <w:t>/1</w:t>
        </w:r>
        <w:r w:rsidR="00012D9F" w:rsidRPr="006555FF">
          <w:rPr>
            <w:rStyle w:val="Hyperlink"/>
          </w:rPr>
          <w:t>9</w:t>
        </w:r>
        <w:r w:rsidRPr="006555FF">
          <w:rPr>
            <w:rStyle w:val="Hyperlink"/>
          </w:rPr>
          <w:t>.COM/12</w:t>
        </w:r>
        <w:r w:rsidR="006552DF" w:rsidRPr="006555FF">
          <w:rPr>
            <w:rStyle w:val="Hyperlink"/>
          </w:rPr>
          <w:t xml:space="preserve"> Rev.</w:t>
        </w:r>
      </w:hyperlink>
      <w:r w:rsidRPr="006555FF">
        <w:t xml:space="preserve"> and </w:t>
      </w:r>
      <w:hyperlink r:id="rId12" w:history="1">
        <w:r w:rsidR="006552DF" w:rsidRPr="006555FF">
          <w:rPr>
            <w:rStyle w:val="Hyperlink"/>
          </w:rPr>
          <w:t>LHE/25/20.COM/13</w:t>
        </w:r>
      </w:hyperlink>
      <w:r w:rsidRPr="006555FF">
        <w:t>).</w:t>
      </w:r>
    </w:p>
    <w:p w14:paraId="7F2DABAF" w14:textId="77777777" w:rsidR="00DC2AB5" w:rsidRPr="006555FF" w:rsidRDefault="00DC2AB5" w:rsidP="00DC2AB5">
      <w:pPr>
        <w:pStyle w:val="1GAPara"/>
        <w:ind w:left="567" w:hanging="567"/>
      </w:pPr>
      <w:r w:rsidRPr="006555FF">
        <w:t xml:space="preserve">The present document contains: </w:t>
      </w:r>
    </w:p>
    <w:p w14:paraId="16204BAB" w14:textId="3E70C922" w:rsidR="00DC2AB5" w:rsidRPr="006555FF" w:rsidRDefault="00DC2AB5" w:rsidP="00AE67DF">
      <w:pPr>
        <w:pStyle w:val="1GAPara"/>
        <w:numPr>
          <w:ilvl w:val="0"/>
          <w:numId w:val="10"/>
        </w:numPr>
        <w:ind w:left="1134" w:hanging="567"/>
        <w:jc w:val="both"/>
      </w:pPr>
      <w:r w:rsidRPr="006555FF">
        <w:t>an overview of the income of the Fund (</w:t>
      </w:r>
      <w:hyperlink w:anchor="PartA" w:history="1">
        <w:r w:rsidRPr="006555FF">
          <w:rPr>
            <w:rStyle w:val="Hyperlink"/>
          </w:rPr>
          <w:t>Part A</w:t>
        </w:r>
      </w:hyperlink>
      <w:r w:rsidRPr="006555FF">
        <w:t>);</w:t>
      </w:r>
    </w:p>
    <w:p w14:paraId="70039298" w14:textId="13005C43" w:rsidR="00DC2AB5" w:rsidRPr="006555FF" w:rsidRDefault="00DC2AB5" w:rsidP="00AE67DF">
      <w:pPr>
        <w:pStyle w:val="1GAPara"/>
        <w:numPr>
          <w:ilvl w:val="0"/>
          <w:numId w:val="10"/>
        </w:numPr>
        <w:ind w:left="1134" w:hanging="567"/>
        <w:jc w:val="both"/>
      </w:pPr>
      <w:r w:rsidRPr="006555FF">
        <w:t>a report on the use of the financial resources of the Fund (</w:t>
      </w:r>
      <w:hyperlink w:anchor="PartB" w:history="1">
        <w:r w:rsidRPr="006555FF">
          <w:rPr>
            <w:rStyle w:val="Hyperlink"/>
          </w:rPr>
          <w:t>Part B</w:t>
        </w:r>
      </w:hyperlink>
      <w:r w:rsidRPr="006555FF">
        <w:t>);</w:t>
      </w:r>
    </w:p>
    <w:p w14:paraId="541BC941" w14:textId="70BA0519" w:rsidR="00DC2AB5" w:rsidRPr="006555FF" w:rsidRDefault="00DC2AB5" w:rsidP="00AE67DF">
      <w:pPr>
        <w:pStyle w:val="1GAPara"/>
        <w:numPr>
          <w:ilvl w:val="0"/>
          <w:numId w:val="10"/>
        </w:numPr>
        <w:ind w:left="1134" w:hanging="567"/>
        <w:jc w:val="both"/>
      </w:pPr>
      <w:hyperlink w:anchor="Annex1" w:history="1">
        <w:r w:rsidRPr="006555FF">
          <w:rPr>
            <w:rStyle w:val="Hyperlink"/>
          </w:rPr>
          <w:t>Annex I</w:t>
        </w:r>
      </w:hyperlink>
      <w:r w:rsidRPr="006555FF">
        <w:t xml:space="preserve"> – the financial report of the Fund for the reporting period (Statement I) and the associated schedule of appropriations and expenditure for the same period (</w:t>
      </w:r>
      <w:hyperlink w:anchor="schedule" w:history="1">
        <w:r w:rsidRPr="006555FF">
          <w:rPr>
            <w:rStyle w:val="Hyperlink"/>
          </w:rPr>
          <w:t>Schedule 1.1</w:t>
        </w:r>
      </w:hyperlink>
      <w:r w:rsidRPr="006555FF">
        <w:t>);</w:t>
      </w:r>
    </w:p>
    <w:p w14:paraId="49049C27" w14:textId="4A686F2D" w:rsidR="00DC2AB5" w:rsidRPr="006555FF" w:rsidRDefault="00DC2AB5" w:rsidP="00AE67DF">
      <w:pPr>
        <w:pStyle w:val="1GAPara"/>
        <w:numPr>
          <w:ilvl w:val="0"/>
          <w:numId w:val="10"/>
        </w:numPr>
        <w:ind w:left="1134" w:hanging="567"/>
        <w:jc w:val="both"/>
        <w:rPr>
          <w:vanish/>
          <w:specVanish/>
        </w:rPr>
      </w:pPr>
      <w:hyperlink w:anchor="AnnexII" w:history="1">
        <w:r w:rsidRPr="006555FF">
          <w:rPr>
            <w:rStyle w:val="Hyperlink"/>
          </w:rPr>
          <w:t>Annex II</w:t>
        </w:r>
      </w:hyperlink>
      <w:r w:rsidRPr="006555FF">
        <w:t xml:space="preserve"> – the list of voluntary supplementary contributions paid between 1 January 202</w:t>
      </w:r>
      <w:r w:rsidR="0038432E" w:rsidRPr="006555FF">
        <w:t>4</w:t>
      </w:r>
      <w:r w:rsidRPr="006555FF">
        <w:t xml:space="preserve"> and 30 June 202</w:t>
      </w:r>
      <w:r w:rsidR="0038432E" w:rsidRPr="006555FF">
        <w:t>5</w:t>
      </w:r>
      <w:r w:rsidRPr="006555FF">
        <w:t xml:space="preserve"> for</w:t>
      </w:r>
      <w:r w:rsidR="006833D0" w:rsidRPr="006555FF">
        <w:t xml:space="preserve"> </w:t>
      </w:r>
      <w:r w:rsidR="00A534AD" w:rsidRPr="006555FF">
        <w:t xml:space="preserve">general and </w:t>
      </w:r>
      <w:r w:rsidRPr="006555FF">
        <w:t xml:space="preserve">specific purposes, as stipulated in Article 25.5 of the Convention, following a decision of the Committee; </w:t>
      </w:r>
    </w:p>
    <w:p w14:paraId="0E67103A" w14:textId="237DE592" w:rsidR="006552DF" w:rsidRPr="006555FF" w:rsidRDefault="006552DF" w:rsidP="00AE67DF">
      <w:pPr>
        <w:pStyle w:val="1GAPara"/>
        <w:numPr>
          <w:ilvl w:val="0"/>
          <w:numId w:val="0"/>
        </w:numPr>
        <w:ind w:left="1134" w:hanging="567"/>
        <w:jc w:val="both"/>
      </w:pPr>
    </w:p>
    <w:p w14:paraId="50E76054" w14:textId="4F8DCFBB" w:rsidR="00DC2AB5" w:rsidRPr="006555FF" w:rsidRDefault="00DC2AB5" w:rsidP="00AE67DF">
      <w:pPr>
        <w:pStyle w:val="1GAPara"/>
        <w:numPr>
          <w:ilvl w:val="0"/>
          <w:numId w:val="10"/>
        </w:numPr>
        <w:ind w:left="1134" w:hanging="567"/>
        <w:jc w:val="both"/>
      </w:pPr>
      <w:hyperlink w:anchor="AnnexIII" w:history="1">
        <w:r w:rsidRPr="006555FF">
          <w:rPr>
            <w:rStyle w:val="Hyperlink"/>
          </w:rPr>
          <w:t>Annex III</w:t>
        </w:r>
      </w:hyperlink>
      <w:r w:rsidRPr="006555FF">
        <w:t xml:space="preserve"> – the total expenditure incurred for each specific activity/project approved by the Committee, from its beginning until 30 June 202</w:t>
      </w:r>
      <w:r w:rsidR="0038432E" w:rsidRPr="006555FF">
        <w:t>5</w:t>
      </w:r>
      <w:r w:rsidRPr="006555FF">
        <w:t>;</w:t>
      </w:r>
    </w:p>
    <w:p w14:paraId="57676063" w14:textId="08628D19" w:rsidR="00DC2AB5" w:rsidRPr="006555FF" w:rsidRDefault="00DC2AB5" w:rsidP="00AE67DF">
      <w:pPr>
        <w:pStyle w:val="1GAPara"/>
        <w:numPr>
          <w:ilvl w:val="0"/>
          <w:numId w:val="10"/>
        </w:numPr>
        <w:ind w:left="1134" w:hanging="567"/>
        <w:jc w:val="both"/>
      </w:pPr>
      <w:hyperlink w:anchor="AnnexIV" w:history="1">
        <w:r w:rsidRPr="006555FF">
          <w:rPr>
            <w:rStyle w:val="Hyperlink"/>
          </w:rPr>
          <w:t>Annex IV</w:t>
        </w:r>
      </w:hyperlink>
      <w:r w:rsidRPr="006555FF">
        <w:t xml:space="preserve"> – the forecasts, based on the Secretariat</w:t>
      </w:r>
      <w:r w:rsidR="005A1027" w:rsidRPr="006555FF">
        <w:t>’</w:t>
      </w:r>
      <w:r w:rsidRPr="006555FF">
        <w:t>s estimation, for the future use of the funds allocated to ongoing specific activities/projects approved by the Committee;</w:t>
      </w:r>
    </w:p>
    <w:p w14:paraId="04D9237F" w14:textId="1D77A3DB" w:rsidR="005A1D84" w:rsidRPr="006555FF" w:rsidRDefault="005A1D84" w:rsidP="00AE67DF">
      <w:pPr>
        <w:pStyle w:val="1GAPara"/>
        <w:numPr>
          <w:ilvl w:val="0"/>
          <w:numId w:val="10"/>
        </w:numPr>
        <w:ind w:left="1134" w:hanging="567"/>
        <w:jc w:val="both"/>
      </w:pPr>
      <w:hyperlink w:anchor="AnnexV" w:history="1">
        <w:r w:rsidRPr="006555FF">
          <w:rPr>
            <w:rStyle w:val="Hyperlink"/>
          </w:rPr>
          <w:t>Annex V</w:t>
        </w:r>
      </w:hyperlink>
      <w:r w:rsidRPr="006555FF">
        <w:t xml:space="preserve"> – the list of International Assistance projects </w:t>
      </w:r>
      <w:r w:rsidR="003A0E6D" w:rsidRPr="006555FF">
        <w:t>with expenditures incurred</w:t>
      </w:r>
      <w:r w:rsidRPr="006555FF">
        <w:t xml:space="preserve"> during the period 1 January 2024 to 30 June 2025;</w:t>
      </w:r>
    </w:p>
    <w:p w14:paraId="33E9A90E" w14:textId="23E9B936" w:rsidR="00DC2AB5" w:rsidRPr="006555FF" w:rsidRDefault="00DC2AB5" w:rsidP="00AE67DF">
      <w:pPr>
        <w:pStyle w:val="1GAPara"/>
        <w:numPr>
          <w:ilvl w:val="0"/>
          <w:numId w:val="10"/>
        </w:numPr>
        <w:ind w:left="1134" w:hanging="567"/>
        <w:jc w:val="both"/>
      </w:pPr>
      <w:hyperlink w:anchor="AnnexVI" w:history="1">
        <w:r w:rsidRPr="006555FF">
          <w:rPr>
            <w:rStyle w:val="Hyperlink"/>
          </w:rPr>
          <w:t>Annex V</w:t>
        </w:r>
        <w:r w:rsidR="005A1D84" w:rsidRPr="006555FF">
          <w:rPr>
            <w:rStyle w:val="Hyperlink"/>
          </w:rPr>
          <w:t>I</w:t>
        </w:r>
      </w:hyperlink>
      <w:r w:rsidRPr="006555FF">
        <w:t xml:space="preserve"> – a detailed report on the progress of the implementation of the spending plan for the </w:t>
      </w:r>
      <w:r w:rsidR="005A1027" w:rsidRPr="006555FF">
        <w:t>‘</w:t>
      </w:r>
      <w:r w:rsidRPr="006555FF">
        <w:t>other functions of the Committee</w:t>
      </w:r>
      <w:r w:rsidR="005A1027" w:rsidRPr="006555FF">
        <w:t>’</w:t>
      </w:r>
      <w:r w:rsidRPr="006555FF">
        <w:t xml:space="preserve"> for the period 1 January 202</w:t>
      </w:r>
      <w:r w:rsidR="0038432E" w:rsidRPr="006555FF">
        <w:t>4</w:t>
      </w:r>
      <w:r w:rsidRPr="006555FF">
        <w:t xml:space="preserve"> to 30 June 202</w:t>
      </w:r>
      <w:r w:rsidR="0038432E" w:rsidRPr="006555FF">
        <w:t>5</w:t>
      </w:r>
      <w:r w:rsidRPr="006555FF">
        <w:t xml:space="preserve">. </w:t>
      </w:r>
    </w:p>
    <w:p w14:paraId="60DF7066" w14:textId="5B80718A" w:rsidR="00BD28DA" w:rsidRPr="006555FF" w:rsidRDefault="00BD28DA" w:rsidP="00F726B0">
      <w:pPr>
        <w:pStyle w:val="1GAPara"/>
        <w:numPr>
          <w:ilvl w:val="0"/>
          <w:numId w:val="14"/>
        </w:numPr>
        <w:spacing w:before="240"/>
        <w:ind w:left="567" w:hanging="567"/>
        <w:rPr>
          <w:b/>
          <w:bCs/>
        </w:rPr>
      </w:pPr>
      <w:bookmarkStart w:id="1" w:name="PartA"/>
      <w:r w:rsidRPr="006555FF">
        <w:rPr>
          <w:b/>
          <w:bCs/>
        </w:rPr>
        <w:t>Income (Statement I in Annex I and Annex II)</w:t>
      </w:r>
      <w:r w:rsidRPr="006555FF">
        <w:rPr>
          <w:rStyle w:val="FootnoteReference"/>
          <w:b/>
          <w:bCs/>
        </w:rPr>
        <w:footnoteReference w:id="2"/>
      </w:r>
    </w:p>
    <w:bookmarkEnd w:id="1"/>
    <w:p w14:paraId="6B4E71CF" w14:textId="77777777" w:rsidR="00087F9B" w:rsidRPr="006555FF" w:rsidRDefault="00087F9B" w:rsidP="00087F9B">
      <w:pPr>
        <w:pStyle w:val="1GAPara"/>
        <w:ind w:left="567" w:hanging="567"/>
        <w:jc w:val="both"/>
      </w:pPr>
      <w:r w:rsidRPr="006555FF">
        <w:t>The sources of income are governed by Article 25.3 of the Convention and Article 5 of the above-mentioned Financial Regulations. During the reporting period, income of the Fund consisted of:</w:t>
      </w:r>
    </w:p>
    <w:tbl>
      <w:tblPr>
        <w:tblStyle w:val="TableGrid"/>
        <w:tblW w:w="0" w:type="auto"/>
        <w:tblInd w:w="567" w:type="dxa"/>
        <w:tblLook w:val="04A0" w:firstRow="1" w:lastRow="0" w:firstColumn="1" w:lastColumn="0" w:noHBand="0" w:noVBand="1"/>
      </w:tblPr>
      <w:tblGrid>
        <w:gridCol w:w="7077"/>
        <w:gridCol w:w="1984"/>
      </w:tblGrid>
      <w:tr w:rsidR="000A7235" w:rsidRPr="006555FF" w14:paraId="0AF4442C" w14:textId="77777777" w:rsidTr="00027B19">
        <w:trPr>
          <w:cantSplit/>
        </w:trPr>
        <w:tc>
          <w:tcPr>
            <w:tcW w:w="9061" w:type="dxa"/>
            <w:gridSpan w:val="2"/>
            <w:vAlign w:val="center"/>
          </w:tcPr>
          <w:p w14:paraId="636DEB99" w14:textId="77777777" w:rsidR="000A7235" w:rsidRPr="006555FF" w:rsidRDefault="000A7235" w:rsidP="00027B19">
            <w:pPr>
              <w:pStyle w:val="1GAPara"/>
              <w:numPr>
                <w:ilvl w:val="0"/>
                <w:numId w:val="16"/>
              </w:numPr>
              <w:spacing w:before="60" w:after="60"/>
              <w:ind w:left="318"/>
              <w:rPr>
                <w:rFonts w:asciiTheme="minorBidi" w:hAnsiTheme="minorBidi" w:cstheme="minorBidi"/>
                <w:sz w:val="20"/>
                <w:szCs w:val="20"/>
              </w:rPr>
            </w:pPr>
            <w:r w:rsidRPr="006555FF">
              <w:rPr>
                <w:rFonts w:asciiTheme="minorBidi" w:eastAsia="SimSun" w:hAnsiTheme="minorBidi" w:cstheme="minorBidi"/>
                <w:bCs/>
                <w:color w:val="000000"/>
                <w:sz w:val="20"/>
                <w:szCs w:val="20"/>
                <w:u w:val="single"/>
                <w:lang w:eastAsia="zh-CN"/>
              </w:rPr>
              <w:t>Compulsory and voluntary assessed contributions from States Parties</w:t>
            </w:r>
            <w:r w:rsidRPr="006555FF">
              <w:rPr>
                <w:rFonts w:asciiTheme="minorBidi" w:eastAsia="SimSun" w:hAnsiTheme="minorBidi" w:cstheme="minorBidi"/>
                <w:bCs/>
                <w:color w:val="000000"/>
                <w:sz w:val="20"/>
                <w:szCs w:val="20"/>
                <w:vertAlign w:val="superscript"/>
                <w:lang w:eastAsia="zh-CN"/>
              </w:rPr>
              <w:footnoteReference w:id="3"/>
            </w:r>
          </w:p>
        </w:tc>
      </w:tr>
      <w:tr w:rsidR="000A7235" w:rsidRPr="006555FF" w14:paraId="2352BC36" w14:textId="77777777" w:rsidTr="00027B19">
        <w:trPr>
          <w:cantSplit/>
        </w:trPr>
        <w:tc>
          <w:tcPr>
            <w:tcW w:w="7077" w:type="dxa"/>
            <w:vAlign w:val="center"/>
          </w:tcPr>
          <w:p w14:paraId="57E7FB90" w14:textId="2B70ADAE" w:rsidR="000A7235" w:rsidRPr="006555FF" w:rsidRDefault="000A7235" w:rsidP="00027B19">
            <w:pPr>
              <w:pStyle w:val="1GAPara"/>
              <w:numPr>
                <w:ilvl w:val="0"/>
                <w:numId w:val="0"/>
              </w:numPr>
              <w:spacing w:before="60" w:after="60"/>
              <w:ind w:left="318"/>
              <w:rPr>
                <w:rFonts w:asciiTheme="minorBidi" w:hAnsiTheme="minorBidi" w:cstheme="minorBidi"/>
                <w:sz w:val="20"/>
                <w:szCs w:val="20"/>
              </w:rPr>
            </w:pPr>
            <w:r w:rsidRPr="006555FF">
              <w:rPr>
                <w:rFonts w:asciiTheme="minorBidi" w:eastAsia="SimSun" w:hAnsiTheme="minorBidi" w:cstheme="minorBidi"/>
                <w:bCs/>
                <w:color w:val="000000"/>
                <w:sz w:val="20"/>
                <w:szCs w:val="20"/>
                <w:lang w:eastAsia="zh-CN"/>
              </w:rPr>
              <w:t xml:space="preserve">Compulsory </w:t>
            </w:r>
            <w:r w:rsidRPr="006555FF">
              <w:rPr>
                <w:rFonts w:asciiTheme="minorBidi" w:eastAsia="MS Mincho" w:hAnsiTheme="minorBidi" w:cstheme="minorBidi"/>
                <w:color w:val="000000"/>
                <w:sz w:val="20"/>
                <w:szCs w:val="20"/>
                <w:lang w:eastAsia="zh-CN"/>
              </w:rPr>
              <w:t>contributions</w:t>
            </w:r>
            <w:r w:rsidRPr="006555FF">
              <w:rPr>
                <w:rFonts w:asciiTheme="minorBidi" w:eastAsia="SimSun" w:hAnsiTheme="minorBidi" w:cstheme="minorBidi"/>
                <w:bCs/>
                <w:color w:val="000000"/>
                <w:sz w:val="20"/>
                <w:szCs w:val="20"/>
                <w:lang w:eastAsia="zh-CN"/>
              </w:rPr>
              <w:t xml:space="preserve"> from </w:t>
            </w:r>
            <w:r w:rsidR="006552DF" w:rsidRPr="006555FF">
              <w:rPr>
                <w:rFonts w:asciiTheme="minorBidi" w:eastAsia="SimSun" w:hAnsiTheme="minorBidi" w:cstheme="minorBidi"/>
                <w:bCs/>
                <w:color w:val="000000"/>
                <w:sz w:val="20"/>
                <w:szCs w:val="20"/>
                <w:lang w:eastAsia="zh-CN"/>
              </w:rPr>
              <w:t xml:space="preserve">179 </w:t>
            </w:r>
            <w:r w:rsidRPr="006555FF">
              <w:rPr>
                <w:rFonts w:asciiTheme="minorBidi" w:eastAsia="SimSun" w:hAnsiTheme="minorBidi" w:cstheme="minorBidi"/>
                <w:bCs/>
                <w:color w:val="000000"/>
                <w:sz w:val="20"/>
                <w:szCs w:val="20"/>
                <w:lang w:eastAsia="zh-CN"/>
              </w:rPr>
              <w:t>States Parties to the Convention, as described in Article 26.1 of the Convention</w:t>
            </w:r>
          </w:p>
        </w:tc>
        <w:tc>
          <w:tcPr>
            <w:tcW w:w="1984" w:type="dxa"/>
            <w:vAlign w:val="center"/>
          </w:tcPr>
          <w:p w14:paraId="79AAAA43" w14:textId="09E31310" w:rsidR="000A7235" w:rsidRPr="006555FF" w:rsidRDefault="000A7235" w:rsidP="00027B19">
            <w:pPr>
              <w:pStyle w:val="1GAPara"/>
              <w:numPr>
                <w:ilvl w:val="0"/>
                <w:numId w:val="0"/>
              </w:numPr>
              <w:spacing w:before="60" w:after="60"/>
              <w:jc w:val="right"/>
              <w:rPr>
                <w:rFonts w:asciiTheme="minorBidi" w:hAnsiTheme="minorBidi" w:cstheme="minorBidi"/>
                <w:sz w:val="20"/>
                <w:szCs w:val="20"/>
              </w:rPr>
            </w:pPr>
            <w:r w:rsidRPr="006555FF">
              <w:rPr>
                <w:rFonts w:asciiTheme="minorBidi" w:eastAsia="SimSun" w:hAnsiTheme="minorBidi" w:cstheme="minorBidi"/>
                <w:bCs/>
                <w:color w:val="000000"/>
                <w:sz w:val="20"/>
                <w:szCs w:val="20"/>
                <w:lang w:eastAsia="zh-CN"/>
              </w:rPr>
              <w:t>US$</w:t>
            </w:r>
            <w:r w:rsidR="00C0773B" w:rsidRPr="006555FF">
              <w:rPr>
                <w:rFonts w:asciiTheme="minorBidi" w:eastAsia="SimSun" w:hAnsiTheme="minorBidi" w:cstheme="minorBidi"/>
                <w:bCs/>
                <w:color w:val="000000"/>
                <w:sz w:val="20"/>
                <w:szCs w:val="20"/>
                <w:lang w:eastAsia="zh-CN"/>
              </w:rPr>
              <w:t>4</w:t>
            </w:r>
            <w:r w:rsidRPr="006555FF">
              <w:rPr>
                <w:rFonts w:asciiTheme="minorBidi" w:eastAsia="SimSun" w:hAnsiTheme="minorBidi" w:cstheme="minorBidi"/>
                <w:bCs/>
                <w:color w:val="000000"/>
                <w:sz w:val="20"/>
                <w:szCs w:val="20"/>
                <w:lang w:eastAsia="zh-CN"/>
              </w:rPr>
              <w:t>,</w:t>
            </w:r>
            <w:r w:rsidR="005A7D76" w:rsidRPr="006555FF">
              <w:rPr>
                <w:rFonts w:asciiTheme="minorBidi" w:eastAsia="SimSun" w:hAnsiTheme="minorBidi" w:cstheme="minorBidi"/>
                <w:bCs/>
                <w:color w:val="000000"/>
                <w:sz w:val="20"/>
                <w:szCs w:val="20"/>
                <w:lang w:eastAsia="zh-CN"/>
              </w:rPr>
              <w:t>218,335</w:t>
            </w:r>
          </w:p>
        </w:tc>
      </w:tr>
      <w:tr w:rsidR="000A7235" w:rsidRPr="006555FF" w14:paraId="7072F000" w14:textId="77777777" w:rsidTr="00027B19">
        <w:trPr>
          <w:cantSplit/>
        </w:trPr>
        <w:tc>
          <w:tcPr>
            <w:tcW w:w="7077" w:type="dxa"/>
            <w:vAlign w:val="center"/>
          </w:tcPr>
          <w:p w14:paraId="380B1E70" w14:textId="278B7E4C" w:rsidR="000A7235" w:rsidRPr="006555FF" w:rsidRDefault="000A7235" w:rsidP="00027B19">
            <w:pPr>
              <w:pStyle w:val="1GAPara"/>
              <w:numPr>
                <w:ilvl w:val="0"/>
                <w:numId w:val="0"/>
              </w:numPr>
              <w:spacing w:before="60" w:after="60"/>
              <w:ind w:left="318"/>
              <w:rPr>
                <w:rFonts w:asciiTheme="minorBidi" w:hAnsiTheme="minorBidi" w:cstheme="minorBidi"/>
                <w:sz w:val="20"/>
                <w:szCs w:val="20"/>
              </w:rPr>
            </w:pPr>
            <w:r w:rsidRPr="006555FF">
              <w:rPr>
                <w:rFonts w:asciiTheme="minorBidi" w:eastAsia="MS Mincho" w:hAnsiTheme="minorBidi" w:cstheme="minorBidi"/>
                <w:color w:val="000000"/>
                <w:sz w:val="20"/>
                <w:szCs w:val="20"/>
                <w:lang w:eastAsia="zh-CN"/>
              </w:rPr>
              <w:lastRenderedPageBreak/>
              <w:t>Voluntary</w:t>
            </w:r>
            <w:r w:rsidRPr="006555FF">
              <w:rPr>
                <w:rFonts w:asciiTheme="minorBidi" w:eastAsia="SimSun" w:hAnsiTheme="minorBidi" w:cstheme="minorBidi"/>
                <w:bCs/>
                <w:color w:val="000000"/>
                <w:sz w:val="20"/>
                <w:szCs w:val="20"/>
                <w:lang w:eastAsia="zh-CN"/>
              </w:rPr>
              <w:t xml:space="preserve"> contributions received from </w:t>
            </w:r>
            <w:r w:rsidR="00476D0A" w:rsidRPr="006555FF">
              <w:rPr>
                <w:rFonts w:asciiTheme="minorBidi" w:eastAsia="SimSun" w:hAnsiTheme="minorBidi" w:cstheme="minorBidi"/>
                <w:bCs/>
                <w:sz w:val="20"/>
                <w:szCs w:val="20"/>
                <w:lang w:eastAsia="zh-CN"/>
              </w:rPr>
              <w:t>four</w:t>
            </w:r>
            <w:r w:rsidRPr="006555FF">
              <w:rPr>
                <w:rFonts w:asciiTheme="minorBidi" w:eastAsia="SimSun" w:hAnsiTheme="minorBidi" w:cstheme="minorBidi"/>
                <w:bCs/>
                <w:sz w:val="20"/>
                <w:szCs w:val="20"/>
                <w:lang w:eastAsia="zh-CN"/>
              </w:rPr>
              <w:t xml:space="preserve"> </w:t>
            </w:r>
            <w:r w:rsidRPr="006555FF">
              <w:rPr>
                <w:rFonts w:asciiTheme="minorBidi" w:eastAsia="SimSun" w:hAnsiTheme="minorBidi" w:cstheme="minorBidi"/>
                <w:bCs/>
                <w:color w:val="000000"/>
                <w:sz w:val="20"/>
                <w:szCs w:val="20"/>
                <w:lang w:eastAsia="zh-CN"/>
              </w:rPr>
              <w:t xml:space="preserve">of the five States Parties, which, at the time of their ratification, had recourse to Article 26.2 of the Convention </w:t>
            </w:r>
          </w:p>
        </w:tc>
        <w:tc>
          <w:tcPr>
            <w:tcW w:w="1984" w:type="dxa"/>
            <w:vAlign w:val="center"/>
          </w:tcPr>
          <w:p w14:paraId="1D9B78B8" w14:textId="675F0BD3" w:rsidR="000A7235" w:rsidRPr="006555FF" w:rsidRDefault="000A7235" w:rsidP="00027B19">
            <w:pPr>
              <w:pStyle w:val="1GAPara"/>
              <w:numPr>
                <w:ilvl w:val="0"/>
                <w:numId w:val="0"/>
              </w:numPr>
              <w:spacing w:before="60" w:after="60"/>
              <w:jc w:val="right"/>
              <w:rPr>
                <w:rFonts w:asciiTheme="minorBidi" w:hAnsiTheme="minorBidi" w:cstheme="minorBidi"/>
                <w:sz w:val="20"/>
                <w:szCs w:val="20"/>
              </w:rPr>
            </w:pPr>
            <w:r w:rsidRPr="006555FF">
              <w:rPr>
                <w:rFonts w:asciiTheme="minorBidi" w:eastAsia="SimSun" w:hAnsiTheme="minorBidi" w:cstheme="minorBidi"/>
                <w:bCs/>
                <w:color w:val="000000"/>
                <w:sz w:val="20"/>
                <w:szCs w:val="20"/>
                <w:lang w:eastAsia="zh-CN"/>
              </w:rPr>
              <w:t>US$</w:t>
            </w:r>
            <w:r w:rsidR="001B4B2C" w:rsidRPr="006555FF">
              <w:rPr>
                <w:rFonts w:asciiTheme="minorBidi" w:eastAsia="SimSun" w:hAnsiTheme="minorBidi" w:cstheme="minorBidi"/>
                <w:bCs/>
                <w:color w:val="000000"/>
                <w:sz w:val="20"/>
                <w:szCs w:val="20"/>
                <w:lang w:eastAsia="zh-CN"/>
              </w:rPr>
              <w:t>401,463</w:t>
            </w:r>
          </w:p>
        </w:tc>
      </w:tr>
      <w:tr w:rsidR="000A7235" w:rsidRPr="006555FF" w14:paraId="103F439B" w14:textId="77777777" w:rsidTr="00027B19">
        <w:trPr>
          <w:cantSplit/>
        </w:trPr>
        <w:tc>
          <w:tcPr>
            <w:tcW w:w="9061" w:type="dxa"/>
            <w:gridSpan w:val="2"/>
            <w:vAlign w:val="center"/>
          </w:tcPr>
          <w:p w14:paraId="046E22F2" w14:textId="77777777" w:rsidR="000A7235" w:rsidRPr="006555FF" w:rsidRDefault="000A7235" w:rsidP="00027B19">
            <w:pPr>
              <w:pStyle w:val="1GAPara"/>
              <w:keepNext/>
              <w:numPr>
                <w:ilvl w:val="0"/>
                <w:numId w:val="16"/>
              </w:numPr>
              <w:spacing w:before="60" w:after="60"/>
              <w:ind w:left="318"/>
              <w:rPr>
                <w:rFonts w:asciiTheme="minorBidi" w:hAnsiTheme="minorBidi" w:cstheme="minorBidi"/>
                <w:sz w:val="20"/>
                <w:szCs w:val="20"/>
              </w:rPr>
            </w:pPr>
            <w:r w:rsidRPr="006555FF">
              <w:rPr>
                <w:rFonts w:asciiTheme="minorBidi" w:eastAsia="SimSun" w:hAnsiTheme="minorBidi" w:cstheme="minorBidi"/>
                <w:bCs/>
                <w:color w:val="000000"/>
                <w:sz w:val="20"/>
                <w:szCs w:val="20"/>
                <w:u w:val="single"/>
                <w:lang w:eastAsia="zh-CN"/>
              </w:rPr>
              <w:t>Voluntary supplementary contributions</w:t>
            </w:r>
          </w:p>
        </w:tc>
      </w:tr>
      <w:tr w:rsidR="00D05B7B" w:rsidRPr="006555FF" w14:paraId="68A0C413" w14:textId="77777777" w:rsidTr="00027B19">
        <w:trPr>
          <w:cantSplit/>
        </w:trPr>
        <w:tc>
          <w:tcPr>
            <w:tcW w:w="9061" w:type="dxa"/>
            <w:gridSpan w:val="2"/>
            <w:vAlign w:val="center"/>
          </w:tcPr>
          <w:p w14:paraId="28EB5ECE" w14:textId="413CD2F7" w:rsidR="00D05B7B" w:rsidRPr="006555FF" w:rsidRDefault="003D425C" w:rsidP="00027B19">
            <w:pPr>
              <w:pStyle w:val="1GAPara"/>
              <w:keepNext/>
              <w:numPr>
                <w:ilvl w:val="0"/>
                <w:numId w:val="0"/>
              </w:numPr>
              <w:spacing w:before="60" w:after="60"/>
              <w:rPr>
                <w:rFonts w:asciiTheme="minorBidi" w:eastAsia="SimSun" w:hAnsiTheme="minorBidi" w:cstheme="minorBidi"/>
                <w:bCs/>
                <w:i/>
                <w:iCs/>
                <w:color w:val="000000"/>
                <w:sz w:val="20"/>
                <w:szCs w:val="20"/>
                <w:lang w:eastAsia="zh-CN"/>
              </w:rPr>
            </w:pPr>
            <w:r w:rsidRPr="006555FF">
              <w:rPr>
                <w:rFonts w:asciiTheme="minorBidi" w:eastAsia="SimSun" w:hAnsiTheme="minorBidi" w:cstheme="minorBidi"/>
                <w:bCs/>
                <w:i/>
                <w:iCs/>
                <w:color w:val="000000"/>
                <w:sz w:val="20"/>
                <w:szCs w:val="20"/>
                <w:lang w:eastAsia="zh-CN"/>
              </w:rPr>
              <w:t xml:space="preserve">Funds received for </w:t>
            </w:r>
            <w:r w:rsidR="006833D0" w:rsidRPr="006555FF">
              <w:rPr>
                <w:rFonts w:asciiTheme="minorBidi" w:eastAsia="SimSun" w:hAnsiTheme="minorBidi" w:cstheme="minorBidi"/>
                <w:bCs/>
                <w:i/>
                <w:iCs/>
                <w:color w:val="000000"/>
                <w:sz w:val="20"/>
                <w:szCs w:val="20"/>
                <w:lang w:eastAsia="zh-CN"/>
              </w:rPr>
              <w:t>p</w:t>
            </w:r>
            <w:r w:rsidRPr="006555FF">
              <w:rPr>
                <w:rFonts w:asciiTheme="minorBidi" w:eastAsia="SimSun" w:hAnsiTheme="minorBidi" w:cstheme="minorBidi"/>
                <w:bCs/>
                <w:i/>
                <w:iCs/>
                <w:color w:val="000000"/>
                <w:sz w:val="20"/>
                <w:szCs w:val="20"/>
                <w:lang w:eastAsia="zh-CN"/>
              </w:rPr>
              <w:t xml:space="preserve">rogramme </w:t>
            </w:r>
            <w:r w:rsidR="006833D0" w:rsidRPr="006555FF">
              <w:rPr>
                <w:rFonts w:asciiTheme="minorBidi" w:eastAsia="SimSun" w:hAnsiTheme="minorBidi" w:cstheme="minorBidi"/>
                <w:bCs/>
                <w:i/>
                <w:iCs/>
                <w:color w:val="000000"/>
                <w:sz w:val="20"/>
                <w:szCs w:val="20"/>
                <w:lang w:eastAsia="zh-CN"/>
              </w:rPr>
              <w:t>a</w:t>
            </w:r>
            <w:r w:rsidRPr="006555FF">
              <w:rPr>
                <w:rFonts w:asciiTheme="minorBidi" w:eastAsia="SimSun" w:hAnsiTheme="minorBidi" w:cstheme="minorBidi"/>
                <w:bCs/>
                <w:i/>
                <w:iCs/>
                <w:color w:val="000000"/>
                <w:sz w:val="20"/>
                <w:szCs w:val="20"/>
                <w:lang w:eastAsia="zh-CN"/>
              </w:rPr>
              <w:t>ctivities</w:t>
            </w:r>
          </w:p>
        </w:tc>
      </w:tr>
      <w:tr w:rsidR="00D05B7B" w:rsidRPr="006555FF" w14:paraId="68E1C8A8" w14:textId="03E3F3E6" w:rsidTr="00027B19">
        <w:trPr>
          <w:cantSplit/>
        </w:trPr>
        <w:tc>
          <w:tcPr>
            <w:tcW w:w="7077" w:type="dxa"/>
            <w:tcBorders>
              <w:right w:val="single" w:sz="4" w:space="0" w:color="auto"/>
            </w:tcBorders>
            <w:vAlign w:val="center"/>
          </w:tcPr>
          <w:p w14:paraId="029352F2" w14:textId="0352343D" w:rsidR="00D05B7B" w:rsidRPr="006555FF" w:rsidRDefault="00D05B7B" w:rsidP="00027B19">
            <w:pPr>
              <w:pStyle w:val="1GAPara"/>
              <w:keepNext/>
              <w:numPr>
                <w:ilvl w:val="0"/>
                <w:numId w:val="0"/>
              </w:numPr>
              <w:spacing w:before="60" w:after="60"/>
              <w:ind w:left="309"/>
              <w:rPr>
                <w:rFonts w:asciiTheme="minorBidi" w:eastAsia="SimSun" w:hAnsiTheme="minorBidi" w:cstheme="minorBidi"/>
                <w:bCs/>
                <w:color w:val="000000"/>
                <w:sz w:val="20"/>
                <w:szCs w:val="20"/>
                <w:u w:val="single"/>
                <w:lang w:eastAsia="zh-CN"/>
              </w:rPr>
            </w:pPr>
            <w:r w:rsidRPr="006555FF">
              <w:rPr>
                <w:rFonts w:asciiTheme="minorBidi" w:hAnsiTheme="minorBidi" w:cstheme="minorBidi"/>
                <w:sz w:val="20"/>
                <w:szCs w:val="20"/>
              </w:rPr>
              <w:t>Saint Vincent and the Grenadines</w:t>
            </w:r>
          </w:p>
        </w:tc>
        <w:tc>
          <w:tcPr>
            <w:tcW w:w="1984" w:type="dxa"/>
            <w:tcBorders>
              <w:left w:val="single" w:sz="4" w:space="0" w:color="auto"/>
            </w:tcBorders>
            <w:vAlign w:val="center"/>
          </w:tcPr>
          <w:p w14:paraId="5B105EFF" w14:textId="22341C24" w:rsidR="00D05B7B" w:rsidRPr="006555FF" w:rsidRDefault="00071E74" w:rsidP="00027B19">
            <w:pPr>
              <w:pStyle w:val="1GAPara"/>
              <w:keepNext/>
              <w:numPr>
                <w:ilvl w:val="0"/>
                <w:numId w:val="0"/>
              </w:numPr>
              <w:spacing w:before="60" w:after="60"/>
              <w:jc w:val="right"/>
              <w:rPr>
                <w:rFonts w:asciiTheme="minorBidi" w:eastAsia="SimSun" w:hAnsiTheme="minorBidi" w:cstheme="minorBidi"/>
                <w:bCs/>
                <w:color w:val="000000"/>
                <w:sz w:val="20"/>
                <w:szCs w:val="20"/>
                <w:u w:val="single"/>
                <w:lang w:eastAsia="zh-CN"/>
              </w:rPr>
            </w:pPr>
            <w:r w:rsidRPr="006555FF">
              <w:rPr>
                <w:rFonts w:asciiTheme="minorBidi" w:hAnsiTheme="minorBidi" w:cstheme="minorBidi"/>
                <w:sz w:val="20"/>
                <w:szCs w:val="20"/>
              </w:rPr>
              <w:t>US$73</w:t>
            </w:r>
          </w:p>
        </w:tc>
      </w:tr>
      <w:tr w:rsidR="000A7235" w:rsidRPr="006555FF" w14:paraId="05924D40" w14:textId="77777777" w:rsidTr="00027B19">
        <w:trPr>
          <w:cantSplit/>
        </w:trPr>
        <w:tc>
          <w:tcPr>
            <w:tcW w:w="7077" w:type="dxa"/>
            <w:tcBorders>
              <w:right w:val="single" w:sz="4" w:space="0" w:color="auto"/>
            </w:tcBorders>
            <w:vAlign w:val="center"/>
          </w:tcPr>
          <w:p w14:paraId="661152CB" w14:textId="1CC3A562" w:rsidR="000A7235" w:rsidRPr="006555FF" w:rsidRDefault="000A7235" w:rsidP="00027B19">
            <w:pPr>
              <w:pStyle w:val="1GAPara"/>
              <w:keepNext/>
              <w:numPr>
                <w:ilvl w:val="0"/>
                <w:numId w:val="0"/>
              </w:numPr>
              <w:spacing w:before="60" w:after="60"/>
              <w:rPr>
                <w:rFonts w:asciiTheme="minorBidi" w:hAnsiTheme="minorBidi" w:cstheme="minorBidi"/>
                <w:sz w:val="20"/>
                <w:szCs w:val="20"/>
              </w:rPr>
            </w:pPr>
            <w:r w:rsidRPr="006555FF">
              <w:rPr>
                <w:rFonts w:asciiTheme="minorBidi" w:eastAsia="MS Mincho" w:hAnsiTheme="minorBidi" w:cstheme="minorBidi"/>
                <w:i/>
                <w:iCs/>
                <w:color w:val="000000"/>
                <w:sz w:val="20"/>
                <w:szCs w:val="20"/>
                <w:lang w:eastAsia="zh-CN"/>
              </w:rPr>
              <w:t>Contributions made for specific purposes relating to specific projects approved by the Committee, in accordance with Article 25.5 of the Convention</w:t>
            </w:r>
          </w:p>
        </w:tc>
        <w:tc>
          <w:tcPr>
            <w:tcW w:w="1984" w:type="dxa"/>
            <w:tcBorders>
              <w:left w:val="single" w:sz="4" w:space="0" w:color="auto"/>
            </w:tcBorders>
            <w:vAlign w:val="center"/>
          </w:tcPr>
          <w:p w14:paraId="41A22C82" w14:textId="7321E480" w:rsidR="000A7235" w:rsidRPr="006555FF" w:rsidRDefault="000A7235" w:rsidP="00027B19">
            <w:pPr>
              <w:pStyle w:val="1GAPara"/>
              <w:keepNext/>
              <w:numPr>
                <w:ilvl w:val="0"/>
                <w:numId w:val="0"/>
              </w:numPr>
              <w:spacing w:before="60" w:after="60"/>
              <w:jc w:val="right"/>
              <w:rPr>
                <w:rFonts w:asciiTheme="minorBidi" w:hAnsiTheme="minorBidi" w:cstheme="minorBidi"/>
                <w:sz w:val="20"/>
                <w:szCs w:val="20"/>
              </w:rPr>
            </w:pPr>
          </w:p>
        </w:tc>
      </w:tr>
      <w:tr w:rsidR="000A7235" w:rsidRPr="006555FF" w14:paraId="362D1E98" w14:textId="77777777" w:rsidTr="00027B19">
        <w:trPr>
          <w:cantSplit/>
        </w:trPr>
        <w:tc>
          <w:tcPr>
            <w:tcW w:w="7077" w:type="dxa"/>
            <w:vAlign w:val="center"/>
          </w:tcPr>
          <w:p w14:paraId="58AA3171" w14:textId="6B331BB9" w:rsidR="000A7235" w:rsidRPr="006555FF" w:rsidRDefault="000A7235" w:rsidP="00027B19">
            <w:pPr>
              <w:pStyle w:val="1GAPara"/>
              <w:numPr>
                <w:ilvl w:val="0"/>
                <w:numId w:val="0"/>
              </w:numPr>
              <w:spacing w:before="60" w:after="60"/>
              <w:ind w:left="357"/>
              <w:rPr>
                <w:rFonts w:asciiTheme="minorBidi" w:hAnsiTheme="minorBidi" w:cstheme="minorBidi"/>
                <w:sz w:val="20"/>
                <w:szCs w:val="20"/>
              </w:rPr>
            </w:pPr>
            <w:r w:rsidRPr="006555FF">
              <w:rPr>
                <w:rFonts w:asciiTheme="minorBidi" w:hAnsiTheme="minorBidi" w:cstheme="minorBidi"/>
                <w:sz w:val="20"/>
                <w:szCs w:val="20"/>
              </w:rPr>
              <w:t xml:space="preserve">From the </w:t>
            </w:r>
            <w:r w:rsidR="00D07239" w:rsidRPr="006555FF">
              <w:rPr>
                <w:rFonts w:asciiTheme="minorBidi" w:hAnsiTheme="minorBidi" w:cstheme="minorBidi"/>
                <w:sz w:val="20"/>
                <w:szCs w:val="20"/>
              </w:rPr>
              <w:t xml:space="preserve">Kingdom of the </w:t>
            </w:r>
            <w:r w:rsidRPr="006555FF">
              <w:rPr>
                <w:rFonts w:asciiTheme="minorBidi" w:hAnsiTheme="minorBidi" w:cstheme="minorBidi"/>
                <w:sz w:val="20"/>
                <w:szCs w:val="20"/>
              </w:rPr>
              <w:t xml:space="preserve">Netherlands for the implementation of the programme </w:t>
            </w:r>
            <w:r w:rsidR="005A1027" w:rsidRPr="006555FF">
              <w:rPr>
                <w:rFonts w:asciiTheme="minorBidi" w:hAnsiTheme="minorBidi" w:cstheme="minorBidi"/>
                <w:sz w:val="20"/>
                <w:szCs w:val="20"/>
              </w:rPr>
              <w:t>‘</w:t>
            </w:r>
            <w:r w:rsidR="00DA66C3" w:rsidRPr="006555FF">
              <w:rPr>
                <w:rFonts w:asciiTheme="minorBidi" w:hAnsiTheme="minorBidi" w:cstheme="minorBidi"/>
                <w:sz w:val="20"/>
                <w:szCs w:val="20"/>
              </w:rPr>
              <w:t>Reflection on a broader implementation of Article 18 of the Convention</w:t>
            </w:r>
            <w:r w:rsidR="005A1027" w:rsidRPr="006555FF">
              <w:rPr>
                <w:rFonts w:asciiTheme="minorBidi" w:hAnsiTheme="minorBidi" w:cstheme="minorBidi"/>
                <w:sz w:val="20"/>
                <w:szCs w:val="20"/>
              </w:rPr>
              <w:t>’</w:t>
            </w:r>
            <w:r w:rsidRPr="006555FF">
              <w:rPr>
                <w:rFonts w:asciiTheme="minorBidi" w:hAnsiTheme="minorBidi" w:cstheme="minorBidi"/>
                <w:sz w:val="20"/>
                <w:szCs w:val="20"/>
              </w:rPr>
              <w:t xml:space="preserve"> (Decision </w:t>
            </w:r>
            <w:hyperlink r:id="rId13" w:history="1">
              <w:r w:rsidR="00CE352E" w:rsidRPr="006555FF">
                <w:rPr>
                  <w:rStyle w:val="Hyperlink"/>
                  <w:rFonts w:asciiTheme="minorBidi" w:hAnsiTheme="minorBidi" w:cstheme="minorBidi"/>
                  <w:sz w:val="20"/>
                  <w:szCs w:val="20"/>
                </w:rPr>
                <w:t>19.COM12</w:t>
              </w:r>
            </w:hyperlink>
            <w:r w:rsidRPr="006555FF">
              <w:rPr>
                <w:rFonts w:asciiTheme="minorBidi" w:hAnsiTheme="minorBidi" w:cstheme="minorBidi"/>
                <w:sz w:val="20"/>
                <w:szCs w:val="20"/>
              </w:rPr>
              <w:t>)</w:t>
            </w:r>
          </w:p>
        </w:tc>
        <w:tc>
          <w:tcPr>
            <w:tcW w:w="1984" w:type="dxa"/>
            <w:vAlign w:val="center"/>
          </w:tcPr>
          <w:p w14:paraId="1437A7CD" w14:textId="4C400FA2" w:rsidR="000A7235" w:rsidRPr="006555FF" w:rsidRDefault="000A7235" w:rsidP="00027B19">
            <w:pPr>
              <w:pStyle w:val="1GAPara"/>
              <w:numPr>
                <w:ilvl w:val="0"/>
                <w:numId w:val="0"/>
              </w:numPr>
              <w:spacing w:before="60" w:after="60"/>
              <w:jc w:val="right"/>
              <w:rPr>
                <w:rFonts w:asciiTheme="minorBidi" w:hAnsiTheme="minorBidi" w:cstheme="minorBidi"/>
                <w:sz w:val="20"/>
                <w:szCs w:val="20"/>
              </w:rPr>
            </w:pPr>
            <w:r w:rsidRPr="006555FF">
              <w:rPr>
                <w:rFonts w:asciiTheme="minorBidi" w:eastAsia="SimSun" w:hAnsiTheme="minorBidi" w:cstheme="minorBidi"/>
                <w:bCs/>
                <w:color w:val="000000"/>
                <w:sz w:val="20"/>
                <w:szCs w:val="20"/>
                <w:lang w:eastAsia="zh-CN"/>
              </w:rPr>
              <w:t>US$</w:t>
            </w:r>
            <w:r w:rsidR="00C14556" w:rsidRPr="006555FF">
              <w:rPr>
                <w:rFonts w:asciiTheme="minorBidi" w:eastAsia="SimSun" w:hAnsiTheme="minorBidi" w:cstheme="minorBidi"/>
                <w:bCs/>
                <w:color w:val="000000"/>
                <w:sz w:val="20"/>
                <w:szCs w:val="20"/>
                <w:lang w:eastAsia="zh-CN"/>
              </w:rPr>
              <w:t>128</w:t>
            </w:r>
            <w:r w:rsidR="0024533D" w:rsidRPr="006555FF">
              <w:rPr>
                <w:rFonts w:asciiTheme="minorBidi" w:eastAsia="SimSun" w:hAnsiTheme="minorBidi" w:cstheme="minorBidi"/>
                <w:bCs/>
                <w:color w:val="000000"/>
                <w:sz w:val="20"/>
                <w:szCs w:val="20"/>
                <w:lang w:eastAsia="zh-CN"/>
              </w:rPr>
              <w:t>,69</w:t>
            </w:r>
            <w:r w:rsidR="00027B19" w:rsidRPr="006555FF">
              <w:rPr>
                <w:rFonts w:asciiTheme="minorBidi" w:eastAsia="SimSun" w:hAnsiTheme="minorBidi" w:cstheme="minorBidi"/>
                <w:bCs/>
                <w:color w:val="000000"/>
                <w:sz w:val="20"/>
                <w:szCs w:val="20"/>
                <w:lang w:eastAsia="zh-CN"/>
              </w:rPr>
              <w:t>2</w:t>
            </w:r>
          </w:p>
        </w:tc>
      </w:tr>
      <w:tr w:rsidR="000A7235" w:rsidRPr="006555FF" w14:paraId="42824CE2" w14:textId="77777777" w:rsidTr="00027B19">
        <w:trPr>
          <w:cantSplit/>
        </w:trPr>
        <w:tc>
          <w:tcPr>
            <w:tcW w:w="7077" w:type="dxa"/>
            <w:vAlign w:val="center"/>
          </w:tcPr>
          <w:p w14:paraId="0C641A12" w14:textId="22BB693E" w:rsidR="000A7235" w:rsidRPr="006555FF" w:rsidRDefault="000A7235" w:rsidP="00027B19">
            <w:pPr>
              <w:pStyle w:val="1GAPara"/>
              <w:numPr>
                <w:ilvl w:val="0"/>
                <w:numId w:val="0"/>
              </w:numPr>
              <w:spacing w:before="60" w:after="60"/>
              <w:rPr>
                <w:rFonts w:asciiTheme="minorBidi" w:hAnsiTheme="minorBidi" w:cstheme="minorBidi"/>
                <w:sz w:val="20"/>
                <w:szCs w:val="20"/>
              </w:rPr>
            </w:pPr>
            <w:r w:rsidRPr="006555FF">
              <w:rPr>
                <w:rFonts w:asciiTheme="minorBidi" w:eastAsia="MS Mincho" w:hAnsiTheme="minorBidi" w:cstheme="minorBidi"/>
                <w:i/>
                <w:iCs/>
                <w:color w:val="000000"/>
                <w:sz w:val="20"/>
                <w:szCs w:val="20"/>
                <w:lang w:eastAsia="zh-CN"/>
              </w:rPr>
              <w:t>Sub-fund intended exclusively to strengthen the human capacities of the Secretariat</w:t>
            </w:r>
            <w:r w:rsidRPr="006555FF" w:rsidDel="00F4192C">
              <w:rPr>
                <w:rFonts w:asciiTheme="minorBidi" w:eastAsia="SimSun" w:hAnsiTheme="minorBidi" w:cstheme="minorBidi"/>
                <w:bCs/>
                <w:i/>
                <w:iCs/>
                <w:color w:val="000000"/>
                <w:sz w:val="20"/>
                <w:szCs w:val="20"/>
                <w:lang w:eastAsia="zh-CN"/>
              </w:rPr>
              <w:t xml:space="preserve"> </w:t>
            </w:r>
            <w:r w:rsidRPr="006555FF">
              <w:rPr>
                <w:rFonts w:asciiTheme="minorBidi" w:eastAsia="SimSun" w:hAnsiTheme="minorBidi" w:cstheme="minorBidi"/>
                <w:bCs/>
                <w:i/>
                <w:iCs/>
                <w:sz w:val="20"/>
                <w:szCs w:val="20"/>
                <w:lang w:eastAsia="zh-CN"/>
              </w:rPr>
              <w:t xml:space="preserve">(Resolution </w:t>
            </w:r>
            <w:hyperlink r:id="rId14" w:history="1">
              <w:r w:rsidRPr="006555FF">
                <w:rPr>
                  <w:rStyle w:val="Hyperlink"/>
                  <w:rFonts w:asciiTheme="minorBidi" w:eastAsia="SimSun" w:hAnsiTheme="minorBidi" w:cstheme="minorBidi"/>
                  <w:sz w:val="20"/>
                  <w:szCs w:val="20"/>
                </w:rPr>
                <w:t>3.GA 9</w:t>
              </w:r>
            </w:hyperlink>
            <w:r w:rsidRPr="006555FF">
              <w:rPr>
                <w:rFonts w:asciiTheme="minorBidi" w:eastAsia="SimSun" w:hAnsiTheme="minorBidi" w:cstheme="minorBidi"/>
                <w:bCs/>
                <w:i/>
                <w:iCs/>
                <w:sz w:val="20"/>
                <w:szCs w:val="20"/>
                <w:lang w:eastAsia="zh-CN"/>
              </w:rPr>
              <w:t>)</w:t>
            </w:r>
          </w:p>
        </w:tc>
        <w:tc>
          <w:tcPr>
            <w:tcW w:w="1984" w:type="dxa"/>
            <w:vAlign w:val="center"/>
          </w:tcPr>
          <w:p w14:paraId="7748E4E6" w14:textId="77777777" w:rsidR="000A7235" w:rsidRPr="006555FF" w:rsidRDefault="000A7235" w:rsidP="00027B19">
            <w:pPr>
              <w:pStyle w:val="1GAPara"/>
              <w:numPr>
                <w:ilvl w:val="0"/>
                <w:numId w:val="0"/>
              </w:numPr>
              <w:spacing w:before="60" w:after="60"/>
              <w:jc w:val="right"/>
              <w:rPr>
                <w:rFonts w:asciiTheme="minorBidi" w:eastAsia="SimSun" w:hAnsiTheme="minorBidi" w:cstheme="minorBidi"/>
                <w:bCs/>
                <w:color w:val="000000"/>
                <w:sz w:val="20"/>
                <w:szCs w:val="20"/>
                <w:lang w:eastAsia="zh-CN"/>
              </w:rPr>
            </w:pPr>
          </w:p>
        </w:tc>
      </w:tr>
      <w:tr w:rsidR="000A7235" w:rsidRPr="006555FF" w14:paraId="04D3CD37" w14:textId="77777777" w:rsidTr="00027B19">
        <w:trPr>
          <w:cantSplit/>
        </w:trPr>
        <w:tc>
          <w:tcPr>
            <w:tcW w:w="7077" w:type="dxa"/>
            <w:vAlign w:val="center"/>
          </w:tcPr>
          <w:p w14:paraId="1BCC415C" w14:textId="77777777" w:rsidR="000A7235" w:rsidRPr="006555FF" w:rsidRDefault="000A7235" w:rsidP="00027B19">
            <w:pPr>
              <w:pStyle w:val="1GAPara"/>
              <w:numPr>
                <w:ilvl w:val="0"/>
                <w:numId w:val="0"/>
              </w:numPr>
              <w:spacing w:before="60" w:after="60"/>
              <w:ind w:left="357"/>
              <w:rPr>
                <w:rFonts w:asciiTheme="minorBidi" w:hAnsiTheme="minorBidi" w:cstheme="minorBidi"/>
                <w:sz w:val="20"/>
                <w:szCs w:val="20"/>
              </w:rPr>
            </w:pPr>
            <w:r w:rsidRPr="006555FF">
              <w:rPr>
                <w:rFonts w:asciiTheme="minorBidi" w:hAnsiTheme="minorBidi" w:cstheme="minorBidi"/>
                <w:sz w:val="20"/>
                <w:szCs w:val="20"/>
              </w:rPr>
              <w:t>France</w:t>
            </w:r>
          </w:p>
        </w:tc>
        <w:tc>
          <w:tcPr>
            <w:tcW w:w="1984" w:type="dxa"/>
            <w:vAlign w:val="center"/>
          </w:tcPr>
          <w:p w14:paraId="05F4364D" w14:textId="16B43223" w:rsidR="000A7235" w:rsidRPr="006555FF" w:rsidRDefault="000A7235" w:rsidP="00027B19">
            <w:pPr>
              <w:pStyle w:val="1GAPara"/>
              <w:numPr>
                <w:ilvl w:val="0"/>
                <w:numId w:val="0"/>
              </w:numPr>
              <w:spacing w:before="60" w:after="60"/>
              <w:jc w:val="right"/>
              <w:rPr>
                <w:rFonts w:asciiTheme="minorBidi" w:eastAsia="SimSun" w:hAnsiTheme="minorBidi" w:cstheme="minorBidi"/>
                <w:bCs/>
                <w:color w:val="000000"/>
                <w:sz w:val="20"/>
                <w:szCs w:val="20"/>
                <w:lang w:eastAsia="zh-CN"/>
              </w:rPr>
            </w:pPr>
            <w:r w:rsidRPr="006555FF">
              <w:rPr>
                <w:rFonts w:asciiTheme="minorBidi" w:eastAsia="SimSun" w:hAnsiTheme="minorBidi" w:cstheme="minorBidi"/>
                <w:bCs/>
                <w:color w:val="000000"/>
                <w:sz w:val="20"/>
                <w:szCs w:val="20"/>
                <w:lang w:eastAsia="zh-CN"/>
              </w:rPr>
              <w:t>US$10</w:t>
            </w:r>
            <w:r w:rsidR="0024533D" w:rsidRPr="006555FF">
              <w:rPr>
                <w:rFonts w:asciiTheme="minorBidi" w:eastAsia="SimSun" w:hAnsiTheme="minorBidi" w:cstheme="minorBidi"/>
                <w:bCs/>
                <w:color w:val="000000"/>
                <w:sz w:val="20"/>
                <w:szCs w:val="20"/>
                <w:lang w:eastAsia="zh-CN"/>
              </w:rPr>
              <w:t>9</w:t>
            </w:r>
            <w:r w:rsidRPr="006555FF">
              <w:rPr>
                <w:rFonts w:asciiTheme="minorBidi" w:eastAsia="SimSun" w:hAnsiTheme="minorBidi" w:cstheme="minorBidi"/>
                <w:bCs/>
                <w:color w:val="000000"/>
                <w:sz w:val="20"/>
                <w:szCs w:val="20"/>
                <w:lang w:eastAsia="zh-CN"/>
              </w:rPr>
              <w:t>,</w:t>
            </w:r>
            <w:r w:rsidR="0024533D" w:rsidRPr="006555FF">
              <w:rPr>
                <w:rFonts w:asciiTheme="minorBidi" w:eastAsia="SimSun" w:hAnsiTheme="minorBidi" w:cstheme="minorBidi"/>
                <w:bCs/>
                <w:color w:val="000000"/>
                <w:sz w:val="20"/>
                <w:szCs w:val="20"/>
                <w:lang w:eastAsia="zh-CN"/>
              </w:rPr>
              <w:t>529</w:t>
            </w:r>
          </w:p>
        </w:tc>
      </w:tr>
      <w:tr w:rsidR="000A7235" w:rsidRPr="006555FF" w14:paraId="42E7D652" w14:textId="77777777" w:rsidTr="00027B19">
        <w:trPr>
          <w:cantSplit/>
        </w:trPr>
        <w:tc>
          <w:tcPr>
            <w:tcW w:w="7077" w:type="dxa"/>
            <w:vAlign w:val="center"/>
          </w:tcPr>
          <w:p w14:paraId="4C747505" w14:textId="77777777" w:rsidR="000A7235" w:rsidRPr="006555FF" w:rsidRDefault="000A7235" w:rsidP="00027B19">
            <w:pPr>
              <w:pStyle w:val="1GAPara"/>
              <w:numPr>
                <w:ilvl w:val="0"/>
                <w:numId w:val="0"/>
              </w:numPr>
              <w:spacing w:before="60" w:after="60"/>
              <w:ind w:left="357"/>
              <w:rPr>
                <w:rFonts w:asciiTheme="minorBidi" w:hAnsiTheme="minorBidi" w:cstheme="minorBidi"/>
                <w:sz w:val="20"/>
                <w:szCs w:val="20"/>
              </w:rPr>
            </w:pPr>
            <w:r w:rsidRPr="006555FF">
              <w:rPr>
                <w:rFonts w:asciiTheme="minorBidi" w:hAnsiTheme="minorBidi" w:cstheme="minorBidi"/>
                <w:sz w:val="20"/>
                <w:szCs w:val="20"/>
              </w:rPr>
              <w:t>Lithuania</w:t>
            </w:r>
          </w:p>
        </w:tc>
        <w:tc>
          <w:tcPr>
            <w:tcW w:w="1984" w:type="dxa"/>
            <w:vAlign w:val="center"/>
          </w:tcPr>
          <w:p w14:paraId="2ABA29F1" w14:textId="063302B7" w:rsidR="000A7235" w:rsidRPr="006555FF" w:rsidRDefault="000A7235" w:rsidP="00027B19">
            <w:pPr>
              <w:pStyle w:val="1GAPara"/>
              <w:numPr>
                <w:ilvl w:val="0"/>
                <w:numId w:val="0"/>
              </w:numPr>
              <w:spacing w:before="60" w:after="60"/>
              <w:jc w:val="right"/>
              <w:rPr>
                <w:rFonts w:asciiTheme="minorBidi" w:eastAsia="SimSun" w:hAnsiTheme="minorBidi" w:cstheme="minorBidi"/>
                <w:bCs/>
                <w:color w:val="000000"/>
                <w:sz w:val="20"/>
                <w:szCs w:val="20"/>
                <w:lang w:eastAsia="zh-CN"/>
              </w:rPr>
            </w:pPr>
            <w:r w:rsidRPr="006555FF">
              <w:rPr>
                <w:rFonts w:asciiTheme="minorBidi" w:eastAsia="SimSun" w:hAnsiTheme="minorBidi" w:cstheme="minorBidi"/>
                <w:bCs/>
                <w:color w:val="000000"/>
                <w:sz w:val="20"/>
                <w:szCs w:val="20"/>
                <w:lang w:eastAsia="zh-CN"/>
              </w:rPr>
              <w:t>US$</w:t>
            </w:r>
            <w:r w:rsidR="00AE6E54" w:rsidRPr="006555FF">
              <w:rPr>
                <w:rFonts w:asciiTheme="minorBidi" w:eastAsia="SimSun" w:hAnsiTheme="minorBidi" w:cstheme="minorBidi"/>
                <w:bCs/>
                <w:color w:val="000000"/>
                <w:sz w:val="20"/>
                <w:szCs w:val="20"/>
                <w:lang w:eastAsia="zh-CN"/>
              </w:rPr>
              <w:t>5,320</w:t>
            </w:r>
          </w:p>
        </w:tc>
      </w:tr>
      <w:tr w:rsidR="000A7235" w:rsidRPr="006555FF" w14:paraId="14294922" w14:textId="77777777" w:rsidTr="00027B19">
        <w:trPr>
          <w:cantSplit/>
        </w:trPr>
        <w:tc>
          <w:tcPr>
            <w:tcW w:w="7077" w:type="dxa"/>
            <w:vAlign w:val="center"/>
          </w:tcPr>
          <w:p w14:paraId="5315E479" w14:textId="77777777" w:rsidR="000A7235" w:rsidRPr="006555FF" w:rsidRDefault="000A7235" w:rsidP="00027B19">
            <w:pPr>
              <w:pStyle w:val="1GAPara"/>
              <w:numPr>
                <w:ilvl w:val="0"/>
                <w:numId w:val="0"/>
              </w:numPr>
              <w:spacing w:before="60" w:after="60"/>
              <w:ind w:left="357"/>
              <w:rPr>
                <w:rFonts w:asciiTheme="minorBidi" w:hAnsiTheme="minorBidi" w:cstheme="minorBidi"/>
                <w:sz w:val="20"/>
                <w:szCs w:val="20"/>
              </w:rPr>
            </w:pPr>
            <w:r w:rsidRPr="006555FF">
              <w:rPr>
                <w:rFonts w:asciiTheme="minorBidi" w:hAnsiTheme="minorBidi" w:cstheme="minorBidi"/>
                <w:sz w:val="20"/>
                <w:szCs w:val="20"/>
              </w:rPr>
              <w:t>Monaco</w:t>
            </w:r>
          </w:p>
        </w:tc>
        <w:tc>
          <w:tcPr>
            <w:tcW w:w="1984" w:type="dxa"/>
            <w:vAlign w:val="center"/>
          </w:tcPr>
          <w:p w14:paraId="09EAEA40" w14:textId="347B6A24" w:rsidR="000A7235" w:rsidRPr="006555FF" w:rsidRDefault="000A7235" w:rsidP="00027B19">
            <w:pPr>
              <w:pStyle w:val="1GAPara"/>
              <w:numPr>
                <w:ilvl w:val="0"/>
                <w:numId w:val="0"/>
              </w:numPr>
              <w:spacing w:before="60" w:after="60"/>
              <w:jc w:val="right"/>
              <w:rPr>
                <w:rFonts w:asciiTheme="minorBidi" w:eastAsia="SimSun" w:hAnsiTheme="minorBidi" w:cstheme="minorBidi"/>
                <w:bCs/>
                <w:color w:val="000000"/>
                <w:sz w:val="20"/>
                <w:szCs w:val="20"/>
                <w:lang w:eastAsia="zh-CN"/>
              </w:rPr>
            </w:pPr>
            <w:r w:rsidRPr="006555FF">
              <w:rPr>
                <w:rFonts w:asciiTheme="minorBidi" w:eastAsia="SimSun" w:hAnsiTheme="minorBidi" w:cstheme="minorBidi"/>
                <w:bCs/>
                <w:color w:val="000000"/>
                <w:sz w:val="20"/>
                <w:szCs w:val="20"/>
                <w:lang w:eastAsia="zh-CN"/>
              </w:rPr>
              <w:t>US$</w:t>
            </w:r>
            <w:r w:rsidR="00AE6E54" w:rsidRPr="006555FF">
              <w:rPr>
                <w:rFonts w:asciiTheme="minorBidi" w:eastAsia="SimSun" w:hAnsiTheme="minorBidi" w:cstheme="minorBidi"/>
                <w:bCs/>
                <w:color w:val="000000"/>
                <w:sz w:val="20"/>
                <w:szCs w:val="20"/>
                <w:lang w:eastAsia="zh-CN"/>
              </w:rPr>
              <w:t>21,994</w:t>
            </w:r>
          </w:p>
        </w:tc>
      </w:tr>
      <w:tr w:rsidR="000A7235" w:rsidRPr="006555FF" w14:paraId="32F09EFF" w14:textId="77777777" w:rsidTr="00027B19">
        <w:trPr>
          <w:cantSplit/>
        </w:trPr>
        <w:tc>
          <w:tcPr>
            <w:tcW w:w="7077" w:type="dxa"/>
            <w:vAlign w:val="center"/>
          </w:tcPr>
          <w:p w14:paraId="5A0266D6" w14:textId="77777777" w:rsidR="000A7235" w:rsidRPr="006555FF" w:rsidRDefault="000A7235" w:rsidP="00027B19">
            <w:pPr>
              <w:pStyle w:val="1GAPara"/>
              <w:numPr>
                <w:ilvl w:val="0"/>
                <w:numId w:val="0"/>
              </w:numPr>
              <w:spacing w:before="60" w:after="60"/>
              <w:ind w:left="357"/>
              <w:rPr>
                <w:rFonts w:asciiTheme="minorBidi" w:hAnsiTheme="minorBidi" w:cstheme="minorBidi"/>
                <w:sz w:val="20"/>
                <w:szCs w:val="20"/>
              </w:rPr>
            </w:pPr>
            <w:r w:rsidRPr="006555FF">
              <w:rPr>
                <w:rFonts w:asciiTheme="minorBidi" w:hAnsiTheme="minorBidi" w:cstheme="minorBidi"/>
                <w:sz w:val="20"/>
                <w:szCs w:val="20"/>
              </w:rPr>
              <w:t>Slovenia</w:t>
            </w:r>
          </w:p>
        </w:tc>
        <w:tc>
          <w:tcPr>
            <w:tcW w:w="1984" w:type="dxa"/>
            <w:vAlign w:val="center"/>
          </w:tcPr>
          <w:p w14:paraId="293009B1" w14:textId="05263EC8" w:rsidR="000A7235" w:rsidRPr="006555FF" w:rsidRDefault="000A7235" w:rsidP="00027B19">
            <w:pPr>
              <w:pStyle w:val="1GAPara"/>
              <w:numPr>
                <w:ilvl w:val="0"/>
                <w:numId w:val="0"/>
              </w:numPr>
              <w:spacing w:before="60" w:after="60"/>
              <w:jc w:val="right"/>
              <w:rPr>
                <w:rFonts w:asciiTheme="minorBidi" w:eastAsia="SimSun" w:hAnsiTheme="minorBidi" w:cstheme="minorBidi"/>
                <w:bCs/>
                <w:color w:val="000000"/>
                <w:sz w:val="20"/>
                <w:szCs w:val="20"/>
                <w:lang w:eastAsia="zh-CN"/>
              </w:rPr>
            </w:pPr>
            <w:r w:rsidRPr="006555FF">
              <w:rPr>
                <w:rFonts w:asciiTheme="minorBidi" w:eastAsia="SimSun" w:hAnsiTheme="minorBidi" w:cstheme="minorBidi"/>
                <w:bCs/>
                <w:color w:val="000000"/>
                <w:sz w:val="20"/>
                <w:szCs w:val="20"/>
                <w:lang w:eastAsia="zh-CN"/>
              </w:rPr>
              <w:t>US$5,</w:t>
            </w:r>
            <w:r w:rsidR="00AE6E54" w:rsidRPr="006555FF">
              <w:rPr>
                <w:rFonts w:asciiTheme="minorBidi" w:eastAsia="SimSun" w:hAnsiTheme="minorBidi" w:cstheme="minorBidi"/>
                <w:bCs/>
                <w:color w:val="000000"/>
                <w:sz w:val="20"/>
                <w:szCs w:val="20"/>
                <w:lang w:eastAsia="zh-CN"/>
              </w:rPr>
              <w:t>274</w:t>
            </w:r>
          </w:p>
        </w:tc>
      </w:tr>
      <w:tr w:rsidR="005C4847" w:rsidRPr="006555FF" w14:paraId="6F1E34CE" w14:textId="77777777" w:rsidTr="00027B19">
        <w:trPr>
          <w:cantSplit/>
        </w:trPr>
        <w:tc>
          <w:tcPr>
            <w:tcW w:w="7077" w:type="dxa"/>
            <w:vAlign w:val="center"/>
          </w:tcPr>
          <w:p w14:paraId="38F490DA" w14:textId="1561E84D" w:rsidR="005C4847" w:rsidRPr="006555FF" w:rsidRDefault="005C4847" w:rsidP="00027B19">
            <w:pPr>
              <w:pStyle w:val="1GAPara"/>
              <w:numPr>
                <w:ilvl w:val="0"/>
                <w:numId w:val="0"/>
              </w:numPr>
              <w:spacing w:before="60" w:after="60"/>
              <w:ind w:left="357"/>
              <w:rPr>
                <w:rFonts w:asciiTheme="minorBidi" w:hAnsiTheme="minorBidi" w:cstheme="minorBidi"/>
                <w:sz w:val="20"/>
                <w:szCs w:val="20"/>
              </w:rPr>
            </w:pPr>
            <w:r w:rsidRPr="006555FF">
              <w:rPr>
                <w:rFonts w:asciiTheme="minorBidi" w:hAnsiTheme="minorBidi" w:cstheme="minorBidi"/>
                <w:sz w:val="20"/>
                <w:szCs w:val="20"/>
              </w:rPr>
              <w:t>United Kingdom of Great Britain and Northern Ireland</w:t>
            </w:r>
          </w:p>
        </w:tc>
        <w:tc>
          <w:tcPr>
            <w:tcW w:w="1984" w:type="dxa"/>
            <w:vAlign w:val="center"/>
          </w:tcPr>
          <w:p w14:paraId="1965BD5C" w14:textId="6116096C" w:rsidR="005C4847" w:rsidRPr="006555FF" w:rsidRDefault="005C4847" w:rsidP="00027B19">
            <w:pPr>
              <w:pStyle w:val="1GAPara"/>
              <w:numPr>
                <w:ilvl w:val="0"/>
                <w:numId w:val="0"/>
              </w:numPr>
              <w:spacing w:before="60" w:after="60"/>
              <w:jc w:val="right"/>
              <w:rPr>
                <w:rFonts w:asciiTheme="minorBidi" w:eastAsia="SimSun" w:hAnsiTheme="minorBidi" w:cstheme="minorBidi"/>
                <w:bCs/>
                <w:color w:val="000000"/>
                <w:sz w:val="20"/>
                <w:szCs w:val="20"/>
                <w:lang w:eastAsia="zh-CN"/>
              </w:rPr>
            </w:pPr>
            <w:r w:rsidRPr="006555FF">
              <w:rPr>
                <w:rFonts w:asciiTheme="minorBidi" w:eastAsia="SimSun" w:hAnsiTheme="minorBidi" w:cstheme="minorBidi"/>
                <w:bCs/>
                <w:color w:val="000000"/>
                <w:sz w:val="20"/>
                <w:szCs w:val="20"/>
                <w:lang w:eastAsia="zh-CN"/>
              </w:rPr>
              <w:t>US$95,995</w:t>
            </w:r>
          </w:p>
        </w:tc>
      </w:tr>
      <w:tr w:rsidR="000A7235" w:rsidRPr="006555FF" w14:paraId="141EE4AE" w14:textId="77777777" w:rsidTr="00027B19">
        <w:trPr>
          <w:cantSplit/>
        </w:trPr>
        <w:tc>
          <w:tcPr>
            <w:tcW w:w="7077" w:type="dxa"/>
            <w:vAlign w:val="center"/>
          </w:tcPr>
          <w:p w14:paraId="5410725B" w14:textId="18AC6AC9" w:rsidR="000A7235" w:rsidRPr="006555FF" w:rsidRDefault="000A7235" w:rsidP="00027B19">
            <w:pPr>
              <w:pStyle w:val="1GAPara"/>
              <w:numPr>
                <w:ilvl w:val="0"/>
                <w:numId w:val="16"/>
              </w:numPr>
              <w:spacing w:before="60" w:after="60"/>
              <w:ind w:left="318"/>
              <w:rPr>
                <w:rFonts w:asciiTheme="minorBidi" w:hAnsiTheme="minorBidi" w:cstheme="minorBidi"/>
                <w:sz w:val="20"/>
                <w:szCs w:val="20"/>
              </w:rPr>
            </w:pPr>
            <w:r w:rsidRPr="006555FF">
              <w:rPr>
                <w:rFonts w:asciiTheme="minorBidi" w:eastAsia="SimSun" w:hAnsiTheme="minorBidi" w:cstheme="minorBidi"/>
                <w:bCs/>
                <w:color w:val="000000"/>
                <w:sz w:val="20"/>
                <w:szCs w:val="20"/>
                <w:u w:val="single"/>
                <w:lang w:eastAsia="zh-CN"/>
              </w:rPr>
              <w:t>In</w:t>
            </w:r>
            <w:r w:rsidR="00D07239" w:rsidRPr="006555FF">
              <w:rPr>
                <w:rFonts w:asciiTheme="minorBidi" w:eastAsia="SimSun" w:hAnsiTheme="minorBidi" w:cstheme="minorBidi"/>
                <w:bCs/>
                <w:color w:val="000000"/>
                <w:sz w:val="20"/>
                <w:szCs w:val="20"/>
                <w:u w:val="single"/>
                <w:lang w:eastAsia="zh-CN"/>
              </w:rPr>
              <w:t>vestment revenue</w:t>
            </w:r>
            <w:r w:rsidRPr="006555FF">
              <w:rPr>
                <w:rFonts w:asciiTheme="minorBidi" w:eastAsia="SimSun" w:hAnsiTheme="minorBidi" w:cstheme="minorBidi"/>
                <w:bCs/>
                <w:color w:val="000000"/>
                <w:sz w:val="20"/>
                <w:szCs w:val="20"/>
                <w:u w:val="single"/>
                <w:lang w:eastAsia="zh-CN"/>
              </w:rPr>
              <w:t xml:space="preserve"> credited to the Fund</w:t>
            </w:r>
          </w:p>
        </w:tc>
        <w:tc>
          <w:tcPr>
            <w:tcW w:w="1984" w:type="dxa"/>
            <w:vAlign w:val="center"/>
          </w:tcPr>
          <w:p w14:paraId="15FFDF1C" w14:textId="4292710C" w:rsidR="000A7235" w:rsidRPr="006555FF" w:rsidRDefault="000A7235" w:rsidP="00027B19">
            <w:pPr>
              <w:pStyle w:val="1GAPara"/>
              <w:numPr>
                <w:ilvl w:val="0"/>
                <w:numId w:val="0"/>
              </w:numPr>
              <w:spacing w:before="60" w:after="60"/>
              <w:jc w:val="right"/>
              <w:rPr>
                <w:rFonts w:asciiTheme="minorBidi" w:eastAsia="SimSun" w:hAnsiTheme="minorBidi" w:cstheme="minorBidi"/>
                <w:bCs/>
                <w:color w:val="000000"/>
                <w:sz w:val="20"/>
                <w:szCs w:val="20"/>
                <w:lang w:eastAsia="zh-CN"/>
              </w:rPr>
            </w:pPr>
            <w:r w:rsidRPr="006555FF">
              <w:rPr>
                <w:rFonts w:asciiTheme="minorBidi" w:eastAsia="SimSun" w:hAnsiTheme="minorBidi" w:cstheme="minorBidi"/>
                <w:bCs/>
                <w:color w:val="000000"/>
                <w:sz w:val="20"/>
                <w:szCs w:val="20"/>
                <w:lang w:eastAsia="zh-CN"/>
              </w:rPr>
              <w:t>US$</w:t>
            </w:r>
            <w:r w:rsidR="00D81B20" w:rsidRPr="006555FF">
              <w:rPr>
                <w:rFonts w:asciiTheme="minorBidi" w:eastAsia="SimSun" w:hAnsiTheme="minorBidi" w:cstheme="minorBidi"/>
                <w:bCs/>
                <w:color w:val="000000"/>
                <w:sz w:val="20"/>
                <w:szCs w:val="20"/>
                <w:lang w:eastAsia="zh-CN"/>
              </w:rPr>
              <w:t>914,695</w:t>
            </w:r>
          </w:p>
        </w:tc>
      </w:tr>
      <w:tr w:rsidR="000A7235" w:rsidRPr="006555FF" w14:paraId="3A8EDC19" w14:textId="77777777" w:rsidTr="00027B19">
        <w:trPr>
          <w:cantSplit/>
        </w:trPr>
        <w:tc>
          <w:tcPr>
            <w:tcW w:w="7077" w:type="dxa"/>
            <w:vAlign w:val="center"/>
          </w:tcPr>
          <w:p w14:paraId="0037A0D6" w14:textId="77777777" w:rsidR="000A7235" w:rsidRPr="006555FF" w:rsidRDefault="000A7235" w:rsidP="00027B19">
            <w:pPr>
              <w:pStyle w:val="1GAPara"/>
              <w:numPr>
                <w:ilvl w:val="0"/>
                <w:numId w:val="0"/>
              </w:numPr>
              <w:spacing w:before="60" w:after="60"/>
              <w:rPr>
                <w:rFonts w:asciiTheme="minorBidi" w:hAnsiTheme="minorBidi" w:cstheme="minorBidi"/>
                <w:sz w:val="20"/>
                <w:szCs w:val="20"/>
              </w:rPr>
            </w:pPr>
          </w:p>
        </w:tc>
        <w:tc>
          <w:tcPr>
            <w:tcW w:w="1984" w:type="dxa"/>
            <w:vAlign w:val="center"/>
          </w:tcPr>
          <w:p w14:paraId="7121D900" w14:textId="77777777" w:rsidR="000A7235" w:rsidRPr="006555FF" w:rsidRDefault="000A7235" w:rsidP="00027B19">
            <w:pPr>
              <w:pStyle w:val="1GAPara"/>
              <w:numPr>
                <w:ilvl w:val="0"/>
                <w:numId w:val="0"/>
              </w:numPr>
              <w:spacing w:before="60" w:after="60"/>
              <w:jc w:val="right"/>
              <w:rPr>
                <w:rFonts w:asciiTheme="minorBidi" w:hAnsiTheme="minorBidi" w:cstheme="minorBidi"/>
                <w:sz w:val="20"/>
                <w:szCs w:val="20"/>
              </w:rPr>
            </w:pPr>
          </w:p>
        </w:tc>
      </w:tr>
      <w:tr w:rsidR="000A7235" w:rsidRPr="006555FF" w14:paraId="0DE6AD2C" w14:textId="77777777" w:rsidTr="00027B19">
        <w:trPr>
          <w:cantSplit/>
        </w:trPr>
        <w:tc>
          <w:tcPr>
            <w:tcW w:w="7077" w:type="dxa"/>
            <w:vAlign w:val="center"/>
          </w:tcPr>
          <w:p w14:paraId="159E8021" w14:textId="77777777" w:rsidR="000A7235" w:rsidRPr="006555FF" w:rsidRDefault="000A7235" w:rsidP="00027B19">
            <w:pPr>
              <w:pStyle w:val="1GAPara"/>
              <w:numPr>
                <w:ilvl w:val="0"/>
                <w:numId w:val="0"/>
              </w:numPr>
              <w:spacing w:before="60" w:after="60"/>
              <w:rPr>
                <w:rFonts w:asciiTheme="minorBidi" w:hAnsiTheme="minorBidi" w:cstheme="minorBidi"/>
                <w:sz w:val="20"/>
                <w:szCs w:val="20"/>
              </w:rPr>
            </w:pPr>
            <w:r w:rsidRPr="006555FF">
              <w:rPr>
                <w:rFonts w:asciiTheme="minorBidi" w:eastAsia="SimSun" w:hAnsiTheme="minorBidi" w:cstheme="minorBidi"/>
                <w:b/>
                <w:bCs/>
                <w:color w:val="000000"/>
                <w:sz w:val="20"/>
                <w:szCs w:val="20"/>
                <w:lang w:eastAsia="zh-CN"/>
              </w:rPr>
              <w:t>TOTAL</w:t>
            </w:r>
          </w:p>
        </w:tc>
        <w:tc>
          <w:tcPr>
            <w:tcW w:w="1984" w:type="dxa"/>
            <w:vAlign w:val="center"/>
          </w:tcPr>
          <w:p w14:paraId="7CA62BAE" w14:textId="24848E6A" w:rsidR="000A7235" w:rsidRPr="006555FF" w:rsidRDefault="000A7235" w:rsidP="00027B19">
            <w:pPr>
              <w:pStyle w:val="1GAPara"/>
              <w:numPr>
                <w:ilvl w:val="0"/>
                <w:numId w:val="0"/>
              </w:numPr>
              <w:spacing w:before="60" w:after="60"/>
              <w:jc w:val="right"/>
              <w:rPr>
                <w:rFonts w:asciiTheme="minorBidi" w:eastAsia="SimSun" w:hAnsiTheme="minorBidi" w:cstheme="minorBidi"/>
                <w:bCs/>
                <w:color w:val="000000"/>
                <w:sz w:val="20"/>
                <w:szCs w:val="20"/>
                <w:lang w:eastAsia="zh-CN"/>
              </w:rPr>
            </w:pPr>
            <w:r w:rsidRPr="006555FF">
              <w:rPr>
                <w:rFonts w:asciiTheme="minorBidi" w:eastAsia="SimSun" w:hAnsiTheme="minorBidi" w:cstheme="minorBidi"/>
                <w:b/>
                <w:bCs/>
                <w:color w:val="000000"/>
                <w:sz w:val="20"/>
                <w:szCs w:val="20"/>
                <w:lang w:eastAsia="zh-CN"/>
              </w:rPr>
              <w:t>US$5,</w:t>
            </w:r>
            <w:r w:rsidR="00D81B20" w:rsidRPr="006555FF">
              <w:rPr>
                <w:rFonts w:asciiTheme="minorBidi" w:eastAsia="SimSun" w:hAnsiTheme="minorBidi" w:cstheme="minorBidi"/>
                <w:b/>
                <w:bCs/>
                <w:color w:val="000000"/>
                <w:sz w:val="20"/>
                <w:szCs w:val="20"/>
                <w:lang w:eastAsia="zh-CN"/>
              </w:rPr>
              <w:t>901,37</w:t>
            </w:r>
            <w:r w:rsidR="00027B19" w:rsidRPr="006555FF">
              <w:rPr>
                <w:rFonts w:asciiTheme="minorBidi" w:eastAsia="SimSun" w:hAnsiTheme="minorBidi" w:cstheme="minorBidi"/>
                <w:b/>
                <w:bCs/>
                <w:color w:val="000000"/>
                <w:sz w:val="20"/>
                <w:szCs w:val="20"/>
                <w:lang w:eastAsia="zh-CN"/>
              </w:rPr>
              <w:t>1</w:t>
            </w:r>
          </w:p>
        </w:tc>
      </w:tr>
    </w:tbl>
    <w:p w14:paraId="6C9CCF40" w14:textId="2FB5F9AC" w:rsidR="002C2906" w:rsidRPr="006555FF" w:rsidRDefault="00A24116" w:rsidP="006E3CFA">
      <w:pPr>
        <w:pStyle w:val="1GAPara"/>
        <w:spacing w:before="240"/>
        <w:ind w:left="567" w:hanging="567"/>
        <w:jc w:val="both"/>
      </w:pPr>
      <w:r w:rsidRPr="006555FF">
        <w:t xml:space="preserve">Compared to the same period in the preceding biennium, total income during the reporting period increased by 11%, from US$5,299,941 in 2023 to US$5,901,371 in 2025. </w:t>
      </w:r>
      <w:r w:rsidR="00476542" w:rsidRPr="006555FF">
        <w:t xml:space="preserve">This </w:t>
      </w:r>
      <w:r w:rsidR="00401720" w:rsidRPr="006555FF">
        <w:t xml:space="preserve">positive result </w:t>
      </w:r>
      <w:r w:rsidR="00CF4EBF" w:rsidRPr="006555FF">
        <w:t>reflects</w:t>
      </w:r>
      <w:r w:rsidR="00D07239" w:rsidRPr="006555FF">
        <w:t xml:space="preserve"> (i) </w:t>
      </w:r>
      <w:r w:rsidR="00CF4EBF" w:rsidRPr="006555FF">
        <w:t>a</w:t>
      </w:r>
      <w:r w:rsidR="00D07239" w:rsidRPr="006555FF">
        <w:t xml:space="preserve"> significant 94% </w:t>
      </w:r>
      <w:r w:rsidR="00CF4EBF" w:rsidRPr="006555FF">
        <w:t>increase in</w:t>
      </w:r>
      <w:r w:rsidR="00D07239" w:rsidRPr="006555FF">
        <w:t xml:space="preserve"> investment revenue (previously called </w:t>
      </w:r>
      <w:r w:rsidR="005A1027" w:rsidRPr="006555FF">
        <w:t>‘</w:t>
      </w:r>
      <w:r w:rsidR="00D07239" w:rsidRPr="006555FF">
        <w:t>interest</w:t>
      </w:r>
      <w:r w:rsidR="005A1027" w:rsidRPr="006555FF">
        <w:t>’</w:t>
      </w:r>
      <w:r w:rsidR="00D07239" w:rsidRPr="006555FF">
        <w:t>) (</w:t>
      </w:r>
      <w:r w:rsidR="00025423" w:rsidRPr="006555FF">
        <w:t xml:space="preserve">from </w:t>
      </w:r>
      <w:r w:rsidR="00D07239" w:rsidRPr="006555FF">
        <w:t>US$471,598 to US$914,695)</w:t>
      </w:r>
      <w:r w:rsidR="00025423" w:rsidRPr="006555FF">
        <w:t xml:space="preserve"> driven by higher market interest rates</w:t>
      </w:r>
      <w:r w:rsidR="00D07239" w:rsidRPr="006555FF">
        <w:t>, in addition to slight increases in</w:t>
      </w:r>
      <w:r w:rsidR="00CF4EBF" w:rsidRPr="006555FF">
        <w:t xml:space="preserve"> (i</w:t>
      </w:r>
      <w:r w:rsidR="00D07239" w:rsidRPr="006555FF">
        <w:t>i</w:t>
      </w:r>
      <w:r w:rsidR="00CF4EBF" w:rsidRPr="006555FF">
        <w:t xml:space="preserve">) </w:t>
      </w:r>
      <w:r w:rsidR="00476542" w:rsidRPr="006555FF">
        <w:t xml:space="preserve">voluntary supplementary contributions </w:t>
      </w:r>
      <w:r w:rsidRPr="006555FF">
        <w:t xml:space="preserve">by 11% </w:t>
      </w:r>
      <w:r w:rsidR="00CF4EBF" w:rsidRPr="006555FF">
        <w:t>(</w:t>
      </w:r>
      <w:r w:rsidRPr="006555FF">
        <w:t>from US$330,249 to US$366,878</w:t>
      </w:r>
      <w:r w:rsidR="00CF4EBF" w:rsidRPr="006555FF">
        <w:t>)</w:t>
      </w:r>
      <w:r w:rsidRPr="006555FF">
        <w:t>,</w:t>
      </w:r>
      <w:r w:rsidR="00D07239" w:rsidRPr="006555FF">
        <w:t xml:space="preserve"> and</w:t>
      </w:r>
      <w:r w:rsidRPr="006555FF">
        <w:t xml:space="preserve"> </w:t>
      </w:r>
      <w:r w:rsidR="00CF4EBF" w:rsidRPr="006555FF">
        <w:t>(i</w:t>
      </w:r>
      <w:r w:rsidR="00D07239" w:rsidRPr="006555FF">
        <w:t>i</w:t>
      </w:r>
      <w:r w:rsidR="00CF4EBF" w:rsidRPr="006555FF">
        <w:t xml:space="preserve">i) </w:t>
      </w:r>
      <w:r w:rsidRPr="006555FF">
        <w:t>compulsory assessed contributions</w:t>
      </w:r>
      <w:r w:rsidR="00CF4EBF" w:rsidRPr="006555FF">
        <w:t xml:space="preserve"> </w:t>
      </w:r>
      <w:r w:rsidRPr="006555FF">
        <w:t xml:space="preserve">by 7% </w:t>
      </w:r>
      <w:r w:rsidR="00CF4EBF" w:rsidRPr="006555FF">
        <w:t>(</w:t>
      </w:r>
      <w:r w:rsidRPr="006555FF">
        <w:t>from US$3,956,410 to US$4,218,335</w:t>
      </w:r>
      <w:r w:rsidR="00CF4EBF" w:rsidRPr="006555FF">
        <w:t>)</w:t>
      </w:r>
      <w:r w:rsidR="00D07239" w:rsidRPr="006555FF">
        <w:t>.</w:t>
      </w:r>
      <w:r w:rsidR="00CF4EBF" w:rsidRPr="006555FF">
        <w:t xml:space="preserve"> I</w:t>
      </w:r>
      <w:r w:rsidRPr="006555FF">
        <w:t>n contrast, voluntary assessed contributions declined by 26%, from US$541,684 to US$401,463.</w:t>
      </w:r>
    </w:p>
    <w:p w14:paraId="2CD8BA1B" w14:textId="46DF421F" w:rsidR="00901DB6" w:rsidRPr="006555FF" w:rsidRDefault="00901DB6" w:rsidP="00F726B0">
      <w:pPr>
        <w:pStyle w:val="1GAPara"/>
        <w:numPr>
          <w:ilvl w:val="0"/>
          <w:numId w:val="14"/>
        </w:numPr>
        <w:spacing w:before="240"/>
        <w:ind w:left="567" w:hanging="567"/>
        <w:rPr>
          <w:b/>
          <w:bCs/>
        </w:rPr>
      </w:pPr>
      <w:bookmarkStart w:id="2" w:name="PartB"/>
      <w:r w:rsidRPr="006555FF">
        <w:rPr>
          <w:b/>
          <w:bCs/>
        </w:rPr>
        <w:t xml:space="preserve">Use of the financial resources of the Fund (Statement I and Schedule 1.1, pages </w:t>
      </w:r>
      <w:r w:rsidR="002C3F72" w:rsidRPr="006555FF">
        <w:rPr>
          <w:b/>
          <w:bCs/>
        </w:rPr>
        <w:t>6</w:t>
      </w:r>
      <w:r w:rsidRPr="006555FF">
        <w:rPr>
          <w:b/>
          <w:bCs/>
        </w:rPr>
        <w:t xml:space="preserve"> – </w:t>
      </w:r>
      <w:r w:rsidR="002C3F72" w:rsidRPr="006555FF">
        <w:rPr>
          <w:b/>
          <w:bCs/>
        </w:rPr>
        <w:t>8</w:t>
      </w:r>
      <w:r w:rsidRPr="006555FF">
        <w:rPr>
          <w:b/>
          <w:bCs/>
        </w:rPr>
        <w:t>)</w:t>
      </w:r>
    </w:p>
    <w:bookmarkEnd w:id="2"/>
    <w:p w14:paraId="32528B7A" w14:textId="10A32767" w:rsidR="007707F5" w:rsidRPr="006555FF" w:rsidRDefault="007707F5" w:rsidP="003D3BDC">
      <w:pPr>
        <w:pStyle w:val="1GAPara"/>
        <w:ind w:left="567" w:hanging="567"/>
        <w:jc w:val="both"/>
      </w:pPr>
      <w:r w:rsidRPr="006555FF">
        <w:t xml:space="preserve">By its Resolution </w:t>
      </w:r>
      <w:hyperlink r:id="rId15" w:history="1">
        <w:r w:rsidRPr="006555FF">
          <w:rPr>
            <w:rStyle w:val="Hyperlink"/>
          </w:rPr>
          <w:t xml:space="preserve">10.GA </w:t>
        </w:r>
        <w:r w:rsidR="00154E16" w:rsidRPr="006555FF">
          <w:rPr>
            <w:rStyle w:val="Hyperlink"/>
          </w:rPr>
          <w:t>8</w:t>
        </w:r>
      </w:hyperlink>
      <w:r w:rsidRPr="006555FF">
        <w:t>, the General Assembly approved a budget of US$</w:t>
      </w:r>
      <w:r w:rsidR="004A00BB" w:rsidRPr="006555FF">
        <w:t>8,189,57</w:t>
      </w:r>
      <w:r w:rsidR="00154E16" w:rsidRPr="006555FF">
        <w:t>7</w:t>
      </w:r>
      <w:r w:rsidRPr="006555FF">
        <w:t xml:space="preserve"> for the period 1 January 202</w:t>
      </w:r>
      <w:r w:rsidR="004A00BB" w:rsidRPr="006555FF">
        <w:t>4</w:t>
      </w:r>
      <w:r w:rsidRPr="006555FF">
        <w:t xml:space="preserve"> to 31 December 202</w:t>
      </w:r>
      <w:r w:rsidR="004A00BB" w:rsidRPr="006555FF">
        <w:t>5</w:t>
      </w:r>
      <w:r w:rsidRPr="006555FF">
        <w:t>. This corresponds to the balance of the Fund (excluding the sub-fund dedicated to specific activities approved by the Committee and the sub-fund for enhancing the human capacities of the Secretariat) on 1 January 202</w:t>
      </w:r>
      <w:r w:rsidR="0079722D" w:rsidRPr="006555FF">
        <w:t>4</w:t>
      </w:r>
      <w:r w:rsidRPr="006555FF">
        <w:t xml:space="preserve"> (US$9,</w:t>
      </w:r>
      <w:r w:rsidR="0079722D" w:rsidRPr="006555FF">
        <w:t>189,57</w:t>
      </w:r>
      <w:r w:rsidR="00154E16" w:rsidRPr="006555FF">
        <w:t>7</w:t>
      </w:r>
      <w:r w:rsidRPr="006555FF">
        <w:t>) less the Reserve Fund accumulated up to that date (US$1,000,000).</w:t>
      </w:r>
    </w:p>
    <w:p w14:paraId="1D774949" w14:textId="0CB5B2BD" w:rsidR="00F12242" w:rsidRPr="006555FF" w:rsidRDefault="00F12242" w:rsidP="00A97128">
      <w:pPr>
        <w:pStyle w:val="1GAPara"/>
        <w:ind w:left="567" w:hanging="567"/>
        <w:jc w:val="both"/>
      </w:pPr>
      <w:r w:rsidRPr="006555FF">
        <w:t>The Financial Report (Schedule 1.1) shows a total expenditure of US$5,684,411 as of 30 June 2025, which corresponds to 69</w:t>
      </w:r>
      <w:r w:rsidR="00A97128" w:rsidRPr="006555FF">
        <w:t>.</w:t>
      </w:r>
      <w:r w:rsidRPr="006555FF">
        <w:t>4% of the approved budget. This represents a</w:t>
      </w:r>
      <w:r w:rsidR="00B75604" w:rsidRPr="006555FF">
        <w:t xml:space="preserve"> </w:t>
      </w:r>
      <w:r w:rsidR="00207095" w:rsidRPr="006555FF">
        <w:t xml:space="preserve">clear </w:t>
      </w:r>
      <w:r w:rsidR="00A97128" w:rsidRPr="006555FF">
        <w:t>increase compared to the previous biennium (60.4% expenditure rate on 30 June 2023).</w:t>
      </w:r>
      <w:r w:rsidR="00625FB3" w:rsidRPr="006555FF">
        <w:t xml:space="preserve"> Explanations for each budget line of the schedule of appropriations and expenditure are provided below.</w:t>
      </w:r>
    </w:p>
    <w:p w14:paraId="4636A41B" w14:textId="7D491C60" w:rsidR="002C61BC" w:rsidRPr="006555FF" w:rsidRDefault="002C61BC" w:rsidP="002C61BC">
      <w:pPr>
        <w:pStyle w:val="1GAPara"/>
        <w:ind w:left="567" w:hanging="567"/>
        <w:jc w:val="both"/>
      </w:pPr>
      <w:r w:rsidRPr="006555FF">
        <w:t xml:space="preserve">In line with the priorities set by the Guidelines for the use of the resources of the Fund in Chapter II.1 of the Operational Directives, the General Assembly decided that </w:t>
      </w:r>
      <w:r w:rsidR="00207095" w:rsidRPr="006555FF">
        <w:t>half</w:t>
      </w:r>
      <w:r w:rsidRPr="006555FF">
        <w:t xml:space="preserve"> of the resources (</w:t>
      </w:r>
      <w:r w:rsidRPr="006555FF">
        <w:rPr>
          <w:b/>
          <w:bCs/>
        </w:rPr>
        <w:t>budget line 1</w:t>
      </w:r>
      <w:r w:rsidRPr="006555FF">
        <w:t xml:space="preserve">, 50% of the approved Plan excluding budget line 1.1) </w:t>
      </w:r>
      <w:r w:rsidR="00207095" w:rsidRPr="006555FF">
        <w:t xml:space="preserve">would </w:t>
      </w:r>
      <w:r w:rsidRPr="006555FF">
        <w:t xml:space="preserve">be allocated to the provision of International Assistance to States Parties in order to supplement their national efforts to safeguard intangible cultural heritage. </w:t>
      </w:r>
    </w:p>
    <w:p w14:paraId="13A69600" w14:textId="709636D1" w:rsidR="00AE2547" w:rsidRPr="006555FF" w:rsidRDefault="00E25B03" w:rsidP="009D0088">
      <w:pPr>
        <w:pStyle w:val="1GAPara"/>
        <w:keepLines/>
        <w:ind w:left="567" w:hanging="567"/>
        <w:jc w:val="both"/>
      </w:pPr>
      <w:r w:rsidRPr="006555FF">
        <w:lastRenderedPageBreak/>
        <w:t xml:space="preserve">As at 30 June 2025, the expenditures under budget line 1 reached US$2.6 million, reflecting a notable increase compared to US$2.2 million during the same period in the previous biennium. </w:t>
      </w:r>
      <w:r w:rsidR="00087D96" w:rsidRPr="006555FF">
        <w:t xml:space="preserve">This amount corresponds to expenditures for </w:t>
      </w:r>
      <w:r w:rsidR="00AE7F36" w:rsidRPr="006555FF">
        <w:t xml:space="preserve">thirty-one </w:t>
      </w:r>
      <w:r w:rsidR="00087D96" w:rsidRPr="006555FF">
        <w:t xml:space="preserve">International </w:t>
      </w:r>
      <w:r w:rsidRPr="006555FF">
        <w:t>Assistance projects</w:t>
      </w:r>
      <w:r w:rsidR="00087D96" w:rsidRPr="006555FF">
        <w:t xml:space="preserve">, </w:t>
      </w:r>
      <w:r w:rsidRPr="006555FF">
        <w:t xml:space="preserve">including </w:t>
      </w:r>
      <w:r w:rsidR="00625FB3" w:rsidRPr="006555FF">
        <w:t>twelve</w:t>
      </w:r>
      <w:r w:rsidR="00087D96" w:rsidRPr="006555FF">
        <w:t xml:space="preserve"> </w:t>
      </w:r>
      <w:r w:rsidRPr="006555FF">
        <w:t xml:space="preserve">in </w:t>
      </w:r>
      <w:r w:rsidR="00261CCD" w:rsidRPr="006555FF">
        <w:t xml:space="preserve">States from Africa </w:t>
      </w:r>
      <w:r w:rsidR="00207095" w:rsidRPr="006555FF">
        <w:t>(</w:t>
      </w:r>
      <w:r w:rsidR="00261CCD" w:rsidRPr="006555FF">
        <w:t>Electoral Group V</w:t>
      </w:r>
      <w:r w:rsidR="00863B95" w:rsidRPr="006555FF">
        <w:t>(</w:t>
      </w:r>
      <w:r w:rsidR="00261CCD" w:rsidRPr="006555FF">
        <w:t>a</w:t>
      </w:r>
      <w:r w:rsidR="00207095" w:rsidRPr="006555FF">
        <w:t>)</w:t>
      </w:r>
      <w:r w:rsidR="00863B95" w:rsidRPr="006555FF">
        <w:t xml:space="preserve">, </w:t>
      </w:r>
      <w:r w:rsidR="00087D96" w:rsidRPr="006555FF">
        <w:t>53</w:t>
      </w:r>
      <w:r w:rsidRPr="006555FF">
        <w:t xml:space="preserve">% of the total expenditure related to International Assistance) and </w:t>
      </w:r>
      <w:r w:rsidR="00087D96" w:rsidRPr="006555FF">
        <w:t>eight</w:t>
      </w:r>
      <w:r w:rsidRPr="006555FF">
        <w:t xml:space="preserve"> </w:t>
      </w:r>
      <w:r w:rsidR="00C447C0" w:rsidRPr="006555FF">
        <w:t xml:space="preserve">projects </w:t>
      </w:r>
      <w:r w:rsidRPr="006555FF">
        <w:t>in Small Island Developing States</w:t>
      </w:r>
      <w:r w:rsidR="00C447C0" w:rsidRPr="006555FF">
        <w:t xml:space="preserve"> (SIDS)</w:t>
      </w:r>
      <w:r w:rsidRPr="006555FF">
        <w:t xml:space="preserve"> (</w:t>
      </w:r>
      <w:r w:rsidR="00087D96" w:rsidRPr="006555FF">
        <w:t>22</w:t>
      </w:r>
      <w:r w:rsidRPr="006555FF">
        <w:t xml:space="preserve">% of the total expenditure related to International Assistance). For </w:t>
      </w:r>
      <w:r w:rsidR="00107474" w:rsidRPr="006555FF">
        <w:t>seventeen</w:t>
      </w:r>
      <w:r w:rsidR="00AE7F36" w:rsidRPr="006555FF">
        <w:rPr>
          <w:rStyle w:val="FootnoteReference"/>
        </w:rPr>
        <w:footnoteReference w:id="4"/>
      </w:r>
      <w:r w:rsidRPr="006555FF">
        <w:t xml:space="preserve"> beneficiary States Parties (</w:t>
      </w:r>
      <w:r w:rsidR="00C447C0" w:rsidRPr="006555FF">
        <w:t xml:space="preserve">including </w:t>
      </w:r>
      <w:r w:rsidR="00AE7F36" w:rsidRPr="006555FF">
        <w:t xml:space="preserve">five </w:t>
      </w:r>
      <w:r w:rsidRPr="006555FF">
        <w:t>S</w:t>
      </w:r>
      <w:r w:rsidR="00C447C0" w:rsidRPr="006555FF">
        <w:t>IDS</w:t>
      </w:r>
      <w:r w:rsidRPr="006555FF">
        <w:t>), this constituted</w:t>
      </w:r>
      <w:r w:rsidR="00207095" w:rsidRPr="006555FF">
        <w:t xml:space="preserve"> the first</w:t>
      </w:r>
      <w:r w:rsidRPr="006555FF">
        <w:t xml:space="preserve"> project supported by the Fund under the International Assistance mechanisms</w:t>
      </w:r>
      <w:r w:rsidR="00077D4D" w:rsidRPr="006555FF">
        <w:t xml:space="preserve"> (including two States having previously only benefitted from International Assistance through a multinational request)</w:t>
      </w:r>
      <w:r w:rsidRPr="006555FF">
        <w:t xml:space="preserve">, thereby </w:t>
      </w:r>
      <w:r w:rsidR="00C447C0" w:rsidRPr="006555FF">
        <w:t xml:space="preserve">reflecting continued efforts </w:t>
      </w:r>
      <w:r w:rsidR="00087D96" w:rsidRPr="006555FF">
        <w:t xml:space="preserve">to broaden </w:t>
      </w:r>
      <w:r w:rsidR="00095101" w:rsidRPr="006555FF">
        <w:t xml:space="preserve">its </w:t>
      </w:r>
      <w:r w:rsidR="00087D96" w:rsidRPr="006555FF">
        <w:t>geographical reach</w:t>
      </w:r>
      <w:r w:rsidR="00C447C0" w:rsidRPr="006555FF">
        <w:t>.</w:t>
      </w:r>
      <w:r w:rsidRPr="006555FF">
        <w:t xml:space="preserve"> </w:t>
      </w:r>
      <w:r w:rsidR="00AE2547" w:rsidRPr="006555FF">
        <w:t xml:space="preserve">Documents </w:t>
      </w:r>
      <w:hyperlink r:id="rId16" w:history="1">
        <w:r w:rsidR="00AE2547" w:rsidRPr="006555FF">
          <w:rPr>
            <w:rStyle w:val="Hyperlink"/>
          </w:rPr>
          <w:t>LHE/24/19.COM/9</w:t>
        </w:r>
      </w:hyperlink>
      <w:r w:rsidR="00AE2547" w:rsidRPr="006555FF">
        <w:t xml:space="preserve"> and </w:t>
      </w:r>
      <w:hyperlink r:id="rId17" w:history="1">
        <w:r w:rsidR="00AE2547" w:rsidRPr="006555FF">
          <w:rPr>
            <w:rStyle w:val="Hyperlink"/>
          </w:rPr>
          <w:t>LHE/25/20.COM/10</w:t>
        </w:r>
      </w:hyperlink>
      <w:r w:rsidR="00AE2547" w:rsidRPr="006555FF">
        <w:t xml:space="preserve"> provide an overview of the implementation of the International Assistance mechanisms – cumulatively covering the period from July 2023 to June 2025 – and contain, in their Annex I, a list of narrative reports submitted by beneficiary States Parties on the use of the assistance provided. A list of International Assistance projects, for which expenditures incurred during the reporting period, can be found in Annex V.</w:t>
      </w:r>
    </w:p>
    <w:p w14:paraId="43ACD465" w14:textId="673E5550" w:rsidR="00072751" w:rsidRPr="006555FF" w:rsidRDefault="00AE2547" w:rsidP="00032CE0">
      <w:pPr>
        <w:pStyle w:val="1GAPara"/>
        <w:numPr>
          <w:ilvl w:val="0"/>
          <w:numId w:val="11"/>
        </w:numPr>
        <w:ind w:left="567" w:hanging="567"/>
        <w:jc w:val="both"/>
        <w:rPr>
          <w:rFonts w:asciiTheme="minorBidi" w:hAnsiTheme="minorBidi" w:cstheme="minorBidi"/>
        </w:rPr>
      </w:pPr>
      <w:r w:rsidRPr="006555FF">
        <w:t>Furthermore, t</w:t>
      </w:r>
      <w:r w:rsidR="005760AB" w:rsidRPr="006555FF">
        <w:t xml:space="preserve">he expenditure includes costs related to the </w:t>
      </w:r>
      <w:r w:rsidR="00741477" w:rsidRPr="006555FF">
        <w:t xml:space="preserve">pilot </w:t>
      </w:r>
      <w:r w:rsidR="005760AB" w:rsidRPr="006555FF">
        <w:t>evaluation exercise for two completed projects</w:t>
      </w:r>
      <w:r w:rsidR="005760AB" w:rsidRPr="006555FF">
        <w:rPr>
          <w:rStyle w:val="FootnoteReference"/>
        </w:rPr>
        <w:footnoteReference w:id="5"/>
      </w:r>
      <w:r w:rsidR="005760AB" w:rsidRPr="006555FF">
        <w:t>,</w:t>
      </w:r>
      <w:r w:rsidR="00ED4AB5" w:rsidRPr="006555FF">
        <w:t xml:space="preserve"> </w:t>
      </w:r>
      <w:r w:rsidR="00DC13D3" w:rsidRPr="006555FF">
        <w:t xml:space="preserve">carried out in line with the Strategy endorsed by the seventeenth session of the Committee (Decision </w:t>
      </w:r>
      <w:hyperlink r:id="rId18" w:history="1">
        <w:r w:rsidR="00DC13D3" w:rsidRPr="006555FF">
          <w:rPr>
            <w:rStyle w:val="Hyperlink"/>
          </w:rPr>
          <w:t>17.COM 11</w:t>
        </w:r>
      </w:hyperlink>
      <w:r w:rsidR="00DC13D3" w:rsidRPr="006555FF">
        <w:t xml:space="preserve">), with </w:t>
      </w:r>
      <w:r w:rsidR="00741477" w:rsidRPr="006555FF">
        <w:t xml:space="preserve">evaluation </w:t>
      </w:r>
      <w:r w:rsidR="00DC13D3" w:rsidRPr="006555FF">
        <w:t>costs</w:t>
      </w:r>
      <w:r w:rsidR="00741477" w:rsidRPr="006555FF">
        <w:t xml:space="preserve"> covered by budget lin</w:t>
      </w:r>
      <w:r w:rsidR="00DC13D3" w:rsidRPr="006555FF">
        <w:t xml:space="preserve">e 1 in an amount not exceeding 10% of the budget of each selected International Assistance project (Resolution </w:t>
      </w:r>
      <w:hyperlink r:id="rId19" w:history="1">
        <w:r w:rsidR="00DC13D3" w:rsidRPr="006555FF">
          <w:rPr>
            <w:rStyle w:val="Hyperlink"/>
          </w:rPr>
          <w:t>10</w:t>
        </w:r>
        <w:r w:rsidR="00C86DDB" w:rsidRPr="006555FF">
          <w:rPr>
            <w:rStyle w:val="Hyperlink"/>
          </w:rPr>
          <w:t>.</w:t>
        </w:r>
        <w:r w:rsidR="00440048" w:rsidRPr="006555FF">
          <w:rPr>
            <w:rStyle w:val="Hyperlink"/>
          </w:rPr>
          <w:t>GA </w:t>
        </w:r>
        <w:r w:rsidR="00DC13D3" w:rsidRPr="006555FF">
          <w:rPr>
            <w:rStyle w:val="Hyperlink"/>
          </w:rPr>
          <w:t>8</w:t>
        </w:r>
      </w:hyperlink>
      <w:r w:rsidR="00DC13D3" w:rsidRPr="006555FF">
        <w:t xml:space="preserve"> and Decision </w:t>
      </w:r>
      <w:hyperlink r:id="rId20" w:history="1">
        <w:r w:rsidR="00DC13D3" w:rsidRPr="006555FF">
          <w:rPr>
            <w:rStyle w:val="Hyperlink"/>
          </w:rPr>
          <w:t>18.COM</w:t>
        </w:r>
        <w:r w:rsidR="00472D83" w:rsidRPr="006555FF">
          <w:rPr>
            <w:rStyle w:val="Hyperlink"/>
          </w:rPr>
          <w:t xml:space="preserve"> </w:t>
        </w:r>
        <w:r w:rsidR="00DC13D3" w:rsidRPr="006555FF">
          <w:rPr>
            <w:rStyle w:val="Hyperlink"/>
          </w:rPr>
          <w:t>14</w:t>
        </w:r>
      </w:hyperlink>
      <w:r w:rsidR="00DC13D3" w:rsidRPr="006555FF">
        <w:t>).</w:t>
      </w:r>
      <w:r w:rsidR="00440643" w:rsidRPr="006555FF">
        <w:rPr>
          <w:rFonts w:asciiTheme="minorBidi" w:hAnsiTheme="minorBidi" w:cstheme="minorBidi"/>
        </w:rPr>
        <w:t>T</w:t>
      </w:r>
      <w:r w:rsidR="00072751" w:rsidRPr="006555FF">
        <w:rPr>
          <w:rFonts w:asciiTheme="minorBidi" w:hAnsiTheme="minorBidi" w:cstheme="minorBidi"/>
        </w:rPr>
        <w:t>he execution rate under budget line</w:t>
      </w:r>
      <w:r w:rsidR="00CB43C6" w:rsidRPr="006555FF">
        <w:rPr>
          <w:rFonts w:asciiTheme="minorBidi" w:hAnsiTheme="minorBidi" w:cstheme="minorBidi"/>
        </w:rPr>
        <w:t> </w:t>
      </w:r>
      <w:r w:rsidR="00072751" w:rsidRPr="006555FF">
        <w:rPr>
          <w:rFonts w:asciiTheme="minorBidi" w:hAnsiTheme="minorBidi" w:cstheme="minorBidi"/>
        </w:rPr>
        <w:t xml:space="preserve">1 projected to reach approximately </w:t>
      </w:r>
      <w:r w:rsidR="00CB1202" w:rsidRPr="006555FF">
        <w:rPr>
          <w:rFonts w:asciiTheme="minorBidi" w:hAnsiTheme="minorBidi" w:cstheme="minorBidi"/>
        </w:rPr>
        <w:t>6</w:t>
      </w:r>
      <w:r w:rsidR="00253FE6" w:rsidRPr="006555FF">
        <w:rPr>
          <w:rFonts w:asciiTheme="minorBidi" w:hAnsiTheme="minorBidi" w:cstheme="minorBidi"/>
        </w:rPr>
        <w:t>5</w:t>
      </w:r>
      <w:r w:rsidR="00472D83" w:rsidRPr="006555FF">
        <w:rPr>
          <w:rFonts w:asciiTheme="minorBidi" w:hAnsiTheme="minorBidi" w:cstheme="minorBidi"/>
        </w:rPr>
        <w:t>%</w:t>
      </w:r>
      <w:r w:rsidR="00072751" w:rsidRPr="006555FF">
        <w:rPr>
          <w:rFonts w:asciiTheme="minorBidi" w:hAnsiTheme="minorBidi" w:cstheme="minorBidi"/>
        </w:rPr>
        <w:t xml:space="preserve"> by the end of the biennium. </w:t>
      </w:r>
    </w:p>
    <w:p w14:paraId="369AD9B5" w14:textId="26C6FB42" w:rsidR="00E704E3" w:rsidRPr="006555FF" w:rsidRDefault="00E704E3" w:rsidP="00E704E3">
      <w:pPr>
        <w:pStyle w:val="1GAPara"/>
        <w:tabs>
          <w:tab w:val="left" w:pos="567"/>
        </w:tabs>
        <w:ind w:left="567" w:hanging="567"/>
        <w:jc w:val="both"/>
      </w:pPr>
      <w:r w:rsidRPr="006555FF">
        <w:t xml:space="preserve">The </w:t>
      </w:r>
      <w:r w:rsidRPr="006555FF">
        <w:rPr>
          <w:b/>
        </w:rPr>
        <w:t>budget line 1.1</w:t>
      </w:r>
      <w:r w:rsidRPr="006555FF">
        <w:t xml:space="preserve"> (</w:t>
      </w:r>
      <w:r w:rsidR="00440048" w:rsidRPr="006555FF">
        <w:t>12.3</w:t>
      </w:r>
      <w:r w:rsidRPr="006555FF">
        <w:t>% of the approved Plan) was used to cover the biennial costs of three fixed-term posts (one P3, one P2 and one G5) that were created by the General Assembly at its seventh session in 2018 to fully activate the International Assistance mechanisms and effectively monitor and evaluate their implementation (Resolution </w:t>
      </w:r>
      <w:hyperlink r:id="rId21" w:history="1">
        <w:r w:rsidRPr="006555FF">
          <w:rPr>
            <w:rStyle w:val="Hyperlink"/>
          </w:rPr>
          <w:t>7.GA 8</w:t>
        </w:r>
      </w:hyperlink>
      <w:r w:rsidRPr="006555FF">
        <w:t xml:space="preserve">). The </w:t>
      </w:r>
      <w:r w:rsidR="005A1027" w:rsidRPr="006555FF">
        <w:t>‘</w:t>
      </w:r>
      <w:r w:rsidRPr="006555FF">
        <w:t>Safeguarding Implementation and Monitoring (SIM) Team</w:t>
      </w:r>
      <w:r w:rsidR="005A1027" w:rsidRPr="006555FF">
        <w:t>’</w:t>
      </w:r>
      <w:r w:rsidRPr="006555FF">
        <w:t xml:space="preserve"> was established and continues to be operational since February 2020.</w:t>
      </w:r>
    </w:p>
    <w:p w14:paraId="3D3C85EC" w14:textId="4E65B360" w:rsidR="00C0693A" w:rsidRPr="006555FF" w:rsidRDefault="00E704E3" w:rsidP="0074593C">
      <w:pPr>
        <w:pStyle w:val="1GAPara"/>
        <w:tabs>
          <w:tab w:val="left" w:pos="567"/>
        </w:tabs>
        <w:ind w:left="567" w:hanging="567"/>
        <w:jc w:val="both"/>
      </w:pPr>
      <w:r w:rsidRPr="006555FF">
        <w:t xml:space="preserve">Concerning the </w:t>
      </w:r>
      <w:r w:rsidRPr="006555FF">
        <w:rPr>
          <w:b/>
          <w:bCs/>
        </w:rPr>
        <w:t>budget line 2</w:t>
      </w:r>
      <w:r w:rsidRPr="006555FF">
        <w:t xml:space="preserve"> (2.</w:t>
      </w:r>
      <w:r w:rsidR="00440048" w:rsidRPr="006555FF">
        <w:t>8</w:t>
      </w:r>
      <w:r w:rsidRPr="006555FF">
        <w:t xml:space="preserve">% of </w:t>
      </w:r>
      <w:r w:rsidR="003B74C4" w:rsidRPr="006555FF">
        <w:t xml:space="preserve">the </w:t>
      </w:r>
      <w:r w:rsidRPr="006555FF">
        <w:t xml:space="preserve">approved Plan), the expenditures reflected include the provision of technical assistance to </w:t>
      </w:r>
      <w:r w:rsidR="00657327" w:rsidRPr="006555FF">
        <w:t>five</w:t>
      </w:r>
      <w:r w:rsidR="006F5A33" w:rsidRPr="006555FF">
        <w:rPr>
          <w:rStyle w:val="FootnoteReference"/>
        </w:rPr>
        <w:footnoteReference w:id="6"/>
      </w:r>
      <w:r w:rsidRPr="006555FF">
        <w:t xml:space="preserve"> States Parties for the development and revision of their International Assistance requests, in accordance with Decision </w:t>
      </w:r>
      <w:hyperlink r:id="rId22" w:history="1">
        <w:r w:rsidRPr="006555FF">
          <w:rPr>
            <w:rStyle w:val="Hyperlink"/>
          </w:rPr>
          <w:t>8.COM 7.c</w:t>
        </w:r>
      </w:hyperlink>
      <w:r w:rsidRPr="006555FF">
        <w:t xml:space="preserve">. Among the States Parties, </w:t>
      </w:r>
      <w:r w:rsidR="00F91E0B" w:rsidRPr="006555FF">
        <w:t>one i</w:t>
      </w:r>
      <w:r w:rsidR="004A6034" w:rsidRPr="006555FF">
        <w:t xml:space="preserve">s </w:t>
      </w:r>
      <w:r w:rsidRPr="006555FF">
        <w:t>from the Africa region</w:t>
      </w:r>
      <w:r w:rsidR="00410FBC" w:rsidRPr="006555FF">
        <w:t xml:space="preserve">, three in Latin America and Caribbean, including </w:t>
      </w:r>
      <w:r w:rsidR="00F91E0B" w:rsidRPr="006555FF">
        <w:t xml:space="preserve">two </w:t>
      </w:r>
      <w:r w:rsidRPr="006555FF">
        <w:t>S</w:t>
      </w:r>
      <w:r w:rsidR="00F91E0B" w:rsidRPr="006555FF">
        <w:t>IDS</w:t>
      </w:r>
      <w:r w:rsidR="00410FBC" w:rsidRPr="006555FF">
        <w:t>,</w:t>
      </w:r>
      <w:r w:rsidR="00A47D0A" w:rsidRPr="006555FF">
        <w:t xml:space="preserve"> and one </w:t>
      </w:r>
      <w:r w:rsidR="00410FBC" w:rsidRPr="006555FF">
        <w:t xml:space="preserve">is </w:t>
      </w:r>
      <w:r w:rsidR="00A47D0A" w:rsidRPr="006555FF">
        <w:t xml:space="preserve">from the Arab </w:t>
      </w:r>
      <w:r w:rsidR="00410FBC" w:rsidRPr="006555FF">
        <w:t>S</w:t>
      </w:r>
      <w:r w:rsidR="00A47D0A" w:rsidRPr="006555FF">
        <w:t>tates region</w:t>
      </w:r>
      <w:r w:rsidRPr="006555FF">
        <w:t xml:space="preserve">. </w:t>
      </w:r>
      <w:r w:rsidR="00BC181F" w:rsidRPr="006555FF">
        <w:t xml:space="preserve">During the reporting period, </w:t>
      </w:r>
      <w:r w:rsidR="00657327" w:rsidRPr="006555FF">
        <w:t>four</w:t>
      </w:r>
      <w:r w:rsidR="006F5A33" w:rsidRPr="006555FF">
        <w:rPr>
          <w:rStyle w:val="FootnoteReference"/>
        </w:rPr>
        <w:footnoteReference w:id="7"/>
      </w:r>
      <w:r w:rsidR="00BC181F" w:rsidRPr="006555FF">
        <w:t xml:space="preserve"> International Assistance requests were finalized through this support mechanism, all of which were approved by the Bureau</w:t>
      </w:r>
      <w:r w:rsidR="004A6034" w:rsidRPr="006555FF">
        <w:t xml:space="preserve">, </w:t>
      </w:r>
      <w:r w:rsidR="00BC181F" w:rsidRPr="006555FF">
        <w:t>while the</w:t>
      </w:r>
      <w:r w:rsidR="00657327" w:rsidRPr="006555FF">
        <w:t xml:space="preserve"> </w:t>
      </w:r>
      <w:r w:rsidR="004A6034" w:rsidRPr="006555FF">
        <w:t xml:space="preserve">fifth is </w:t>
      </w:r>
      <w:r w:rsidR="00963FCB" w:rsidRPr="006555FF">
        <w:t>currently being developed</w:t>
      </w:r>
      <w:r w:rsidR="00BC181F" w:rsidRPr="006555FF">
        <w:t xml:space="preserve">. </w:t>
      </w:r>
    </w:p>
    <w:p w14:paraId="38C33A19" w14:textId="3AA1E03A" w:rsidR="001540ED" w:rsidRPr="006555FF" w:rsidRDefault="004A6034" w:rsidP="00D228A9">
      <w:pPr>
        <w:pStyle w:val="1GAPara"/>
        <w:tabs>
          <w:tab w:val="left" w:pos="567"/>
        </w:tabs>
        <w:ind w:left="567" w:hanging="567"/>
        <w:jc w:val="both"/>
      </w:pPr>
      <w:r w:rsidRPr="006555FF">
        <w:t>Regarding the p</w:t>
      </w:r>
      <w:r w:rsidR="00F91E0B" w:rsidRPr="006555FF">
        <w:t>reparatory assistance</w:t>
      </w:r>
      <w:r w:rsidRPr="006555FF">
        <w:t>,</w:t>
      </w:r>
      <w:r w:rsidR="00F91E0B" w:rsidRPr="006555FF">
        <w:t xml:space="preserve"> </w:t>
      </w:r>
      <w:r w:rsidRPr="006555FF">
        <w:t>a</w:t>
      </w:r>
      <w:r w:rsidR="00F91E0B" w:rsidRPr="006555FF">
        <w:t>l</w:t>
      </w:r>
      <w:r w:rsidR="00BC181F" w:rsidRPr="006555FF">
        <w:t>s</w:t>
      </w:r>
      <w:r w:rsidR="00F91E0B" w:rsidRPr="006555FF">
        <w:t xml:space="preserve">o covered </w:t>
      </w:r>
      <w:r w:rsidRPr="006555FF">
        <w:t>under b</w:t>
      </w:r>
      <w:r w:rsidR="00F91E0B" w:rsidRPr="006555FF">
        <w:t>udget line 2, two</w:t>
      </w:r>
      <w:r w:rsidR="00AB358D" w:rsidRPr="006555FF">
        <w:rPr>
          <w:rStyle w:val="FootnoteReference"/>
        </w:rPr>
        <w:footnoteReference w:id="8"/>
      </w:r>
      <w:r w:rsidR="00F91E0B" w:rsidRPr="006555FF">
        <w:t xml:space="preserve"> requests</w:t>
      </w:r>
      <w:r w:rsidRPr="006555FF">
        <w:t xml:space="preserve"> for the preparation of nomination files </w:t>
      </w:r>
      <w:r w:rsidR="00F5360B" w:rsidRPr="006555FF">
        <w:t>to</w:t>
      </w:r>
      <w:r w:rsidRPr="006555FF">
        <w:t xml:space="preserve"> the Urgent Safeguarding List </w:t>
      </w:r>
      <w:r w:rsidR="00F91E0B" w:rsidRPr="006555FF">
        <w:t>were approved by the Bureau</w:t>
      </w:r>
      <w:r w:rsidR="00BC181F" w:rsidRPr="006555FF">
        <w:t xml:space="preserve"> </w:t>
      </w:r>
      <w:r w:rsidR="00C0693A" w:rsidRPr="006555FF">
        <w:t xml:space="preserve">of the </w:t>
      </w:r>
      <w:r w:rsidR="001540ED" w:rsidRPr="006555FF">
        <w:t>nineteenth session</w:t>
      </w:r>
      <w:r w:rsidR="00C0693A" w:rsidRPr="006555FF">
        <w:t xml:space="preserve"> of the Committee </w:t>
      </w:r>
      <w:r w:rsidR="00BC181F" w:rsidRPr="006555FF">
        <w:t xml:space="preserve">and </w:t>
      </w:r>
      <w:r w:rsidR="00440048" w:rsidRPr="006555FF">
        <w:t xml:space="preserve">led to the establishment of </w:t>
      </w:r>
      <w:r w:rsidR="00BC181F" w:rsidRPr="006555FF">
        <w:t>contracts</w:t>
      </w:r>
      <w:r w:rsidR="00440048" w:rsidRPr="006555FF">
        <w:t xml:space="preserve"> during the reporting period</w:t>
      </w:r>
      <w:r w:rsidR="001540ED" w:rsidRPr="006555FF">
        <w:t xml:space="preserve">. </w:t>
      </w:r>
      <w:r w:rsidR="00121649" w:rsidRPr="006555FF">
        <w:t>Furthermore</w:t>
      </w:r>
      <w:r w:rsidR="001540ED" w:rsidRPr="006555FF">
        <w:t>, six</w:t>
      </w:r>
      <w:r w:rsidR="00C0693A" w:rsidRPr="006555FF">
        <w:t xml:space="preserve"> additional</w:t>
      </w:r>
      <w:r w:rsidR="001540ED" w:rsidRPr="006555FF">
        <w:t xml:space="preserve"> </w:t>
      </w:r>
      <w:r w:rsidR="00C0693A" w:rsidRPr="006555FF">
        <w:t xml:space="preserve">preparatory assistance </w:t>
      </w:r>
      <w:r w:rsidR="001540ED" w:rsidRPr="006555FF">
        <w:t xml:space="preserve">requests </w:t>
      </w:r>
      <w:r w:rsidR="00C0693A" w:rsidRPr="006555FF">
        <w:t xml:space="preserve">were approved by the Bureau of the twentieth session of the Committee, of which </w:t>
      </w:r>
      <w:r w:rsidR="001540ED" w:rsidRPr="006555FF">
        <w:t>five</w:t>
      </w:r>
      <w:r w:rsidR="001540ED" w:rsidRPr="006555FF">
        <w:rPr>
          <w:vertAlign w:val="superscript"/>
        </w:rPr>
        <w:footnoteReference w:id="9"/>
      </w:r>
      <w:r w:rsidR="001540ED" w:rsidRPr="006555FF">
        <w:t xml:space="preserve"> were for the elaboration of nomination files to the Representative List and one</w:t>
      </w:r>
      <w:r w:rsidR="001540ED" w:rsidRPr="006555FF">
        <w:rPr>
          <w:vertAlign w:val="superscript"/>
        </w:rPr>
        <w:footnoteReference w:id="10"/>
      </w:r>
      <w:r w:rsidR="001540ED" w:rsidRPr="006555FF">
        <w:t xml:space="preserve"> for the elaboration of </w:t>
      </w:r>
      <w:r w:rsidR="00AB358D" w:rsidRPr="006555FF">
        <w:t xml:space="preserve">a </w:t>
      </w:r>
      <w:r w:rsidR="001540ED" w:rsidRPr="006555FF">
        <w:t>nomination</w:t>
      </w:r>
      <w:r w:rsidR="00AB358D" w:rsidRPr="006555FF">
        <w:t xml:space="preserve"> file to </w:t>
      </w:r>
      <w:r w:rsidR="001540ED" w:rsidRPr="006555FF">
        <w:t xml:space="preserve">the Urgent Safeguarding List. The </w:t>
      </w:r>
      <w:r w:rsidR="00C0693A" w:rsidRPr="006555FF">
        <w:t>expenditures corresponding</w:t>
      </w:r>
      <w:r w:rsidR="001540ED" w:rsidRPr="006555FF">
        <w:t xml:space="preserve"> to two </w:t>
      </w:r>
      <w:r w:rsidR="00C0693A" w:rsidRPr="006555FF">
        <w:t>requests</w:t>
      </w:r>
      <w:r w:rsidR="001540ED" w:rsidRPr="006555FF">
        <w:t xml:space="preserve"> </w:t>
      </w:r>
      <w:r w:rsidR="00C0693A" w:rsidRPr="006555FF">
        <w:t>approved by the Bureau of the nineteenth session of the Committee are included in this report</w:t>
      </w:r>
      <w:r w:rsidR="001540ED" w:rsidRPr="006555FF">
        <w:t>, with t</w:t>
      </w:r>
      <w:r w:rsidR="00E704E3" w:rsidRPr="006555FF">
        <w:t>he expenditure rate of this budget line reach</w:t>
      </w:r>
      <w:r w:rsidR="001540ED" w:rsidRPr="006555FF">
        <w:t>ing</w:t>
      </w:r>
      <w:r w:rsidR="00E704E3" w:rsidRPr="006555FF">
        <w:t xml:space="preserve"> </w:t>
      </w:r>
      <w:r w:rsidR="00F91E0B" w:rsidRPr="006555FF">
        <w:t>23</w:t>
      </w:r>
      <w:r w:rsidR="00E704E3" w:rsidRPr="006555FF">
        <w:t xml:space="preserve">.5% </w:t>
      </w:r>
      <w:r w:rsidRPr="006555FF">
        <w:t xml:space="preserve">against </w:t>
      </w:r>
      <w:r w:rsidR="00F91E0B" w:rsidRPr="006555FF">
        <w:t>40.5</w:t>
      </w:r>
      <w:r w:rsidR="00E704E3" w:rsidRPr="006555FF">
        <w:t>% during the same period in the 202</w:t>
      </w:r>
      <w:r w:rsidR="00F91E0B" w:rsidRPr="006555FF">
        <w:t>2</w:t>
      </w:r>
      <w:r w:rsidR="00782A59" w:rsidRPr="006555FF">
        <w:t>-</w:t>
      </w:r>
      <w:r w:rsidR="00E704E3" w:rsidRPr="006555FF">
        <w:t>202</w:t>
      </w:r>
      <w:r w:rsidR="00F91E0B" w:rsidRPr="006555FF">
        <w:t>3</w:t>
      </w:r>
      <w:r w:rsidR="00E704E3" w:rsidRPr="006555FF">
        <w:t xml:space="preserve"> biennium. </w:t>
      </w:r>
      <w:r w:rsidR="001540ED" w:rsidRPr="006555FF">
        <w:t xml:space="preserve">The costs associated with the six </w:t>
      </w:r>
      <w:r w:rsidR="00C0693A" w:rsidRPr="006555FF">
        <w:t xml:space="preserve">requests </w:t>
      </w:r>
      <w:r w:rsidR="001540ED" w:rsidRPr="006555FF">
        <w:t xml:space="preserve">approved </w:t>
      </w:r>
      <w:r w:rsidR="00C0693A" w:rsidRPr="006555FF">
        <w:t>by the Bureau of the twentieth session of the Committee</w:t>
      </w:r>
      <w:r w:rsidR="00AB358D" w:rsidRPr="006555FF">
        <w:t xml:space="preserve"> have not yet been r</w:t>
      </w:r>
      <w:r w:rsidR="00C0693A" w:rsidRPr="006555FF">
        <w:t>eflected in Schedule 1.1, as the corresponding contracts were established after 30 June 2025.</w:t>
      </w:r>
      <w:r w:rsidR="001540ED" w:rsidRPr="006555FF">
        <w:t xml:space="preserve"> With the inclusion of these costs in the financial report of 31 December 2025, the expenditure rate of budget line 2 will double, reaching </w:t>
      </w:r>
      <w:r w:rsidR="00261CCD" w:rsidRPr="006555FF">
        <w:t>around 50%</w:t>
      </w:r>
      <w:r w:rsidR="001540ED" w:rsidRPr="006555FF">
        <w:t xml:space="preserve"> by the end of the biennium.</w:t>
      </w:r>
      <w:r w:rsidR="00AB358D" w:rsidRPr="006555FF">
        <w:t xml:space="preserve"> </w:t>
      </w:r>
    </w:p>
    <w:p w14:paraId="583F988F" w14:textId="48502EE9" w:rsidR="004B0EC3" w:rsidRPr="006555FF" w:rsidRDefault="003D3BDC" w:rsidP="003D3BDC">
      <w:pPr>
        <w:pStyle w:val="1GAPara"/>
        <w:ind w:left="567" w:hanging="567"/>
        <w:jc w:val="both"/>
        <w:rPr>
          <w:color w:val="808080" w:themeColor="background1" w:themeShade="80"/>
        </w:rPr>
      </w:pPr>
      <w:r w:rsidRPr="006555FF">
        <w:t xml:space="preserve">The use of the budget for the </w:t>
      </w:r>
      <w:r w:rsidR="005A1027" w:rsidRPr="006555FF">
        <w:t>‘</w:t>
      </w:r>
      <w:r w:rsidRPr="006555FF">
        <w:t>other functions of the Committee</w:t>
      </w:r>
      <w:r w:rsidR="005A1027" w:rsidRPr="006555FF">
        <w:t>’</w:t>
      </w:r>
      <w:r w:rsidRPr="006555FF">
        <w:t xml:space="preserve"> (</w:t>
      </w:r>
      <w:r w:rsidRPr="006555FF">
        <w:rPr>
          <w:b/>
          <w:bCs/>
        </w:rPr>
        <w:t>budget line 3</w:t>
      </w:r>
      <w:r w:rsidRPr="006555FF">
        <w:t xml:space="preserve">: 20% of approved Plan) is based on a percentage breakdown in terms of Expected Results which </w:t>
      </w:r>
      <w:r w:rsidRPr="006555FF">
        <w:rPr>
          <w:rStyle w:val="hps"/>
        </w:rPr>
        <w:t xml:space="preserve">are aligned with the </w:t>
      </w:r>
      <w:r w:rsidRPr="006555FF">
        <w:t xml:space="preserve">performance indicators defined in the approved </w:t>
      </w:r>
      <w:hyperlink r:id="rId23" w:anchor="p128" w:history="1">
        <w:r w:rsidRPr="006555FF">
          <w:rPr>
            <w:rStyle w:val="Hyperlink"/>
          </w:rPr>
          <w:t>4</w:t>
        </w:r>
        <w:r w:rsidR="00C86DDB" w:rsidRPr="006555FF">
          <w:rPr>
            <w:rStyle w:val="Hyperlink"/>
          </w:rPr>
          <w:t>2</w:t>
        </w:r>
        <w:r w:rsidRPr="006555FF">
          <w:rPr>
            <w:rStyle w:val="Hyperlink"/>
          </w:rPr>
          <w:t> C/5</w:t>
        </w:r>
      </w:hyperlink>
      <w:r w:rsidRPr="006555FF">
        <w:t xml:space="preserve"> for the Major Programme IV Culture, Outcome 5, Output 5.CLT4 </w:t>
      </w:r>
      <w:r w:rsidR="005A1027" w:rsidRPr="006555FF">
        <w:t>‘</w:t>
      </w:r>
      <w:r w:rsidRPr="006555FF">
        <w:t>Member States</w:t>
      </w:r>
      <w:r w:rsidR="005A1027" w:rsidRPr="006555FF">
        <w:t>’</w:t>
      </w:r>
      <w:r w:rsidRPr="006555FF">
        <w:t xml:space="preserve"> and communities</w:t>
      </w:r>
      <w:r w:rsidR="005A1027" w:rsidRPr="006555FF">
        <w:t>’</w:t>
      </w:r>
      <w:r w:rsidRPr="006555FF">
        <w:t xml:space="preserve"> capacities strengthened to identify, safeguard and promote living heritage</w:t>
      </w:r>
      <w:r w:rsidR="005A1027" w:rsidRPr="006555FF">
        <w:t>’</w:t>
      </w:r>
      <w:r w:rsidRPr="006555FF">
        <w:t xml:space="preserve">. According to the Plan approved by the General Assembly (see document </w:t>
      </w:r>
      <w:hyperlink r:id="rId24" w:history="1">
        <w:r w:rsidRPr="006555FF">
          <w:rPr>
            <w:rStyle w:val="Hyperlink"/>
          </w:rPr>
          <w:t>LHE/2</w:t>
        </w:r>
        <w:r w:rsidR="00C86DDB" w:rsidRPr="006555FF">
          <w:rPr>
            <w:rStyle w:val="Hyperlink"/>
          </w:rPr>
          <w:t>4</w:t>
        </w:r>
        <w:r w:rsidRPr="006555FF">
          <w:rPr>
            <w:rStyle w:val="Hyperlink"/>
          </w:rPr>
          <w:t>/</w:t>
        </w:r>
        <w:r w:rsidR="00C86DDB" w:rsidRPr="006555FF">
          <w:rPr>
            <w:rStyle w:val="Hyperlink"/>
          </w:rPr>
          <w:t>10</w:t>
        </w:r>
        <w:r w:rsidRPr="006555FF">
          <w:rPr>
            <w:rStyle w:val="Hyperlink"/>
          </w:rPr>
          <w:t>.GA/</w:t>
        </w:r>
        <w:r w:rsidR="00C86DDB" w:rsidRPr="006555FF">
          <w:rPr>
            <w:rStyle w:val="Hyperlink"/>
          </w:rPr>
          <w:t>8</w:t>
        </w:r>
      </w:hyperlink>
      <w:r w:rsidRPr="006555FF">
        <w:t xml:space="preserve">), these funds were dedicated to: </w:t>
      </w:r>
      <w:r w:rsidR="00C86DDB" w:rsidRPr="006555FF">
        <w:t>1) a strengthened capacity-building programme and the integration of intangible cultural heritage into development plans, policies and programmes</w:t>
      </w:r>
      <w:r w:rsidRPr="006555FF">
        <w:t xml:space="preserve"> (</w:t>
      </w:r>
      <w:r w:rsidR="00C86DDB" w:rsidRPr="006555FF">
        <w:t>52</w:t>
      </w:r>
      <w:r w:rsidRPr="006555FF">
        <w:t xml:space="preserve">% of budget line 3); and </w:t>
      </w:r>
      <w:r w:rsidR="00037FC7" w:rsidRPr="006555FF">
        <w:t>2) facilitating the s</w:t>
      </w:r>
      <w:r w:rsidR="00C86DDB" w:rsidRPr="006555FF">
        <w:t xml:space="preserve">ound governance of the Convention by enhanced monitoring, knowledge management services and awareness-raising associated with international cooperation mechanisms </w:t>
      </w:r>
      <w:r w:rsidRPr="006555FF">
        <w:t>(</w:t>
      </w:r>
      <w:r w:rsidR="00C86DDB" w:rsidRPr="006555FF">
        <w:t>48</w:t>
      </w:r>
      <w:r w:rsidRPr="006555FF">
        <w:t>% of budget line 3). As at 30 June 202</w:t>
      </w:r>
      <w:r w:rsidR="00782B8E" w:rsidRPr="006555FF">
        <w:t>5</w:t>
      </w:r>
      <w:r w:rsidRPr="006555FF">
        <w:t xml:space="preserve">, the expenditure rate of this budget line stood at </w:t>
      </w:r>
      <w:r w:rsidR="00782B8E" w:rsidRPr="006555FF">
        <w:t>73.4</w:t>
      </w:r>
      <w:r w:rsidRPr="006555FF">
        <w:t>%</w:t>
      </w:r>
      <w:r w:rsidR="00037FC7" w:rsidRPr="006555FF">
        <w:t xml:space="preserve">, </w:t>
      </w:r>
      <w:r w:rsidR="00B85EB6" w:rsidRPr="006555FF">
        <w:t>on par with the expenditure rate of</w:t>
      </w:r>
      <w:r w:rsidRPr="006555FF">
        <w:t xml:space="preserve"> </w:t>
      </w:r>
      <w:r w:rsidR="00037FC7" w:rsidRPr="006555FF">
        <w:t>72.7</w:t>
      </w:r>
      <w:r w:rsidRPr="006555FF">
        <w:t>% at the same period in the previous biennium</w:t>
      </w:r>
      <w:r w:rsidR="00037FC7" w:rsidRPr="006555FF">
        <w:t xml:space="preserve">. </w:t>
      </w:r>
      <w:r w:rsidRPr="006555FF">
        <w:t>The expenditure rate is expected to surpass 80% at the end of biennium. A detailed narrative report on the progress of the implementation of these funds can be found in Annex V</w:t>
      </w:r>
      <w:r w:rsidR="00782B8E" w:rsidRPr="006555FF">
        <w:t>I</w:t>
      </w:r>
      <w:r w:rsidRPr="006555FF">
        <w:rPr>
          <w:color w:val="808080" w:themeColor="background1" w:themeShade="80"/>
        </w:rPr>
        <w:t xml:space="preserve">. </w:t>
      </w:r>
    </w:p>
    <w:p w14:paraId="55EC32F6" w14:textId="3AD48D63" w:rsidR="001510CF" w:rsidRPr="006555FF" w:rsidRDefault="001510CF" w:rsidP="00037FC7">
      <w:pPr>
        <w:pStyle w:val="1GAPara"/>
        <w:ind w:left="567" w:hanging="567"/>
        <w:jc w:val="both"/>
      </w:pPr>
      <w:r w:rsidRPr="006555FF">
        <w:t xml:space="preserve">Budget </w:t>
      </w:r>
      <w:r w:rsidRPr="006555FF">
        <w:rPr>
          <w:b/>
          <w:bCs/>
        </w:rPr>
        <w:t>line 4</w:t>
      </w:r>
      <w:r w:rsidRPr="006555FF">
        <w:t xml:space="preserve"> (</w:t>
      </w:r>
      <w:r w:rsidR="00B85EB6" w:rsidRPr="006555FF">
        <w:t>2.5</w:t>
      </w:r>
      <w:r w:rsidRPr="006555FF">
        <w:t xml:space="preserve">% of the approved Plan) is used to finance the participation of experts representing developing States Members in the Committee, its Bureau and subsidiary bodies. The expenditure rate of 93.2% corresponds to (a) the participation costs of fifteen experts in the nineteenth session of the Committee, and (b) a provision for the costs of participation of eligible experts in the </w:t>
      </w:r>
      <w:r w:rsidR="00B85EB6" w:rsidRPr="006555FF">
        <w:t xml:space="preserve">twentieth </w:t>
      </w:r>
      <w:r w:rsidRPr="006555FF">
        <w:t>session of the Committee.</w:t>
      </w:r>
    </w:p>
    <w:p w14:paraId="616BF476" w14:textId="48D81A2C" w:rsidR="001510CF" w:rsidRPr="006555FF" w:rsidRDefault="001510CF" w:rsidP="00037FC7">
      <w:pPr>
        <w:pStyle w:val="1GAPara"/>
        <w:ind w:left="567" w:hanging="567"/>
        <w:jc w:val="both"/>
      </w:pPr>
      <w:r w:rsidRPr="006555FF">
        <w:t xml:space="preserve">The expenditure rate of </w:t>
      </w:r>
      <w:r w:rsidRPr="006555FF">
        <w:rPr>
          <w:b/>
          <w:bCs/>
        </w:rPr>
        <w:t>budget line 5</w:t>
      </w:r>
      <w:r w:rsidRPr="006555FF">
        <w:t xml:space="preserve"> (</w:t>
      </w:r>
      <w:r w:rsidR="00B85EB6" w:rsidRPr="006555FF">
        <w:t>2.7</w:t>
      </w:r>
      <w:r w:rsidRPr="006555FF">
        <w:t xml:space="preserve">% of </w:t>
      </w:r>
      <w:r w:rsidR="003B74C4" w:rsidRPr="006555FF">
        <w:t xml:space="preserve">the </w:t>
      </w:r>
      <w:r w:rsidRPr="006555FF">
        <w:t>approved Plan), used for facilitating the participation of experts from developing States Parties non-members of the Committee in Committee sessions and those serving in the Evaluation Body to meetings of the Body, has reached 100%. It reflects</w:t>
      </w:r>
      <w:r w:rsidR="00B85EB6" w:rsidRPr="006555FF">
        <w:t xml:space="preserve"> the costs associated with</w:t>
      </w:r>
      <w:r w:rsidRPr="006555FF">
        <w:t xml:space="preserve">: </w:t>
      </w:r>
      <w:bookmarkStart w:id="3" w:name="_Hlk147489302"/>
      <w:r w:rsidRPr="006555FF">
        <w:t>(a) the participation of twenty-</w:t>
      </w:r>
      <w:r w:rsidR="00B85EB6" w:rsidRPr="006555FF">
        <w:t xml:space="preserve">five </w:t>
      </w:r>
      <w:r w:rsidRPr="006555FF">
        <w:t>experts in the nineteenth session of the Committee; (b) the participation of six members of the Evaluation Body eligible for such support in the meetings of the Evaluation Body held at UNESCO Headquarters during the reporting period</w:t>
      </w:r>
      <w:bookmarkEnd w:id="3"/>
      <w:r w:rsidRPr="006555FF">
        <w:t xml:space="preserve">; and (c) a provision of funds for the participation of eligible experts in the </w:t>
      </w:r>
      <w:r w:rsidR="00B85EB6" w:rsidRPr="006555FF">
        <w:t xml:space="preserve">twentieth </w:t>
      </w:r>
      <w:r w:rsidRPr="006555FF">
        <w:t>session of the Committee.</w:t>
      </w:r>
    </w:p>
    <w:p w14:paraId="23DA29F8" w14:textId="5CC98C33" w:rsidR="001510CF" w:rsidRPr="006555FF" w:rsidRDefault="001510CF" w:rsidP="00037FC7">
      <w:pPr>
        <w:pStyle w:val="1GAPara"/>
        <w:ind w:left="567" w:hanging="567"/>
        <w:jc w:val="both"/>
      </w:pPr>
      <w:r w:rsidRPr="006555FF">
        <w:rPr>
          <w:b/>
          <w:bCs/>
        </w:rPr>
        <w:t>Budget line 6</w:t>
      </w:r>
      <w:r w:rsidRPr="006555FF">
        <w:t xml:space="preserve"> </w:t>
      </w:r>
      <w:r w:rsidR="00B85EB6" w:rsidRPr="006555FF">
        <w:t xml:space="preserve">(2.7% of </w:t>
      </w:r>
      <w:r w:rsidR="003B74C4" w:rsidRPr="006555FF">
        <w:t xml:space="preserve">the </w:t>
      </w:r>
      <w:r w:rsidR="00B85EB6" w:rsidRPr="006555FF">
        <w:t xml:space="preserve">approved Plan) </w:t>
      </w:r>
      <w:r w:rsidRPr="006555FF">
        <w:t>shows an expenditure rate of 9</w:t>
      </w:r>
      <w:r w:rsidR="00B23B02" w:rsidRPr="006555FF">
        <w:t>8.4</w:t>
      </w:r>
      <w:r w:rsidRPr="006555FF">
        <w:t>% and reflects the</w:t>
      </w:r>
      <w:r w:rsidR="00B85EB6" w:rsidRPr="006555FF">
        <w:t xml:space="preserve"> cost associated with the</w:t>
      </w:r>
      <w:r w:rsidRPr="006555FF">
        <w:t xml:space="preserve"> </w:t>
      </w:r>
      <w:r w:rsidR="00983DD2" w:rsidRPr="006555FF">
        <w:t xml:space="preserve">(a) </w:t>
      </w:r>
      <w:r w:rsidRPr="006555FF">
        <w:t>participation costs of seven accredited non-governmental organizations (NGOs) serving on the Evaluation Body in 202</w:t>
      </w:r>
      <w:r w:rsidR="00B23B02" w:rsidRPr="006555FF">
        <w:t>4</w:t>
      </w:r>
      <w:r w:rsidRPr="006555FF">
        <w:t xml:space="preserve"> and/or 202</w:t>
      </w:r>
      <w:r w:rsidR="00B23B02" w:rsidRPr="006555FF">
        <w:t>5</w:t>
      </w:r>
      <w:r w:rsidRPr="006555FF">
        <w:t xml:space="preserve">, as well as </w:t>
      </w:r>
      <w:r w:rsidR="00983DD2" w:rsidRPr="006555FF">
        <w:t xml:space="preserve">(b) </w:t>
      </w:r>
      <w:r w:rsidRPr="006555FF">
        <w:t xml:space="preserve">the participation of </w:t>
      </w:r>
      <w:r w:rsidR="00B23B02" w:rsidRPr="006555FF">
        <w:t xml:space="preserve">twenty-five </w:t>
      </w:r>
      <w:r w:rsidR="00B85EB6" w:rsidRPr="006555FF">
        <w:t xml:space="preserve">accredited </w:t>
      </w:r>
      <w:r w:rsidRPr="006555FF">
        <w:t xml:space="preserve">NGOs in the </w:t>
      </w:r>
      <w:r w:rsidR="002C3F72" w:rsidRPr="006555FF">
        <w:t xml:space="preserve">nineteenth </w:t>
      </w:r>
      <w:r w:rsidRPr="006555FF">
        <w:t xml:space="preserve">session of the Committee. It also includes </w:t>
      </w:r>
      <w:r w:rsidR="00983DD2" w:rsidRPr="006555FF">
        <w:t xml:space="preserve">(c) </w:t>
      </w:r>
      <w:r w:rsidRPr="006555FF">
        <w:t xml:space="preserve">a provision for the participation costs of accredited NGOs from developing countries in the </w:t>
      </w:r>
      <w:r w:rsidR="00983DD2" w:rsidRPr="006555FF">
        <w:t xml:space="preserve">twentieth </w:t>
      </w:r>
      <w:r w:rsidRPr="006555FF">
        <w:t xml:space="preserve">session of the Committee. </w:t>
      </w:r>
    </w:p>
    <w:p w14:paraId="780EE222" w14:textId="3578BD8A" w:rsidR="006A3E7D" w:rsidRPr="006555FF" w:rsidRDefault="001510CF" w:rsidP="009D0088">
      <w:pPr>
        <w:pStyle w:val="1GAPara"/>
        <w:keepLines/>
        <w:ind w:left="567" w:hanging="567"/>
        <w:jc w:val="both"/>
      </w:pPr>
      <w:r w:rsidRPr="006555FF">
        <w:t xml:space="preserve">Lastly, </w:t>
      </w:r>
      <w:r w:rsidRPr="006555FF">
        <w:rPr>
          <w:b/>
          <w:bCs/>
        </w:rPr>
        <w:t>budget line 7</w:t>
      </w:r>
      <w:r w:rsidRPr="006555FF">
        <w:t xml:space="preserve"> </w:t>
      </w:r>
      <w:r w:rsidR="00B85EB6" w:rsidRPr="006555FF">
        <w:t xml:space="preserve">(7% of </w:t>
      </w:r>
      <w:r w:rsidR="003B74C4" w:rsidRPr="006555FF">
        <w:t xml:space="preserve">the </w:t>
      </w:r>
      <w:r w:rsidR="00B85EB6" w:rsidRPr="006555FF">
        <w:t xml:space="preserve">approved Plan) </w:t>
      </w:r>
      <w:r w:rsidRPr="006555FF">
        <w:t xml:space="preserve">shows an expenditure rate of </w:t>
      </w:r>
      <w:r w:rsidR="00B23B02" w:rsidRPr="006555FF">
        <w:t>64.9</w:t>
      </w:r>
      <w:r w:rsidRPr="006555FF">
        <w:t xml:space="preserve">%, corresponding to the fees of the members of the Evaluation Body </w:t>
      </w:r>
      <w:r w:rsidR="00311166" w:rsidRPr="006555FF">
        <w:t xml:space="preserve">(twelve members </w:t>
      </w:r>
      <w:r w:rsidRPr="006555FF">
        <w:t>in 202</w:t>
      </w:r>
      <w:r w:rsidR="00B23B02" w:rsidRPr="006555FF">
        <w:t>4</w:t>
      </w:r>
      <w:r w:rsidR="00311166" w:rsidRPr="006555FF">
        <w:t xml:space="preserve"> and eleven members in</w:t>
      </w:r>
      <w:r w:rsidRPr="006555FF">
        <w:t xml:space="preserve"> 202</w:t>
      </w:r>
      <w:r w:rsidR="00B23B02" w:rsidRPr="006555FF">
        <w:t>5</w:t>
      </w:r>
      <w:r w:rsidR="00311166" w:rsidRPr="006555FF">
        <w:t xml:space="preserve"> </w:t>
      </w:r>
      <w:r w:rsidR="00F5360B" w:rsidRPr="006555FF">
        <w:t>as</w:t>
      </w:r>
      <w:r w:rsidR="00311166" w:rsidRPr="006555FF">
        <w:t xml:space="preserve"> of 30 June 2025)</w:t>
      </w:r>
      <w:r w:rsidR="00983DD2" w:rsidRPr="006555FF">
        <w:t>,</w:t>
      </w:r>
      <w:r w:rsidRPr="006555FF">
        <w:t xml:space="preserve"> including those of the Chairpersons, Vice-Chairpersons and Rapporteurs of the Body for the additional tasks they perform. A total of </w:t>
      </w:r>
      <w:r w:rsidR="005E0A0E" w:rsidRPr="006555FF">
        <w:t>sixty-</w:t>
      </w:r>
      <w:r w:rsidR="00983DD2" w:rsidRPr="006555FF">
        <w:t xml:space="preserve">seven </w:t>
      </w:r>
      <w:r w:rsidR="005E0A0E" w:rsidRPr="006555FF">
        <w:t>f</w:t>
      </w:r>
      <w:r w:rsidRPr="006555FF">
        <w:t>iles were assessed by the Evaluation Body in 202</w:t>
      </w:r>
      <w:r w:rsidR="005E0A0E" w:rsidRPr="006555FF">
        <w:t>4</w:t>
      </w:r>
      <w:r w:rsidRPr="006555FF">
        <w:t xml:space="preserve">, and </w:t>
      </w:r>
      <w:r w:rsidR="0099549D" w:rsidRPr="006555FF">
        <w:t>sixty-eight</w:t>
      </w:r>
      <w:r w:rsidRPr="006555FF">
        <w:t xml:space="preserve"> other files were evaluated in 202</w:t>
      </w:r>
      <w:r w:rsidR="005E0A0E" w:rsidRPr="006555FF">
        <w:t>5</w:t>
      </w:r>
      <w:r w:rsidRPr="006555FF">
        <w:t>.</w:t>
      </w:r>
      <w:r w:rsidR="006A3E7D" w:rsidRPr="006555FF">
        <w:br w:type="page"/>
      </w:r>
    </w:p>
    <w:p w14:paraId="6A1BCCD4" w14:textId="4126D356" w:rsidR="006A3E7D" w:rsidRPr="006555FF" w:rsidRDefault="006A3E7D" w:rsidP="006A3E7D">
      <w:pPr>
        <w:pStyle w:val="1GAPara"/>
        <w:numPr>
          <w:ilvl w:val="0"/>
          <w:numId w:val="0"/>
        </w:numPr>
        <w:ind w:left="567"/>
        <w:jc w:val="center"/>
        <w:rPr>
          <w:b/>
          <w:bCs/>
        </w:rPr>
      </w:pPr>
      <w:bookmarkStart w:id="4" w:name="Annex1"/>
      <w:r w:rsidRPr="006555FF">
        <w:rPr>
          <w:b/>
          <w:bCs/>
        </w:rPr>
        <w:t>ANNEX I</w:t>
      </w:r>
    </w:p>
    <w:bookmarkEnd w:id="4"/>
    <w:p w14:paraId="478DCE7C" w14:textId="77777777" w:rsidR="006A3E7D" w:rsidRPr="006555FF" w:rsidRDefault="006A3E7D" w:rsidP="006A3E7D">
      <w:pPr>
        <w:pStyle w:val="1GAPara"/>
        <w:numPr>
          <w:ilvl w:val="0"/>
          <w:numId w:val="0"/>
        </w:numPr>
        <w:ind w:left="567"/>
        <w:jc w:val="right"/>
      </w:pPr>
      <w:r w:rsidRPr="006555FF">
        <w:t>Statement I</w:t>
      </w:r>
    </w:p>
    <w:p w14:paraId="59E98B69" w14:textId="49B964B0" w:rsidR="00DB72FE" w:rsidRPr="006555FF" w:rsidRDefault="00FD671E" w:rsidP="005634E8">
      <w:pPr>
        <w:spacing w:after="0"/>
        <w:rPr>
          <w:rFonts w:ascii="Arial" w:hAnsi="Arial" w:cs="Arial"/>
          <w:snapToGrid w:val="0"/>
          <w:szCs w:val="22"/>
          <w:lang w:eastAsia="en-US"/>
        </w:rPr>
      </w:pPr>
      <w:r w:rsidRPr="006555FF">
        <w:rPr>
          <w:noProof/>
        </w:rPr>
        <w:drawing>
          <wp:inline distT="0" distB="0" distL="0" distR="0" wp14:anchorId="5BF54B39" wp14:editId="1934E9B0">
            <wp:extent cx="6120130" cy="5547995"/>
            <wp:effectExtent l="0" t="0" r="0" b="0"/>
            <wp:docPr id="6420668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5547995"/>
                    </a:xfrm>
                    <a:prstGeom prst="rect">
                      <a:avLst/>
                    </a:prstGeom>
                    <a:noFill/>
                    <a:ln>
                      <a:noFill/>
                    </a:ln>
                  </pic:spPr>
                </pic:pic>
              </a:graphicData>
            </a:graphic>
          </wp:inline>
        </w:drawing>
      </w:r>
      <w:r w:rsidR="00DB72FE" w:rsidRPr="006555FF">
        <w:br w:type="page"/>
      </w:r>
    </w:p>
    <w:p w14:paraId="225E1C04" w14:textId="064681AD" w:rsidR="009F310B" w:rsidRPr="006555FF" w:rsidRDefault="009F310B" w:rsidP="009F310B">
      <w:pPr>
        <w:pStyle w:val="1GAPara"/>
        <w:numPr>
          <w:ilvl w:val="0"/>
          <w:numId w:val="0"/>
        </w:numPr>
        <w:ind w:left="284"/>
        <w:jc w:val="right"/>
      </w:pPr>
      <w:bookmarkStart w:id="5" w:name="schedule"/>
      <w:r w:rsidRPr="006555FF">
        <w:t>Schedule 1.1</w:t>
      </w:r>
    </w:p>
    <w:bookmarkEnd w:id="5"/>
    <w:p w14:paraId="731C5E64" w14:textId="77777777" w:rsidR="009F310B" w:rsidRPr="006555FF" w:rsidRDefault="009F310B" w:rsidP="006A3E7D">
      <w:pPr>
        <w:pStyle w:val="1GAPara"/>
        <w:numPr>
          <w:ilvl w:val="0"/>
          <w:numId w:val="0"/>
        </w:numPr>
        <w:ind w:left="567"/>
        <w:jc w:val="right"/>
      </w:pPr>
    </w:p>
    <w:p w14:paraId="6B50FD7C" w14:textId="1AEB6A9C" w:rsidR="00DB72FE" w:rsidRPr="006555FF" w:rsidRDefault="00FD671E">
      <w:pPr>
        <w:spacing w:after="0"/>
        <w:rPr>
          <w:rFonts w:ascii="Arial" w:hAnsi="Arial" w:cs="Arial"/>
          <w:b/>
          <w:bCs/>
          <w:snapToGrid w:val="0"/>
          <w:szCs w:val="22"/>
          <w:lang w:eastAsia="en-US"/>
        </w:rPr>
      </w:pPr>
      <w:r w:rsidRPr="006555FF">
        <w:rPr>
          <w:noProof/>
        </w:rPr>
        <w:drawing>
          <wp:inline distT="0" distB="0" distL="0" distR="0" wp14:anchorId="140521B6" wp14:editId="0A82E50A">
            <wp:extent cx="6120130" cy="7843520"/>
            <wp:effectExtent l="0" t="0" r="0" b="0"/>
            <wp:docPr id="5674555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7843520"/>
                    </a:xfrm>
                    <a:prstGeom prst="rect">
                      <a:avLst/>
                    </a:prstGeom>
                    <a:noFill/>
                    <a:ln>
                      <a:noFill/>
                    </a:ln>
                  </pic:spPr>
                </pic:pic>
              </a:graphicData>
            </a:graphic>
          </wp:inline>
        </w:drawing>
      </w:r>
      <w:r w:rsidR="00DB72FE" w:rsidRPr="006555FF">
        <w:rPr>
          <w:b/>
          <w:bCs/>
        </w:rPr>
        <w:br w:type="page"/>
      </w:r>
    </w:p>
    <w:p w14:paraId="3A0E587A" w14:textId="77777777" w:rsidR="00EC0045" w:rsidRPr="006555FF" w:rsidRDefault="00E86D08" w:rsidP="00EC0045">
      <w:pPr>
        <w:pStyle w:val="1GAPara"/>
        <w:numPr>
          <w:ilvl w:val="0"/>
          <w:numId w:val="0"/>
        </w:numPr>
        <w:ind w:left="284"/>
        <w:jc w:val="center"/>
        <w:rPr>
          <w:b/>
          <w:bCs/>
        </w:rPr>
      </w:pPr>
      <w:bookmarkStart w:id="6" w:name="AnnexII"/>
      <w:r w:rsidRPr="006555FF">
        <w:rPr>
          <w:b/>
          <w:bCs/>
        </w:rPr>
        <w:t>ANNEX II</w:t>
      </w:r>
      <w:bookmarkEnd w:id="6"/>
    </w:p>
    <w:p w14:paraId="68CBE703" w14:textId="77777777" w:rsidR="00EC0045" w:rsidRPr="006555FF" w:rsidRDefault="00EC0045" w:rsidP="00EC0045">
      <w:pPr>
        <w:pStyle w:val="1GAPara"/>
        <w:numPr>
          <w:ilvl w:val="0"/>
          <w:numId w:val="0"/>
        </w:numPr>
        <w:ind w:left="284"/>
        <w:jc w:val="center"/>
        <w:rPr>
          <w:b/>
          <w:bCs/>
        </w:rPr>
      </w:pPr>
    </w:p>
    <w:p w14:paraId="3E628C7C" w14:textId="7582E815" w:rsidR="00DB72FE" w:rsidRPr="006555FF" w:rsidRDefault="00EC0045" w:rsidP="00EC0045">
      <w:pPr>
        <w:pStyle w:val="1GAPara"/>
        <w:numPr>
          <w:ilvl w:val="0"/>
          <w:numId w:val="0"/>
        </w:numPr>
        <w:ind w:left="284"/>
        <w:jc w:val="center"/>
        <w:rPr>
          <w:b/>
          <w:bCs/>
        </w:rPr>
      </w:pPr>
      <w:r w:rsidRPr="006555FF">
        <w:rPr>
          <w:noProof/>
        </w:rPr>
        <w:drawing>
          <wp:inline distT="0" distB="0" distL="0" distR="0" wp14:anchorId="4AA5D113" wp14:editId="13DF1E1C">
            <wp:extent cx="6078855" cy="5384800"/>
            <wp:effectExtent l="0" t="0" r="0" b="0"/>
            <wp:docPr id="14547456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78855" cy="5384800"/>
                    </a:xfrm>
                    <a:prstGeom prst="rect">
                      <a:avLst/>
                    </a:prstGeom>
                    <a:noFill/>
                    <a:ln>
                      <a:noFill/>
                    </a:ln>
                  </pic:spPr>
                </pic:pic>
              </a:graphicData>
            </a:graphic>
          </wp:inline>
        </w:drawing>
      </w:r>
    </w:p>
    <w:p w14:paraId="60B397E5" w14:textId="77777777" w:rsidR="00D142FF" w:rsidRPr="006555FF" w:rsidRDefault="00EC0045">
      <w:pPr>
        <w:spacing w:after="0"/>
        <w:rPr>
          <w:b/>
          <w:bCs/>
        </w:rPr>
        <w:sectPr w:rsidR="00D142FF" w:rsidRPr="006555FF" w:rsidSect="002938F2">
          <w:headerReference w:type="even" r:id="rId28"/>
          <w:headerReference w:type="default" r:id="rId29"/>
          <w:headerReference w:type="first" r:id="rId30"/>
          <w:pgSz w:w="11906" w:h="16838" w:code="9"/>
          <w:pgMar w:top="1418" w:right="1134" w:bottom="1134" w:left="1134" w:header="397" w:footer="284" w:gutter="0"/>
          <w:cols w:space="708"/>
          <w:titlePg/>
          <w:docGrid w:linePitch="360"/>
        </w:sectPr>
      </w:pPr>
      <w:r w:rsidRPr="006555FF">
        <w:rPr>
          <w:b/>
          <w:bCs/>
        </w:rPr>
        <w:br w:type="page"/>
      </w:r>
    </w:p>
    <w:p w14:paraId="3A25C2CB" w14:textId="1A866489" w:rsidR="00DB72FE" w:rsidRPr="006555FF" w:rsidRDefault="00F40C51" w:rsidP="00F73D3D">
      <w:pPr>
        <w:pStyle w:val="1GAPara"/>
        <w:numPr>
          <w:ilvl w:val="0"/>
          <w:numId w:val="0"/>
        </w:numPr>
        <w:ind w:left="142"/>
        <w:jc w:val="center"/>
        <w:rPr>
          <w:b/>
          <w:bCs/>
        </w:rPr>
      </w:pPr>
      <w:bookmarkStart w:id="7" w:name="AnnexIII"/>
      <w:r w:rsidRPr="006555FF">
        <w:rPr>
          <w:b/>
          <w:bCs/>
        </w:rPr>
        <w:t>ANNEX III</w:t>
      </w:r>
    </w:p>
    <w:bookmarkEnd w:id="7"/>
    <w:p w14:paraId="30CB9551" w14:textId="250F6147" w:rsidR="00DB72FE" w:rsidRPr="006555FF" w:rsidRDefault="00FE51B7" w:rsidP="0026268A">
      <w:pPr>
        <w:spacing w:after="0"/>
        <w:jc w:val="center"/>
        <w:rPr>
          <w:rFonts w:ascii="Arial" w:hAnsi="Arial" w:cs="Arial"/>
          <w:b/>
          <w:bCs/>
          <w:snapToGrid w:val="0"/>
          <w:szCs w:val="22"/>
          <w:lang w:eastAsia="en-US"/>
        </w:rPr>
      </w:pPr>
      <w:r w:rsidRPr="006555FF">
        <w:rPr>
          <w:noProof/>
        </w:rPr>
        <w:drawing>
          <wp:inline distT="0" distB="0" distL="0" distR="0" wp14:anchorId="421F116E" wp14:editId="0DEB6F6B">
            <wp:extent cx="6326544" cy="5391150"/>
            <wp:effectExtent l="0" t="0" r="0" b="0"/>
            <wp:docPr id="1021447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30262" cy="5394318"/>
                    </a:xfrm>
                    <a:prstGeom prst="rect">
                      <a:avLst/>
                    </a:prstGeom>
                    <a:noFill/>
                    <a:ln>
                      <a:noFill/>
                    </a:ln>
                  </pic:spPr>
                </pic:pic>
              </a:graphicData>
            </a:graphic>
          </wp:inline>
        </w:drawing>
      </w:r>
    </w:p>
    <w:p w14:paraId="4DBE59C3" w14:textId="4141B304" w:rsidR="001F3F33" w:rsidRPr="006555FF" w:rsidRDefault="001F3F33">
      <w:pPr>
        <w:spacing w:after="0"/>
        <w:rPr>
          <w:rFonts w:ascii="Arial" w:hAnsi="Arial" w:cs="Arial"/>
          <w:b/>
          <w:bCs/>
          <w:snapToGrid w:val="0"/>
          <w:szCs w:val="22"/>
          <w:lang w:eastAsia="en-US"/>
        </w:rPr>
      </w:pPr>
      <w:r w:rsidRPr="006555FF">
        <w:rPr>
          <w:b/>
          <w:bCs/>
        </w:rPr>
        <w:br w:type="page"/>
      </w:r>
    </w:p>
    <w:p w14:paraId="2D0B80CE" w14:textId="77777777" w:rsidR="0006545D" w:rsidRPr="006555FF" w:rsidRDefault="0006545D" w:rsidP="00F73D3D">
      <w:pPr>
        <w:pStyle w:val="1GAPara"/>
        <w:numPr>
          <w:ilvl w:val="0"/>
          <w:numId w:val="0"/>
        </w:numPr>
        <w:ind w:left="142"/>
        <w:jc w:val="center"/>
        <w:rPr>
          <w:rFonts w:asciiTheme="minorBidi" w:hAnsiTheme="minorBidi" w:cstheme="minorBidi"/>
          <w:b/>
          <w:bCs/>
          <w:snapToGrid/>
          <w:szCs w:val="24"/>
          <w:lang w:eastAsia="fr-FR"/>
        </w:rPr>
      </w:pPr>
      <w:bookmarkStart w:id="8" w:name="AnnexIV"/>
      <w:r w:rsidRPr="006555FF">
        <w:rPr>
          <w:b/>
          <w:bCs/>
        </w:rPr>
        <w:t>ANNEX</w:t>
      </w:r>
      <w:r w:rsidRPr="006555FF">
        <w:rPr>
          <w:rFonts w:asciiTheme="minorBidi" w:hAnsiTheme="minorBidi" w:cstheme="minorBidi"/>
          <w:b/>
          <w:bCs/>
          <w:snapToGrid/>
          <w:szCs w:val="24"/>
          <w:lang w:eastAsia="fr-FR"/>
        </w:rPr>
        <w:t xml:space="preserve"> IV</w:t>
      </w:r>
    </w:p>
    <w:p w14:paraId="6B3D5A0C" w14:textId="37295989" w:rsidR="001F3F33" w:rsidRPr="006555FF" w:rsidRDefault="00564157" w:rsidP="00F73D3D">
      <w:pPr>
        <w:pStyle w:val="1GAPara"/>
        <w:numPr>
          <w:ilvl w:val="0"/>
          <w:numId w:val="0"/>
        </w:numPr>
        <w:ind w:left="142"/>
        <w:jc w:val="center"/>
        <w:rPr>
          <w:rFonts w:asciiTheme="minorBidi" w:hAnsiTheme="minorBidi" w:cstheme="minorBidi"/>
          <w:b/>
          <w:bCs/>
          <w:snapToGrid/>
          <w:szCs w:val="24"/>
          <w:lang w:eastAsia="fr-FR"/>
        </w:rPr>
      </w:pPr>
      <w:r w:rsidRPr="006555FF">
        <w:rPr>
          <w:noProof/>
        </w:rPr>
        <w:drawing>
          <wp:inline distT="0" distB="0" distL="0" distR="0" wp14:anchorId="4042EB55" wp14:editId="3CB3421F">
            <wp:extent cx="6120130" cy="6110605"/>
            <wp:effectExtent l="0" t="0" r="0" b="4445"/>
            <wp:docPr id="19211620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6110605"/>
                    </a:xfrm>
                    <a:prstGeom prst="rect">
                      <a:avLst/>
                    </a:prstGeom>
                    <a:noFill/>
                    <a:ln>
                      <a:noFill/>
                    </a:ln>
                  </pic:spPr>
                </pic:pic>
              </a:graphicData>
            </a:graphic>
          </wp:inline>
        </w:drawing>
      </w:r>
    </w:p>
    <w:bookmarkEnd w:id="8"/>
    <w:p w14:paraId="631EBB7C" w14:textId="4AF6A8C6" w:rsidR="003A0E6D" w:rsidRPr="006555FF" w:rsidRDefault="003A0E6D">
      <w:pPr>
        <w:spacing w:after="0"/>
        <w:rPr>
          <w:rFonts w:ascii="Arial" w:hAnsi="Arial" w:cs="Arial"/>
          <w:b/>
          <w:bCs/>
          <w:snapToGrid w:val="0"/>
          <w:szCs w:val="22"/>
          <w:lang w:eastAsia="en-US"/>
        </w:rPr>
      </w:pPr>
      <w:r w:rsidRPr="006555FF">
        <w:rPr>
          <w:b/>
          <w:bCs/>
        </w:rPr>
        <w:br w:type="page"/>
      </w:r>
    </w:p>
    <w:p w14:paraId="04F8DA9C" w14:textId="77777777" w:rsidR="00F73D3D" w:rsidRPr="006555FF" w:rsidRDefault="003A0E6D" w:rsidP="003A0E6D">
      <w:pPr>
        <w:pStyle w:val="1GAPara"/>
        <w:numPr>
          <w:ilvl w:val="0"/>
          <w:numId w:val="0"/>
        </w:numPr>
        <w:ind w:left="567"/>
        <w:jc w:val="center"/>
        <w:rPr>
          <w:b/>
          <w:bCs/>
        </w:rPr>
      </w:pPr>
      <w:bookmarkStart w:id="9" w:name="AnnexV"/>
      <w:r w:rsidRPr="006555FF">
        <w:rPr>
          <w:b/>
          <w:bCs/>
        </w:rPr>
        <w:t>ANNEX V</w:t>
      </w:r>
    </w:p>
    <w:bookmarkEnd w:id="9"/>
    <w:p w14:paraId="191D7872" w14:textId="0FFD56D5" w:rsidR="003A0E6D" w:rsidRPr="006555FF" w:rsidRDefault="003A0E6D" w:rsidP="003A0E6D">
      <w:pPr>
        <w:pStyle w:val="1GAPara"/>
        <w:numPr>
          <w:ilvl w:val="0"/>
          <w:numId w:val="0"/>
        </w:numPr>
        <w:ind w:left="567"/>
        <w:jc w:val="center"/>
        <w:rPr>
          <w:b/>
          <w:bCs/>
          <w:u w:val="single"/>
        </w:rPr>
      </w:pPr>
      <w:r w:rsidRPr="006555FF">
        <w:rPr>
          <w:b/>
          <w:bCs/>
          <w:u w:val="single"/>
        </w:rPr>
        <w:t xml:space="preserve"> </w:t>
      </w:r>
    </w:p>
    <w:p w14:paraId="1CC555E5" w14:textId="77777777" w:rsidR="00077D4D" w:rsidRPr="006555FF" w:rsidRDefault="003A0E6D" w:rsidP="002552CE">
      <w:pPr>
        <w:pStyle w:val="1GAPara"/>
        <w:numPr>
          <w:ilvl w:val="0"/>
          <w:numId w:val="0"/>
        </w:numPr>
        <w:spacing w:after="0"/>
        <w:ind w:left="142"/>
        <w:jc w:val="center"/>
      </w:pPr>
      <w:r w:rsidRPr="006555FF">
        <w:t>List of International Assistance projects with expenditures incurred during</w:t>
      </w:r>
      <w:r w:rsidR="00F23551" w:rsidRPr="006555FF">
        <w:t xml:space="preserve"> the period</w:t>
      </w:r>
      <w:r w:rsidR="002552CE" w:rsidRPr="006555FF">
        <w:t xml:space="preserve"> </w:t>
      </w:r>
    </w:p>
    <w:p w14:paraId="63B94D7F" w14:textId="210375A7" w:rsidR="003A0E6D" w:rsidRPr="006555FF" w:rsidRDefault="003A0E6D" w:rsidP="002552CE">
      <w:pPr>
        <w:pStyle w:val="1GAPara"/>
        <w:numPr>
          <w:ilvl w:val="0"/>
          <w:numId w:val="0"/>
        </w:numPr>
        <w:spacing w:after="0"/>
        <w:ind w:left="142"/>
        <w:jc w:val="center"/>
      </w:pPr>
      <w:r w:rsidRPr="006555FF">
        <w:t>1</w:t>
      </w:r>
      <w:r w:rsidR="002552CE" w:rsidRPr="006555FF">
        <w:t xml:space="preserve"> </w:t>
      </w:r>
      <w:r w:rsidRPr="006555FF">
        <w:t>January 2024 to 30 June 2025</w:t>
      </w:r>
    </w:p>
    <w:p w14:paraId="415C60E0" w14:textId="77777777" w:rsidR="00F73D3D" w:rsidRPr="006555FF" w:rsidRDefault="00F73D3D" w:rsidP="002552CE">
      <w:pPr>
        <w:pStyle w:val="1GAPara"/>
        <w:numPr>
          <w:ilvl w:val="0"/>
          <w:numId w:val="0"/>
        </w:numPr>
        <w:spacing w:after="0"/>
        <w:ind w:left="142"/>
        <w:jc w:val="center"/>
        <w:rPr>
          <w:b/>
          <w:bCs/>
          <w:u w:val="single"/>
        </w:rPr>
      </w:pPr>
    </w:p>
    <w:tbl>
      <w:tblPr>
        <w:tblStyle w:val="TableGrid"/>
        <w:tblW w:w="10206" w:type="dxa"/>
        <w:tblInd w:w="-147" w:type="dxa"/>
        <w:shd w:val="clear" w:color="auto" w:fill="FFFFFF" w:themeFill="background1"/>
        <w:tblLayout w:type="fixed"/>
        <w:tblLook w:val="04A0" w:firstRow="1" w:lastRow="0" w:firstColumn="1" w:lastColumn="0" w:noHBand="0" w:noVBand="1"/>
      </w:tblPr>
      <w:tblGrid>
        <w:gridCol w:w="568"/>
        <w:gridCol w:w="2409"/>
        <w:gridCol w:w="5245"/>
        <w:gridCol w:w="1984"/>
      </w:tblGrid>
      <w:tr w:rsidR="007F0E3C" w:rsidRPr="006555FF" w14:paraId="163D620C" w14:textId="77777777" w:rsidTr="004050C7">
        <w:trPr>
          <w:trHeight w:val="567"/>
        </w:trPr>
        <w:tc>
          <w:tcPr>
            <w:tcW w:w="568" w:type="dxa"/>
            <w:shd w:val="clear" w:color="auto" w:fill="FFFFFF" w:themeFill="background1"/>
            <w:vAlign w:val="center"/>
          </w:tcPr>
          <w:p w14:paraId="3E179F2B" w14:textId="77777777" w:rsidR="007F0E3C" w:rsidRPr="006555FF" w:rsidRDefault="007F0E3C" w:rsidP="00442670">
            <w:pPr>
              <w:pStyle w:val="1GAPara"/>
              <w:numPr>
                <w:ilvl w:val="0"/>
                <w:numId w:val="0"/>
              </w:numPr>
              <w:spacing w:before="60" w:after="60"/>
              <w:ind w:left="440"/>
              <w:rPr>
                <w:sz w:val="20"/>
                <w:szCs w:val="20"/>
              </w:rPr>
            </w:pPr>
          </w:p>
        </w:tc>
        <w:tc>
          <w:tcPr>
            <w:tcW w:w="2409" w:type="dxa"/>
            <w:shd w:val="clear" w:color="auto" w:fill="FFFFFF" w:themeFill="background1"/>
            <w:vAlign w:val="center"/>
          </w:tcPr>
          <w:p w14:paraId="2B4201F3" w14:textId="77777777" w:rsidR="007F0E3C" w:rsidRPr="006555FF" w:rsidRDefault="007F0E3C" w:rsidP="00442670">
            <w:pPr>
              <w:pStyle w:val="1GAPara"/>
              <w:numPr>
                <w:ilvl w:val="0"/>
                <w:numId w:val="0"/>
              </w:numPr>
              <w:spacing w:before="60" w:after="60"/>
              <w:rPr>
                <w:b/>
                <w:bCs/>
                <w:sz w:val="20"/>
                <w:szCs w:val="20"/>
              </w:rPr>
            </w:pPr>
            <w:r w:rsidRPr="006555FF">
              <w:rPr>
                <w:b/>
                <w:bCs/>
                <w:sz w:val="20"/>
                <w:szCs w:val="20"/>
              </w:rPr>
              <w:t>Beneficiary State</w:t>
            </w:r>
          </w:p>
        </w:tc>
        <w:tc>
          <w:tcPr>
            <w:tcW w:w="5245" w:type="dxa"/>
            <w:shd w:val="clear" w:color="auto" w:fill="FFFFFF" w:themeFill="background1"/>
            <w:vAlign w:val="center"/>
          </w:tcPr>
          <w:p w14:paraId="1E518C24" w14:textId="77777777" w:rsidR="007F0E3C" w:rsidRPr="006555FF" w:rsidRDefault="007F0E3C" w:rsidP="00442670">
            <w:pPr>
              <w:pStyle w:val="1GAPara"/>
              <w:numPr>
                <w:ilvl w:val="0"/>
                <w:numId w:val="0"/>
              </w:numPr>
              <w:spacing w:before="60" w:after="60"/>
              <w:rPr>
                <w:b/>
                <w:bCs/>
                <w:sz w:val="20"/>
                <w:szCs w:val="20"/>
              </w:rPr>
            </w:pPr>
            <w:r w:rsidRPr="006555FF">
              <w:rPr>
                <w:b/>
                <w:bCs/>
                <w:sz w:val="20"/>
                <w:szCs w:val="20"/>
              </w:rPr>
              <w:t>Project</w:t>
            </w:r>
          </w:p>
        </w:tc>
        <w:tc>
          <w:tcPr>
            <w:tcW w:w="1984" w:type="dxa"/>
            <w:shd w:val="clear" w:color="auto" w:fill="FFFFFF" w:themeFill="background1"/>
            <w:vAlign w:val="center"/>
          </w:tcPr>
          <w:p w14:paraId="3979F1C8" w14:textId="77777777" w:rsidR="007F0E3C" w:rsidRPr="006555FF" w:rsidRDefault="007F0E3C" w:rsidP="00442670">
            <w:pPr>
              <w:pStyle w:val="1GAPara"/>
              <w:numPr>
                <w:ilvl w:val="0"/>
                <w:numId w:val="0"/>
              </w:numPr>
              <w:spacing w:before="60" w:after="60"/>
              <w:rPr>
                <w:b/>
                <w:bCs/>
                <w:sz w:val="20"/>
                <w:szCs w:val="20"/>
              </w:rPr>
            </w:pPr>
            <w:r w:rsidRPr="006555FF">
              <w:rPr>
                <w:b/>
                <w:bCs/>
                <w:sz w:val="20"/>
                <w:szCs w:val="20"/>
              </w:rPr>
              <w:t>Decision</w:t>
            </w:r>
          </w:p>
        </w:tc>
      </w:tr>
      <w:tr w:rsidR="007F0E3C" w:rsidRPr="006555FF" w14:paraId="4B3B4424" w14:textId="77777777" w:rsidTr="004050C7">
        <w:trPr>
          <w:trHeight w:val="688"/>
        </w:trPr>
        <w:tc>
          <w:tcPr>
            <w:tcW w:w="568" w:type="dxa"/>
            <w:shd w:val="clear" w:color="auto" w:fill="FFFFFF" w:themeFill="background1"/>
            <w:vAlign w:val="center"/>
          </w:tcPr>
          <w:p w14:paraId="4BE71869" w14:textId="77777777" w:rsidR="007F0E3C" w:rsidRPr="006555FF" w:rsidRDefault="007F0E3C" w:rsidP="006E3CFA">
            <w:pPr>
              <w:pStyle w:val="1GAPara"/>
              <w:numPr>
                <w:ilvl w:val="0"/>
                <w:numId w:val="53"/>
              </w:numPr>
              <w:spacing w:before="60" w:after="60"/>
              <w:ind w:left="436" w:hanging="357"/>
              <w:jc w:val="center"/>
              <w:rPr>
                <w:sz w:val="20"/>
                <w:szCs w:val="20"/>
              </w:rPr>
            </w:pPr>
          </w:p>
        </w:tc>
        <w:tc>
          <w:tcPr>
            <w:tcW w:w="2409" w:type="dxa"/>
            <w:shd w:val="clear" w:color="auto" w:fill="FFFFFF" w:themeFill="background1"/>
            <w:vAlign w:val="center"/>
          </w:tcPr>
          <w:p w14:paraId="7BA05ADE" w14:textId="1C628BA0"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Angola</w:t>
            </w:r>
            <w:r w:rsidR="00A85010" w:rsidRPr="006555FF">
              <w:rPr>
                <w:rFonts w:asciiTheme="minorBidi" w:hAnsiTheme="minorBidi" w:cstheme="minorBidi"/>
                <w:sz w:val="20"/>
                <w:szCs w:val="20"/>
              </w:rPr>
              <w:t>*</w:t>
            </w:r>
          </w:p>
        </w:tc>
        <w:tc>
          <w:tcPr>
            <w:tcW w:w="5245" w:type="dxa"/>
            <w:shd w:val="clear" w:color="auto" w:fill="FFFFFF" w:themeFill="background1"/>
            <w:vAlign w:val="center"/>
          </w:tcPr>
          <w:p w14:paraId="51CAF7F9" w14:textId="7274EDE8" w:rsidR="007F0E3C" w:rsidRPr="006555FF" w:rsidRDefault="004050C7"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Safeguarding semba by creating new levers for intergenerational transmission and income-generating opportunities (No. 02124)</w:t>
            </w:r>
          </w:p>
        </w:tc>
        <w:tc>
          <w:tcPr>
            <w:tcW w:w="1984" w:type="dxa"/>
            <w:shd w:val="clear" w:color="auto" w:fill="FFFFFF" w:themeFill="background1"/>
            <w:vAlign w:val="center"/>
          </w:tcPr>
          <w:p w14:paraId="7297F913" w14:textId="4E44DE08" w:rsidR="007F0E3C" w:rsidRPr="006555FF" w:rsidRDefault="00077D4D" w:rsidP="00442670">
            <w:pPr>
              <w:pStyle w:val="1GAPara"/>
              <w:numPr>
                <w:ilvl w:val="0"/>
                <w:numId w:val="0"/>
              </w:numPr>
              <w:spacing w:before="60" w:after="60"/>
              <w:rPr>
                <w:rStyle w:val="Hyperlink"/>
              </w:rPr>
            </w:pPr>
            <w:hyperlink r:id="rId33" w:history="1">
              <w:r w:rsidRPr="006555FF">
                <w:rPr>
                  <w:rStyle w:val="Hyperlink"/>
                  <w:rFonts w:asciiTheme="minorBidi" w:hAnsiTheme="minorBidi" w:cstheme="minorBidi"/>
                  <w:sz w:val="20"/>
                  <w:szCs w:val="20"/>
                </w:rPr>
                <w:t>19.COM 2.BUR 3.1</w:t>
              </w:r>
            </w:hyperlink>
          </w:p>
        </w:tc>
      </w:tr>
      <w:tr w:rsidR="007F0E3C" w:rsidRPr="006555FF" w14:paraId="721A042E" w14:textId="77777777" w:rsidTr="004050C7">
        <w:tc>
          <w:tcPr>
            <w:tcW w:w="568" w:type="dxa"/>
            <w:shd w:val="clear" w:color="auto" w:fill="FFFFFF" w:themeFill="background1"/>
            <w:vAlign w:val="center"/>
          </w:tcPr>
          <w:p w14:paraId="3BB1E4D5"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32A48B5B"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Antigua and Barbuda*</w:t>
            </w:r>
          </w:p>
        </w:tc>
        <w:tc>
          <w:tcPr>
            <w:tcW w:w="5245" w:type="dxa"/>
            <w:shd w:val="clear" w:color="auto" w:fill="FFFFFF" w:themeFill="background1"/>
            <w:vAlign w:val="center"/>
          </w:tcPr>
          <w:p w14:paraId="6D8302F0" w14:textId="77777777" w:rsidR="007F0E3C" w:rsidRPr="006555FF" w:rsidRDefault="007F0E3C" w:rsidP="00442670">
            <w:pPr>
              <w:pStyle w:val="1GAPara"/>
              <w:numPr>
                <w:ilvl w:val="0"/>
                <w:numId w:val="0"/>
              </w:numPr>
              <w:spacing w:before="60" w:after="60"/>
              <w:rPr>
                <w:rFonts w:asciiTheme="minorBidi" w:hAnsiTheme="minorBidi" w:cstheme="minorBidi"/>
                <w:b/>
                <w:bCs/>
                <w:sz w:val="20"/>
                <w:szCs w:val="20"/>
                <w:u w:val="single"/>
              </w:rPr>
            </w:pPr>
            <w:r w:rsidRPr="006555FF">
              <w:rPr>
                <w:rFonts w:asciiTheme="minorBidi" w:hAnsiTheme="minorBidi" w:cstheme="minorBidi"/>
                <w:sz w:val="20"/>
                <w:szCs w:val="20"/>
              </w:rPr>
              <w:t xml:space="preserve">Strengthening capacities for the implementation of the 2003 Convention for the safeguarding of the intangible cultural heritage in Antigua and Barbuda (No. 01624) </w:t>
            </w:r>
          </w:p>
        </w:tc>
        <w:tc>
          <w:tcPr>
            <w:tcW w:w="1984" w:type="dxa"/>
            <w:shd w:val="clear" w:color="auto" w:fill="FFFFFF" w:themeFill="background1"/>
            <w:vAlign w:val="center"/>
          </w:tcPr>
          <w:p w14:paraId="5614AC12" w14:textId="77777777" w:rsidR="007F0E3C" w:rsidRPr="006555FF" w:rsidRDefault="007F0E3C" w:rsidP="00F73D3D">
            <w:pPr>
              <w:pStyle w:val="1GAPara"/>
              <w:numPr>
                <w:ilvl w:val="0"/>
                <w:numId w:val="0"/>
              </w:numPr>
              <w:spacing w:before="60" w:after="60"/>
              <w:rPr>
                <w:rStyle w:val="Hyperlink"/>
                <w:rFonts w:asciiTheme="minorBidi" w:hAnsiTheme="minorBidi" w:cstheme="minorBidi"/>
                <w:sz w:val="20"/>
                <w:szCs w:val="20"/>
              </w:rPr>
            </w:pPr>
            <w:hyperlink r:id="rId34" w:history="1">
              <w:r w:rsidRPr="006555FF">
                <w:rPr>
                  <w:rStyle w:val="Hyperlink"/>
                  <w:rFonts w:asciiTheme="minorBidi" w:hAnsiTheme="minorBidi" w:cstheme="minorBidi"/>
                  <w:sz w:val="20"/>
                  <w:szCs w:val="20"/>
                </w:rPr>
                <w:t>15.COM 2.BUR 3.1</w:t>
              </w:r>
            </w:hyperlink>
          </w:p>
        </w:tc>
      </w:tr>
      <w:tr w:rsidR="00442670" w:rsidRPr="006555FF" w14:paraId="48120653" w14:textId="77777777" w:rsidTr="004050C7">
        <w:tc>
          <w:tcPr>
            <w:tcW w:w="568" w:type="dxa"/>
            <w:shd w:val="clear" w:color="auto" w:fill="FFFFFF" w:themeFill="background1"/>
            <w:vAlign w:val="center"/>
          </w:tcPr>
          <w:p w14:paraId="5E94DEB6" w14:textId="6BFFE6DA" w:rsidR="00442670" w:rsidRPr="006555FF" w:rsidRDefault="00442670" w:rsidP="00442670">
            <w:pPr>
              <w:pStyle w:val="1GAPara"/>
              <w:spacing w:before="60" w:after="60"/>
              <w:ind w:left="440"/>
              <w:rPr>
                <w:sz w:val="20"/>
                <w:szCs w:val="20"/>
              </w:rPr>
            </w:pPr>
          </w:p>
        </w:tc>
        <w:tc>
          <w:tcPr>
            <w:tcW w:w="2409" w:type="dxa"/>
            <w:shd w:val="clear" w:color="auto" w:fill="FFFFFF" w:themeFill="background1"/>
            <w:vAlign w:val="center"/>
          </w:tcPr>
          <w:p w14:paraId="1030DF6F" w14:textId="77777777" w:rsidR="00442670" w:rsidRPr="006555FF" w:rsidRDefault="00442670"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The Bahamas*</w:t>
            </w:r>
          </w:p>
        </w:tc>
        <w:tc>
          <w:tcPr>
            <w:tcW w:w="5245" w:type="dxa"/>
            <w:shd w:val="clear" w:color="auto" w:fill="FFFFFF" w:themeFill="background1"/>
            <w:vAlign w:val="center"/>
          </w:tcPr>
          <w:p w14:paraId="3DF86DB5" w14:textId="77777777" w:rsidR="00442670" w:rsidRPr="006555FF" w:rsidRDefault="00442670"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Community-based inventorying of the intangible cultural heritage in the Commonwealth of The Bahamas (No. 02004)</w:t>
            </w:r>
          </w:p>
        </w:tc>
        <w:tc>
          <w:tcPr>
            <w:tcW w:w="1984" w:type="dxa"/>
            <w:shd w:val="clear" w:color="auto" w:fill="FFFFFF" w:themeFill="background1"/>
            <w:vAlign w:val="center"/>
          </w:tcPr>
          <w:p w14:paraId="7E957E0F" w14:textId="7051C3C0" w:rsidR="00442670" w:rsidRPr="006555FF" w:rsidRDefault="00442670" w:rsidP="00F73D3D">
            <w:pPr>
              <w:pStyle w:val="1GAPara"/>
              <w:numPr>
                <w:ilvl w:val="0"/>
                <w:numId w:val="0"/>
              </w:numPr>
              <w:spacing w:before="60" w:after="60"/>
              <w:rPr>
                <w:rStyle w:val="Hyperlink"/>
              </w:rPr>
            </w:pPr>
            <w:hyperlink r:id="rId35" w:history="1">
              <w:r w:rsidRPr="006555FF">
                <w:rPr>
                  <w:rStyle w:val="Hyperlink"/>
                  <w:rFonts w:asciiTheme="minorBidi" w:hAnsiTheme="minorBidi" w:cstheme="minorBidi"/>
                  <w:sz w:val="20"/>
                  <w:szCs w:val="20"/>
                </w:rPr>
                <w:t>18.COM 2.BUR 4.1</w:t>
              </w:r>
            </w:hyperlink>
          </w:p>
        </w:tc>
      </w:tr>
      <w:tr w:rsidR="007F0E3C" w:rsidRPr="006555FF" w14:paraId="0F0B5A58" w14:textId="77777777" w:rsidTr="004050C7">
        <w:tc>
          <w:tcPr>
            <w:tcW w:w="568" w:type="dxa"/>
            <w:shd w:val="clear" w:color="auto" w:fill="FFFFFF" w:themeFill="background1"/>
            <w:vAlign w:val="center"/>
          </w:tcPr>
          <w:p w14:paraId="6B1F4A26"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2A6C944F" w14:textId="649C7B4E"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Bangladesh</w:t>
            </w:r>
            <w:r w:rsidR="00A85010" w:rsidRPr="006555FF">
              <w:rPr>
                <w:rFonts w:asciiTheme="minorBidi" w:hAnsiTheme="minorBidi" w:cstheme="minorBidi"/>
                <w:sz w:val="20"/>
                <w:szCs w:val="20"/>
              </w:rPr>
              <w:t>*</w:t>
            </w:r>
          </w:p>
        </w:tc>
        <w:tc>
          <w:tcPr>
            <w:tcW w:w="5245" w:type="dxa"/>
            <w:shd w:val="clear" w:color="auto" w:fill="FFFFFF" w:themeFill="background1"/>
            <w:vAlign w:val="center"/>
          </w:tcPr>
          <w:p w14:paraId="228261F5" w14:textId="563B9538"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Implementing community-based heritage festivals in eight administrative divisions of Bangladesh (No. 02226)</w:t>
            </w:r>
          </w:p>
        </w:tc>
        <w:tc>
          <w:tcPr>
            <w:tcW w:w="1984" w:type="dxa"/>
            <w:shd w:val="clear" w:color="auto" w:fill="FFFFFF" w:themeFill="background1"/>
            <w:vAlign w:val="center"/>
          </w:tcPr>
          <w:p w14:paraId="7EF4C3E0" w14:textId="3D0E7859" w:rsidR="007F0E3C" w:rsidRPr="006555FF" w:rsidRDefault="007F0E3C" w:rsidP="00442670">
            <w:pPr>
              <w:spacing w:before="60" w:after="60"/>
              <w:rPr>
                <w:rFonts w:asciiTheme="minorBidi" w:hAnsiTheme="minorBidi" w:cstheme="minorBidi"/>
                <w:sz w:val="20"/>
                <w:szCs w:val="20"/>
              </w:rPr>
            </w:pPr>
            <w:hyperlink r:id="rId36" w:history="1">
              <w:r w:rsidRPr="006555FF">
                <w:rPr>
                  <w:rStyle w:val="Hyperlink"/>
                  <w:rFonts w:asciiTheme="minorBidi" w:hAnsiTheme="minorBidi" w:cstheme="minorBidi"/>
                  <w:sz w:val="20"/>
                  <w:szCs w:val="20"/>
                </w:rPr>
                <w:t>19.COM 2.BUR 3.2</w:t>
              </w:r>
            </w:hyperlink>
          </w:p>
        </w:tc>
      </w:tr>
      <w:tr w:rsidR="007F0E3C" w:rsidRPr="006555FF" w14:paraId="1F0BA52B" w14:textId="77777777" w:rsidTr="004050C7">
        <w:tc>
          <w:tcPr>
            <w:tcW w:w="568" w:type="dxa"/>
            <w:shd w:val="clear" w:color="auto" w:fill="FFFFFF" w:themeFill="background1"/>
            <w:vAlign w:val="center"/>
          </w:tcPr>
          <w:p w14:paraId="4195A016"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242B35B9"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Belize*</w:t>
            </w:r>
          </w:p>
        </w:tc>
        <w:tc>
          <w:tcPr>
            <w:tcW w:w="5245" w:type="dxa"/>
            <w:shd w:val="clear" w:color="auto" w:fill="FFFFFF" w:themeFill="background1"/>
            <w:vAlign w:val="center"/>
          </w:tcPr>
          <w:p w14:paraId="28B8C9DC" w14:textId="3B146B3A"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Empowering communities for the safeguarding of Belize</w:t>
            </w:r>
            <w:r w:rsidR="005A1027" w:rsidRPr="006555FF">
              <w:rPr>
                <w:rFonts w:asciiTheme="minorBidi" w:hAnsiTheme="minorBidi" w:cstheme="minorBidi"/>
                <w:sz w:val="20"/>
                <w:szCs w:val="20"/>
              </w:rPr>
              <w:t>’</w:t>
            </w:r>
            <w:r w:rsidRPr="006555FF">
              <w:rPr>
                <w:rFonts w:asciiTheme="minorBidi" w:hAnsiTheme="minorBidi" w:cstheme="minorBidi"/>
                <w:sz w:val="20"/>
                <w:szCs w:val="20"/>
              </w:rPr>
              <w:t>s foodways: a community-based inventory project for sustainable development and disaster resilience (No. 02127)</w:t>
            </w:r>
          </w:p>
        </w:tc>
        <w:tc>
          <w:tcPr>
            <w:tcW w:w="1984" w:type="dxa"/>
            <w:shd w:val="clear" w:color="auto" w:fill="FFFFFF" w:themeFill="background1"/>
            <w:vAlign w:val="center"/>
          </w:tcPr>
          <w:p w14:paraId="5424B39E" w14:textId="477654AF" w:rsidR="007F0E3C" w:rsidRPr="006555FF" w:rsidRDefault="007F0E3C" w:rsidP="00442670">
            <w:pPr>
              <w:spacing w:before="60" w:after="60"/>
              <w:rPr>
                <w:rStyle w:val="Hyperlink"/>
              </w:rPr>
            </w:pPr>
            <w:hyperlink r:id="rId37" w:history="1">
              <w:r w:rsidRPr="006555FF">
                <w:rPr>
                  <w:rStyle w:val="Hyperlink"/>
                  <w:rFonts w:asciiTheme="minorBidi" w:hAnsiTheme="minorBidi" w:cstheme="minorBidi"/>
                  <w:sz w:val="20"/>
                  <w:szCs w:val="20"/>
                </w:rPr>
                <w:t>19.COM 3.BUR 3.1</w:t>
              </w:r>
            </w:hyperlink>
          </w:p>
        </w:tc>
      </w:tr>
      <w:tr w:rsidR="007F0E3C" w:rsidRPr="006555FF" w14:paraId="4C3568DA" w14:textId="77777777" w:rsidTr="004050C7">
        <w:tc>
          <w:tcPr>
            <w:tcW w:w="568" w:type="dxa"/>
            <w:shd w:val="clear" w:color="auto" w:fill="FFFFFF" w:themeFill="background1"/>
            <w:vAlign w:val="center"/>
          </w:tcPr>
          <w:p w14:paraId="1CCC2443"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5E97D64F" w14:textId="77777777" w:rsidR="007F0E3C" w:rsidRPr="006555FF" w:rsidRDefault="007F0E3C" w:rsidP="00442670">
            <w:pPr>
              <w:pStyle w:val="1GAPara"/>
              <w:numPr>
                <w:ilvl w:val="0"/>
                <w:numId w:val="0"/>
              </w:numPr>
              <w:spacing w:before="60" w:after="60"/>
              <w:rPr>
                <w:rFonts w:asciiTheme="minorBidi" w:hAnsiTheme="minorBidi" w:cstheme="minorBidi"/>
                <w:sz w:val="20"/>
                <w:szCs w:val="20"/>
                <w:lang w:val="es-ES"/>
              </w:rPr>
            </w:pPr>
            <w:r w:rsidRPr="006555FF">
              <w:rPr>
                <w:rFonts w:asciiTheme="minorBidi" w:hAnsiTheme="minorBidi" w:cstheme="minorBidi"/>
                <w:sz w:val="20"/>
                <w:szCs w:val="20"/>
                <w:lang w:val="es-ES"/>
              </w:rPr>
              <w:t>Belize, Costa Rica, Cuba, Dominican Republic, El Salvador, Guatemala, Honduras, Nicaragua, and Panama</w:t>
            </w:r>
          </w:p>
        </w:tc>
        <w:tc>
          <w:tcPr>
            <w:tcW w:w="5245" w:type="dxa"/>
            <w:shd w:val="clear" w:color="auto" w:fill="FFFFFF" w:themeFill="background1"/>
            <w:vAlign w:val="center"/>
          </w:tcPr>
          <w:p w14:paraId="020588D8"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Exchange of experiences and cultural dialogues for the safeguarding of the intangible cultural heritage of Afro-descendant peoples through the preparation of inventories in the SICA region and Cuba (No. 02229)</w:t>
            </w:r>
          </w:p>
        </w:tc>
        <w:tc>
          <w:tcPr>
            <w:tcW w:w="1984" w:type="dxa"/>
            <w:shd w:val="clear" w:color="auto" w:fill="FFFFFF" w:themeFill="background1"/>
            <w:vAlign w:val="center"/>
          </w:tcPr>
          <w:p w14:paraId="295F686A" w14:textId="1B014E9A" w:rsidR="007F0E3C" w:rsidRPr="006555FF" w:rsidRDefault="007F0E3C" w:rsidP="00442670">
            <w:pPr>
              <w:spacing w:before="60" w:after="60"/>
              <w:rPr>
                <w:rStyle w:val="Hyperlink"/>
              </w:rPr>
            </w:pPr>
            <w:hyperlink r:id="rId38" w:history="1">
              <w:r w:rsidRPr="006555FF">
                <w:rPr>
                  <w:rStyle w:val="Hyperlink"/>
                  <w:rFonts w:asciiTheme="minorBidi" w:hAnsiTheme="minorBidi" w:cstheme="minorBidi"/>
                  <w:sz w:val="20"/>
                  <w:szCs w:val="20"/>
                </w:rPr>
                <w:t>19.COM 2.BUR 3.3</w:t>
              </w:r>
            </w:hyperlink>
          </w:p>
        </w:tc>
      </w:tr>
      <w:tr w:rsidR="007F0E3C" w:rsidRPr="006555FF" w14:paraId="6DDF3304" w14:textId="77777777" w:rsidTr="004050C7">
        <w:tc>
          <w:tcPr>
            <w:tcW w:w="568" w:type="dxa"/>
            <w:shd w:val="clear" w:color="auto" w:fill="FFFFFF" w:themeFill="background1"/>
            <w:vAlign w:val="center"/>
          </w:tcPr>
          <w:p w14:paraId="38044278"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1676D62E"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Cameroon*</w:t>
            </w:r>
          </w:p>
        </w:tc>
        <w:tc>
          <w:tcPr>
            <w:tcW w:w="5245" w:type="dxa"/>
            <w:shd w:val="clear" w:color="auto" w:fill="FFFFFF" w:themeFill="background1"/>
            <w:vAlign w:val="center"/>
          </w:tcPr>
          <w:p w14:paraId="68035B5B" w14:textId="77777777" w:rsidR="007F0E3C" w:rsidRPr="006555FF" w:rsidRDefault="007F0E3C" w:rsidP="00442670">
            <w:pPr>
              <w:spacing w:before="60" w:after="60"/>
              <w:rPr>
                <w:rFonts w:asciiTheme="minorBidi" w:hAnsiTheme="minorBidi" w:cstheme="minorBidi"/>
                <w:b/>
                <w:bCs/>
                <w:sz w:val="20"/>
                <w:szCs w:val="20"/>
                <w:u w:val="single"/>
              </w:rPr>
            </w:pPr>
            <w:r w:rsidRPr="006555FF">
              <w:rPr>
                <w:rFonts w:asciiTheme="minorBidi" w:hAnsiTheme="minorBidi" w:cstheme="minorBidi"/>
                <w:sz w:val="20"/>
                <w:szCs w:val="20"/>
              </w:rPr>
              <w:t>Pilot inventory of intangible cultural heritage in the ten departments of the Centre Region in Cameroon (No. 01622)</w:t>
            </w:r>
          </w:p>
        </w:tc>
        <w:tc>
          <w:tcPr>
            <w:tcW w:w="1984" w:type="dxa"/>
            <w:shd w:val="clear" w:color="auto" w:fill="FFFFFF" w:themeFill="background1"/>
            <w:vAlign w:val="center"/>
          </w:tcPr>
          <w:p w14:paraId="63D4982F" w14:textId="77777777" w:rsidR="007F0E3C" w:rsidRPr="006555FF" w:rsidRDefault="007F0E3C" w:rsidP="00442670">
            <w:pPr>
              <w:spacing w:before="60" w:after="60"/>
              <w:rPr>
                <w:rStyle w:val="Hyperlink"/>
              </w:rPr>
            </w:pPr>
            <w:hyperlink r:id="rId39" w:history="1">
              <w:r w:rsidRPr="006555FF">
                <w:rPr>
                  <w:rStyle w:val="Hyperlink"/>
                  <w:rFonts w:asciiTheme="minorBidi" w:hAnsiTheme="minorBidi" w:cstheme="minorBidi"/>
                  <w:sz w:val="20"/>
                  <w:szCs w:val="20"/>
                </w:rPr>
                <w:t>18.COM 3.BUR 3.1</w:t>
              </w:r>
            </w:hyperlink>
          </w:p>
        </w:tc>
      </w:tr>
      <w:tr w:rsidR="007F0E3C" w:rsidRPr="006555FF" w14:paraId="7054FB3D" w14:textId="77777777" w:rsidTr="004050C7">
        <w:tc>
          <w:tcPr>
            <w:tcW w:w="568" w:type="dxa"/>
            <w:shd w:val="clear" w:color="auto" w:fill="FFFFFF" w:themeFill="background1"/>
            <w:vAlign w:val="center"/>
          </w:tcPr>
          <w:p w14:paraId="26B50888"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0A15086D"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Central African Republic*</w:t>
            </w:r>
          </w:p>
        </w:tc>
        <w:tc>
          <w:tcPr>
            <w:tcW w:w="5245" w:type="dxa"/>
            <w:shd w:val="clear" w:color="auto" w:fill="FFFFFF" w:themeFill="background1"/>
            <w:vAlign w:val="center"/>
          </w:tcPr>
          <w:p w14:paraId="63F0E7DB" w14:textId="77777777" w:rsidR="007F0E3C" w:rsidRPr="006555FF" w:rsidRDefault="007F0E3C" w:rsidP="00442670">
            <w:pPr>
              <w:spacing w:before="60" w:after="60"/>
              <w:rPr>
                <w:rFonts w:asciiTheme="minorBidi" w:hAnsiTheme="minorBidi" w:cstheme="minorBidi"/>
                <w:sz w:val="20"/>
                <w:szCs w:val="20"/>
              </w:rPr>
            </w:pPr>
            <w:r w:rsidRPr="006555FF">
              <w:rPr>
                <w:rFonts w:asciiTheme="minorBidi" w:hAnsiTheme="minorBidi" w:cstheme="minorBidi"/>
                <w:sz w:val="20"/>
                <w:szCs w:val="20"/>
              </w:rPr>
              <w:t>Pilot inventory of the intangible cultural heritage of the communities of the Lobaye forest prefecture (No. 01931)</w:t>
            </w:r>
          </w:p>
        </w:tc>
        <w:tc>
          <w:tcPr>
            <w:tcW w:w="1984" w:type="dxa"/>
            <w:shd w:val="clear" w:color="auto" w:fill="FFFFFF" w:themeFill="background1"/>
            <w:vAlign w:val="center"/>
          </w:tcPr>
          <w:p w14:paraId="2BFBA77C" w14:textId="2893CE58" w:rsidR="007F0E3C" w:rsidRPr="006555FF" w:rsidRDefault="007F0E3C" w:rsidP="00442670">
            <w:pPr>
              <w:spacing w:before="60" w:after="60"/>
              <w:rPr>
                <w:rStyle w:val="Hyperlink"/>
              </w:rPr>
            </w:pPr>
            <w:hyperlink r:id="rId40" w:history="1">
              <w:r w:rsidRPr="006555FF">
                <w:rPr>
                  <w:rStyle w:val="Hyperlink"/>
                  <w:rFonts w:asciiTheme="minorBidi" w:hAnsiTheme="minorBidi" w:cstheme="minorBidi"/>
                  <w:sz w:val="20"/>
                  <w:szCs w:val="20"/>
                </w:rPr>
                <w:t>18.COM 1.BUR 4.2</w:t>
              </w:r>
            </w:hyperlink>
          </w:p>
        </w:tc>
      </w:tr>
      <w:tr w:rsidR="007F0E3C" w:rsidRPr="006555FF" w14:paraId="58FABCAC" w14:textId="77777777" w:rsidTr="004050C7">
        <w:tc>
          <w:tcPr>
            <w:tcW w:w="568" w:type="dxa"/>
            <w:shd w:val="clear" w:color="auto" w:fill="FFFFFF" w:themeFill="background1"/>
            <w:vAlign w:val="center"/>
          </w:tcPr>
          <w:p w14:paraId="0293D79D"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7CC35775" w14:textId="19625CBA"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Côte d</w:t>
            </w:r>
            <w:r w:rsidR="005A1027" w:rsidRPr="006555FF">
              <w:rPr>
                <w:rFonts w:asciiTheme="minorBidi" w:hAnsiTheme="minorBidi" w:cstheme="minorBidi"/>
                <w:sz w:val="20"/>
                <w:szCs w:val="20"/>
              </w:rPr>
              <w:t>’</w:t>
            </w:r>
            <w:r w:rsidRPr="006555FF">
              <w:rPr>
                <w:rFonts w:asciiTheme="minorBidi" w:hAnsiTheme="minorBidi" w:cstheme="minorBidi"/>
                <w:sz w:val="20"/>
                <w:szCs w:val="20"/>
              </w:rPr>
              <w:t>Ivoire</w:t>
            </w:r>
          </w:p>
        </w:tc>
        <w:tc>
          <w:tcPr>
            <w:tcW w:w="5245" w:type="dxa"/>
            <w:shd w:val="clear" w:color="auto" w:fill="FFFFFF" w:themeFill="background1"/>
            <w:vAlign w:val="center"/>
          </w:tcPr>
          <w:p w14:paraId="6CFF10E6"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Safeguarding and promoting Gbofe (No. 02204)</w:t>
            </w:r>
          </w:p>
        </w:tc>
        <w:tc>
          <w:tcPr>
            <w:tcW w:w="1984" w:type="dxa"/>
            <w:shd w:val="clear" w:color="auto" w:fill="FFFFFF" w:themeFill="background1"/>
            <w:vAlign w:val="center"/>
          </w:tcPr>
          <w:p w14:paraId="10383FF8" w14:textId="53D94FE4" w:rsidR="007F0E3C" w:rsidRPr="006555FF" w:rsidRDefault="007F0E3C" w:rsidP="00442670">
            <w:pPr>
              <w:spacing w:before="60" w:after="60"/>
              <w:rPr>
                <w:rStyle w:val="Hyperlink"/>
              </w:rPr>
            </w:pPr>
            <w:hyperlink r:id="rId41" w:history="1">
              <w:r w:rsidRPr="006555FF">
                <w:rPr>
                  <w:rStyle w:val="Hyperlink"/>
                  <w:rFonts w:asciiTheme="minorBidi" w:hAnsiTheme="minorBidi" w:cstheme="minorBidi"/>
                  <w:sz w:val="20"/>
                  <w:szCs w:val="20"/>
                </w:rPr>
                <w:t>19.COM 1.BUR 4.1</w:t>
              </w:r>
            </w:hyperlink>
          </w:p>
        </w:tc>
      </w:tr>
      <w:tr w:rsidR="00077D4D" w:rsidRPr="006555FF" w14:paraId="74A701DB" w14:textId="77777777" w:rsidTr="006E3CFA">
        <w:tc>
          <w:tcPr>
            <w:tcW w:w="568" w:type="dxa"/>
            <w:shd w:val="clear" w:color="auto" w:fill="FFFFFF" w:themeFill="background1"/>
            <w:vAlign w:val="center"/>
          </w:tcPr>
          <w:p w14:paraId="295867C2" w14:textId="77777777" w:rsidR="00077D4D" w:rsidRPr="006555FF" w:rsidRDefault="00077D4D" w:rsidP="006E3CFA">
            <w:pPr>
              <w:pStyle w:val="1GAPara"/>
              <w:spacing w:before="60" w:after="60"/>
              <w:ind w:left="440"/>
              <w:rPr>
                <w:sz w:val="20"/>
                <w:szCs w:val="20"/>
              </w:rPr>
            </w:pPr>
          </w:p>
        </w:tc>
        <w:tc>
          <w:tcPr>
            <w:tcW w:w="2409" w:type="dxa"/>
            <w:shd w:val="clear" w:color="auto" w:fill="FFFFFF" w:themeFill="background1"/>
            <w:vAlign w:val="center"/>
          </w:tcPr>
          <w:p w14:paraId="3F914928" w14:textId="6D8BF813" w:rsidR="00077D4D" w:rsidRPr="006555FF" w:rsidRDefault="00077D4D" w:rsidP="00164236">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Democratic People</w:t>
            </w:r>
            <w:r w:rsidR="005A1027" w:rsidRPr="006555FF">
              <w:rPr>
                <w:rFonts w:asciiTheme="minorBidi" w:hAnsiTheme="minorBidi" w:cstheme="minorBidi"/>
                <w:sz w:val="20"/>
                <w:szCs w:val="20"/>
              </w:rPr>
              <w:t>’</w:t>
            </w:r>
            <w:r w:rsidRPr="006555FF">
              <w:rPr>
                <w:rFonts w:asciiTheme="minorBidi" w:hAnsiTheme="minorBidi" w:cstheme="minorBidi"/>
                <w:sz w:val="20"/>
                <w:szCs w:val="20"/>
              </w:rPr>
              <w:t>s Republic of Korea</w:t>
            </w:r>
          </w:p>
        </w:tc>
        <w:tc>
          <w:tcPr>
            <w:tcW w:w="5245" w:type="dxa"/>
            <w:shd w:val="clear" w:color="auto" w:fill="FFFFFF" w:themeFill="background1"/>
            <w:vAlign w:val="center"/>
          </w:tcPr>
          <w:p w14:paraId="43B0488A" w14:textId="77777777" w:rsidR="00077D4D" w:rsidRPr="006555FF" w:rsidRDefault="00077D4D" w:rsidP="00164236">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Capacity Building on Traditional Koryo Celadon Making practice (No. 01619)</w:t>
            </w:r>
          </w:p>
        </w:tc>
        <w:tc>
          <w:tcPr>
            <w:tcW w:w="1984" w:type="dxa"/>
            <w:shd w:val="clear" w:color="auto" w:fill="FFFFFF" w:themeFill="background1"/>
            <w:vAlign w:val="center"/>
          </w:tcPr>
          <w:p w14:paraId="5CDBBB22" w14:textId="77777777" w:rsidR="00077D4D" w:rsidRPr="006555FF" w:rsidRDefault="00077D4D" w:rsidP="00164236">
            <w:pPr>
              <w:spacing w:before="60" w:after="60"/>
              <w:rPr>
                <w:rFonts w:asciiTheme="minorBidi" w:hAnsiTheme="minorBidi" w:cstheme="minorBidi"/>
                <w:sz w:val="20"/>
                <w:szCs w:val="20"/>
              </w:rPr>
            </w:pPr>
            <w:hyperlink r:id="rId42" w:history="1">
              <w:r w:rsidRPr="006555FF">
                <w:rPr>
                  <w:rStyle w:val="Hyperlink"/>
                  <w:rFonts w:asciiTheme="minorBidi" w:hAnsiTheme="minorBidi" w:cstheme="minorBidi"/>
                  <w:sz w:val="20"/>
                  <w:szCs w:val="20"/>
                </w:rPr>
                <w:t>17.COM 4.BUR 3.4</w:t>
              </w:r>
            </w:hyperlink>
          </w:p>
        </w:tc>
      </w:tr>
      <w:tr w:rsidR="007F0E3C" w:rsidRPr="006555FF" w14:paraId="1E8BA846" w14:textId="77777777" w:rsidTr="004050C7">
        <w:trPr>
          <w:trHeight w:val="400"/>
        </w:trPr>
        <w:tc>
          <w:tcPr>
            <w:tcW w:w="568" w:type="dxa"/>
            <w:shd w:val="clear" w:color="auto" w:fill="FFFFFF" w:themeFill="background1"/>
            <w:vAlign w:val="center"/>
          </w:tcPr>
          <w:p w14:paraId="7C696E78"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73BFE761"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Dominican Republic*</w:t>
            </w:r>
          </w:p>
        </w:tc>
        <w:tc>
          <w:tcPr>
            <w:tcW w:w="5245" w:type="dxa"/>
            <w:shd w:val="clear" w:color="auto" w:fill="FFFFFF" w:themeFill="background1"/>
            <w:vAlign w:val="center"/>
          </w:tcPr>
          <w:p w14:paraId="241C62C2" w14:textId="77777777" w:rsidR="007F0E3C" w:rsidRPr="006555FF" w:rsidRDefault="007F0E3C" w:rsidP="00442670">
            <w:pPr>
              <w:pStyle w:val="1GAPara"/>
              <w:numPr>
                <w:ilvl w:val="0"/>
                <w:numId w:val="0"/>
              </w:numPr>
              <w:spacing w:before="60" w:after="60"/>
              <w:rPr>
                <w:rFonts w:asciiTheme="minorBidi" w:hAnsiTheme="minorBidi" w:cstheme="minorBidi"/>
                <w:sz w:val="20"/>
                <w:szCs w:val="20"/>
                <w:lang w:val="es-ES"/>
              </w:rPr>
            </w:pPr>
            <w:r w:rsidRPr="006555FF">
              <w:rPr>
                <w:rFonts w:asciiTheme="minorBidi" w:hAnsiTheme="minorBidi" w:cstheme="minorBidi"/>
                <w:sz w:val="20"/>
                <w:szCs w:val="20"/>
                <w:lang w:val="es-ES"/>
              </w:rPr>
              <w:t>Strengthening the capacities of La Cofradía del Espíritu Santo de Los Congos de Villa Mella and El Teatro Cocolo Danzante de Los Guloyas de San Pedro to safeguard their heritage (No. 02003)</w:t>
            </w:r>
          </w:p>
        </w:tc>
        <w:tc>
          <w:tcPr>
            <w:tcW w:w="1984" w:type="dxa"/>
            <w:shd w:val="clear" w:color="auto" w:fill="FFFFFF" w:themeFill="background1"/>
            <w:vAlign w:val="center"/>
          </w:tcPr>
          <w:p w14:paraId="70058351" w14:textId="33A8E617" w:rsidR="007F0E3C" w:rsidRPr="006555FF" w:rsidRDefault="007F0E3C" w:rsidP="00442670">
            <w:pPr>
              <w:spacing w:before="60" w:after="60"/>
              <w:rPr>
                <w:rFonts w:asciiTheme="minorBidi" w:hAnsiTheme="minorBidi" w:cstheme="minorBidi"/>
                <w:sz w:val="20"/>
                <w:szCs w:val="20"/>
              </w:rPr>
            </w:pPr>
            <w:hyperlink r:id="rId43" w:history="1">
              <w:r w:rsidRPr="006555FF">
                <w:rPr>
                  <w:rStyle w:val="Hyperlink"/>
                  <w:rFonts w:asciiTheme="minorBidi" w:hAnsiTheme="minorBidi" w:cstheme="minorBidi"/>
                  <w:sz w:val="20"/>
                  <w:szCs w:val="20"/>
                </w:rPr>
                <w:t>17.COM 4.BUR 3.2</w:t>
              </w:r>
            </w:hyperlink>
          </w:p>
        </w:tc>
      </w:tr>
      <w:tr w:rsidR="007F0E3C" w:rsidRPr="006555FF" w14:paraId="1C247280" w14:textId="77777777" w:rsidTr="004050C7">
        <w:tc>
          <w:tcPr>
            <w:tcW w:w="568" w:type="dxa"/>
            <w:shd w:val="clear" w:color="auto" w:fill="FFFFFF" w:themeFill="background1"/>
            <w:vAlign w:val="center"/>
          </w:tcPr>
          <w:p w14:paraId="6EC343FE"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54145AD0" w14:textId="3567F550"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Equatorial Guinea</w:t>
            </w:r>
            <w:r w:rsidR="00A85010" w:rsidRPr="006555FF">
              <w:rPr>
                <w:rFonts w:asciiTheme="minorBidi" w:hAnsiTheme="minorBidi" w:cstheme="minorBidi"/>
                <w:sz w:val="20"/>
                <w:szCs w:val="20"/>
              </w:rPr>
              <w:t>*</w:t>
            </w:r>
          </w:p>
        </w:tc>
        <w:tc>
          <w:tcPr>
            <w:tcW w:w="5245" w:type="dxa"/>
            <w:shd w:val="clear" w:color="auto" w:fill="FFFFFF" w:themeFill="background1"/>
            <w:vAlign w:val="center"/>
          </w:tcPr>
          <w:p w14:paraId="2BECBB00"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Implementation of a plan for the safeguarding of the intangible cultural heritage in Equatorial Guinea: training and pilot inventory of traditional dances (No. 02147)</w:t>
            </w:r>
          </w:p>
        </w:tc>
        <w:tc>
          <w:tcPr>
            <w:tcW w:w="1984" w:type="dxa"/>
            <w:shd w:val="clear" w:color="auto" w:fill="FFFFFF" w:themeFill="background1"/>
            <w:vAlign w:val="center"/>
          </w:tcPr>
          <w:p w14:paraId="33CEB5E2" w14:textId="723AE41C" w:rsidR="007F0E3C" w:rsidRPr="006555FF" w:rsidRDefault="00077D4D" w:rsidP="00442670">
            <w:pPr>
              <w:spacing w:before="60" w:after="60"/>
              <w:rPr>
                <w:rFonts w:asciiTheme="minorBidi" w:hAnsiTheme="minorBidi" w:cstheme="minorBidi"/>
                <w:sz w:val="20"/>
                <w:szCs w:val="20"/>
              </w:rPr>
            </w:pPr>
            <w:hyperlink r:id="rId44" w:history="1">
              <w:r w:rsidRPr="006555FF">
                <w:rPr>
                  <w:rStyle w:val="Hyperlink"/>
                  <w:rFonts w:asciiTheme="minorBidi" w:hAnsiTheme="minorBidi" w:cstheme="minorBidi"/>
                  <w:sz w:val="20"/>
                  <w:szCs w:val="20"/>
                </w:rPr>
                <w:t>19.COM 3.BUR 3.2</w:t>
              </w:r>
            </w:hyperlink>
          </w:p>
        </w:tc>
      </w:tr>
      <w:tr w:rsidR="007F0E3C" w:rsidRPr="006555FF" w14:paraId="46646E2A" w14:textId="77777777" w:rsidTr="004050C7">
        <w:tc>
          <w:tcPr>
            <w:tcW w:w="568" w:type="dxa"/>
            <w:shd w:val="clear" w:color="auto" w:fill="FFFFFF" w:themeFill="background1"/>
            <w:vAlign w:val="center"/>
          </w:tcPr>
          <w:p w14:paraId="3D495258"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40E8DC80" w14:textId="703AD74D"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Gambia</w:t>
            </w:r>
            <w:r w:rsidR="00A85010" w:rsidRPr="006555FF">
              <w:rPr>
                <w:rFonts w:asciiTheme="minorBidi" w:hAnsiTheme="minorBidi" w:cstheme="minorBidi"/>
                <w:sz w:val="20"/>
                <w:szCs w:val="20"/>
              </w:rPr>
              <w:t>*</w:t>
            </w:r>
          </w:p>
        </w:tc>
        <w:tc>
          <w:tcPr>
            <w:tcW w:w="5245" w:type="dxa"/>
            <w:shd w:val="clear" w:color="auto" w:fill="FFFFFF" w:themeFill="background1"/>
            <w:vAlign w:val="center"/>
          </w:tcPr>
          <w:p w14:paraId="405FEEDF"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Building capacities on intangible cultural heritage inventorying, safeguarding and awareness raising activities in The Gambia (No. 02344)</w:t>
            </w:r>
          </w:p>
        </w:tc>
        <w:tc>
          <w:tcPr>
            <w:tcW w:w="1984" w:type="dxa"/>
            <w:shd w:val="clear" w:color="auto" w:fill="FFFFFF" w:themeFill="background1"/>
            <w:vAlign w:val="center"/>
          </w:tcPr>
          <w:p w14:paraId="3B5BA8B8" w14:textId="212744C2" w:rsidR="007F0E3C" w:rsidRPr="006555FF" w:rsidRDefault="007F0E3C" w:rsidP="00442670">
            <w:pPr>
              <w:spacing w:before="60" w:after="60"/>
              <w:rPr>
                <w:rFonts w:asciiTheme="minorBidi" w:hAnsiTheme="minorBidi" w:cstheme="minorBidi"/>
                <w:sz w:val="20"/>
                <w:szCs w:val="20"/>
              </w:rPr>
            </w:pPr>
            <w:hyperlink r:id="rId45" w:history="1">
              <w:r w:rsidRPr="006555FF">
                <w:rPr>
                  <w:rStyle w:val="Hyperlink"/>
                  <w:rFonts w:asciiTheme="minorBidi" w:hAnsiTheme="minorBidi" w:cstheme="minorBidi"/>
                  <w:sz w:val="20"/>
                  <w:szCs w:val="20"/>
                </w:rPr>
                <w:t>19.COM 3.BUR 3.3</w:t>
              </w:r>
            </w:hyperlink>
          </w:p>
        </w:tc>
      </w:tr>
      <w:tr w:rsidR="007F0E3C" w:rsidRPr="006555FF" w14:paraId="713DC227" w14:textId="77777777" w:rsidTr="004050C7">
        <w:trPr>
          <w:trHeight w:val="439"/>
        </w:trPr>
        <w:tc>
          <w:tcPr>
            <w:tcW w:w="568" w:type="dxa"/>
            <w:shd w:val="clear" w:color="auto" w:fill="FFFFFF" w:themeFill="background1"/>
            <w:vAlign w:val="center"/>
          </w:tcPr>
          <w:p w14:paraId="15E31A80"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447C60CA"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Haiti</w:t>
            </w:r>
          </w:p>
        </w:tc>
        <w:tc>
          <w:tcPr>
            <w:tcW w:w="5245" w:type="dxa"/>
            <w:shd w:val="clear" w:color="auto" w:fill="FFFFFF" w:themeFill="background1"/>
            <w:vAlign w:val="center"/>
          </w:tcPr>
          <w:p w14:paraId="7299F960" w14:textId="77777777" w:rsidR="007F0E3C" w:rsidRPr="006555FF" w:rsidRDefault="007F0E3C" w:rsidP="00442670">
            <w:pPr>
              <w:pStyle w:val="1GAPara"/>
              <w:numPr>
                <w:ilvl w:val="0"/>
                <w:numId w:val="0"/>
              </w:numPr>
              <w:spacing w:before="60" w:after="60"/>
              <w:rPr>
                <w:rFonts w:asciiTheme="minorBidi" w:hAnsiTheme="minorBidi" w:cstheme="minorBidi"/>
                <w:b/>
                <w:bCs/>
                <w:sz w:val="20"/>
                <w:szCs w:val="20"/>
                <w:u w:val="single"/>
              </w:rPr>
            </w:pPr>
            <w:r w:rsidRPr="006555FF">
              <w:rPr>
                <w:rFonts w:asciiTheme="minorBidi" w:hAnsiTheme="minorBidi" w:cstheme="minorBidi"/>
                <w:sz w:val="20"/>
                <w:szCs w:val="20"/>
                <w:shd w:val="clear" w:color="auto" w:fill="FAFAFA"/>
              </w:rPr>
              <w:t>Supporting the community of artists and artisans of the village of Noailles to safeguard the intangible cultural heritage of metal cutting in the context of the security crisis and for resilience in Haiti (No. 02049)</w:t>
            </w:r>
          </w:p>
        </w:tc>
        <w:tc>
          <w:tcPr>
            <w:tcW w:w="1984" w:type="dxa"/>
            <w:shd w:val="clear" w:color="auto" w:fill="FFFFFF" w:themeFill="background1"/>
            <w:vAlign w:val="center"/>
          </w:tcPr>
          <w:p w14:paraId="1800C978" w14:textId="77777777" w:rsidR="007F0E3C" w:rsidRPr="006555FF" w:rsidRDefault="007F0E3C" w:rsidP="00442670">
            <w:pPr>
              <w:spacing w:before="60" w:after="60"/>
              <w:rPr>
                <w:rFonts w:asciiTheme="minorBidi" w:hAnsiTheme="minorBidi" w:cstheme="minorBidi"/>
                <w:color w:val="0563C1"/>
                <w:sz w:val="20"/>
                <w:szCs w:val="20"/>
                <w:u w:val="single"/>
              </w:rPr>
            </w:pPr>
            <w:hyperlink r:id="rId46" w:history="1">
              <w:r w:rsidRPr="006555FF">
                <w:rPr>
                  <w:rStyle w:val="Hyperlink"/>
                  <w:rFonts w:asciiTheme="minorBidi" w:hAnsiTheme="minorBidi" w:cstheme="minorBidi"/>
                  <w:sz w:val="20"/>
                  <w:szCs w:val="20"/>
                </w:rPr>
                <w:t>18.COM 2.BUR 3.1</w:t>
              </w:r>
            </w:hyperlink>
          </w:p>
        </w:tc>
      </w:tr>
      <w:tr w:rsidR="007F0E3C" w:rsidRPr="006555FF" w14:paraId="2BAC644E" w14:textId="77777777" w:rsidTr="004050C7">
        <w:tc>
          <w:tcPr>
            <w:tcW w:w="568" w:type="dxa"/>
            <w:shd w:val="clear" w:color="auto" w:fill="FFFFFF" w:themeFill="background1"/>
            <w:vAlign w:val="center"/>
          </w:tcPr>
          <w:p w14:paraId="694E4FE5"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7C5BFC99"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Honduras</w:t>
            </w:r>
          </w:p>
        </w:tc>
        <w:tc>
          <w:tcPr>
            <w:tcW w:w="5245" w:type="dxa"/>
            <w:shd w:val="clear" w:color="auto" w:fill="FFFFFF" w:themeFill="background1"/>
            <w:vAlign w:val="center"/>
          </w:tcPr>
          <w:p w14:paraId="6FF675D0"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Preparation of inventories of the intangible cultural heritage of Honduras with the active participation of the communities (No. 02209)</w:t>
            </w:r>
          </w:p>
        </w:tc>
        <w:tc>
          <w:tcPr>
            <w:tcW w:w="1984" w:type="dxa"/>
            <w:shd w:val="clear" w:color="auto" w:fill="FFFFFF" w:themeFill="background1"/>
            <w:vAlign w:val="center"/>
          </w:tcPr>
          <w:p w14:paraId="5D128CB2" w14:textId="33C709F9" w:rsidR="007F0E3C" w:rsidRPr="006555FF" w:rsidRDefault="007F0E3C" w:rsidP="00442670">
            <w:pPr>
              <w:spacing w:before="60" w:after="60"/>
              <w:rPr>
                <w:rFonts w:asciiTheme="minorBidi" w:hAnsiTheme="minorBidi" w:cstheme="minorBidi"/>
                <w:sz w:val="20"/>
                <w:szCs w:val="20"/>
              </w:rPr>
            </w:pPr>
            <w:hyperlink r:id="rId47" w:history="1">
              <w:r w:rsidRPr="006555FF">
                <w:rPr>
                  <w:rStyle w:val="Hyperlink"/>
                  <w:rFonts w:asciiTheme="minorBidi" w:hAnsiTheme="minorBidi" w:cstheme="minorBidi"/>
                  <w:sz w:val="20"/>
                  <w:szCs w:val="20"/>
                </w:rPr>
                <w:t>20.COM 2.BUR 3</w:t>
              </w:r>
            </w:hyperlink>
          </w:p>
        </w:tc>
      </w:tr>
      <w:tr w:rsidR="007F0E3C" w:rsidRPr="006555FF" w14:paraId="628E282F" w14:textId="77777777" w:rsidTr="004050C7">
        <w:trPr>
          <w:trHeight w:val="572"/>
        </w:trPr>
        <w:tc>
          <w:tcPr>
            <w:tcW w:w="568" w:type="dxa"/>
            <w:shd w:val="clear" w:color="auto" w:fill="FFFFFF" w:themeFill="background1"/>
            <w:vAlign w:val="center"/>
          </w:tcPr>
          <w:p w14:paraId="0F90BD6F"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3EC00E89"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Hungary*</w:t>
            </w:r>
          </w:p>
        </w:tc>
        <w:tc>
          <w:tcPr>
            <w:tcW w:w="5245" w:type="dxa"/>
            <w:shd w:val="clear" w:color="auto" w:fill="FFFFFF" w:themeFill="background1"/>
            <w:vAlign w:val="center"/>
          </w:tcPr>
          <w:p w14:paraId="68FA74FC"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Safeguarding the intangible cultural heritage of Ukrainian displaced persons in Hungary: inclusive community practices (No. 02210)</w:t>
            </w:r>
          </w:p>
        </w:tc>
        <w:tc>
          <w:tcPr>
            <w:tcW w:w="1984" w:type="dxa"/>
            <w:shd w:val="clear" w:color="auto" w:fill="FFFFFF" w:themeFill="background1"/>
            <w:vAlign w:val="center"/>
          </w:tcPr>
          <w:p w14:paraId="6B66D1DE" w14:textId="359DC4DD" w:rsidR="007F0E3C" w:rsidRPr="006555FF" w:rsidRDefault="007F0E3C" w:rsidP="00442670">
            <w:pPr>
              <w:spacing w:before="60" w:after="60"/>
              <w:rPr>
                <w:rFonts w:asciiTheme="minorBidi" w:hAnsiTheme="minorBidi" w:cstheme="minorBidi"/>
                <w:snapToGrid w:val="0"/>
                <w:sz w:val="20"/>
                <w:szCs w:val="20"/>
                <w:lang w:eastAsia="en-US"/>
              </w:rPr>
            </w:pPr>
            <w:hyperlink r:id="rId48" w:history="1">
              <w:r w:rsidRPr="006555FF">
                <w:rPr>
                  <w:rStyle w:val="Hyperlink"/>
                  <w:rFonts w:asciiTheme="minorBidi" w:hAnsiTheme="minorBidi" w:cstheme="minorBidi"/>
                  <w:snapToGrid w:val="0"/>
                  <w:sz w:val="20"/>
                  <w:szCs w:val="20"/>
                  <w:lang w:eastAsia="en-US"/>
                </w:rPr>
                <w:t>19.COM 1.BUR 3.1</w:t>
              </w:r>
            </w:hyperlink>
          </w:p>
        </w:tc>
      </w:tr>
      <w:tr w:rsidR="007F0E3C" w:rsidRPr="006555FF" w14:paraId="58F4A3EE" w14:textId="77777777" w:rsidTr="004050C7">
        <w:tc>
          <w:tcPr>
            <w:tcW w:w="568" w:type="dxa"/>
            <w:shd w:val="clear" w:color="auto" w:fill="FFFFFF" w:themeFill="background1"/>
            <w:vAlign w:val="center"/>
          </w:tcPr>
          <w:p w14:paraId="02A87AB4"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147806E3" w14:textId="6E8542CC" w:rsidR="007F0E3C" w:rsidRPr="006555FF" w:rsidRDefault="00A85010" w:rsidP="00442670">
            <w:pPr>
              <w:pStyle w:val="1GAPara"/>
              <w:numPr>
                <w:ilvl w:val="0"/>
                <w:numId w:val="0"/>
              </w:numPr>
              <w:spacing w:before="60" w:after="60"/>
              <w:rPr>
                <w:rFonts w:asciiTheme="minorBidi" w:hAnsiTheme="minorBidi" w:cstheme="minorBidi"/>
                <w:sz w:val="20"/>
                <w:szCs w:val="20"/>
                <w:shd w:val="clear" w:color="auto" w:fill="FAFAFA"/>
              </w:rPr>
            </w:pPr>
            <w:r w:rsidRPr="006555FF">
              <w:rPr>
                <w:rFonts w:asciiTheme="minorBidi" w:hAnsiTheme="minorBidi" w:cstheme="minorBidi"/>
                <w:sz w:val="20"/>
                <w:szCs w:val="20"/>
              </w:rPr>
              <w:t>Kazakhstan*</w:t>
            </w:r>
          </w:p>
        </w:tc>
        <w:tc>
          <w:tcPr>
            <w:tcW w:w="5245" w:type="dxa"/>
            <w:shd w:val="clear" w:color="auto" w:fill="FFFFFF" w:themeFill="background1"/>
            <w:vAlign w:val="center"/>
          </w:tcPr>
          <w:p w14:paraId="5BACEE7C" w14:textId="77777777" w:rsidR="007F0E3C" w:rsidRPr="006555FF" w:rsidRDefault="007F0E3C" w:rsidP="00442670">
            <w:pPr>
              <w:pStyle w:val="1GAPara"/>
              <w:numPr>
                <w:ilvl w:val="0"/>
                <w:numId w:val="0"/>
              </w:numPr>
              <w:spacing w:before="60" w:after="60"/>
              <w:rPr>
                <w:rFonts w:asciiTheme="minorBidi" w:hAnsiTheme="minorBidi" w:cstheme="minorBidi"/>
                <w:sz w:val="20"/>
                <w:szCs w:val="20"/>
                <w:shd w:val="clear" w:color="auto" w:fill="FAFAFA"/>
              </w:rPr>
            </w:pPr>
            <w:r w:rsidRPr="006555FF">
              <w:rPr>
                <w:rFonts w:asciiTheme="minorBidi" w:hAnsiTheme="minorBidi" w:cstheme="minorBidi"/>
                <w:sz w:val="20"/>
                <w:szCs w:val="20"/>
                <w:shd w:val="clear" w:color="auto" w:fill="FAFAFA"/>
              </w:rPr>
              <w:t>Revision of the national intangible cultural heritage inventory and capacity-building on the implementation of the 2003 Convention for the local communities in five provinces of Kazakhstan (No. 02207)</w:t>
            </w:r>
          </w:p>
        </w:tc>
        <w:tc>
          <w:tcPr>
            <w:tcW w:w="1984" w:type="dxa"/>
            <w:shd w:val="clear" w:color="auto" w:fill="FFFFFF" w:themeFill="background1"/>
            <w:vAlign w:val="center"/>
          </w:tcPr>
          <w:p w14:paraId="1445E87C" w14:textId="4CE7EA36" w:rsidR="007F0E3C" w:rsidRPr="006555FF" w:rsidRDefault="007F0E3C" w:rsidP="00442670">
            <w:pPr>
              <w:spacing w:before="60" w:after="60"/>
              <w:rPr>
                <w:rFonts w:asciiTheme="minorBidi" w:hAnsiTheme="minorBidi" w:cstheme="minorBidi"/>
                <w:snapToGrid w:val="0"/>
                <w:sz w:val="20"/>
                <w:szCs w:val="20"/>
                <w:shd w:val="clear" w:color="auto" w:fill="FAFAFA"/>
                <w:lang w:eastAsia="en-US"/>
              </w:rPr>
            </w:pPr>
            <w:hyperlink r:id="rId49" w:history="1">
              <w:r w:rsidRPr="006555FF">
                <w:rPr>
                  <w:rStyle w:val="Hyperlink"/>
                  <w:rFonts w:asciiTheme="minorBidi" w:hAnsiTheme="minorBidi" w:cstheme="minorBidi"/>
                  <w:sz w:val="20"/>
                  <w:szCs w:val="20"/>
                </w:rPr>
                <w:t>19.COM 1.BUR 4.2</w:t>
              </w:r>
            </w:hyperlink>
          </w:p>
        </w:tc>
      </w:tr>
      <w:tr w:rsidR="007F0E3C" w:rsidRPr="006555FF" w14:paraId="5271D9D4" w14:textId="77777777" w:rsidTr="004050C7">
        <w:tc>
          <w:tcPr>
            <w:tcW w:w="568" w:type="dxa"/>
            <w:shd w:val="clear" w:color="auto" w:fill="FFFFFF" w:themeFill="background1"/>
            <w:vAlign w:val="center"/>
          </w:tcPr>
          <w:p w14:paraId="3C41B4DB"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3FC415C4" w14:textId="77777777" w:rsidR="007F0E3C" w:rsidRPr="006555FF" w:rsidRDefault="007F0E3C" w:rsidP="00442670">
            <w:pPr>
              <w:pStyle w:val="1GAPara"/>
              <w:numPr>
                <w:ilvl w:val="0"/>
                <w:numId w:val="0"/>
              </w:numPr>
              <w:spacing w:before="60" w:after="60"/>
              <w:rPr>
                <w:rFonts w:asciiTheme="minorBidi" w:hAnsiTheme="minorBidi" w:cstheme="minorBidi"/>
                <w:sz w:val="20"/>
                <w:szCs w:val="20"/>
                <w:shd w:val="clear" w:color="auto" w:fill="FAFAFA"/>
              </w:rPr>
            </w:pPr>
            <w:r w:rsidRPr="006555FF">
              <w:rPr>
                <w:rFonts w:asciiTheme="minorBidi" w:hAnsiTheme="minorBidi" w:cstheme="minorBidi"/>
                <w:sz w:val="20"/>
                <w:szCs w:val="20"/>
              </w:rPr>
              <w:t xml:space="preserve">Kyrgyzstan </w:t>
            </w:r>
          </w:p>
        </w:tc>
        <w:tc>
          <w:tcPr>
            <w:tcW w:w="5245" w:type="dxa"/>
            <w:shd w:val="clear" w:color="auto" w:fill="FFFFFF" w:themeFill="background1"/>
            <w:vAlign w:val="center"/>
          </w:tcPr>
          <w:p w14:paraId="6083E2BB" w14:textId="77777777" w:rsidR="007F0E3C" w:rsidRPr="006555FF" w:rsidRDefault="007F0E3C" w:rsidP="00442670">
            <w:pPr>
              <w:pStyle w:val="1GAPara"/>
              <w:numPr>
                <w:ilvl w:val="0"/>
                <w:numId w:val="0"/>
              </w:numPr>
              <w:spacing w:before="60" w:after="60"/>
              <w:rPr>
                <w:rFonts w:asciiTheme="minorBidi" w:hAnsiTheme="minorBidi" w:cstheme="minorBidi"/>
                <w:sz w:val="20"/>
                <w:szCs w:val="20"/>
                <w:shd w:val="clear" w:color="auto" w:fill="FAFAFA"/>
              </w:rPr>
            </w:pPr>
            <w:r w:rsidRPr="006555FF">
              <w:rPr>
                <w:rFonts w:asciiTheme="minorBidi" w:hAnsiTheme="minorBidi" w:cstheme="minorBidi"/>
                <w:sz w:val="20"/>
                <w:szCs w:val="20"/>
                <w:shd w:val="clear" w:color="auto" w:fill="FAFAFA"/>
              </w:rPr>
              <w:t>Digital journey to intangible cultural heritage of Kyrgyzstan (No. 02007)</w:t>
            </w:r>
          </w:p>
        </w:tc>
        <w:tc>
          <w:tcPr>
            <w:tcW w:w="1984" w:type="dxa"/>
            <w:shd w:val="clear" w:color="auto" w:fill="FFFFFF" w:themeFill="background1"/>
            <w:vAlign w:val="center"/>
          </w:tcPr>
          <w:p w14:paraId="3E9E1AAB" w14:textId="79DA93CE" w:rsidR="007F0E3C" w:rsidRPr="006555FF" w:rsidRDefault="007F0E3C" w:rsidP="00442670">
            <w:pPr>
              <w:spacing w:before="60" w:after="60"/>
              <w:rPr>
                <w:rFonts w:asciiTheme="minorBidi" w:hAnsiTheme="minorBidi" w:cstheme="minorBidi"/>
                <w:snapToGrid w:val="0"/>
                <w:sz w:val="20"/>
                <w:szCs w:val="20"/>
                <w:shd w:val="clear" w:color="auto" w:fill="FAFAFA"/>
                <w:lang w:eastAsia="en-US"/>
              </w:rPr>
            </w:pPr>
            <w:hyperlink r:id="rId50" w:history="1">
              <w:r w:rsidRPr="006555FF">
                <w:rPr>
                  <w:rStyle w:val="Hyperlink"/>
                  <w:rFonts w:asciiTheme="minorBidi" w:hAnsiTheme="minorBidi" w:cstheme="minorBidi"/>
                  <w:sz w:val="20"/>
                  <w:szCs w:val="20"/>
                </w:rPr>
                <w:t>17.COM 5.BUR 3.2</w:t>
              </w:r>
            </w:hyperlink>
          </w:p>
        </w:tc>
      </w:tr>
      <w:tr w:rsidR="007F0E3C" w:rsidRPr="006555FF" w14:paraId="2EEB3A48" w14:textId="77777777" w:rsidTr="004050C7">
        <w:tc>
          <w:tcPr>
            <w:tcW w:w="568" w:type="dxa"/>
            <w:shd w:val="clear" w:color="auto" w:fill="FFFFFF" w:themeFill="background1"/>
            <w:vAlign w:val="center"/>
          </w:tcPr>
          <w:p w14:paraId="74BE6D55"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4875557B"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Mali</w:t>
            </w:r>
          </w:p>
        </w:tc>
        <w:tc>
          <w:tcPr>
            <w:tcW w:w="5245" w:type="dxa"/>
            <w:shd w:val="clear" w:color="auto" w:fill="FFFFFF" w:themeFill="background1"/>
            <w:vAlign w:val="center"/>
          </w:tcPr>
          <w:p w14:paraId="585D3669" w14:textId="2DB8ED0F" w:rsidR="007F0E3C" w:rsidRPr="006555FF" w:rsidRDefault="007F0E3C" w:rsidP="00442670">
            <w:pPr>
              <w:pStyle w:val="1GAPara"/>
              <w:numPr>
                <w:ilvl w:val="0"/>
                <w:numId w:val="0"/>
              </w:numPr>
              <w:spacing w:before="60" w:after="60"/>
              <w:rPr>
                <w:rFonts w:asciiTheme="minorBidi" w:hAnsiTheme="minorBidi" w:cstheme="minorBidi"/>
                <w:sz w:val="20"/>
                <w:szCs w:val="20"/>
                <w:shd w:val="clear" w:color="auto" w:fill="FAFAFA"/>
              </w:rPr>
            </w:pPr>
            <w:r w:rsidRPr="006555FF">
              <w:rPr>
                <w:rFonts w:asciiTheme="minorBidi" w:hAnsiTheme="minorBidi" w:cstheme="minorBidi"/>
                <w:sz w:val="20"/>
                <w:szCs w:val="20"/>
                <w:shd w:val="clear" w:color="auto" w:fill="FAFAFA"/>
              </w:rPr>
              <w:t>Safeguarding plans for the transfer of three elements of Mali</w:t>
            </w:r>
            <w:r w:rsidR="005A1027" w:rsidRPr="006555FF">
              <w:rPr>
                <w:rFonts w:asciiTheme="minorBidi" w:hAnsiTheme="minorBidi" w:cstheme="minorBidi"/>
                <w:sz w:val="20"/>
                <w:szCs w:val="20"/>
                <w:shd w:val="clear" w:color="auto" w:fill="FAFAFA"/>
              </w:rPr>
              <w:t>’</w:t>
            </w:r>
            <w:r w:rsidRPr="006555FF">
              <w:rPr>
                <w:rFonts w:asciiTheme="minorBidi" w:hAnsiTheme="minorBidi" w:cstheme="minorBidi"/>
                <w:sz w:val="20"/>
                <w:szCs w:val="20"/>
                <w:shd w:val="clear" w:color="auto" w:fill="FAFAFA"/>
              </w:rPr>
              <w:t>s intangible cultural heritage inscribed on the Urgent Safeguarding List to the Representative List (No. 02149)</w:t>
            </w:r>
          </w:p>
        </w:tc>
        <w:tc>
          <w:tcPr>
            <w:tcW w:w="1984" w:type="dxa"/>
            <w:shd w:val="clear" w:color="auto" w:fill="FFFFFF" w:themeFill="background1"/>
            <w:vAlign w:val="center"/>
          </w:tcPr>
          <w:p w14:paraId="0AFD351C" w14:textId="78EEC327" w:rsidR="007F0E3C" w:rsidRPr="006555FF" w:rsidRDefault="007F0E3C" w:rsidP="00442670">
            <w:pPr>
              <w:spacing w:before="60" w:after="60"/>
              <w:rPr>
                <w:rStyle w:val="Hyperlink"/>
              </w:rPr>
            </w:pPr>
            <w:hyperlink r:id="rId51" w:history="1">
              <w:r w:rsidRPr="006555FF">
                <w:rPr>
                  <w:rStyle w:val="Hyperlink"/>
                  <w:rFonts w:asciiTheme="minorBidi" w:hAnsiTheme="minorBidi" w:cstheme="minorBidi"/>
                  <w:sz w:val="20"/>
                  <w:szCs w:val="20"/>
                </w:rPr>
                <w:t>18.COM 3.BUR 3.2</w:t>
              </w:r>
            </w:hyperlink>
          </w:p>
        </w:tc>
      </w:tr>
      <w:tr w:rsidR="007F0E3C" w:rsidRPr="006555FF" w14:paraId="00ED1E40" w14:textId="77777777" w:rsidTr="004050C7">
        <w:tc>
          <w:tcPr>
            <w:tcW w:w="568" w:type="dxa"/>
            <w:shd w:val="clear" w:color="auto" w:fill="FFFFFF" w:themeFill="background1"/>
            <w:vAlign w:val="center"/>
          </w:tcPr>
          <w:p w14:paraId="11279E19"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37E8D290"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 xml:space="preserve">Mauritania </w:t>
            </w:r>
          </w:p>
        </w:tc>
        <w:tc>
          <w:tcPr>
            <w:tcW w:w="5245" w:type="dxa"/>
            <w:shd w:val="clear" w:color="auto" w:fill="FFFFFF" w:themeFill="background1"/>
            <w:vAlign w:val="center"/>
          </w:tcPr>
          <w:p w14:paraId="79E2C1F7" w14:textId="2A6B318A" w:rsidR="007F0E3C" w:rsidRPr="006555FF" w:rsidRDefault="007F0E3C" w:rsidP="00442670">
            <w:pPr>
              <w:pStyle w:val="1GAPara"/>
              <w:numPr>
                <w:ilvl w:val="0"/>
                <w:numId w:val="0"/>
              </w:numPr>
              <w:spacing w:before="60" w:after="60"/>
              <w:rPr>
                <w:rFonts w:asciiTheme="minorBidi" w:hAnsiTheme="minorBidi" w:cstheme="minorBidi"/>
                <w:sz w:val="20"/>
                <w:szCs w:val="20"/>
                <w:shd w:val="clear" w:color="auto" w:fill="FAFAFA"/>
              </w:rPr>
            </w:pPr>
            <w:r w:rsidRPr="006555FF">
              <w:rPr>
                <w:rFonts w:asciiTheme="minorBidi" w:hAnsiTheme="minorBidi" w:cstheme="minorBidi"/>
                <w:sz w:val="20"/>
                <w:szCs w:val="20"/>
                <w:shd w:val="clear" w:color="auto" w:fill="FAFAFA"/>
              </w:rPr>
              <w:t>Safeguarding and inventories of children</w:t>
            </w:r>
            <w:r w:rsidR="005A1027" w:rsidRPr="006555FF">
              <w:rPr>
                <w:rFonts w:asciiTheme="minorBidi" w:hAnsiTheme="minorBidi" w:cstheme="minorBidi"/>
                <w:sz w:val="20"/>
                <w:szCs w:val="20"/>
                <w:shd w:val="clear" w:color="auto" w:fill="FAFAFA"/>
              </w:rPr>
              <w:t>’</w:t>
            </w:r>
            <w:r w:rsidRPr="006555FF">
              <w:rPr>
                <w:rFonts w:asciiTheme="minorBidi" w:hAnsiTheme="minorBidi" w:cstheme="minorBidi"/>
                <w:sz w:val="20"/>
                <w:szCs w:val="20"/>
                <w:shd w:val="clear" w:color="auto" w:fill="FAFAFA"/>
              </w:rPr>
              <w:t>s tales and narratives in Mauritania (No. 02046)</w:t>
            </w:r>
          </w:p>
        </w:tc>
        <w:tc>
          <w:tcPr>
            <w:tcW w:w="1984" w:type="dxa"/>
            <w:shd w:val="clear" w:color="auto" w:fill="FFFFFF" w:themeFill="background1"/>
            <w:vAlign w:val="center"/>
          </w:tcPr>
          <w:p w14:paraId="0B3810E7" w14:textId="03278AD1" w:rsidR="007F0E3C" w:rsidRPr="006555FF" w:rsidRDefault="007F0E3C" w:rsidP="00442670">
            <w:pPr>
              <w:spacing w:before="60" w:after="60"/>
              <w:rPr>
                <w:rStyle w:val="Hyperlink"/>
                <w:rFonts w:asciiTheme="minorBidi" w:hAnsiTheme="minorBidi" w:cstheme="minorBidi"/>
                <w:sz w:val="20"/>
                <w:szCs w:val="20"/>
              </w:rPr>
            </w:pPr>
            <w:hyperlink r:id="rId52" w:history="1">
              <w:r w:rsidRPr="006555FF">
                <w:rPr>
                  <w:rStyle w:val="Hyperlink"/>
                  <w:rFonts w:asciiTheme="minorBidi" w:hAnsiTheme="minorBidi" w:cstheme="minorBidi"/>
                  <w:sz w:val="20"/>
                  <w:szCs w:val="20"/>
                </w:rPr>
                <w:t>18.COM 2.BUR 4.2</w:t>
              </w:r>
            </w:hyperlink>
          </w:p>
        </w:tc>
      </w:tr>
      <w:tr w:rsidR="007F0E3C" w:rsidRPr="006555FF" w14:paraId="7382FF96" w14:textId="77777777" w:rsidTr="004050C7">
        <w:tc>
          <w:tcPr>
            <w:tcW w:w="568" w:type="dxa"/>
            <w:shd w:val="clear" w:color="auto" w:fill="FFFFFF" w:themeFill="background1"/>
            <w:vAlign w:val="center"/>
          </w:tcPr>
          <w:p w14:paraId="23AE36CC"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6D78F6C4"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 xml:space="preserve">Nicaragua </w:t>
            </w:r>
          </w:p>
        </w:tc>
        <w:tc>
          <w:tcPr>
            <w:tcW w:w="5245" w:type="dxa"/>
            <w:shd w:val="clear" w:color="auto" w:fill="FFFFFF" w:themeFill="background1"/>
            <w:vAlign w:val="center"/>
          </w:tcPr>
          <w:p w14:paraId="549FAD8F"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Inventory of the intangible cultural heritage of traditional and religious festivities in the municipalities of Bluefields, Diriamba, León, El Viejo and Masaya (No. 02042)</w:t>
            </w:r>
          </w:p>
        </w:tc>
        <w:tc>
          <w:tcPr>
            <w:tcW w:w="1984" w:type="dxa"/>
            <w:shd w:val="clear" w:color="auto" w:fill="FFFFFF" w:themeFill="background1"/>
            <w:vAlign w:val="center"/>
          </w:tcPr>
          <w:p w14:paraId="0CD21BD9" w14:textId="5897A7FA" w:rsidR="007F0E3C" w:rsidRPr="006555FF" w:rsidRDefault="007F0E3C" w:rsidP="00442670">
            <w:pPr>
              <w:spacing w:before="60" w:after="60"/>
              <w:rPr>
                <w:rStyle w:val="Hyperlink"/>
              </w:rPr>
            </w:pPr>
            <w:hyperlink r:id="rId53" w:history="1">
              <w:r w:rsidRPr="006555FF">
                <w:rPr>
                  <w:rStyle w:val="Hyperlink"/>
                  <w:rFonts w:asciiTheme="minorBidi" w:hAnsiTheme="minorBidi" w:cstheme="minorBidi"/>
                  <w:sz w:val="20"/>
                  <w:szCs w:val="20"/>
                </w:rPr>
                <w:t>18.COM 2.BUR 4.3</w:t>
              </w:r>
            </w:hyperlink>
          </w:p>
        </w:tc>
      </w:tr>
      <w:tr w:rsidR="007F0E3C" w:rsidRPr="006555FF" w14:paraId="4339ADAF" w14:textId="77777777" w:rsidTr="004050C7">
        <w:tc>
          <w:tcPr>
            <w:tcW w:w="568" w:type="dxa"/>
            <w:shd w:val="clear" w:color="auto" w:fill="FFFFFF" w:themeFill="background1"/>
            <w:vAlign w:val="center"/>
          </w:tcPr>
          <w:p w14:paraId="2AE1766C"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2688D7CA" w14:textId="75DAA0C2"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Paraguay</w:t>
            </w:r>
            <w:r w:rsidR="00442670" w:rsidRPr="006555FF">
              <w:rPr>
                <w:rFonts w:asciiTheme="minorBidi" w:hAnsiTheme="minorBidi" w:cstheme="minorBidi"/>
                <w:sz w:val="20"/>
                <w:szCs w:val="20"/>
              </w:rPr>
              <w:t>*</w:t>
            </w:r>
          </w:p>
        </w:tc>
        <w:tc>
          <w:tcPr>
            <w:tcW w:w="5245" w:type="dxa"/>
            <w:shd w:val="clear" w:color="auto" w:fill="FFFFFF" w:themeFill="background1"/>
            <w:vAlign w:val="center"/>
          </w:tcPr>
          <w:p w14:paraId="6ACB2FF4" w14:textId="3391E518"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 xml:space="preserve">Ancestral and traditional techniques for the elaboration of the </w:t>
            </w:r>
            <w:r w:rsidR="005A1027" w:rsidRPr="006555FF">
              <w:rPr>
                <w:rFonts w:asciiTheme="minorBidi" w:hAnsiTheme="minorBidi" w:cstheme="minorBidi"/>
                <w:sz w:val="20"/>
                <w:szCs w:val="20"/>
              </w:rPr>
              <w:t>‘</w:t>
            </w:r>
            <w:r w:rsidRPr="006555FF">
              <w:rPr>
                <w:rFonts w:asciiTheme="minorBidi" w:hAnsiTheme="minorBidi" w:cstheme="minorBidi"/>
                <w:sz w:val="20"/>
                <w:szCs w:val="20"/>
              </w:rPr>
              <w:t>Poncho Para</w:t>
            </w:r>
            <w:r w:rsidR="005A1027" w:rsidRPr="006555FF">
              <w:rPr>
                <w:rFonts w:asciiTheme="minorBidi" w:hAnsiTheme="minorBidi" w:cstheme="minorBidi"/>
                <w:sz w:val="20"/>
                <w:szCs w:val="20"/>
              </w:rPr>
              <w:t>’</w:t>
            </w:r>
            <w:r w:rsidRPr="006555FF">
              <w:rPr>
                <w:rFonts w:asciiTheme="minorBidi" w:hAnsiTheme="minorBidi" w:cstheme="minorBidi"/>
                <w:sz w:val="20"/>
                <w:szCs w:val="20"/>
              </w:rPr>
              <w:t>i de 60 Listas</w:t>
            </w:r>
            <w:r w:rsidR="005A1027" w:rsidRPr="006555FF">
              <w:rPr>
                <w:rFonts w:asciiTheme="minorBidi" w:hAnsiTheme="minorBidi" w:cstheme="minorBidi"/>
                <w:sz w:val="20"/>
                <w:szCs w:val="20"/>
              </w:rPr>
              <w:t>’</w:t>
            </w:r>
            <w:r w:rsidRPr="006555FF">
              <w:rPr>
                <w:rFonts w:asciiTheme="minorBidi" w:hAnsiTheme="minorBidi" w:cstheme="minorBidi"/>
                <w:sz w:val="20"/>
                <w:szCs w:val="20"/>
              </w:rPr>
              <w:t>, from the city of Piribebuy, Republic of Paraguay (No. 02076)</w:t>
            </w:r>
          </w:p>
        </w:tc>
        <w:tc>
          <w:tcPr>
            <w:tcW w:w="1984" w:type="dxa"/>
            <w:shd w:val="clear" w:color="auto" w:fill="FFFFFF" w:themeFill="background1"/>
            <w:vAlign w:val="center"/>
          </w:tcPr>
          <w:p w14:paraId="0FFBA01A" w14:textId="7CB2B009" w:rsidR="007F0E3C" w:rsidRPr="006555FF" w:rsidRDefault="007F0E3C" w:rsidP="00442670">
            <w:pPr>
              <w:spacing w:before="60" w:after="60"/>
              <w:rPr>
                <w:rStyle w:val="Hyperlink"/>
              </w:rPr>
            </w:pPr>
            <w:hyperlink r:id="rId54" w:history="1">
              <w:r w:rsidRPr="006555FF">
                <w:rPr>
                  <w:rStyle w:val="Hyperlink"/>
                  <w:rFonts w:asciiTheme="minorBidi" w:hAnsiTheme="minorBidi" w:cstheme="minorBidi"/>
                  <w:sz w:val="20"/>
                  <w:szCs w:val="20"/>
                </w:rPr>
                <w:t>18.COM 8.a.6</w:t>
              </w:r>
            </w:hyperlink>
          </w:p>
        </w:tc>
      </w:tr>
      <w:tr w:rsidR="007F0E3C" w:rsidRPr="006555FF" w14:paraId="2E164386" w14:textId="77777777" w:rsidTr="004050C7">
        <w:tc>
          <w:tcPr>
            <w:tcW w:w="568" w:type="dxa"/>
            <w:shd w:val="clear" w:color="auto" w:fill="FFFFFF" w:themeFill="background1"/>
            <w:vAlign w:val="center"/>
          </w:tcPr>
          <w:p w14:paraId="16C8DACF"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327EEE93"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Peru</w:t>
            </w:r>
          </w:p>
        </w:tc>
        <w:tc>
          <w:tcPr>
            <w:tcW w:w="5245" w:type="dxa"/>
            <w:shd w:val="clear" w:color="auto" w:fill="FFFFFF" w:themeFill="background1"/>
            <w:vAlign w:val="center"/>
          </w:tcPr>
          <w:p w14:paraId="4A9339CB"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Strengthening and promotion of the intergenerational transmission of knowledge and meanings related to the production of traditional pottery in Checca Pupuja, Puno (No. 02078)</w:t>
            </w:r>
          </w:p>
        </w:tc>
        <w:tc>
          <w:tcPr>
            <w:tcW w:w="1984" w:type="dxa"/>
            <w:shd w:val="clear" w:color="auto" w:fill="FFFFFF" w:themeFill="background1"/>
            <w:vAlign w:val="center"/>
          </w:tcPr>
          <w:p w14:paraId="0D1D0A06" w14:textId="04D4C504" w:rsidR="007F0E3C" w:rsidRPr="006555FF" w:rsidRDefault="007F0E3C" w:rsidP="00442670">
            <w:pPr>
              <w:spacing w:before="60" w:after="60"/>
              <w:rPr>
                <w:rStyle w:val="Hyperlink"/>
              </w:rPr>
            </w:pPr>
            <w:hyperlink r:id="rId55" w:history="1">
              <w:r w:rsidRPr="006555FF">
                <w:rPr>
                  <w:rStyle w:val="Hyperlink"/>
                  <w:rFonts w:asciiTheme="minorBidi" w:hAnsiTheme="minorBidi" w:cstheme="minorBidi"/>
                  <w:sz w:val="20"/>
                  <w:szCs w:val="20"/>
                </w:rPr>
                <w:t>18.COM 2.BUR 4.4</w:t>
              </w:r>
            </w:hyperlink>
          </w:p>
        </w:tc>
      </w:tr>
      <w:tr w:rsidR="007F0E3C" w:rsidRPr="006555FF" w14:paraId="41E4E096" w14:textId="77777777" w:rsidTr="004050C7">
        <w:tc>
          <w:tcPr>
            <w:tcW w:w="568" w:type="dxa"/>
            <w:shd w:val="clear" w:color="auto" w:fill="FFFFFF" w:themeFill="background1"/>
            <w:vAlign w:val="center"/>
          </w:tcPr>
          <w:p w14:paraId="27294020"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748DDA4C"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Saint Kitts and Nevis</w:t>
            </w:r>
          </w:p>
        </w:tc>
        <w:tc>
          <w:tcPr>
            <w:tcW w:w="5245" w:type="dxa"/>
            <w:shd w:val="clear" w:color="auto" w:fill="FFFFFF" w:themeFill="background1"/>
            <w:vAlign w:val="center"/>
          </w:tcPr>
          <w:p w14:paraId="00FC8B2D"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Safeguarding Saint Kitts and Nevis Intangible Cultural Heritage: Developing a National Intangible Cultural Heritage Policy (No. 01930)</w:t>
            </w:r>
          </w:p>
        </w:tc>
        <w:tc>
          <w:tcPr>
            <w:tcW w:w="1984" w:type="dxa"/>
            <w:shd w:val="clear" w:color="auto" w:fill="FFFFFF" w:themeFill="background1"/>
            <w:vAlign w:val="center"/>
          </w:tcPr>
          <w:p w14:paraId="7373F0AC" w14:textId="77777777" w:rsidR="007F0E3C" w:rsidRPr="006555FF" w:rsidRDefault="007F0E3C" w:rsidP="00442670">
            <w:pPr>
              <w:spacing w:before="60" w:after="60"/>
              <w:rPr>
                <w:rStyle w:val="Hyperlink"/>
              </w:rPr>
            </w:pPr>
            <w:hyperlink r:id="rId56" w:history="1">
              <w:r w:rsidRPr="006555FF">
                <w:rPr>
                  <w:rStyle w:val="Hyperlink"/>
                  <w:rFonts w:asciiTheme="minorBidi" w:hAnsiTheme="minorBidi" w:cstheme="minorBidi"/>
                  <w:sz w:val="20"/>
                  <w:szCs w:val="20"/>
                </w:rPr>
                <w:t>17.COM 4.BUR 3.3</w:t>
              </w:r>
            </w:hyperlink>
          </w:p>
        </w:tc>
      </w:tr>
      <w:tr w:rsidR="007F0E3C" w:rsidRPr="006555FF" w14:paraId="6E080B5D" w14:textId="77777777" w:rsidTr="004050C7">
        <w:tc>
          <w:tcPr>
            <w:tcW w:w="568" w:type="dxa"/>
            <w:shd w:val="clear" w:color="auto" w:fill="FFFFFF" w:themeFill="background1"/>
            <w:vAlign w:val="center"/>
          </w:tcPr>
          <w:p w14:paraId="0488A14E"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08A0D367" w14:textId="7DF15AE9"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Sao Tom</w:t>
            </w:r>
            <w:r w:rsidR="00F23551" w:rsidRPr="006555FF">
              <w:rPr>
                <w:rFonts w:asciiTheme="minorBidi" w:hAnsiTheme="minorBidi" w:cstheme="minorBidi"/>
                <w:sz w:val="20"/>
                <w:szCs w:val="20"/>
              </w:rPr>
              <w:t>e</w:t>
            </w:r>
            <w:r w:rsidRPr="006555FF">
              <w:rPr>
                <w:rFonts w:asciiTheme="minorBidi" w:hAnsiTheme="minorBidi" w:cstheme="minorBidi"/>
                <w:sz w:val="20"/>
                <w:szCs w:val="20"/>
              </w:rPr>
              <w:t xml:space="preserve"> and Principe</w:t>
            </w:r>
            <w:r w:rsidR="00A85010" w:rsidRPr="006555FF">
              <w:rPr>
                <w:rFonts w:asciiTheme="minorBidi" w:hAnsiTheme="minorBidi" w:cstheme="minorBidi"/>
                <w:sz w:val="20"/>
                <w:szCs w:val="20"/>
              </w:rPr>
              <w:t>*</w:t>
            </w:r>
          </w:p>
        </w:tc>
        <w:tc>
          <w:tcPr>
            <w:tcW w:w="5245" w:type="dxa"/>
            <w:shd w:val="clear" w:color="auto" w:fill="FFFFFF" w:themeFill="background1"/>
            <w:vAlign w:val="center"/>
          </w:tcPr>
          <w:p w14:paraId="1CDAD463" w14:textId="2C43CA9B" w:rsidR="007F0E3C" w:rsidRPr="006555FF" w:rsidRDefault="007F0E3C" w:rsidP="00442670">
            <w:pPr>
              <w:spacing w:before="60" w:after="60"/>
              <w:rPr>
                <w:rFonts w:asciiTheme="minorBidi" w:hAnsiTheme="minorBidi" w:cstheme="minorBidi"/>
                <w:sz w:val="20"/>
                <w:szCs w:val="20"/>
              </w:rPr>
            </w:pPr>
            <w:r w:rsidRPr="006555FF">
              <w:rPr>
                <w:rFonts w:asciiTheme="minorBidi" w:hAnsiTheme="minorBidi" w:cstheme="minorBidi"/>
                <w:sz w:val="20"/>
                <w:szCs w:val="20"/>
              </w:rPr>
              <w:t>Development of a national inventory of intangible cultural heritage in Sao Tom</w:t>
            </w:r>
            <w:r w:rsidR="00F23551" w:rsidRPr="006555FF">
              <w:rPr>
                <w:rFonts w:asciiTheme="minorBidi" w:hAnsiTheme="minorBidi" w:cstheme="minorBidi"/>
                <w:sz w:val="20"/>
                <w:szCs w:val="20"/>
              </w:rPr>
              <w:t>e</w:t>
            </w:r>
            <w:r w:rsidRPr="006555FF">
              <w:rPr>
                <w:rFonts w:asciiTheme="minorBidi" w:hAnsiTheme="minorBidi" w:cstheme="minorBidi"/>
                <w:sz w:val="20"/>
                <w:szCs w:val="20"/>
              </w:rPr>
              <w:t xml:space="preserve"> and Principe</w:t>
            </w:r>
            <w:r w:rsidR="004050C7" w:rsidRPr="006555FF">
              <w:rPr>
                <w:rFonts w:asciiTheme="minorBidi" w:hAnsiTheme="minorBidi" w:cstheme="minorBidi"/>
                <w:sz w:val="20"/>
                <w:szCs w:val="20"/>
              </w:rPr>
              <w:t xml:space="preserve"> (No. 02125)</w:t>
            </w:r>
          </w:p>
        </w:tc>
        <w:tc>
          <w:tcPr>
            <w:tcW w:w="1984" w:type="dxa"/>
            <w:shd w:val="clear" w:color="auto" w:fill="FFFFFF" w:themeFill="background1"/>
            <w:vAlign w:val="center"/>
          </w:tcPr>
          <w:p w14:paraId="121295C3" w14:textId="0226099F" w:rsidR="007F0E3C" w:rsidRPr="006555FF" w:rsidRDefault="007F0E3C" w:rsidP="00442670">
            <w:pPr>
              <w:spacing w:before="60" w:after="60"/>
              <w:rPr>
                <w:rStyle w:val="Hyperlink"/>
              </w:rPr>
            </w:pPr>
            <w:hyperlink r:id="rId57" w:history="1">
              <w:r w:rsidRPr="006555FF">
                <w:rPr>
                  <w:rStyle w:val="Hyperlink"/>
                  <w:rFonts w:asciiTheme="minorBidi" w:hAnsiTheme="minorBidi" w:cstheme="minorBidi"/>
                  <w:sz w:val="20"/>
                  <w:szCs w:val="20"/>
                </w:rPr>
                <w:t>19.COM 3.BUR 3.4</w:t>
              </w:r>
            </w:hyperlink>
          </w:p>
        </w:tc>
      </w:tr>
      <w:tr w:rsidR="007F0E3C" w:rsidRPr="006555FF" w14:paraId="6848B92A" w14:textId="77777777" w:rsidTr="004050C7">
        <w:tc>
          <w:tcPr>
            <w:tcW w:w="568" w:type="dxa"/>
            <w:shd w:val="clear" w:color="auto" w:fill="FFFFFF" w:themeFill="background1"/>
            <w:vAlign w:val="center"/>
          </w:tcPr>
          <w:p w14:paraId="45A8F176"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7D440D50"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South Sudan*</w:t>
            </w:r>
          </w:p>
        </w:tc>
        <w:tc>
          <w:tcPr>
            <w:tcW w:w="5245" w:type="dxa"/>
            <w:shd w:val="clear" w:color="auto" w:fill="FFFFFF" w:themeFill="background1"/>
            <w:vAlign w:val="center"/>
          </w:tcPr>
          <w:p w14:paraId="36BFA0E9" w14:textId="77777777" w:rsidR="007F0E3C" w:rsidRPr="006555FF" w:rsidRDefault="007F0E3C" w:rsidP="00442670">
            <w:pPr>
              <w:spacing w:before="60" w:after="60"/>
              <w:rPr>
                <w:rFonts w:asciiTheme="minorBidi" w:hAnsiTheme="minorBidi" w:cstheme="minorBidi"/>
                <w:b/>
                <w:bCs/>
                <w:sz w:val="20"/>
                <w:szCs w:val="20"/>
                <w:u w:val="single"/>
              </w:rPr>
            </w:pPr>
            <w:r w:rsidRPr="006555FF">
              <w:rPr>
                <w:rFonts w:asciiTheme="minorBidi" w:hAnsiTheme="minorBidi" w:cstheme="minorBidi"/>
                <w:sz w:val="20"/>
                <w:szCs w:val="20"/>
              </w:rPr>
              <w:t xml:space="preserve">Development of an inventory of intangible cultural heritage in South Sudan (No. 01535) </w:t>
            </w:r>
          </w:p>
        </w:tc>
        <w:tc>
          <w:tcPr>
            <w:tcW w:w="1984" w:type="dxa"/>
            <w:shd w:val="clear" w:color="auto" w:fill="FFFFFF" w:themeFill="background1"/>
            <w:vAlign w:val="center"/>
          </w:tcPr>
          <w:p w14:paraId="708CE561" w14:textId="77777777" w:rsidR="007F0E3C" w:rsidRPr="006555FF" w:rsidRDefault="007F0E3C" w:rsidP="00442670">
            <w:pPr>
              <w:spacing w:before="60" w:after="60"/>
              <w:rPr>
                <w:rStyle w:val="Hyperlink"/>
                <w:rFonts w:asciiTheme="minorBidi" w:hAnsiTheme="minorBidi" w:cstheme="minorBidi"/>
                <w:sz w:val="20"/>
                <w:szCs w:val="20"/>
              </w:rPr>
            </w:pPr>
            <w:hyperlink r:id="rId58" w:history="1">
              <w:r w:rsidRPr="006555FF">
                <w:rPr>
                  <w:rStyle w:val="Hyperlink"/>
                  <w:rFonts w:asciiTheme="minorBidi" w:hAnsiTheme="minorBidi" w:cstheme="minorBidi"/>
                  <w:sz w:val="20"/>
                  <w:szCs w:val="20"/>
                </w:rPr>
                <w:t>15.COM 2.BUR 3.5</w:t>
              </w:r>
            </w:hyperlink>
          </w:p>
        </w:tc>
      </w:tr>
      <w:tr w:rsidR="007F0E3C" w:rsidRPr="006555FF" w14:paraId="79E0C8F1" w14:textId="77777777" w:rsidTr="004050C7">
        <w:tc>
          <w:tcPr>
            <w:tcW w:w="568" w:type="dxa"/>
            <w:shd w:val="clear" w:color="auto" w:fill="FFFFFF" w:themeFill="background1"/>
            <w:vAlign w:val="center"/>
          </w:tcPr>
          <w:p w14:paraId="48F47512"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653C1432"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Thailand*</w:t>
            </w:r>
          </w:p>
        </w:tc>
        <w:tc>
          <w:tcPr>
            <w:tcW w:w="5245" w:type="dxa"/>
            <w:shd w:val="clear" w:color="auto" w:fill="FFFFFF" w:themeFill="background1"/>
            <w:vAlign w:val="center"/>
          </w:tcPr>
          <w:p w14:paraId="4CDFA824" w14:textId="77777777" w:rsidR="007F0E3C" w:rsidRPr="006555FF" w:rsidRDefault="007F0E3C" w:rsidP="00442670">
            <w:pPr>
              <w:pStyle w:val="1GAPara"/>
              <w:numPr>
                <w:ilvl w:val="0"/>
                <w:numId w:val="0"/>
              </w:numPr>
              <w:spacing w:before="60" w:after="60"/>
              <w:rPr>
                <w:rFonts w:asciiTheme="minorBidi" w:hAnsiTheme="minorBidi" w:cstheme="minorBidi"/>
                <w:b/>
                <w:bCs/>
                <w:sz w:val="20"/>
                <w:szCs w:val="20"/>
                <w:u w:val="single"/>
              </w:rPr>
            </w:pPr>
            <w:r w:rsidRPr="006555FF">
              <w:rPr>
                <w:rFonts w:asciiTheme="minorBidi" w:hAnsiTheme="minorBidi" w:cstheme="minorBidi"/>
                <w:sz w:val="20"/>
                <w:szCs w:val="20"/>
              </w:rPr>
              <w:t>Field School for capacity-building in safeguarding living heritage of ethnic communities in Thailand (No. 2006)</w:t>
            </w:r>
            <w:r w:rsidRPr="006555FF">
              <w:rPr>
                <w:rFonts w:asciiTheme="minorBidi" w:hAnsiTheme="minorBidi" w:cstheme="minorBidi"/>
                <w:b/>
                <w:bCs/>
                <w:sz w:val="20"/>
                <w:szCs w:val="20"/>
                <w:u w:val="single"/>
              </w:rPr>
              <w:t xml:space="preserve"> </w:t>
            </w:r>
          </w:p>
        </w:tc>
        <w:tc>
          <w:tcPr>
            <w:tcW w:w="1984" w:type="dxa"/>
            <w:shd w:val="clear" w:color="auto" w:fill="FFFFFF" w:themeFill="background1"/>
            <w:vAlign w:val="center"/>
          </w:tcPr>
          <w:p w14:paraId="3B424F16" w14:textId="77777777" w:rsidR="007F0E3C" w:rsidRPr="006555FF" w:rsidRDefault="007F0E3C" w:rsidP="00442670">
            <w:pPr>
              <w:spacing w:before="60" w:after="60"/>
              <w:rPr>
                <w:rStyle w:val="Hyperlink"/>
              </w:rPr>
            </w:pPr>
            <w:hyperlink r:id="rId59" w:history="1">
              <w:r w:rsidRPr="006555FF">
                <w:rPr>
                  <w:rStyle w:val="Hyperlink"/>
                  <w:rFonts w:asciiTheme="minorBidi" w:hAnsiTheme="minorBidi" w:cstheme="minorBidi"/>
                  <w:sz w:val="20"/>
                  <w:szCs w:val="20"/>
                </w:rPr>
                <w:t>17.COM 5.BUR 3.3</w:t>
              </w:r>
            </w:hyperlink>
          </w:p>
        </w:tc>
      </w:tr>
      <w:tr w:rsidR="007F0E3C" w:rsidRPr="006555FF" w14:paraId="035A7F7F" w14:textId="77777777" w:rsidTr="004050C7">
        <w:tc>
          <w:tcPr>
            <w:tcW w:w="568" w:type="dxa"/>
            <w:shd w:val="clear" w:color="auto" w:fill="FFFFFF" w:themeFill="background1"/>
            <w:vAlign w:val="center"/>
          </w:tcPr>
          <w:p w14:paraId="45B0D30A"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2B9D03FF"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Uganda</w:t>
            </w:r>
          </w:p>
        </w:tc>
        <w:tc>
          <w:tcPr>
            <w:tcW w:w="5245" w:type="dxa"/>
            <w:shd w:val="clear" w:color="auto" w:fill="FFFFFF" w:themeFill="background1"/>
            <w:vAlign w:val="center"/>
          </w:tcPr>
          <w:p w14:paraId="41AF0D8D"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Consolidating and upscaling efforts of community museums to safeguard six intangible cultural heritage elements in Uganda (No. 02152)</w:t>
            </w:r>
          </w:p>
        </w:tc>
        <w:tc>
          <w:tcPr>
            <w:tcW w:w="1984" w:type="dxa"/>
            <w:shd w:val="clear" w:color="auto" w:fill="FFFFFF" w:themeFill="background1"/>
            <w:vAlign w:val="center"/>
          </w:tcPr>
          <w:p w14:paraId="73A7B1BC" w14:textId="65A24911" w:rsidR="007F0E3C" w:rsidRPr="006555FF" w:rsidRDefault="007F0E3C" w:rsidP="00442670">
            <w:pPr>
              <w:spacing w:before="60" w:after="60"/>
              <w:rPr>
                <w:rFonts w:asciiTheme="minorBidi" w:hAnsiTheme="minorBidi" w:cstheme="minorBidi"/>
                <w:sz w:val="20"/>
                <w:szCs w:val="20"/>
              </w:rPr>
            </w:pPr>
            <w:hyperlink r:id="rId60" w:history="1">
              <w:r w:rsidRPr="006555FF">
                <w:rPr>
                  <w:rStyle w:val="Hyperlink"/>
                  <w:rFonts w:asciiTheme="minorBidi" w:hAnsiTheme="minorBidi" w:cstheme="minorBidi"/>
                  <w:sz w:val="20"/>
                  <w:szCs w:val="20"/>
                </w:rPr>
                <w:t>19.COM 1.BUR 4.3</w:t>
              </w:r>
            </w:hyperlink>
          </w:p>
        </w:tc>
      </w:tr>
      <w:tr w:rsidR="007F0E3C" w:rsidRPr="006555FF" w14:paraId="24EE3064" w14:textId="77777777" w:rsidTr="004050C7">
        <w:tc>
          <w:tcPr>
            <w:tcW w:w="568" w:type="dxa"/>
            <w:shd w:val="clear" w:color="auto" w:fill="FFFFFF" w:themeFill="background1"/>
            <w:vAlign w:val="center"/>
          </w:tcPr>
          <w:p w14:paraId="41D9EAE7"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6015697F"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Uganda</w:t>
            </w:r>
          </w:p>
        </w:tc>
        <w:tc>
          <w:tcPr>
            <w:tcW w:w="5245" w:type="dxa"/>
            <w:shd w:val="clear" w:color="auto" w:fill="FFFFFF" w:themeFill="background1"/>
            <w:vAlign w:val="center"/>
          </w:tcPr>
          <w:p w14:paraId="307D1537"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Consolidating the promotion of intangible cultural heritage education in institutions of higher learning in collaboration with bearer communities (No. 02160)</w:t>
            </w:r>
          </w:p>
        </w:tc>
        <w:tc>
          <w:tcPr>
            <w:tcW w:w="1984" w:type="dxa"/>
            <w:shd w:val="clear" w:color="auto" w:fill="FFFFFF" w:themeFill="background1"/>
            <w:vAlign w:val="center"/>
          </w:tcPr>
          <w:p w14:paraId="49A39DEC" w14:textId="3A2D26F8" w:rsidR="007F0E3C" w:rsidRPr="006555FF" w:rsidRDefault="007F0E3C" w:rsidP="00442670">
            <w:pPr>
              <w:spacing w:before="60" w:after="60"/>
              <w:rPr>
                <w:rFonts w:asciiTheme="minorBidi" w:hAnsiTheme="minorBidi" w:cstheme="minorBidi"/>
                <w:sz w:val="20"/>
                <w:szCs w:val="20"/>
              </w:rPr>
            </w:pPr>
            <w:hyperlink r:id="rId61" w:history="1">
              <w:r w:rsidRPr="006555FF">
                <w:rPr>
                  <w:rStyle w:val="Hyperlink"/>
                  <w:rFonts w:asciiTheme="minorBidi" w:hAnsiTheme="minorBidi" w:cstheme="minorBidi"/>
                  <w:sz w:val="20"/>
                  <w:szCs w:val="20"/>
                </w:rPr>
                <w:t>18.COM 3.BUR 3.3</w:t>
              </w:r>
            </w:hyperlink>
          </w:p>
        </w:tc>
      </w:tr>
      <w:tr w:rsidR="007F0E3C" w:rsidRPr="006555FF" w14:paraId="326BA53D" w14:textId="77777777" w:rsidTr="004050C7">
        <w:tc>
          <w:tcPr>
            <w:tcW w:w="568" w:type="dxa"/>
            <w:shd w:val="clear" w:color="auto" w:fill="FFFFFF" w:themeFill="background1"/>
            <w:vAlign w:val="center"/>
          </w:tcPr>
          <w:p w14:paraId="60C33502"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3BD56EE9" w14:textId="77777777" w:rsidR="007F0E3C" w:rsidRPr="006555FF" w:rsidRDefault="007F0E3C" w:rsidP="00442670">
            <w:pPr>
              <w:pStyle w:val="1GAPara"/>
              <w:numPr>
                <w:ilvl w:val="0"/>
                <w:numId w:val="0"/>
              </w:numPr>
              <w:spacing w:before="60" w:after="60"/>
              <w:rPr>
                <w:rFonts w:asciiTheme="minorBidi" w:hAnsiTheme="minorBidi" w:cstheme="minorBidi"/>
                <w:sz w:val="20"/>
                <w:szCs w:val="20"/>
              </w:rPr>
            </w:pPr>
            <w:r w:rsidRPr="006555FF">
              <w:rPr>
                <w:rFonts w:asciiTheme="minorBidi" w:hAnsiTheme="minorBidi" w:cstheme="minorBidi"/>
                <w:sz w:val="20"/>
                <w:szCs w:val="20"/>
              </w:rPr>
              <w:t>Uzbekistan*</w:t>
            </w:r>
          </w:p>
        </w:tc>
        <w:tc>
          <w:tcPr>
            <w:tcW w:w="5245" w:type="dxa"/>
            <w:shd w:val="clear" w:color="auto" w:fill="FFFFFF" w:themeFill="background1"/>
            <w:vAlign w:val="center"/>
          </w:tcPr>
          <w:p w14:paraId="060CAAAD" w14:textId="77777777" w:rsidR="007F0E3C" w:rsidRPr="006555FF" w:rsidRDefault="007F0E3C" w:rsidP="00442670">
            <w:pPr>
              <w:spacing w:before="60" w:after="60"/>
              <w:rPr>
                <w:rFonts w:asciiTheme="minorBidi" w:hAnsiTheme="minorBidi" w:cstheme="minorBidi"/>
                <w:b/>
                <w:bCs/>
                <w:sz w:val="20"/>
                <w:szCs w:val="20"/>
                <w:u w:val="single"/>
              </w:rPr>
            </w:pPr>
            <w:r w:rsidRPr="006555FF">
              <w:rPr>
                <w:rFonts w:asciiTheme="minorBidi" w:hAnsiTheme="minorBidi" w:cstheme="minorBidi"/>
                <w:sz w:val="20"/>
                <w:szCs w:val="20"/>
              </w:rPr>
              <w:t>Urgent safeguarding of the making of traditional musical instrument Kobyz and its tradition of Zhyrau performance (No. 02146)</w:t>
            </w:r>
          </w:p>
        </w:tc>
        <w:tc>
          <w:tcPr>
            <w:tcW w:w="1984" w:type="dxa"/>
            <w:shd w:val="clear" w:color="auto" w:fill="FFFFFF" w:themeFill="background1"/>
            <w:vAlign w:val="center"/>
          </w:tcPr>
          <w:p w14:paraId="25FB3D4E" w14:textId="713CB801" w:rsidR="007F0E3C" w:rsidRPr="006555FF" w:rsidRDefault="007F0E3C" w:rsidP="00F23551">
            <w:pPr>
              <w:spacing w:before="60" w:after="60"/>
              <w:rPr>
                <w:rStyle w:val="Hyperlink"/>
                <w:rFonts w:asciiTheme="minorBidi" w:hAnsiTheme="minorBidi" w:cstheme="minorBidi"/>
                <w:color w:val="0563C1"/>
                <w:sz w:val="20"/>
                <w:szCs w:val="20"/>
              </w:rPr>
            </w:pPr>
            <w:hyperlink r:id="rId62" w:history="1">
              <w:r w:rsidRPr="006555FF">
                <w:rPr>
                  <w:rStyle w:val="Hyperlink"/>
                  <w:rFonts w:asciiTheme="minorBidi" w:hAnsiTheme="minorBidi" w:cstheme="minorBidi"/>
                  <w:sz w:val="20"/>
                  <w:szCs w:val="20"/>
                </w:rPr>
                <w:t>18.COM 2.BUR 4.7</w:t>
              </w:r>
            </w:hyperlink>
          </w:p>
        </w:tc>
      </w:tr>
      <w:tr w:rsidR="007F0E3C" w:rsidRPr="006555FF" w14:paraId="3DEF4511" w14:textId="77777777" w:rsidTr="004050C7">
        <w:tc>
          <w:tcPr>
            <w:tcW w:w="568" w:type="dxa"/>
            <w:shd w:val="clear" w:color="auto" w:fill="FFFFFF" w:themeFill="background1"/>
            <w:vAlign w:val="center"/>
          </w:tcPr>
          <w:p w14:paraId="66AEEF12" w14:textId="77777777" w:rsidR="007F0E3C" w:rsidRPr="006555FF" w:rsidRDefault="007F0E3C" w:rsidP="00442670">
            <w:pPr>
              <w:pStyle w:val="1GAPara"/>
              <w:spacing w:before="60" w:after="60"/>
              <w:ind w:left="440"/>
              <w:rPr>
                <w:sz w:val="20"/>
                <w:szCs w:val="20"/>
              </w:rPr>
            </w:pPr>
          </w:p>
        </w:tc>
        <w:tc>
          <w:tcPr>
            <w:tcW w:w="2409" w:type="dxa"/>
            <w:shd w:val="clear" w:color="auto" w:fill="FFFFFF" w:themeFill="background1"/>
            <w:vAlign w:val="center"/>
          </w:tcPr>
          <w:p w14:paraId="6016848A" w14:textId="77777777" w:rsidR="007F0E3C" w:rsidRPr="006555FF" w:rsidRDefault="007F0E3C" w:rsidP="00442670">
            <w:pPr>
              <w:spacing w:before="60" w:after="60"/>
              <w:rPr>
                <w:rFonts w:asciiTheme="minorBidi" w:hAnsiTheme="minorBidi" w:cstheme="minorBidi"/>
                <w:sz w:val="20"/>
                <w:szCs w:val="20"/>
              </w:rPr>
            </w:pPr>
            <w:r w:rsidRPr="006555FF">
              <w:rPr>
                <w:rFonts w:asciiTheme="minorBidi" w:hAnsiTheme="minorBidi" w:cstheme="minorBidi"/>
                <w:sz w:val="20"/>
                <w:szCs w:val="20"/>
              </w:rPr>
              <w:t>Zimbabwe</w:t>
            </w:r>
          </w:p>
        </w:tc>
        <w:tc>
          <w:tcPr>
            <w:tcW w:w="5245" w:type="dxa"/>
            <w:shd w:val="clear" w:color="auto" w:fill="FFFFFF" w:themeFill="background1"/>
            <w:vAlign w:val="center"/>
          </w:tcPr>
          <w:p w14:paraId="5AE79DC3" w14:textId="77777777" w:rsidR="007F0E3C" w:rsidRPr="006555FF" w:rsidRDefault="007F0E3C" w:rsidP="00442670">
            <w:pPr>
              <w:spacing w:before="60" w:after="60"/>
              <w:rPr>
                <w:rFonts w:asciiTheme="minorBidi" w:hAnsiTheme="minorBidi" w:cstheme="minorBidi"/>
                <w:sz w:val="20"/>
                <w:szCs w:val="20"/>
              </w:rPr>
            </w:pPr>
            <w:r w:rsidRPr="006555FF">
              <w:rPr>
                <w:rFonts w:asciiTheme="minorBidi" w:hAnsiTheme="minorBidi" w:cstheme="minorBidi"/>
                <w:sz w:val="20"/>
                <w:szCs w:val="20"/>
              </w:rPr>
              <w:t>Awareness raising on the importance of the UNESCO 2003 Convention for the Safeguarding of the Intangible Cultural Heritage among traditional leadership and local communities in Zimbabwe (No. 01901)</w:t>
            </w:r>
          </w:p>
        </w:tc>
        <w:tc>
          <w:tcPr>
            <w:tcW w:w="1984" w:type="dxa"/>
            <w:shd w:val="clear" w:color="auto" w:fill="FFFFFF" w:themeFill="background1"/>
            <w:vAlign w:val="center"/>
          </w:tcPr>
          <w:p w14:paraId="029C36CF" w14:textId="75F4DDAE" w:rsidR="007F0E3C" w:rsidRPr="006555FF" w:rsidRDefault="007F0E3C" w:rsidP="00442670">
            <w:pPr>
              <w:spacing w:before="60" w:after="60"/>
              <w:rPr>
                <w:rFonts w:asciiTheme="minorBidi" w:hAnsiTheme="minorBidi" w:cstheme="minorBidi"/>
                <w:sz w:val="20"/>
                <w:szCs w:val="20"/>
              </w:rPr>
            </w:pPr>
            <w:hyperlink r:id="rId63" w:history="1">
              <w:r w:rsidRPr="006555FF">
                <w:rPr>
                  <w:rStyle w:val="Hyperlink"/>
                  <w:rFonts w:asciiTheme="minorBidi" w:hAnsiTheme="minorBidi" w:cstheme="minorBidi"/>
                  <w:sz w:val="20"/>
                  <w:szCs w:val="20"/>
                </w:rPr>
                <w:t>18.COM 8.d</w:t>
              </w:r>
            </w:hyperlink>
          </w:p>
        </w:tc>
      </w:tr>
    </w:tbl>
    <w:p w14:paraId="5A4991F5" w14:textId="42F57F0A" w:rsidR="009F310B" w:rsidRPr="006555FF" w:rsidRDefault="003A0E6D" w:rsidP="006E3CFA">
      <w:pPr>
        <w:pStyle w:val="1GAPara"/>
        <w:numPr>
          <w:ilvl w:val="0"/>
          <w:numId w:val="0"/>
        </w:numPr>
      </w:pPr>
      <w:r w:rsidRPr="006555FF">
        <w:rPr>
          <w:sz w:val="18"/>
          <w:szCs w:val="18"/>
        </w:rPr>
        <w:t>* First International Assistance granted</w:t>
      </w:r>
      <w:r w:rsidR="00077D4D" w:rsidRPr="006555FF">
        <w:rPr>
          <w:sz w:val="18"/>
          <w:szCs w:val="18"/>
        </w:rPr>
        <w:t xml:space="preserve"> (not including International Assistance through multinational requests)</w:t>
      </w:r>
    </w:p>
    <w:p w14:paraId="7D70016E" w14:textId="62A683D4" w:rsidR="00261CCD" w:rsidRPr="006555FF" w:rsidRDefault="00854D4B" w:rsidP="00261CCD">
      <w:pPr>
        <w:spacing w:after="0"/>
        <w:jc w:val="center"/>
        <w:rPr>
          <w:rFonts w:ascii="Arial" w:eastAsiaTheme="minorEastAsia" w:hAnsi="Arial" w:cs="Arial"/>
          <w:b/>
          <w:szCs w:val="22"/>
          <w:lang w:eastAsia="ko-KR"/>
        </w:rPr>
      </w:pPr>
      <w:r w:rsidRPr="006555FF">
        <w:br w:type="page"/>
      </w:r>
      <w:bookmarkStart w:id="10" w:name="AnnexVI"/>
      <w:bookmarkEnd w:id="10"/>
      <w:r w:rsidR="00261CCD" w:rsidRPr="006555FF">
        <w:rPr>
          <w:rFonts w:ascii="Arial" w:eastAsiaTheme="minorEastAsia" w:hAnsi="Arial" w:cs="Arial"/>
          <w:b/>
          <w:szCs w:val="22"/>
          <w:lang w:eastAsia="ko-KR"/>
        </w:rPr>
        <w:t>ANNEX VI</w:t>
      </w:r>
    </w:p>
    <w:p w14:paraId="4CF3D185" w14:textId="77777777" w:rsidR="00261CCD" w:rsidRPr="006555FF" w:rsidRDefault="00261CCD" w:rsidP="00261CCD">
      <w:pPr>
        <w:spacing w:after="0"/>
        <w:jc w:val="center"/>
        <w:rPr>
          <w:rFonts w:ascii="Arial" w:eastAsiaTheme="minorEastAsia" w:hAnsi="Arial" w:cs="Arial"/>
          <w:b/>
          <w:szCs w:val="22"/>
          <w:lang w:eastAsia="ko-KR"/>
        </w:rPr>
      </w:pPr>
    </w:p>
    <w:p w14:paraId="40B9BF32" w14:textId="77777777" w:rsidR="00261CCD" w:rsidRPr="006555FF" w:rsidRDefault="00261CCD" w:rsidP="00261CCD">
      <w:pPr>
        <w:spacing w:after="0"/>
        <w:jc w:val="center"/>
        <w:rPr>
          <w:rFonts w:asciiTheme="minorBidi" w:eastAsiaTheme="minorEastAsia" w:hAnsiTheme="minorBidi" w:cstheme="minorBidi"/>
          <w:b/>
          <w:bCs/>
        </w:rPr>
      </w:pPr>
      <w:r w:rsidRPr="006555FF">
        <w:rPr>
          <w:rFonts w:asciiTheme="minorBidi" w:eastAsiaTheme="minorEastAsia" w:hAnsiTheme="minorBidi" w:cstheme="minorBidi"/>
          <w:b/>
          <w:bCs/>
        </w:rPr>
        <w:t xml:space="preserve">IMPLEMENTATION REPORT </w:t>
      </w:r>
      <w:bookmarkStart w:id="11" w:name="_Hlk208418445"/>
      <w:r w:rsidRPr="006555FF">
        <w:rPr>
          <w:rFonts w:asciiTheme="minorBidi" w:eastAsiaTheme="minorEastAsia" w:hAnsiTheme="minorBidi" w:cstheme="minorBidi"/>
          <w:b/>
          <w:bCs/>
        </w:rPr>
        <w:t xml:space="preserve">OF THE SPENDING PLAN FOR </w:t>
      </w:r>
    </w:p>
    <w:p w14:paraId="30E8BFE0" w14:textId="6E1E8835" w:rsidR="00261CCD" w:rsidRPr="006555FF" w:rsidRDefault="00261CCD" w:rsidP="00261CCD">
      <w:pPr>
        <w:spacing w:after="0"/>
        <w:jc w:val="center"/>
        <w:rPr>
          <w:rFonts w:asciiTheme="minorBidi" w:eastAsiaTheme="minorEastAsia" w:hAnsiTheme="minorBidi" w:cstheme="minorBidi"/>
          <w:b/>
          <w:bCs/>
        </w:rPr>
      </w:pPr>
      <w:r w:rsidRPr="006555FF">
        <w:rPr>
          <w:rFonts w:asciiTheme="minorBidi" w:eastAsiaTheme="minorEastAsia" w:hAnsiTheme="minorBidi" w:cstheme="minorBidi"/>
          <w:b/>
          <w:bCs/>
        </w:rPr>
        <w:t xml:space="preserve">THE </w:t>
      </w:r>
      <w:r w:rsidR="005A1027" w:rsidRPr="006555FF">
        <w:rPr>
          <w:rFonts w:asciiTheme="minorBidi" w:eastAsiaTheme="minorEastAsia" w:hAnsiTheme="minorBidi" w:cstheme="minorBidi"/>
          <w:b/>
          <w:bCs/>
        </w:rPr>
        <w:t>‘</w:t>
      </w:r>
      <w:r w:rsidRPr="006555FF">
        <w:rPr>
          <w:rFonts w:asciiTheme="minorBidi" w:eastAsiaTheme="minorEastAsia" w:hAnsiTheme="minorBidi" w:cstheme="minorBidi"/>
          <w:b/>
          <w:bCs/>
        </w:rPr>
        <w:t>OTHER FUNCTIONS OF THE COMMITTEE</w:t>
      </w:r>
      <w:r w:rsidR="005A1027" w:rsidRPr="006555FF">
        <w:rPr>
          <w:rFonts w:asciiTheme="minorBidi" w:eastAsiaTheme="minorEastAsia" w:hAnsiTheme="minorBidi" w:cstheme="minorBidi"/>
          <w:b/>
          <w:bCs/>
        </w:rPr>
        <w:t>’</w:t>
      </w:r>
    </w:p>
    <w:bookmarkEnd w:id="11"/>
    <w:p w14:paraId="6C15BEA0" w14:textId="77777777" w:rsidR="00261CCD" w:rsidRPr="006555FF" w:rsidRDefault="00261CCD" w:rsidP="00261CCD">
      <w:pPr>
        <w:spacing w:after="0"/>
        <w:jc w:val="center"/>
        <w:rPr>
          <w:rFonts w:asciiTheme="minorBidi" w:eastAsiaTheme="minorEastAsia" w:hAnsiTheme="minorBidi" w:cstheme="minorBidi"/>
          <w:b/>
          <w:bCs/>
        </w:rPr>
      </w:pPr>
    </w:p>
    <w:p w14:paraId="193F008E" w14:textId="77777777" w:rsidR="00261CCD" w:rsidRPr="006555FF" w:rsidRDefault="00261CCD" w:rsidP="00261CCD">
      <w:pPr>
        <w:spacing w:after="360"/>
        <w:jc w:val="center"/>
        <w:rPr>
          <w:rFonts w:asciiTheme="minorBidi" w:eastAsiaTheme="minorEastAsia" w:hAnsiTheme="minorBidi" w:cstheme="minorBidi"/>
          <w:b/>
          <w:bCs/>
        </w:rPr>
      </w:pPr>
      <w:r w:rsidRPr="006555FF">
        <w:rPr>
          <w:rFonts w:asciiTheme="minorBidi" w:eastAsiaTheme="minorEastAsia" w:hAnsiTheme="minorBidi" w:cstheme="minorBidi"/>
          <w:b/>
          <w:bCs/>
        </w:rPr>
        <w:t>1 JANUARY 2024 TO 30 JUNE 2025</w:t>
      </w:r>
    </w:p>
    <w:p w14:paraId="210507F4" w14:textId="0B394ABA" w:rsidR="00261CCD" w:rsidRPr="006555FF" w:rsidRDefault="00261CCD" w:rsidP="005A2EE4">
      <w:pPr>
        <w:spacing w:after="0"/>
        <w:jc w:val="both"/>
        <w:rPr>
          <w:rFonts w:ascii="Arial" w:hAnsi="Arial" w:cs="Arial"/>
          <w:snapToGrid w:val="0"/>
          <w:szCs w:val="22"/>
          <w:lang w:eastAsia="en-US"/>
        </w:rPr>
      </w:pPr>
      <w:r w:rsidRPr="006555FF">
        <w:rPr>
          <w:rFonts w:ascii="Arial" w:hAnsi="Arial" w:cs="Arial"/>
          <w:snapToGrid w:val="0"/>
          <w:szCs w:val="22"/>
          <w:lang w:eastAsia="en-US"/>
        </w:rPr>
        <w:t xml:space="preserve">For the period 1 January 2024 to 31 December 2025, the spending plan for the </w:t>
      </w:r>
      <w:bookmarkStart w:id="12" w:name="_Hlk101342770"/>
      <w:r w:rsidR="005A1027" w:rsidRPr="006555FF">
        <w:rPr>
          <w:rFonts w:ascii="Arial" w:hAnsi="Arial" w:cs="Arial"/>
          <w:snapToGrid w:val="0"/>
          <w:szCs w:val="22"/>
          <w:lang w:eastAsia="en-US"/>
        </w:rPr>
        <w:t>‘</w:t>
      </w:r>
      <w:r w:rsidRPr="006555FF">
        <w:rPr>
          <w:rFonts w:ascii="Arial" w:hAnsi="Arial" w:cs="Arial"/>
          <w:snapToGrid w:val="0"/>
          <w:szCs w:val="22"/>
          <w:lang w:eastAsia="en-US"/>
        </w:rPr>
        <w:t>other functions of the Committee</w:t>
      </w:r>
      <w:r w:rsidR="005A1027" w:rsidRPr="006555FF">
        <w:rPr>
          <w:rFonts w:ascii="Arial" w:hAnsi="Arial" w:cs="Arial"/>
          <w:snapToGrid w:val="0"/>
          <w:szCs w:val="22"/>
          <w:lang w:eastAsia="en-US"/>
        </w:rPr>
        <w:t>’</w:t>
      </w:r>
      <w:r w:rsidRPr="006555FF">
        <w:rPr>
          <w:rFonts w:ascii="Arial" w:hAnsi="Arial" w:cs="Arial"/>
          <w:snapToGrid w:val="0"/>
          <w:szCs w:val="22"/>
          <w:lang w:eastAsia="en-US"/>
        </w:rPr>
        <w:t xml:space="preserve"> </w:t>
      </w:r>
      <w:bookmarkEnd w:id="12"/>
      <w:r w:rsidRPr="006555FF">
        <w:rPr>
          <w:rFonts w:ascii="Arial" w:hAnsi="Arial" w:cs="Arial"/>
          <w:snapToGrid w:val="0"/>
          <w:szCs w:val="22"/>
          <w:lang w:eastAsia="en-US"/>
        </w:rPr>
        <w:t xml:space="preserve">was approved by the General Assembly in June 2024 (Resolution </w:t>
      </w:r>
      <w:hyperlink r:id="rId64" w:history="1">
        <w:r w:rsidRPr="006555FF">
          <w:rPr>
            <w:rFonts w:ascii="Arial" w:hAnsi="Arial" w:cs="Arial"/>
            <w:snapToGrid w:val="0"/>
            <w:color w:val="0000FF" w:themeColor="hyperlink"/>
            <w:szCs w:val="22"/>
            <w:u w:val="single"/>
            <w:lang w:eastAsia="en-US"/>
          </w:rPr>
          <w:t>10.GA 8</w:t>
        </w:r>
      </w:hyperlink>
      <w:r w:rsidRPr="006555FF">
        <w:rPr>
          <w:rFonts w:ascii="Arial" w:hAnsi="Arial" w:cs="Arial"/>
          <w:snapToGrid w:val="0"/>
          <w:szCs w:val="22"/>
          <w:lang w:eastAsia="en-US"/>
        </w:rPr>
        <w:t>)</w:t>
      </w:r>
      <w:r w:rsidRPr="006555FF">
        <w:rPr>
          <w:rFonts w:ascii="Arial" w:hAnsi="Arial" w:cs="Arial"/>
          <w:bCs/>
          <w:snapToGrid w:val="0"/>
          <w:szCs w:val="22"/>
          <w:lang w:eastAsia="en-US"/>
        </w:rPr>
        <w:t xml:space="preserve">. </w:t>
      </w:r>
      <w:r w:rsidRPr="006555FF">
        <w:rPr>
          <w:rFonts w:ascii="Arial" w:hAnsi="Arial" w:cs="Arial"/>
          <w:snapToGrid w:val="0"/>
          <w:szCs w:val="22"/>
          <w:lang w:eastAsia="en-US"/>
        </w:rPr>
        <w:t>The tables below provide information on (a) the implementation of activities for the period from 1 January 2024 to 30 June 2025 along with (b) a table under each expected result providing an analysis of the main challenges encountered and the corrective measures adopted.</w:t>
      </w:r>
    </w:p>
    <w:p w14:paraId="590ED03D" w14:textId="77777777" w:rsidR="00261CCD" w:rsidRPr="006555FF" w:rsidRDefault="00261CCD" w:rsidP="005A2EE4">
      <w:pPr>
        <w:pStyle w:val="1GAPara"/>
        <w:numPr>
          <w:ilvl w:val="0"/>
          <w:numId w:val="0"/>
        </w:numPr>
        <w:spacing w:before="240"/>
        <w:ind w:left="567" w:hanging="567"/>
        <w:jc w:val="both"/>
        <w:rPr>
          <w:b/>
          <w:bCs/>
          <w:caps/>
        </w:rPr>
      </w:pPr>
      <w:r w:rsidRPr="006555FF">
        <w:rPr>
          <w:b/>
          <w:bCs/>
          <w:caps/>
        </w:rPr>
        <w:t>Assessment by Expected Result</w:t>
      </w:r>
      <w:r w:rsidRPr="006555FF">
        <w:rPr>
          <w:rStyle w:val="FootnoteReference"/>
          <w:b/>
          <w:bCs/>
          <w:caps/>
        </w:rPr>
        <w:footnoteReference w:id="11"/>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4083"/>
        <w:gridCol w:w="1700"/>
      </w:tblGrid>
      <w:tr w:rsidR="00261CCD" w:rsidRPr="006555FF" w14:paraId="70ED16B9" w14:textId="77777777" w:rsidTr="00164236">
        <w:trPr>
          <w:trHeight w:val="465"/>
          <w:jc w:val="center"/>
        </w:trPr>
        <w:tc>
          <w:tcPr>
            <w:tcW w:w="2000" w:type="pct"/>
            <w:shd w:val="clear" w:color="auto" w:fill="C6D9F1"/>
            <w:vAlign w:val="center"/>
          </w:tcPr>
          <w:p w14:paraId="2857A1A2" w14:textId="77777777" w:rsidR="00261CCD" w:rsidRPr="006555FF" w:rsidRDefault="00261CCD" w:rsidP="00164236">
            <w:pPr>
              <w:keepNext/>
              <w:spacing w:before="120"/>
              <w:jc w:val="center"/>
              <w:rPr>
                <w:rFonts w:ascii="Arial" w:eastAsia="Calibri" w:hAnsi="Arial" w:cs="Arial"/>
                <w:b/>
                <w:sz w:val="20"/>
                <w:szCs w:val="20"/>
              </w:rPr>
            </w:pPr>
            <w:r w:rsidRPr="006555FF">
              <w:rPr>
                <w:rFonts w:ascii="Arial" w:eastAsia="Calibri" w:hAnsi="Arial" w:cs="Arial"/>
                <w:b/>
                <w:sz w:val="20"/>
                <w:szCs w:val="20"/>
              </w:rPr>
              <w:t>Budget approved for 2024/2025</w:t>
            </w:r>
          </w:p>
        </w:tc>
        <w:tc>
          <w:tcPr>
            <w:tcW w:w="2118" w:type="pct"/>
            <w:shd w:val="clear" w:color="auto" w:fill="C6D9F1"/>
            <w:vAlign w:val="center"/>
          </w:tcPr>
          <w:p w14:paraId="44E085CA" w14:textId="77777777" w:rsidR="00261CCD" w:rsidRPr="006555FF" w:rsidRDefault="00261CCD" w:rsidP="00164236">
            <w:pPr>
              <w:keepNext/>
              <w:spacing w:before="120"/>
              <w:jc w:val="center"/>
              <w:rPr>
                <w:rFonts w:ascii="Arial" w:eastAsia="Calibri" w:hAnsi="Arial" w:cs="Arial"/>
                <w:b/>
                <w:sz w:val="20"/>
                <w:szCs w:val="20"/>
              </w:rPr>
            </w:pPr>
            <w:r w:rsidRPr="006555FF">
              <w:rPr>
                <w:rFonts w:ascii="Arial" w:eastAsia="Calibri" w:hAnsi="Arial" w:cs="Arial"/>
                <w:b/>
                <w:sz w:val="20"/>
                <w:szCs w:val="20"/>
              </w:rPr>
              <w:t>Expenditures at 30/06/2025</w:t>
            </w:r>
          </w:p>
        </w:tc>
        <w:tc>
          <w:tcPr>
            <w:tcW w:w="882" w:type="pct"/>
            <w:shd w:val="clear" w:color="auto" w:fill="C6D9F1"/>
            <w:vAlign w:val="center"/>
          </w:tcPr>
          <w:p w14:paraId="74796A3A" w14:textId="77777777" w:rsidR="00261CCD" w:rsidRPr="006555FF" w:rsidRDefault="00261CCD" w:rsidP="00164236">
            <w:pPr>
              <w:keepNext/>
              <w:spacing w:before="120"/>
              <w:jc w:val="center"/>
              <w:rPr>
                <w:rFonts w:ascii="Arial" w:eastAsia="Calibri" w:hAnsi="Arial" w:cs="Arial"/>
                <w:b/>
                <w:sz w:val="20"/>
                <w:szCs w:val="20"/>
              </w:rPr>
            </w:pPr>
            <w:r w:rsidRPr="006555FF">
              <w:rPr>
                <w:rFonts w:ascii="Arial" w:eastAsia="Calibri" w:hAnsi="Arial" w:cs="Arial"/>
                <w:b/>
                <w:sz w:val="20"/>
                <w:szCs w:val="20"/>
              </w:rPr>
              <w:t>Exp. Rate %</w:t>
            </w:r>
            <w:r w:rsidRPr="006555FF">
              <w:rPr>
                <w:rFonts w:ascii="Arial" w:eastAsia="Calibri" w:hAnsi="Arial" w:cs="Arial"/>
                <w:b/>
                <w:sz w:val="20"/>
                <w:szCs w:val="20"/>
              </w:rPr>
              <w:br/>
              <w:t>at 30/06/2025</w:t>
            </w:r>
          </w:p>
        </w:tc>
      </w:tr>
      <w:tr w:rsidR="00261CCD" w:rsidRPr="006555FF" w14:paraId="74DAD78D" w14:textId="77777777" w:rsidTr="00164236">
        <w:trPr>
          <w:trHeight w:val="465"/>
          <w:jc w:val="center"/>
        </w:trPr>
        <w:tc>
          <w:tcPr>
            <w:tcW w:w="2000" w:type="pct"/>
          </w:tcPr>
          <w:p w14:paraId="528DA786" w14:textId="77777777" w:rsidR="00261CCD" w:rsidRPr="006555FF" w:rsidRDefault="00261CCD" w:rsidP="00164236">
            <w:pPr>
              <w:keepNext/>
              <w:spacing w:before="120"/>
              <w:jc w:val="center"/>
              <w:rPr>
                <w:rFonts w:ascii="Arial" w:eastAsia="Calibri" w:hAnsi="Arial" w:cs="Arial"/>
                <w:sz w:val="20"/>
                <w:szCs w:val="20"/>
              </w:rPr>
            </w:pPr>
            <w:r w:rsidRPr="006555FF">
              <w:rPr>
                <w:rFonts w:ascii="Arial" w:eastAsia="Calibri" w:hAnsi="Arial" w:cs="Arial"/>
                <w:sz w:val="20"/>
                <w:szCs w:val="20"/>
              </w:rPr>
              <w:t>1,637,915</w:t>
            </w:r>
          </w:p>
        </w:tc>
        <w:tc>
          <w:tcPr>
            <w:tcW w:w="2118" w:type="pct"/>
          </w:tcPr>
          <w:p w14:paraId="1F60A450" w14:textId="77777777" w:rsidR="00261CCD" w:rsidRPr="006555FF" w:rsidRDefault="00261CCD" w:rsidP="00164236">
            <w:pPr>
              <w:keepNext/>
              <w:spacing w:before="120"/>
              <w:jc w:val="center"/>
              <w:rPr>
                <w:rFonts w:ascii="Arial" w:eastAsia="Calibri" w:hAnsi="Arial" w:cs="Arial"/>
                <w:sz w:val="20"/>
                <w:szCs w:val="20"/>
              </w:rPr>
            </w:pPr>
            <w:r w:rsidRPr="006555FF">
              <w:rPr>
                <w:rFonts w:ascii="Arial" w:eastAsia="Calibri" w:hAnsi="Arial" w:cs="Arial"/>
                <w:sz w:val="20"/>
                <w:szCs w:val="20"/>
              </w:rPr>
              <w:t>1,202,498.76</w:t>
            </w:r>
          </w:p>
        </w:tc>
        <w:tc>
          <w:tcPr>
            <w:tcW w:w="882" w:type="pct"/>
          </w:tcPr>
          <w:p w14:paraId="598C425D" w14:textId="77777777" w:rsidR="00261CCD" w:rsidRPr="006555FF" w:rsidRDefault="00261CCD" w:rsidP="00164236">
            <w:pPr>
              <w:keepNext/>
              <w:spacing w:before="120"/>
              <w:jc w:val="center"/>
              <w:rPr>
                <w:rFonts w:ascii="Arial" w:eastAsia="Calibri" w:hAnsi="Arial" w:cs="Arial"/>
                <w:sz w:val="20"/>
                <w:szCs w:val="20"/>
              </w:rPr>
            </w:pPr>
            <w:r w:rsidRPr="006555FF">
              <w:rPr>
                <w:rFonts w:ascii="Arial" w:eastAsia="Calibri" w:hAnsi="Arial" w:cs="Arial"/>
                <w:sz w:val="20"/>
                <w:szCs w:val="20"/>
              </w:rPr>
              <w:t>73.4%</w:t>
            </w:r>
          </w:p>
        </w:tc>
      </w:tr>
    </w:tbl>
    <w:p w14:paraId="0A8C4066" w14:textId="77777777" w:rsidR="00261CCD" w:rsidRPr="006555FF" w:rsidRDefault="00261CCD" w:rsidP="00261CCD">
      <w:pPr>
        <w:keepNext/>
        <w:spacing w:before="240"/>
        <w:jc w:val="both"/>
        <w:rPr>
          <w:rFonts w:ascii="Arial" w:hAnsi="Arial" w:cs="Arial"/>
          <w:b/>
          <w:bCs/>
          <w:szCs w:val="22"/>
        </w:rPr>
      </w:pPr>
      <w:r w:rsidRPr="006555FF">
        <w:rPr>
          <w:rFonts w:ascii="Arial" w:hAnsi="Arial" w:cs="Arial"/>
          <w:b/>
          <w:szCs w:val="22"/>
        </w:rPr>
        <w:t>Expected Result 1:</w:t>
      </w:r>
      <w:r w:rsidRPr="006555FF">
        <w:rPr>
          <w:rFonts w:ascii="Arial" w:hAnsi="Arial" w:cs="Arial"/>
          <w:b/>
          <w:szCs w:val="22"/>
        </w:rPr>
        <w:tab/>
        <w:t>Implementation of the Convention encouraged through a strengthened capacity-building programme and the integration of intangible cultural heritage into development plans, policies and programmes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4081"/>
        <w:gridCol w:w="1702"/>
      </w:tblGrid>
      <w:tr w:rsidR="00261CCD" w:rsidRPr="006555FF" w14:paraId="048E153F" w14:textId="77777777" w:rsidTr="00164236">
        <w:trPr>
          <w:jc w:val="center"/>
        </w:trPr>
        <w:tc>
          <w:tcPr>
            <w:tcW w:w="1999" w:type="pct"/>
            <w:shd w:val="clear" w:color="auto" w:fill="C6D9F1"/>
            <w:vAlign w:val="center"/>
          </w:tcPr>
          <w:p w14:paraId="418F4C6A" w14:textId="77777777" w:rsidR="00261CCD" w:rsidRPr="006555FF" w:rsidRDefault="00261CCD" w:rsidP="00164236">
            <w:pPr>
              <w:keepNext/>
              <w:spacing w:before="120"/>
              <w:jc w:val="center"/>
              <w:rPr>
                <w:rFonts w:ascii="Arial" w:eastAsia="Calibri" w:hAnsi="Arial" w:cs="Arial"/>
                <w:b/>
                <w:sz w:val="20"/>
                <w:szCs w:val="20"/>
              </w:rPr>
            </w:pPr>
            <w:bookmarkStart w:id="13" w:name="_Hlk81489931"/>
            <w:r w:rsidRPr="006555FF">
              <w:rPr>
                <w:rFonts w:ascii="Arial" w:eastAsia="Calibri" w:hAnsi="Arial" w:cs="Arial"/>
                <w:b/>
                <w:sz w:val="20"/>
                <w:szCs w:val="20"/>
              </w:rPr>
              <w:t>Allocation</w:t>
            </w:r>
          </w:p>
        </w:tc>
        <w:tc>
          <w:tcPr>
            <w:tcW w:w="2118" w:type="pct"/>
            <w:shd w:val="clear" w:color="auto" w:fill="C6D9F1"/>
            <w:vAlign w:val="center"/>
          </w:tcPr>
          <w:p w14:paraId="317363AA" w14:textId="77777777" w:rsidR="00261CCD" w:rsidRPr="006555FF" w:rsidRDefault="00261CCD" w:rsidP="00164236">
            <w:pPr>
              <w:spacing w:before="120"/>
              <w:jc w:val="center"/>
              <w:rPr>
                <w:rFonts w:ascii="Arial" w:eastAsia="Calibri" w:hAnsi="Arial" w:cs="Arial"/>
                <w:b/>
                <w:sz w:val="20"/>
                <w:szCs w:val="20"/>
              </w:rPr>
            </w:pPr>
            <w:r w:rsidRPr="006555FF">
              <w:rPr>
                <w:rFonts w:ascii="Arial" w:eastAsia="Calibri" w:hAnsi="Arial" w:cs="Arial"/>
                <w:b/>
                <w:sz w:val="20"/>
                <w:szCs w:val="20"/>
              </w:rPr>
              <w:t>Expenditures</w:t>
            </w:r>
          </w:p>
        </w:tc>
        <w:tc>
          <w:tcPr>
            <w:tcW w:w="883" w:type="pct"/>
            <w:shd w:val="clear" w:color="auto" w:fill="C6D9F1"/>
            <w:vAlign w:val="center"/>
          </w:tcPr>
          <w:p w14:paraId="32C32C7A" w14:textId="77777777" w:rsidR="00261CCD" w:rsidRPr="006555FF" w:rsidRDefault="00261CCD" w:rsidP="00164236">
            <w:pPr>
              <w:spacing w:before="120"/>
              <w:jc w:val="center"/>
              <w:rPr>
                <w:rFonts w:ascii="Arial" w:eastAsia="Calibri" w:hAnsi="Arial" w:cs="Arial"/>
                <w:b/>
                <w:sz w:val="20"/>
                <w:szCs w:val="20"/>
              </w:rPr>
            </w:pPr>
            <w:r w:rsidRPr="006555FF">
              <w:rPr>
                <w:rFonts w:ascii="Arial" w:eastAsia="Calibri" w:hAnsi="Arial" w:cs="Arial"/>
                <w:b/>
                <w:sz w:val="20"/>
                <w:szCs w:val="20"/>
              </w:rPr>
              <w:t>Exp. Rate %</w:t>
            </w:r>
            <w:r w:rsidRPr="006555FF">
              <w:rPr>
                <w:rFonts w:ascii="Arial" w:eastAsia="Calibri" w:hAnsi="Arial" w:cs="Arial"/>
                <w:b/>
                <w:sz w:val="20"/>
                <w:szCs w:val="20"/>
              </w:rPr>
              <w:br/>
              <w:t>at 30/06/2025</w:t>
            </w:r>
          </w:p>
        </w:tc>
      </w:tr>
      <w:tr w:rsidR="00261CCD" w:rsidRPr="006555FF" w14:paraId="23595043" w14:textId="77777777" w:rsidTr="00164236">
        <w:trPr>
          <w:jc w:val="center"/>
        </w:trPr>
        <w:tc>
          <w:tcPr>
            <w:tcW w:w="1999" w:type="pct"/>
          </w:tcPr>
          <w:p w14:paraId="59D1CBF4" w14:textId="77777777" w:rsidR="00261CCD" w:rsidRPr="006555FF" w:rsidRDefault="00261CCD" w:rsidP="00164236">
            <w:pPr>
              <w:spacing w:before="120"/>
              <w:jc w:val="center"/>
              <w:rPr>
                <w:rFonts w:ascii="Arial" w:eastAsia="Calibri" w:hAnsi="Arial" w:cs="Arial"/>
                <w:sz w:val="20"/>
                <w:szCs w:val="20"/>
              </w:rPr>
            </w:pPr>
            <w:r w:rsidRPr="006555FF">
              <w:rPr>
                <w:rFonts w:ascii="Arial" w:eastAsia="Calibri" w:hAnsi="Arial" w:cs="Arial"/>
                <w:sz w:val="20"/>
                <w:szCs w:val="20"/>
              </w:rPr>
              <w:t>851,716</w:t>
            </w:r>
          </w:p>
        </w:tc>
        <w:tc>
          <w:tcPr>
            <w:tcW w:w="2118" w:type="pct"/>
          </w:tcPr>
          <w:p w14:paraId="608A4713" w14:textId="77777777" w:rsidR="00261CCD" w:rsidRPr="006555FF" w:rsidRDefault="00261CCD" w:rsidP="00164236">
            <w:pPr>
              <w:spacing w:before="120"/>
              <w:jc w:val="center"/>
              <w:rPr>
                <w:rFonts w:ascii="Arial" w:eastAsia="Calibri" w:hAnsi="Arial" w:cs="Arial"/>
                <w:sz w:val="20"/>
                <w:szCs w:val="20"/>
              </w:rPr>
            </w:pPr>
            <w:r w:rsidRPr="006555FF">
              <w:rPr>
                <w:rFonts w:ascii="Arial" w:eastAsia="Calibri" w:hAnsi="Arial" w:cs="Arial"/>
                <w:sz w:val="20"/>
                <w:szCs w:val="20"/>
              </w:rPr>
              <w:t>624,551.33</w:t>
            </w:r>
          </w:p>
        </w:tc>
        <w:tc>
          <w:tcPr>
            <w:tcW w:w="883" w:type="pct"/>
          </w:tcPr>
          <w:p w14:paraId="33D59246" w14:textId="77777777" w:rsidR="00261CCD" w:rsidRPr="006555FF" w:rsidRDefault="00261CCD" w:rsidP="00164236">
            <w:pPr>
              <w:spacing w:before="120"/>
              <w:jc w:val="center"/>
              <w:rPr>
                <w:rFonts w:ascii="Arial" w:eastAsia="Calibri" w:hAnsi="Arial" w:cs="Arial"/>
                <w:sz w:val="20"/>
                <w:szCs w:val="20"/>
              </w:rPr>
            </w:pPr>
            <w:r w:rsidRPr="006555FF">
              <w:rPr>
                <w:rFonts w:ascii="Arial" w:eastAsia="Calibri" w:hAnsi="Arial" w:cs="Arial"/>
                <w:sz w:val="20"/>
                <w:szCs w:val="20"/>
              </w:rPr>
              <w:t>73.3%</w:t>
            </w:r>
          </w:p>
        </w:tc>
      </w:tr>
    </w:tbl>
    <w:p w14:paraId="3468E319" w14:textId="77777777" w:rsidR="00261CCD" w:rsidRPr="006555FF" w:rsidRDefault="00261CCD" w:rsidP="00261CCD">
      <w:pPr>
        <w:spacing w:after="0"/>
        <w:rPr>
          <w:rFonts w:ascii="Arial" w:hAnsi="Arial" w:cs="Arial"/>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261CCD" w:rsidRPr="006555FF" w14:paraId="561DEBEB" w14:textId="77777777" w:rsidTr="005A2EE4">
        <w:trPr>
          <w:jc w:val="center"/>
        </w:trPr>
        <w:tc>
          <w:tcPr>
            <w:tcW w:w="9640" w:type="dxa"/>
            <w:shd w:val="clear" w:color="auto" w:fill="D9D9D9"/>
            <w:vAlign w:val="center"/>
          </w:tcPr>
          <w:p w14:paraId="36DCF7DF" w14:textId="3EB7AA85" w:rsidR="00261CCD" w:rsidRPr="006555FF" w:rsidRDefault="00261CCD" w:rsidP="00164236">
            <w:pPr>
              <w:spacing w:before="60" w:after="60"/>
              <w:jc w:val="center"/>
              <w:rPr>
                <w:rFonts w:ascii="Arial" w:eastAsia="Calibri" w:hAnsi="Arial" w:cs="Arial"/>
                <w:b/>
                <w:sz w:val="20"/>
                <w:szCs w:val="20"/>
              </w:rPr>
            </w:pPr>
            <w:r w:rsidRPr="006555FF">
              <w:rPr>
                <w:rFonts w:ascii="Arial" w:eastAsia="Calibri" w:hAnsi="Arial" w:cs="Arial"/>
                <w:b/>
                <w:sz w:val="20"/>
                <w:szCs w:val="20"/>
              </w:rPr>
              <w:t>Main achievements</w:t>
            </w:r>
            <w:r w:rsidR="00A322D9" w:rsidRPr="006555FF">
              <w:rPr>
                <w:rFonts w:ascii="Arial" w:eastAsia="Calibri" w:hAnsi="Arial" w:cs="Arial"/>
                <w:b/>
                <w:sz w:val="20"/>
                <w:szCs w:val="20"/>
              </w:rPr>
              <w:t xml:space="preserve"> (</w:t>
            </w:r>
            <w:r w:rsidRPr="006555FF">
              <w:rPr>
                <w:rFonts w:ascii="Arial" w:eastAsia="Calibri" w:hAnsi="Arial" w:cs="Arial"/>
                <w:b/>
                <w:sz w:val="20"/>
                <w:szCs w:val="20"/>
              </w:rPr>
              <w:t>01/01/2024 to 30/06/2025</w:t>
            </w:r>
            <w:r w:rsidR="00A322D9" w:rsidRPr="006555FF">
              <w:rPr>
                <w:rFonts w:ascii="Arial" w:eastAsia="Calibri" w:hAnsi="Arial" w:cs="Arial"/>
                <w:b/>
                <w:sz w:val="20"/>
                <w:szCs w:val="20"/>
              </w:rPr>
              <w:t>)</w:t>
            </w:r>
          </w:p>
        </w:tc>
      </w:tr>
      <w:tr w:rsidR="00261CCD" w:rsidRPr="006555FF" w14:paraId="0EB5C4A8" w14:textId="77777777" w:rsidTr="005A2EE4">
        <w:trPr>
          <w:trHeight w:val="532"/>
          <w:jc w:val="center"/>
        </w:trPr>
        <w:tc>
          <w:tcPr>
            <w:tcW w:w="9640" w:type="dxa"/>
          </w:tcPr>
          <w:p w14:paraId="29C25A20" w14:textId="77777777" w:rsidR="00261CCD" w:rsidRPr="006555FF" w:rsidRDefault="00261CCD" w:rsidP="006E3CFA">
            <w:pPr>
              <w:spacing w:before="60" w:after="60"/>
              <w:jc w:val="both"/>
              <w:rPr>
                <w:rFonts w:asciiTheme="minorBidi" w:eastAsia="Calibri" w:hAnsiTheme="minorBidi" w:cstheme="minorBidi"/>
                <w:b/>
                <w:bCs/>
                <w:sz w:val="20"/>
                <w:szCs w:val="20"/>
              </w:rPr>
            </w:pPr>
            <w:r w:rsidRPr="006555FF">
              <w:rPr>
                <w:rFonts w:asciiTheme="minorBidi" w:eastAsia="Calibri" w:hAnsiTheme="minorBidi" w:cstheme="minorBidi"/>
                <w:b/>
                <w:bCs/>
                <w:sz w:val="20"/>
                <w:szCs w:val="20"/>
              </w:rPr>
              <w:t>Reorientation of the global capacity-building programme conducted</w:t>
            </w:r>
          </w:p>
          <w:p w14:paraId="286C648A" w14:textId="7A031359" w:rsidR="00AC4CC9" w:rsidRPr="006555FF" w:rsidRDefault="00AC4CC9" w:rsidP="00AC4CC9">
            <w:pPr>
              <w:pStyle w:val="ListParagraph"/>
              <w:numPr>
                <w:ilvl w:val="0"/>
                <w:numId w:val="63"/>
              </w:numPr>
              <w:tabs>
                <w:tab w:val="clear" w:pos="567"/>
                <w:tab w:val="left" w:pos="357"/>
              </w:tabs>
              <w:spacing w:before="60"/>
              <w:ind w:left="306" w:hanging="306"/>
              <w:rPr>
                <w:rFonts w:asciiTheme="minorBidi" w:eastAsia="Calibri" w:hAnsiTheme="minorBidi" w:cstheme="minorBidi"/>
                <w:sz w:val="20"/>
                <w:szCs w:val="20"/>
              </w:rPr>
            </w:pPr>
            <w:hyperlink r:id="rId65" w:history="1">
              <w:r w:rsidRPr="006555FF">
                <w:rPr>
                  <w:rStyle w:val="Hyperlink"/>
                  <w:rFonts w:asciiTheme="minorBidi" w:eastAsia="Calibri" w:hAnsiTheme="minorBidi" w:cstheme="minorBidi"/>
                  <w:sz w:val="20"/>
                  <w:szCs w:val="20"/>
                </w:rPr>
                <w:t>UNESCO Learning platform</w:t>
              </w:r>
            </w:hyperlink>
            <w:r w:rsidRPr="006555FF">
              <w:rPr>
                <w:rFonts w:asciiTheme="minorBidi" w:eastAsia="Calibri" w:hAnsiTheme="minorBidi" w:cstheme="minorBidi"/>
                <w:sz w:val="20"/>
                <w:szCs w:val="20"/>
              </w:rPr>
              <w:t xml:space="preserve"> </w:t>
            </w:r>
            <w:r w:rsidRPr="006555FF">
              <w:rPr>
                <w:rFonts w:asciiTheme="minorBidi" w:hAnsiTheme="minorBidi" w:cstheme="minorBidi"/>
                <w:sz w:val="20"/>
                <w:szCs w:val="20"/>
              </w:rPr>
              <w:t xml:space="preserve">for safeguarding living heritage for sustainable development launched in May 2025 </w:t>
            </w:r>
            <w:r w:rsidR="00FB54C1" w:rsidRPr="006555FF">
              <w:rPr>
                <w:rFonts w:asciiTheme="minorBidi" w:hAnsiTheme="minorBidi" w:cstheme="minorBidi"/>
                <w:sz w:val="20"/>
                <w:szCs w:val="20"/>
              </w:rPr>
              <w:t>through</w:t>
            </w:r>
            <w:r w:rsidRPr="006555FF">
              <w:rPr>
                <w:rFonts w:asciiTheme="minorBidi" w:hAnsiTheme="minorBidi" w:cstheme="minorBidi"/>
                <w:sz w:val="20"/>
                <w:szCs w:val="20"/>
              </w:rPr>
              <w:t xml:space="preserve"> the </w:t>
            </w:r>
            <w:hyperlink r:id="rId66" w:history="1">
              <w:r w:rsidRPr="006555FF">
                <w:rPr>
                  <w:rStyle w:val="Hyperlink"/>
                  <w:rFonts w:asciiTheme="minorBidi" w:hAnsiTheme="minorBidi" w:cstheme="minorBidi"/>
                  <w:sz w:val="20"/>
                  <w:szCs w:val="20"/>
                </w:rPr>
                <w:t>dedicated webpage</w:t>
              </w:r>
            </w:hyperlink>
            <w:r w:rsidRPr="006555FF">
              <w:rPr>
                <w:rFonts w:asciiTheme="minorBidi" w:hAnsiTheme="minorBidi" w:cstheme="minorBidi"/>
                <w:sz w:val="20"/>
                <w:szCs w:val="20"/>
              </w:rPr>
              <w:t xml:space="preserve"> of the Convention. An initial course is available</w:t>
            </w:r>
            <w:r w:rsidRPr="006555FF">
              <w:rPr>
                <w:rFonts w:asciiTheme="minorBidi" w:eastAsia="Calibri" w:hAnsiTheme="minorBidi" w:cstheme="minorBidi"/>
                <w:sz w:val="20"/>
                <w:szCs w:val="20"/>
              </w:rPr>
              <w:t xml:space="preserve"> in English and French </w:t>
            </w:r>
            <w:r w:rsidRPr="006555FF">
              <w:rPr>
                <w:rFonts w:asciiTheme="minorBidi" w:hAnsiTheme="minorBidi" w:cstheme="minorBidi"/>
                <w:sz w:val="20"/>
                <w:szCs w:val="20"/>
              </w:rPr>
              <w:t>on the Overall Results Framework of the 2003 Convention and its application to results-based project design, implementation, and monitoring.</w:t>
            </w:r>
          </w:p>
          <w:p w14:paraId="42E96433" w14:textId="2AB8EE25" w:rsidR="00261CCD" w:rsidRPr="006555FF" w:rsidRDefault="00AC4CC9" w:rsidP="00685658">
            <w:pPr>
              <w:pStyle w:val="ListParagraph"/>
              <w:numPr>
                <w:ilvl w:val="0"/>
                <w:numId w:val="63"/>
              </w:numPr>
              <w:tabs>
                <w:tab w:val="clear" w:pos="567"/>
                <w:tab w:val="left" w:pos="357"/>
              </w:tabs>
              <w:spacing w:before="60"/>
              <w:ind w:left="306" w:hanging="306"/>
              <w:rPr>
                <w:rFonts w:asciiTheme="minorBidi" w:eastAsia="Calibri" w:hAnsiTheme="minorBidi" w:cstheme="minorBidi"/>
                <w:sz w:val="20"/>
                <w:szCs w:val="20"/>
              </w:rPr>
            </w:pPr>
            <w:r w:rsidRPr="006555FF">
              <w:rPr>
                <w:rFonts w:asciiTheme="minorBidi" w:eastAsia="Calibri" w:hAnsiTheme="minorBidi" w:cstheme="minorBidi"/>
                <w:sz w:val="20"/>
                <w:szCs w:val="20"/>
              </w:rPr>
              <w:t>Ongoing development of online courses expanded</w:t>
            </w:r>
            <w:r w:rsidR="00F5360B" w:rsidRPr="006555FF">
              <w:rPr>
                <w:rFonts w:asciiTheme="minorBidi" w:eastAsia="Calibri" w:hAnsiTheme="minorBidi" w:cstheme="minorBidi"/>
                <w:sz w:val="20"/>
                <w:szCs w:val="20"/>
              </w:rPr>
              <w:t xml:space="preserve">, </w:t>
            </w:r>
            <w:r w:rsidRPr="006555FF">
              <w:rPr>
                <w:rFonts w:asciiTheme="minorBidi" w:eastAsia="Calibri" w:hAnsiTheme="minorBidi" w:cstheme="minorBidi"/>
                <w:sz w:val="20"/>
                <w:szCs w:val="20"/>
              </w:rPr>
              <w:t xml:space="preserve">on implementing the Convention; </w:t>
            </w:r>
            <w:r w:rsidR="00FB54C1" w:rsidRPr="006555FF">
              <w:rPr>
                <w:rFonts w:asciiTheme="minorBidi" w:eastAsia="Calibri" w:hAnsiTheme="minorBidi" w:cstheme="minorBidi"/>
                <w:sz w:val="20"/>
                <w:szCs w:val="20"/>
              </w:rPr>
              <w:t xml:space="preserve">transforming learning with living heritage; </w:t>
            </w:r>
            <w:r w:rsidRPr="006555FF">
              <w:rPr>
                <w:rFonts w:asciiTheme="minorBidi" w:eastAsia="Calibri" w:hAnsiTheme="minorBidi" w:cstheme="minorBidi"/>
                <w:sz w:val="20"/>
                <w:szCs w:val="20"/>
              </w:rPr>
              <w:t>preparing nominations to the Lists and Register.</w:t>
            </w:r>
          </w:p>
        </w:tc>
      </w:tr>
      <w:tr w:rsidR="00DC79A5" w:rsidRPr="006555FF" w14:paraId="64062EBF" w14:textId="77777777" w:rsidTr="005A2EE4">
        <w:trPr>
          <w:trHeight w:val="673"/>
          <w:jc w:val="center"/>
        </w:trPr>
        <w:tc>
          <w:tcPr>
            <w:tcW w:w="9640" w:type="dxa"/>
          </w:tcPr>
          <w:p w14:paraId="0840FC5C" w14:textId="6D89DBF7" w:rsidR="00DC79A5" w:rsidRPr="006555FF" w:rsidRDefault="00DC79A5" w:rsidP="006E3CFA">
            <w:pPr>
              <w:spacing w:before="60" w:after="60"/>
              <w:jc w:val="both"/>
              <w:rPr>
                <w:rFonts w:asciiTheme="minorBidi" w:eastAsia="Calibri" w:hAnsiTheme="minorBidi" w:cstheme="minorBidi"/>
                <w:b/>
                <w:bCs/>
                <w:sz w:val="20"/>
                <w:szCs w:val="20"/>
              </w:rPr>
            </w:pPr>
            <w:r w:rsidRPr="006555FF">
              <w:rPr>
                <w:rFonts w:asciiTheme="minorBidi" w:eastAsia="Calibri" w:hAnsiTheme="minorBidi" w:cstheme="minorBidi"/>
                <w:b/>
                <w:bCs/>
                <w:sz w:val="20"/>
                <w:szCs w:val="20"/>
              </w:rPr>
              <w:t>F</w:t>
            </w:r>
            <w:r w:rsidRPr="006555FF">
              <w:rPr>
                <w:rFonts w:asciiTheme="minorBidi" w:eastAsia="Calibri" w:hAnsiTheme="minorBidi" w:cstheme="minorBidi"/>
                <w:b/>
                <w:bCs/>
                <w:snapToGrid w:val="0"/>
                <w:sz w:val="20"/>
                <w:szCs w:val="20"/>
                <w:lang w:eastAsia="en-US"/>
              </w:rPr>
              <w:t>acilitators</w:t>
            </w:r>
            <w:r w:rsidR="005A1027" w:rsidRPr="006555FF">
              <w:rPr>
                <w:rFonts w:asciiTheme="minorBidi" w:eastAsia="Calibri" w:hAnsiTheme="minorBidi" w:cstheme="minorBidi"/>
                <w:b/>
                <w:bCs/>
                <w:snapToGrid w:val="0"/>
                <w:sz w:val="20"/>
                <w:szCs w:val="20"/>
                <w:lang w:eastAsia="en-US"/>
              </w:rPr>
              <w:t>’</w:t>
            </w:r>
            <w:r w:rsidRPr="006555FF">
              <w:rPr>
                <w:rFonts w:asciiTheme="minorBidi" w:eastAsia="Calibri" w:hAnsiTheme="minorBidi" w:cstheme="minorBidi"/>
                <w:b/>
                <w:bCs/>
                <w:snapToGrid w:val="0"/>
                <w:sz w:val="20"/>
                <w:szCs w:val="20"/>
                <w:lang w:eastAsia="en-US"/>
              </w:rPr>
              <w:t xml:space="preserve"> </w:t>
            </w:r>
            <w:r w:rsidRPr="006555FF">
              <w:rPr>
                <w:rFonts w:asciiTheme="minorBidi" w:eastAsia="Calibri" w:hAnsiTheme="minorBidi" w:cstheme="minorBidi"/>
                <w:b/>
                <w:bCs/>
                <w:sz w:val="20"/>
                <w:szCs w:val="20"/>
              </w:rPr>
              <w:t>network of the global capacity-building programme strengthened</w:t>
            </w:r>
          </w:p>
          <w:p w14:paraId="21D39BF4" w14:textId="5CC87A05" w:rsidR="00685658" w:rsidRPr="006555FF" w:rsidRDefault="00DC79A5" w:rsidP="00685658">
            <w:pPr>
              <w:pStyle w:val="ListParagraph"/>
              <w:numPr>
                <w:ilvl w:val="0"/>
                <w:numId w:val="63"/>
              </w:numPr>
              <w:tabs>
                <w:tab w:val="clear" w:pos="567"/>
                <w:tab w:val="left" w:pos="357"/>
              </w:tabs>
              <w:spacing w:before="60"/>
              <w:ind w:left="306" w:hanging="306"/>
              <w:rPr>
                <w:rFonts w:asciiTheme="minorBidi" w:eastAsia="Calibri" w:hAnsiTheme="minorBidi" w:cstheme="minorBidi"/>
                <w:sz w:val="20"/>
                <w:szCs w:val="20"/>
              </w:rPr>
            </w:pPr>
            <w:r w:rsidRPr="006555FF">
              <w:rPr>
                <w:rFonts w:asciiTheme="minorBidi" w:eastAsia="Calibri" w:hAnsiTheme="minorBidi" w:cstheme="minorBidi"/>
                <w:sz w:val="20"/>
                <w:szCs w:val="20"/>
              </w:rPr>
              <w:t>Expansion of the Global facilitators</w:t>
            </w:r>
            <w:r w:rsidR="005A1027" w:rsidRPr="006555FF">
              <w:rPr>
                <w:rFonts w:asciiTheme="minorBidi" w:eastAsia="Calibri" w:hAnsiTheme="minorBidi" w:cstheme="minorBidi"/>
                <w:sz w:val="20"/>
                <w:szCs w:val="20"/>
              </w:rPr>
              <w:t>’</w:t>
            </w:r>
            <w:r w:rsidRPr="006555FF">
              <w:rPr>
                <w:rFonts w:asciiTheme="minorBidi" w:eastAsia="Calibri" w:hAnsiTheme="minorBidi" w:cstheme="minorBidi"/>
                <w:sz w:val="20"/>
                <w:szCs w:val="20"/>
              </w:rPr>
              <w:t xml:space="preserve"> network completed with the </w:t>
            </w:r>
            <w:r w:rsidR="00F5360B" w:rsidRPr="006555FF">
              <w:rPr>
                <w:rFonts w:asciiTheme="minorBidi" w:eastAsia="Calibri" w:hAnsiTheme="minorBidi" w:cstheme="minorBidi"/>
                <w:sz w:val="20"/>
                <w:szCs w:val="20"/>
              </w:rPr>
              <w:t xml:space="preserve">a </w:t>
            </w:r>
            <w:hyperlink r:id="rId67" w:history="1">
              <w:r w:rsidR="00F44C0B" w:rsidRPr="006555FF">
                <w:rPr>
                  <w:rStyle w:val="Hyperlink"/>
                  <w:rFonts w:asciiTheme="minorBidi" w:eastAsia="Calibri" w:hAnsiTheme="minorBidi" w:cstheme="minorBidi"/>
                  <w:sz w:val="20"/>
                  <w:szCs w:val="20"/>
                </w:rPr>
                <w:t>regional training-of-trainers workshop</w:t>
              </w:r>
            </w:hyperlink>
            <w:r w:rsidR="00F44C0B" w:rsidRPr="006555FF">
              <w:rPr>
                <w:rFonts w:eastAsia="Calibri"/>
                <w:sz w:val="20"/>
                <w:szCs w:val="20"/>
              </w:rPr>
              <w:t xml:space="preserve"> for 26 newly selected facilitators from Latin America and the Caribbean</w:t>
            </w:r>
            <w:r w:rsidR="003F67F4" w:rsidRPr="006555FF">
              <w:rPr>
                <w:rFonts w:asciiTheme="minorBidi" w:eastAsia="Calibri" w:hAnsiTheme="minorBidi" w:cstheme="minorBidi"/>
                <w:sz w:val="20"/>
                <w:szCs w:val="20"/>
              </w:rPr>
              <w:t xml:space="preserve"> in May 2024</w:t>
            </w:r>
            <w:r w:rsidRPr="006555FF">
              <w:rPr>
                <w:rFonts w:asciiTheme="minorBidi" w:eastAsia="Calibri" w:hAnsiTheme="minorBidi" w:cstheme="minorBidi"/>
                <w:sz w:val="20"/>
                <w:szCs w:val="20"/>
              </w:rPr>
              <w:t xml:space="preserve"> </w:t>
            </w:r>
            <w:r w:rsidR="003F67F4" w:rsidRPr="006555FF">
              <w:rPr>
                <w:rFonts w:asciiTheme="minorBidi" w:eastAsia="Calibri" w:hAnsiTheme="minorBidi" w:cstheme="minorBidi"/>
                <w:sz w:val="20"/>
                <w:szCs w:val="20"/>
              </w:rPr>
              <w:t>(248 facilitators in total in all regions)</w:t>
            </w:r>
            <w:r w:rsidRPr="006555FF">
              <w:rPr>
                <w:rFonts w:asciiTheme="minorBidi" w:eastAsia="Calibri" w:hAnsiTheme="minorBidi" w:cstheme="minorBidi"/>
                <w:sz w:val="20"/>
                <w:szCs w:val="20"/>
              </w:rPr>
              <w:t>.</w:t>
            </w:r>
          </w:p>
          <w:p w14:paraId="2C0201A7" w14:textId="54AB24B0" w:rsidR="005B7F7B" w:rsidRPr="006555FF" w:rsidRDefault="003F67F4" w:rsidP="00685658">
            <w:pPr>
              <w:pStyle w:val="ListParagraph"/>
              <w:numPr>
                <w:ilvl w:val="0"/>
                <w:numId w:val="63"/>
              </w:numPr>
              <w:tabs>
                <w:tab w:val="clear" w:pos="567"/>
                <w:tab w:val="left" w:pos="357"/>
              </w:tabs>
              <w:spacing w:before="60"/>
              <w:ind w:left="306" w:hanging="306"/>
              <w:rPr>
                <w:rFonts w:asciiTheme="minorBidi" w:eastAsia="Calibri" w:hAnsiTheme="minorBidi" w:cstheme="minorBidi"/>
                <w:sz w:val="20"/>
                <w:szCs w:val="20"/>
              </w:rPr>
            </w:pPr>
            <w:r w:rsidRPr="006555FF">
              <w:rPr>
                <w:rFonts w:asciiTheme="minorBidi" w:eastAsia="Calibri" w:hAnsiTheme="minorBidi" w:cstheme="minorBidi"/>
                <w:sz w:val="20"/>
                <w:szCs w:val="20"/>
              </w:rPr>
              <w:t>C</w:t>
            </w:r>
            <w:r w:rsidR="00DC79A5" w:rsidRPr="006555FF">
              <w:rPr>
                <w:rFonts w:asciiTheme="minorBidi" w:eastAsia="Calibri" w:hAnsiTheme="minorBidi" w:cstheme="minorBidi"/>
                <w:sz w:val="20"/>
                <w:szCs w:val="20"/>
              </w:rPr>
              <w:t>apacity of the Global facilitators</w:t>
            </w:r>
            <w:r w:rsidR="005A1027" w:rsidRPr="006555FF">
              <w:rPr>
                <w:rFonts w:asciiTheme="minorBidi" w:eastAsia="Calibri" w:hAnsiTheme="minorBidi" w:cstheme="minorBidi"/>
                <w:sz w:val="20"/>
                <w:szCs w:val="20"/>
              </w:rPr>
              <w:t>’</w:t>
            </w:r>
            <w:r w:rsidR="00DC79A5" w:rsidRPr="006555FF">
              <w:rPr>
                <w:rFonts w:asciiTheme="minorBidi" w:eastAsia="Calibri" w:hAnsiTheme="minorBidi" w:cstheme="minorBidi"/>
                <w:sz w:val="20"/>
                <w:szCs w:val="20"/>
              </w:rPr>
              <w:t xml:space="preserve"> network strengthened through the </w:t>
            </w:r>
            <w:hyperlink r:id="rId68" w:history="1">
              <w:r w:rsidR="00DC79A5" w:rsidRPr="006555FF">
                <w:rPr>
                  <w:rStyle w:val="Hyperlink"/>
                  <w:rFonts w:asciiTheme="minorBidi" w:eastAsia="Calibri" w:hAnsiTheme="minorBidi" w:cstheme="minorBidi"/>
                  <w:sz w:val="20"/>
                  <w:szCs w:val="20"/>
                </w:rPr>
                <w:t>2025 Global Training programme for the global facilitators</w:t>
              </w:r>
              <w:r w:rsidR="005A1027" w:rsidRPr="006555FF">
                <w:rPr>
                  <w:rStyle w:val="Hyperlink"/>
                  <w:rFonts w:asciiTheme="minorBidi" w:eastAsia="Calibri" w:hAnsiTheme="minorBidi" w:cstheme="minorBidi"/>
                  <w:sz w:val="20"/>
                  <w:szCs w:val="20"/>
                </w:rPr>
                <w:t>’</w:t>
              </w:r>
              <w:r w:rsidR="00DC79A5" w:rsidRPr="006555FF">
                <w:rPr>
                  <w:rStyle w:val="Hyperlink"/>
                  <w:rFonts w:asciiTheme="minorBidi" w:eastAsia="Calibri" w:hAnsiTheme="minorBidi" w:cstheme="minorBidi"/>
                  <w:sz w:val="20"/>
                  <w:szCs w:val="20"/>
                </w:rPr>
                <w:t xml:space="preserve"> network</w:t>
              </w:r>
            </w:hyperlink>
            <w:r w:rsidR="00F44C0B" w:rsidRPr="006555FF">
              <w:rPr>
                <w:rFonts w:asciiTheme="minorBidi" w:eastAsia="Calibri" w:hAnsiTheme="minorBidi" w:cstheme="minorBidi"/>
                <w:sz w:val="20"/>
                <w:szCs w:val="20"/>
              </w:rPr>
              <w:t xml:space="preserve"> </w:t>
            </w:r>
            <w:r w:rsidRPr="006555FF">
              <w:rPr>
                <w:rFonts w:asciiTheme="minorBidi" w:eastAsia="Calibri" w:hAnsiTheme="minorBidi" w:cstheme="minorBidi"/>
                <w:sz w:val="20"/>
                <w:szCs w:val="20"/>
              </w:rPr>
              <w:t>(</w:t>
            </w:r>
            <w:r w:rsidR="00A041F3" w:rsidRPr="006555FF">
              <w:rPr>
                <w:rFonts w:asciiTheme="minorBidi" w:eastAsia="Calibri" w:hAnsiTheme="minorBidi" w:cstheme="minorBidi"/>
                <w:sz w:val="20"/>
                <w:szCs w:val="20"/>
              </w:rPr>
              <w:t>online</w:t>
            </w:r>
            <w:r w:rsidRPr="006555FF">
              <w:rPr>
                <w:rFonts w:asciiTheme="minorBidi" w:eastAsia="Calibri" w:hAnsiTheme="minorBidi" w:cstheme="minorBidi"/>
                <w:sz w:val="20"/>
                <w:szCs w:val="20"/>
              </w:rPr>
              <w:t>,</w:t>
            </w:r>
            <w:r w:rsidR="00A041F3" w:rsidRPr="006555FF">
              <w:rPr>
                <w:rFonts w:asciiTheme="minorBidi" w:eastAsia="Calibri" w:hAnsiTheme="minorBidi" w:cstheme="minorBidi"/>
                <w:sz w:val="20"/>
                <w:szCs w:val="20"/>
              </w:rPr>
              <w:t xml:space="preserve"> </w:t>
            </w:r>
            <w:r w:rsidR="00F44C0B" w:rsidRPr="006555FF">
              <w:rPr>
                <w:rFonts w:asciiTheme="minorBidi" w:eastAsia="Calibri" w:hAnsiTheme="minorBidi" w:cstheme="minorBidi"/>
                <w:sz w:val="20"/>
                <w:szCs w:val="20"/>
              </w:rPr>
              <w:t>February to July 2025</w:t>
            </w:r>
            <w:r w:rsidRPr="006555FF">
              <w:rPr>
                <w:rFonts w:asciiTheme="minorBidi" w:eastAsia="Calibri" w:hAnsiTheme="minorBidi" w:cstheme="minorBidi"/>
                <w:sz w:val="20"/>
                <w:szCs w:val="20"/>
              </w:rPr>
              <w:t>)</w:t>
            </w:r>
            <w:r w:rsidR="00F44C0B" w:rsidRPr="006555FF">
              <w:rPr>
                <w:rFonts w:asciiTheme="minorBidi" w:eastAsia="Calibri" w:hAnsiTheme="minorBidi" w:cstheme="minorBidi"/>
                <w:sz w:val="20"/>
                <w:szCs w:val="20"/>
              </w:rPr>
              <w:t xml:space="preserve"> over one introductory webinar and </w:t>
            </w:r>
            <w:r w:rsidR="00DC79A5" w:rsidRPr="006555FF">
              <w:rPr>
                <w:rFonts w:asciiTheme="minorBidi" w:eastAsia="Calibri" w:hAnsiTheme="minorBidi" w:cstheme="minorBidi"/>
                <w:sz w:val="20"/>
                <w:szCs w:val="20"/>
              </w:rPr>
              <w:t xml:space="preserve">three thematic sessions </w:t>
            </w:r>
            <w:r w:rsidR="00F44C0B" w:rsidRPr="006555FF">
              <w:rPr>
                <w:rFonts w:asciiTheme="minorBidi" w:eastAsia="Calibri" w:hAnsiTheme="minorBidi" w:cstheme="minorBidi"/>
                <w:sz w:val="20"/>
                <w:szCs w:val="20"/>
              </w:rPr>
              <w:t>focusing</w:t>
            </w:r>
            <w:r w:rsidR="00DC79A5" w:rsidRPr="006555FF">
              <w:rPr>
                <w:rFonts w:asciiTheme="minorBidi" w:eastAsia="Calibri" w:hAnsiTheme="minorBidi" w:cstheme="minorBidi"/>
                <w:sz w:val="20"/>
                <w:szCs w:val="20"/>
              </w:rPr>
              <w:t xml:space="preserve"> on </w:t>
            </w:r>
            <w:r w:rsidR="00F44C0B" w:rsidRPr="006555FF">
              <w:rPr>
                <w:rFonts w:eastAsia="Calibri"/>
                <w:sz w:val="20"/>
                <w:szCs w:val="20"/>
              </w:rPr>
              <w:t>living heritage and disaster risk reduction</w:t>
            </w:r>
            <w:r w:rsidR="00F44C0B" w:rsidRPr="006555FF">
              <w:rPr>
                <w:rFonts w:asciiTheme="minorBidi" w:eastAsia="Calibri" w:hAnsiTheme="minorBidi" w:cstheme="minorBidi"/>
                <w:sz w:val="20"/>
                <w:szCs w:val="20"/>
              </w:rPr>
              <w:t xml:space="preserve">, </w:t>
            </w:r>
            <w:r w:rsidR="00F44C0B" w:rsidRPr="006555FF">
              <w:rPr>
                <w:rFonts w:eastAsia="Calibri"/>
                <w:sz w:val="20"/>
                <w:szCs w:val="20"/>
              </w:rPr>
              <w:t>preparing nominations to the Lists and Register of the Convention</w:t>
            </w:r>
            <w:r w:rsidR="00DC79A5" w:rsidRPr="006555FF">
              <w:rPr>
                <w:rFonts w:asciiTheme="minorBidi" w:eastAsia="Calibri" w:hAnsiTheme="minorBidi" w:cstheme="minorBidi"/>
                <w:sz w:val="20"/>
                <w:szCs w:val="20"/>
              </w:rPr>
              <w:t xml:space="preserve">, and </w:t>
            </w:r>
            <w:r w:rsidR="00F44C0B" w:rsidRPr="006555FF">
              <w:rPr>
                <w:rFonts w:eastAsia="Calibri"/>
                <w:sz w:val="20"/>
                <w:szCs w:val="20"/>
              </w:rPr>
              <w:t>living heritage and education</w:t>
            </w:r>
            <w:r w:rsidR="00F44C0B" w:rsidRPr="006555FF">
              <w:rPr>
                <w:rFonts w:asciiTheme="minorBidi" w:eastAsia="Calibri" w:hAnsiTheme="minorBidi" w:cstheme="minorBidi"/>
                <w:sz w:val="20"/>
                <w:szCs w:val="20"/>
              </w:rPr>
              <w:t>.</w:t>
            </w:r>
            <w:r w:rsidR="00DC79A5" w:rsidRPr="006555FF">
              <w:rPr>
                <w:rFonts w:asciiTheme="minorBidi" w:eastAsia="Calibri" w:hAnsiTheme="minorBidi" w:cstheme="minorBidi"/>
                <w:sz w:val="20"/>
                <w:szCs w:val="20"/>
              </w:rPr>
              <w:t xml:space="preserve"> </w:t>
            </w:r>
          </w:p>
        </w:tc>
      </w:tr>
      <w:tr w:rsidR="00DC79A5" w:rsidRPr="006555FF" w14:paraId="54F8E156" w14:textId="77777777" w:rsidTr="005A2EE4">
        <w:trPr>
          <w:trHeight w:val="1377"/>
          <w:jc w:val="center"/>
        </w:trPr>
        <w:tc>
          <w:tcPr>
            <w:tcW w:w="9640" w:type="dxa"/>
          </w:tcPr>
          <w:p w14:paraId="15BA883A" w14:textId="77777777" w:rsidR="00DC79A5" w:rsidRPr="006555FF" w:rsidRDefault="00DC79A5" w:rsidP="006E3CFA">
            <w:pPr>
              <w:spacing w:before="60" w:after="60"/>
              <w:jc w:val="both"/>
              <w:rPr>
                <w:rFonts w:asciiTheme="minorBidi" w:eastAsia="Calibri" w:hAnsiTheme="minorBidi" w:cstheme="minorBidi"/>
                <w:b/>
                <w:bCs/>
                <w:sz w:val="20"/>
                <w:szCs w:val="20"/>
              </w:rPr>
            </w:pPr>
            <w:r w:rsidRPr="006555FF">
              <w:rPr>
                <w:rFonts w:asciiTheme="minorBidi" w:eastAsia="Calibri" w:hAnsiTheme="minorBidi" w:cstheme="minorBidi"/>
                <w:b/>
                <w:bCs/>
                <w:sz w:val="20"/>
                <w:szCs w:val="20"/>
              </w:rPr>
              <w:t>Roll out of the capacity building programme on periodic reporting supported</w:t>
            </w:r>
          </w:p>
          <w:p w14:paraId="6289A12B" w14:textId="272A3D95" w:rsidR="00DC79A5" w:rsidRPr="006555FF" w:rsidRDefault="00DC79A5" w:rsidP="00F44C0B">
            <w:pPr>
              <w:pStyle w:val="ListParagraph"/>
              <w:numPr>
                <w:ilvl w:val="0"/>
                <w:numId w:val="63"/>
              </w:numPr>
              <w:tabs>
                <w:tab w:val="clear" w:pos="567"/>
                <w:tab w:val="left" w:pos="357"/>
              </w:tabs>
              <w:spacing w:before="60"/>
              <w:ind w:left="306" w:hanging="306"/>
              <w:rPr>
                <w:rFonts w:asciiTheme="minorBidi" w:eastAsia="Calibri" w:hAnsiTheme="minorBidi" w:cstheme="minorBidi"/>
                <w:sz w:val="20"/>
                <w:szCs w:val="20"/>
              </w:rPr>
            </w:pPr>
            <w:r w:rsidRPr="006555FF">
              <w:rPr>
                <w:rFonts w:asciiTheme="minorBidi" w:eastAsia="Calibri" w:hAnsiTheme="minorBidi" w:cstheme="minorBidi"/>
                <w:sz w:val="20"/>
                <w:szCs w:val="20"/>
              </w:rPr>
              <w:t xml:space="preserve">Knowledge and skills of 42 focal points for periodic reporting strengthened </w:t>
            </w:r>
            <w:r w:rsidR="00F44C0B" w:rsidRPr="006555FF">
              <w:rPr>
                <w:rFonts w:asciiTheme="minorBidi" w:eastAsia="Calibri" w:hAnsiTheme="minorBidi" w:cstheme="minorBidi"/>
                <w:sz w:val="20"/>
                <w:szCs w:val="20"/>
              </w:rPr>
              <w:t xml:space="preserve">in Asia and the Pacific </w:t>
            </w:r>
            <w:r w:rsidRPr="006555FF">
              <w:rPr>
                <w:rFonts w:asciiTheme="minorBidi" w:eastAsia="Calibri" w:hAnsiTheme="minorBidi" w:cstheme="minorBidi"/>
                <w:sz w:val="20"/>
                <w:szCs w:val="20"/>
              </w:rPr>
              <w:t xml:space="preserve">through a regional capacity-building programme in partnership with category 2 centres. This included monthly subregional online meetings (March to July 2024) and two regional online exchange sessions (14 May and 10 October 2024) (see document </w:t>
            </w:r>
            <w:hyperlink r:id="rId69" w:history="1">
              <w:r w:rsidRPr="006555FF">
                <w:rPr>
                  <w:rStyle w:val="Hyperlink"/>
                  <w:rFonts w:eastAsia="Calibri"/>
                </w:rPr>
                <w:t>LHE/25/10.COM/6.b</w:t>
              </w:r>
            </w:hyperlink>
            <w:r w:rsidRPr="006555FF">
              <w:rPr>
                <w:rFonts w:asciiTheme="minorBidi" w:eastAsia="Calibri" w:hAnsiTheme="minorBidi" w:cstheme="minorBidi"/>
                <w:sz w:val="20"/>
                <w:szCs w:val="20"/>
              </w:rPr>
              <w:t>) </w:t>
            </w:r>
          </w:p>
        </w:tc>
      </w:tr>
      <w:tr w:rsidR="00DC79A5" w:rsidRPr="006555FF" w14:paraId="2BD10406" w14:textId="77777777" w:rsidTr="005A2EE4">
        <w:trPr>
          <w:trHeight w:val="1872"/>
          <w:jc w:val="center"/>
        </w:trPr>
        <w:tc>
          <w:tcPr>
            <w:tcW w:w="9640" w:type="dxa"/>
          </w:tcPr>
          <w:p w14:paraId="0E46FAE7" w14:textId="2CC30D8B" w:rsidR="00DC79A5" w:rsidRPr="006555FF" w:rsidRDefault="00DC79A5" w:rsidP="006E3CFA">
            <w:pPr>
              <w:spacing w:before="60" w:after="60"/>
              <w:jc w:val="both"/>
              <w:rPr>
                <w:rFonts w:asciiTheme="minorBidi" w:eastAsia="Calibri" w:hAnsiTheme="minorBidi" w:cstheme="minorBidi"/>
                <w:b/>
                <w:bCs/>
                <w:sz w:val="20"/>
                <w:szCs w:val="20"/>
              </w:rPr>
            </w:pPr>
            <w:r w:rsidRPr="006555FF">
              <w:rPr>
                <w:rFonts w:asciiTheme="minorBidi" w:eastAsia="Calibri" w:hAnsiTheme="minorBidi" w:cstheme="minorBidi"/>
                <w:b/>
                <w:bCs/>
                <w:sz w:val="20"/>
                <w:szCs w:val="20"/>
              </w:rPr>
              <w:t>Partnerships with category 2 centres and universities strengthened</w:t>
            </w:r>
          </w:p>
          <w:p w14:paraId="54143048" w14:textId="51EB6888" w:rsidR="00DC79A5" w:rsidRPr="006555FF" w:rsidRDefault="00DC79A5" w:rsidP="006E3CFA">
            <w:pPr>
              <w:pStyle w:val="ListParagraph"/>
              <w:numPr>
                <w:ilvl w:val="0"/>
                <w:numId w:val="63"/>
              </w:numPr>
              <w:tabs>
                <w:tab w:val="clear" w:pos="567"/>
                <w:tab w:val="left" w:pos="357"/>
              </w:tabs>
              <w:spacing w:before="60"/>
              <w:ind w:left="306" w:hanging="306"/>
              <w:rPr>
                <w:rFonts w:asciiTheme="minorBidi" w:eastAsia="Calibri" w:hAnsiTheme="minorBidi" w:cstheme="minorBidi"/>
                <w:sz w:val="20"/>
                <w:szCs w:val="20"/>
              </w:rPr>
            </w:pPr>
            <w:r w:rsidRPr="006555FF">
              <w:rPr>
                <w:rFonts w:asciiTheme="minorBidi" w:eastAsia="Calibri" w:hAnsiTheme="minorBidi" w:cstheme="minorBidi"/>
                <w:sz w:val="20"/>
                <w:szCs w:val="20"/>
              </w:rPr>
              <w:t>Coordination and collaborative programme planning strengthened with</w:t>
            </w:r>
            <w:r w:rsidR="004C27D0" w:rsidRPr="006555FF">
              <w:rPr>
                <w:rFonts w:asciiTheme="minorBidi" w:eastAsia="Calibri" w:hAnsiTheme="minorBidi" w:cstheme="minorBidi"/>
                <w:sz w:val="20"/>
                <w:szCs w:val="20"/>
              </w:rPr>
              <w:t xml:space="preserve"> </w:t>
            </w:r>
            <w:r w:rsidRPr="006555FF">
              <w:rPr>
                <w:rFonts w:asciiTheme="minorBidi" w:eastAsia="Calibri" w:hAnsiTheme="minorBidi" w:cstheme="minorBidi"/>
                <w:sz w:val="20"/>
                <w:szCs w:val="20"/>
              </w:rPr>
              <w:t xml:space="preserve">eight category 2 centres specialized in the field of intangible cultural heritage through the organization of the </w:t>
            </w:r>
            <w:hyperlink r:id="rId70" w:history="1">
              <w:r w:rsidRPr="006555FF">
                <w:rPr>
                  <w:rStyle w:val="Hyperlink"/>
                  <w:rFonts w:asciiTheme="minorBidi" w:eastAsia="Calibri" w:hAnsiTheme="minorBidi" w:cstheme="minorBidi"/>
                  <w:sz w:val="20"/>
                  <w:szCs w:val="20"/>
                </w:rPr>
                <w:t>twelfth</w:t>
              </w:r>
            </w:hyperlink>
            <w:r w:rsidRPr="006555FF">
              <w:rPr>
                <w:rFonts w:asciiTheme="minorBidi" w:eastAsia="Calibri" w:hAnsiTheme="minorBidi" w:cstheme="minorBidi"/>
                <w:sz w:val="20"/>
                <w:szCs w:val="20"/>
              </w:rPr>
              <w:t xml:space="preserve"> </w:t>
            </w:r>
            <w:r w:rsidR="00CE66ED" w:rsidRPr="006555FF">
              <w:rPr>
                <w:rFonts w:asciiTheme="minorBidi" w:eastAsia="Calibri" w:hAnsiTheme="minorBidi" w:cstheme="minorBidi"/>
                <w:sz w:val="20"/>
                <w:szCs w:val="20"/>
              </w:rPr>
              <w:t>(</w:t>
            </w:r>
            <w:r w:rsidR="00F5360B" w:rsidRPr="006555FF">
              <w:rPr>
                <w:rFonts w:eastAsia="Calibri"/>
              </w:rPr>
              <w:t>13 June 2024</w:t>
            </w:r>
            <w:r w:rsidR="00CE66ED" w:rsidRPr="006555FF">
              <w:rPr>
                <w:rFonts w:asciiTheme="minorBidi" w:eastAsia="Calibri" w:hAnsiTheme="minorBidi" w:cstheme="minorBidi"/>
                <w:sz w:val="20"/>
                <w:szCs w:val="20"/>
              </w:rPr>
              <w:t xml:space="preserve">) </w:t>
            </w:r>
            <w:r w:rsidRPr="006555FF">
              <w:rPr>
                <w:rFonts w:asciiTheme="minorBidi" w:eastAsia="Calibri" w:hAnsiTheme="minorBidi" w:cstheme="minorBidi"/>
                <w:sz w:val="20"/>
                <w:szCs w:val="20"/>
              </w:rPr>
              <w:t xml:space="preserve">and </w:t>
            </w:r>
            <w:hyperlink r:id="rId71" w:history="1">
              <w:r w:rsidRPr="006555FF">
                <w:rPr>
                  <w:rStyle w:val="Hyperlink"/>
                  <w:rFonts w:asciiTheme="minorBidi" w:eastAsia="Calibri" w:hAnsiTheme="minorBidi" w:cstheme="minorBidi"/>
                  <w:sz w:val="20"/>
                  <w:szCs w:val="20"/>
                </w:rPr>
                <w:t>thirteenth</w:t>
              </w:r>
            </w:hyperlink>
            <w:r w:rsidRPr="006555FF">
              <w:rPr>
                <w:rFonts w:asciiTheme="minorBidi" w:eastAsia="Calibri" w:hAnsiTheme="minorBidi" w:cstheme="minorBidi"/>
                <w:sz w:val="20"/>
                <w:szCs w:val="20"/>
              </w:rPr>
              <w:t xml:space="preserve"> </w:t>
            </w:r>
            <w:r w:rsidR="00CE66ED" w:rsidRPr="006555FF">
              <w:rPr>
                <w:rFonts w:asciiTheme="minorBidi" w:eastAsia="Calibri" w:hAnsiTheme="minorBidi" w:cstheme="minorBidi"/>
                <w:sz w:val="20"/>
                <w:szCs w:val="20"/>
              </w:rPr>
              <w:t>(</w:t>
            </w:r>
            <w:r w:rsidR="00F5360B" w:rsidRPr="006555FF">
              <w:rPr>
                <w:rFonts w:eastAsia="Calibri"/>
              </w:rPr>
              <w:t>16 July 2025)</w:t>
            </w:r>
            <w:r w:rsidR="00CE66ED" w:rsidRPr="006555FF">
              <w:rPr>
                <w:rFonts w:asciiTheme="minorBidi" w:eastAsia="Calibri" w:hAnsiTheme="minorBidi" w:cstheme="minorBidi"/>
                <w:sz w:val="20"/>
                <w:szCs w:val="20"/>
              </w:rPr>
              <w:t xml:space="preserve"> </w:t>
            </w:r>
            <w:r w:rsidRPr="006555FF">
              <w:rPr>
                <w:rFonts w:asciiTheme="minorBidi" w:eastAsia="Calibri" w:hAnsiTheme="minorBidi" w:cstheme="minorBidi"/>
                <w:sz w:val="20"/>
                <w:szCs w:val="20"/>
              </w:rPr>
              <w:t>annual coordination meeting</w:t>
            </w:r>
            <w:r w:rsidR="00CE66ED" w:rsidRPr="006555FF">
              <w:rPr>
                <w:rFonts w:asciiTheme="minorBidi" w:eastAsia="Calibri" w:hAnsiTheme="minorBidi" w:cstheme="minorBidi"/>
                <w:sz w:val="20"/>
                <w:szCs w:val="20"/>
              </w:rPr>
              <w:t>s</w:t>
            </w:r>
            <w:r w:rsidRPr="006555FF">
              <w:rPr>
                <w:rFonts w:asciiTheme="minorBidi" w:eastAsia="Calibri" w:hAnsiTheme="minorBidi" w:cstheme="minorBidi"/>
                <w:sz w:val="20"/>
                <w:szCs w:val="20"/>
              </w:rPr>
              <w:t>.</w:t>
            </w:r>
          </w:p>
          <w:p w14:paraId="031A879B" w14:textId="591E003B" w:rsidR="00DC79A5" w:rsidRPr="006555FF" w:rsidRDefault="00DC79A5" w:rsidP="006E3CFA">
            <w:pPr>
              <w:pStyle w:val="ListParagraph"/>
              <w:numPr>
                <w:ilvl w:val="0"/>
                <w:numId w:val="63"/>
              </w:numPr>
              <w:tabs>
                <w:tab w:val="clear" w:pos="567"/>
                <w:tab w:val="left" w:pos="357"/>
              </w:tabs>
              <w:spacing w:before="60"/>
              <w:ind w:left="306" w:hanging="306"/>
              <w:rPr>
                <w:rFonts w:asciiTheme="minorBidi" w:eastAsia="Calibri" w:hAnsiTheme="minorBidi" w:cstheme="minorBidi"/>
                <w:sz w:val="20"/>
                <w:szCs w:val="20"/>
              </w:rPr>
            </w:pPr>
            <w:r w:rsidRPr="006555FF">
              <w:rPr>
                <w:rFonts w:asciiTheme="minorBidi" w:eastAsia="Calibri" w:hAnsiTheme="minorBidi" w:cstheme="minorBidi"/>
                <w:sz w:val="20"/>
                <w:szCs w:val="20"/>
              </w:rPr>
              <w:t>F</w:t>
            </w:r>
            <w:r w:rsidR="004C652A" w:rsidRPr="006555FF">
              <w:rPr>
                <w:rFonts w:asciiTheme="minorBidi" w:eastAsia="Calibri" w:hAnsiTheme="minorBidi" w:cstheme="minorBidi"/>
                <w:sz w:val="20"/>
                <w:szCs w:val="20"/>
              </w:rPr>
              <w:t>ive</w:t>
            </w:r>
            <w:r w:rsidRPr="006555FF">
              <w:rPr>
                <w:rFonts w:asciiTheme="minorBidi" w:eastAsia="Calibri" w:hAnsiTheme="minorBidi" w:cstheme="minorBidi"/>
                <w:sz w:val="20"/>
                <w:szCs w:val="20"/>
              </w:rPr>
              <w:t xml:space="preserve"> UNESCO/UNITWIN Chairs specializing in intangible cultural heritage</w:t>
            </w:r>
            <w:r w:rsidR="00F44C0B" w:rsidRPr="006555FF">
              <w:rPr>
                <w:rFonts w:asciiTheme="minorBidi" w:eastAsia="Calibri" w:hAnsiTheme="minorBidi" w:cstheme="minorBidi"/>
                <w:sz w:val="20"/>
                <w:szCs w:val="20"/>
              </w:rPr>
              <w:t xml:space="preserve"> </w:t>
            </w:r>
            <w:r w:rsidRPr="006555FF">
              <w:rPr>
                <w:rFonts w:asciiTheme="minorBidi" w:eastAsia="Calibri" w:hAnsiTheme="minorBidi" w:cstheme="minorBidi"/>
                <w:sz w:val="20"/>
                <w:szCs w:val="20"/>
              </w:rPr>
              <w:t xml:space="preserve">renewed, </w:t>
            </w:r>
            <w:r w:rsidR="0065176F" w:rsidRPr="006555FF">
              <w:rPr>
                <w:rFonts w:asciiTheme="minorBidi" w:eastAsia="Calibri" w:hAnsiTheme="minorBidi" w:cstheme="minorBidi"/>
                <w:sz w:val="20"/>
                <w:szCs w:val="20"/>
              </w:rPr>
              <w:t xml:space="preserve">one new Chair established </w:t>
            </w:r>
            <w:r w:rsidRPr="006555FF">
              <w:rPr>
                <w:rFonts w:asciiTheme="minorBidi" w:eastAsia="Calibri" w:hAnsiTheme="minorBidi" w:cstheme="minorBidi"/>
                <w:sz w:val="20"/>
                <w:szCs w:val="20"/>
              </w:rPr>
              <w:t>and exchanges with Chairs and UNITWIN networks facilitated through the creation of a</w:t>
            </w:r>
            <w:r w:rsidR="00F44C0B" w:rsidRPr="006555FF">
              <w:rPr>
                <w:rFonts w:asciiTheme="minorBidi" w:eastAsia="Calibri" w:hAnsiTheme="minorBidi" w:cstheme="minorBidi"/>
                <w:sz w:val="20"/>
                <w:szCs w:val="20"/>
              </w:rPr>
              <w:t xml:space="preserve"> dedicated</w:t>
            </w:r>
            <w:r w:rsidRPr="006555FF">
              <w:rPr>
                <w:rFonts w:asciiTheme="minorBidi" w:eastAsia="Calibri" w:hAnsiTheme="minorBidi" w:cstheme="minorBidi"/>
                <w:sz w:val="20"/>
                <w:szCs w:val="20"/>
              </w:rPr>
              <w:t xml:space="preserve"> </w:t>
            </w:r>
            <w:hyperlink r:id="rId72" w:history="1">
              <w:r w:rsidRPr="006555FF">
                <w:rPr>
                  <w:rStyle w:val="Hyperlink"/>
                  <w:rFonts w:asciiTheme="minorBidi" w:eastAsia="Calibri" w:hAnsiTheme="minorBidi" w:cstheme="minorBidi"/>
                  <w:sz w:val="20"/>
                  <w:szCs w:val="20"/>
                </w:rPr>
                <w:t>webpage</w:t>
              </w:r>
            </w:hyperlink>
            <w:r w:rsidRPr="006555FF">
              <w:rPr>
                <w:rFonts w:asciiTheme="minorBidi" w:eastAsia="Calibri" w:hAnsiTheme="minorBidi" w:cstheme="minorBidi"/>
                <w:sz w:val="20"/>
                <w:szCs w:val="20"/>
              </w:rPr>
              <w:t>.</w:t>
            </w:r>
          </w:p>
        </w:tc>
      </w:tr>
      <w:tr w:rsidR="00DC79A5" w:rsidRPr="006555FF" w14:paraId="2DCF6A63" w14:textId="77777777" w:rsidTr="005A2EE4">
        <w:trPr>
          <w:trHeight w:val="404"/>
          <w:jc w:val="center"/>
        </w:trPr>
        <w:tc>
          <w:tcPr>
            <w:tcW w:w="9640" w:type="dxa"/>
          </w:tcPr>
          <w:p w14:paraId="24725D3D" w14:textId="77777777" w:rsidR="00DC79A5" w:rsidRPr="006555FF" w:rsidRDefault="00DC79A5" w:rsidP="006E3CFA">
            <w:pPr>
              <w:spacing w:before="60" w:after="60"/>
              <w:jc w:val="both"/>
              <w:rPr>
                <w:rFonts w:asciiTheme="minorBidi" w:eastAsia="Calibri" w:hAnsiTheme="minorBidi" w:cstheme="minorBidi"/>
                <w:b/>
                <w:bCs/>
                <w:sz w:val="20"/>
                <w:szCs w:val="20"/>
              </w:rPr>
            </w:pPr>
            <w:r w:rsidRPr="006555FF">
              <w:rPr>
                <w:rFonts w:asciiTheme="minorBidi" w:eastAsia="Calibri" w:hAnsiTheme="minorBidi" w:cstheme="minorBidi"/>
                <w:b/>
                <w:bCs/>
                <w:sz w:val="20"/>
                <w:szCs w:val="20"/>
              </w:rPr>
              <w:t>Safeguarding intangible cultural heritage in formal and non-formal education enhanced</w:t>
            </w:r>
          </w:p>
          <w:p w14:paraId="526FA102" w14:textId="36A9EA69" w:rsidR="00DC79A5" w:rsidRPr="006555FF" w:rsidRDefault="00E419F1" w:rsidP="006E3CFA">
            <w:pPr>
              <w:pStyle w:val="ListParagraph"/>
              <w:numPr>
                <w:ilvl w:val="0"/>
                <w:numId w:val="63"/>
              </w:numPr>
              <w:tabs>
                <w:tab w:val="clear" w:pos="567"/>
                <w:tab w:val="left" w:pos="357"/>
              </w:tabs>
              <w:spacing w:before="60"/>
              <w:ind w:left="306" w:hanging="306"/>
              <w:rPr>
                <w:rFonts w:asciiTheme="minorBidi" w:hAnsiTheme="minorBidi" w:cstheme="minorBidi"/>
                <w:sz w:val="20"/>
                <w:szCs w:val="20"/>
              </w:rPr>
            </w:pPr>
            <w:r w:rsidRPr="006555FF">
              <w:rPr>
                <w:rFonts w:asciiTheme="minorBidi" w:eastAsia="Calibri" w:hAnsiTheme="minorBidi" w:cstheme="minorBidi"/>
                <w:sz w:val="20"/>
                <w:szCs w:val="20"/>
              </w:rPr>
              <w:t>M</w:t>
            </w:r>
            <w:r w:rsidR="00DC79A5" w:rsidRPr="006555FF">
              <w:rPr>
                <w:rFonts w:asciiTheme="minorBidi" w:eastAsia="Calibri" w:hAnsiTheme="minorBidi" w:cstheme="minorBidi"/>
                <w:sz w:val="20"/>
                <w:szCs w:val="20"/>
              </w:rPr>
              <w:t xml:space="preserve">arking the conclusion of </w:t>
            </w:r>
            <w:r w:rsidRPr="006555FF">
              <w:rPr>
                <w:rFonts w:asciiTheme="minorBidi" w:eastAsia="Calibri" w:hAnsiTheme="minorBidi" w:cstheme="minorBidi"/>
                <w:sz w:val="20"/>
                <w:szCs w:val="20"/>
              </w:rPr>
              <w:t xml:space="preserve">the </w:t>
            </w:r>
            <w:r w:rsidR="00DC79A5" w:rsidRPr="006555FF">
              <w:rPr>
                <w:rFonts w:asciiTheme="minorBidi" w:eastAsia="Calibri" w:hAnsiTheme="minorBidi" w:cstheme="minorBidi"/>
                <w:sz w:val="20"/>
                <w:szCs w:val="20"/>
              </w:rPr>
              <w:t>second Funding priority under the Convention</w:t>
            </w:r>
            <w:r w:rsidR="00CE66ED" w:rsidRPr="006555FF">
              <w:rPr>
                <w:rFonts w:asciiTheme="minorBidi" w:eastAsia="Calibri" w:hAnsiTheme="minorBidi" w:cstheme="minorBidi"/>
                <w:sz w:val="20"/>
                <w:szCs w:val="20"/>
              </w:rPr>
              <w:t xml:space="preserve"> (see document </w:t>
            </w:r>
            <w:hyperlink r:id="rId73" w:history="1">
              <w:r w:rsidR="00CE66ED" w:rsidRPr="006555FF">
                <w:rPr>
                  <w:rStyle w:val="Hyperlink"/>
                  <w:rFonts w:eastAsia="Calibri"/>
                </w:rPr>
                <w:t>LHE/25/20.COM/INF.13.2</w:t>
              </w:r>
            </w:hyperlink>
            <w:r w:rsidR="00CE66ED" w:rsidRPr="006555FF">
              <w:rPr>
                <w:rFonts w:asciiTheme="minorBidi" w:eastAsia="Calibri" w:hAnsiTheme="minorBidi" w:cstheme="minorBidi"/>
                <w:sz w:val="20"/>
                <w:szCs w:val="20"/>
              </w:rPr>
              <w:t>)</w:t>
            </w:r>
            <w:r w:rsidRPr="006555FF">
              <w:rPr>
                <w:rFonts w:asciiTheme="minorBidi" w:eastAsia="Calibri" w:hAnsiTheme="minorBidi" w:cstheme="minorBidi"/>
                <w:sz w:val="20"/>
                <w:szCs w:val="20"/>
              </w:rPr>
              <w:t>,</w:t>
            </w:r>
            <w:r w:rsidR="00DC79A5" w:rsidRPr="006555FF">
              <w:rPr>
                <w:rFonts w:asciiTheme="minorBidi" w:eastAsia="Calibri" w:hAnsiTheme="minorBidi" w:cstheme="minorBidi"/>
                <w:sz w:val="20"/>
                <w:szCs w:val="20"/>
              </w:rPr>
              <w:t xml:space="preserve"> an expert survey and </w:t>
            </w:r>
            <w:hyperlink r:id="rId74" w:history="1">
              <w:r w:rsidR="00DC79A5" w:rsidRPr="006555FF">
                <w:rPr>
                  <w:rStyle w:val="Hyperlink"/>
                  <w:rFonts w:asciiTheme="minorBidi" w:hAnsiTheme="minorBidi" w:cstheme="minorBidi"/>
                  <w:sz w:val="20"/>
                  <w:szCs w:val="20"/>
                </w:rPr>
                <w:t>online reflection meeting</w:t>
              </w:r>
            </w:hyperlink>
            <w:r w:rsidR="00DC79A5" w:rsidRPr="006555FF">
              <w:rPr>
                <w:rFonts w:asciiTheme="minorBidi" w:eastAsia="Calibri" w:hAnsiTheme="minorBidi" w:cstheme="minorBidi"/>
                <w:sz w:val="20"/>
                <w:szCs w:val="20"/>
              </w:rPr>
              <w:t xml:space="preserve"> with</w:t>
            </w:r>
            <w:r w:rsidRPr="006555FF">
              <w:rPr>
                <w:rFonts w:asciiTheme="minorBidi" w:eastAsia="Calibri" w:hAnsiTheme="minorBidi" w:cstheme="minorBidi"/>
                <w:sz w:val="20"/>
                <w:szCs w:val="20"/>
              </w:rPr>
              <w:t xml:space="preserve"> </w:t>
            </w:r>
            <w:r w:rsidR="00DC79A5" w:rsidRPr="006555FF">
              <w:rPr>
                <w:rFonts w:asciiTheme="minorBidi" w:eastAsia="Calibri" w:hAnsiTheme="minorBidi" w:cstheme="minorBidi"/>
                <w:sz w:val="20"/>
                <w:szCs w:val="20"/>
              </w:rPr>
              <w:t xml:space="preserve">experts from the culture and education sectors </w:t>
            </w:r>
            <w:r w:rsidRPr="006555FF">
              <w:rPr>
                <w:rFonts w:asciiTheme="minorBidi" w:eastAsia="Calibri" w:hAnsiTheme="minorBidi" w:cstheme="minorBidi"/>
                <w:sz w:val="20"/>
                <w:szCs w:val="20"/>
              </w:rPr>
              <w:t xml:space="preserve">took place </w:t>
            </w:r>
            <w:r w:rsidR="00DC79A5" w:rsidRPr="006555FF">
              <w:rPr>
                <w:rFonts w:asciiTheme="minorBidi" w:hAnsiTheme="minorBidi" w:cstheme="minorBidi"/>
                <w:sz w:val="20"/>
                <w:szCs w:val="20"/>
              </w:rPr>
              <w:t>(July 2025).</w:t>
            </w:r>
          </w:p>
          <w:p w14:paraId="5D05425A" w14:textId="799D2AEE" w:rsidR="00CE66ED" w:rsidRPr="006555FF" w:rsidRDefault="00DC79A5" w:rsidP="00CE66ED">
            <w:pPr>
              <w:pStyle w:val="ListParagraph"/>
              <w:numPr>
                <w:ilvl w:val="0"/>
                <w:numId w:val="63"/>
              </w:numPr>
              <w:tabs>
                <w:tab w:val="clear" w:pos="567"/>
                <w:tab w:val="left" w:pos="357"/>
              </w:tabs>
              <w:spacing w:before="60"/>
              <w:ind w:left="306" w:hanging="306"/>
              <w:rPr>
                <w:rFonts w:asciiTheme="minorBidi" w:hAnsiTheme="minorBidi" w:cstheme="minorBidi"/>
                <w:sz w:val="20"/>
                <w:szCs w:val="20"/>
              </w:rPr>
            </w:pPr>
            <w:r w:rsidRPr="006555FF">
              <w:rPr>
                <w:rFonts w:asciiTheme="minorBidi" w:hAnsiTheme="minorBidi" w:cstheme="minorBidi"/>
                <w:sz w:val="20"/>
                <w:szCs w:val="20"/>
              </w:rPr>
              <w:t xml:space="preserve">Integration of living heritage safeguarding into major international education frameworks, including the </w:t>
            </w:r>
            <w:hyperlink r:id="rId75" w:history="1">
              <w:r w:rsidR="00CE66ED" w:rsidRPr="006555FF">
                <w:rPr>
                  <w:rStyle w:val="Hyperlink"/>
                  <w:rFonts w:asciiTheme="minorBidi" w:hAnsiTheme="minorBidi" w:cstheme="minorBidi"/>
                  <w:sz w:val="20"/>
                  <w:szCs w:val="20"/>
                </w:rPr>
                <w:t xml:space="preserve">UNESCO Framework for </w:t>
              </w:r>
              <w:r w:rsidRPr="006555FF">
                <w:rPr>
                  <w:rStyle w:val="Hyperlink"/>
                  <w:rFonts w:asciiTheme="minorBidi" w:hAnsiTheme="minorBidi" w:cstheme="minorBidi"/>
                  <w:sz w:val="20"/>
                  <w:szCs w:val="20"/>
                </w:rPr>
                <w:t>Culture and Arts Education</w:t>
              </w:r>
            </w:hyperlink>
            <w:r w:rsidRPr="006555FF">
              <w:rPr>
                <w:rFonts w:asciiTheme="minorBidi" w:hAnsiTheme="minorBidi" w:cstheme="minorBidi"/>
                <w:sz w:val="20"/>
                <w:szCs w:val="20"/>
              </w:rPr>
              <w:t xml:space="preserve"> (2024), supported through upstream intersectoral collaboration</w:t>
            </w:r>
            <w:r w:rsidR="00CE66ED" w:rsidRPr="006555FF">
              <w:rPr>
                <w:rFonts w:asciiTheme="minorBidi" w:hAnsiTheme="minorBidi" w:cstheme="minorBidi"/>
                <w:sz w:val="20"/>
                <w:szCs w:val="20"/>
              </w:rPr>
              <w:t>,</w:t>
            </w:r>
            <w:r w:rsidRPr="006555FF">
              <w:rPr>
                <w:rFonts w:asciiTheme="minorBidi" w:hAnsiTheme="minorBidi" w:cstheme="minorBidi"/>
                <w:sz w:val="20"/>
                <w:szCs w:val="20"/>
              </w:rPr>
              <w:t xml:space="preserve"> </w:t>
            </w:r>
            <w:r w:rsidR="00145EAF" w:rsidRPr="006555FF">
              <w:rPr>
                <w:rFonts w:asciiTheme="minorBidi" w:hAnsiTheme="minorBidi" w:cstheme="minorBidi"/>
                <w:sz w:val="20"/>
                <w:szCs w:val="20"/>
              </w:rPr>
              <w:t xml:space="preserve">the development of an assessment tool on </w:t>
            </w:r>
            <w:r w:rsidR="005A1027" w:rsidRPr="006555FF">
              <w:rPr>
                <w:rFonts w:asciiTheme="minorBidi" w:hAnsiTheme="minorBidi" w:cstheme="minorBidi"/>
                <w:sz w:val="20"/>
                <w:szCs w:val="20"/>
              </w:rPr>
              <w:t>‘</w:t>
            </w:r>
            <w:r w:rsidR="00145EAF" w:rsidRPr="006555FF">
              <w:rPr>
                <w:rFonts w:asciiTheme="minorBidi" w:hAnsiTheme="minorBidi" w:cstheme="minorBidi"/>
                <w:sz w:val="20"/>
                <w:szCs w:val="20"/>
              </w:rPr>
              <w:t>learning with living heritage</w:t>
            </w:r>
            <w:r w:rsidR="005A1027" w:rsidRPr="006555FF">
              <w:rPr>
                <w:rFonts w:asciiTheme="minorBidi" w:hAnsiTheme="minorBidi" w:cstheme="minorBidi"/>
                <w:sz w:val="20"/>
                <w:szCs w:val="20"/>
              </w:rPr>
              <w:t>’</w:t>
            </w:r>
            <w:r w:rsidR="00145EAF" w:rsidRPr="006555FF">
              <w:rPr>
                <w:rFonts w:asciiTheme="minorBidi" w:hAnsiTheme="minorBidi" w:cstheme="minorBidi"/>
                <w:sz w:val="20"/>
                <w:szCs w:val="20"/>
              </w:rPr>
              <w:t xml:space="preserve">, </w:t>
            </w:r>
            <w:r w:rsidRPr="006555FF">
              <w:rPr>
                <w:rFonts w:asciiTheme="minorBidi" w:hAnsiTheme="minorBidi" w:cstheme="minorBidi"/>
                <w:sz w:val="20"/>
                <w:szCs w:val="20"/>
              </w:rPr>
              <w:t xml:space="preserve">the </w:t>
            </w:r>
            <w:hyperlink r:id="rId76" w:history="1">
              <w:r w:rsidRPr="006555FF">
                <w:rPr>
                  <w:rStyle w:val="Hyperlink"/>
                  <w:rFonts w:asciiTheme="minorBidi" w:hAnsiTheme="minorBidi" w:cstheme="minorBidi"/>
                  <w:sz w:val="20"/>
                  <w:szCs w:val="20"/>
                </w:rPr>
                <w:t>Clearinghouse</w:t>
              </w:r>
            </w:hyperlink>
            <w:r w:rsidRPr="006555FF">
              <w:rPr>
                <w:rFonts w:asciiTheme="minorBidi" w:hAnsiTheme="minorBidi" w:cstheme="minorBidi"/>
                <w:sz w:val="20"/>
                <w:szCs w:val="20"/>
              </w:rPr>
              <w:t xml:space="preserve"> on living heritage and education updated with additional projects and resources (183 entries in total)</w:t>
            </w:r>
            <w:r w:rsidR="00E419F1" w:rsidRPr="006555FF">
              <w:rPr>
                <w:rFonts w:asciiTheme="minorBidi" w:hAnsiTheme="minorBidi" w:cstheme="minorBidi"/>
                <w:sz w:val="20"/>
                <w:szCs w:val="20"/>
              </w:rPr>
              <w:t>.</w:t>
            </w:r>
          </w:p>
        </w:tc>
      </w:tr>
      <w:tr w:rsidR="00261CCD" w:rsidRPr="006555FF" w14:paraId="14B26CB1" w14:textId="77777777" w:rsidTr="005A2EE4">
        <w:trPr>
          <w:trHeight w:val="1478"/>
          <w:jc w:val="center"/>
        </w:trPr>
        <w:tc>
          <w:tcPr>
            <w:tcW w:w="9640" w:type="dxa"/>
          </w:tcPr>
          <w:p w14:paraId="628D0E7B" w14:textId="41F85B2E" w:rsidR="00DC79A5" w:rsidRPr="006555FF" w:rsidRDefault="00DC79A5" w:rsidP="006E3CFA">
            <w:pPr>
              <w:spacing w:before="60" w:after="60"/>
              <w:jc w:val="both"/>
              <w:rPr>
                <w:rFonts w:asciiTheme="minorBidi" w:eastAsia="Calibri" w:hAnsiTheme="minorBidi" w:cstheme="minorBidi"/>
                <w:b/>
                <w:bCs/>
                <w:sz w:val="20"/>
                <w:szCs w:val="20"/>
              </w:rPr>
            </w:pPr>
            <w:r w:rsidRPr="006555FF">
              <w:rPr>
                <w:rFonts w:asciiTheme="minorBidi" w:eastAsia="Calibri" w:hAnsiTheme="minorBidi" w:cstheme="minorBidi"/>
                <w:b/>
                <w:bCs/>
                <w:sz w:val="20"/>
                <w:szCs w:val="20"/>
              </w:rPr>
              <w:t>Importance of safeguarding living heritage for sustainable development demonstrated through thematic initiatives</w:t>
            </w:r>
          </w:p>
          <w:p w14:paraId="587173D6" w14:textId="77777777" w:rsidR="00DC79A5" w:rsidRPr="006555FF" w:rsidRDefault="00DC79A5" w:rsidP="00DC79A5">
            <w:pPr>
              <w:rPr>
                <w:rFonts w:asciiTheme="minorBidi" w:hAnsiTheme="minorBidi" w:cstheme="minorBidi"/>
                <w:sz w:val="20"/>
                <w:szCs w:val="20"/>
              </w:rPr>
            </w:pPr>
            <w:r w:rsidRPr="006555FF">
              <w:rPr>
                <w:rFonts w:asciiTheme="minorBidi" w:hAnsiTheme="minorBidi" w:cstheme="minorBidi"/>
                <w:sz w:val="20"/>
                <w:szCs w:val="20"/>
                <w:u w:val="single"/>
              </w:rPr>
              <w:t>Economic dimensions of intangible cultural heritage safeguarding</w:t>
            </w:r>
          </w:p>
          <w:p w14:paraId="772BCBA4" w14:textId="0D1C62AB" w:rsidR="00F45B5C" w:rsidRPr="006555FF" w:rsidRDefault="00DC79A5" w:rsidP="00DC79A5">
            <w:pPr>
              <w:pStyle w:val="ListParagraph"/>
              <w:numPr>
                <w:ilvl w:val="0"/>
                <w:numId w:val="63"/>
              </w:numPr>
              <w:tabs>
                <w:tab w:val="clear" w:pos="567"/>
                <w:tab w:val="left" w:pos="357"/>
              </w:tabs>
              <w:spacing w:before="60"/>
              <w:ind w:left="306" w:hanging="306"/>
              <w:rPr>
                <w:rStyle w:val="Strong"/>
                <w:rFonts w:asciiTheme="minorBidi" w:hAnsiTheme="minorBidi" w:cstheme="minorBidi"/>
                <w:b w:val="0"/>
                <w:bCs w:val="0"/>
                <w:sz w:val="20"/>
                <w:szCs w:val="20"/>
              </w:rPr>
            </w:pPr>
            <w:r w:rsidRPr="006555FF">
              <w:rPr>
                <w:rFonts w:asciiTheme="minorBidi" w:hAnsiTheme="minorBidi" w:cstheme="minorBidi"/>
                <w:sz w:val="20"/>
                <w:szCs w:val="20"/>
              </w:rPr>
              <w:t xml:space="preserve">Active engagement and better intersectoral cooperation ensured in order to enhance and </w:t>
            </w:r>
            <w:r w:rsidRPr="006555FF">
              <w:rPr>
                <w:rStyle w:val="Strong"/>
                <w:rFonts w:asciiTheme="minorBidi" w:hAnsiTheme="minorBidi" w:cstheme="minorBidi"/>
                <w:b w:val="0"/>
                <w:bCs w:val="0"/>
                <w:sz w:val="20"/>
                <w:szCs w:val="20"/>
              </w:rPr>
              <w:t>develop sector-specific knowledge,</w:t>
            </w:r>
            <w:r w:rsidRPr="006555FF">
              <w:rPr>
                <w:rFonts w:asciiTheme="minorBidi" w:hAnsiTheme="minorBidi" w:cstheme="minorBidi"/>
                <w:sz w:val="20"/>
                <w:szCs w:val="20"/>
              </w:rPr>
              <w:t xml:space="preserve"> building upon the </w:t>
            </w:r>
            <w:r w:rsidR="005A1027" w:rsidRPr="006555FF">
              <w:rPr>
                <w:rFonts w:asciiTheme="minorBidi" w:hAnsiTheme="minorBidi" w:cstheme="minorBidi"/>
                <w:sz w:val="20"/>
                <w:szCs w:val="20"/>
              </w:rPr>
              <w:t>‘</w:t>
            </w:r>
            <w:hyperlink r:id="rId77" w:history="1">
              <w:r w:rsidR="00162F47" w:rsidRPr="006555FF">
                <w:rPr>
                  <w:rStyle w:val="Hyperlink"/>
                  <w:rFonts w:asciiTheme="minorBidi" w:hAnsiTheme="minorBidi" w:cstheme="minorBidi"/>
                  <w:sz w:val="20"/>
                  <w:szCs w:val="20"/>
                </w:rPr>
                <w:t>Guidance note</w:t>
              </w:r>
            </w:hyperlink>
            <w:r w:rsidR="00162F47" w:rsidRPr="006555FF">
              <w:rPr>
                <w:rFonts w:asciiTheme="minorBidi" w:hAnsiTheme="minorBidi" w:cstheme="minorBidi"/>
                <w:sz w:val="20"/>
                <w:szCs w:val="20"/>
              </w:rPr>
              <w:t xml:space="preserve"> on the economic dimensions of intangible cultural heritage safeguarding</w:t>
            </w:r>
            <w:r w:rsidR="005A1027" w:rsidRPr="006555FF">
              <w:rPr>
                <w:rFonts w:asciiTheme="minorBidi" w:hAnsiTheme="minorBidi" w:cstheme="minorBidi"/>
                <w:sz w:val="20"/>
                <w:szCs w:val="20"/>
              </w:rPr>
              <w:t>’</w:t>
            </w:r>
            <w:r w:rsidR="00F45B5C" w:rsidRPr="006555FF">
              <w:rPr>
                <w:rFonts w:asciiTheme="minorBidi" w:hAnsiTheme="minorBidi" w:cstheme="minorBidi"/>
                <w:sz w:val="20"/>
                <w:szCs w:val="20"/>
              </w:rPr>
              <w:t xml:space="preserve"> </w:t>
            </w:r>
            <w:r w:rsidRPr="006555FF">
              <w:rPr>
                <w:rFonts w:asciiTheme="minorBidi" w:hAnsiTheme="minorBidi" w:cstheme="minorBidi"/>
                <w:sz w:val="20"/>
                <w:szCs w:val="20"/>
              </w:rPr>
              <w:t xml:space="preserve">(Decision </w:t>
            </w:r>
            <w:hyperlink r:id="rId78" w:history="1">
              <w:r w:rsidRPr="006555FF">
                <w:rPr>
                  <w:rStyle w:val="Hyperlink"/>
                  <w:rFonts w:asciiTheme="minorBidi" w:hAnsiTheme="minorBidi" w:cstheme="minorBidi"/>
                  <w:sz w:val="20"/>
                  <w:szCs w:val="20"/>
                </w:rPr>
                <w:t>18.</w:t>
              </w:r>
              <w:r w:rsidR="00F45B5C" w:rsidRPr="006555FF">
                <w:rPr>
                  <w:rStyle w:val="Hyperlink"/>
                  <w:rFonts w:asciiTheme="minorBidi" w:hAnsiTheme="minorBidi" w:cstheme="minorBidi"/>
                  <w:sz w:val="20"/>
                  <w:szCs w:val="20"/>
                </w:rPr>
                <w:t>COM </w:t>
              </w:r>
              <w:r w:rsidRPr="006555FF">
                <w:rPr>
                  <w:rStyle w:val="Hyperlink"/>
                  <w:rFonts w:asciiTheme="minorBidi" w:hAnsiTheme="minorBidi" w:cstheme="minorBidi"/>
                  <w:sz w:val="20"/>
                  <w:szCs w:val="20"/>
                </w:rPr>
                <w:t>12</w:t>
              </w:r>
            </w:hyperlink>
            <w:r w:rsidRPr="006555FF">
              <w:rPr>
                <w:rFonts w:asciiTheme="minorBidi" w:hAnsiTheme="minorBidi" w:cstheme="minorBidi"/>
                <w:sz w:val="20"/>
                <w:szCs w:val="20"/>
              </w:rPr>
              <w:t>)</w:t>
            </w:r>
            <w:r w:rsidRPr="006555FF">
              <w:rPr>
                <w:rStyle w:val="Strong"/>
                <w:rFonts w:asciiTheme="minorBidi" w:hAnsiTheme="minorBidi" w:cstheme="minorBidi"/>
                <w:b w:val="0"/>
                <w:bCs w:val="0"/>
                <w:sz w:val="20"/>
                <w:szCs w:val="20"/>
              </w:rPr>
              <w:t>.</w:t>
            </w:r>
            <w:r w:rsidR="00F45B5C" w:rsidRPr="006555FF">
              <w:rPr>
                <w:rStyle w:val="Strong"/>
                <w:rFonts w:asciiTheme="minorBidi" w:hAnsiTheme="minorBidi" w:cstheme="minorBidi"/>
                <w:b w:val="0"/>
                <w:bCs w:val="0"/>
                <w:sz w:val="20"/>
                <w:szCs w:val="20"/>
              </w:rPr>
              <w:t xml:space="preserve"> This includes informal technical consultations with experts on </w:t>
            </w:r>
            <w:r w:rsidR="00F45B5C" w:rsidRPr="006555FF">
              <w:rPr>
                <w:rFonts w:asciiTheme="minorBidi" w:hAnsiTheme="minorBidi" w:cstheme="minorBidi"/>
                <w:sz w:val="20"/>
                <w:szCs w:val="20"/>
              </w:rPr>
              <w:t>terminologies and methodologies,</w:t>
            </w:r>
            <w:r w:rsidR="00F45B5C" w:rsidRPr="006555FF">
              <w:rPr>
                <w:sz w:val="20"/>
                <w:szCs w:val="20"/>
              </w:rPr>
              <w:t xml:space="preserve"> as well as </w:t>
            </w:r>
            <w:r w:rsidR="00F45B5C" w:rsidRPr="006555FF">
              <w:rPr>
                <w:rFonts w:asciiTheme="minorBidi" w:hAnsiTheme="minorBidi" w:cstheme="minorBidi"/>
                <w:sz w:val="20"/>
                <w:szCs w:val="20"/>
              </w:rPr>
              <w:t xml:space="preserve">with institutions and other UN agencies, including </w:t>
            </w:r>
            <w:r w:rsidR="00F5360B" w:rsidRPr="006555FF">
              <w:rPr>
                <w:rFonts w:asciiTheme="minorBidi" w:hAnsiTheme="minorBidi" w:cstheme="minorBidi"/>
                <w:sz w:val="20"/>
                <w:szCs w:val="20"/>
              </w:rPr>
              <w:t>t</w:t>
            </w:r>
            <w:r w:rsidR="00F45B5C" w:rsidRPr="006555FF">
              <w:rPr>
                <w:rFonts w:asciiTheme="minorBidi" w:hAnsiTheme="minorBidi" w:cstheme="minorBidi"/>
                <w:sz w:val="20"/>
                <w:szCs w:val="20"/>
              </w:rPr>
              <w:t>he Secretariat of the Convention on Biological Diversity (CBD), the Food and Agriculture Organization (FAO), UN Tourism, UN Women, and the World Intellectual Property Organization (WIPO).</w:t>
            </w:r>
          </w:p>
          <w:p w14:paraId="1375C099" w14:textId="6FE844D2" w:rsidR="00DC79A5" w:rsidRPr="006555FF" w:rsidRDefault="00F45B5C" w:rsidP="00DC79A5">
            <w:pPr>
              <w:pStyle w:val="ListParagraph"/>
              <w:numPr>
                <w:ilvl w:val="0"/>
                <w:numId w:val="63"/>
              </w:numPr>
              <w:tabs>
                <w:tab w:val="clear" w:pos="567"/>
                <w:tab w:val="left" w:pos="357"/>
              </w:tabs>
              <w:spacing w:before="60"/>
              <w:ind w:left="306" w:hanging="306"/>
              <w:rPr>
                <w:rStyle w:val="Strong"/>
                <w:rFonts w:asciiTheme="minorBidi" w:hAnsiTheme="minorBidi" w:cstheme="minorBidi"/>
                <w:b w:val="0"/>
                <w:bCs w:val="0"/>
                <w:sz w:val="20"/>
                <w:szCs w:val="20"/>
              </w:rPr>
            </w:pPr>
            <w:r w:rsidRPr="006555FF">
              <w:rPr>
                <w:rStyle w:val="Strong"/>
                <w:rFonts w:asciiTheme="minorBidi" w:hAnsiTheme="minorBidi" w:cstheme="minorBidi"/>
                <w:b w:val="0"/>
                <w:bCs w:val="0"/>
                <w:sz w:val="20"/>
                <w:szCs w:val="20"/>
              </w:rPr>
              <w:t>Ongoing</w:t>
            </w:r>
            <w:r w:rsidR="00DC79A5" w:rsidRPr="006555FF">
              <w:rPr>
                <w:rStyle w:val="Strong"/>
                <w:rFonts w:asciiTheme="minorBidi" w:hAnsiTheme="minorBidi" w:cstheme="minorBidi"/>
                <w:b w:val="0"/>
                <w:bCs w:val="0"/>
                <w:sz w:val="20"/>
                <w:szCs w:val="20"/>
              </w:rPr>
              <w:t xml:space="preserve"> creation of capacity-building and awareness-raising </w:t>
            </w:r>
            <w:r w:rsidRPr="006555FF">
              <w:rPr>
                <w:rStyle w:val="Strong"/>
                <w:rFonts w:asciiTheme="minorBidi" w:hAnsiTheme="minorBidi" w:cstheme="minorBidi"/>
                <w:b w:val="0"/>
                <w:bCs w:val="0"/>
                <w:sz w:val="20"/>
                <w:szCs w:val="20"/>
              </w:rPr>
              <w:t>tools</w:t>
            </w:r>
            <w:r w:rsidR="00DC79A5" w:rsidRPr="006555FF">
              <w:rPr>
                <w:rStyle w:val="Strong"/>
                <w:rFonts w:asciiTheme="minorBidi" w:hAnsiTheme="minorBidi" w:cstheme="minorBidi"/>
                <w:b w:val="0"/>
                <w:bCs w:val="0"/>
                <w:sz w:val="20"/>
                <w:szCs w:val="20"/>
              </w:rPr>
              <w:t>, including tailored toolkits and resources for specific sectors (i.e. tourism, craft, agriculture) and stakeholders (including Indigenous Peoples and local communities).</w:t>
            </w:r>
          </w:p>
          <w:p w14:paraId="408BB66E" w14:textId="77777777" w:rsidR="00DC79A5" w:rsidRPr="006555FF" w:rsidRDefault="00DC79A5" w:rsidP="00E20E6C">
            <w:pPr>
              <w:keepNext/>
              <w:rPr>
                <w:rFonts w:asciiTheme="minorBidi" w:hAnsiTheme="minorBidi" w:cstheme="minorBidi"/>
                <w:sz w:val="20"/>
                <w:szCs w:val="20"/>
              </w:rPr>
            </w:pPr>
            <w:r w:rsidRPr="006555FF">
              <w:rPr>
                <w:rFonts w:asciiTheme="minorBidi" w:hAnsiTheme="minorBidi" w:cstheme="minorBidi"/>
                <w:sz w:val="20"/>
                <w:szCs w:val="20"/>
                <w:u w:val="single"/>
              </w:rPr>
              <w:t>Safeguarding intangible cultural heritage and climate change</w:t>
            </w:r>
          </w:p>
          <w:p w14:paraId="4AE25F58" w14:textId="773198F7" w:rsidR="00DC79A5" w:rsidRPr="006555FF" w:rsidRDefault="00DC79A5" w:rsidP="00DC79A5">
            <w:pPr>
              <w:pStyle w:val="ListParagraph"/>
              <w:numPr>
                <w:ilvl w:val="0"/>
                <w:numId w:val="63"/>
              </w:numPr>
              <w:tabs>
                <w:tab w:val="clear" w:pos="567"/>
                <w:tab w:val="left" w:pos="357"/>
              </w:tabs>
              <w:spacing w:before="60"/>
              <w:ind w:left="306" w:hanging="306"/>
              <w:rPr>
                <w:rFonts w:asciiTheme="minorBidi" w:hAnsiTheme="minorBidi" w:cstheme="minorBidi"/>
                <w:sz w:val="20"/>
                <w:szCs w:val="20"/>
              </w:rPr>
            </w:pPr>
            <w:r w:rsidRPr="006555FF">
              <w:rPr>
                <w:rFonts w:asciiTheme="minorBidi" w:hAnsiTheme="minorBidi" w:cstheme="minorBidi"/>
                <w:sz w:val="20"/>
                <w:szCs w:val="20"/>
              </w:rPr>
              <w:t xml:space="preserve">Knowledge and expertise generated through a two-part </w:t>
            </w:r>
            <w:hyperlink r:id="rId79" w:history="1">
              <w:r w:rsidRPr="006555FF">
                <w:rPr>
                  <w:rFonts w:asciiTheme="minorBidi" w:hAnsiTheme="minorBidi" w:cstheme="minorBidi"/>
                  <w:color w:val="0000FF"/>
                  <w:sz w:val="20"/>
                  <w:szCs w:val="20"/>
                  <w:u w:val="single"/>
                </w:rPr>
                <w:t>expert meeting</w:t>
              </w:r>
            </w:hyperlink>
            <w:r w:rsidRPr="006555FF">
              <w:rPr>
                <w:rFonts w:asciiTheme="minorBidi" w:hAnsiTheme="minorBidi" w:cstheme="minorBidi"/>
                <w:sz w:val="20"/>
                <w:szCs w:val="20"/>
              </w:rPr>
              <w:t xml:space="preserve"> </w:t>
            </w:r>
            <w:r w:rsidR="00AE1CFA" w:rsidRPr="006555FF">
              <w:rPr>
                <w:rFonts w:asciiTheme="minorBidi" w:hAnsiTheme="minorBidi" w:cstheme="minorBidi"/>
                <w:sz w:val="20"/>
                <w:szCs w:val="20"/>
              </w:rPr>
              <w:t xml:space="preserve">in 2024 </w:t>
            </w:r>
            <w:r w:rsidRPr="006555FF">
              <w:rPr>
                <w:rFonts w:asciiTheme="minorBidi" w:hAnsiTheme="minorBidi" w:cstheme="minorBidi"/>
                <w:sz w:val="20"/>
                <w:szCs w:val="20"/>
              </w:rPr>
              <w:t>on safeguarding intangible cultural heritage and climate change, engaging experts from both fields and all regions</w:t>
            </w:r>
            <w:r w:rsidR="00F45B5C" w:rsidRPr="006555FF">
              <w:rPr>
                <w:rFonts w:asciiTheme="minorBidi" w:hAnsiTheme="minorBidi" w:cstheme="minorBidi"/>
                <w:sz w:val="20"/>
                <w:szCs w:val="20"/>
              </w:rPr>
              <w:t>.</w:t>
            </w:r>
            <w:r w:rsidRPr="006555FF">
              <w:rPr>
                <w:rFonts w:asciiTheme="minorBidi" w:hAnsiTheme="minorBidi" w:cstheme="minorBidi"/>
                <w:sz w:val="20"/>
                <w:szCs w:val="20"/>
              </w:rPr>
              <w:t xml:space="preserve"> </w:t>
            </w:r>
          </w:p>
          <w:p w14:paraId="69709473" w14:textId="04754A3C" w:rsidR="00DC79A5" w:rsidRPr="006555FF" w:rsidRDefault="00162F47" w:rsidP="00DC79A5">
            <w:pPr>
              <w:pStyle w:val="ListParagraph"/>
              <w:numPr>
                <w:ilvl w:val="0"/>
                <w:numId w:val="63"/>
              </w:numPr>
              <w:tabs>
                <w:tab w:val="clear" w:pos="567"/>
                <w:tab w:val="left" w:pos="357"/>
              </w:tabs>
              <w:spacing w:before="60"/>
              <w:ind w:left="306" w:hanging="306"/>
              <w:rPr>
                <w:rFonts w:asciiTheme="minorBidi" w:hAnsiTheme="minorBidi" w:cstheme="minorBidi"/>
                <w:sz w:val="20"/>
                <w:szCs w:val="20"/>
              </w:rPr>
            </w:pPr>
            <w:r w:rsidRPr="006555FF">
              <w:rPr>
                <w:rFonts w:asciiTheme="minorBidi" w:hAnsiTheme="minorBidi" w:cstheme="minorBidi"/>
                <w:sz w:val="20"/>
                <w:szCs w:val="20"/>
              </w:rPr>
              <w:t>Guidance</w:t>
            </w:r>
            <w:r w:rsidR="00DC79A5" w:rsidRPr="006555FF">
              <w:rPr>
                <w:rFonts w:asciiTheme="minorBidi" w:hAnsiTheme="minorBidi" w:cstheme="minorBidi"/>
                <w:sz w:val="20"/>
                <w:szCs w:val="20"/>
              </w:rPr>
              <w:t xml:space="preserve"> generated for States Parties and other relevant stakeholders, through the</w:t>
            </w:r>
            <w:r w:rsidRPr="006555FF">
              <w:rPr>
                <w:rFonts w:asciiTheme="minorBidi" w:hAnsiTheme="minorBidi" w:cstheme="minorBidi"/>
                <w:sz w:val="20"/>
                <w:szCs w:val="20"/>
              </w:rPr>
              <w:t xml:space="preserve"> </w:t>
            </w:r>
            <w:r w:rsidR="005A1027" w:rsidRPr="006555FF">
              <w:rPr>
                <w:rFonts w:asciiTheme="minorBidi" w:hAnsiTheme="minorBidi" w:cstheme="minorBidi"/>
                <w:sz w:val="20"/>
                <w:szCs w:val="20"/>
              </w:rPr>
              <w:t>‘</w:t>
            </w:r>
            <w:hyperlink r:id="rId80" w:history="1">
              <w:r w:rsidR="00DC79A5" w:rsidRPr="006555FF">
                <w:rPr>
                  <w:rStyle w:val="Hyperlink"/>
                  <w:rFonts w:asciiTheme="minorBidi" w:hAnsiTheme="minorBidi" w:cstheme="minorBidi"/>
                  <w:sz w:val="20"/>
                  <w:szCs w:val="20"/>
                </w:rPr>
                <w:t>Guidance note</w:t>
              </w:r>
            </w:hyperlink>
            <w:r w:rsidR="00DC79A5" w:rsidRPr="006555FF">
              <w:rPr>
                <w:rFonts w:asciiTheme="minorBidi" w:hAnsiTheme="minorBidi" w:cstheme="minorBidi"/>
                <w:sz w:val="20"/>
                <w:szCs w:val="20"/>
              </w:rPr>
              <w:t xml:space="preserve"> on climate action for living heritage</w:t>
            </w:r>
            <w:r w:rsidR="005A1027" w:rsidRPr="006555FF">
              <w:rPr>
                <w:rFonts w:asciiTheme="minorBidi" w:hAnsiTheme="minorBidi" w:cstheme="minorBidi"/>
                <w:sz w:val="20"/>
                <w:szCs w:val="20"/>
              </w:rPr>
              <w:t>’</w:t>
            </w:r>
            <w:r w:rsidR="00DC79A5" w:rsidRPr="006555FF">
              <w:rPr>
                <w:rFonts w:asciiTheme="minorBidi" w:hAnsiTheme="minorBidi" w:cstheme="minorBidi"/>
                <w:sz w:val="20"/>
                <w:szCs w:val="20"/>
              </w:rPr>
              <w:t xml:space="preserve">, examined by the Committee </w:t>
            </w:r>
            <w:r w:rsidR="00024EF3" w:rsidRPr="006555FF">
              <w:rPr>
                <w:rFonts w:asciiTheme="minorBidi" w:hAnsiTheme="minorBidi" w:cstheme="minorBidi"/>
                <w:sz w:val="20"/>
                <w:szCs w:val="20"/>
              </w:rPr>
              <w:t xml:space="preserve">at </w:t>
            </w:r>
            <w:r w:rsidR="00DC79A5" w:rsidRPr="006555FF">
              <w:rPr>
                <w:rFonts w:asciiTheme="minorBidi" w:hAnsiTheme="minorBidi" w:cstheme="minorBidi"/>
                <w:sz w:val="20"/>
                <w:szCs w:val="20"/>
              </w:rPr>
              <w:t xml:space="preserve">its </w:t>
            </w:r>
            <w:r w:rsidR="00024EF3" w:rsidRPr="006555FF">
              <w:rPr>
                <w:rFonts w:asciiTheme="minorBidi" w:hAnsiTheme="minorBidi" w:cstheme="minorBidi"/>
                <w:sz w:val="20"/>
                <w:szCs w:val="20"/>
              </w:rPr>
              <w:t xml:space="preserve">nineteenth </w:t>
            </w:r>
            <w:r w:rsidR="00DC79A5" w:rsidRPr="006555FF">
              <w:rPr>
                <w:rFonts w:asciiTheme="minorBidi" w:hAnsiTheme="minorBidi" w:cstheme="minorBidi"/>
                <w:sz w:val="20"/>
                <w:szCs w:val="20"/>
              </w:rPr>
              <w:t xml:space="preserve">session (Decision </w:t>
            </w:r>
            <w:hyperlink r:id="rId81" w:history="1">
              <w:r w:rsidR="00DC79A5" w:rsidRPr="006555FF">
                <w:rPr>
                  <w:rStyle w:val="Hyperlink"/>
                  <w:rFonts w:asciiTheme="minorBidi" w:hAnsiTheme="minorBidi" w:cstheme="minorBidi"/>
                  <w:sz w:val="20"/>
                  <w:szCs w:val="20"/>
                </w:rPr>
                <w:t>19.COM</w:t>
              </w:r>
              <w:r w:rsidR="00024EF3" w:rsidRPr="006555FF">
                <w:rPr>
                  <w:rStyle w:val="Hyperlink"/>
                  <w:rFonts w:asciiTheme="minorBidi" w:hAnsiTheme="minorBidi" w:cstheme="minorBidi"/>
                  <w:sz w:val="20"/>
                  <w:szCs w:val="20"/>
                </w:rPr>
                <w:t> </w:t>
              </w:r>
              <w:r w:rsidR="00DC79A5" w:rsidRPr="006555FF">
                <w:rPr>
                  <w:rStyle w:val="Hyperlink"/>
                  <w:rFonts w:asciiTheme="minorBidi" w:hAnsiTheme="minorBidi" w:cstheme="minorBidi"/>
                  <w:sz w:val="20"/>
                  <w:szCs w:val="20"/>
                </w:rPr>
                <w:t>11</w:t>
              </w:r>
            </w:hyperlink>
            <w:r w:rsidR="00DC79A5" w:rsidRPr="006555FF">
              <w:rPr>
                <w:rFonts w:asciiTheme="minorBidi" w:hAnsiTheme="minorBidi" w:cstheme="minorBidi"/>
                <w:sz w:val="20"/>
                <w:szCs w:val="20"/>
              </w:rPr>
              <w:t>).</w:t>
            </w:r>
          </w:p>
          <w:p w14:paraId="1EFBE5AF" w14:textId="77777777" w:rsidR="00DC79A5" w:rsidRPr="006555FF" w:rsidRDefault="00DC79A5" w:rsidP="00685658">
            <w:pPr>
              <w:keepNext/>
              <w:tabs>
                <w:tab w:val="left" w:pos="357"/>
              </w:tabs>
              <w:spacing w:before="60"/>
              <w:rPr>
                <w:rFonts w:asciiTheme="minorBidi" w:hAnsiTheme="minorBidi" w:cstheme="minorBidi"/>
                <w:sz w:val="20"/>
                <w:szCs w:val="20"/>
                <w:u w:val="single"/>
              </w:rPr>
            </w:pPr>
            <w:r w:rsidRPr="006555FF">
              <w:rPr>
                <w:rFonts w:asciiTheme="minorBidi" w:hAnsiTheme="minorBidi" w:cstheme="minorBidi"/>
                <w:sz w:val="20"/>
                <w:szCs w:val="20"/>
                <w:u w:val="single"/>
              </w:rPr>
              <w:t>Safeguarding intangible cultural heritage in urban contexts</w:t>
            </w:r>
          </w:p>
          <w:p w14:paraId="4F670FB7" w14:textId="7781DB67" w:rsidR="00E178A5" w:rsidRPr="006555FF" w:rsidRDefault="00DC79A5" w:rsidP="00DC79A5">
            <w:pPr>
              <w:pStyle w:val="ListParagraph"/>
              <w:numPr>
                <w:ilvl w:val="0"/>
                <w:numId w:val="63"/>
              </w:numPr>
              <w:tabs>
                <w:tab w:val="clear" w:pos="567"/>
                <w:tab w:val="left" w:pos="357"/>
              </w:tabs>
              <w:spacing w:before="60"/>
              <w:ind w:left="306" w:hanging="306"/>
              <w:rPr>
                <w:rFonts w:asciiTheme="minorBidi" w:hAnsiTheme="minorBidi" w:cstheme="minorBidi"/>
                <w:sz w:val="20"/>
                <w:szCs w:val="20"/>
              </w:rPr>
            </w:pPr>
            <w:r w:rsidRPr="006555FF">
              <w:rPr>
                <w:rFonts w:asciiTheme="minorBidi" w:hAnsiTheme="minorBidi" w:cstheme="minorBidi"/>
                <w:sz w:val="20"/>
                <w:szCs w:val="20"/>
              </w:rPr>
              <w:t xml:space="preserve">Knowledge and expertise developed through the organization of a two-part </w:t>
            </w:r>
            <w:hyperlink r:id="rId82" w:history="1">
              <w:r w:rsidRPr="006555FF">
                <w:rPr>
                  <w:rStyle w:val="Hyperlink"/>
                  <w:rFonts w:asciiTheme="minorBidi" w:hAnsiTheme="minorBidi" w:cstheme="minorBidi"/>
                  <w:sz w:val="20"/>
                  <w:szCs w:val="20"/>
                </w:rPr>
                <w:t>expert meeting</w:t>
              </w:r>
            </w:hyperlink>
            <w:r w:rsidRPr="006555FF">
              <w:rPr>
                <w:rFonts w:asciiTheme="minorBidi" w:hAnsiTheme="minorBidi" w:cstheme="minorBidi"/>
                <w:sz w:val="20"/>
                <w:szCs w:val="20"/>
              </w:rPr>
              <w:t xml:space="preserve"> </w:t>
            </w:r>
            <w:r w:rsidR="00AE1CFA" w:rsidRPr="006555FF">
              <w:rPr>
                <w:rFonts w:asciiTheme="minorBidi" w:hAnsiTheme="minorBidi" w:cstheme="minorBidi"/>
                <w:sz w:val="20"/>
                <w:szCs w:val="20"/>
              </w:rPr>
              <w:t xml:space="preserve">in 2025 </w:t>
            </w:r>
            <w:r w:rsidRPr="006555FF">
              <w:rPr>
                <w:rFonts w:asciiTheme="minorBidi" w:hAnsiTheme="minorBidi" w:cstheme="minorBidi"/>
                <w:sz w:val="20"/>
                <w:szCs w:val="20"/>
              </w:rPr>
              <w:t xml:space="preserve">on safeguarding intangible cultural heritage in urban contexts, that gathered </w:t>
            </w:r>
            <w:r w:rsidR="00AE1CFA" w:rsidRPr="006555FF">
              <w:rPr>
                <w:rFonts w:asciiTheme="minorBidi" w:hAnsiTheme="minorBidi" w:cstheme="minorBidi"/>
                <w:sz w:val="20"/>
                <w:szCs w:val="20"/>
              </w:rPr>
              <w:t>experts in urban planning and living heritage</w:t>
            </w:r>
            <w:r w:rsidRPr="006555FF">
              <w:rPr>
                <w:rFonts w:asciiTheme="minorBidi" w:hAnsiTheme="minorBidi" w:cstheme="minorBidi"/>
                <w:sz w:val="20"/>
                <w:szCs w:val="20"/>
              </w:rPr>
              <w:t>.</w:t>
            </w:r>
          </w:p>
          <w:p w14:paraId="6E46297C" w14:textId="4747B566" w:rsidR="00261CCD" w:rsidRPr="006555FF" w:rsidRDefault="00DC79A5" w:rsidP="00E178A5">
            <w:pPr>
              <w:pStyle w:val="ListParagraph"/>
              <w:numPr>
                <w:ilvl w:val="0"/>
                <w:numId w:val="63"/>
              </w:numPr>
              <w:tabs>
                <w:tab w:val="clear" w:pos="567"/>
                <w:tab w:val="left" w:pos="357"/>
              </w:tabs>
              <w:spacing w:before="60"/>
              <w:ind w:left="306" w:hanging="306"/>
              <w:rPr>
                <w:rFonts w:asciiTheme="minorBidi" w:eastAsia="Calibri" w:hAnsiTheme="minorBidi" w:cstheme="minorBidi"/>
                <w:sz w:val="20"/>
                <w:szCs w:val="20"/>
              </w:rPr>
            </w:pPr>
            <w:r w:rsidRPr="006555FF">
              <w:rPr>
                <w:rFonts w:asciiTheme="minorBidi" w:hAnsiTheme="minorBidi" w:cstheme="minorBidi"/>
                <w:sz w:val="20"/>
                <w:szCs w:val="20"/>
              </w:rPr>
              <w:t xml:space="preserve">Guidance generated for States Parties and other relevant stakeholders, through the draft Guidance Note on safeguarding intangible cultural heritage in urban contexts, to be examined by the Committee at its present session (document </w:t>
            </w:r>
            <w:hyperlink r:id="rId83" w:history="1">
              <w:r w:rsidRPr="006555FF">
                <w:rPr>
                  <w:rStyle w:val="Hyperlink"/>
                  <w:rFonts w:asciiTheme="minorBidi" w:hAnsiTheme="minorBidi" w:cstheme="minorBidi"/>
                  <w:sz w:val="20"/>
                  <w:szCs w:val="20"/>
                </w:rPr>
                <w:t>LHE/25/20.COM/12</w:t>
              </w:r>
            </w:hyperlink>
            <w:r w:rsidRPr="006555FF">
              <w:rPr>
                <w:rFonts w:asciiTheme="minorBidi" w:hAnsiTheme="minorBidi" w:cstheme="minorBidi"/>
                <w:sz w:val="20"/>
                <w:szCs w:val="20"/>
              </w:rPr>
              <w:t>).</w:t>
            </w:r>
          </w:p>
        </w:tc>
      </w:tr>
    </w:tbl>
    <w:bookmarkEnd w:id="13"/>
    <w:p w14:paraId="1C00727B" w14:textId="77777777" w:rsidR="00261CCD" w:rsidRPr="006555FF" w:rsidRDefault="00261CCD" w:rsidP="00261CCD">
      <w:pPr>
        <w:keepNext/>
        <w:spacing w:before="240"/>
        <w:rPr>
          <w:rFonts w:ascii="Arial" w:hAnsi="Arial" w:cs="Arial"/>
          <w:b/>
          <w:szCs w:val="22"/>
        </w:rPr>
      </w:pPr>
      <w:r w:rsidRPr="006555FF">
        <w:rPr>
          <w:rFonts w:ascii="Arial" w:hAnsi="Arial" w:cs="Arial"/>
          <w:b/>
          <w:szCs w:val="22"/>
        </w:rPr>
        <w:t>Challenges and risks in implementation and remedial actions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0"/>
      </w:tblGrid>
      <w:tr w:rsidR="00261CCD" w:rsidRPr="006555FF" w14:paraId="141A3791" w14:textId="77777777" w:rsidTr="00164236">
        <w:trPr>
          <w:tblHeader/>
          <w:jc w:val="center"/>
        </w:trPr>
        <w:tc>
          <w:tcPr>
            <w:tcW w:w="2500" w:type="pct"/>
            <w:shd w:val="clear" w:color="auto" w:fill="D9D9D9"/>
            <w:vAlign w:val="center"/>
          </w:tcPr>
          <w:p w14:paraId="5834AAA7" w14:textId="77777777" w:rsidR="00261CCD" w:rsidRPr="006555FF" w:rsidRDefault="00261CCD" w:rsidP="00164236">
            <w:pPr>
              <w:keepNext/>
              <w:spacing w:before="60" w:after="60"/>
              <w:jc w:val="center"/>
              <w:rPr>
                <w:rFonts w:ascii="Arial" w:hAnsi="Arial" w:cs="Arial"/>
                <w:b/>
                <w:sz w:val="20"/>
                <w:szCs w:val="20"/>
              </w:rPr>
            </w:pPr>
            <w:r w:rsidRPr="006555FF">
              <w:rPr>
                <w:rFonts w:ascii="Arial" w:hAnsi="Arial" w:cs="Arial"/>
                <w:b/>
                <w:sz w:val="20"/>
                <w:szCs w:val="20"/>
              </w:rPr>
              <w:t>Key challenges</w:t>
            </w:r>
          </w:p>
        </w:tc>
        <w:tc>
          <w:tcPr>
            <w:tcW w:w="2500" w:type="pct"/>
            <w:shd w:val="clear" w:color="auto" w:fill="D9D9D9"/>
            <w:vAlign w:val="center"/>
          </w:tcPr>
          <w:p w14:paraId="7783BDED" w14:textId="77777777" w:rsidR="00261CCD" w:rsidRPr="006555FF" w:rsidRDefault="00261CCD" w:rsidP="00164236">
            <w:pPr>
              <w:keepNext/>
              <w:spacing w:before="60" w:after="60"/>
              <w:jc w:val="center"/>
              <w:rPr>
                <w:rFonts w:ascii="Arial" w:hAnsi="Arial" w:cs="Arial"/>
                <w:b/>
                <w:sz w:val="20"/>
                <w:szCs w:val="20"/>
              </w:rPr>
            </w:pPr>
            <w:r w:rsidRPr="006555FF">
              <w:rPr>
                <w:rFonts w:ascii="Arial" w:hAnsi="Arial" w:cs="Arial"/>
                <w:b/>
                <w:sz w:val="20"/>
                <w:szCs w:val="20"/>
              </w:rPr>
              <w:t>Remedial actions</w:t>
            </w:r>
          </w:p>
        </w:tc>
      </w:tr>
      <w:tr w:rsidR="00261CCD" w:rsidRPr="006555FF" w14:paraId="5F929842" w14:textId="77777777" w:rsidTr="00164236">
        <w:trPr>
          <w:jc w:val="center"/>
        </w:trPr>
        <w:tc>
          <w:tcPr>
            <w:tcW w:w="2500" w:type="pct"/>
          </w:tcPr>
          <w:p w14:paraId="48EC3F79" w14:textId="3A14D082" w:rsidR="00261CCD" w:rsidRPr="006555FF" w:rsidRDefault="00261CCD" w:rsidP="00AC4CC9">
            <w:pPr>
              <w:spacing w:before="60" w:after="60"/>
              <w:jc w:val="both"/>
              <w:rPr>
                <w:rFonts w:ascii="Arial" w:hAnsi="Arial" w:cs="Arial"/>
                <w:sz w:val="20"/>
                <w:szCs w:val="20"/>
              </w:rPr>
            </w:pPr>
            <w:r w:rsidRPr="006555FF">
              <w:rPr>
                <w:rFonts w:ascii="Arial" w:hAnsi="Arial" w:cs="Arial"/>
                <w:sz w:val="20"/>
                <w:szCs w:val="20"/>
              </w:rPr>
              <w:t xml:space="preserve">Recent developments under the Convention, including the outcomes of the Global reflection on the listing mechanisms, </w:t>
            </w:r>
            <w:r w:rsidR="00AC4CC9" w:rsidRPr="006555FF">
              <w:rPr>
                <w:rFonts w:ascii="Arial" w:hAnsi="Arial" w:cs="Arial"/>
                <w:sz w:val="20"/>
                <w:szCs w:val="20"/>
              </w:rPr>
              <w:t xml:space="preserve">the implementation of the thematic initiatives, </w:t>
            </w:r>
            <w:r w:rsidRPr="006555FF">
              <w:rPr>
                <w:rFonts w:ascii="Arial" w:hAnsi="Arial" w:cs="Arial"/>
                <w:sz w:val="20"/>
                <w:szCs w:val="20"/>
              </w:rPr>
              <w:t>the evolving approaches of the Living heritage and education programme, and new capacity building materials in emerging themes, were not widely known across the facilitators</w:t>
            </w:r>
            <w:r w:rsidR="005A1027" w:rsidRPr="006555FF">
              <w:rPr>
                <w:rFonts w:ascii="Arial" w:hAnsi="Arial" w:cs="Arial"/>
                <w:sz w:val="20"/>
                <w:szCs w:val="20"/>
              </w:rPr>
              <w:t>’</w:t>
            </w:r>
            <w:r w:rsidRPr="006555FF">
              <w:rPr>
                <w:rFonts w:ascii="Arial" w:hAnsi="Arial" w:cs="Arial"/>
                <w:sz w:val="20"/>
                <w:szCs w:val="20"/>
              </w:rPr>
              <w:t xml:space="preserve"> network</w:t>
            </w:r>
            <w:r w:rsidR="00AC4CC9" w:rsidRPr="006555FF">
              <w:rPr>
                <w:rFonts w:ascii="Arial" w:hAnsi="Arial" w:cs="Arial"/>
                <w:sz w:val="20"/>
                <w:szCs w:val="20"/>
              </w:rPr>
              <w:t xml:space="preserve"> and required bringing in expertise from other fields</w:t>
            </w:r>
            <w:r w:rsidRPr="006555FF">
              <w:rPr>
                <w:rFonts w:ascii="Arial" w:hAnsi="Arial" w:cs="Arial"/>
                <w:sz w:val="20"/>
                <w:szCs w:val="20"/>
              </w:rPr>
              <w:t>. This limited the effective use and dissemination of updated tools and materials.</w:t>
            </w:r>
          </w:p>
        </w:tc>
        <w:tc>
          <w:tcPr>
            <w:tcW w:w="2500" w:type="pct"/>
          </w:tcPr>
          <w:p w14:paraId="4B7B9868" w14:textId="620CB5B5" w:rsidR="00261CCD" w:rsidRPr="006555FF" w:rsidRDefault="00145EAF" w:rsidP="00145EAF">
            <w:pPr>
              <w:spacing w:before="60" w:after="60"/>
              <w:jc w:val="both"/>
              <w:rPr>
                <w:rFonts w:ascii="Arial" w:eastAsia="Calibri" w:hAnsi="Arial" w:cs="Arial"/>
                <w:sz w:val="20"/>
                <w:szCs w:val="20"/>
              </w:rPr>
            </w:pPr>
            <w:r w:rsidRPr="006555FF">
              <w:rPr>
                <w:rFonts w:ascii="Arial" w:eastAsia="Calibri" w:hAnsi="Arial" w:cs="Arial"/>
                <w:sz w:val="20"/>
                <w:szCs w:val="20"/>
              </w:rPr>
              <w:t>T</w:t>
            </w:r>
            <w:r w:rsidR="00261CCD" w:rsidRPr="006555FF">
              <w:rPr>
                <w:rFonts w:ascii="Arial" w:eastAsia="Calibri" w:hAnsi="Arial" w:cs="Arial"/>
                <w:sz w:val="20"/>
                <w:szCs w:val="20"/>
              </w:rPr>
              <w:t xml:space="preserve">he </w:t>
            </w:r>
            <w:r w:rsidR="00EB7660" w:rsidRPr="006555FF">
              <w:rPr>
                <w:rFonts w:ascii="Arial" w:eastAsia="Calibri" w:hAnsi="Arial" w:cs="Arial"/>
                <w:sz w:val="20"/>
                <w:szCs w:val="20"/>
              </w:rPr>
              <w:t>Secretariat</w:t>
            </w:r>
            <w:r w:rsidR="00261CCD" w:rsidRPr="006555FF">
              <w:rPr>
                <w:rFonts w:ascii="Arial" w:eastAsia="Calibri" w:hAnsi="Arial" w:cs="Arial"/>
                <w:sz w:val="20"/>
                <w:szCs w:val="20"/>
              </w:rPr>
              <w:t xml:space="preserve"> developed an online training series covering key recent developments under the Convention. Thematic sessions were designed to enhance facilitators</w:t>
            </w:r>
            <w:r w:rsidR="005A1027" w:rsidRPr="006555FF">
              <w:rPr>
                <w:rFonts w:ascii="Arial" w:eastAsia="Calibri" w:hAnsi="Arial" w:cs="Arial"/>
                <w:sz w:val="20"/>
                <w:szCs w:val="20"/>
              </w:rPr>
              <w:t>’</w:t>
            </w:r>
            <w:r w:rsidR="00261CCD" w:rsidRPr="006555FF">
              <w:rPr>
                <w:rFonts w:ascii="Arial" w:eastAsia="Calibri" w:hAnsi="Arial" w:cs="Arial"/>
                <w:sz w:val="20"/>
                <w:szCs w:val="20"/>
              </w:rPr>
              <w:t xml:space="preserve"> knowledge and skills in specific tools and methodologies, while facilitating dialogue and exchange </w:t>
            </w:r>
            <w:r w:rsidRPr="006555FF">
              <w:rPr>
                <w:rFonts w:ascii="Arial" w:eastAsia="Calibri" w:hAnsi="Arial" w:cs="Arial"/>
                <w:sz w:val="20"/>
                <w:szCs w:val="20"/>
              </w:rPr>
              <w:t xml:space="preserve">within </w:t>
            </w:r>
            <w:r w:rsidR="00261CCD" w:rsidRPr="006555FF">
              <w:rPr>
                <w:rFonts w:ascii="Arial" w:eastAsia="Calibri" w:hAnsi="Arial" w:cs="Arial"/>
                <w:sz w:val="20"/>
                <w:szCs w:val="20"/>
              </w:rPr>
              <w:t>the</w:t>
            </w:r>
            <w:r w:rsidRPr="006555FF">
              <w:rPr>
                <w:rFonts w:ascii="Arial" w:eastAsia="Calibri" w:hAnsi="Arial" w:cs="Arial"/>
                <w:sz w:val="20"/>
                <w:szCs w:val="20"/>
              </w:rPr>
              <w:t xml:space="preserve"> facilitators</w:t>
            </w:r>
            <w:r w:rsidR="005A1027" w:rsidRPr="006555FF">
              <w:rPr>
                <w:rFonts w:ascii="Arial" w:eastAsia="Calibri" w:hAnsi="Arial" w:cs="Arial"/>
                <w:sz w:val="20"/>
                <w:szCs w:val="20"/>
              </w:rPr>
              <w:t>’</w:t>
            </w:r>
            <w:r w:rsidR="00261CCD" w:rsidRPr="006555FF">
              <w:rPr>
                <w:rFonts w:ascii="Arial" w:eastAsia="Calibri" w:hAnsi="Arial" w:cs="Arial"/>
                <w:sz w:val="20"/>
                <w:szCs w:val="20"/>
              </w:rPr>
              <w:t xml:space="preserve"> network.</w:t>
            </w:r>
            <w:r w:rsidRPr="006555FF">
              <w:rPr>
                <w:rFonts w:ascii="Arial" w:eastAsia="Calibri" w:hAnsi="Arial" w:cs="Arial"/>
                <w:sz w:val="20"/>
                <w:szCs w:val="20"/>
              </w:rPr>
              <w:t xml:space="preserve"> In addition, </w:t>
            </w:r>
            <w:r w:rsidR="00261CCD" w:rsidRPr="006555FF">
              <w:rPr>
                <w:rFonts w:ascii="Arial" w:hAnsi="Arial" w:cs="Arial"/>
                <w:sz w:val="20"/>
                <w:szCs w:val="20"/>
              </w:rPr>
              <w:t>the Secretariat engaged in intersectoral dialogue, and, where appropriate, expanded its reach to new networks when convening expert consultations.</w:t>
            </w:r>
          </w:p>
        </w:tc>
      </w:tr>
      <w:tr w:rsidR="00261CCD" w:rsidRPr="006555FF" w14:paraId="3EEF8024" w14:textId="77777777" w:rsidTr="00164236">
        <w:trPr>
          <w:jc w:val="center"/>
        </w:trPr>
        <w:tc>
          <w:tcPr>
            <w:tcW w:w="2500" w:type="pct"/>
          </w:tcPr>
          <w:p w14:paraId="15E80AF3" w14:textId="1CA3D498" w:rsidR="00261CCD" w:rsidRPr="006555FF" w:rsidRDefault="00261CCD" w:rsidP="00164236">
            <w:pPr>
              <w:spacing w:before="60" w:after="60"/>
              <w:jc w:val="both"/>
              <w:rPr>
                <w:rFonts w:ascii="Arial" w:hAnsi="Arial" w:cs="Arial"/>
                <w:sz w:val="20"/>
                <w:szCs w:val="20"/>
              </w:rPr>
            </w:pPr>
            <w:r w:rsidRPr="006555FF">
              <w:rPr>
                <w:rFonts w:ascii="Arial" w:hAnsi="Arial" w:cs="Arial"/>
                <w:sz w:val="20"/>
                <w:szCs w:val="20"/>
              </w:rPr>
              <w:t>Education professionals participating in UNESCO</w:t>
            </w:r>
            <w:r w:rsidR="005A1027" w:rsidRPr="006555FF">
              <w:rPr>
                <w:rFonts w:ascii="Arial" w:hAnsi="Arial" w:cs="Arial"/>
                <w:sz w:val="20"/>
                <w:szCs w:val="20"/>
              </w:rPr>
              <w:t>’</w:t>
            </w:r>
            <w:r w:rsidRPr="006555FF">
              <w:rPr>
                <w:rFonts w:ascii="Arial" w:hAnsi="Arial" w:cs="Arial"/>
                <w:sz w:val="20"/>
                <w:szCs w:val="20"/>
              </w:rPr>
              <w:t xml:space="preserve">s work of integrating </w:t>
            </w:r>
            <w:r w:rsidR="001A06D7" w:rsidRPr="006555FF">
              <w:rPr>
                <w:rFonts w:ascii="Arial" w:hAnsi="Arial" w:cs="Arial"/>
                <w:sz w:val="20"/>
                <w:szCs w:val="20"/>
              </w:rPr>
              <w:t xml:space="preserve">living </w:t>
            </w:r>
            <w:r w:rsidRPr="006555FF">
              <w:rPr>
                <w:rFonts w:ascii="Arial" w:hAnsi="Arial" w:cs="Arial"/>
                <w:sz w:val="20"/>
                <w:szCs w:val="20"/>
              </w:rPr>
              <w:t xml:space="preserve">heritage </w:t>
            </w:r>
            <w:r w:rsidR="001A06D7" w:rsidRPr="006555FF">
              <w:rPr>
                <w:rFonts w:ascii="Arial" w:hAnsi="Arial" w:cs="Arial"/>
                <w:sz w:val="20"/>
                <w:szCs w:val="20"/>
              </w:rPr>
              <w:t xml:space="preserve">in </w:t>
            </w:r>
            <w:r w:rsidRPr="006555FF">
              <w:rPr>
                <w:rFonts w:ascii="Arial" w:hAnsi="Arial" w:cs="Arial"/>
                <w:sz w:val="20"/>
                <w:szCs w:val="20"/>
              </w:rPr>
              <w:t xml:space="preserve">education have identified </w:t>
            </w:r>
            <w:r w:rsidR="00145EAF" w:rsidRPr="006555FF">
              <w:rPr>
                <w:rFonts w:ascii="Arial" w:hAnsi="Arial" w:cs="Arial"/>
                <w:sz w:val="20"/>
                <w:szCs w:val="20"/>
              </w:rPr>
              <w:t>the need for</w:t>
            </w:r>
            <w:r w:rsidRPr="006555FF">
              <w:rPr>
                <w:rFonts w:ascii="Arial" w:hAnsi="Arial" w:cs="Arial"/>
                <w:sz w:val="20"/>
                <w:szCs w:val="20"/>
              </w:rPr>
              <w:t xml:space="preserve"> tools to assess learning outcomes related to living heritage. Since formal assessment systems do not yet adequately cover these effects, the long-term inclusion of living heritage in formal education is hindered. </w:t>
            </w:r>
            <w:r w:rsidR="001A06D7" w:rsidRPr="006555FF">
              <w:rPr>
                <w:rFonts w:ascii="Arial" w:hAnsi="Arial" w:cs="Arial"/>
                <w:sz w:val="20"/>
                <w:szCs w:val="20"/>
              </w:rPr>
              <w:t>T</w:t>
            </w:r>
            <w:r w:rsidRPr="006555FF">
              <w:rPr>
                <w:rFonts w:ascii="Arial" w:hAnsi="Arial" w:cs="Arial"/>
                <w:sz w:val="20"/>
                <w:szCs w:val="20"/>
              </w:rPr>
              <w:t xml:space="preserve">he impact of integrating living heritage remains difficult to demonstrate, </w:t>
            </w:r>
            <w:r w:rsidR="001A06D7" w:rsidRPr="006555FF">
              <w:rPr>
                <w:rFonts w:ascii="Arial" w:hAnsi="Arial" w:cs="Arial"/>
                <w:sz w:val="20"/>
                <w:szCs w:val="20"/>
              </w:rPr>
              <w:t>limiting</w:t>
            </w:r>
            <w:r w:rsidRPr="006555FF">
              <w:rPr>
                <w:rFonts w:ascii="Arial" w:hAnsi="Arial" w:cs="Arial"/>
                <w:sz w:val="20"/>
                <w:szCs w:val="20"/>
              </w:rPr>
              <w:t xml:space="preserve"> sustained integration within educational institutions.</w:t>
            </w:r>
          </w:p>
        </w:tc>
        <w:tc>
          <w:tcPr>
            <w:tcW w:w="2500" w:type="pct"/>
          </w:tcPr>
          <w:p w14:paraId="01F8C022" w14:textId="5BFDCE47" w:rsidR="00261CCD" w:rsidRPr="006555FF" w:rsidRDefault="00145EAF" w:rsidP="00164236">
            <w:pPr>
              <w:spacing w:before="60" w:after="60"/>
              <w:jc w:val="both"/>
              <w:rPr>
                <w:rFonts w:ascii="Arial" w:hAnsi="Arial" w:cs="Arial"/>
                <w:sz w:val="20"/>
                <w:szCs w:val="20"/>
              </w:rPr>
            </w:pPr>
            <w:r w:rsidRPr="006555FF">
              <w:rPr>
                <w:rFonts w:ascii="Arial" w:hAnsi="Arial" w:cs="Arial"/>
                <w:sz w:val="20"/>
                <w:szCs w:val="20"/>
              </w:rPr>
              <w:t>UNESCO</w:t>
            </w:r>
            <w:r w:rsidR="00261CCD" w:rsidRPr="006555FF">
              <w:rPr>
                <w:rFonts w:ascii="Arial" w:hAnsi="Arial" w:cs="Arial"/>
                <w:sz w:val="20"/>
                <w:szCs w:val="20"/>
              </w:rPr>
              <w:t xml:space="preserve"> commissioned the development of a tool for assessing </w:t>
            </w:r>
            <w:r w:rsidR="005A1027" w:rsidRPr="006555FF">
              <w:rPr>
                <w:rFonts w:ascii="Arial" w:hAnsi="Arial" w:cs="Arial"/>
                <w:sz w:val="20"/>
                <w:szCs w:val="20"/>
              </w:rPr>
              <w:t>‘</w:t>
            </w:r>
            <w:r w:rsidR="00261CCD" w:rsidRPr="006555FF">
              <w:rPr>
                <w:rFonts w:ascii="Arial" w:hAnsi="Arial" w:cs="Arial"/>
                <w:sz w:val="20"/>
                <w:szCs w:val="20"/>
              </w:rPr>
              <w:t>learning with living heritage</w:t>
            </w:r>
            <w:r w:rsidR="005A1027" w:rsidRPr="006555FF">
              <w:rPr>
                <w:rFonts w:ascii="Arial" w:hAnsi="Arial" w:cs="Arial"/>
                <w:sz w:val="20"/>
                <w:szCs w:val="20"/>
              </w:rPr>
              <w:t>’</w:t>
            </w:r>
            <w:r w:rsidR="00261CCD" w:rsidRPr="006555FF">
              <w:rPr>
                <w:rFonts w:ascii="Arial" w:hAnsi="Arial" w:cs="Arial"/>
                <w:sz w:val="20"/>
                <w:szCs w:val="20"/>
              </w:rPr>
              <w:t xml:space="preserve"> to a university team specializing in education. </w:t>
            </w:r>
            <w:r w:rsidR="006761CA" w:rsidRPr="006555FF">
              <w:rPr>
                <w:rFonts w:ascii="Arial" w:hAnsi="Arial" w:cs="Arial"/>
                <w:sz w:val="20"/>
                <w:szCs w:val="20"/>
              </w:rPr>
              <w:t>R</w:t>
            </w:r>
            <w:r w:rsidR="00261CCD" w:rsidRPr="006555FF">
              <w:rPr>
                <w:rFonts w:ascii="Arial" w:hAnsi="Arial" w:cs="Arial"/>
                <w:sz w:val="20"/>
                <w:szCs w:val="20"/>
              </w:rPr>
              <w:t>ecognizing that formal assessment systems have yet to incorporate this approach</w:t>
            </w:r>
            <w:r w:rsidR="006761CA" w:rsidRPr="006555FF">
              <w:rPr>
                <w:rFonts w:ascii="Arial" w:hAnsi="Arial" w:cs="Arial"/>
                <w:sz w:val="20"/>
                <w:szCs w:val="20"/>
              </w:rPr>
              <w:t>,</w:t>
            </w:r>
            <w:r w:rsidR="00261CCD" w:rsidRPr="006555FF">
              <w:rPr>
                <w:rFonts w:ascii="Arial" w:hAnsi="Arial" w:cs="Arial"/>
                <w:sz w:val="20"/>
                <w:szCs w:val="20"/>
              </w:rPr>
              <w:t xml:space="preserve"> </w:t>
            </w:r>
            <w:r w:rsidR="006761CA" w:rsidRPr="006555FF">
              <w:rPr>
                <w:rFonts w:ascii="Arial" w:hAnsi="Arial" w:cs="Arial"/>
                <w:sz w:val="20"/>
                <w:szCs w:val="20"/>
              </w:rPr>
              <w:t>t</w:t>
            </w:r>
            <w:r w:rsidR="00261CCD" w:rsidRPr="006555FF">
              <w:rPr>
                <w:rFonts w:ascii="Arial" w:hAnsi="Arial" w:cs="Arial"/>
                <w:sz w:val="20"/>
                <w:szCs w:val="20"/>
              </w:rPr>
              <w:t>he tool, designed as a qualitative and continuous assessment method to complement existing frameworks, was piloted with a sample group of teachers and received positive feedback. It is currently under intersectoral review for potential broader adoption.</w:t>
            </w:r>
          </w:p>
        </w:tc>
      </w:tr>
    </w:tbl>
    <w:p w14:paraId="5E686A63" w14:textId="77777777" w:rsidR="00261CCD" w:rsidRPr="006555FF" w:rsidRDefault="00261CCD" w:rsidP="00E20E6C">
      <w:pPr>
        <w:keepNext/>
        <w:spacing w:before="240"/>
        <w:jc w:val="both"/>
        <w:rPr>
          <w:rFonts w:ascii="Arial" w:hAnsi="Arial" w:cs="Arial"/>
          <w:b/>
          <w:szCs w:val="22"/>
        </w:rPr>
      </w:pPr>
      <w:r w:rsidRPr="006555FF">
        <w:rPr>
          <w:rFonts w:ascii="Arial" w:hAnsi="Arial" w:cs="Arial"/>
          <w:b/>
          <w:szCs w:val="22"/>
        </w:rPr>
        <w:t>Expected Result 2: Sound governance of the Convention facilitated by enhanced monitoring, knowledge management services and awareness-raising associated with international cooperation mechanisms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4081"/>
        <w:gridCol w:w="1702"/>
      </w:tblGrid>
      <w:tr w:rsidR="00261CCD" w:rsidRPr="006555FF" w14:paraId="7A351E22" w14:textId="77777777" w:rsidTr="00164236">
        <w:trPr>
          <w:jc w:val="center"/>
        </w:trPr>
        <w:tc>
          <w:tcPr>
            <w:tcW w:w="1999" w:type="pct"/>
            <w:shd w:val="clear" w:color="auto" w:fill="C6D9F1"/>
            <w:vAlign w:val="center"/>
          </w:tcPr>
          <w:p w14:paraId="66C62F67" w14:textId="77777777" w:rsidR="00261CCD" w:rsidRPr="006555FF" w:rsidRDefault="00261CCD" w:rsidP="00164236">
            <w:pPr>
              <w:keepNext/>
              <w:spacing w:before="120"/>
              <w:jc w:val="center"/>
              <w:rPr>
                <w:rFonts w:ascii="Arial" w:eastAsia="Calibri" w:hAnsi="Arial" w:cs="Arial"/>
                <w:b/>
                <w:sz w:val="20"/>
                <w:szCs w:val="20"/>
              </w:rPr>
            </w:pPr>
            <w:bookmarkStart w:id="14" w:name="_Hlk81490153"/>
            <w:r w:rsidRPr="006555FF">
              <w:rPr>
                <w:rFonts w:ascii="Arial" w:eastAsia="Calibri" w:hAnsi="Arial" w:cs="Arial"/>
                <w:b/>
                <w:sz w:val="20"/>
                <w:szCs w:val="20"/>
              </w:rPr>
              <w:t>Allocation</w:t>
            </w:r>
          </w:p>
        </w:tc>
        <w:tc>
          <w:tcPr>
            <w:tcW w:w="2118" w:type="pct"/>
            <w:shd w:val="clear" w:color="auto" w:fill="C6D9F1"/>
            <w:vAlign w:val="center"/>
          </w:tcPr>
          <w:p w14:paraId="5C1581A5" w14:textId="77777777" w:rsidR="00261CCD" w:rsidRPr="006555FF" w:rsidRDefault="00261CCD" w:rsidP="00164236">
            <w:pPr>
              <w:spacing w:before="120"/>
              <w:jc w:val="center"/>
              <w:rPr>
                <w:rFonts w:ascii="Arial" w:eastAsia="Calibri" w:hAnsi="Arial" w:cs="Arial"/>
                <w:b/>
                <w:sz w:val="20"/>
                <w:szCs w:val="20"/>
              </w:rPr>
            </w:pPr>
            <w:r w:rsidRPr="006555FF">
              <w:rPr>
                <w:rFonts w:ascii="Arial" w:eastAsia="Calibri" w:hAnsi="Arial" w:cs="Arial"/>
                <w:b/>
                <w:sz w:val="20"/>
                <w:szCs w:val="20"/>
              </w:rPr>
              <w:t>Expenditures</w:t>
            </w:r>
          </w:p>
        </w:tc>
        <w:tc>
          <w:tcPr>
            <w:tcW w:w="883" w:type="pct"/>
            <w:shd w:val="clear" w:color="auto" w:fill="C6D9F1"/>
            <w:vAlign w:val="center"/>
          </w:tcPr>
          <w:p w14:paraId="401B811D" w14:textId="77777777" w:rsidR="00261CCD" w:rsidRPr="006555FF" w:rsidRDefault="00261CCD" w:rsidP="00164236">
            <w:pPr>
              <w:spacing w:before="120"/>
              <w:jc w:val="center"/>
              <w:rPr>
                <w:rFonts w:ascii="Arial" w:eastAsia="Calibri" w:hAnsi="Arial" w:cs="Arial"/>
                <w:b/>
                <w:sz w:val="20"/>
                <w:szCs w:val="20"/>
              </w:rPr>
            </w:pPr>
            <w:r w:rsidRPr="006555FF">
              <w:rPr>
                <w:rFonts w:ascii="Arial" w:eastAsia="Calibri" w:hAnsi="Arial" w:cs="Arial"/>
                <w:b/>
                <w:sz w:val="20"/>
                <w:szCs w:val="20"/>
              </w:rPr>
              <w:t>Exp. Rate %</w:t>
            </w:r>
            <w:r w:rsidRPr="006555FF">
              <w:rPr>
                <w:rFonts w:ascii="Arial" w:eastAsia="Calibri" w:hAnsi="Arial" w:cs="Arial"/>
                <w:b/>
                <w:sz w:val="20"/>
                <w:szCs w:val="20"/>
              </w:rPr>
              <w:br/>
              <w:t>at 30/06/2025</w:t>
            </w:r>
          </w:p>
        </w:tc>
      </w:tr>
      <w:tr w:rsidR="00261CCD" w:rsidRPr="006555FF" w14:paraId="62E1A1A7" w14:textId="77777777" w:rsidTr="00164236">
        <w:trPr>
          <w:jc w:val="center"/>
        </w:trPr>
        <w:tc>
          <w:tcPr>
            <w:tcW w:w="1999" w:type="pct"/>
          </w:tcPr>
          <w:p w14:paraId="62D1EE11" w14:textId="77777777" w:rsidR="00261CCD" w:rsidRPr="006555FF" w:rsidRDefault="00261CCD" w:rsidP="00164236">
            <w:pPr>
              <w:spacing w:before="120"/>
              <w:jc w:val="center"/>
              <w:rPr>
                <w:rFonts w:ascii="Arial" w:eastAsia="Calibri" w:hAnsi="Arial" w:cs="Arial"/>
                <w:sz w:val="20"/>
                <w:szCs w:val="20"/>
              </w:rPr>
            </w:pPr>
            <w:r w:rsidRPr="006555FF">
              <w:rPr>
                <w:rFonts w:ascii="Arial" w:eastAsia="Calibri" w:hAnsi="Arial" w:cs="Arial"/>
                <w:sz w:val="20"/>
                <w:szCs w:val="20"/>
              </w:rPr>
              <w:t>786,199</w:t>
            </w:r>
          </w:p>
        </w:tc>
        <w:tc>
          <w:tcPr>
            <w:tcW w:w="2118" w:type="pct"/>
          </w:tcPr>
          <w:p w14:paraId="2AA6FBC9" w14:textId="77777777" w:rsidR="00261CCD" w:rsidRPr="006555FF" w:rsidRDefault="00261CCD" w:rsidP="00164236">
            <w:pPr>
              <w:spacing w:before="120"/>
              <w:jc w:val="center"/>
              <w:rPr>
                <w:rFonts w:ascii="Arial" w:eastAsia="Calibri" w:hAnsi="Arial" w:cs="Arial"/>
                <w:sz w:val="20"/>
                <w:szCs w:val="20"/>
              </w:rPr>
            </w:pPr>
            <w:r w:rsidRPr="006555FF">
              <w:rPr>
                <w:rFonts w:ascii="Arial" w:eastAsia="Calibri" w:hAnsi="Arial" w:cs="Arial"/>
                <w:sz w:val="20"/>
                <w:szCs w:val="20"/>
              </w:rPr>
              <w:t>577,947.43</w:t>
            </w:r>
          </w:p>
        </w:tc>
        <w:tc>
          <w:tcPr>
            <w:tcW w:w="883" w:type="pct"/>
          </w:tcPr>
          <w:p w14:paraId="6316204A" w14:textId="77777777" w:rsidR="00261CCD" w:rsidRPr="006555FF" w:rsidRDefault="00261CCD" w:rsidP="00164236">
            <w:pPr>
              <w:spacing w:before="120"/>
              <w:jc w:val="center"/>
              <w:rPr>
                <w:rFonts w:ascii="Arial" w:eastAsia="Calibri" w:hAnsi="Arial" w:cs="Arial"/>
                <w:sz w:val="20"/>
                <w:szCs w:val="20"/>
              </w:rPr>
            </w:pPr>
            <w:r w:rsidRPr="006555FF">
              <w:rPr>
                <w:rFonts w:ascii="Arial" w:eastAsia="Calibri" w:hAnsi="Arial" w:cs="Arial"/>
                <w:sz w:val="20"/>
                <w:szCs w:val="20"/>
              </w:rPr>
              <w:t>73.5%</w:t>
            </w:r>
          </w:p>
        </w:tc>
      </w:tr>
    </w:tbl>
    <w:p w14:paraId="05037DA8" w14:textId="3B3FFD3E" w:rsidR="00685658" w:rsidRPr="006555FF" w:rsidRDefault="00685658" w:rsidP="00261CCD">
      <w:pPr>
        <w:spacing w:after="0"/>
        <w:jc w:val="both"/>
        <w:rPr>
          <w:rFonts w:ascii="Arial" w:hAnsi="Arial" w:cs="Arial"/>
          <w:szCs w:val="22"/>
        </w:rPr>
      </w:pPr>
    </w:p>
    <w:p w14:paraId="494D72F5" w14:textId="77777777" w:rsidR="00261CCD" w:rsidRPr="006555FF" w:rsidRDefault="00261CCD" w:rsidP="00261CCD">
      <w:pPr>
        <w:spacing w:after="0"/>
        <w:jc w:val="both"/>
        <w:rPr>
          <w:rFonts w:ascii="Arial" w:hAnsi="Arial" w:cs="Arial"/>
          <w:szCs w:val="22"/>
        </w:rPr>
      </w:pPr>
    </w:p>
    <w:tbl>
      <w:tblPr>
        <w:tblpPr w:leftFromText="141" w:rightFromText="141"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9634"/>
      </w:tblGrid>
      <w:tr w:rsidR="00261CCD" w:rsidRPr="006555FF" w14:paraId="5B7F650A" w14:textId="77777777" w:rsidTr="00164236">
        <w:trPr>
          <w:tblHeader/>
        </w:trPr>
        <w:tc>
          <w:tcPr>
            <w:tcW w:w="9634" w:type="dxa"/>
            <w:shd w:val="clear" w:color="auto" w:fill="D9D9D9"/>
            <w:vAlign w:val="center"/>
          </w:tcPr>
          <w:p w14:paraId="71F83E6A" w14:textId="3DD2D411" w:rsidR="00261CCD" w:rsidRPr="006555FF" w:rsidRDefault="00261CCD" w:rsidP="00685658">
            <w:pPr>
              <w:keepNext/>
              <w:spacing w:before="60" w:after="60"/>
              <w:jc w:val="center"/>
              <w:rPr>
                <w:rFonts w:ascii="Arial" w:eastAsia="Calibri" w:hAnsi="Arial" w:cs="Arial"/>
                <w:b/>
                <w:sz w:val="20"/>
                <w:szCs w:val="20"/>
              </w:rPr>
            </w:pPr>
            <w:r w:rsidRPr="006555FF">
              <w:rPr>
                <w:rFonts w:ascii="Arial" w:eastAsia="Calibri" w:hAnsi="Arial" w:cs="Arial"/>
                <w:b/>
                <w:sz w:val="20"/>
                <w:szCs w:val="20"/>
              </w:rPr>
              <w:t>Main achievements</w:t>
            </w:r>
            <w:r w:rsidR="00A322D9" w:rsidRPr="006555FF">
              <w:rPr>
                <w:rFonts w:ascii="Arial" w:eastAsia="Calibri" w:hAnsi="Arial" w:cs="Arial"/>
                <w:b/>
                <w:sz w:val="20"/>
                <w:szCs w:val="20"/>
              </w:rPr>
              <w:t xml:space="preserve"> (</w:t>
            </w:r>
            <w:r w:rsidRPr="006555FF">
              <w:rPr>
                <w:rFonts w:ascii="Arial" w:eastAsia="Calibri" w:hAnsi="Arial" w:cs="Arial"/>
                <w:b/>
                <w:sz w:val="20"/>
                <w:szCs w:val="20"/>
              </w:rPr>
              <w:t>01/01/2024 to 30/06/2025</w:t>
            </w:r>
            <w:r w:rsidR="00A322D9" w:rsidRPr="006555FF">
              <w:rPr>
                <w:rFonts w:ascii="Arial" w:eastAsia="Calibri" w:hAnsi="Arial" w:cs="Arial"/>
                <w:b/>
                <w:sz w:val="20"/>
                <w:szCs w:val="20"/>
              </w:rPr>
              <w:t>)</w:t>
            </w:r>
          </w:p>
        </w:tc>
      </w:tr>
    </w:tbl>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FD3BA8" w:rsidRPr="006555FF" w14:paraId="74422969" w14:textId="77777777" w:rsidTr="005A2EE4">
        <w:trPr>
          <w:trHeight w:val="2394"/>
          <w:jc w:val="center"/>
        </w:trPr>
        <w:tc>
          <w:tcPr>
            <w:tcW w:w="9640" w:type="dxa"/>
          </w:tcPr>
          <w:p w14:paraId="39A7A195" w14:textId="5C1E60A6" w:rsidR="00FD3BA8" w:rsidRPr="006555FF" w:rsidRDefault="00FD3BA8" w:rsidP="00164236">
            <w:pPr>
              <w:spacing w:before="60" w:after="60"/>
              <w:jc w:val="both"/>
              <w:rPr>
                <w:rFonts w:asciiTheme="minorBidi" w:eastAsia="Calibri" w:hAnsiTheme="minorBidi" w:cstheme="minorBidi"/>
                <w:b/>
                <w:bCs/>
                <w:sz w:val="20"/>
                <w:szCs w:val="20"/>
              </w:rPr>
            </w:pPr>
            <w:r w:rsidRPr="006555FF">
              <w:rPr>
                <w:rFonts w:asciiTheme="minorBidi" w:eastAsia="Calibri" w:hAnsiTheme="minorBidi" w:cstheme="minorBidi"/>
                <w:b/>
                <w:bCs/>
                <w:sz w:val="20"/>
                <w:szCs w:val="20"/>
              </w:rPr>
              <w:t>Knowledge management processes optimized through monitoring interfaces and online workflows</w:t>
            </w:r>
          </w:p>
          <w:p w14:paraId="6EEEAD96" w14:textId="342B3F46" w:rsidR="00FD3BA8" w:rsidRPr="006555FF" w:rsidRDefault="00FD3BA8" w:rsidP="00164236">
            <w:pPr>
              <w:numPr>
                <w:ilvl w:val="0"/>
                <w:numId w:val="12"/>
              </w:numPr>
              <w:spacing w:before="60" w:after="60"/>
              <w:ind w:left="357" w:hanging="357"/>
              <w:jc w:val="both"/>
              <w:rPr>
                <w:rFonts w:asciiTheme="minorBidi" w:eastAsia="Calibri" w:hAnsiTheme="minorBidi" w:cstheme="minorBidi"/>
                <w:sz w:val="20"/>
                <w:szCs w:val="20"/>
              </w:rPr>
            </w:pPr>
            <w:r w:rsidRPr="006555FF">
              <w:rPr>
                <w:rFonts w:asciiTheme="minorBidi" w:eastAsia="Calibri" w:hAnsiTheme="minorBidi" w:cstheme="minorBidi"/>
                <w:sz w:val="20"/>
                <w:szCs w:val="20"/>
              </w:rPr>
              <w:t>Infrastructure of knowledge management system maintained for security</w:t>
            </w:r>
            <w:r w:rsidR="006761CA" w:rsidRPr="006555FF">
              <w:rPr>
                <w:rFonts w:asciiTheme="minorBidi" w:eastAsia="Calibri" w:hAnsiTheme="minorBidi" w:cstheme="minorBidi"/>
                <w:sz w:val="20"/>
                <w:szCs w:val="20"/>
              </w:rPr>
              <w:t>,</w:t>
            </w:r>
            <w:r w:rsidRPr="006555FF">
              <w:rPr>
                <w:rFonts w:asciiTheme="minorBidi" w:eastAsia="Calibri" w:hAnsiTheme="minorBidi" w:cstheme="minorBidi"/>
                <w:sz w:val="20"/>
                <w:szCs w:val="20"/>
              </w:rPr>
              <w:t xml:space="preserve"> and internal knowledge management services and workflows updated to reflect outcomes of the global reflection on the listing mechanisms of the Convention (transfers between Lists</w:t>
            </w:r>
            <w:r w:rsidR="00CF4882" w:rsidRPr="006555FF">
              <w:rPr>
                <w:rFonts w:asciiTheme="minorBidi" w:eastAsia="Calibri" w:hAnsiTheme="minorBidi" w:cstheme="minorBidi"/>
                <w:sz w:val="20"/>
                <w:szCs w:val="20"/>
              </w:rPr>
              <w:t xml:space="preserve"> and associated</w:t>
            </w:r>
            <w:r w:rsidRPr="006555FF">
              <w:rPr>
                <w:rFonts w:asciiTheme="minorBidi" w:eastAsia="Calibri" w:hAnsiTheme="minorBidi" w:cstheme="minorBidi"/>
                <w:sz w:val="20"/>
                <w:szCs w:val="20"/>
              </w:rPr>
              <w:t xml:space="preserve"> inclusion of successful safeguarding experience in Register, display of nomination materials for </w:t>
            </w:r>
            <w:r w:rsidR="00CF4882" w:rsidRPr="006555FF">
              <w:rPr>
                <w:rFonts w:asciiTheme="minorBidi" w:eastAsia="Calibri" w:hAnsiTheme="minorBidi" w:cstheme="minorBidi"/>
                <w:sz w:val="20"/>
                <w:szCs w:val="20"/>
              </w:rPr>
              <w:t>extensions</w:t>
            </w:r>
            <w:r w:rsidRPr="006555FF">
              <w:rPr>
                <w:rFonts w:asciiTheme="minorBidi" w:eastAsia="Calibri" w:hAnsiTheme="minorBidi" w:cstheme="minorBidi"/>
                <w:sz w:val="20"/>
                <w:szCs w:val="20"/>
              </w:rPr>
              <w:t>).</w:t>
            </w:r>
          </w:p>
          <w:p w14:paraId="1E1A5BD8" w14:textId="32DF56EE" w:rsidR="00FD3BA8" w:rsidRPr="006555FF" w:rsidRDefault="00FD3BA8" w:rsidP="00685658">
            <w:pPr>
              <w:numPr>
                <w:ilvl w:val="0"/>
                <w:numId w:val="12"/>
              </w:numPr>
              <w:spacing w:before="60" w:after="60"/>
              <w:ind w:left="357" w:hanging="357"/>
              <w:jc w:val="both"/>
              <w:rPr>
                <w:rFonts w:asciiTheme="minorBidi" w:eastAsia="Calibri" w:hAnsiTheme="minorBidi" w:cstheme="minorBidi"/>
                <w:sz w:val="20"/>
                <w:szCs w:val="20"/>
              </w:rPr>
            </w:pPr>
            <w:r w:rsidRPr="006555FF">
              <w:rPr>
                <w:rFonts w:asciiTheme="minorBidi" w:eastAsia="Calibri" w:hAnsiTheme="minorBidi" w:cstheme="minorBidi"/>
                <w:sz w:val="20"/>
                <w:szCs w:val="20"/>
              </w:rPr>
              <w:t>New functionalities created or piloted to showcase activities and experiences in the framework of the International Day of the Intangible Cultural Heritage and in the context of the reflection on a broader implementation of Article 18.</w:t>
            </w:r>
            <w:r w:rsidR="006761CA" w:rsidRPr="006555FF">
              <w:rPr>
                <w:rFonts w:asciiTheme="minorBidi" w:eastAsia="Calibri" w:hAnsiTheme="minorBidi" w:cstheme="minorBidi"/>
                <w:sz w:val="20"/>
                <w:szCs w:val="20"/>
              </w:rPr>
              <w:t xml:space="preserve"> </w:t>
            </w:r>
            <w:r w:rsidRPr="006555FF">
              <w:rPr>
                <w:rFonts w:asciiTheme="minorBidi" w:eastAsia="Calibri" w:hAnsiTheme="minorBidi" w:cstheme="minorBidi"/>
                <w:sz w:val="20"/>
                <w:szCs w:val="20"/>
              </w:rPr>
              <w:t>A new feature was introduced to improve the accessibility of the Convention</w:t>
            </w:r>
            <w:r w:rsidR="005A1027" w:rsidRPr="006555FF">
              <w:rPr>
                <w:rFonts w:asciiTheme="minorBidi" w:eastAsia="Calibri" w:hAnsiTheme="minorBidi" w:cstheme="minorBidi"/>
                <w:sz w:val="20"/>
                <w:szCs w:val="20"/>
              </w:rPr>
              <w:t>’</w:t>
            </w:r>
            <w:r w:rsidRPr="006555FF">
              <w:rPr>
                <w:rFonts w:asciiTheme="minorBidi" w:eastAsia="Calibri" w:hAnsiTheme="minorBidi" w:cstheme="minorBidi"/>
                <w:sz w:val="20"/>
                <w:szCs w:val="20"/>
              </w:rPr>
              <w:t>s website</w:t>
            </w:r>
            <w:r w:rsidRPr="006555FF">
              <w:t xml:space="preserve"> </w:t>
            </w:r>
            <w:r w:rsidRPr="006555FF">
              <w:rPr>
                <w:rFonts w:asciiTheme="minorBidi" w:eastAsia="Calibri" w:hAnsiTheme="minorBidi" w:cstheme="minorBidi"/>
                <w:sz w:val="20"/>
                <w:szCs w:val="20"/>
              </w:rPr>
              <w:t>for colour contrasting and text scaling to facilitate the legibility of webpages.</w:t>
            </w:r>
          </w:p>
        </w:tc>
      </w:tr>
    </w:tbl>
    <w:tbl>
      <w:tblPr>
        <w:tblpPr w:leftFromText="141" w:rightFromText="141"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9634"/>
      </w:tblGrid>
      <w:tr w:rsidR="00261CCD" w:rsidRPr="006555FF" w14:paraId="3EC88A54" w14:textId="77777777" w:rsidTr="00164236">
        <w:tc>
          <w:tcPr>
            <w:tcW w:w="9634" w:type="dxa"/>
          </w:tcPr>
          <w:p w14:paraId="319D6439" w14:textId="68ADAE5B" w:rsidR="00261CCD" w:rsidRPr="006555FF" w:rsidRDefault="00D040D9" w:rsidP="006E3CFA">
            <w:pPr>
              <w:spacing w:before="60" w:after="60"/>
              <w:jc w:val="both"/>
              <w:rPr>
                <w:rFonts w:asciiTheme="minorBidi" w:eastAsia="Calibri" w:hAnsiTheme="minorBidi" w:cstheme="minorBidi"/>
                <w:b/>
                <w:bCs/>
                <w:sz w:val="20"/>
                <w:szCs w:val="20"/>
              </w:rPr>
            </w:pPr>
            <w:r w:rsidRPr="006555FF">
              <w:rPr>
                <w:rFonts w:asciiTheme="minorBidi" w:eastAsia="Calibri" w:hAnsiTheme="minorBidi" w:cstheme="minorBidi"/>
                <w:b/>
                <w:bCs/>
                <w:sz w:val="20"/>
                <w:szCs w:val="20"/>
              </w:rPr>
              <w:t>Broader implementation of Article 18 strengthened to foster the sharing of good safeguarding experiences</w:t>
            </w:r>
          </w:p>
          <w:p w14:paraId="61E76760" w14:textId="2BE40443" w:rsidR="00261CCD" w:rsidRPr="006555FF" w:rsidRDefault="00261CCD" w:rsidP="00D040D9">
            <w:pPr>
              <w:pStyle w:val="ListParagraph"/>
              <w:numPr>
                <w:ilvl w:val="0"/>
                <w:numId w:val="63"/>
              </w:numPr>
              <w:tabs>
                <w:tab w:val="clear" w:pos="567"/>
                <w:tab w:val="left" w:pos="357"/>
              </w:tabs>
              <w:spacing w:before="60" w:after="60"/>
              <w:ind w:left="306" w:hanging="306"/>
              <w:rPr>
                <w:rFonts w:asciiTheme="minorBidi" w:eastAsia="Calibri" w:hAnsiTheme="minorBidi" w:cstheme="minorBidi"/>
                <w:sz w:val="20"/>
                <w:szCs w:val="20"/>
              </w:rPr>
            </w:pPr>
            <w:r w:rsidRPr="006555FF">
              <w:rPr>
                <w:rFonts w:asciiTheme="minorBidi" w:eastAsia="Calibri" w:hAnsiTheme="minorBidi" w:cstheme="minorBidi"/>
                <w:sz w:val="20"/>
                <w:szCs w:val="20"/>
              </w:rPr>
              <w:t xml:space="preserve">As part of the ongoing </w:t>
            </w:r>
            <w:hyperlink r:id="rId84" w:history="1">
              <w:r w:rsidRPr="006555FF">
                <w:rPr>
                  <w:rStyle w:val="Hyperlink"/>
                  <w:rFonts w:eastAsia="Calibri"/>
                  <w:sz w:val="20"/>
                  <w:szCs w:val="20"/>
                </w:rPr>
                <w:t>reflection on a broader implementation of Article 18</w:t>
              </w:r>
            </w:hyperlink>
            <w:r w:rsidRPr="006555FF">
              <w:rPr>
                <w:rFonts w:asciiTheme="minorBidi" w:eastAsia="Calibri" w:hAnsiTheme="minorBidi" w:cstheme="minorBidi"/>
                <w:sz w:val="20"/>
                <w:szCs w:val="20"/>
              </w:rPr>
              <w:t xml:space="preserve">, initiated in 2023, and </w:t>
            </w:r>
            <w:r w:rsidRPr="006555FF">
              <w:rPr>
                <w:rStyle w:val="Strong"/>
                <w:b w:val="0"/>
                <w:bCs w:val="0"/>
                <w:sz w:val="20"/>
                <w:szCs w:val="20"/>
              </w:rPr>
              <w:t>considering</w:t>
            </w:r>
            <w:r w:rsidRPr="006555FF">
              <w:rPr>
                <w:rFonts w:asciiTheme="minorBidi" w:eastAsia="Calibri" w:hAnsiTheme="minorBidi" w:cstheme="minorBidi"/>
                <w:sz w:val="20"/>
                <w:szCs w:val="20"/>
              </w:rPr>
              <w:t xml:space="preserve"> the step-by-step approach and roadmap established by the Committee for the development and operation of a new platform for sharing good safeguarding experiences (Decisions </w:t>
            </w:r>
            <w:hyperlink r:id="rId85" w:history="1">
              <w:r w:rsidRPr="006555FF">
                <w:rPr>
                  <w:rStyle w:val="Hyperlink"/>
                  <w:rFonts w:eastAsia="Calibri"/>
                  <w:sz w:val="20"/>
                  <w:szCs w:val="20"/>
                </w:rPr>
                <w:t>18.COM 11</w:t>
              </w:r>
            </w:hyperlink>
            <w:r w:rsidRPr="006555FF">
              <w:rPr>
                <w:rFonts w:asciiTheme="minorBidi" w:eastAsia="Calibri" w:hAnsiTheme="minorBidi" w:cstheme="minorBidi"/>
                <w:sz w:val="20"/>
                <w:szCs w:val="20"/>
              </w:rPr>
              <w:t xml:space="preserve"> and </w:t>
            </w:r>
            <w:hyperlink r:id="rId86" w:history="1">
              <w:r w:rsidRPr="006555FF">
                <w:rPr>
                  <w:rStyle w:val="Hyperlink"/>
                  <w:rFonts w:eastAsia="Calibri"/>
                  <w:sz w:val="20"/>
                  <w:szCs w:val="20"/>
                </w:rPr>
                <w:t>19.COM 10</w:t>
              </w:r>
            </w:hyperlink>
            <w:r w:rsidRPr="006555FF">
              <w:rPr>
                <w:rFonts w:asciiTheme="minorBidi" w:eastAsia="Calibri" w:hAnsiTheme="minorBidi" w:cstheme="minorBidi"/>
                <w:sz w:val="20"/>
                <w:szCs w:val="20"/>
              </w:rPr>
              <w:t>)</w:t>
            </w:r>
            <w:r w:rsidR="00D040D9" w:rsidRPr="006555FF">
              <w:rPr>
                <w:rFonts w:asciiTheme="minorBidi" w:eastAsia="Calibri" w:hAnsiTheme="minorBidi" w:cstheme="minorBidi"/>
                <w:sz w:val="20"/>
                <w:szCs w:val="20"/>
              </w:rPr>
              <w:t>, a</w:t>
            </w:r>
            <w:r w:rsidRPr="006555FF">
              <w:rPr>
                <w:rFonts w:asciiTheme="minorBidi" w:eastAsia="Calibri" w:hAnsiTheme="minorBidi" w:cstheme="minorBidi"/>
                <w:sz w:val="20"/>
                <w:szCs w:val="20"/>
              </w:rPr>
              <w:t xml:space="preserve"> pilot set of fourteen good safeguarding experiences implemented through the international cooperation mechanisms of the Convention was mapped. Those are featured in a </w:t>
            </w:r>
            <w:r w:rsidR="005A1027" w:rsidRPr="006555FF">
              <w:rPr>
                <w:rFonts w:asciiTheme="minorBidi" w:eastAsia="Calibri" w:hAnsiTheme="minorBidi" w:cstheme="minorBidi"/>
                <w:sz w:val="20"/>
                <w:szCs w:val="20"/>
              </w:rPr>
              <w:t>‘</w:t>
            </w:r>
            <w:hyperlink r:id="rId87" w:history="1">
              <w:r w:rsidRPr="006555FF">
                <w:rPr>
                  <w:rStyle w:val="Hyperlink"/>
                  <w:rFonts w:eastAsia="Calibri"/>
                  <w:sz w:val="20"/>
                  <w:szCs w:val="20"/>
                </w:rPr>
                <w:t>preliminary version</w:t>
              </w:r>
            </w:hyperlink>
            <w:r w:rsidR="00E13568" w:rsidRPr="006555FF">
              <w:rPr>
                <w:rFonts w:eastAsia="Calibri"/>
                <w:sz w:val="20"/>
                <w:szCs w:val="20"/>
              </w:rPr>
              <w:t>’</w:t>
            </w:r>
            <w:r w:rsidRPr="006555FF">
              <w:rPr>
                <w:rFonts w:asciiTheme="minorBidi" w:eastAsia="Calibri" w:hAnsiTheme="minorBidi" w:cstheme="minorBidi"/>
                <w:sz w:val="20"/>
                <w:szCs w:val="20"/>
              </w:rPr>
              <w:t xml:space="preserve"> of the platform, launched in May 2025.</w:t>
            </w:r>
          </w:p>
          <w:p w14:paraId="7B246877" w14:textId="1C32C832" w:rsidR="00261CCD" w:rsidRPr="006555FF" w:rsidRDefault="00306E91" w:rsidP="009D0088">
            <w:pPr>
              <w:pStyle w:val="ListParagraph"/>
              <w:numPr>
                <w:ilvl w:val="0"/>
                <w:numId w:val="63"/>
              </w:numPr>
              <w:tabs>
                <w:tab w:val="clear" w:pos="567"/>
                <w:tab w:val="left" w:pos="357"/>
              </w:tabs>
              <w:spacing w:before="60" w:after="60"/>
              <w:ind w:left="306" w:hanging="306"/>
            </w:pPr>
            <w:r w:rsidRPr="006555FF">
              <w:rPr>
                <w:rFonts w:asciiTheme="minorBidi" w:eastAsia="Calibri" w:hAnsiTheme="minorBidi" w:cstheme="minorBidi"/>
                <w:sz w:val="20"/>
                <w:szCs w:val="20"/>
              </w:rPr>
              <w:t xml:space="preserve">Ongoing establishment of the structure of the </w:t>
            </w:r>
            <w:r w:rsidR="005A1027" w:rsidRPr="006555FF">
              <w:rPr>
                <w:rFonts w:asciiTheme="minorBidi" w:eastAsia="Calibri" w:hAnsiTheme="minorBidi" w:cstheme="minorBidi"/>
                <w:sz w:val="20"/>
                <w:szCs w:val="20"/>
              </w:rPr>
              <w:t>‘</w:t>
            </w:r>
            <w:r w:rsidRPr="006555FF">
              <w:rPr>
                <w:rFonts w:asciiTheme="minorBidi" w:eastAsia="Calibri" w:hAnsiTheme="minorBidi" w:cstheme="minorBidi"/>
                <w:sz w:val="20"/>
                <w:szCs w:val="20"/>
              </w:rPr>
              <w:t>Article 18 platform</w:t>
            </w:r>
            <w:r w:rsidR="005A1027" w:rsidRPr="006555FF">
              <w:rPr>
                <w:rFonts w:asciiTheme="minorBidi" w:eastAsia="Calibri" w:hAnsiTheme="minorBidi" w:cstheme="minorBidi"/>
                <w:sz w:val="20"/>
                <w:szCs w:val="20"/>
              </w:rPr>
              <w:t>’</w:t>
            </w:r>
            <w:r w:rsidRPr="006555FF">
              <w:rPr>
                <w:rFonts w:asciiTheme="minorBidi" w:eastAsia="Calibri" w:hAnsiTheme="minorBidi" w:cstheme="minorBidi"/>
                <w:sz w:val="20"/>
                <w:szCs w:val="20"/>
              </w:rPr>
              <w:t xml:space="preserve"> including </w:t>
            </w:r>
            <w:r w:rsidR="00261CCD" w:rsidRPr="006555FF">
              <w:rPr>
                <w:rFonts w:asciiTheme="minorBidi" w:eastAsia="Calibri" w:hAnsiTheme="minorBidi" w:cstheme="minorBidi"/>
                <w:sz w:val="20"/>
                <w:szCs w:val="20"/>
              </w:rPr>
              <w:t xml:space="preserve">online consultations </w:t>
            </w:r>
            <w:r w:rsidRPr="006555FF">
              <w:rPr>
                <w:rFonts w:asciiTheme="minorBidi" w:eastAsia="Calibri" w:hAnsiTheme="minorBidi" w:cstheme="minorBidi"/>
                <w:sz w:val="20"/>
                <w:szCs w:val="20"/>
              </w:rPr>
              <w:t>with</w:t>
            </w:r>
            <w:r w:rsidR="00261CCD" w:rsidRPr="006555FF">
              <w:rPr>
                <w:rFonts w:asciiTheme="minorBidi" w:eastAsia="Calibri" w:hAnsiTheme="minorBidi" w:cstheme="minorBidi"/>
                <w:sz w:val="20"/>
                <w:szCs w:val="20"/>
              </w:rPr>
              <w:t xml:space="preserve"> end users and experts </w:t>
            </w:r>
            <w:r w:rsidRPr="006555FF">
              <w:rPr>
                <w:rFonts w:asciiTheme="minorBidi" w:eastAsia="Calibri" w:hAnsiTheme="minorBidi" w:cstheme="minorBidi"/>
                <w:sz w:val="20"/>
                <w:szCs w:val="20"/>
              </w:rPr>
              <w:t>to gather feedback</w:t>
            </w:r>
            <w:r w:rsidR="00261CCD" w:rsidRPr="006555FF">
              <w:rPr>
                <w:rFonts w:asciiTheme="minorBidi" w:eastAsia="Calibri" w:hAnsiTheme="minorBidi" w:cstheme="minorBidi"/>
                <w:sz w:val="20"/>
                <w:szCs w:val="20"/>
              </w:rPr>
              <w:t>.</w:t>
            </w:r>
          </w:p>
        </w:tc>
      </w:tr>
    </w:tbl>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245617" w:rsidRPr="006555FF" w14:paraId="2642E23F" w14:textId="77777777" w:rsidTr="009D0088">
        <w:trPr>
          <w:trHeight w:val="566"/>
          <w:jc w:val="center"/>
        </w:trPr>
        <w:tc>
          <w:tcPr>
            <w:tcW w:w="9640" w:type="dxa"/>
          </w:tcPr>
          <w:p w14:paraId="2D311621" w14:textId="467D6476" w:rsidR="00245617" w:rsidRPr="006555FF" w:rsidRDefault="00DB0CD2" w:rsidP="006E3CFA">
            <w:pPr>
              <w:spacing w:before="60" w:after="60"/>
              <w:jc w:val="both"/>
              <w:rPr>
                <w:rFonts w:asciiTheme="minorBidi" w:eastAsia="Calibri" w:hAnsiTheme="minorBidi" w:cstheme="minorBidi"/>
                <w:sz w:val="20"/>
                <w:szCs w:val="20"/>
              </w:rPr>
            </w:pPr>
            <w:r w:rsidRPr="006555FF">
              <w:rPr>
                <w:rFonts w:asciiTheme="minorBidi" w:eastAsia="Calibri" w:hAnsiTheme="minorBidi" w:cstheme="minorBidi"/>
                <w:b/>
                <w:bCs/>
                <w:sz w:val="20"/>
                <w:szCs w:val="20"/>
              </w:rPr>
              <w:t>Preparation of the r</w:t>
            </w:r>
            <w:r w:rsidR="00245617" w:rsidRPr="006555FF">
              <w:rPr>
                <w:rFonts w:asciiTheme="minorBidi" w:eastAsia="Calibri" w:hAnsiTheme="minorBidi" w:cstheme="minorBidi"/>
                <w:b/>
                <w:bCs/>
                <w:sz w:val="20"/>
                <w:szCs w:val="20"/>
              </w:rPr>
              <w:t>eflection</w:t>
            </w:r>
            <w:r w:rsidRPr="006555FF">
              <w:rPr>
                <w:rFonts w:asciiTheme="minorBidi" w:eastAsia="Calibri" w:hAnsiTheme="minorBidi" w:cstheme="minorBidi"/>
                <w:b/>
                <w:bCs/>
                <w:sz w:val="20"/>
                <w:szCs w:val="20"/>
              </w:rPr>
              <w:t xml:space="preserve"> </w:t>
            </w:r>
            <w:r w:rsidR="00971479" w:rsidRPr="006555FF">
              <w:rPr>
                <w:rFonts w:asciiTheme="minorBidi" w:eastAsia="Calibri" w:hAnsiTheme="minorBidi" w:cstheme="minorBidi"/>
                <w:b/>
                <w:bCs/>
                <w:sz w:val="20"/>
                <w:szCs w:val="20"/>
              </w:rPr>
              <w:t>year</w:t>
            </w:r>
            <w:r w:rsidR="003B2AFB" w:rsidRPr="006555FF">
              <w:rPr>
                <w:rFonts w:asciiTheme="minorBidi" w:eastAsia="Calibri" w:hAnsiTheme="minorBidi" w:cstheme="minorBidi"/>
                <w:b/>
                <w:bCs/>
                <w:sz w:val="20"/>
                <w:szCs w:val="20"/>
              </w:rPr>
              <w:t xml:space="preserve"> (2026)</w:t>
            </w:r>
            <w:r w:rsidRPr="006555FF">
              <w:rPr>
                <w:rFonts w:asciiTheme="minorBidi" w:eastAsia="Calibri" w:hAnsiTheme="minorBidi" w:cstheme="minorBidi"/>
                <w:b/>
                <w:bCs/>
                <w:sz w:val="20"/>
                <w:szCs w:val="20"/>
              </w:rPr>
              <w:t xml:space="preserve"> initiated</w:t>
            </w:r>
            <w:r w:rsidR="00245617" w:rsidRPr="006555FF">
              <w:rPr>
                <w:rFonts w:asciiTheme="minorBidi" w:eastAsia="Calibri" w:hAnsiTheme="minorBidi" w:cstheme="minorBidi"/>
                <w:b/>
                <w:bCs/>
                <w:sz w:val="20"/>
                <w:szCs w:val="20"/>
              </w:rPr>
              <w:t xml:space="preserve"> </w:t>
            </w:r>
            <w:r w:rsidRPr="006555FF">
              <w:rPr>
                <w:rFonts w:asciiTheme="minorBidi" w:eastAsia="Calibri" w:hAnsiTheme="minorBidi" w:cstheme="minorBidi"/>
                <w:b/>
                <w:bCs/>
                <w:sz w:val="20"/>
                <w:szCs w:val="20"/>
              </w:rPr>
              <w:t>for the periodic reporting mechanisms</w:t>
            </w:r>
          </w:p>
          <w:p w14:paraId="48C0C498" w14:textId="6336D9DD" w:rsidR="00245617" w:rsidRPr="006555FF" w:rsidRDefault="00245617" w:rsidP="006E3CFA">
            <w:pPr>
              <w:pStyle w:val="ListParagraph"/>
              <w:numPr>
                <w:ilvl w:val="0"/>
                <w:numId w:val="63"/>
              </w:numPr>
              <w:tabs>
                <w:tab w:val="clear" w:pos="567"/>
                <w:tab w:val="left" w:pos="357"/>
              </w:tabs>
              <w:spacing w:before="60"/>
              <w:ind w:left="306" w:hanging="306"/>
              <w:rPr>
                <w:rFonts w:asciiTheme="minorBidi" w:hAnsiTheme="minorBidi" w:cstheme="minorBidi"/>
                <w:sz w:val="20"/>
                <w:szCs w:val="20"/>
              </w:rPr>
            </w:pPr>
            <w:r w:rsidRPr="006555FF">
              <w:rPr>
                <w:rFonts w:asciiTheme="minorBidi" w:hAnsiTheme="minorBidi" w:cstheme="minorBidi"/>
                <w:sz w:val="20"/>
                <w:szCs w:val="20"/>
              </w:rPr>
              <w:t xml:space="preserve">Five online </w:t>
            </w:r>
            <w:hyperlink r:id="rId88" w:history="1">
              <w:r w:rsidRPr="006555FF">
                <w:rPr>
                  <w:rStyle w:val="Hyperlink"/>
                  <w:rFonts w:asciiTheme="minorBidi" w:hAnsiTheme="minorBidi" w:cstheme="minorBidi"/>
                  <w:sz w:val="20"/>
                  <w:szCs w:val="20"/>
                </w:rPr>
                <w:t>regional consultations</w:t>
              </w:r>
            </w:hyperlink>
            <w:r w:rsidRPr="006555FF">
              <w:rPr>
                <w:rFonts w:asciiTheme="minorBidi" w:hAnsiTheme="minorBidi" w:cstheme="minorBidi"/>
                <w:sz w:val="20"/>
                <w:szCs w:val="20"/>
              </w:rPr>
              <w:t xml:space="preserve"> organized with focal points for periodic reporting, facilitators from the UNESCO global network and representatives from Category 2 Centres, who played a key role in the implementation of the first regional cycle of reporting. The outcomes of these meetings are expected to feed into the reflection year (2026), offering an opportunity to assess lessons learned, address shortcomings including in the reporting forms, and build on States</w:t>
            </w:r>
            <w:r w:rsidR="005A1027" w:rsidRPr="006555FF">
              <w:rPr>
                <w:rFonts w:asciiTheme="minorBidi" w:hAnsiTheme="minorBidi" w:cstheme="minorBidi"/>
                <w:sz w:val="20"/>
                <w:szCs w:val="20"/>
              </w:rPr>
              <w:t>’</w:t>
            </w:r>
            <w:r w:rsidRPr="006555FF">
              <w:rPr>
                <w:rFonts w:asciiTheme="minorBidi" w:hAnsiTheme="minorBidi" w:cstheme="minorBidi"/>
                <w:sz w:val="20"/>
                <w:szCs w:val="20"/>
              </w:rPr>
              <w:t xml:space="preserve"> concrete reporting experiences.</w:t>
            </w:r>
          </w:p>
        </w:tc>
      </w:tr>
      <w:tr w:rsidR="002F3074" w:rsidRPr="006555FF" w14:paraId="044F883E" w14:textId="77777777" w:rsidTr="005A2EE4">
        <w:trPr>
          <w:trHeight w:val="900"/>
          <w:jc w:val="center"/>
        </w:trPr>
        <w:tc>
          <w:tcPr>
            <w:tcW w:w="9640" w:type="dxa"/>
          </w:tcPr>
          <w:p w14:paraId="198E04EC" w14:textId="77777777" w:rsidR="002F3074" w:rsidRPr="006555FF" w:rsidRDefault="002F3074" w:rsidP="006E3CFA">
            <w:pPr>
              <w:spacing w:before="60" w:after="60"/>
              <w:jc w:val="both"/>
              <w:rPr>
                <w:rFonts w:asciiTheme="minorBidi" w:eastAsia="Calibri" w:hAnsiTheme="minorBidi" w:cstheme="minorBidi"/>
                <w:b/>
                <w:bCs/>
                <w:sz w:val="20"/>
                <w:szCs w:val="20"/>
              </w:rPr>
            </w:pPr>
            <w:r w:rsidRPr="006555FF">
              <w:rPr>
                <w:rFonts w:asciiTheme="minorBidi" w:eastAsia="Calibri" w:hAnsiTheme="minorBidi" w:cstheme="minorBidi"/>
                <w:b/>
                <w:bCs/>
                <w:sz w:val="20"/>
                <w:szCs w:val="20"/>
              </w:rPr>
              <w:t>Basic Texts of the Convention revised and published</w:t>
            </w:r>
          </w:p>
          <w:p w14:paraId="785F8A74" w14:textId="4BF8ACC2" w:rsidR="002F3074" w:rsidRPr="006555FF" w:rsidRDefault="0008039C" w:rsidP="002F3074">
            <w:pPr>
              <w:pStyle w:val="ListParagraph"/>
              <w:numPr>
                <w:ilvl w:val="0"/>
                <w:numId w:val="20"/>
              </w:numPr>
              <w:tabs>
                <w:tab w:val="clear" w:pos="567"/>
              </w:tabs>
              <w:snapToGrid/>
              <w:spacing w:before="60" w:after="60"/>
              <w:ind w:left="322"/>
              <w:contextualSpacing/>
              <w:rPr>
                <w:rFonts w:asciiTheme="minorBidi" w:eastAsia="Calibri" w:hAnsiTheme="minorBidi" w:cstheme="minorBidi"/>
                <w:sz w:val="20"/>
                <w:szCs w:val="20"/>
              </w:rPr>
            </w:pPr>
            <w:hyperlink r:id="rId89" w:history="1">
              <w:r w:rsidRPr="006555FF">
                <w:rPr>
                  <w:rStyle w:val="Hyperlink"/>
                  <w:rFonts w:asciiTheme="minorBidi" w:eastAsia="Calibri" w:hAnsiTheme="minorBidi" w:cstheme="minorBidi"/>
                  <w:sz w:val="20"/>
                  <w:szCs w:val="20"/>
                </w:rPr>
                <w:t>2024 edition of the Basic Texts</w:t>
              </w:r>
            </w:hyperlink>
            <w:r w:rsidR="002F3074" w:rsidRPr="006555FF">
              <w:rPr>
                <w:rFonts w:asciiTheme="minorBidi" w:eastAsia="Calibri" w:hAnsiTheme="minorBidi" w:cstheme="minorBidi"/>
                <w:sz w:val="20"/>
                <w:szCs w:val="20"/>
              </w:rPr>
              <w:t xml:space="preserve"> of the Convention published. This version integrates the amendments to the Operational Directives adopted by the </w:t>
            </w:r>
            <w:r w:rsidRPr="006555FF">
              <w:rPr>
                <w:rFonts w:asciiTheme="minorBidi" w:eastAsia="Calibri" w:hAnsiTheme="minorBidi" w:cstheme="minorBidi"/>
                <w:sz w:val="20"/>
                <w:szCs w:val="20"/>
              </w:rPr>
              <w:t>tenth</w:t>
            </w:r>
            <w:r w:rsidR="002F3074" w:rsidRPr="006555FF">
              <w:rPr>
                <w:rFonts w:asciiTheme="minorBidi" w:eastAsia="Calibri" w:hAnsiTheme="minorBidi" w:cstheme="minorBidi"/>
                <w:sz w:val="20"/>
                <w:szCs w:val="20"/>
              </w:rPr>
              <w:t xml:space="preserve"> session of the General Assembly in 202</w:t>
            </w:r>
            <w:r w:rsidRPr="006555FF">
              <w:rPr>
                <w:rFonts w:asciiTheme="minorBidi" w:eastAsia="Calibri" w:hAnsiTheme="minorBidi" w:cstheme="minorBidi"/>
                <w:sz w:val="20"/>
                <w:szCs w:val="20"/>
              </w:rPr>
              <w:t>4</w:t>
            </w:r>
            <w:r w:rsidR="002F3074" w:rsidRPr="006555FF">
              <w:rPr>
                <w:rFonts w:asciiTheme="minorBidi" w:eastAsia="Calibri" w:hAnsiTheme="minorBidi" w:cstheme="minorBidi"/>
                <w:sz w:val="20"/>
                <w:szCs w:val="20"/>
              </w:rPr>
              <w:t>.</w:t>
            </w:r>
          </w:p>
        </w:tc>
      </w:tr>
      <w:tr w:rsidR="00245617" w:rsidRPr="006555FF" w14:paraId="2699CA09" w14:textId="77777777" w:rsidTr="006E3CFA">
        <w:trPr>
          <w:trHeight w:val="699"/>
          <w:jc w:val="center"/>
        </w:trPr>
        <w:tc>
          <w:tcPr>
            <w:tcW w:w="9640" w:type="dxa"/>
          </w:tcPr>
          <w:p w14:paraId="2A133EC8" w14:textId="5383DFC7" w:rsidR="00245617" w:rsidRPr="006555FF" w:rsidRDefault="00A97EEC" w:rsidP="006E3CFA">
            <w:pPr>
              <w:spacing w:before="60" w:after="60"/>
              <w:jc w:val="both"/>
              <w:rPr>
                <w:rFonts w:asciiTheme="minorBidi" w:eastAsia="Calibri" w:hAnsiTheme="minorBidi" w:cstheme="minorBidi"/>
                <w:b/>
                <w:bCs/>
                <w:sz w:val="20"/>
                <w:szCs w:val="20"/>
              </w:rPr>
            </w:pPr>
            <w:r w:rsidRPr="006555FF">
              <w:rPr>
                <w:rFonts w:asciiTheme="minorBidi" w:eastAsia="Calibri" w:hAnsiTheme="minorBidi" w:cstheme="minorBidi"/>
                <w:b/>
                <w:bCs/>
                <w:sz w:val="20"/>
                <w:szCs w:val="20"/>
              </w:rPr>
              <w:t>Upstream c</w:t>
            </w:r>
            <w:r w:rsidR="00245617" w:rsidRPr="006555FF">
              <w:rPr>
                <w:rFonts w:asciiTheme="minorBidi" w:eastAsia="Calibri" w:hAnsiTheme="minorBidi" w:cstheme="minorBidi"/>
                <w:b/>
                <w:bCs/>
                <w:sz w:val="20"/>
                <w:szCs w:val="20"/>
              </w:rPr>
              <w:t>ommunication</w:t>
            </w:r>
            <w:r w:rsidRPr="006555FF">
              <w:rPr>
                <w:rFonts w:asciiTheme="minorBidi" w:eastAsia="Calibri" w:hAnsiTheme="minorBidi" w:cstheme="minorBidi"/>
                <w:b/>
                <w:bCs/>
                <w:sz w:val="20"/>
                <w:szCs w:val="20"/>
              </w:rPr>
              <w:t xml:space="preserve"> and</w:t>
            </w:r>
            <w:r w:rsidR="00245617" w:rsidRPr="006555FF">
              <w:rPr>
                <w:rFonts w:asciiTheme="minorBidi" w:eastAsia="Calibri" w:hAnsiTheme="minorBidi" w:cstheme="minorBidi"/>
                <w:b/>
                <w:bCs/>
                <w:sz w:val="20"/>
                <w:szCs w:val="20"/>
              </w:rPr>
              <w:t xml:space="preserve"> outreach</w:t>
            </w:r>
            <w:r w:rsidRPr="006555FF">
              <w:rPr>
                <w:rFonts w:asciiTheme="minorBidi" w:eastAsia="Calibri" w:hAnsiTheme="minorBidi" w:cstheme="minorBidi"/>
                <w:b/>
                <w:bCs/>
                <w:sz w:val="20"/>
                <w:szCs w:val="20"/>
              </w:rPr>
              <w:t xml:space="preserve"> actions implemented to promote the objectives of the Convention</w:t>
            </w:r>
          </w:p>
          <w:p w14:paraId="063A095F" w14:textId="7DE9E153" w:rsidR="00245617" w:rsidRPr="006555FF" w:rsidRDefault="000A7368" w:rsidP="00A97EEC">
            <w:pPr>
              <w:pStyle w:val="ListParagraph"/>
              <w:numPr>
                <w:ilvl w:val="0"/>
                <w:numId w:val="60"/>
              </w:numPr>
              <w:tabs>
                <w:tab w:val="clear" w:pos="567"/>
              </w:tabs>
              <w:snapToGrid/>
              <w:spacing w:before="60" w:after="60"/>
              <w:rPr>
                <w:rFonts w:asciiTheme="minorBidi" w:hAnsiTheme="minorBidi" w:cstheme="minorBidi"/>
                <w:sz w:val="20"/>
                <w:szCs w:val="20"/>
              </w:rPr>
            </w:pPr>
            <w:r w:rsidRPr="006555FF">
              <w:rPr>
                <w:rFonts w:asciiTheme="minorBidi" w:eastAsia="Calibri" w:hAnsiTheme="minorBidi" w:cstheme="minorBidi"/>
                <w:snapToGrid/>
                <w:sz w:val="20"/>
                <w:szCs w:val="20"/>
              </w:rPr>
              <w:t xml:space="preserve">Global campaign launched for the first edition of the </w:t>
            </w:r>
            <w:r w:rsidR="00245617" w:rsidRPr="006555FF">
              <w:rPr>
                <w:rFonts w:asciiTheme="minorBidi" w:hAnsiTheme="minorBidi" w:cstheme="minorBidi"/>
                <w:sz w:val="20"/>
                <w:szCs w:val="20"/>
              </w:rPr>
              <w:t>International Day of the Intangible Cultural Heritage</w:t>
            </w:r>
            <w:r w:rsidRPr="006555FF">
              <w:rPr>
                <w:rFonts w:asciiTheme="minorBidi" w:hAnsiTheme="minorBidi" w:cstheme="minorBidi"/>
                <w:sz w:val="20"/>
                <w:szCs w:val="20"/>
              </w:rPr>
              <w:t xml:space="preserve"> in </w:t>
            </w:r>
            <w:r w:rsidR="00906B6C" w:rsidRPr="006555FF">
              <w:rPr>
                <w:rFonts w:asciiTheme="minorBidi" w:hAnsiTheme="minorBidi" w:cstheme="minorBidi"/>
                <w:sz w:val="20"/>
                <w:szCs w:val="20"/>
              </w:rPr>
              <w:t>2024</w:t>
            </w:r>
            <w:r w:rsidR="00245617" w:rsidRPr="006555FF">
              <w:rPr>
                <w:rFonts w:asciiTheme="minorBidi" w:hAnsiTheme="minorBidi" w:cstheme="minorBidi"/>
                <w:sz w:val="20"/>
                <w:szCs w:val="20"/>
              </w:rPr>
              <w:t>:</w:t>
            </w:r>
          </w:p>
          <w:p w14:paraId="7B864578" w14:textId="4A50D9DD" w:rsidR="00245617" w:rsidRPr="006555FF" w:rsidRDefault="00906B6C" w:rsidP="00AE67DF">
            <w:pPr>
              <w:pStyle w:val="ListParagraph"/>
              <w:numPr>
                <w:ilvl w:val="0"/>
                <w:numId w:val="95"/>
              </w:numPr>
              <w:tabs>
                <w:tab w:val="clear" w:pos="567"/>
                <w:tab w:val="left" w:pos="738"/>
              </w:tabs>
              <w:spacing w:before="60" w:after="60"/>
              <w:rPr>
                <w:rFonts w:asciiTheme="minorBidi" w:eastAsia="Calibri" w:hAnsiTheme="minorBidi" w:cstheme="minorBidi"/>
                <w:sz w:val="20"/>
                <w:szCs w:val="20"/>
              </w:rPr>
            </w:pPr>
            <w:r w:rsidRPr="006555FF">
              <w:rPr>
                <w:rFonts w:asciiTheme="minorBidi" w:eastAsia="Calibri" w:hAnsiTheme="minorBidi" w:cstheme="minorBidi"/>
                <w:sz w:val="20"/>
                <w:szCs w:val="20"/>
              </w:rPr>
              <w:t xml:space="preserve">Dedicated </w:t>
            </w:r>
            <w:hyperlink r:id="rId90" w:history="1">
              <w:r w:rsidRPr="006555FF">
                <w:rPr>
                  <w:rStyle w:val="Hyperlink"/>
                  <w:rFonts w:asciiTheme="minorBidi" w:eastAsia="Calibri" w:hAnsiTheme="minorBidi" w:cstheme="minorBidi"/>
                  <w:sz w:val="20"/>
                  <w:szCs w:val="20"/>
                </w:rPr>
                <w:t>platform</w:t>
              </w:r>
            </w:hyperlink>
            <w:r w:rsidRPr="006555FF">
              <w:rPr>
                <w:rFonts w:eastAsia="Calibri"/>
                <w:sz w:val="20"/>
                <w:szCs w:val="20"/>
              </w:rPr>
              <w:t xml:space="preserve"> </w:t>
            </w:r>
            <w:r w:rsidRPr="006555FF">
              <w:rPr>
                <w:rFonts w:asciiTheme="minorBidi" w:eastAsia="Calibri" w:hAnsiTheme="minorBidi" w:cstheme="minorBidi"/>
                <w:sz w:val="20"/>
                <w:szCs w:val="20"/>
              </w:rPr>
              <w:t>set up</w:t>
            </w:r>
            <w:r w:rsidRPr="006555FF">
              <w:rPr>
                <w:sz w:val="20"/>
                <w:szCs w:val="20"/>
              </w:rPr>
              <w:t xml:space="preserve"> to highlight </w:t>
            </w:r>
            <w:r w:rsidR="00245617" w:rsidRPr="006555FF">
              <w:rPr>
                <w:rFonts w:asciiTheme="minorBidi" w:eastAsia="Calibri" w:hAnsiTheme="minorBidi" w:cstheme="minorBidi"/>
                <w:sz w:val="20"/>
                <w:szCs w:val="20"/>
              </w:rPr>
              <w:t xml:space="preserve">100 activities </w:t>
            </w:r>
            <w:r w:rsidR="005D1E2A" w:rsidRPr="006555FF">
              <w:rPr>
                <w:rFonts w:asciiTheme="minorBidi" w:eastAsia="Calibri" w:hAnsiTheme="minorBidi" w:cstheme="minorBidi"/>
                <w:sz w:val="20"/>
                <w:szCs w:val="20"/>
              </w:rPr>
              <w:t>in</w:t>
            </w:r>
            <w:r w:rsidRPr="006555FF">
              <w:rPr>
                <w:rFonts w:asciiTheme="minorBidi" w:eastAsia="Calibri" w:hAnsiTheme="minorBidi" w:cstheme="minorBidi"/>
                <w:sz w:val="20"/>
                <w:szCs w:val="20"/>
              </w:rPr>
              <w:t xml:space="preserve"> 2024</w:t>
            </w:r>
            <w:r w:rsidR="00245617" w:rsidRPr="006555FF">
              <w:rPr>
                <w:rFonts w:asciiTheme="minorBidi" w:eastAsia="Calibri" w:hAnsiTheme="minorBidi" w:cstheme="minorBidi"/>
                <w:sz w:val="20"/>
                <w:szCs w:val="20"/>
              </w:rPr>
              <w:t xml:space="preserve"> by a broad range of Convention</w:t>
            </w:r>
            <w:r w:rsidR="005A1027" w:rsidRPr="006555FF">
              <w:rPr>
                <w:rFonts w:asciiTheme="minorBidi" w:eastAsia="Calibri" w:hAnsiTheme="minorBidi" w:cstheme="minorBidi"/>
                <w:sz w:val="20"/>
                <w:szCs w:val="20"/>
              </w:rPr>
              <w:t>’</w:t>
            </w:r>
            <w:r w:rsidR="00245617" w:rsidRPr="006555FF">
              <w:rPr>
                <w:rFonts w:asciiTheme="minorBidi" w:eastAsia="Calibri" w:hAnsiTheme="minorBidi" w:cstheme="minorBidi"/>
                <w:sz w:val="20"/>
                <w:szCs w:val="20"/>
              </w:rPr>
              <w:t xml:space="preserve">s stakeholders around the world, </w:t>
            </w:r>
            <w:r w:rsidRPr="006555FF">
              <w:rPr>
                <w:rFonts w:asciiTheme="minorBidi" w:eastAsia="Calibri" w:hAnsiTheme="minorBidi" w:cstheme="minorBidi"/>
                <w:sz w:val="20"/>
                <w:szCs w:val="20"/>
              </w:rPr>
              <w:t xml:space="preserve">and </w:t>
            </w:r>
            <w:r w:rsidR="00245617" w:rsidRPr="006555FF">
              <w:rPr>
                <w:rFonts w:asciiTheme="minorBidi" w:eastAsia="Calibri" w:hAnsiTheme="minorBidi" w:cstheme="minorBidi"/>
                <w:sz w:val="20"/>
                <w:szCs w:val="20"/>
              </w:rPr>
              <w:t xml:space="preserve">featuring </w:t>
            </w:r>
            <w:r w:rsidRPr="006555FF">
              <w:rPr>
                <w:rFonts w:asciiTheme="minorBidi" w:eastAsia="Calibri" w:hAnsiTheme="minorBidi" w:cstheme="minorBidi"/>
                <w:sz w:val="20"/>
                <w:szCs w:val="20"/>
              </w:rPr>
              <w:t xml:space="preserve">a celebratory </w:t>
            </w:r>
            <w:hyperlink r:id="rId91" w:history="1">
              <w:r w:rsidR="00245617" w:rsidRPr="006555FF">
                <w:rPr>
                  <w:rStyle w:val="Hyperlink"/>
                  <w:rFonts w:asciiTheme="minorBidi" w:eastAsia="Calibri" w:hAnsiTheme="minorBidi" w:cstheme="minorBidi"/>
                  <w:sz w:val="20"/>
                  <w:szCs w:val="20"/>
                </w:rPr>
                <w:t>video</w:t>
              </w:r>
            </w:hyperlink>
            <w:hyperlink r:id="rId92" w:history="1"/>
            <w:r w:rsidR="00245617" w:rsidRPr="006555FF">
              <w:rPr>
                <w:rFonts w:asciiTheme="minorBidi" w:eastAsia="Calibri" w:hAnsiTheme="minorBidi" w:cstheme="minorBidi"/>
                <w:sz w:val="20"/>
                <w:szCs w:val="20"/>
              </w:rPr>
              <w:t>.</w:t>
            </w:r>
          </w:p>
          <w:p w14:paraId="69240321" w14:textId="08D3B29E" w:rsidR="00245617" w:rsidRPr="006555FF" w:rsidRDefault="00245617" w:rsidP="00AE67DF">
            <w:pPr>
              <w:pStyle w:val="ListParagraph"/>
              <w:numPr>
                <w:ilvl w:val="0"/>
                <w:numId w:val="95"/>
              </w:numPr>
              <w:tabs>
                <w:tab w:val="clear" w:pos="567"/>
                <w:tab w:val="left" w:pos="738"/>
              </w:tabs>
              <w:spacing w:before="60" w:after="60"/>
              <w:rPr>
                <w:rFonts w:asciiTheme="minorBidi" w:eastAsia="Calibri" w:hAnsiTheme="minorBidi" w:cstheme="minorBidi"/>
                <w:sz w:val="20"/>
                <w:szCs w:val="20"/>
              </w:rPr>
            </w:pPr>
            <w:r w:rsidRPr="006555FF">
              <w:rPr>
                <w:rFonts w:asciiTheme="minorBidi" w:eastAsia="Calibri" w:hAnsiTheme="minorBidi" w:cstheme="minorBidi"/>
                <w:sz w:val="20"/>
                <w:szCs w:val="20"/>
              </w:rPr>
              <w:t xml:space="preserve">Global </w:t>
            </w:r>
            <w:hyperlink r:id="rId93" w:history="1">
              <w:r w:rsidR="00906B6C" w:rsidRPr="006555FF">
                <w:rPr>
                  <w:rStyle w:val="Hyperlink"/>
                  <w:rFonts w:asciiTheme="minorBidi" w:eastAsia="Calibri" w:hAnsiTheme="minorBidi" w:cstheme="minorBidi"/>
                  <w:sz w:val="20"/>
                  <w:szCs w:val="20"/>
                </w:rPr>
                <w:t>webinar</w:t>
              </w:r>
            </w:hyperlink>
            <w:r w:rsidR="00906B6C" w:rsidRPr="006555FF">
              <w:rPr>
                <w:rFonts w:eastAsia="Calibri"/>
              </w:rPr>
              <w:t xml:space="preserve"> </w:t>
            </w:r>
            <w:r w:rsidR="00906B6C" w:rsidRPr="006555FF">
              <w:rPr>
                <w:rFonts w:asciiTheme="minorBidi" w:eastAsia="Calibri" w:hAnsiTheme="minorBidi" w:cstheme="minorBidi"/>
                <w:sz w:val="20"/>
                <w:szCs w:val="20"/>
              </w:rPr>
              <w:t>on Artificial Intelligence and Intangible Cultural Heritage</w:t>
            </w:r>
            <w:r w:rsidRPr="006555FF">
              <w:rPr>
                <w:rFonts w:asciiTheme="minorBidi" w:eastAsia="Calibri" w:hAnsiTheme="minorBidi" w:cstheme="minorBidi"/>
                <w:sz w:val="20"/>
                <w:szCs w:val="20"/>
              </w:rPr>
              <w:t xml:space="preserve"> organized on 17 October 2024 to mark the International Day.</w:t>
            </w:r>
          </w:p>
          <w:p w14:paraId="6126BFD2" w14:textId="69A2AA8D" w:rsidR="000A7368" w:rsidRPr="006555FF" w:rsidRDefault="000A7368" w:rsidP="00AE67DF">
            <w:pPr>
              <w:pStyle w:val="ListParagraph"/>
              <w:numPr>
                <w:ilvl w:val="0"/>
                <w:numId w:val="90"/>
              </w:numPr>
              <w:spacing w:before="60" w:after="60"/>
              <w:rPr>
                <w:rFonts w:asciiTheme="minorBidi" w:eastAsia="Calibri" w:hAnsiTheme="minorBidi" w:cstheme="minorBidi"/>
                <w:sz w:val="20"/>
                <w:szCs w:val="20"/>
              </w:rPr>
            </w:pPr>
            <w:r w:rsidRPr="006555FF">
              <w:rPr>
                <w:rFonts w:asciiTheme="minorBidi" w:eastAsia="Calibri" w:hAnsiTheme="minorBidi" w:cstheme="minorBidi"/>
                <w:sz w:val="20"/>
                <w:szCs w:val="20"/>
              </w:rPr>
              <w:t xml:space="preserve">Thematic publications developed on </w:t>
            </w:r>
            <w:r w:rsidR="005A1027" w:rsidRPr="006555FF">
              <w:rPr>
                <w:rFonts w:asciiTheme="minorBidi" w:eastAsia="Calibri" w:hAnsiTheme="minorBidi" w:cstheme="minorBidi"/>
                <w:sz w:val="20"/>
                <w:szCs w:val="20"/>
              </w:rPr>
              <w:t>‘</w:t>
            </w:r>
            <w:hyperlink r:id="rId94" w:history="1">
              <w:r w:rsidRPr="006555FF">
                <w:rPr>
                  <w:rStyle w:val="Hyperlink"/>
                  <w:rFonts w:eastAsia="Calibri"/>
                  <w:sz w:val="20"/>
                  <w:szCs w:val="20"/>
                </w:rPr>
                <w:t>Celebrating the Living Heritage of the Indigenous Peoples</w:t>
              </w:r>
            </w:hyperlink>
            <w:r w:rsidR="005A1027" w:rsidRPr="006555FF">
              <w:rPr>
                <w:rFonts w:asciiTheme="minorBidi" w:eastAsia="Calibri" w:hAnsiTheme="minorBidi" w:cstheme="minorBidi"/>
                <w:sz w:val="20"/>
                <w:szCs w:val="20"/>
              </w:rPr>
              <w:t>‘</w:t>
            </w:r>
            <w:r w:rsidRPr="006555FF">
              <w:t xml:space="preserve"> </w:t>
            </w:r>
            <w:r w:rsidRPr="006555FF">
              <w:rPr>
                <w:rFonts w:asciiTheme="minorBidi" w:eastAsia="Calibri" w:hAnsiTheme="minorBidi" w:cstheme="minorBidi"/>
                <w:sz w:val="20"/>
                <w:szCs w:val="20"/>
              </w:rPr>
              <w:t>to highlight the experiences and enhance understanding of the crucial role played by Indigenous Peoples in safeguarding their living heritage as part of UNESCO</w:t>
            </w:r>
            <w:r w:rsidR="005A1027" w:rsidRPr="006555FF">
              <w:rPr>
                <w:rFonts w:asciiTheme="minorBidi" w:eastAsia="Calibri" w:hAnsiTheme="minorBidi" w:cstheme="minorBidi"/>
                <w:sz w:val="20"/>
                <w:szCs w:val="20"/>
              </w:rPr>
              <w:t>’</w:t>
            </w:r>
            <w:r w:rsidRPr="006555FF">
              <w:rPr>
                <w:rFonts w:asciiTheme="minorBidi" w:eastAsia="Calibri" w:hAnsiTheme="minorBidi" w:cstheme="minorBidi"/>
                <w:sz w:val="20"/>
                <w:szCs w:val="20"/>
              </w:rPr>
              <w:t>s actions in the framework of the International Decade of the World</w:t>
            </w:r>
            <w:r w:rsidR="005A1027" w:rsidRPr="006555FF">
              <w:rPr>
                <w:rFonts w:asciiTheme="minorBidi" w:eastAsia="Calibri" w:hAnsiTheme="minorBidi" w:cstheme="minorBidi"/>
                <w:sz w:val="20"/>
                <w:szCs w:val="20"/>
              </w:rPr>
              <w:t>’</w:t>
            </w:r>
            <w:r w:rsidRPr="006555FF">
              <w:rPr>
                <w:rFonts w:asciiTheme="minorBidi" w:eastAsia="Calibri" w:hAnsiTheme="minorBidi" w:cstheme="minorBidi"/>
                <w:sz w:val="20"/>
                <w:szCs w:val="20"/>
              </w:rPr>
              <w:t xml:space="preserve">s Indigenous Languages (2023-2033). </w:t>
            </w:r>
          </w:p>
        </w:tc>
      </w:tr>
    </w:tbl>
    <w:tbl>
      <w:tblPr>
        <w:tblpPr w:leftFromText="141" w:rightFromText="141"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9634"/>
      </w:tblGrid>
      <w:tr w:rsidR="00261CCD" w:rsidRPr="006555FF" w14:paraId="0F2A6386" w14:textId="77777777" w:rsidTr="00164236">
        <w:tc>
          <w:tcPr>
            <w:tcW w:w="9634" w:type="dxa"/>
          </w:tcPr>
          <w:p w14:paraId="64CE7C93" w14:textId="0184F390" w:rsidR="00261CCD" w:rsidRPr="006555FF" w:rsidRDefault="00261CCD" w:rsidP="006E3CFA">
            <w:pPr>
              <w:spacing w:before="60" w:after="60"/>
              <w:jc w:val="both"/>
              <w:rPr>
                <w:rFonts w:asciiTheme="minorBidi" w:eastAsia="Calibri" w:hAnsiTheme="minorBidi" w:cstheme="minorBidi"/>
                <w:b/>
                <w:bCs/>
                <w:sz w:val="20"/>
                <w:szCs w:val="20"/>
              </w:rPr>
            </w:pPr>
            <w:r w:rsidRPr="006555FF">
              <w:rPr>
                <w:rFonts w:asciiTheme="minorBidi" w:eastAsia="Calibri" w:hAnsiTheme="minorBidi" w:cstheme="minorBidi"/>
                <w:b/>
                <w:bCs/>
                <w:sz w:val="20"/>
                <w:szCs w:val="20"/>
              </w:rPr>
              <w:t>Cooperation</w:t>
            </w:r>
            <w:r w:rsidRPr="006555FF">
              <w:rPr>
                <w:rFonts w:asciiTheme="minorBidi" w:eastAsia="Calibri" w:hAnsiTheme="minorBidi" w:cstheme="minorBidi"/>
                <w:b/>
                <w:bCs/>
                <w:snapToGrid w:val="0"/>
                <w:sz w:val="20"/>
                <w:szCs w:val="20"/>
                <w:lang w:eastAsia="en-US"/>
              </w:rPr>
              <w:t xml:space="preserve"> with </w:t>
            </w:r>
            <w:r w:rsidR="003B2AFB" w:rsidRPr="006555FF">
              <w:rPr>
                <w:rFonts w:asciiTheme="minorBidi" w:eastAsia="Calibri" w:hAnsiTheme="minorBidi" w:cstheme="minorBidi"/>
                <w:b/>
                <w:bCs/>
                <w:snapToGrid w:val="0"/>
                <w:sz w:val="20"/>
                <w:szCs w:val="20"/>
                <w:lang w:eastAsia="en-US"/>
              </w:rPr>
              <w:t>accredited non-governmental organizations</w:t>
            </w:r>
            <w:r w:rsidR="00024EF3" w:rsidRPr="006555FF">
              <w:rPr>
                <w:rFonts w:asciiTheme="minorBidi" w:eastAsia="Calibri" w:hAnsiTheme="minorBidi" w:cstheme="minorBidi"/>
                <w:b/>
                <w:bCs/>
                <w:snapToGrid w:val="0"/>
                <w:sz w:val="20"/>
                <w:szCs w:val="20"/>
                <w:lang w:eastAsia="en-US"/>
              </w:rPr>
              <w:t xml:space="preserve"> (NGOs)</w:t>
            </w:r>
            <w:r w:rsidRPr="006555FF">
              <w:rPr>
                <w:rFonts w:asciiTheme="minorBidi" w:eastAsia="Calibri" w:hAnsiTheme="minorBidi" w:cstheme="minorBidi"/>
                <w:b/>
                <w:bCs/>
                <w:snapToGrid w:val="0"/>
                <w:sz w:val="20"/>
                <w:szCs w:val="20"/>
                <w:lang w:eastAsia="en-US"/>
              </w:rPr>
              <w:t xml:space="preserve"> strengthened</w:t>
            </w:r>
          </w:p>
          <w:p w14:paraId="432D9A7F" w14:textId="2075C9BA" w:rsidR="003B2AFB" w:rsidRPr="006555FF" w:rsidRDefault="003B2AFB" w:rsidP="006E3CFA">
            <w:pPr>
              <w:pStyle w:val="ListParagraph"/>
              <w:numPr>
                <w:ilvl w:val="0"/>
                <w:numId w:val="60"/>
              </w:numPr>
              <w:spacing w:before="60" w:after="60"/>
              <w:ind w:left="357" w:hanging="357"/>
              <w:rPr>
                <w:rFonts w:asciiTheme="minorBidi" w:eastAsia="Calibri" w:hAnsiTheme="minorBidi" w:cstheme="minorBidi"/>
                <w:sz w:val="20"/>
                <w:szCs w:val="20"/>
              </w:rPr>
            </w:pPr>
            <w:r w:rsidRPr="006555FF">
              <w:rPr>
                <w:sz w:val="20"/>
                <w:szCs w:val="20"/>
              </w:rPr>
              <w:t xml:space="preserve">Following the completion of the first phase of the project for mapping the domains of competencies of 60 accredited NGOs (Decision </w:t>
            </w:r>
            <w:hyperlink r:id="rId95" w:tgtFrame="_blank" w:tooltip="https://ich.unesco.org/en/decisions/14.com/15" w:history="1">
              <w:r w:rsidRPr="006555FF">
                <w:rPr>
                  <w:rStyle w:val="Hyperlink"/>
                  <w:sz w:val="20"/>
                  <w:szCs w:val="20"/>
                </w:rPr>
                <w:t>14.COM 15</w:t>
              </w:r>
            </w:hyperlink>
            <w:r w:rsidRPr="006555FF">
              <w:rPr>
                <w:sz w:val="20"/>
                <w:szCs w:val="20"/>
              </w:rPr>
              <w:t xml:space="preserve">) that are now available on the </w:t>
            </w:r>
            <w:hyperlink r:id="rId96" w:tgtFrame="_blank" w:tooltip="https://ich.unesco.org/en/accredited-ngos" w:history="1">
              <w:r w:rsidRPr="006555FF">
                <w:rPr>
                  <w:rStyle w:val="Hyperlink"/>
                  <w:sz w:val="20"/>
                  <w:szCs w:val="20"/>
                </w:rPr>
                <w:t>Convention</w:t>
              </w:r>
              <w:r w:rsidR="005A1027" w:rsidRPr="006555FF">
                <w:rPr>
                  <w:rStyle w:val="Hyperlink"/>
                  <w:sz w:val="20"/>
                  <w:szCs w:val="20"/>
                </w:rPr>
                <w:t>’</w:t>
              </w:r>
              <w:r w:rsidRPr="006555FF">
                <w:rPr>
                  <w:rStyle w:val="Hyperlink"/>
                  <w:sz w:val="20"/>
                  <w:szCs w:val="20"/>
                </w:rPr>
                <w:t>s webpage</w:t>
              </w:r>
            </w:hyperlink>
            <w:r w:rsidRPr="006555FF">
              <w:rPr>
                <w:sz w:val="20"/>
                <w:szCs w:val="20"/>
              </w:rPr>
              <w:t xml:space="preserve">, ongoing implementation of the second phase of the project that aims to produce an additional 100 profiles. </w:t>
            </w:r>
          </w:p>
          <w:p w14:paraId="2B0F9095" w14:textId="64557615" w:rsidR="00261CCD" w:rsidRPr="006555FF" w:rsidRDefault="003B2AFB" w:rsidP="00024EF3">
            <w:pPr>
              <w:pStyle w:val="ListParagraph"/>
              <w:numPr>
                <w:ilvl w:val="0"/>
                <w:numId w:val="60"/>
              </w:numPr>
              <w:spacing w:before="60" w:after="60"/>
              <w:ind w:left="357" w:hanging="357"/>
              <w:rPr>
                <w:rFonts w:eastAsia="Calibri"/>
              </w:rPr>
            </w:pPr>
            <w:r w:rsidRPr="006555FF">
              <w:rPr>
                <w:sz w:val="20"/>
                <w:szCs w:val="20"/>
              </w:rPr>
              <w:t>Collaboration with the ICH NGO Forum strengthened through regular information sharing</w:t>
            </w:r>
            <w:r w:rsidR="00024EF3" w:rsidRPr="006555FF">
              <w:rPr>
                <w:sz w:val="20"/>
                <w:szCs w:val="20"/>
              </w:rPr>
              <w:t xml:space="preserve"> including through technical meetings of the </w:t>
            </w:r>
            <w:r w:rsidR="00024EF3" w:rsidRPr="006555FF">
              <w:rPr>
                <w:rFonts w:asciiTheme="minorBidi" w:eastAsia="Calibri" w:hAnsiTheme="minorBidi" w:cstheme="minorBidi"/>
                <w:sz w:val="20"/>
                <w:szCs w:val="20"/>
              </w:rPr>
              <w:t>Working Groups established under the ICH NGO Forum</w:t>
            </w:r>
            <w:r w:rsidRPr="006555FF">
              <w:rPr>
                <w:sz w:val="20"/>
                <w:szCs w:val="20"/>
              </w:rPr>
              <w:t>, convening of joint events in the margin of Committee meetings</w:t>
            </w:r>
            <w:r w:rsidR="00024EF3" w:rsidRPr="006555FF">
              <w:rPr>
                <w:sz w:val="20"/>
                <w:szCs w:val="20"/>
              </w:rPr>
              <w:t>, as well as by facilitating the contribution of accredited NGOs to broader reflections</w:t>
            </w:r>
            <w:r w:rsidR="00E10FDE" w:rsidRPr="006555FF">
              <w:rPr>
                <w:rFonts w:asciiTheme="minorBidi" w:eastAsia="Calibri" w:hAnsiTheme="minorBidi" w:cstheme="minorBidi"/>
                <w:sz w:val="20"/>
                <w:szCs w:val="20"/>
              </w:rPr>
              <w:t>,</w:t>
            </w:r>
            <w:r w:rsidR="00261CCD" w:rsidRPr="006555FF">
              <w:rPr>
                <w:rFonts w:asciiTheme="minorBidi" w:eastAsia="Calibri" w:hAnsiTheme="minorBidi" w:cstheme="minorBidi"/>
                <w:sz w:val="20"/>
                <w:szCs w:val="20"/>
              </w:rPr>
              <w:t xml:space="preserve"> highlighting the importance contribution of the civil society in the overall reflection on synergies between the 1972 and the 2003 Convention</w:t>
            </w:r>
            <w:r w:rsidR="006761CA" w:rsidRPr="006555FF">
              <w:rPr>
                <w:rFonts w:asciiTheme="minorBidi" w:eastAsia="Calibri" w:hAnsiTheme="minorBidi" w:cstheme="minorBidi"/>
                <w:sz w:val="20"/>
                <w:szCs w:val="20"/>
              </w:rPr>
              <w:t>s</w:t>
            </w:r>
            <w:r w:rsidR="00261CCD" w:rsidRPr="006555FF">
              <w:rPr>
                <w:rFonts w:asciiTheme="minorBidi" w:eastAsia="Calibri" w:hAnsiTheme="minorBidi" w:cstheme="minorBidi"/>
                <w:sz w:val="20"/>
                <w:szCs w:val="20"/>
              </w:rPr>
              <w:t>.</w:t>
            </w:r>
          </w:p>
        </w:tc>
      </w:tr>
    </w:tbl>
    <w:p w14:paraId="6838B26A" w14:textId="77777777" w:rsidR="00261CCD" w:rsidRPr="006555FF" w:rsidRDefault="00261CCD" w:rsidP="00261CCD">
      <w:pPr>
        <w:keepNext/>
        <w:spacing w:before="240"/>
        <w:rPr>
          <w:rFonts w:ascii="Arial" w:hAnsi="Arial" w:cs="Arial"/>
          <w:b/>
          <w:szCs w:val="22"/>
        </w:rPr>
      </w:pPr>
      <w:r w:rsidRPr="006555FF">
        <w:rPr>
          <w:rFonts w:ascii="Arial" w:hAnsi="Arial" w:cs="Arial"/>
          <w:b/>
          <w:szCs w:val="22"/>
        </w:rPr>
        <w:t>Challenges and risks in implementation and remedial actions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0"/>
      </w:tblGrid>
      <w:tr w:rsidR="00261CCD" w:rsidRPr="006555FF" w14:paraId="71EAF4E9" w14:textId="77777777" w:rsidTr="00164236">
        <w:trPr>
          <w:tblHeader/>
          <w:jc w:val="center"/>
        </w:trPr>
        <w:tc>
          <w:tcPr>
            <w:tcW w:w="2500" w:type="pct"/>
            <w:shd w:val="clear" w:color="auto" w:fill="D9D9D9"/>
            <w:vAlign w:val="center"/>
          </w:tcPr>
          <w:p w14:paraId="62218930" w14:textId="77777777" w:rsidR="00261CCD" w:rsidRPr="006555FF" w:rsidRDefault="00261CCD" w:rsidP="00164236">
            <w:pPr>
              <w:keepNext/>
              <w:spacing w:before="60" w:after="60"/>
              <w:jc w:val="center"/>
              <w:rPr>
                <w:rFonts w:ascii="Arial" w:hAnsi="Arial" w:cs="Arial"/>
                <w:b/>
                <w:sz w:val="20"/>
                <w:szCs w:val="20"/>
              </w:rPr>
            </w:pPr>
            <w:r w:rsidRPr="006555FF">
              <w:rPr>
                <w:rFonts w:ascii="Arial" w:hAnsi="Arial" w:cs="Arial"/>
                <w:b/>
                <w:sz w:val="20"/>
                <w:szCs w:val="20"/>
              </w:rPr>
              <w:t>Key challenges</w:t>
            </w:r>
          </w:p>
        </w:tc>
        <w:tc>
          <w:tcPr>
            <w:tcW w:w="2500" w:type="pct"/>
            <w:shd w:val="clear" w:color="auto" w:fill="D9D9D9"/>
            <w:vAlign w:val="center"/>
          </w:tcPr>
          <w:p w14:paraId="3B98D9DE" w14:textId="77777777" w:rsidR="00261CCD" w:rsidRPr="006555FF" w:rsidRDefault="00261CCD" w:rsidP="00164236">
            <w:pPr>
              <w:keepNext/>
              <w:spacing w:before="60" w:after="60"/>
              <w:jc w:val="center"/>
              <w:rPr>
                <w:rFonts w:ascii="Arial" w:hAnsi="Arial" w:cs="Arial"/>
                <w:b/>
                <w:sz w:val="20"/>
                <w:szCs w:val="20"/>
              </w:rPr>
            </w:pPr>
            <w:r w:rsidRPr="006555FF">
              <w:rPr>
                <w:rFonts w:ascii="Arial" w:hAnsi="Arial" w:cs="Arial"/>
                <w:b/>
                <w:sz w:val="20"/>
                <w:szCs w:val="20"/>
              </w:rPr>
              <w:t>Remedial actions</w:t>
            </w:r>
          </w:p>
        </w:tc>
      </w:tr>
      <w:tr w:rsidR="00261CCD" w:rsidRPr="006555FF" w14:paraId="403DE014" w14:textId="77777777" w:rsidTr="00164236">
        <w:trPr>
          <w:jc w:val="center"/>
        </w:trPr>
        <w:tc>
          <w:tcPr>
            <w:tcW w:w="2500" w:type="pct"/>
          </w:tcPr>
          <w:p w14:paraId="68B178C3" w14:textId="03518D47" w:rsidR="00261CCD" w:rsidRPr="006555FF" w:rsidRDefault="00E43399" w:rsidP="00164236">
            <w:pPr>
              <w:spacing w:before="60" w:after="60"/>
              <w:jc w:val="both"/>
              <w:rPr>
                <w:rFonts w:asciiTheme="minorBidi" w:hAnsiTheme="minorBidi" w:cstheme="minorBidi"/>
                <w:sz w:val="20"/>
                <w:szCs w:val="20"/>
              </w:rPr>
            </w:pPr>
            <w:r w:rsidRPr="006555FF">
              <w:rPr>
                <w:rFonts w:asciiTheme="minorBidi" w:hAnsiTheme="minorBidi" w:cstheme="minorBidi"/>
                <w:sz w:val="20"/>
                <w:szCs w:val="20"/>
              </w:rPr>
              <w:t xml:space="preserve">The </w:t>
            </w:r>
            <w:r w:rsidR="00097E88" w:rsidRPr="006555FF">
              <w:rPr>
                <w:rFonts w:asciiTheme="minorBidi" w:hAnsiTheme="minorBidi" w:cstheme="minorBidi"/>
                <w:sz w:val="20"/>
                <w:szCs w:val="20"/>
              </w:rPr>
              <w:t>continued</w:t>
            </w:r>
            <w:r w:rsidRPr="006555FF">
              <w:rPr>
                <w:rFonts w:asciiTheme="minorBidi" w:hAnsiTheme="minorBidi" w:cstheme="minorBidi"/>
                <w:sz w:val="20"/>
                <w:szCs w:val="20"/>
              </w:rPr>
              <w:t xml:space="preserve"> </w:t>
            </w:r>
            <w:r w:rsidR="00097E88" w:rsidRPr="006555FF">
              <w:rPr>
                <w:rFonts w:asciiTheme="minorBidi" w:hAnsiTheme="minorBidi" w:cstheme="minorBidi"/>
                <w:sz w:val="20"/>
                <w:szCs w:val="20"/>
              </w:rPr>
              <w:t xml:space="preserve">geographical and thematic </w:t>
            </w:r>
            <w:r w:rsidRPr="006555FF">
              <w:rPr>
                <w:rFonts w:asciiTheme="minorBidi" w:hAnsiTheme="minorBidi" w:cstheme="minorBidi"/>
                <w:sz w:val="20"/>
                <w:szCs w:val="20"/>
              </w:rPr>
              <w:t>development of the Convention, demonstrated notably by new ratifications, the expansion of the thematic initiatives</w:t>
            </w:r>
            <w:r w:rsidR="00097E88" w:rsidRPr="006555FF">
              <w:rPr>
                <w:rFonts w:asciiTheme="minorBidi" w:hAnsiTheme="minorBidi" w:cstheme="minorBidi"/>
                <w:sz w:val="20"/>
                <w:szCs w:val="20"/>
              </w:rPr>
              <w:t>, the increasing number of accredited NGOs</w:t>
            </w:r>
            <w:r w:rsidRPr="006555FF">
              <w:rPr>
                <w:rFonts w:asciiTheme="minorBidi" w:hAnsiTheme="minorBidi" w:cstheme="minorBidi"/>
                <w:sz w:val="20"/>
                <w:szCs w:val="20"/>
              </w:rPr>
              <w:t xml:space="preserve"> and the growing awareness of a broader public about the Convention, require the continuous need for developing and adapting</w:t>
            </w:r>
            <w:r w:rsidR="00097E88" w:rsidRPr="006555FF">
              <w:rPr>
                <w:rFonts w:asciiTheme="minorBidi" w:hAnsiTheme="minorBidi" w:cstheme="minorBidi"/>
                <w:sz w:val="20"/>
                <w:szCs w:val="20"/>
              </w:rPr>
              <w:t xml:space="preserve"> content and</w:t>
            </w:r>
            <w:r w:rsidRPr="006555FF">
              <w:rPr>
                <w:rFonts w:asciiTheme="minorBidi" w:hAnsiTheme="minorBidi" w:cstheme="minorBidi"/>
                <w:sz w:val="20"/>
                <w:szCs w:val="20"/>
              </w:rPr>
              <w:t xml:space="preserve"> tools</w:t>
            </w:r>
            <w:r w:rsidR="00097E88" w:rsidRPr="006555FF">
              <w:rPr>
                <w:rFonts w:asciiTheme="minorBidi" w:hAnsiTheme="minorBidi" w:cstheme="minorBidi"/>
                <w:sz w:val="20"/>
                <w:szCs w:val="20"/>
              </w:rPr>
              <w:t xml:space="preserve"> in various formats</w:t>
            </w:r>
            <w:r w:rsidRPr="006555FF">
              <w:rPr>
                <w:rFonts w:asciiTheme="minorBidi" w:hAnsiTheme="minorBidi" w:cstheme="minorBidi"/>
                <w:sz w:val="20"/>
                <w:szCs w:val="20"/>
              </w:rPr>
              <w:t xml:space="preserve"> and engaging with new and changing audiences</w:t>
            </w:r>
            <w:r w:rsidR="00DA16A7" w:rsidRPr="006555FF">
              <w:rPr>
                <w:rFonts w:asciiTheme="minorBidi" w:hAnsiTheme="minorBidi" w:cstheme="minorBidi"/>
                <w:sz w:val="20"/>
                <w:szCs w:val="20"/>
              </w:rPr>
              <w:t xml:space="preserve"> with different expectations</w:t>
            </w:r>
            <w:r w:rsidRPr="006555FF">
              <w:rPr>
                <w:rFonts w:asciiTheme="minorBidi" w:hAnsiTheme="minorBidi" w:cstheme="minorBidi"/>
                <w:sz w:val="20"/>
                <w:szCs w:val="20"/>
              </w:rPr>
              <w:t>.</w:t>
            </w:r>
          </w:p>
        </w:tc>
        <w:tc>
          <w:tcPr>
            <w:tcW w:w="2500" w:type="pct"/>
          </w:tcPr>
          <w:p w14:paraId="07C4CE97" w14:textId="4E4918C5" w:rsidR="00472B44" w:rsidRPr="006555FF" w:rsidRDefault="007B63DB" w:rsidP="00472B44">
            <w:pPr>
              <w:spacing w:before="60" w:after="60"/>
              <w:jc w:val="both"/>
              <w:rPr>
                <w:rFonts w:asciiTheme="minorBidi" w:eastAsia="Calibri" w:hAnsiTheme="minorBidi" w:cstheme="minorBidi"/>
                <w:sz w:val="20"/>
                <w:szCs w:val="20"/>
              </w:rPr>
            </w:pPr>
            <w:r w:rsidRPr="006555FF">
              <w:rPr>
                <w:rFonts w:asciiTheme="minorBidi" w:eastAsia="Calibri" w:hAnsiTheme="minorBidi" w:cstheme="minorBidi"/>
                <w:sz w:val="20"/>
                <w:szCs w:val="20"/>
              </w:rPr>
              <w:t>In terms of knowledge management and awareness-raising, p</w:t>
            </w:r>
            <w:r w:rsidR="00472B44" w:rsidRPr="006555FF">
              <w:rPr>
                <w:rFonts w:asciiTheme="minorBidi" w:eastAsia="Calibri" w:hAnsiTheme="minorBidi" w:cstheme="minorBidi"/>
                <w:sz w:val="20"/>
                <w:szCs w:val="20"/>
              </w:rPr>
              <w:t xml:space="preserve">riority </w:t>
            </w:r>
            <w:r w:rsidRPr="006555FF">
              <w:rPr>
                <w:rFonts w:asciiTheme="minorBidi" w:eastAsia="Calibri" w:hAnsiTheme="minorBidi" w:cstheme="minorBidi"/>
                <w:sz w:val="20"/>
                <w:szCs w:val="20"/>
              </w:rPr>
              <w:t xml:space="preserve">continues to be </w:t>
            </w:r>
            <w:r w:rsidR="00472B44" w:rsidRPr="006555FF">
              <w:rPr>
                <w:rFonts w:asciiTheme="minorBidi" w:eastAsia="Calibri" w:hAnsiTheme="minorBidi" w:cstheme="minorBidi"/>
                <w:sz w:val="20"/>
                <w:szCs w:val="20"/>
              </w:rPr>
              <w:t xml:space="preserve">given to the ongoing adaptation and enhancement of online tools and interfaces. </w:t>
            </w:r>
            <w:r w:rsidRPr="006555FF">
              <w:rPr>
                <w:rFonts w:asciiTheme="minorBidi" w:eastAsia="Calibri" w:hAnsiTheme="minorBidi" w:cstheme="minorBidi"/>
                <w:sz w:val="20"/>
                <w:szCs w:val="20"/>
              </w:rPr>
              <w:t>In addition, new functionalities and features are introduced and piloted to enhance</w:t>
            </w:r>
            <w:r w:rsidR="00472B44" w:rsidRPr="006555FF">
              <w:rPr>
                <w:rFonts w:asciiTheme="minorBidi" w:eastAsia="Calibri" w:hAnsiTheme="minorBidi" w:cstheme="minorBidi"/>
                <w:sz w:val="20"/>
                <w:szCs w:val="20"/>
              </w:rPr>
              <w:t xml:space="preserve"> the accessibility fo</w:t>
            </w:r>
            <w:r w:rsidRPr="006555FF">
              <w:rPr>
                <w:rFonts w:asciiTheme="minorBidi" w:eastAsia="Calibri" w:hAnsiTheme="minorBidi" w:cstheme="minorBidi"/>
                <w:sz w:val="20"/>
                <w:szCs w:val="20"/>
              </w:rPr>
              <w:t>r</w:t>
            </w:r>
            <w:r w:rsidR="00472B44" w:rsidRPr="006555FF">
              <w:rPr>
                <w:rFonts w:asciiTheme="minorBidi" w:eastAsia="Calibri" w:hAnsiTheme="minorBidi" w:cstheme="minorBidi"/>
                <w:sz w:val="20"/>
                <w:szCs w:val="20"/>
              </w:rPr>
              <w:t xml:space="preserve"> the website</w:t>
            </w:r>
            <w:r w:rsidR="00EA03AB" w:rsidRPr="006555FF">
              <w:rPr>
                <w:rFonts w:asciiTheme="minorBidi" w:eastAsia="Calibri" w:hAnsiTheme="minorBidi" w:cstheme="minorBidi"/>
                <w:sz w:val="20"/>
                <w:szCs w:val="20"/>
              </w:rPr>
              <w:t xml:space="preserve">, while video materials, online tools and social media are increasingly used. </w:t>
            </w:r>
          </w:p>
          <w:p w14:paraId="516F91EC" w14:textId="125FC78F" w:rsidR="00DA16A7" w:rsidRPr="006555FF" w:rsidRDefault="00472B44" w:rsidP="00472B44">
            <w:pPr>
              <w:spacing w:before="60" w:after="60"/>
              <w:jc w:val="both"/>
              <w:rPr>
                <w:rFonts w:asciiTheme="minorBidi" w:eastAsia="Calibri" w:hAnsiTheme="minorBidi" w:cstheme="minorBidi"/>
                <w:sz w:val="20"/>
                <w:szCs w:val="20"/>
              </w:rPr>
            </w:pPr>
            <w:r w:rsidRPr="006555FF">
              <w:rPr>
                <w:rFonts w:asciiTheme="minorBidi" w:eastAsia="Calibri" w:hAnsiTheme="minorBidi" w:cstheme="minorBidi"/>
                <w:sz w:val="20"/>
                <w:szCs w:val="20"/>
              </w:rPr>
              <w:t xml:space="preserve">At the same time, cooperation is strengthened with key stakeholders (ICH NGO Forum, category 2 centres, UNESCO Chairs) </w:t>
            </w:r>
            <w:r w:rsidR="007B63DB" w:rsidRPr="006555FF">
              <w:rPr>
                <w:rFonts w:asciiTheme="minorBidi" w:eastAsia="Calibri" w:hAnsiTheme="minorBidi" w:cstheme="minorBidi"/>
                <w:sz w:val="20"/>
                <w:szCs w:val="20"/>
              </w:rPr>
              <w:t>for greater outreach</w:t>
            </w:r>
            <w:r w:rsidR="00937F73" w:rsidRPr="006555FF">
              <w:rPr>
                <w:rFonts w:asciiTheme="minorBidi" w:eastAsia="Calibri" w:hAnsiTheme="minorBidi" w:cstheme="minorBidi"/>
                <w:sz w:val="20"/>
                <w:szCs w:val="20"/>
              </w:rPr>
              <w:t>, including tapping even more efficiently in the wide range of expertise available in civil society.</w:t>
            </w:r>
          </w:p>
        </w:tc>
      </w:tr>
      <w:tr w:rsidR="00261CCD" w:rsidRPr="00AE67DF" w14:paraId="63A72CF8" w14:textId="77777777" w:rsidTr="00164236">
        <w:trPr>
          <w:jc w:val="center"/>
        </w:trPr>
        <w:tc>
          <w:tcPr>
            <w:tcW w:w="2500" w:type="pct"/>
          </w:tcPr>
          <w:p w14:paraId="0176D6C9" w14:textId="53E673FC" w:rsidR="00261CCD" w:rsidRPr="006555FF" w:rsidRDefault="004F1FCD" w:rsidP="004F1FCD">
            <w:pPr>
              <w:spacing w:before="60" w:after="60"/>
              <w:jc w:val="both"/>
              <w:rPr>
                <w:rFonts w:asciiTheme="minorBidi" w:hAnsiTheme="minorBidi" w:cstheme="minorBidi"/>
                <w:sz w:val="20"/>
                <w:szCs w:val="20"/>
              </w:rPr>
            </w:pPr>
            <w:r w:rsidRPr="006555FF">
              <w:rPr>
                <w:rFonts w:asciiTheme="minorBidi" w:hAnsiTheme="minorBidi" w:cstheme="minorBidi"/>
                <w:sz w:val="20"/>
                <w:szCs w:val="20"/>
              </w:rPr>
              <w:t xml:space="preserve">Following the </w:t>
            </w:r>
            <w:r w:rsidR="00DA16A7" w:rsidRPr="006555FF">
              <w:rPr>
                <w:rFonts w:asciiTheme="minorBidi" w:hAnsiTheme="minorBidi" w:cstheme="minorBidi"/>
                <w:sz w:val="20"/>
                <w:szCs w:val="20"/>
              </w:rPr>
              <w:t>completion of the first regional cycle of periodic reporting</w:t>
            </w:r>
            <w:r w:rsidRPr="006555FF">
              <w:rPr>
                <w:rFonts w:asciiTheme="minorBidi" w:hAnsiTheme="minorBidi" w:cstheme="minorBidi"/>
                <w:sz w:val="20"/>
                <w:szCs w:val="20"/>
              </w:rPr>
              <w:t xml:space="preserve"> by all regions</w:t>
            </w:r>
            <w:r w:rsidR="00DA16A7" w:rsidRPr="006555FF">
              <w:rPr>
                <w:rFonts w:asciiTheme="minorBidi" w:hAnsiTheme="minorBidi" w:cstheme="minorBidi"/>
                <w:sz w:val="20"/>
                <w:szCs w:val="20"/>
              </w:rPr>
              <w:t xml:space="preserve">, </w:t>
            </w:r>
            <w:r w:rsidRPr="006555FF">
              <w:rPr>
                <w:rFonts w:asciiTheme="minorBidi" w:hAnsiTheme="minorBidi" w:cstheme="minorBidi"/>
                <w:sz w:val="20"/>
                <w:szCs w:val="20"/>
              </w:rPr>
              <w:t xml:space="preserve">the coming transition to a single global submission system for periodic reporting have raised questions about the implications for future reporting cycles and the engagement of different stakeholders in the process (see document </w:t>
            </w:r>
            <w:hyperlink r:id="rId97" w:history="1">
              <w:r w:rsidRPr="006555FF">
                <w:rPr>
                  <w:rStyle w:val="Hyperlink"/>
                  <w:rFonts w:asciiTheme="minorBidi" w:hAnsiTheme="minorBidi" w:cstheme="minorBidi"/>
                </w:rPr>
                <w:t>LHE/25/20.COM/6.c</w:t>
              </w:r>
            </w:hyperlink>
            <w:r w:rsidRPr="006555FF">
              <w:rPr>
                <w:rFonts w:asciiTheme="minorBidi" w:hAnsiTheme="minorBidi" w:cstheme="minorBidi"/>
                <w:sz w:val="20"/>
                <w:szCs w:val="20"/>
              </w:rPr>
              <w:t>).</w:t>
            </w:r>
          </w:p>
        </w:tc>
        <w:tc>
          <w:tcPr>
            <w:tcW w:w="2500" w:type="pct"/>
          </w:tcPr>
          <w:p w14:paraId="471AA134" w14:textId="37C4BCD5" w:rsidR="00261CCD" w:rsidRPr="00AE67DF" w:rsidRDefault="00261CCD" w:rsidP="00164236">
            <w:pPr>
              <w:spacing w:before="60" w:after="60"/>
              <w:jc w:val="both"/>
              <w:rPr>
                <w:rFonts w:asciiTheme="minorBidi" w:hAnsiTheme="minorBidi" w:cstheme="minorBidi"/>
                <w:sz w:val="20"/>
                <w:szCs w:val="20"/>
              </w:rPr>
            </w:pPr>
            <w:r w:rsidRPr="006555FF">
              <w:rPr>
                <w:rFonts w:asciiTheme="minorBidi" w:hAnsiTheme="minorBidi" w:cstheme="minorBidi"/>
                <w:sz w:val="20"/>
                <w:szCs w:val="20"/>
              </w:rPr>
              <w:t>In preparation for the reflection year</w:t>
            </w:r>
            <w:r w:rsidR="004F1FCD" w:rsidRPr="006555FF">
              <w:rPr>
                <w:rFonts w:asciiTheme="minorBidi" w:hAnsiTheme="minorBidi" w:cstheme="minorBidi"/>
                <w:sz w:val="20"/>
                <w:szCs w:val="20"/>
              </w:rPr>
              <w:t xml:space="preserve"> in 2026</w:t>
            </w:r>
            <w:r w:rsidRPr="006555FF">
              <w:rPr>
                <w:rFonts w:asciiTheme="minorBidi" w:hAnsiTheme="minorBidi" w:cstheme="minorBidi"/>
                <w:sz w:val="20"/>
                <w:szCs w:val="20"/>
              </w:rPr>
              <w:t xml:space="preserve">, a broad participatory approach </w:t>
            </w:r>
            <w:r w:rsidR="004F1FCD" w:rsidRPr="006555FF">
              <w:rPr>
                <w:rFonts w:asciiTheme="minorBidi" w:hAnsiTheme="minorBidi" w:cstheme="minorBidi"/>
                <w:sz w:val="20"/>
                <w:szCs w:val="20"/>
              </w:rPr>
              <w:t>is being planned</w:t>
            </w:r>
            <w:r w:rsidRPr="006555FF">
              <w:rPr>
                <w:rFonts w:asciiTheme="minorBidi" w:hAnsiTheme="minorBidi" w:cstheme="minorBidi"/>
                <w:sz w:val="20"/>
                <w:szCs w:val="20"/>
              </w:rPr>
              <w:t xml:space="preserve"> to engage key periodic reporting stakeholders in taking stock of and assessing lessons learned from the regional reporting cycle. This process is intended to facilitate joint reflection on improvements </w:t>
            </w:r>
            <w:r w:rsidR="006761CA" w:rsidRPr="006555FF">
              <w:rPr>
                <w:rFonts w:asciiTheme="minorBidi" w:hAnsiTheme="minorBidi" w:cstheme="minorBidi"/>
                <w:sz w:val="20"/>
                <w:szCs w:val="20"/>
              </w:rPr>
              <w:t>to be made</w:t>
            </w:r>
            <w:r w:rsidRPr="006555FF">
              <w:rPr>
                <w:rFonts w:asciiTheme="minorBidi" w:hAnsiTheme="minorBidi" w:cstheme="minorBidi"/>
                <w:sz w:val="20"/>
                <w:szCs w:val="20"/>
              </w:rPr>
              <w:t>.</w:t>
            </w:r>
          </w:p>
        </w:tc>
      </w:tr>
      <w:bookmarkEnd w:id="14"/>
    </w:tbl>
    <w:p w14:paraId="7B0E2E86" w14:textId="26016E8D" w:rsidR="00854D4B" w:rsidRPr="00AE67DF" w:rsidRDefault="00854D4B" w:rsidP="00E111FA">
      <w:pPr>
        <w:spacing w:after="0"/>
        <w:rPr>
          <w:rFonts w:ascii="Arial" w:hAnsi="Arial" w:cs="Arial"/>
          <w:snapToGrid w:val="0"/>
          <w:szCs w:val="22"/>
          <w:lang w:eastAsia="en-US"/>
        </w:rPr>
      </w:pPr>
    </w:p>
    <w:sectPr w:rsidR="00854D4B" w:rsidRPr="00AE67DF" w:rsidSect="0026268A">
      <w:pgSz w:w="11906" w:h="16838" w:code="9"/>
      <w:pgMar w:top="1418"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AB12F" w14:textId="77777777" w:rsidR="00CE7230" w:rsidRDefault="00CE7230" w:rsidP="002938F2">
      <w:r>
        <w:separator/>
      </w:r>
    </w:p>
    <w:p w14:paraId="7F8C3043" w14:textId="77777777" w:rsidR="00CE7230" w:rsidRDefault="00CE7230"/>
  </w:endnote>
  <w:endnote w:type="continuationSeparator" w:id="0">
    <w:p w14:paraId="514A6601" w14:textId="77777777" w:rsidR="00CE7230" w:rsidRDefault="00CE7230" w:rsidP="002938F2">
      <w:r>
        <w:continuationSeparator/>
      </w:r>
    </w:p>
    <w:p w14:paraId="2E3820B6" w14:textId="77777777" w:rsidR="00CE7230" w:rsidRDefault="00CE7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39CD" w14:textId="77777777" w:rsidR="00CE7230" w:rsidRDefault="00CE7230" w:rsidP="002938F2">
      <w:r>
        <w:separator/>
      </w:r>
    </w:p>
  </w:footnote>
  <w:footnote w:type="continuationSeparator" w:id="0">
    <w:p w14:paraId="7E9F2202" w14:textId="77777777" w:rsidR="00CE7230" w:rsidRDefault="00CE7230" w:rsidP="002938F2">
      <w:r>
        <w:continuationSeparator/>
      </w:r>
    </w:p>
  </w:footnote>
  <w:footnote w:type="continuationNotice" w:id="1">
    <w:p w14:paraId="63DE7BC4" w14:textId="77777777" w:rsidR="00CE7230" w:rsidRPr="00DC79A5" w:rsidRDefault="00CE7230" w:rsidP="006E3CFA">
      <w:pPr>
        <w:pStyle w:val="Footer"/>
      </w:pPr>
    </w:p>
  </w:footnote>
  <w:footnote w:id="2">
    <w:p w14:paraId="76E7DC55" w14:textId="09B34620" w:rsidR="00BD28DA" w:rsidRPr="002C3F72" w:rsidRDefault="00BD28DA" w:rsidP="006E3CFA">
      <w:pPr>
        <w:pStyle w:val="FootnoteText"/>
        <w:jc w:val="both"/>
        <w:rPr>
          <w:rFonts w:asciiTheme="minorBidi" w:hAnsiTheme="minorBidi" w:cstheme="minorBidi"/>
          <w:sz w:val="18"/>
          <w:szCs w:val="18"/>
          <w:lang w:val="en-US"/>
        </w:rPr>
      </w:pPr>
      <w:r w:rsidRPr="002C3F72">
        <w:rPr>
          <w:rStyle w:val="FootnoteReference"/>
          <w:rFonts w:asciiTheme="minorBidi" w:hAnsiTheme="minorBidi" w:cstheme="minorBidi"/>
          <w:sz w:val="18"/>
          <w:szCs w:val="18"/>
        </w:rPr>
        <w:footnoteRef/>
      </w:r>
      <w:r w:rsidRPr="002C3F72">
        <w:rPr>
          <w:rFonts w:asciiTheme="minorBidi" w:hAnsiTheme="minorBidi" w:cstheme="minorBidi"/>
          <w:sz w:val="18"/>
          <w:szCs w:val="18"/>
        </w:rPr>
        <w:t xml:space="preserve"> Figures have been rounded as compared to Annexes I and II, pages </w:t>
      </w:r>
      <w:r w:rsidR="002C3F72" w:rsidRPr="00AE67DF">
        <w:rPr>
          <w:rFonts w:asciiTheme="minorBidi" w:hAnsiTheme="minorBidi" w:cstheme="minorBidi"/>
          <w:sz w:val="18"/>
          <w:szCs w:val="18"/>
        </w:rPr>
        <w:t>6</w:t>
      </w:r>
      <w:r w:rsidRPr="00AE67DF">
        <w:rPr>
          <w:rFonts w:asciiTheme="minorBidi" w:hAnsiTheme="minorBidi" w:cstheme="minorBidi"/>
          <w:sz w:val="18"/>
          <w:szCs w:val="18"/>
        </w:rPr>
        <w:t xml:space="preserve"> – </w:t>
      </w:r>
      <w:r w:rsidR="002C3F72" w:rsidRPr="00AE67DF">
        <w:rPr>
          <w:rFonts w:asciiTheme="minorBidi" w:hAnsiTheme="minorBidi" w:cstheme="minorBidi"/>
          <w:sz w:val="18"/>
          <w:szCs w:val="18"/>
        </w:rPr>
        <w:t>8</w:t>
      </w:r>
      <w:r w:rsidRPr="00AE67DF">
        <w:rPr>
          <w:rFonts w:asciiTheme="minorBidi" w:hAnsiTheme="minorBidi" w:cstheme="minorBidi"/>
          <w:sz w:val="18"/>
          <w:szCs w:val="18"/>
        </w:rPr>
        <w:t>.</w:t>
      </w:r>
      <w:r w:rsidRPr="002C3F72">
        <w:rPr>
          <w:rFonts w:asciiTheme="minorBidi" w:hAnsiTheme="minorBidi" w:cstheme="minorBidi"/>
          <w:sz w:val="18"/>
          <w:szCs w:val="18"/>
        </w:rPr>
        <w:t xml:space="preserve"> </w:t>
      </w:r>
    </w:p>
  </w:footnote>
  <w:footnote w:id="3">
    <w:p w14:paraId="658E274E" w14:textId="01C9C884" w:rsidR="000A7235" w:rsidRPr="002C3F72" w:rsidRDefault="000A7235" w:rsidP="00440048">
      <w:pPr>
        <w:pStyle w:val="FootnoteText"/>
        <w:ind w:left="142" w:hanging="142"/>
        <w:jc w:val="both"/>
        <w:rPr>
          <w:rFonts w:asciiTheme="minorBidi" w:hAnsiTheme="minorBidi" w:cstheme="minorBidi"/>
          <w:sz w:val="18"/>
          <w:szCs w:val="18"/>
        </w:rPr>
      </w:pPr>
      <w:r w:rsidRPr="002C3F72">
        <w:rPr>
          <w:rStyle w:val="FootnoteReference"/>
          <w:rFonts w:asciiTheme="minorBidi" w:eastAsia="Calibri" w:hAnsiTheme="minorBidi" w:cstheme="minorBidi"/>
          <w:sz w:val="18"/>
          <w:szCs w:val="18"/>
          <w:lang w:eastAsia="en-US"/>
        </w:rPr>
        <w:footnoteRef/>
      </w:r>
      <w:r w:rsidR="006552DF" w:rsidRPr="002C3F72">
        <w:rPr>
          <w:rFonts w:asciiTheme="minorBidi" w:eastAsia="Calibri" w:hAnsiTheme="minorBidi" w:cstheme="minorBidi"/>
          <w:sz w:val="18"/>
          <w:szCs w:val="18"/>
          <w:lang w:eastAsia="en-US"/>
        </w:rPr>
        <w:t xml:space="preserve"> </w:t>
      </w:r>
      <w:r w:rsidRPr="002C3F72">
        <w:rPr>
          <w:rFonts w:asciiTheme="minorBidi" w:eastAsia="Calibri" w:hAnsiTheme="minorBidi" w:cstheme="minorBidi"/>
          <w:sz w:val="18"/>
          <w:szCs w:val="18"/>
          <w:lang w:eastAsia="en-US"/>
        </w:rPr>
        <w:t xml:space="preserve">In </w:t>
      </w:r>
      <w:r w:rsidRPr="002C3F72">
        <w:rPr>
          <w:rFonts w:asciiTheme="minorBidi" w:hAnsiTheme="minorBidi" w:cstheme="minorBidi"/>
          <w:sz w:val="18"/>
          <w:szCs w:val="18"/>
        </w:rPr>
        <w:t>Financial Statement I (</w:t>
      </w:r>
      <w:hyperlink w:anchor="Annex1" w:history="1">
        <w:r w:rsidRPr="002C3F72">
          <w:rPr>
            <w:rStyle w:val="Hyperlink"/>
            <w:rFonts w:asciiTheme="minorBidi" w:hAnsiTheme="minorBidi" w:cstheme="minorBidi"/>
            <w:sz w:val="18"/>
            <w:szCs w:val="18"/>
          </w:rPr>
          <w:t>Annex I</w:t>
        </w:r>
      </w:hyperlink>
      <w:r w:rsidRPr="002C3F72">
        <w:rPr>
          <w:rFonts w:asciiTheme="minorBidi" w:hAnsiTheme="minorBidi" w:cstheme="minorBidi"/>
          <w:sz w:val="18"/>
          <w:szCs w:val="18"/>
        </w:rPr>
        <w:t>), the assessed compulsory contributions for the period 202</w:t>
      </w:r>
      <w:r w:rsidR="006C608D" w:rsidRPr="002C3F72">
        <w:rPr>
          <w:rFonts w:asciiTheme="minorBidi" w:hAnsiTheme="minorBidi" w:cstheme="minorBidi"/>
          <w:sz w:val="18"/>
          <w:szCs w:val="18"/>
        </w:rPr>
        <w:t>4</w:t>
      </w:r>
      <w:r w:rsidR="002D7412" w:rsidRPr="002C3F72">
        <w:rPr>
          <w:rFonts w:asciiTheme="minorBidi" w:hAnsiTheme="minorBidi" w:cstheme="minorBidi"/>
          <w:sz w:val="18"/>
          <w:szCs w:val="18"/>
        </w:rPr>
        <w:t>-</w:t>
      </w:r>
      <w:r w:rsidRPr="002C3F72">
        <w:rPr>
          <w:rFonts w:asciiTheme="minorBidi" w:hAnsiTheme="minorBidi" w:cstheme="minorBidi"/>
          <w:sz w:val="18"/>
          <w:szCs w:val="18"/>
        </w:rPr>
        <w:t>202</w:t>
      </w:r>
      <w:r w:rsidR="006C608D" w:rsidRPr="002C3F72">
        <w:rPr>
          <w:rFonts w:asciiTheme="minorBidi" w:hAnsiTheme="minorBidi" w:cstheme="minorBidi"/>
          <w:sz w:val="18"/>
          <w:szCs w:val="18"/>
        </w:rPr>
        <w:t>5</w:t>
      </w:r>
      <w:r w:rsidRPr="002C3F72">
        <w:rPr>
          <w:rFonts w:asciiTheme="minorBidi" w:hAnsiTheme="minorBidi" w:cstheme="minorBidi"/>
          <w:sz w:val="18"/>
          <w:szCs w:val="18"/>
        </w:rPr>
        <w:t xml:space="preserve"> are shown as income, whether they have been received or not. As at 30 June 202</w:t>
      </w:r>
      <w:r w:rsidR="006C608D" w:rsidRPr="002C3F72">
        <w:rPr>
          <w:rFonts w:asciiTheme="minorBidi" w:hAnsiTheme="minorBidi" w:cstheme="minorBidi"/>
          <w:sz w:val="18"/>
          <w:szCs w:val="18"/>
        </w:rPr>
        <w:t>5</w:t>
      </w:r>
      <w:r w:rsidRPr="002C3F72">
        <w:rPr>
          <w:rFonts w:asciiTheme="minorBidi" w:hAnsiTheme="minorBidi" w:cstheme="minorBidi"/>
          <w:sz w:val="18"/>
          <w:szCs w:val="18"/>
        </w:rPr>
        <w:t>, the total unpaid balance of assessed contributions</w:t>
      </w:r>
      <w:r w:rsidR="00025423" w:rsidRPr="002C3F72">
        <w:rPr>
          <w:rFonts w:asciiTheme="minorBidi" w:hAnsiTheme="minorBidi" w:cstheme="minorBidi"/>
          <w:sz w:val="18"/>
          <w:szCs w:val="18"/>
        </w:rPr>
        <w:t xml:space="preserve"> (US$ 1.5 million)</w:t>
      </w:r>
      <w:r w:rsidRPr="002C3F72">
        <w:rPr>
          <w:rFonts w:asciiTheme="minorBidi" w:hAnsiTheme="minorBidi" w:cstheme="minorBidi"/>
          <w:sz w:val="18"/>
          <w:szCs w:val="18"/>
        </w:rPr>
        <w:t xml:space="preserve"> represented the equivalent of </w:t>
      </w:r>
      <w:r w:rsidR="004E7EFF" w:rsidRPr="002C3F72">
        <w:rPr>
          <w:rFonts w:asciiTheme="minorBidi" w:hAnsiTheme="minorBidi" w:cstheme="minorBidi"/>
          <w:sz w:val="18"/>
          <w:szCs w:val="18"/>
        </w:rPr>
        <w:t>36</w:t>
      </w:r>
      <w:r w:rsidRPr="002C3F72">
        <w:rPr>
          <w:rFonts w:asciiTheme="minorBidi" w:hAnsiTheme="minorBidi" w:cstheme="minorBidi"/>
          <w:sz w:val="18"/>
          <w:szCs w:val="18"/>
        </w:rPr>
        <w:t xml:space="preserve">% of </w:t>
      </w:r>
      <w:r w:rsidR="00025423" w:rsidRPr="002C3F72">
        <w:rPr>
          <w:rFonts w:asciiTheme="minorBidi" w:hAnsiTheme="minorBidi" w:cstheme="minorBidi"/>
          <w:sz w:val="18"/>
          <w:szCs w:val="18"/>
        </w:rPr>
        <w:t xml:space="preserve">the </w:t>
      </w:r>
      <w:r w:rsidRPr="002C3F72">
        <w:rPr>
          <w:rFonts w:asciiTheme="minorBidi" w:hAnsiTheme="minorBidi" w:cstheme="minorBidi"/>
          <w:sz w:val="18"/>
          <w:szCs w:val="18"/>
        </w:rPr>
        <w:t>compulsory contributions</w:t>
      </w:r>
      <w:r w:rsidR="00025423" w:rsidRPr="002C3F72">
        <w:rPr>
          <w:rFonts w:asciiTheme="minorBidi" w:hAnsiTheme="minorBidi" w:cstheme="minorBidi"/>
          <w:sz w:val="18"/>
          <w:szCs w:val="18"/>
        </w:rPr>
        <w:t xml:space="preserve"> assessed for 2024-2025 (US$ 4.2 million)</w:t>
      </w:r>
      <w:r w:rsidRPr="002C3F72">
        <w:rPr>
          <w:rFonts w:asciiTheme="minorBidi" w:hAnsiTheme="minorBidi" w:cstheme="minorBidi"/>
          <w:sz w:val="18"/>
          <w:szCs w:val="18"/>
        </w:rPr>
        <w:t xml:space="preserve">. Detailed account of assessed contributions received from each State Party is available in the </w:t>
      </w:r>
      <w:hyperlink r:id="rId1" w:history="1">
        <w:r w:rsidRPr="002C3F72">
          <w:rPr>
            <w:rStyle w:val="Hyperlink"/>
            <w:rFonts w:asciiTheme="minorBidi" w:hAnsiTheme="minorBidi" w:cstheme="minorBidi"/>
            <w:sz w:val="18"/>
            <w:szCs w:val="18"/>
          </w:rPr>
          <w:t>Statement of assessed contributions for the period 1 January 202</w:t>
        </w:r>
        <w:r w:rsidR="005D4BC1" w:rsidRPr="002C3F72">
          <w:rPr>
            <w:rStyle w:val="Hyperlink"/>
            <w:rFonts w:asciiTheme="minorBidi" w:hAnsiTheme="minorBidi" w:cstheme="minorBidi"/>
            <w:sz w:val="18"/>
            <w:szCs w:val="18"/>
          </w:rPr>
          <w:t>4</w:t>
        </w:r>
        <w:r w:rsidRPr="002C3F72">
          <w:rPr>
            <w:rStyle w:val="Hyperlink"/>
            <w:rFonts w:asciiTheme="minorBidi" w:hAnsiTheme="minorBidi" w:cstheme="minorBidi"/>
            <w:sz w:val="18"/>
            <w:szCs w:val="18"/>
          </w:rPr>
          <w:t xml:space="preserve"> to 30 June 202</w:t>
        </w:r>
        <w:r w:rsidR="005D4BC1" w:rsidRPr="002C3F72">
          <w:rPr>
            <w:rStyle w:val="Hyperlink"/>
            <w:rFonts w:asciiTheme="minorBidi" w:hAnsiTheme="minorBidi" w:cstheme="minorBidi"/>
            <w:sz w:val="18"/>
            <w:szCs w:val="18"/>
          </w:rPr>
          <w:t>5</w:t>
        </w:r>
      </w:hyperlink>
      <w:r w:rsidRPr="002C3F72">
        <w:rPr>
          <w:rFonts w:asciiTheme="minorBidi" w:hAnsiTheme="minorBidi" w:cstheme="minorBidi"/>
          <w:sz w:val="18"/>
          <w:szCs w:val="18"/>
        </w:rPr>
        <w:t>.</w:t>
      </w:r>
    </w:p>
  </w:footnote>
  <w:footnote w:id="4">
    <w:p w14:paraId="5CF113BF" w14:textId="3A888E2A" w:rsidR="00AE7F36" w:rsidRPr="002C3F72" w:rsidRDefault="00AE7F36" w:rsidP="00AE67DF">
      <w:pPr>
        <w:pStyle w:val="FootnoteText"/>
        <w:ind w:left="142" w:hanging="142"/>
        <w:jc w:val="both"/>
        <w:rPr>
          <w:rFonts w:asciiTheme="minorBidi" w:hAnsiTheme="minorBidi" w:cstheme="minorBidi"/>
          <w:sz w:val="18"/>
          <w:szCs w:val="18"/>
        </w:rPr>
      </w:pPr>
      <w:r w:rsidRPr="002C3F72">
        <w:rPr>
          <w:rStyle w:val="FootnoteReference"/>
          <w:rFonts w:asciiTheme="minorBidi" w:hAnsiTheme="minorBidi" w:cstheme="minorBidi"/>
          <w:sz w:val="18"/>
          <w:szCs w:val="18"/>
        </w:rPr>
        <w:footnoteRef/>
      </w:r>
      <w:r w:rsidRPr="002C3F72">
        <w:rPr>
          <w:rFonts w:asciiTheme="minorBidi" w:hAnsiTheme="minorBidi" w:cstheme="minorBidi"/>
          <w:sz w:val="18"/>
          <w:szCs w:val="18"/>
        </w:rPr>
        <w:t xml:space="preserve"> Angola, </w:t>
      </w:r>
      <w:r w:rsidRPr="002C3F72">
        <w:rPr>
          <w:rFonts w:asciiTheme="minorBidi" w:hAnsiTheme="minorBidi" w:cstheme="minorBidi"/>
          <w:sz w:val="18"/>
          <w:szCs w:val="18"/>
          <w:lang w:val="en-US"/>
        </w:rPr>
        <w:t>Antigua and Barbuda, the Bahamas, Bangladesh, Belize</w:t>
      </w:r>
      <w:r w:rsidR="00077D4D" w:rsidRPr="002C3F72">
        <w:rPr>
          <w:rFonts w:asciiTheme="minorBidi" w:hAnsiTheme="minorBidi" w:cstheme="minorBidi"/>
          <w:sz w:val="18"/>
          <w:szCs w:val="18"/>
          <w:lang w:val="en-US"/>
        </w:rPr>
        <w:t>*</w:t>
      </w:r>
      <w:r w:rsidRPr="002C3F72">
        <w:rPr>
          <w:rFonts w:asciiTheme="minorBidi" w:hAnsiTheme="minorBidi" w:cstheme="minorBidi"/>
          <w:sz w:val="18"/>
          <w:szCs w:val="18"/>
          <w:lang w:val="en-US"/>
        </w:rPr>
        <w:t>, Cameroon, Central African Republic,</w:t>
      </w:r>
      <w:r w:rsidRPr="002C3F72">
        <w:rPr>
          <w:rFonts w:asciiTheme="minorBidi" w:hAnsiTheme="minorBidi" w:cstheme="minorBidi"/>
          <w:sz w:val="18"/>
          <w:szCs w:val="18"/>
        </w:rPr>
        <w:t xml:space="preserve"> </w:t>
      </w:r>
      <w:r w:rsidRPr="002C3F72">
        <w:rPr>
          <w:rFonts w:asciiTheme="minorBidi" w:hAnsiTheme="minorBidi" w:cstheme="minorBidi"/>
          <w:sz w:val="18"/>
          <w:szCs w:val="18"/>
          <w:lang w:val="en-US"/>
        </w:rPr>
        <w:t>Dominican Republic</w:t>
      </w:r>
      <w:r w:rsidR="00077D4D" w:rsidRPr="002C3F72">
        <w:rPr>
          <w:rFonts w:asciiTheme="minorBidi" w:hAnsiTheme="minorBidi" w:cstheme="minorBidi"/>
          <w:sz w:val="18"/>
          <w:szCs w:val="18"/>
          <w:lang w:val="en-US"/>
        </w:rPr>
        <w:t>*</w:t>
      </w:r>
      <w:r w:rsidRPr="002C3F72">
        <w:rPr>
          <w:rFonts w:asciiTheme="minorBidi" w:hAnsiTheme="minorBidi" w:cstheme="minorBidi"/>
          <w:sz w:val="18"/>
          <w:szCs w:val="18"/>
          <w:lang w:val="en-US"/>
        </w:rPr>
        <w:t>, Equatorial Guinea, Gambia, Hungary, Kazakhstan, Paraguay, Sao Tom</w:t>
      </w:r>
      <w:r w:rsidR="00F23551" w:rsidRPr="002C3F72">
        <w:rPr>
          <w:rFonts w:asciiTheme="minorBidi" w:hAnsiTheme="minorBidi" w:cstheme="minorBidi"/>
          <w:sz w:val="18"/>
          <w:szCs w:val="18"/>
          <w:lang w:val="en-US"/>
        </w:rPr>
        <w:t xml:space="preserve">e </w:t>
      </w:r>
      <w:r w:rsidRPr="002C3F72">
        <w:rPr>
          <w:rFonts w:asciiTheme="minorBidi" w:hAnsiTheme="minorBidi" w:cstheme="minorBidi"/>
          <w:sz w:val="18"/>
          <w:szCs w:val="18"/>
          <w:lang w:val="en-US"/>
        </w:rPr>
        <w:t>and Principe, South Sudan, Thailand and Uzbekistan</w:t>
      </w:r>
      <w:r w:rsidR="00077D4D" w:rsidRPr="002C3F72">
        <w:rPr>
          <w:rFonts w:asciiTheme="minorBidi" w:hAnsiTheme="minorBidi" w:cstheme="minorBidi"/>
          <w:sz w:val="18"/>
          <w:szCs w:val="18"/>
          <w:lang w:val="en-US"/>
        </w:rPr>
        <w:t xml:space="preserve"> (* States having previously benefitted from International Assistance through a multinational request)</w:t>
      </w:r>
      <w:r w:rsidR="006F5A33" w:rsidRPr="002C3F72">
        <w:rPr>
          <w:rFonts w:asciiTheme="minorBidi" w:hAnsiTheme="minorBidi" w:cstheme="minorBidi"/>
          <w:sz w:val="18"/>
          <w:szCs w:val="18"/>
          <w:lang w:val="en-US"/>
        </w:rPr>
        <w:t>.</w:t>
      </w:r>
    </w:p>
  </w:footnote>
  <w:footnote w:id="5">
    <w:p w14:paraId="74800053" w14:textId="351E2527" w:rsidR="005760AB" w:rsidRPr="002C3F72" w:rsidRDefault="005760AB" w:rsidP="00AE67DF">
      <w:pPr>
        <w:pStyle w:val="FootnoteText"/>
        <w:ind w:left="142" w:hanging="142"/>
        <w:jc w:val="both"/>
        <w:rPr>
          <w:rFonts w:asciiTheme="minorBidi" w:hAnsiTheme="minorBidi" w:cstheme="minorBidi"/>
          <w:sz w:val="18"/>
          <w:szCs w:val="18"/>
        </w:rPr>
      </w:pPr>
      <w:r w:rsidRPr="002C3F72">
        <w:rPr>
          <w:rStyle w:val="FootnoteReference"/>
          <w:rFonts w:asciiTheme="minorBidi" w:hAnsiTheme="minorBidi" w:cstheme="minorBidi"/>
          <w:sz w:val="18"/>
          <w:szCs w:val="18"/>
        </w:rPr>
        <w:footnoteRef/>
      </w:r>
      <w:r w:rsidRPr="002C3F72">
        <w:rPr>
          <w:rFonts w:asciiTheme="minorBidi" w:hAnsiTheme="minorBidi" w:cstheme="minorBidi"/>
          <w:sz w:val="18"/>
          <w:szCs w:val="18"/>
        </w:rPr>
        <w:t xml:space="preserve"> Lao People</w:t>
      </w:r>
      <w:r w:rsidR="005A1027" w:rsidRPr="002C3F72">
        <w:rPr>
          <w:rFonts w:asciiTheme="minorBidi" w:hAnsiTheme="minorBidi" w:cstheme="minorBidi"/>
          <w:sz w:val="18"/>
          <w:szCs w:val="18"/>
        </w:rPr>
        <w:t>’</w:t>
      </w:r>
      <w:r w:rsidRPr="002C3F72">
        <w:rPr>
          <w:rFonts w:asciiTheme="minorBidi" w:hAnsiTheme="minorBidi" w:cstheme="minorBidi"/>
          <w:sz w:val="18"/>
          <w:szCs w:val="18"/>
        </w:rPr>
        <w:t>s Democratic Republic</w:t>
      </w:r>
      <w:r w:rsidR="00DC13D3" w:rsidRPr="002C3F72">
        <w:rPr>
          <w:rFonts w:asciiTheme="minorBidi" w:hAnsiTheme="minorBidi" w:cstheme="minorBidi"/>
          <w:sz w:val="18"/>
          <w:szCs w:val="18"/>
        </w:rPr>
        <w:t xml:space="preserve"> (Decision </w:t>
      </w:r>
      <w:hyperlink r:id="rId2" w:history="1">
        <w:r w:rsidR="00DC13D3" w:rsidRPr="002C3F72">
          <w:rPr>
            <w:rStyle w:val="Hyperlink"/>
            <w:rFonts w:asciiTheme="minorBidi" w:hAnsiTheme="minorBidi" w:cstheme="minorBidi"/>
            <w:sz w:val="18"/>
            <w:szCs w:val="18"/>
          </w:rPr>
          <w:t>14.COM 2.BUR 5.3</w:t>
        </w:r>
      </w:hyperlink>
      <w:r w:rsidR="00DC13D3" w:rsidRPr="002C3F72">
        <w:rPr>
          <w:rFonts w:asciiTheme="minorBidi" w:hAnsiTheme="minorBidi" w:cstheme="minorBidi"/>
          <w:sz w:val="18"/>
          <w:szCs w:val="18"/>
        </w:rPr>
        <w:t xml:space="preserve">) and </w:t>
      </w:r>
      <w:r w:rsidRPr="002C3F72">
        <w:rPr>
          <w:rFonts w:asciiTheme="minorBidi" w:hAnsiTheme="minorBidi" w:cstheme="minorBidi"/>
          <w:sz w:val="18"/>
          <w:szCs w:val="18"/>
        </w:rPr>
        <w:t>Tonga</w:t>
      </w:r>
      <w:r w:rsidR="00DC13D3" w:rsidRPr="002C3F72">
        <w:rPr>
          <w:rFonts w:asciiTheme="minorBidi" w:hAnsiTheme="minorBidi" w:cstheme="minorBidi"/>
          <w:sz w:val="18"/>
          <w:szCs w:val="18"/>
        </w:rPr>
        <w:t xml:space="preserve"> (Decision</w:t>
      </w:r>
      <w:r w:rsidR="00DC13D3" w:rsidRPr="00AE67DF">
        <w:rPr>
          <w:rFonts w:asciiTheme="minorBidi" w:hAnsiTheme="minorBidi" w:cstheme="minorBidi"/>
          <w:sz w:val="18"/>
          <w:szCs w:val="18"/>
        </w:rPr>
        <w:t xml:space="preserve"> </w:t>
      </w:r>
      <w:hyperlink r:id="rId3" w:history="1">
        <w:r w:rsidR="00DC13D3" w:rsidRPr="002C3F72">
          <w:rPr>
            <w:rStyle w:val="Hyperlink"/>
            <w:rFonts w:asciiTheme="minorBidi" w:hAnsiTheme="minorBidi" w:cstheme="minorBidi"/>
            <w:sz w:val="18"/>
            <w:szCs w:val="18"/>
          </w:rPr>
          <w:t>13.COM 2.BUR 4.6</w:t>
        </w:r>
      </w:hyperlink>
      <w:r w:rsidR="00DC13D3" w:rsidRPr="002C3F72">
        <w:rPr>
          <w:rFonts w:asciiTheme="minorBidi" w:hAnsiTheme="minorBidi" w:cstheme="minorBidi"/>
          <w:sz w:val="18"/>
          <w:szCs w:val="18"/>
        </w:rPr>
        <w:t>)</w:t>
      </w:r>
      <w:r w:rsidRPr="002C3F72">
        <w:rPr>
          <w:rFonts w:asciiTheme="minorBidi" w:hAnsiTheme="minorBidi" w:cstheme="minorBidi"/>
          <w:sz w:val="18"/>
          <w:szCs w:val="18"/>
        </w:rPr>
        <w:t>.</w:t>
      </w:r>
    </w:p>
  </w:footnote>
  <w:footnote w:id="6">
    <w:p w14:paraId="498EF27B" w14:textId="3FAF1C17" w:rsidR="006F5A33" w:rsidRPr="002C3F72" w:rsidRDefault="006F5A33" w:rsidP="00AE67DF">
      <w:pPr>
        <w:pStyle w:val="FootnoteText"/>
        <w:ind w:left="142" w:hanging="142"/>
        <w:jc w:val="both"/>
        <w:rPr>
          <w:rFonts w:asciiTheme="minorBidi" w:hAnsiTheme="minorBidi" w:cstheme="minorBidi"/>
          <w:sz w:val="18"/>
          <w:szCs w:val="18"/>
        </w:rPr>
      </w:pPr>
      <w:r w:rsidRPr="002C3F72">
        <w:rPr>
          <w:rStyle w:val="FootnoteReference"/>
          <w:rFonts w:asciiTheme="minorBidi" w:hAnsiTheme="minorBidi" w:cstheme="minorBidi"/>
          <w:sz w:val="18"/>
          <w:szCs w:val="18"/>
        </w:rPr>
        <w:footnoteRef/>
      </w:r>
      <w:r w:rsidRPr="002C3F72">
        <w:rPr>
          <w:rFonts w:asciiTheme="minorBidi" w:hAnsiTheme="minorBidi" w:cstheme="minorBidi"/>
          <w:sz w:val="18"/>
          <w:szCs w:val="18"/>
        </w:rPr>
        <w:t xml:space="preserve"> </w:t>
      </w:r>
      <w:r w:rsidRPr="002C3F72">
        <w:rPr>
          <w:rFonts w:asciiTheme="minorBidi" w:hAnsiTheme="minorBidi" w:cstheme="minorBidi"/>
          <w:sz w:val="18"/>
          <w:szCs w:val="18"/>
          <w:lang w:val="en-US"/>
        </w:rPr>
        <w:t xml:space="preserve">Belize, Equatorial Guinea, Honduras, </w:t>
      </w:r>
      <w:r w:rsidRPr="002C3F72">
        <w:rPr>
          <w:rFonts w:asciiTheme="minorBidi" w:hAnsiTheme="minorBidi" w:cstheme="minorBidi"/>
          <w:sz w:val="18"/>
          <w:szCs w:val="18"/>
        </w:rPr>
        <w:t>Saint Lucia</w:t>
      </w:r>
      <w:r w:rsidRPr="002C3F72">
        <w:rPr>
          <w:rFonts w:asciiTheme="minorBidi" w:hAnsiTheme="minorBidi" w:cstheme="minorBidi"/>
          <w:sz w:val="18"/>
          <w:szCs w:val="18"/>
          <w:lang w:val="en-US"/>
        </w:rPr>
        <w:t xml:space="preserve"> and State of Palestine.</w:t>
      </w:r>
    </w:p>
  </w:footnote>
  <w:footnote w:id="7">
    <w:p w14:paraId="0119C309" w14:textId="6A32F35D" w:rsidR="006F5A33" w:rsidRPr="002C3F72" w:rsidRDefault="006F5A33" w:rsidP="00AE67DF">
      <w:pPr>
        <w:pStyle w:val="FootnoteText"/>
        <w:ind w:left="142" w:hanging="142"/>
        <w:jc w:val="both"/>
        <w:rPr>
          <w:rFonts w:asciiTheme="minorBidi" w:hAnsiTheme="minorBidi" w:cstheme="minorBidi"/>
          <w:sz w:val="18"/>
          <w:szCs w:val="18"/>
        </w:rPr>
      </w:pPr>
      <w:r w:rsidRPr="002C3F72">
        <w:rPr>
          <w:rStyle w:val="FootnoteReference"/>
          <w:rFonts w:asciiTheme="minorBidi" w:hAnsiTheme="minorBidi" w:cstheme="minorBidi"/>
          <w:sz w:val="18"/>
          <w:szCs w:val="18"/>
        </w:rPr>
        <w:footnoteRef/>
      </w:r>
      <w:r w:rsidRPr="002C3F72">
        <w:rPr>
          <w:rFonts w:asciiTheme="minorBidi" w:hAnsiTheme="minorBidi" w:cstheme="minorBidi"/>
          <w:sz w:val="18"/>
          <w:szCs w:val="18"/>
        </w:rPr>
        <w:t xml:space="preserve"> </w:t>
      </w:r>
      <w:r w:rsidRPr="002C3F72">
        <w:rPr>
          <w:rFonts w:asciiTheme="minorBidi" w:hAnsiTheme="minorBidi" w:cstheme="minorBidi"/>
          <w:sz w:val="18"/>
          <w:szCs w:val="18"/>
          <w:lang w:val="en-US"/>
        </w:rPr>
        <w:t xml:space="preserve">Belize (Decision </w:t>
      </w:r>
      <w:hyperlink r:id="rId4" w:history="1">
        <w:r w:rsidRPr="002C3F72">
          <w:rPr>
            <w:rStyle w:val="Hyperlink"/>
            <w:rFonts w:asciiTheme="minorBidi" w:hAnsiTheme="minorBidi" w:cstheme="minorBidi"/>
            <w:sz w:val="18"/>
            <w:szCs w:val="18"/>
          </w:rPr>
          <w:t>19.COM 3.BUR 3.1</w:t>
        </w:r>
      </w:hyperlink>
      <w:r w:rsidRPr="002C3F72">
        <w:rPr>
          <w:rFonts w:asciiTheme="minorBidi" w:hAnsiTheme="minorBidi" w:cstheme="minorBidi"/>
          <w:sz w:val="18"/>
          <w:szCs w:val="18"/>
        </w:rPr>
        <w:t>)</w:t>
      </w:r>
      <w:r w:rsidRPr="002C3F72">
        <w:rPr>
          <w:rFonts w:asciiTheme="minorBidi" w:hAnsiTheme="minorBidi" w:cstheme="minorBidi"/>
          <w:sz w:val="18"/>
          <w:szCs w:val="18"/>
          <w:lang w:val="en-US"/>
        </w:rPr>
        <w:t xml:space="preserve">, Honduras (Decision </w:t>
      </w:r>
      <w:hyperlink r:id="rId5" w:history="1">
        <w:r w:rsidRPr="002C3F72">
          <w:rPr>
            <w:rStyle w:val="Hyperlink"/>
            <w:rFonts w:asciiTheme="minorBidi" w:hAnsiTheme="minorBidi" w:cstheme="minorBidi"/>
            <w:sz w:val="18"/>
            <w:szCs w:val="18"/>
          </w:rPr>
          <w:t>20.COM 2.BUR 3</w:t>
        </w:r>
      </w:hyperlink>
      <w:r w:rsidRPr="002C3F72">
        <w:rPr>
          <w:rFonts w:asciiTheme="minorBidi" w:hAnsiTheme="minorBidi" w:cstheme="minorBidi"/>
          <w:sz w:val="18"/>
          <w:szCs w:val="18"/>
        </w:rPr>
        <w:t>)</w:t>
      </w:r>
      <w:r w:rsidRPr="002C3F72">
        <w:rPr>
          <w:rFonts w:asciiTheme="minorBidi" w:hAnsiTheme="minorBidi" w:cstheme="minorBidi"/>
          <w:sz w:val="18"/>
          <w:szCs w:val="18"/>
          <w:lang w:val="en-US"/>
        </w:rPr>
        <w:t xml:space="preserve">, Equatorial Guinea (Decision </w:t>
      </w:r>
      <w:hyperlink r:id="rId6" w:history="1">
        <w:r w:rsidRPr="002C3F72">
          <w:rPr>
            <w:rStyle w:val="Hyperlink"/>
            <w:rFonts w:asciiTheme="minorBidi" w:hAnsiTheme="minorBidi" w:cstheme="minorBidi"/>
            <w:sz w:val="18"/>
            <w:szCs w:val="18"/>
          </w:rPr>
          <w:t>19.COM 1.BUR 3.2</w:t>
        </w:r>
      </w:hyperlink>
      <w:r w:rsidRPr="002C3F72">
        <w:rPr>
          <w:rFonts w:asciiTheme="minorBidi" w:hAnsiTheme="minorBidi" w:cstheme="minorBidi"/>
          <w:sz w:val="18"/>
          <w:szCs w:val="18"/>
        </w:rPr>
        <w:t>)</w:t>
      </w:r>
      <w:r w:rsidRPr="002C3F72">
        <w:rPr>
          <w:rFonts w:asciiTheme="minorBidi" w:hAnsiTheme="minorBidi" w:cstheme="minorBidi"/>
          <w:sz w:val="18"/>
          <w:szCs w:val="18"/>
          <w:lang w:val="en-US"/>
        </w:rPr>
        <w:t xml:space="preserve"> and State of Palestine</w:t>
      </w:r>
      <w:r w:rsidR="006E3B5B" w:rsidRPr="002C3F72">
        <w:rPr>
          <w:rFonts w:asciiTheme="minorBidi" w:hAnsiTheme="minorBidi" w:cstheme="minorBidi"/>
          <w:sz w:val="18"/>
          <w:szCs w:val="18"/>
          <w:lang w:val="en-US"/>
        </w:rPr>
        <w:t xml:space="preserve"> (Decision </w:t>
      </w:r>
      <w:hyperlink r:id="rId7" w:history="1">
        <w:r w:rsidR="006E3B5B" w:rsidRPr="002C3F72">
          <w:rPr>
            <w:rStyle w:val="Hyperlink"/>
            <w:rFonts w:asciiTheme="minorBidi" w:hAnsiTheme="minorBidi" w:cstheme="minorBidi"/>
            <w:sz w:val="18"/>
            <w:szCs w:val="18"/>
          </w:rPr>
          <w:t>20.COM 3.BUR 3.1</w:t>
        </w:r>
      </w:hyperlink>
      <w:r w:rsidR="006E3B5B" w:rsidRPr="002C3F72">
        <w:rPr>
          <w:rFonts w:asciiTheme="minorBidi" w:hAnsiTheme="minorBidi" w:cstheme="minorBidi"/>
          <w:sz w:val="18"/>
          <w:szCs w:val="18"/>
          <w:lang w:val="en-US"/>
        </w:rPr>
        <w:t>).</w:t>
      </w:r>
    </w:p>
  </w:footnote>
  <w:footnote w:id="8">
    <w:p w14:paraId="78731CF4" w14:textId="0EF843EF" w:rsidR="00AB358D" w:rsidRPr="00AE67DF" w:rsidRDefault="00AB358D" w:rsidP="00AE67DF">
      <w:pPr>
        <w:pStyle w:val="FootnoteText"/>
        <w:ind w:left="142" w:hanging="142"/>
        <w:jc w:val="both"/>
        <w:rPr>
          <w:rFonts w:asciiTheme="minorBidi" w:hAnsiTheme="minorBidi" w:cstheme="minorBidi"/>
          <w:sz w:val="18"/>
          <w:szCs w:val="18"/>
        </w:rPr>
      </w:pPr>
      <w:r w:rsidRPr="00AE67DF">
        <w:rPr>
          <w:rStyle w:val="FootnoteReference"/>
          <w:rFonts w:asciiTheme="minorBidi" w:hAnsiTheme="minorBidi" w:cstheme="minorBidi"/>
          <w:sz w:val="18"/>
          <w:szCs w:val="18"/>
        </w:rPr>
        <w:footnoteRef/>
      </w:r>
      <w:r w:rsidRPr="00AE67DF">
        <w:rPr>
          <w:rFonts w:asciiTheme="minorBidi" w:hAnsiTheme="minorBidi" w:cstheme="minorBidi"/>
          <w:sz w:val="18"/>
          <w:szCs w:val="18"/>
        </w:rPr>
        <w:t xml:space="preserve"> </w:t>
      </w:r>
      <w:r w:rsidRPr="002C3F72">
        <w:rPr>
          <w:rFonts w:asciiTheme="minorBidi" w:hAnsiTheme="minorBidi" w:cstheme="minorBidi"/>
          <w:sz w:val="18"/>
          <w:szCs w:val="18"/>
        </w:rPr>
        <w:t xml:space="preserve">Papua New Guinea (Decision </w:t>
      </w:r>
      <w:hyperlink r:id="rId8" w:history="1">
        <w:r w:rsidRPr="002C3F72">
          <w:rPr>
            <w:rStyle w:val="Hyperlink"/>
            <w:rFonts w:asciiTheme="minorBidi" w:hAnsiTheme="minorBidi" w:cstheme="minorBidi"/>
            <w:sz w:val="18"/>
            <w:szCs w:val="18"/>
          </w:rPr>
          <w:t>19.COM 2.BUR 4.1</w:t>
        </w:r>
      </w:hyperlink>
      <w:r w:rsidRPr="002C3F72">
        <w:rPr>
          <w:rFonts w:asciiTheme="minorBidi" w:hAnsiTheme="minorBidi" w:cstheme="minorBidi"/>
          <w:sz w:val="18"/>
          <w:szCs w:val="18"/>
        </w:rPr>
        <w:t xml:space="preserve">) and Uganda (Decision </w:t>
      </w:r>
      <w:hyperlink r:id="rId9" w:history="1">
        <w:r w:rsidRPr="002C3F72">
          <w:rPr>
            <w:rStyle w:val="Hyperlink"/>
            <w:rFonts w:asciiTheme="minorBidi" w:hAnsiTheme="minorBidi" w:cstheme="minorBidi"/>
            <w:sz w:val="18"/>
            <w:szCs w:val="18"/>
          </w:rPr>
          <w:t>19.COM 2.BUR 4.2</w:t>
        </w:r>
      </w:hyperlink>
      <w:r w:rsidRPr="002C3F72">
        <w:rPr>
          <w:rFonts w:asciiTheme="minorBidi" w:hAnsiTheme="minorBidi" w:cstheme="minorBidi"/>
          <w:sz w:val="18"/>
          <w:szCs w:val="18"/>
        </w:rPr>
        <w:t>)</w:t>
      </w:r>
    </w:p>
  </w:footnote>
  <w:footnote w:id="9">
    <w:p w14:paraId="2379C02B" w14:textId="77777777" w:rsidR="001540ED" w:rsidRPr="00AE67DF" w:rsidRDefault="001540ED" w:rsidP="00AE67DF">
      <w:pPr>
        <w:pStyle w:val="FootnoteText"/>
        <w:ind w:left="142" w:hanging="142"/>
        <w:jc w:val="both"/>
        <w:rPr>
          <w:rFonts w:asciiTheme="minorBidi" w:hAnsiTheme="minorBidi" w:cstheme="minorBidi"/>
          <w:sz w:val="18"/>
          <w:szCs w:val="18"/>
          <w:lang w:val="en-US"/>
        </w:rPr>
      </w:pPr>
      <w:r w:rsidRPr="002C3F72">
        <w:rPr>
          <w:rStyle w:val="FootnoteReference"/>
          <w:rFonts w:asciiTheme="minorBidi" w:hAnsiTheme="minorBidi" w:cstheme="minorBidi"/>
          <w:sz w:val="18"/>
          <w:szCs w:val="18"/>
        </w:rPr>
        <w:footnoteRef/>
      </w:r>
      <w:r w:rsidRPr="002C3F72">
        <w:rPr>
          <w:rFonts w:asciiTheme="minorBidi" w:hAnsiTheme="minorBidi" w:cstheme="minorBidi"/>
          <w:sz w:val="18"/>
          <w:szCs w:val="18"/>
          <w:lang w:val="en-US"/>
        </w:rPr>
        <w:t xml:space="preserve"> Benin (Decision </w:t>
      </w:r>
      <w:hyperlink r:id="rId10" w:history="1">
        <w:r w:rsidRPr="002C3F72">
          <w:rPr>
            <w:rStyle w:val="Hyperlink"/>
            <w:rFonts w:asciiTheme="minorBidi" w:hAnsiTheme="minorBidi" w:cstheme="minorBidi"/>
            <w:sz w:val="18"/>
            <w:szCs w:val="18"/>
          </w:rPr>
          <w:t>20.COM 3.BUR 4.2</w:t>
        </w:r>
      </w:hyperlink>
      <w:r w:rsidRPr="002C3F72">
        <w:rPr>
          <w:rFonts w:asciiTheme="minorBidi" w:hAnsiTheme="minorBidi" w:cstheme="minorBidi"/>
          <w:sz w:val="18"/>
          <w:szCs w:val="18"/>
          <w:lang w:val="en-US"/>
        </w:rPr>
        <w:t xml:space="preserve">), Burkina Faso (Decision </w:t>
      </w:r>
      <w:hyperlink r:id="rId11" w:history="1">
        <w:r w:rsidRPr="002C3F72">
          <w:rPr>
            <w:rStyle w:val="Hyperlink"/>
            <w:rFonts w:asciiTheme="minorBidi" w:hAnsiTheme="minorBidi" w:cstheme="minorBidi"/>
            <w:sz w:val="18"/>
            <w:szCs w:val="18"/>
          </w:rPr>
          <w:t>20.COM 3.BUR 4.3</w:t>
        </w:r>
      </w:hyperlink>
      <w:r w:rsidRPr="002C3F72">
        <w:rPr>
          <w:rFonts w:asciiTheme="minorBidi" w:hAnsiTheme="minorBidi" w:cstheme="minorBidi"/>
          <w:sz w:val="18"/>
          <w:szCs w:val="18"/>
          <w:lang w:val="en-US"/>
        </w:rPr>
        <w:t xml:space="preserve">), Saint Kitts and Nevis (Decision </w:t>
      </w:r>
      <w:hyperlink r:id="rId12" w:history="1">
        <w:r w:rsidRPr="002C3F72">
          <w:rPr>
            <w:rStyle w:val="Hyperlink"/>
            <w:rFonts w:asciiTheme="minorBidi" w:hAnsiTheme="minorBidi" w:cstheme="minorBidi"/>
            <w:sz w:val="18"/>
            <w:szCs w:val="18"/>
          </w:rPr>
          <w:t>20.COM 3.BUR 4.4</w:t>
        </w:r>
      </w:hyperlink>
      <w:r w:rsidRPr="002C3F72">
        <w:rPr>
          <w:rFonts w:asciiTheme="minorBidi" w:hAnsiTheme="minorBidi" w:cstheme="minorBidi"/>
          <w:sz w:val="18"/>
          <w:szCs w:val="18"/>
          <w:lang w:val="en-US"/>
        </w:rPr>
        <w:t xml:space="preserve">), Saint Lucia (Decision </w:t>
      </w:r>
      <w:hyperlink r:id="rId13" w:history="1">
        <w:r w:rsidRPr="002C3F72">
          <w:rPr>
            <w:rStyle w:val="Hyperlink"/>
            <w:rFonts w:asciiTheme="minorBidi" w:hAnsiTheme="minorBidi" w:cstheme="minorBidi"/>
            <w:sz w:val="18"/>
            <w:szCs w:val="18"/>
          </w:rPr>
          <w:t>20.COM 3.BUR 4.5</w:t>
        </w:r>
      </w:hyperlink>
      <w:r w:rsidRPr="002C3F72">
        <w:rPr>
          <w:rFonts w:asciiTheme="minorBidi" w:hAnsiTheme="minorBidi" w:cstheme="minorBidi"/>
          <w:sz w:val="18"/>
          <w:szCs w:val="18"/>
          <w:lang w:val="en-US"/>
        </w:rPr>
        <w:t xml:space="preserve">), and the United Republic of Tanzania (Decision </w:t>
      </w:r>
      <w:hyperlink r:id="rId14" w:history="1">
        <w:r w:rsidRPr="002C3F72">
          <w:rPr>
            <w:rStyle w:val="Hyperlink"/>
            <w:rFonts w:asciiTheme="minorBidi" w:hAnsiTheme="minorBidi" w:cstheme="minorBidi"/>
            <w:sz w:val="18"/>
            <w:szCs w:val="18"/>
          </w:rPr>
          <w:t>20.COM 3.BUR 4.6</w:t>
        </w:r>
      </w:hyperlink>
      <w:r w:rsidRPr="002C3F72">
        <w:rPr>
          <w:rFonts w:asciiTheme="minorBidi" w:hAnsiTheme="minorBidi" w:cstheme="minorBidi"/>
          <w:sz w:val="18"/>
          <w:szCs w:val="18"/>
          <w:lang w:val="en-US"/>
        </w:rPr>
        <w:t>).</w:t>
      </w:r>
    </w:p>
  </w:footnote>
  <w:footnote w:id="10">
    <w:p w14:paraId="10CE023F" w14:textId="77777777" w:rsidR="001540ED" w:rsidRPr="00AE67DF" w:rsidRDefault="001540ED" w:rsidP="00AE67DF">
      <w:pPr>
        <w:pStyle w:val="FootnoteText"/>
        <w:ind w:left="142" w:hanging="142"/>
        <w:jc w:val="both"/>
        <w:rPr>
          <w:rFonts w:asciiTheme="minorBidi" w:hAnsiTheme="minorBidi" w:cstheme="minorBidi"/>
          <w:sz w:val="18"/>
          <w:szCs w:val="18"/>
          <w:lang w:val="en-US"/>
        </w:rPr>
      </w:pPr>
      <w:r w:rsidRPr="00AE67DF">
        <w:rPr>
          <w:rStyle w:val="FootnoteReference"/>
          <w:rFonts w:asciiTheme="minorBidi" w:hAnsiTheme="minorBidi" w:cstheme="minorBidi"/>
          <w:sz w:val="18"/>
          <w:szCs w:val="18"/>
        </w:rPr>
        <w:footnoteRef/>
      </w:r>
      <w:r w:rsidRPr="00AE67DF">
        <w:rPr>
          <w:rFonts w:asciiTheme="minorBidi" w:hAnsiTheme="minorBidi" w:cstheme="minorBidi"/>
          <w:sz w:val="18"/>
          <w:szCs w:val="18"/>
          <w:lang w:val="en-US"/>
        </w:rPr>
        <w:t xml:space="preserve"> </w:t>
      </w:r>
      <w:r w:rsidRPr="002C3F72">
        <w:rPr>
          <w:rFonts w:asciiTheme="minorBidi" w:hAnsiTheme="minorBidi" w:cstheme="minorBidi"/>
          <w:sz w:val="18"/>
          <w:szCs w:val="18"/>
          <w:lang w:val="en-US"/>
        </w:rPr>
        <w:t xml:space="preserve">Gambia (Decision </w:t>
      </w:r>
      <w:hyperlink r:id="rId15" w:history="1">
        <w:r w:rsidRPr="002C3F72">
          <w:rPr>
            <w:rStyle w:val="Hyperlink"/>
            <w:rFonts w:asciiTheme="minorBidi" w:hAnsiTheme="minorBidi" w:cstheme="minorBidi"/>
            <w:sz w:val="18"/>
            <w:szCs w:val="18"/>
          </w:rPr>
          <w:t>20.COM 3.BUR 4.1)</w:t>
        </w:r>
      </w:hyperlink>
      <w:r w:rsidRPr="00AE67DF">
        <w:rPr>
          <w:rFonts w:asciiTheme="minorBidi" w:hAnsiTheme="minorBidi" w:cstheme="minorBidi"/>
          <w:sz w:val="18"/>
          <w:szCs w:val="18"/>
          <w:lang w:val="en-US"/>
        </w:rPr>
        <w:t>.</w:t>
      </w:r>
    </w:p>
  </w:footnote>
  <w:footnote w:id="11">
    <w:p w14:paraId="206CC1F1" w14:textId="608421A9" w:rsidR="00261CCD" w:rsidRPr="002C3F72" w:rsidRDefault="00261CCD" w:rsidP="00261CCD">
      <w:pPr>
        <w:pStyle w:val="FootnoteText"/>
        <w:jc w:val="both"/>
        <w:rPr>
          <w:rFonts w:asciiTheme="minorBidi" w:hAnsiTheme="minorBidi" w:cstheme="minorBidi"/>
          <w:sz w:val="18"/>
          <w:szCs w:val="18"/>
          <w:lang w:val="en-US"/>
        </w:rPr>
      </w:pPr>
      <w:r w:rsidRPr="002C3F72">
        <w:rPr>
          <w:rStyle w:val="FootnoteReference"/>
          <w:rFonts w:asciiTheme="minorBidi" w:hAnsiTheme="minorBidi" w:cstheme="minorBidi"/>
          <w:sz w:val="18"/>
          <w:szCs w:val="18"/>
        </w:rPr>
        <w:footnoteRef/>
      </w:r>
      <w:r w:rsidRPr="002C3F72">
        <w:rPr>
          <w:rFonts w:asciiTheme="minorBidi" w:hAnsiTheme="minorBidi" w:cstheme="minorBidi"/>
          <w:sz w:val="18"/>
          <w:szCs w:val="18"/>
        </w:rPr>
        <w:t xml:space="preserve"> </w:t>
      </w:r>
      <w:r w:rsidRPr="002C3F72">
        <w:rPr>
          <w:rFonts w:asciiTheme="minorBidi" w:hAnsiTheme="minorBidi" w:cstheme="minorBidi"/>
          <w:sz w:val="18"/>
          <w:szCs w:val="18"/>
          <w:lang w:val="en-US"/>
        </w:rPr>
        <w:t xml:space="preserve">All figures </w:t>
      </w:r>
      <w:r w:rsidRPr="002C3F72">
        <w:rPr>
          <w:rFonts w:asciiTheme="minorBidi" w:hAnsiTheme="minorBidi" w:cstheme="minorBidi"/>
          <w:sz w:val="18"/>
          <w:szCs w:val="18"/>
        </w:rPr>
        <w:t xml:space="preserve">in the tables </w:t>
      </w:r>
      <w:r w:rsidRPr="002C3F72">
        <w:rPr>
          <w:rFonts w:asciiTheme="minorBidi" w:hAnsiTheme="minorBidi" w:cstheme="minorBidi"/>
          <w:sz w:val="18"/>
          <w:szCs w:val="18"/>
          <w:lang w:val="en-US"/>
        </w:rPr>
        <w:t xml:space="preserve">are extracted </w:t>
      </w:r>
      <w:r w:rsidRPr="002C3F72">
        <w:rPr>
          <w:rFonts w:asciiTheme="minorBidi" w:hAnsiTheme="minorBidi" w:cstheme="minorBidi"/>
          <w:sz w:val="18"/>
          <w:szCs w:val="18"/>
        </w:rPr>
        <w:t>from</w:t>
      </w:r>
      <w:r w:rsidRPr="002C3F72">
        <w:rPr>
          <w:rFonts w:asciiTheme="minorBidi" w:hAnsiTheme="minorBidi" w:cstheme="minorBidi"/>
          <w:sz w:val="18"/>
          <w:szCs w:val="18"/>
          <w:lang w:val="en-US"/>
        </w:rPr>
        <w:t xml:space="preserve"> the Financial report (as of 30 June 2025) issued by UNESCO</w:t>
      </w:r>
      <w:r w:rsidR="005A1027" w:rsidRPr="002C3F72">
        <w:rPr>
          <w:rFonts w:asciiTheme="minorBidi" w:hAnsiTheme="minorBidi" w:cstheme="minorBidi"/>
          <w:sz w:val="18"/>
          <w:szCs w:val="18"/>
          <w:lang w:val="en-US"/>
        </w:rPr>
        <w:t>’</w:t>
      </w:r>
      <w:r w:rsidRPr="002C3F72">
        <w:rPr>
          <w:rFonts w:asciiTheme="minorBidi" w:hAnsiTheme="minorBidi" w:cstheme="minorBidi"/>
          <w:sz w:val="18"/>
          <w:szCs w:val="18"/>
          <w:lang w:val="en-US"/>
        </w:rPr>
        <w:t>s Bureau of Strategic Planning – Grants Management Section.</w:t>
      </w:r>
      <w:r w:rsidRPr="002C3F72">
        <w:rPr>
          <w:rFonts w:asciiTheme="minorBidi" w:hAnsiTheme="minorBidi" w:cstheme="minorBidi"/>
          <w:sz w:val="18"/>
          <w:szCs w:val="18"/>
        </w:rPr>
        <w:t xml:space="preserve"> All figures in the tables are expressed in US dollars.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6B9C" w14:textId="28D16A04" w:rsidR="00B6167A" w:rsidRPr="007E4E37" w:rsidRDefault="00FD1941" w:rsidP="009B55AC">
    <w:pPr>
      <w:pStyle w:val="Header"/>
      <w:rPr>
        <w:rFonts w:ascii="Arial" w:hAnsi="Arial" w:cs="Arial"/>
      </w:rPr>
    </w:pPr>
    <w:r>
      <w:rPr>
        <w:rFonts w:ascii="Arial" w:hAnsi="Arial" w:cs="Arial"/>
        <w:sz w:val="20"/>
        <w:szCs w:val="20"/>
      </w:rPr>
      <w:t>LHE/2</w:t>
    </w:r>
    <w:r w:rsidR="006E053C">
      <w:rPr>
        <w:rFonts w:ascii="Arial" w:hAnsi="Arial" w:cs="Arial"/>
        <w:sz w:val="20"/>
        <w:szCs w:val="20"/>
      </w:rPr>
      <w:t>5</w:t>
    </w:r>
    <w:r>
      <w:rPr>
        <w:rFonts w:ascii="Arial" w:hAnsi="Arial" w:cs="Arial"/>
        <w:sz w:val="20"/>
        <w:szCs w:val="20"/>
      </w:rPr>
      <w:t>/</w:t>
    </w:r>
    <w:r w:rsidR="006E053C">
      <w:rPr>
        <w:rFonts w:ascii="Arial" w:hAnsi="Arial" w:cs="Arial"/>
        <w:sz w:val="20"/>
        <w:szCs w:val="20"/>
      </w:rPr>
      <w:t>20</w:t>
    </w:r>
    <w:r w:rsidR="007E4E37">
      <w:rPr>
        <w:rFonts w:ascii="Arial" w:hAnsi="Arial" w:cs="Arial"/>
        <w:sz w:val="20"/>
        <w:szCs w:val="20"/>
      </w:rPr>
      <w:t>.COM</w:t>
    </w:r>
    <w:r w:rsidR="000A34CE" w:rsidRPr="00D81948">
      <w:rPr>
        <w:rFonts w:ascii="Arial" w:hAnsi="Arial" w:cs="Arial"/>
        <w:sz w:val="20"/>
        <w:szCs w:val="20"/>
      </w:rPr>
      <w:t>/INF.</w:t>
    </w:r>
    <w:r w:rsidR="00CE1EE1">
      <w:rPr>
        <w:rFonts w:ascii="Arial" w:hAnsi="Arial" w:cs="Arial"/>
        <w:sz w:val="20"/>
        <w:szCs w:val="20"/>
      </w:rPr>
      <w:t>14</w:t>
    </w:r>
    <w:r w:rsidR="00B6167A" w:rsidRPr="00D81948">
      <w:rPr>
        <w:rFonts w:ascii="Arial" w:hAnsi="Arial" w:cs="Arial"/>
        <w:sz w:val="20"/>
        <w:szCs w:val="20"/>
      </w:rPr>
      <w:t xml:space="preserve"> – page </w:t>
    </w:r>
    <w:r w:rsidR="00B6167A" w:rsidRPr="00D81948">
      <w:rPr>
        <w:rStyle w:val="PageNumber"/>
        <w:rFonts w:ascii="Arial" w:hAnsi="Arial" w:cs="Arial"/>
        <w:sz w:val="20"/>
        <w:szCs w:val="20"/>
      </w:rPr>
      <w:fldChar w:fldCharType="begin"/>
    </w:r>
    <w:r w:rsidR="00B6167A" w:rsidRPr="00D81948">
      <w:rPr>
        <w:rStyle w:val="PageNumber"/>
        <w:rFonts w:ascii="Arial" w:hAnsi="Arial" w:cs="Arial"/>
        <w:sz w:val="20"/>
        <w:szCs w:val="20"/>
      </w:rPr>
      <w:instrText xml:space="preserve"> PAGE </w:instrText>
    </w:r>
    <w:r w:rsidR="00B6167A" w:rsidRPr="00D81948">
      <w:rPr>
        <w:rStyle w:val="PageNumber"/>
        <w:rFonts w:ascii="Arial" w:hAnsi="Arial" w:cs="Arial"/>
        <w:sz w:val="20"/>
        <w:szCs w:val="20"/>
      </w:rPr>
      <w:fldChar w:fldCharType="separate"/>
    </w:r>
    <w:r w:rsidR="00570814">
      <w:rPr>
        <w:rStyle w:val="PageNumber"/>
        <w:rFonts w:ascii="Arial" w:hAnsi="Arial" w:cs="Arial"/>
        <w:noProof/>
        <w:sz w:val="20"/>
        <w:szCs w:val="20"/>
      </w:rPr>
      <w:t>2</w:t>
    </w:r>
    <w:r w:rsidR="00B6167A"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5B8C" w14:textId="4F925112" w:rsidR="00B6167A" w:rsidRPr="007E4E37" w:rsidRDefault="00FD1941" w:rsidP="007D13D9">
    <w:pPr>
      <w:pStyle w:val="Header"/>
      <w:ind w:left="2544" w:firstLine="3828"/>
      <w:jc w:val="right"/>
      <w:rPr>
        <w:rFonts w:ascii="Arial" w:hAnsi="Arial" w:cs="Arial"/>
      </w:rPr>
    </w:pPr>
    <w:r>
      <w:rPr>
        <w:rFonts w:ascii="Arial" w:hAnsi="Arial" w:cs="Arial"/>
        <w:sz w:val="20"/>
        <w:szCs w:val="20"/>
        <w:lang w:val="en-US"/>
      </w:rPr>
      <w:t>LHE/2</w:t>
    </w:r>
    <w:r w:rsidR="006E053C">
      <w:rPr>
        <w:rFonts w:ascii="Arial" w:hAnsi="Arial" w:cs="Arial"/>
        <w:sz w:val="20"/>
        <w:szCs w:val="20"/>
        <w:lang w:val="en-US"/>
      </w:rPr>
      <w:t>5</w:t>
    </w:r>
    <w:r>
      <w:rPr>
        <w:rFonts w:ascii="Arial" w:hAnsi="Arial" w:cs="Arial"/>
        <w:sz w:val="20"/>
        <w:szCs w:val="20"/>
        <w:lang w:val="en-US"/>
      </w:rPr>
      <w:t>/</w:t>
    </w:r>
    <w:r w:rsidR="006E053C">
      <w:rPr>
        <w:rFonts w:ascii="Arial" w:hAnsi="Arial" w:cs="Arial"/>
        <w:sz w:val="20"/>
        <w:szCs w:val="20"/>
        <w:lang w:val="en-US"/>
      </w:rPr>
      <w:t>20</w:t>
    </w:r>
    <w:r w:rsidR="007E4E37">
      <w:rPr>
        <w:rFonts w:ascii="Arial" w:hAnsi="Arial" w:cs="Arial"/>
        <w:sz w:val="20"/>
        <w:szCs w:val="20"/>
        <w:lang w:val="en-US"/>
      </w:rPr>
      <w:t>.COM</w:t>
    </w:r>
    <w:r w:rsidR="001E4EEB">
      <w:rPr>
        <w:rFonts w:ascii="Arial" w:hAnsi="Arial" w:cs="Arial"/>
        <w:sz w:val="20"/>
        <w:szCs w:val="20"/>
        <w:lang w:val="en-US"/>
      </w:rPr>
      <w:t>/INF.</w:t>
    </w:r>
    <w:r w:rsidR="00774EBC">
      <w:rPr>
        <w:rFonts w:ascii="Arial" w:hAnsi="Arial" w:cs="Arial"/>
        <w:sz w:val="20"/>
        <w:szCs w:val="20"/>
        <w:lang w:val="en-US"/>
      </w:rPr>
      <w:t>14</w:t>
    </w:r>
    <w:r w:rsidR="001E4EEB">
      <w:rPr>
        <w:rFonts w:ascii="Arial" w:hAnsi="Arial" w:cs="Arial"/>
        <w:sz w:val="20"/>
        <w:szCs w:val="20"/>
        <w:lang w:val="en-US"/>
      </w:rPr>
      <w:t xml:space="preserve"> </w:t>
    </w:r>
    <w:r w:rsidR="001E4EEB" w:rsidRPr="00EF563B">
      <w:rPr>
        <w:rFonts w:ascii="Arial" w:hAnsi="Arial" w:cs="Arial"/>
        <w:sz w:val="20"/>
        <w:szCs w:val="20"/>
        <w:lang w:val="en-US"/>
      </w:rPr>
      <w:t xml:space="preserve">– page </w:t>
    </w:r>
    <w:r w:rsidR="001E4EEB" w:rsidRPr="00EF563B">
      <w:rPr>
        <w:rStyle w:val="PageNumber"/>
        <w:rFonts w:ascii="Arial" w:hAnsi="Arial" w:cs="Arial"/>
        <w:sz w:val="20"/>
        <w:szCs w:val="20"/>
      </w:rPr>
      <w:fldChar w:fldCharType="begin"/>
    </w:r>
    <w:r w:rsidR="001E4EEB" w:rsidRPr="00EF563B">
      <w:rPr>
        <w:rStyle w:val="PageNumber"/>
        <w:rFonts w:ascii="Arial" w:hAnsi="Arial" w:cs="Arial"/>
        <w:sz w:val="20"/>
        <w:szCs w:val="20"/>
        <w:lang w:val="en-US"/>
      </w:rPr>
      <w:instrText xml:space="preserve"> </w:instrText>
    </w:r>
    <w:r w:rsidR="001E4EEB">
      <w:rPr>
        <w:rStyle w:val="PageNumber"/>
        <w:rFonts w:ascii="Arial" w:hAnsi="Arial" w:cs="Arial"/>
        <w:sz w:val="20"/>
        <w:szCs w:val="20"/>
        <w:lang w:val="en-US"/>
      </w:rPr>
      <w:instrText>PAGE</w:instrText>
    </w:r>
    <w:r w:rsidR="001E4EEB" w:rsidRPr="00EF563B">
      <w:rPr>
        <w:rStyle w:val="PageNumber"/>
        <w:rFonts w:ascii="Arial" w:hAnsi="Arial" w:cs="Arial"/>
        <w:sz w:val="20"/>
        <w:szCs w:val="20"/>
        <w:lang w:val="en-US"/>
      </w:rPr>
      <w:instrText xml:space="preserve"> </w:instrText>
    </w:r>
    <w:r w:rsidR="001E4EEB" w:rsidRPr="00EF563B">
      <w:rPr>
        <w:rStyle w:val="PageNumber"/>
        <w:rFonts w:ascii="Arial" w:hAnsi="Arial" w:cs="Arial"/>
        <w:sz w:val="20"/>
        <w:szCs w:val="20"/>
      </w:rPr>
      <w:fldChar w:fldCharType="separate"/>
    </w:r>
    <w:r w:rsidR="00570814">
      <w:rPr>
        <w:rStyle w:val="PageNumber"/>
        <w:rFonts w:ascii="Arial" w:hAnsi="Arial" w:cs="Arial"/>
        <w:noProof/>
        <w:sz w:val="20"/>
        <w:szCs w:val="20"/>
        <w:lang w:val="en-US"/>
      </w:rPr>
      <w:t>3</w:t>
    </w:r>
    <w:r w:rsidR="001E4EEB"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8CC4" w14:textId="42F3E8D3" w:rsidR="00B6167A" w:rsidRPr="008724E5" w:rsidRDefault="008F7B13">
    <w:pPr>
      <w:pStyle w:val="Header"/>
    </w:pPr>
    <w:r>
      <w:rPr>
        <w:noProof/>
      </w:rPr>
      <w:drawing>
        <wp:anchor distT="0" distB="0" distL="114300" distR="114300" simplePos="0" relativeHeight="251659264" behindDoc="0" locked="0" layoutInCell="1" allowOverlap="1" wp14:anchorId="2237BEFF" wp14:editId="7A4CF656">
          <wp:simplePos x="0" y="0"/>
          <wp:positionH relativeFrom="margin">
            <wp:align>left</wp:align>
          </wp:positionH>
          <wp:positionV relativeFrom="paragraph">
            <wp:posOffset>78105</wp:posOffset>
          </wp:positionV>
          <wp:extent cx="1711325" cy="1296035"/>
          <wp:effectExtent l="0" t="0" r="3175" b="0"/>
          <wp:wrapSquare wrapText="bothSides"/>
          <wp:docPr id="3750249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FC2B" w14:textId="361EA77B" w:rsidR="00B6167A" w:rsidRPr="00483688" w:rsidRDefault="006E053C" w:rsidP="001943EE">
    <w:pPr>
      <w:pStyle w:val="Header"/>
      <w:spacing w:after="520"/>
      <w:jc w:val="right"/>
      <w:rPr>
        <w:rFonts w:ascii="Arial" w:hAnsi="Arial" w:cs="Arial"/>
        <w:b/>
        <w:sz w:val="44"/>
        <w:szCs w:val="44"/>
        <w:lang w:val="pt-PT"/>
      </w:rPr>
    </w:pPr>
    <w:r>
      <w:rPr>
        <w:rFonts w:ascii="Arial" w:hAnsi="Arial" w:cs="Arial"/>
        <w:b/>
        <w:sz w:val="44"/>
        <w:szCs w:val="44"/>
        <w:lang w:val="pt-PT"/>
      </w:rPr>
      <w:t>20</w:t>
    </w:r>
    <w:r w:rsidR="00B6167A" w:rsidRPr="00483688">
      <w:rPr>
        <w:rFonts w:ascii="Arial" w:hAnsi="Arial" w:cs="Arial"/>
        <w:b/>
        <w:sz w:val="44"/>
        <w:szCs w:val="44"/>
        <w:lang w:val="pt-PT"/>
      </w:rPr>
      <w:t xml:space="preserve"> </w:t>
    </w:r>
    <w:r w:rsidR="007E4E37" w:rsidRPr="00483688">
      <w:rPr>
        <w:rFonts w:ascii="Arial" w:hAnsi="Arial" w:cs="Arial"/>
        <w:b/>
        <w:sz w:val="44"/>
        <w:szCs w:val="44"/>
        <w:lang w:val="pt-PT"/>
      </w:rPr>
      <w:t>COM</w:t>
    </w:r>
  </w:p>
  <w:p w14:paraId="49B0C39B" w14:textId="579CCD07" w:rsidR="00B6167A" w:rsidRPr="00483688" w:rsidRDefault="00FD1941" w:rsidP="009B55AC">
    <w:pPr>
      <w:spacing w:after="0"/>
      <w:jc w:val="right"/>
      <w:rPr>
        <w:rFonts w:ascii="Arial" w:hAnsi="Arial" w:cs="Arial"/>
        <w:b/>
        <w:szCs w:val="22"/>
        <w:lang w:val="pt-PT"/>
      </w:rPr>
    </w:pPr>
    <w:r w:rsidRPr="00483688">
      <w:rPr>
        <w:rFonts w:ascii="Arial" w:hAnsi="Arial" w:cs="Arial"/>
        <w:b/>
        <w:szCs w:val="22"/>
        <w:lang w:val="pt-PT"/>
      </w:rPr>
      <w:t>LHE/2</w:t>
    </w:r>
    <w:r w:rsidR="006E053C">
      <w:rPr>
        <w:rFonts w:ascii="Arial" w:hAnsi="Arial" w:cs="Arial"/>
        <w:b/>
        <w:szCs w:val="22"/>
        <w:lang w:val="pt-PT"/>
      </w:rPr>
      <w:t>5</w:t>
    </w:r>
    <w:r w:rsidRPr="00483688">
      <w:rPr>
        <w:rFonts w:ascii="Arial" w:hAnsi="Arial" w:cs="Arial"/>
        <w:b/>
        <w:szCs w:val="22"/>
        <w:lang w:val="pt-PT"/>
      </w:rPr>
      <w:t>/</w:t>
    </w:r>
    <w:r w:rsidR="006E053C">
      <w:rPr>
        <w:rFonts w:ascii="Arial" w:hAnsi="Arial" w:cs="Arial"/>
        <w:b/>
        <w:szCs w:val="22"/>
        <w:lang w:val="pt-PT"/>
      </w:rPr>
      <w:t>20</w:t>
    </w:r>
    <w:r w:rsidR="00B6167A" w:rsidRPr="00483688">
      <w:rPr>
        <w:rFonts w:ascii="Arial" w:hAnsi="Arial" w:cs="Arial"/>
        <w:b/>
        <w:szCs w:val="22"/>
        <w:lang w:val="pt-PT"/>
      </w:rPr>
      <w:t>.</w:t>
    </w:r>
    <w:r w:rsidR="007E4E37" w:rsidRPr="00483688">
      <w:rPr>
        <w:rFonts w:ascii="Arial" w:hAnsi="Arial" w:cs="Arial"/>
        <w:b/>
        <w:szCs w:val="22"/>
        <w:lang w:val="pt-PT"/>
      </w:rPr>
      <w:t>COM</w:t>
    </w:r>
    <w:r w:rsidR="00B6167A" w:rsidRPr="00483688">
      <w:rPr>
        <w:rFonts w:ascii="Arial" w:hAnsi="Arial" w:cs="Arial"/>
        <w:b/>
        <w:szCs w:val="22"/>
        <w:lang w:val="pt-PT"/>
      </w:rPr>
      <w:t>/INF.</w:t>
    </w:r>
    <w:r w:rsidR="0059659F">
      <w:rPr>
        <w:rFonts w:ascii="Arial" w:hAnsi="Arial" w:cs="Arial"/>
        <w:b/>
        <w:szCs w:val="22"/>
        <w:lang w:val="pt-PT"/>
      </w:rPr>
      <w:t>14</w:t>
    </w:r>
  </w:p>
  <w:p w14:paraId="1D4CE950" w14:textId="6A46B5F5" w:rsidR="00B6167A" w:rsidRPr="00483688" w:rsidRDefault="00B6167A" w:rsidP="002D396D">
    <w:pPr>
      <w:spacing w:after="0"/>
      <w:jc w:val="right"/>
      <w:rPr>
        <w:rFonts w:ascii="Arial" w:eastAsiaTheme="minorEastAsia" w:hAnsi="Arial" w:cs="Arial"/>
        <w:b/>
        <w:szCs w:val="22"/>
        <w:lang w:val="pt-PT" w:eastAsia="ko-KR"/>
      </w:rPr>
    </w:pPr>
    <w:r w:rsidRPr="002C3F72">
      <w:rPr>
        <w:rFonts w:ascii="Arial" w:hAnsi="Arial" w:cs="Arial"/>
        <w:b/>
        <w:szCs w:val="22"/>
        <w:lang w:val="pt-PT"/>
      </w:rPr>
      <w:t xml:space="preserve">Paris, </w:t>
    </w:r>
    <w:r w:rsidR="006552DF" w:rsidRPr="00AE67DF">
      <w:rPr>
        <w:rFonts w:ascii="Arial" w:hAnsi="Arial" w:cs="Arial"/>
        <w:b/>
        <w:szCs w:val="22"/>
        <w:lang w:val="pt-PT"/>
      </w:rPr>
      <w:t>2</w:t>
    </w:r>
    <w:r w:rsidR="002C3F72" w:rsidRPr="00AE67DF">
      <w:rPr>
        <w:rFonts w:ascii="Arial" w:hAnsi="Arial" w:cs="Arial"/>
        <w:b/>
        <w:szCs w:val="22"/>
        <w:lang w:val="pt-PT"/>
      </w:rPr>
      <w:t>8</w:t>
    </w:r>
    <w:r w:rsidR="006552DF" w:rsidRPr="00AE67DF">
      <w:rPr>
        <w:rFonts w:ascii="Arial" w:hAnsi="Arial" w:cs="Arial"/>
        <w:b/>
        <w:szCs w:val="22"/>
        <w:lang w:val="pt-PT"/>
      </w:rPr>
      <w:t xml:space="preserve"> November</w:t>
    </w:r>
    <w:r w:rsidR="00FD1941" w:rsidRPr="002C3F72">
      <w:rPr>
        <w:rFonts w:ascii="Arial" w:hAnsi="Arial" w:cs="Arial"/>
        <w:b/>
        <w:szCs w:val="22"/>
        <w:lang w:val="pt-PT"/>
      </w:rPr>
      <w:t xml:space="preserve"> 202</w:t>
    </w:r>
    <w:r w:rsidR="006E053C" w:rsidRPr="002C3F72">
      <w:rPr>
        <w:rFonts w:ascii="Arial" w:hAnsi="Arial" w:cs="Arial"/>
        <w:b/>
        <w:szCs w:val="22"/>
        <w:lang w:val="pt-PT"/>
      </w:rPr>
      <w:t>5</w:t>
    </w:r>
  </w:p>
  <w:p w14:paraId="2A9F75AF" w14:textId="28A0396A" w:rsidR="00B6167A" w:rsidRPr="00D81948" w:rsidRDefault="00B6167A" w:rsidP="008F7B13">
    <w:pPr>
      <w:jc w:val="right"/>
      <w:rPr>
        <w:rFonts w:ascii="Arial" w:hAnsi="Arial" w:cs="Arial"/>
        <w:b/>
        <w:szCs w:val="22"/>
      </w:rPr>
    </w:pPr>
    <w:r w:rsidRPr="00D81948">
      <w:rPr>
        <w:rFonts w:ascii="Arial" w:hAnsi="Arial" w:cs="Arial"/>
        <w:b/>
        <w:szCs w:val="22"/>
      </w:rPr>
      <w:t>Original:</w:t>
    </w:r>
    <w:r w:rsidR="003528F8">
      <w:rPr>
        <w:rFonts w:ascii="Arial" w:hAnsi="Arial" w:cs="Arial"/>
        <w:b/>
        <w:szCs w:val="22"/>
      </w:rPr>
      <w:t xml:space="preserve"> English</w:t>
    </w:r>
  </w:p>
  <w:p w14:paraId="42728953" w14:textId="77777777" w:rsidR="00B6167A" w:rsidRPr="00D81948" w:rsidRDefault="00B61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7A4"/>
    <w:multiLevelType w:val="hybridMultilevel"/>
    <w:tmpl w:val="5F0A7196"/>
    <w:lvl w:ilvl="0" w:tplc="4A66941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2550F78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7F8F"/>
    <w:multiLevelType w:val="hybridMultilevel"/>
    <w:tmpl w:val="9F48024E"/>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206FC"/>
    <w:multiLevelType w:val="hybridMultilevel"/>
    <w:tmpl w:val="55E8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12A7A"/>
    <w:multiLevelType w:val="hybridMultilevel"/>
    <w:tmpl w:val="A2726DB6"/>
    <w:lvl w:ilvl="0" w:tplc="5F466856">
      <w:start w:val="1"/>
      <w:numFmt w:val="decimal"/>
      <w:lvlText w:val="%1."/>
      <w:lvlJc w:val="left"/>
      <w:pPr>
        <w:ind w:left="1020" w:hanging="360"/>
      </w:pPr>
    </w:lvl>
    <w:lvl w:ilvl="1" w:tplc="0A387D82">
      <w:start w:val="1"/>
      <w:numFmt w:val="decimal"/>
      <w:lvlText w:val="%2."/>
      <w:lvlJc w:val="left"/>
      <w:pPr>
        <w:ind w:left="1020" w:hanging="360"/>
      </w:pPr>
    </w:lvl>
    <w:lvl w:ilvl="2" w:tplc="7996CC68">
      <w:start w:val="1"/>
      <w:numFmt w:val="decimal"/>
      <w:lvlText w:val="%3."/>
      <w:lvlJc w:val="left"/>
      <w:pPr>
        <w:ind w:left="1020" w:hanging="360"/>
      </w:pPr>
    </w:lvl>
    <w:lvl w:ilvl="3" w:tplc="2F22B8EC">
      <w:start w:val="1"/>
      <w:numFmt w:val="decimal"/>
      <w:lvlText w:val="%4."/>
      <w:lvlJc w:val="left"/>
      <w:pPr>
        <w:ind w:left="1020" w:hanging="360"/>
      </w:pPr>
    </w:lvl>
    <w:lvl w:ilvl="4" w:tplc="E41C9F20">
      <w:start w:val="1"/>
      <w:numFmt w:val="decimal"/>
      <w:lvlText w:val="%5."/>
      <w:lvlJc w:val="left"/>
      <w:pPr>
        <w:ind w:left="1020" w:hanging="360"/>
      </w:pPr>
    </w:lvl>
    <w:lvl w:ilvl="5" w:tplc="334AF8F4">
      <w:start w:val="1"/>
      <w:numFmt w:val="decimal"/>
      <w:lvlText w:val="%6."/>
      <w:lvlJc w:val="left"/>
      <w:pPr>
        <w:ind w:left="1020" w:hanging="360"/>
      </w:pPr>
    </w:lvl>
    <w:lvl w:ilvl="6" w:tplc="2B1C3612">
      <w:start w:val="1"/>
      <w:numFmt w:val="decimal"/>
      <w:lvlText w:val="%7."/>
      <w:lvlJc w:val="left"/>
      <w:pPr>
        <w:ind w:left="1020" w:hanging="360"/>
      </w:pPr>
    </w:lvl>
    <w:lvl w:ilvl="7" w:tplc="E32A70C2">
      <w:start w:val="1"/>
      <w:numFmt w:val="decimal"/>
      <w:lvlText w:val="%8."/>
      <w:lvlJc w:val="left"/>
      <w:pPr>
        <w:ind w:left="1020" w:hanging="360"/>
      </w:pPr>
    </w:lvl>
    <w:lvl w:ilvl="8" w:tplc="5D9A3B74">
      <w:start w:val="1"/>
      <w:numFmt w:val="decimal"/>
      <w:lvlText w:val="%9."/>
      <w:lvlJc w:val="left"/>
      <w:pPr>
        <w:ind w:left="1020" w:hanging="360"/>
      </w:p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1DD074D"/>
    <w:multiLevelType w:val="hybridMultilevel"/>
    <w:tmpl w:val="A6F23FA6"/>
    <w:lvl w:ilvl="0" w:tplc="08090001">
      <w:start w:val="1"/>
      <w:numFmt w:val="bullet"/>
      <w:lvlText w:val=""/>
      <w:lvlJc w:val="left"/>
      <w:pPr>
        <w:ind w:left="360" w:hanging="360"/>
      </w:pPr>
      <w:rPr>
        <w:rFonts w:ascii="Symbol" w:hAnsi="Symbol" w:hint="default"/>
        <w:u w:color="FFFFFF" w:themeColor="background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29E65B0"/>
    <w:multiLevelType w:val="hybridMultilevel"/>
    <w:tmpl w:val="B626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13607"/>
    <w:multiLevelType w:val="hybridMultilevel"/>
    <w:tmpl w:val="D11E195A"/>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182B51BC"/>
    <w:multiLevelType w:val="hybridMultilevel"/>
    <w:tmpl w:val="AC9AF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0"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6293C2F"/>
    <w:multiLevelType w:val="hybridMultilevel"/>
    <w:tmpl w:val="27E036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CA0BAD"/>
    <w:multiLevelType w:val="hybridMultilevel"/>
    <w:tmpl w:val="5E38E6B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5A76C0"/>
    <w:multiLevelType w:val="hybridMultilevel"/>
    <w:tmpl w:val="2B3AC120"/>
    <w:lvl w:ilvl="0" w:tplc="1B18F1F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DB7662"/>
    <w:multiLevelType w:val="hybridMultilevel"/>
    <w:tmpl w:val="F27AF1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673C92"/>
    <w:multiLevelType w:val="hybridMultilevel"/>
    <w:tmpl w:val="568A4FB0"/>
    <w:lvl w:ilvl="0" w:tplc="0C6E27C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5F07BFE"/>
    <w:multiLevelType w:val="hybridMultilevel"/>
    <w:tmpl w:val="6AD4B76A"/>
    <w:lvl w:ilvl="0" w:tplc="C6EC0542">
      <w:start w:val="1"/>
      <w:numFmt w:val="decimal"/>
      <w:pStyle w:val="1GAPara"/>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8" w15:restartNumberingAfterBreak="0">
    <w:nsid w:val="372C6347"/>
    <w:multiLevelType w:val="hybridMultilevel"/>
    <w:tmpl w:val="341A58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8067ED5"/>
    <w:multiLevelType w:val="hybridMultilevel"/>
    <w:tmpl w:val="3176D4CA"/>
    <w:lvl w:ilvl="0" w:tplc="E9BC9448">
      <w:start w:val="1"/>
      <w:numFmt w:val="decimal"/>
      <w:lvlText w:val="%1."/>
      <w:lvlJc w:val="left"/>
      <w:pPr>
        <w:ind w:left="720" w:hanging="360"/>
      </w:pPr>
      <w:rPr>
        <w:rFonts w:ascii="Arial" w:eastAsia="Calibri" w:hAnsi="Arial" w:cs="Arial"/>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CCE7D71"/>
    <w:multiLevelType w:val="hybridMultilevel"/>
    <w:tmpl w:val="CA9A18B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F802DE"/>
    <w:multiLevelType w:val="hybridMultilevel"/>
    <w:tmpl w:val="B672A3A8"/>
    <w:lvl w:ilvl="0" w:tplc="E27AF890">
      <w:start w:val="1"/>
      <w:numFmt w:val="lowerLetter"/>
      <w:lvlText w:val="%1)"/>
      <w:lvlJc w:val="left"/>
      <w:pPr>
        <w:ind w:left="720" w:hanging="360"/>
      </w:pPr>
      <w:rPr>
        <w:rFonts w:eastAsia="SimSun"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71665"/>
    <w:multiLevelType w:val="hybridMultilevel"/>
    <w:tmpl w:val="929CF4D0"/>
    <w:lvl w:ilvl="0" w:tplc="D04ECF5C">
      <w:start w:val="1"/>
      <w:numFmt w:val="decimal"/>
      <w:pStyle w:val="ListParagraph"/>
      <w:lvlText w:val="%1."/>
      <w:lvlJc w:val="left"/>
      <w:pPr>
        <w:ind w:left="502"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7F076CE"/>
    <w:multiLevelType w:val="hybridMultilevel"/>
    <w:tmpl w:val="72CEE876"/>
    <w:lvl w:ilvl="0" w:tplc="225C9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3872E2"/>
    <w:multiLevelType w:val="hybridMultilevel"/>
    <w:tmpl w:val="3E70CE88"/>
    <w:lvl w:ilvl="0" w:tplc="44A86D06">
      <w:start w:val="1"/>
      <w:numFmt w:val="bullet"/>
      <w:lvlText w:val=""/>
      <w:lvlJc w:val="left"/>
      <w:pPr>
        <w:ind w:left="360" w:hanging="360"/>
      </w:pPr>
      <w:rPr>
        <w:rFonts w:ascii="Symbol" w:hAnsi="Symbol" w:cs="Symbol" w:hint="default"/>
        <w:u w:color="FFFFFF" w:themeColor="background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C3673B7"/>
    <w:multiLevelType w:val="hybridMultilevel"/>
    <w:tmpl w:val="9BD2715C"/>
    <w:lvl w:ilvl="0" w:tplc="44A86D06">
      <w:start w:val="1"/>
      <w:numFmt w:val="bullet"/>
      <w:lvlText w:val=""/>
      <w:lvlJc w:val="left"/>
      <w:pPr>
        <w:ind w:left="360" w:hanging="360"/>
      </w:pPr>
      <w:rPr>
        <w:rFonts w:ascii="Symbol" w:hAnsi="Symbol" w:cs="Symbol" w:hint="default"/>
        <w:u w:color="FFFFFF" w:themeColor="background1"/>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2BD75A3"/>
    <w:multiLevelType w:val="hybridMultilevel"/>
    <w:tmpl w:val="2F4AB3E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7" w15:restartNumberingAfterBreak="0">
    <w:nsid w:val="53C7470E"/>
    <w:multiLevelType w:val="hybridMultilevel"/>
    <w:tmpl w:val="A8CE726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2917F26"/>
    <w:multiLevelType w:val="hybridMultilevel"/>
    <w:tmpl w:val="C9B837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3612375"/>
    <w:multiLevelType w:val="hybridMultilevel"/>
    <w:tmpl w:val="E9D65AE4"/>
    <w:lvl w:ilvl="0" w:tplc="040C0001">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2F7D6A"/>
    <w:multiLevelType w:val="hybridMultilevel"/>
    <w:tmpl w:val="F4B8DD78"/>
    <w:lvl w:ilvl="0" w:tplc="DBE0C322">
      <w:start w:val="1"/>
      <w:numFmt w:val="decimal"/>
      <w:lvlText w:val="%1."/>
      <w:lvlJc w:val="left"/>
      <w:pPr>
        <w:ind w:left="720" w:hanging="360"/>
      </w:pPr>
      <w:rPr>
        <w:rFonts w:ascii="Arial" w:eastAsia="Calibri" w:hAnsi="Arial" w:cs="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4144F1"/>
    <w:multiLevelType w:val="hybridMultilevel"/>
    <w:tmpl w:val="4AD43974"/>
    <w:lvl w:ilvl="0" w:tplc="08090003">
      <w:start w:val="1"/>
      <w:numFmt w:val="bullet"/>
      <w:lvlText w:val="o"/>
      <w:lvlJc w:val="left"/>
      <w:pPr>
        <w:ind w:left="720" w:hanging="360"/>
      </w:pPr>
      <w:rPr>
        <w:rFonts w:ascii="Courier New" w:hAnsi="Courier New" w:cs="Courier New" w:hint="default"/>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67387668">
    <w:abstractNumId w:val="28"/>
  </w:num>
  <w:num w:numId="2" w16cid:durableId="1506937438">
    <w:abstractNumId w:val="17"/>
  </w:num>
  <w:num w:numId="3" w16cid:durableId="2058314806">
    <w:abstractNumId w:val="9"/>
  </w:num>
  <w:num w:numId="4" w16cid:durableId="1562522762">
    <w:abstractNumId w:val="35"/>
  </w:num>
  <w:num w:numId="5" w16cid:durableId="1338726779">
    <w:abstractNumId w:val="29"/>
  </w:num>
  <w:num w:numId="6" w16cid:durableId="1381636817">
    <w:abstractNumId w:val="4"/>
  </w:num>
  <w:num w:numId="7" w16cid:durableId="434249634">
    <w:abstractNumId w:val="10"/>
  </w:num>
  <w:num w:numId="8" w16cid:durableId="1441948170">
    <w:abstractNumId w:val="16"/>
  </w:num>
  <w:num w:numId="9" w16cid:durableId="1187720211">
    <w:abstractNumId w:val="30"/>
  </w:num>
  <w:num w:numId="10" w16cid:durableId="517619948">
    <w:abstractNumId w:val="20"/>
  </w:num>
  <w:num w:numId="11" w16cid:durableId="263080382">
    <w:abstractNumId w:val="16"/>
  </w:num>
  <w:num w:numId="12" w16cid:durableId="1350911261">
    <w:abstractNumId w:val="1"/>
  </w:num>
  <w:num w:numId="13" w16cid:durableId="1838766155">
    <w:abstractNumId w:val="15"/>
  </w:num>
  <w:num w:numId="14" w16cid:durableId="1735158396">
    <w:abstractNumId w:val="27"/>
  </w:num>
  <w:num w:numId="15" w16cid:durableId="1582906858">
    <w:abstractNumId w:val="16"/>
  </w:num>
  <w:num w:numId="16" w16cid:durableId="2040007478">
    <w:abstractNumId w:val="21"/>
  </w:num>
  <w:num w:numId="17" w16cid:durableId="198978287">
    <w:abstractNumId w:val="16"/>
  </w:num>
  <w:num w:numId="18" w16cid:durableId="381055504">
    <w:abstractNumId w:val="16"/>
  </w:num>
  <w:num w:numId="19" w16cid:durableId="2076783575">
    <w:abstractNumId w:val="22"/>
  </w:num>
  <w:num w:numId="20" w16cid:durableId="953289886">
    <w:abstractNumId w:val="7"/>
  </w:num>
  <w:num w:numId="21" w16cid:durableId="1478261462">
    <w:abstractNumId w:val="18"/>
  </w:num>
  <w:num w:numId="22" w16cid:durableId="778640863">
    <w:abstractNumId w:val="31"/>
  </w:num>
  <w:num w:numId="23" w16cid:durableId="1323578905">
    <w:abstractNumId w:val="2"/>
  </w:num>
  <w:num w:numId="24" w16cid:durableId="550919212">
    <w:abstractNumId w:val="6"/>
  </w:num>
  <w:num w:numId="25" w16cid:durableId="414475267">
    <w:abstractNumId w:val="0"/>
  </w:num>
  <w:num w:numId="26" w16cid:durableId="2030984626">
    <w:abstractNumId w:val="16"/>
  </w:num>
  <w:num w:numId="27" w16cid:durableId="363023960">
    <w:abstractNumId w:val="16"/>
  </w:num>
  <w:num w:numId="28" w16cid:durableId="706491605">
    <w:abstractNumId w:val="16"/>
  </w:num>
  <w:num w:numId="29" w16cid:durableId="344796193">
    <w:abstractNumId w:val="16"/>
  </w:num>
  <w:num w:numId="30" w16cid:durableId="613174467">
    <w:abstractNumId w:val="3"/>
  </w:num>
  <w:num w:numId="31" w16cid:durableId="4927945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0474821">
    <w:abstractNumId w:val="16"/>
  </w:num>
  <w:num w:numId="33" w16cid:durableId="1206064823">
    <w:abstractNumId w:val="16"/>
  </w:num>
  <w:num w:numId="34" w16cid:durableId="1815677346">
    <w:abstractNumId w:val="23"/>
  </w:num>
  <w:num w:numId="35" w16cid:durableId="1236361762">
    <w:abstractNumId w:val="16"/>
  </w:num>
  <w:num w:numId="36" w16cid:durableId="451629804">
    <w:abstractNumId w:val="16"/>
  </w:num>
  <w:num w:numId="37" w16cid:durableId="915669480">
    <w:abstractNumId w:val="16"/>
  </w:num>
  <w:num w:numId="38" w16cid:durableId="1192650461">
    <w:abstractNumId w:val="16"/>
    <w:lvlOverride w:ilvl="0">
      <w:startOverride w:val="1"/>
    </w:lvlOverride>
  </w:num>
  <w:num w:numId="39" w16cid:durableId="529143874">
    <w:abstractNumId w:val="16"/>
  </w:num>
  <w:num w:numId="40" w16cid:durableId="1751727911">
    <w:abstractNumId w:val="16"/>
  </w:num>
  <w:num w:numId="41" w16cid:durableId="1408576587">
    <w:abstractNumId w:val="16"/>
  </w:num>
  <w:num w:numId="42" w16cid:durableId="1157263654">
    <w:abstractNumId w:val="16"/>
  </w:num>
  <w:num w:numId="43" w16cid:durableId="650870466">
    <w:abstractNumId w:val="16"/>
    <w:lvlOverride w:ilvl="0">
      <w:startOverride w:val="1"/>
    </w:lvlOverride>
  </w:num>
  <w:num w:numId="44" w16cid:durableId="1742943046">
    <w:abstractNumId w:val="16"/>
  </w:num>
  <w:num w:numId="45" w16cid:durableId="1719625041">
    <w:abstractNumId w:val="16"/>
  </w:num>
  <w:num w:numId="46" w16cid:durableId="677003117">
    <w:abstractNumId w:val="16"/>
  </w:num>
  <w:num w:numId="47" w16cid:durableId="2033451403">
    <w:abstractNumId w:val="16"/>
  </w:num>
  <w:num w:numId="48" w16cid:durableId="1371688400">
    <w:abstractNumId w:val="16"/>
  </w:num>
  <w:num w:numId="49" w16cid:durableId="1566453400">
    <w:abstractNumId w:val="16"/>
  </w:num>
  <w:num w:numId="50" w16cid:durableId="836075357">
    <w:abstractNumId w:val="16"/>
    <w:lvlOverride w:ilvl="0">
      <w:startOverride w:val="1"/>
    </w:lvlOverride>
  </w:num>
  <w:num w:numId="51" w16cid:durableId="842740516">
    <w:abstractNumId w:val="16"/>
    <w:lvlOverride w:ilvl="0">
      <w:startOverride w:val="1"/>
    </w:lvlOverride>
  </w:num>
  <w:num w:numId="52" w16cid:durableId="1422219397">
    <w:abstractNumId w:val="16"/>
  </w:num>
  <w:num w:numId="53" w16cid:durableId="688873396">
    <w:abstractNumId w:val="16"/>
    <w:lvlOverride w:ilvl="0">
      <w:startOverride w:val="1"/>
    </w:lvlOverride>
  </w:num>
  <w:num w:numId="54" w16cid:durableId="1092511028">
    <w:abstractNumId w:val="16"/>
  </w:num>
  <w:num w:numId="55" w16cid:durableId="1382746555">
    <w:abstractNumId w:val="13"/>
  </w:num>
  <w:num w:numId="56" w16cid:durableId="2005014994">
    <w:abstractNumId w:val="33"/>
  </w:num>
  <w:num w:numId="57" w16cid:durableId="185556449">
    <w:abstractNumId w:val="19"/>
  </w:num>
  <w:num w:numId="58" w16cid:durableId="1703894337">
    <w:abstractNumId w:val="25"/>
  </w:num>
  <w:num w:numId="59" w16cid:durableId="1861118546">
    <w:abstractNumId w:val="12"/>
  </w:num>
  <w:num w:numId="60" w16cid:durableId="238712257">
    <w:abstractNumId w:val="24"/>
  </w:num>
  <w:num w:numId="61" w16cid:durableId="181940936">
    <w:abstractNumId w:val="26"/>
  </w:num>
  <w:num w:numId="62" w16cid:durableId="259684930">
    <w:abstractNumId w:val="11"/>
  </w:num>
  <w:num w:numId="63" w16cid:durableId="1400247666">
    <w:abstractNumId w:val="14"/>
  </w:num>
  <w:num w:numId="64" w16cid:durableId="12231010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76568317">
    <w:abstractNumId w:val="22"/>
  </w:num>
  <w:num w:numId="66" w16cid:durableId="297955784">
    <w:abstractNumId w:val="22"/>
  </w:num>
  <w:num w:numId="67" w16cid:durableId="1825856338">
    <w:abstractNumId w:val="22"/>
  </w:num>
  <w:num w:numId="68" w16cid:durableId="1432583539">
    <w:abstractNumId w:val="22"/>
  </w:num>
  <w:num w:numId="69" w16cid:durableId="1579753132">
    <w:abstractNumId w:val="22"/>
  </w:num>
  <w:num w:numId="70" w16cid:durableId="655499149">
    <w:abstractNumId w:val="22"/>
  </w:num>
  <w:num w:numId="71" w16cid:durableId="1413769840">
    <w:abstractNumId w:val="22"/>
  </w:num>
  <w:num w:numId="72" w16cid:durableId="1538542074">
    <w:abstractNumId w:val="22"/>
  </w:num>
  <w:num w:numId="73" w16cid:durableId="1891645662">
    <w:abstractNumId w:val="22"/>
  </w:num>
  <w:num w:numId="74" w16cid:durableId="677469827">
    <w:abstractNumId w:val="22"/>
  </w:num>
  <w:num w:numId="75" w16cid:durableId="53432712">
    <w:abstractNumId w:val="22"/>
  </w:num>
  <w:num w:numId="76" w16cid:durableId="1719351740">
    <w:abstractNumId w:val="22"/>
  </w:num>
  <w:num w:numId="77" w16cid:durableId="1355577391">
    <w:abstractNumId w:val="22"/>
  </w:num>
  <w:num w:numId="78" w16cid:durableId="362707567">
    <w:abstractNumId w:val="22"/>
  </w:num>
  <w:num w:numId="79" w16cid:durableId="540704316">
    <w:abstractNumId w:val="22"/>
  </w:num>
  <w:num w:numId="80" w16cid:durableId="1166437833">
    <w:abstractNumId w:val="22"/>
  </w:num>
  <w:num w:numId="81" w16cid:durableId="70541422">
    <w:abstractNumId w:val="22"/>
  </w:num>
  <w:num w:numId="82" w16cid:durableId="1509982079">
    <w:abstractNumId w:val="22"/>
  </w:num>
  <w:num w:numId="83" w16cid:durableId="1827285751">
    <w:abstractNumId w:val="22"/>
  </w:num>
  <w:num w:numId="84" w16cid:durableId="1309743627">
    <w:abstractNumId w:val="22"/>
  </w:num>
  <w:num w:numId="85" w16cid:durableId="886919379">
    <w:abstractNumId w:val="22"/>
  </w:num>
  <w:num w:numId="86" w16cid:durableId="21782659">
    <w:abstractNumId w:val="22"/>
  </w:num>
  <w:num w:numId="87" w16cid:durableId="1258752414">
    <w:abstractNumId w:val="22"/>
  </w:num>
  <w:num w:numId="88" w16cid:durableId="109319655">
    <w:abstractNumId w:val="32"/>
  </w:num>
  <w:num w:numId="89" w16cid:durableId="1808736858">
    <w:abstractNumId w:val="8"/>
  </w:num>
  <w:num w:numId="90" w16cid:durableId="925310434">
    <w:abstractNumId w:val="5"/>
  </w:num>
  <w:num w:numId="91" w16cid:durableId="799689932">
    <w:abstractNumId w:val="22"/>
  </w:num>
  <w:num w:numId="92" w16cid:durableId="876704430">
    <w:abstractNumId w:val="22"/>
  </w:num>
  <w:num w:numId="93" w16cid:durableId="818184187">
    <w:abstractNumId w:val="22"/>
  </w:num>
  <w:num w:numId="94" w16cid:durableId="612714994">
    <w:abstractNumId w:val="22"/>
  </w:num>
  <w:num w:numId="95" w16cid:durableId="167986721">
    <w:abstractNumId w:val="3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47CC"/>
    <w:rsid w:val="000120FD"/>
    <w:rsid w:val="00012D9F"/>
    <w:rsid w:val="00013770"/>
    <w:rsid w:val="00016AF9"/>
    <w:rsid w:val="00021831"/>
    <w:rsid w:val="00024EF3"/>
    <w:rsid w:val="00025423"/>
    <w:rsid w:val="00025B58"/>
    <w:rsid w:val="00027B19"/>
    <w:rsid w:val="000324D4"/>
    <w:rsid w:val="000329A3"/>
    <w:rsid w:val="00032CE0"/>
    <w:rsid w:val="00037FC7"/>
    <w:rsid w:val="00047E58"/>
    <w:rsid w:val="000503D9"/>
    <w:rsid w:val="0006103B"/>
    <w:rsid w:val="0006545D"/>
    <w:rsid w:val="00071E74"/>
    <w:rsid w:val="00072751"/>
    <w:rsid w:val="00073D20"/>
    <w:rsid w:val="00074554"/>
    <w:rsid w:val="000755E1"/>
    <w:rsid w:val="00077D4D"/>
    <w:rsid w:val="0008039C"/>
    <w:rsid w:val="00085541"/>
    <w:rsid w:val="00087D96"/>
    <w:rsid w:val="00087F9B"/>
    <w:rsid w:val="00093063"/>
    <w:rsid w:val="00095101"/>
    <w:rsid w:val="00097E88"/>
    <w:rsid w:val="000A34CE"/>
    <w:rsid w:val="000A7235"/>
    <w:rsid w:val="000A7368"/>
    <w:rsid w:val="000B1A48"/>
    <w:rsid w:val="000C65E4"/>
    <w:rsid w:val="000D1FFA"/>
    <w:rsid w:val="000E01E2"/>
    <w:rsid w:val="000E092D"/>
    <w:rsid w:val="000E1670"/>
    <w:rsid w:val="000E4B65"/>
    <w:rsid w:val="001003F7"/>
    <w:rsid w:val="001064D8"/>
    <w:rsid w:val="00106B72"/>
    <w:rsid w:val="00107474"/>
    <w:rsid w:val="001163BF"/>
    <w:rsid w:val="0011750D"/>
    <w:rsid w:val="00121649"/>
    <w:rsid w:val="001412DE"/>
    <w:rsid w:val="00144A4D"/>
    <w:rsid w:val="00145EAF"/>
    <w:rsid w:val="001510CF"/>
    <w:rsid w:val="00151351"/>
    <w:rsid w:val="001540ED"/>
    <w:rsid w:val="00154E16"/>
    <w:rsid w:val="00162F47"/>
    <w:rsid w:val="00174B39"/>
    <w:rsid w:val="00181D38"/>
    <w:rsid w:val="001943EE"/>
    <w:rsid w:val="001A06D7"/>
    <w:rsid w:val="001A431C"/>
    <w:rsid w:val="001A5739"/>
    <w:rsid w:val="001B4B2C"/>
    <w:rsid w:val="001C5BA7"/>
    <w:rsid w:val="001D00B5"/>
    <w:rsid w:val="001D3B29"/>
    <w:rsid w:val="001E4EEB"/>
    <w:rsid w:val="001E6026"/>
    <w:rsid w:val="001F3696"/>
    <w:rsid w:val="001F37CA"/>
    <w:rsid w:val="001F3F33"/>
    <w:rsid w:val="00204B37"/>
    <w:rsid w:val="00207095"/>
    <w:rsid w:val="002105E4"/>
    <w:rsid w:val="00236586"/>
    <w:rsid w:val="00237E43"/>
    <w:rsid w:val="00241ABD"/>
    <w:rsid w:val="0024533D"/>
    <w:rsid w:val="00245617"/>
    <w:rsid w:val="00253FE6"/>
    <w:rsid w:val="002552CE"/>
    <w:rsid w:val="00261CCD"/>
    <w:rsid w:val="0026268A"/>
    <w:rsid w:val="0026430E"/>
    <w:rsid w:val="00267B01"/>
    <w:rsid w:val="0027198B"/>
    <w:rsid w:val="00285724"/>
    <w:rsid w:val="00286C0C"/>
    <w:rsid w:val="00290D5F"/>
    <w:rsid w:val="002938F2"/>
    <w:rsid w:val="002C2906"/>
    <w:rsid w:val="002C3F72"/>
    <w:rsid w:val="002C5280"/>
    <w:rsid w:val="002C61BC"/>
    <w:rsid w:val="002C655F"/>
    <w:rsid w:val="002D396D"/>
    <w:rsid w:val="002D5A42"/>
    <w:rsid w:val="002D7412"/>
    <w:rsid w:val="002F0613"/>
    <w:rsid w:val="002F3074"/>
    <w:rsid w:val="00306E91"/>
    <w:rsid w:val="00307B6A"/>
    <w:rsid w:val="00311166"/>
    <w:rsid w:val="00351091"/>
    <w:rsid w:val="003528F8"/>
    <w:rsid w:val="00353B66"/>
    <w:rsid w:val="0035648A"/>
    <w:rsid w:val="00363995"/>
    <w:rsid w:val="0038432E"/>
    <w:rsid w:val="0039446E"/>
    <w:rsid w:val="003A0E6D"/>
    <w:rsid w:val="003B2AFB"/>
    <w:rsid w:val="003B74C4"/>
    <w:rsid w:val="003C226C"/>
    <w:rsid w:val="003C7065"/>
    <w:rsid w:val="003D1252"/>
    <w:rsid w:val="003D3BDC"/>
    <w:rsid w:val="003D425C"/>
    <w:rsid w:val="003F67F4"/>
    <w:rsid w:val="003F7C81"/>
    <w:rsid w:val="00401720"/>
    <w:rsid w:val="004050C7"/>
    <w:rsid w:val="0040586B"/>
    <w:rsid w:val="004108B6"/>
    <w:rsid w:val="00410FBC"/>
    <w:rsid w:val="00423892"/>
    <w:rsid w:val="004258A8"/>
    <w:rsid w:val="00434773"/>
    <w:rsid w:val="004355EC"/>
    <w:rsid w:val="00440048"/>
    <w:rsid w:val="00440643"/>
    <w:rsid w:val="00442670"/>
    <w:rsid w:val="00447C66"/>
    <w:rsid w:val="004547F4"/>
    <w:rsid w:val="0046335F"/>
    <w:rsid w:val="00471B34"/>
    <w:rsid w:val="00472B44"/>
    <w:rsid w:val="00472D83"/>
    <w:rsid w:val="00476542"/>
    <w:rsid w:val="00476D0A"/>
    <w:rsid w:val="00483688"/>
    <w:rsid w:val="004A00BB"/>
    <w:rsid w:val="004A6034"/>
    <w:rsid w:val="004B0EC3"/>
    <w:rsid w:val="004C27D0"/>
    <w:rsid w:val="004C613A"/>
    <w:rsid w:val="004C652A"/>
    <w:rsid w:val="004C6804"/>
    <w:rsid w:val="004D29E6"/>
    <w:rsid w:val="004E056C"/>
    <w:rsid w:val="004E2817"/>
    <w:rsid w:val="004E7EFF"/>
    <w:rsid w:val="004F1FCD"/>
    <w:rsid w:val="005016FB"/>
    <w:rsid w:val="00511D17"/>
    <w:rsid w:val="0051699F"/>
    <w:rsid w:val="00517D40"/>
    <w:rsid w:val="00531950"/>
    <w:rsid w:val="0053249A"/>
    <w:rsid w:val="005414A1"/>
    <w:rsid w:val="0055213F"/>
    <w:rsid w:val="00556A6D"/>
    <w:rsid w:val="00557A57"/>
    <w:rsid w:val="005634E8"/>
    <w:rsid w:val="00564157"/>
    <w:rsid w:val="00570814"/>
    <w:rsid w:val="005760AB"/>
    <w:rsid w:val="0059659F"/>
    <w:rsid w:val="005A1027"/>
    <w:rsid w:val="005A1D84"/>
    <w:rsid w:val="005A2EE4"/>
    <w:rsid w:val="005A3EC3"/>
    <w:rsid w:val="005A65AB"/>
    <w:rsid w:val="005A7D76"/>
    <w:rsid w:val="005B7F7B"/>
    <w:rsid w:val="005C0660"/>
    <w:rsid w:val="005C4847"/>
    <w:rsid w:val="005D1E2A"/>
    <w:rsid w:val="005D4BC1"/>
    <w:rsid w:val="005E0A0E"/>
    <w:rsid w:val="005E0F98"/>
    <w:rsid w:val="005E323C"/>
    <w:rsid w:val="005E38E4"/>
    <w:rsid w:val="005F56D3"/>
    <w:rsid w:val="00601DD6"/>
    <w:rsid w:val="00602AED"/>
    <w:rsid w:val="00603F71"/>
    <w:rsid w:val="00625FB3"/>
    <w:rsid w:val="00636760"/>
    <w:rsid w:val="006515C9"/>
    <w:rsid w:val="0065176F"/>
    <w:rsid w:val="00652318"/>
    <w:rsid w:val="006552DF"/>
    <w:rsid w:val="006555FF"/>
    <w:rsid w:val="00657327"/>
    <w:rsid w:val="0067005F"/>
    <w:rsid w:val="006761CA"/>
    <w:rsid w:val="006833D0"/>
    <w:rsid w:val="00685658"/>
    <w:rsid w:val="006A0795"/>
    <w:rsid w:val="006A0D86"/>
    <w:rsid w:val="006A3E7D"/>
    <w:rsid w:val="006A71A6"/>
    <w:rsid w:val="006C0911"/>
    <w:rsid w:val="006C608D"/>
    <w:rsid w:val="006D46FB"/>
    <w:rsid w:val="006E053C"/>
    <w:rsid w:val="006E2A35"/>
    <w:rsid w:val="006E3B5B"/>
    <w:rsid w:val="006E3CFA"/>
    <w:rsid w:val="006F3762"/>
    <w:rsid w:val="006F5A33"/>
    <w:rsid w:val="00717484"/>
    <w:rsid w:val="00722FD5"/>
    <w:rsid w:val="00741477"/>
    <w:rsid w:val="0074593C"/>
    <w:rsid w:val="00746204"/>
    <w:rsid w:val="00747715"/>
    <w:rsid w:val="00750138"/>
    <w:rsid w:val="00752CB0"/>
    <w:rsid w:val="00753A8E"/>
    <w:rsid w:val="00753DA3"/>
    <w:rsid w:val="007627B8"/>
    <w:rsid w:val="00764F50"/>
    <w:rsid w:val="007707F5"/>
    <w:rsid w:val="00770A92"/>
    <w:rsid w:val="00774A47"/>
    <w:rsid w:val="00774EBC"/>
    <w:rsid w:val="00782A59"/>
    <w:rsid w:val="00782B8E"/>
    <w:rsid w:val="007879EB"/>
    <w:rsid w:val="00790C65"/>
    <w:rsid w:val="00795991"/>
    <w:rsid w:val="0079722D"/>
    <w:rsid w:val="007A3FB5"/>
    <w:rsid w:val="007A7D45"/>
    <w:rsid w:val="007B5137"/>
    <w:rsid w:val="007B63DB"/>
    <w:rsid w:val="007B6B58"/>
    <w:rsid w:val="007B6F10"/>
    <w:rsid w:val="007C1B00"/>
    <w:rsid w:val="007C2CF1"/>
    <w:rsid w:val="007D13D9"/>
    <w:rsid w:val="007D31CE"/>
    <w:rsid w:val="007D5BB7"/>
    <w:rsid w:val="007E0621"/>
    <w:rsid w:val="007E47AC"/>
    <w:rsid w:val="007E4E37"/>
    <w:rsid w:val="007E6BFE"/>
    <w:rsid w:val="007F0E3C"/>
    <w:rsid w:val="007F3697"/>
    <w:rsid w:val="007F4B07"/>
    <w:rsid w:val="00806F31"/>
    <w:rsid w:val="0083488D"/>
    <w:rsid w:val="008466C3"/>
    <w:rsid w:val="00847267"/>
    <w:rsid w:val="00851458"/>
    <w:rsid w:val="00854D4B"/>
    <w:rsid w:val="00857EF0"/>
    <w:rsid w:val="00861A47"/>
    <w:rsid w:val="00863B95"/>
    <w:rsid w:val="008707FF"/>
    <w:rsid w:val="008724E5"/>
    <w:rsid w:val="00874EE6"/>
    <w:rsid w:val="00880B0A"/>
    <w:rsid w:val="008874CE"/>
    <w:rsid w:val="00893FB2"/>
    <w:rsid w:val="008A3DC5"/>
    <w:rsid w:val="008C49C6"/>
    <w:rsid w:val="008D3BF7"/>
    <w:rsid w:val="008E4F5E"/>
    <w:rsid w:val="008E7DC6"/>
    <w:rsid w:val="008F16C6"/>
    <w:rsid w:val="008F34A1"/>
    <w:rsid w:val="008F7B13"/>
    <w:rsid w:val="00901DB6"/>
    <w:rsid w:val="00906B6C"/>
    <w:rsid w:val="00907479"/>
    <w:rsid w:val="009121CE"/>
    <w:rsid w:val="009127D8"/>
    <w:rsid w:val="00921F65"/>
    <w:rsid w:val="00936A1B"/>
    <w:rsid w:val="00937F73"/>
    <w:rsid w:val="009465CF"/>
    <w:rsid w:val="009529A3"/>
    <w:rsid w:val="009560F0"/>
    <w:rsid w:val="009620D3"/>
    <w:rsid w:val="00963FCB"/>
    <w:rsid w:val="0097002E"/>
    <w:rsid w:val="00971479"/>
    <w:rsid w:val="0097349C"/>
    <w:rsid w:val="00983DD2"/>
    <w:rsid w:val="0099062C"/>
    <w:rsid w:val="0099227A"/>
    <w:rsid w:val="0099549D"/>
    <w:rsid w:val="009A3B95"/>
    <w:rsid w:val="009B55AC"/>
    <w:rsid w:val="009D0088"/>
    <w:rsid w:val="009D4547"/>
    <w:rsid w:val="009D47F1"/>
    <w:rsid w:val="009D5E38"/>
    <w:rsid w:val="009E7424"/>
    <w:rsid w:val="009F310B"/>
    <w:rsid w:val="009F34A4"/>
    <w:rsid w:val="009F3988"/>
    <w:rsid w:val="00A041F3"/>
    <w:rsid w:val="00A150C7"/>
    <w:rsid w:val="00A2072C"/>
    <w:rsid w:val="00A24116"/>
    <w:rsid w:val="00A322D9"/>
    <w:rsid w:val="00A460EC"/>
    <w:rsid w:val="00A47D0A"/>
    <w:rsid w:val="00A519A2"/>
    <w:rsid w:val="00A534AD"/>
    <w:rsid w:val="00A70883"/>
    <w:rsid w:val="00A77AEB"/>
    <w:rsid w:val="00A80403"/>
    <w:rsid w:val="00A808EA"/>
    <w:rsid w:val="00A85010"/>
    <w:rsid w:val="00A86042"/>
    <w:rsid w:val="00A97128"/>
    <w:rsid w:val="00A97EEC"/>
    <w:rsid w:val="00AA3662"/>
    <w:rsid w:val="00AA444A"/>
    <w:rsid w:val="00AB1528"/>
    <w:rsid w:val="00AB358D"/>
    <w:rsid w:val="00AB6C26"/>
    <w:rsid w:val="00AC4C2B"/>
    <w:rsid w:val="00AC4CC9"/>
    <w:rsid w:val="00AD7AA7"/>
    <w:rsid w:val="00AE1B18"/>
    <w:rsid w:val="00AE1CFA"/>
    <w:rsid w:val="00AE2547"/>
    <w:rsid w:val="00AE67DF"/>
    <w:rsid w:val="00AE6E54"/>
    <w:rsid w:val="00AE7F36"/>
    <w:rsid w:val="00AF1C32"/>
    <w:rsid w:val="00B11AE3"/>
    <w:rsid w:val="00B21562"/>
    <w:rsid w:val="00B23B02"/>
    <w:rsid w:val="00B25DBE"/>
    <w:rsid w:val="00B2779B"/>
    <w:rsid w:val="00B31B9E"/>
    <w:rsid w:val="00B46D2E"/>
    <w:rsid w:val="00B6167A"/>
    <w:rsid w:val="00B75604"/>
    <w:rsid w:val="00B85EB6"/>
    <w:rsid w:val="00B973B5"/>
    <w:rsid w:val="00BA078B"/>
    <w:rsid w:val="00BC181F"/>
    <w:rsid w:val="00BD1945"/>
    <w:rsid w:val="00BD28DA"/>
    <w:rsid w:val="00BD489A"/>
    <w:rsid w:val="00BD59BD"/>
    <w:rsid w:val="00C0693A"/>
    <w:rsid w:val="00C0773B"/>
    <w:rsid w:val="00C14556"/>
    <w:rsid w:val="00C1651E"/>
    <w:rsid w:val="00C321D6"/>
    <w:rsid w:val="00C36EAA"/>
    <w:rsid w:val="00C40CE3"/>
    <w:rsid w:val="00C447C0"/>
    <w:rsid w:val="00C56414"/>
    <w:rsid w:val="00C60314"/>
    <w:rsid w:val="00C6478B"/>
    <w:rsid w:val="00C65379"/>
    <w:rsid w:val="00C70EFC"/>
    <w:rsid w:val="00C86AB5"/>
    <w:rsid w:val="00C86DDB"/>
    <w:rsid w:val="00CB0F37"/>
    <w:rsid w:val="00CB1202"/>
    <w:rsid w:val="00CB43C6"/>
    <w:rsid w:val="00CB4F60"/>
    <w:rsid w:val="00CC2BC6"/>
    <w:rsid w:val="00CD07E9"/>
    <w:rsid w:val="00CE0CDB"/>
    <w:rsid w:val="00CE1EE1"/>
    <w:rsid w:val="00CE2586"/>
    <w:rsid w:val="00CE293E"/>
    <w:rsid w:val="00CE352E"/>
    <w:rsid w:val="00CE66ED"/>
    <w:rsid w:val="00CE7230"/>
    <w:rsid w:val="00CF4882"/>
    <w:rsid w:val="00CF4EBF"/>
    <w:rsid w:val="00D040D9"/>
    <w:rsid w:val="00D05B7B"/>
    <w:rsid w:val="00D07239"/>
    <w:rsid w:val="00D142FF"/>
    <w:rsid w:val="00D216DB"/>
    <w:rsid w:val="00D404B7"/>
    <w:rsid w:val="00D46EBD"/>
    <w:rsid w:val="00D809E5"/>
    <w:rsid w:val="00D81948"/>
    <w:rsid w:val="00D81B20"/>
    <w:rsid w:val="00D9501F"/>
    <w:rsid w:val="00DA16A7"/>
    <w:rsid w:val="00DA66C3"/>
    <w:rsid w:val="00DB0CD2"/>
    <w:rsid w:val="00DB1F92"/>
    <w:rsid w:val="00DB50D5"/>
    <w:rsid w:val="00DB6CA2"/>
    <w:rsid w:val="00DB72FE"/>
    <w:rsid w:val="00DC13D3"/>
    <w:rsid w:val="00DC2AB5"/>
    <w:rsid w:val="00DC79A5"/>
    <w:rsid w:val="00DF3DA3"/>
    <w:rsid w:val="00E06A00"/>
    <w:rsid w:val="00E10FDE"/>
    <w:rsid w:val="00E111FA"/>
    <w:rsid w:val="00E13568"/>
    <w:rsid w:val="00E178A5"/>
    <w:rsid w:val="00E20E4A"/>
    <w:rsid w:val="00E20E6C"/>
    <w:rsid w:val="00E22B99"/>
    <w:rsid w:val="00E258D9"/>
    <w:rsid w:val="00E25B03"/>
    <w:rsid w:val="00E27563"/>
    <w:rsid w:val="00E3509F"/>
    <w:rsid w:val="00E419F1"/>
    <w:rsid w:val="00E43399"/>
    <w:rsid w:val="00E439CA"/>
    <w:rsid w:val="00E449E6"/>
    <w:rsid w:val="00E5219B"/>
    <w:rsid w:val="00E704E3"/>
    <w:rsid w:val="00E72B36"/>
    <w:rsid w:val="00E822D2"/>
    <w:rsid w:val="00E8512A"/>
    <w:rsid w:val="00E86D08"/>
    <w:rsid w:val="00E93F6E"/>
    <w:rsid w:val="00EA03AB"/>
    <w:rsid w:val="00EA10E9"/>
    <w:rsid w:val="00EA198F"/>
    <w:rsid w:val="00EB7660"/>
    <w:rsid w:val="00EB7EE9"/>
    <w:rsid w:val="00EC0045"/>
    <w:rsid w:val="00EC7662"/>
    <w:rsid w:val="00ED4AB5"/>
    <w:rsid w:val="00EF0BCB"/>
    <w:rsid w:val="00EF0E74"/>
    <w:rsid w:val="00EF1E7A"/>
    <w:rsid w:val="00F00E8A"/>
    <w:rsid w:val="00F12242"/>
    <w:rsid w:val="00F1557C"/>
    <w:rsid w:val="00F228E9"/>
    <w:rsid w:val="00F23551"/>
    <w:rsid w:val="00F33650"/>
    <w:rsid w:val="00F363D7"/>
    <w:rsid w:val="00F40C51"/>
    <w:rsid w:val="00F428E1"/>
    <w:rsid w:val="00F44C0B"/>
    <w:rsid w:val="00F45B5C"/>
    <w:rsid w:val="00F473CB"/>
    <w:rsid w:val="00F50245"/>
    <w:rsid w:val="00F5360B"/>
    <w:rsid w:val="00F63DDA"/>
    <w:rsid w:val="00F661F9"/>
    <w:rsid w:val="00F70858"/>
    <w:rsid w:val="00F726B0"/>
    <w:rsid w:val="00F7397F"/>
    <w:rsid w:val="00F73D3D"/>
    <w:rsid w:val="00F75949"/>
    <w:rsid w:val="00F811D0"/>
    <w:rsid w:val="00F82B88"/>
    <w:rsid w:val="00F90F7E"/>
    <w:rsid w:val="00F91E0B"/>
    <w:rsid w:val="00F941F0"/>
    <w:rsid w:val="00FA3F86"/>
    <w:rsid w:val="00FA417E"/>
    <w:rsid w:val="00FB3EC1"/>
    <w:rsid w:val="00FB54C1"/>
    <w:rsid w:val="00FD1941"/>
    <w:rsid w:val="00FD3235"/>
    <w:rsid w:val="00FD3BA8"/>
    <w:rsid w:val="00FD671E"/>
    <w:rsid w:val="00FE324C"/>
    <w:rsid w:val="00FE41A9"/>
    <w:rsid w:val="00FE51B7"/>
    <w:rsid w:val="00FF2B1D"/>
    <w:rsid w:val="00FF3B61"/>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C8FBD"/>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1">
    <w:name w:val="heading 1"/>
    <w:basedOn w:val="Normal"/>
    <w:next w:val="Normal"/>
    <w:link w:val="Heading1Char"/>
    <w:qFormat/>
    <w:rsid w:val="009620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42"/>
      </w:numPr>
      <w:spacing w:after="120"/>
    </w:pPr>
    <w:rPr>
      <w:rFonts w:ascii="Arial" w:eastAsia="Times New Roman" w:hAnsi="Arial" w:cs="Arial"/>
      <w:snapToGrid w:val="0"/>
      <w:sz w:val="22"/>
      <w:szCs w:val="22"/>
      <w:lang w:val="en-GB"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E27563"/>
    <w:rPr>
      <w:rFonts w:ascii="Times New Roman" w:eastAsia="Times New Roman" w:hAnsi="Times New Roman"/>
      <w:sz w:val="24"/>
      <w:szCs w:val="24"/>
    </w:rPr>
  </w:style>
  <w:style w:type="character" w:customStyle="1" w:styleId="NoSpacingChar">
    <w:name w:val="No Spacing Char"/>
    <w:link w:val="NoSpacing"/>
    <w:uiPriority w:val="1"/>
    <w:locked/>
    <w:rsid w:val="00E27563"/>
    <w:rPr>
      <w:rFonts w:ascii="Times New Roman" w:eastAsia="Times New Roman" w:hAnsi="Times New Roman"/>
      <w:sz w:val="24"/>
      <w:szCs w:val="24"/>
    </w:rPr>
  </w:style>
  <w:style w:type="paragraph" w:customStyle="1" w:styleId="Pranumrotrecommenc1">
    <w:name w:val="Pra numéroté recommencé à 1"/>
    <w:basedOn w:val="Normal"/>
    <w:rsid w:val="00E27563"/>
    <w:pPr>
      <w:tabs>
        <w:tab w:val="num" w:pos="360"/>
      </w:tabs>
      <w:spacing w:after="0"/>
      <w:ind w:left="360" w:hanging="360"/>
    </w:pPr>
    <w:rPr>
      <w:rFonts w:ascii="Arial" w:hAnsi="Arial"/>
      <w:sz w:val="24"/>
      <w:lang w:val="fr-FR"/>
    </w:rPr>
  </w:style>
  <w:style w:type="character" w:styleId="Hyperlink">
    <w:name w:val="Hyperlink"/>
    <w:rsid w:val="00DC2AB5"/>
    <w:rPr>
      <w:color w:val="0000FF"/>
      <w:u w:val="single"/>
    </w:rPr>
  </w:style>
  <w:style w:type="paragraph" w:styleId="FootnoteText">
    <w:name w:val="footnote text"/>
    <w:basedOn w:val="Normal"/>
    <w:link w:val="FootnoteTextChar"/>
    <w:unhideWhenUsed/>
    <w:rsid w:val="00BD28DA"/>
    <w:pPr>
      <w:spacing w:after="0"/>
    </w:pPr>
    <w:rPr>
      <w:sz w:val="20"/>
      <w:szCs w:val="20"/>
    </w:rPr>
  </w:style>
  <w:style w:type="character" w:customStyle="1" w:styleId="FootnoteTextChar">
    <w:name w:val="Footnote Text Char"/>
    <w:basedOn w:val="DefaultParagraphFont"/>
    <w:link w:val="FootnoteText"/>
    <w:rsid w:val="00BD28DA"/>
    <w:rPr>
      <w:rFonts w:ascii="Times New Roman" w:eastAsia="Times New Roman" w:hAnsi="Times New Roman"/>
      <w:lang w:val="en-GB"/>
    </w:rPr>
  </w:style>
  <w:style w:type="character" w:styleId="FootnoteReference">
    <w:name w:val="footnote reference"/>
    <w:uiPriority w:val="99"/>
    <w:unhideWhenUsed/>
    <w:rsid w:val="00BD28DA"/>
    <w:rPr>
      <w:vertAlign w:val="superscript"/>
    </w:rPr>
  </w:style>
  <w:style w:type="paragraph" w:styleId="ListParagraph">
    <w:name w:val="List Paragraph"/>
    <w:basedOn w:val="Marge"/>
    <w:qFormat/>
    <w:rsid w:val="00EC7662"/>
    <w:pPr>
      <w:numPr>
        <w:numId w:val="19"/>
      </w:numPr>
      <w:spacing w:after="120"/>
    </w:pPr>
    <w:rPr>
      <w:rFonts w:cs="Arial"/>
      <w:szCs w:val="22"/>
    </w:rPr>
  </w:style>
  <w:style w:type="character" w:styleId="FollowedHyperlink">
    <w:name w:val="FollowedHyperlink"/>
    <w:basedOn w:val="DefaultParagraphFont"/>
    <w:semiHidden/>
    <w:unhideWhenUsed/>
    <w:rsid w:val="00BA078B"/>
    <w:rPr>
      <w:color w:val="800080" w:themeColor="followedHyperlink"/>
      <w:u w:val="single"/>
    </w:rPr>
  </w:style>
  <w:style w:type="paragraph" w:customStyle="1" w:styleId="COMPara">
    <w:name w:val="COM Para"/>
    <w:qFormat/>
    <w:rsid w:val="00722FD5"/>
    <w:pPr>
      <w:spacing w:after="120"/>
      <w:ind w:left="720" w:hanging="360"/>
    </w:pPr>
    <w:rPr>
      <w:rFonts w:ascii="Arial" w:eastAsia="Times New Roman" w:hAnsi="Arial" w:cs="Arial"/>
      <w:snapToGrid w:val="0"/>
      <w:sz w:val="22"/>
      <w:szCs w:val="22"/>
      <w:lang w:val="en-GB" w:eastAsia="en-US"/>
    </w:rPr>
  </w:style>
  <w:style w:type="character" w:customStyle="1" w:styleId="hps">
    <w:name w:val="hps"/>
    <w:rsid w:val="003D3BDC"/>
  </w:style>
  <w:style w:type="character" w:styleId="UnresolvedMention">
    <w:name w:val="Unresolved Mention"/>
    <w:basedOn w:val="DefaultParagraphFont"/>
    <w:uiPriority w:val="99"/>
    <w:semiHidden/>
    <w:unhideWhenUsed/>
    <w:rsid w:val="00EB7EE9"/>
    <w:rPr>
      <w:color w:val="605E5C"/>
      <w:shd w:val="clear" w:color="auto" w:fill="E1DFDD"/>
    </w:rPr>
  </w:style>
  <w:style w:type="paragraph" w:styleId="NormalWeb">
    <w:name w:val="Normal (Web)"/>
    <w:basedOn w:val="Normal"/>
    <w:semiHidden/>
    <w:unhideWhenUsed/>
    <w:rsid w:val="00E704E3"/>
    <w:rPr>
      <w:sz w:val="24"/>
    </w:rPr>
  </w:style>
  <w:style w:type="character" w:customStyle="1" w:styleId="Heading1Char">
    <w:name w:val="Heading 1 Char"/>
    <w:basedOn w:val="DefaultParagraphFont"/>
    <w:link w:val="Heading1"/>
    <w:rsid w:val="009620D3"/>
    <w:rPr>
      <w:rFonts w:asciiTheme="majorHAnsi" w:eastAsiaTheme="majorEastAsia" w:hAnsiTheme="majorHAnsi" w:cstheme="majorBidi"/>
      <w:color w:val="365F91" w:themeColor="accent1" w:themeShade="BF"/>
      <w:sz w:val="32"/>
      <w:szCs w:val="32"/>
      <w:lang w:val="en-GB"/>
    </w:rPr>
  </w:style>
  <w:style w:type="paragraph" w:styleId="Revision">
    <w:name w:val="Revision"/>
    <w:hidden/>
    <w:semiHidden/>
    <w:rsid w:val="006552DF"/>
    <w:rPr>
      <w:rFonts w:ascii="Times New Roman" w:eastAsia="Times New Roman" w:hAnsi="Times New Roman"/>
      <w:sz w:val="22"/>
      <w:szCs w:val="24"/>
      <w:lang w:val="en-GB"/>
    </w:rPr>
  </w:style>
  <w:style w:type="character" w:styleId="Strong">
    <w:name w:val="Strong"/>
    <w:basedOn w:val="DefaultParagraphFont"/>
    <w:uiPriority w:val="22"/>
    <w:qFormat/>
    <w:rsid w:val="00261C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537">
      <w:bodyDiv w:val="1"/>
      <w:marLeft w:val="0"/>
      <w:marRight w:val="0"/>
      <w:marTop w:val="0"/>
      <w:marBottom w:val="0"/>
      <w:divBdr>
        <w:top w:val="none" w:sz="0" w:space="0" w:color="auto"/>
        <w:left w:val="none" w:sz="0" w:space="0" w:color="auto"/>
        <w:bottom w:val="none" w:sz="0" w:space="0" w:color="auto"/>
        <w:right w:val="none" w:sz="0" w:space="0" w:color="auto"/>
      </w:divBdr>
    </w:div>
    <w:div w:id="208953348">
      <w:bodyDiv w:val="1"/>
      <w:marLeft w:val="0"/>
      <w:marRight w:val="0"/>
      <w:marTop w:val="0"/>
      <w:marBottom w:val="0"/>
      <w:divBdr>
        <w:top w:val="none" w:sz="0" w:space="0" w:color="auto"/>
        <w:left w:val="none" w:sz="0" w:space="0" w:color="auto"/>
        <w:bottom w:val="none" w:sz="0" w:space="0" w:color="auto"/>
        <w:right w:val="none" w:sz="0" w:space="0" w:color="auto"/>
      </w:divBdr>
    </w:div>
    <w:div w:id="271209340">
      <w:bodyDiv w:val="1"/>
      <w:marLeft w:val="0"/>
      <w:marRight w:val="0"/>
      <w:marTop w:val="0"/>
      <w:marBottom w:val="0"/>
      <w:divBdr>
        <w:top w:val="none" w:sz="0" w:space="0" w:color="auto"/>
        <w:left w:val="none" w:sz="0" w:space="0" w:color="auto"/>
        <w:bottom w:val="none" w:sz="0" w:space="0" w:color="auto"/>
        <w:right w:val="none" w:sz="0" w:space="0" w:color="auto"/>
      </w:divBdr>
    </w:div>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465006858">
      <w:bodyDiv w:val="1"/>
      <w:marLeft w:val="0"/>
      <w:marRight w:val="0"/>
      <w:marTop w:val="0"/>
      <w:marBottom w:val="0"/>
      <w:divBdr>
        <w:top w:val="none" w:sz="0" w:space="0" w:color="auto"/>
        <w:left w:val="none" w:sz="0" w:space="0" w:color="auto"/>
        <w:bottom w:val="none" w:sz="0" w:space="0" w:color="auto"/>
        <w:right w:val="none" w:sz="0" w:space="0" w:color="auto"/>
      </w:divBdr>
    </w:div>
    <w:div w:id="592471419">
      <w:bodyDiv w:val="1"/>
      <w:marLeft w:val="0"/>
      <w:marRight w:val="0"/>
      <w:marTop w:val="0"/>
      <w:marBottom w:val="0"/>
      <w:divBdr>
        <w:top w:val="none" w:sz="0" w:space="0" w:color="auto"/>
        <w:left w:val="none" w:sz="0" w:space="0" w:color="auto"/>
        <w:bottom w:val="none" w:sz="0" w:space="0" w:color="auto"/>
        <w:right w:val="none" w:sz="0" w:space="0" w:color="auto"/>
      </w:divBdr>
    </w:div>
    <w:div w:id="678853154">
      <w:bodyDiv w:val="1"/>
      <w:marLeft w:val="0"/>
      <w:marRight w:val="0"/>
      <w:marTop w:val="0"/>
      <w:marBottom w:val="0"/>
      <w:divBdr>
        <w:top w:val="none" w:sz="0" w:space="0" w:color="auto"/>
        <w:left w:val="none" w:sz="0" w:space="0" w:color="auto"/>
        <w:bottom w:val="none" w:sz="0" w:space="0" w:color="auto"/>
        <w:right w:val="none" w:sz="0" w:space="0" w:color="auto"/>
      </w:divBdr>
    </w:div>
    <w:div w:id="1052459821">
      <w:bodyDiv w:val="1"/>
      <w:marLeft w:val="0"/>
      <w:marRight w:val="0"/>
      <w:marTop w:val="0"/>
      <w:marBottom w:val="0"/>
      <w:divBdr>
        <w:top w:val="none" w:sz="0" w:space="0" w:color="auto"/>
        <w:left w:val="none" w:sz="0" w:space="0" w:color="auto"/>
        <w:bottom w:val="none" w:sz="0" w:space="0" w:color="auto"/>
        <w:right w:val="none" w:sz="0" w:space="0" w:color="auto"/>
      </w:divBdr>
    </w:div>
    <w:div w:id="1098410995">
      <w:bodyDiv w:val="1"/>
      <w:marLeft w:val="0"/>
      <w:marRight w:val="0"/>
      <w:marTop w:val="0"/>
      <w:marBottom w:val="0"/>
      <w:divBdr>
        <w:top w:val="none" w:sz="0" w:space="0" w:color="auto"/>
        <w:left w:val="none" w:sz="0" w:space="0" w:color="auto"/>
        <w:bottom w:val="none" w:sz="0" w:space="0" w:color="auto"/>
        <w:right w:val="none" w:sz="0" w:space="0" w:color="auto"/>
      </w:divBdr>
    </w:div>
    <w:div w:id="1118374431">
      <w:bodyDiv w:val="1"/>
      <w:marLeft w:val="0"/>
      <w:marRight w:val="0"/>
      <w:marTop w:val="0"/>
      <w:marBottom w:val="0"/>
      <w:divBdr>
        <w:top w:val="none" w:sz="0" w:space="0" w:color="auto"/>
        <w:left w:val="none" w:sz="0" w:space="0" w:color="auto"/>
        <w:bottom w:val="none" w:sz="0" w:space="0" w:color="auto"/>
        <w:right w:val="none" w:sz="0" w:space="0" w:color="auto"/>
      </w:divBdr>
    </w:div>
    <w:div w:id="1247378388">
      <w:bodyDiv w:val="1"/>
      <w:marLeft w:val="0"/>
      <w:marRight w:val="0"/>
      <w:marTop w:val="0"/>
      <w:marBottom w:val="0"/>
      <w:divBdr>
        <w:top w:val="none" w:sz="0" w:space="0" w:color="auto"/>
        <w:left w:val="none" w:sz="0" w:space="0" w:color="auto"/>
        <w:bottom w:val="none" w:sz="0" w:space="0" w:color="auto"/>
        <w:right w:val="none" w:sz="0" w:space="0" w:color="auto"/>
      </w:divBdr>
    </w:div>
    <w:div w:id="1474636878">
      <w:bodyDiv w:val="1"/>
      <w:marLeft w:val="0"/>
      <w:marRight w:val="0"/>
      <w:marTop w:val="0"/>
      <w:marBottom w:val="0"/>
      <w:divBdr>
        <w:top w:val="none" w:sz="0" w:space="0" w:color="auto"/>
        <w:left w:val="none" w:sz="0" w:space="0" w:color="auto"/>
        <w:bottom w:val="none" w:sz="0" w:space="0" w:color="auto"/>
        <w:right w:val="none" w:sz="0" w:space="0" w:color="auto"/>
      </w:divBdr>
    </w:div>
    <w:div w:id="1644965983">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76962733">
      <w:bodyDiv w:val="1"/>
      <w:marLeft w:val="0"/>
      <w:marRight w:val="0"/>
      <w:marTop w:val="0"/>
      <w:marBottom w:val="0"/>
      <w:divBdr>
        <w:top w:val="none" w:sz="0" w:space="0" w:color="auto"/>
        <w:left w:val="none" w:sz="0" w:space="0" w:color="auto"/>
        <w:bottom w:val="none" w:sz="0" w:space="0" w:color="auto"/>
        <w:right w:val="none" w:sz="0" w:space="0" w:color="auto"/>
      </w:divBdr>
    </w:div>
    <w:div w:id="2107142614">
      <w:bodyDiv w:val="1"/>
      <w:marLeft w:val="0"/>
      <w:marRight w:val="0"/>
      <w:marTop w:val="0"/>
      <w:marBottom w:val="0"/>
      <w:divBdr>
        <w:top w:val="none" w:sz="0" w:space="0" w:color="auto"/>
        <w:left w:val="none" w:sz="0" w:space="0" w:color="auto"/>
        <w:bottom w:val="none" w:sz="0" w:space="0" w:color="auto"/>
        <w:right w:val="none" w:sz="0" w:space="0" w:color="auto"/>
      </w:divBdr>
    </w:div>
    <w:div w:id="211998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emf"/><Relationship Id="rId21" Type="http://schemas.openxmlformats.org/officeDocument/2006/relationships/hyperlink" Target="https://ich.unesco.org/en/Decisions/7.GA/8" TargetMode="External"/><Relationship Id="rId34" Type="http://schemas.openxmlformats.org/officeDocument/2006/relationships/hyperlink" Target="https://ich.unesco.org/en/decisions-bureau/15.COM%25202.BUR/3.1" TargetMode="External"/><Relationship Id="rId42" Type="http://schemas.openxmlformats.org/officeDocument/2006/relationships/hyperlink" Target="https://ich.unesco.org/en/decisions-bureau/17.COM%204.BUR/3.4" TargetMode="External"/><Relationship Id="rId47" Type="http://schemas.openxmlformats.org/officeDocument/2006/relationships/hyperlink" Target="https://ich.unesco.org/en/decisions-bureau/20.COM%202.BUR/3" TargetMode="External"/><Relationship Id="rId50" Type="http://schemas.openxmlformats.org/officeDocument/2006/relationships/hyperlink" Target="https://ich.unesco.org/en/decisions-bureau/17.COM%205.BUR/3.2" TargetMode="External"/><Relationship Id="rId55" Type="http://schemas.openxmlformats.org/officeDocument/2006/relationships/hyperlink" Target="https://ich.unesco.org/en/decisions-bureau/18.COM%202.BUR/4.4" TargetMode="External"/><Relationship Id="rId63" Type="http://schemas.openxmlformats.org/officeDocument/2006/relationships/hyperlink" Target="https://ich.unesco.org/en/decisions/18.COM/8.D" TargetMode="External"/><Relationship Id="rId68" Type="http://schemas.openxmlformats.org/officeDocument/2006/relationships/hyperlink" Target="https://ich.unesco.org/en/events/training-programme-for-the-global-facilitators-network-information-webinar-01031" TargetMode="External"/><Relationship Id="rId76" Type="http://schemas.openxmlformats.org/officeDocument/2006/relationships/hyperlink" Target="https://ich.unesco.org/en/clearinghouse-education" TargetMode="External"/><Relationship Id="rId84" Type="http://schemas.openxmlformats.org/officeDocument/2006/relationships/hyperlink" Target="https://ich.unesco.org/en/reflection-on-a-broader-implementation-of-article-18-01302" TargetMode="External"/><Relationship Id="rId89" Type="http://schemas.openxmlformats.org/officeDocument/2006/relationships/hyperlink" Target="https://ich.unesco.org/en/basic-texts-00503" TargetMode="External"/><Relationship Id="rId97" Type="http://schemas.openxmlformats.org/officeDocument/2006/relationships/hyperlink" Target="https://ich.unesco.org/doc/src/LHE-25-20.COM-6.c_EN.docx" TargetMode="External"/><Relationship Id="rId7" Type="http://schemas.openxmlformats.org/officeDocument/2006/relationships/endnotes" Target="endnotes.xml"/><Relationship Id="rId71" Type="http://schemas.openxmlformats.org/officeDocument/2006/relationships/hyperlink" Target="https://ich.unesco.org/en/events/thirteenth-annual-coordination-meeting-of-category-2-centres-active-in-the-field-of-intangible-cultural-heritage-01042" TargetMode="External"/><Relationship Id="rId92" Type="http://schemas.openxmlformats.org/officeDocument/2006/relationships/hyperlink" Target="https://youtu.be/sDf-xQ83Zes" TargetMode="External"/><Relationship Id="rId2" Type="http://schemas.openxmlformats.org/officeDocument/2006/relationships/numbering" Target="numbering.xml"/><Relationship Id="rId16" Type="http://schemas.openxmlformats.org/officeDocument/2006/relationships/hyperlink" Target="https://ich.unesco.org/doc/src/LHE-24-19.COM-9_EN.docx" TargetMode="External"/><Relationship Id="rId29" Type="http://schemas.openxmlformats.org/officeDocument/2006/relationships/header" Target="header2.xml"/><Relationship Id="rId11" Type="http://schemas.openxmlformats.org/officeDocument/2006/relationships/hyperlink" Target="https://ich.unesco.org/doc/src/LHE-24-19.COM-12_Rev_EN.docx" TargetMode="External"/><Relationship Id="rId24" Type="http://schemas.openxmlformats.org/officeDocument/2006/relationships/hyperlink" Target="https://ich.unesco.org/doc/src/LHE-24-10.GA-8_EN.docx" TargetMode="External"/><Relationship Id="rId32" Type="http://schemas.openxmlformats.org/officeDocument/2006/relationships/image" Target="media/image6.emf"/><Relationship Id="rId37" Type="http://schemas.openxmlformats.org/officeDocument/2006/relationships/hyperlink" Target="https://ich.unesco.org/en/decisions/19.COM%203.BUR/3.1" TargetMode="External"/><Relationship Id="rId40" Type="http://schemas.openxmlformats.org/officeDocument/2006/relationships/hyperlink" Target="https://ich.unesco.org/en/decisions/18.COM%201.BUR/4.2" TargetMode="External"/><Relationship Id="rId45" Type="http://schemas.openxmlformats.org/officeDocument/2006/relationships/hyperlink" Target="https://ich.unesco.org/en/decisions-bureau/19.COM%203.BUR/3.3" TargetMode="External"/><Relationship Id="rId53" Type="http://schemas.openxmlformats.org/officeDocument/2006/relationships/hyperlink" Target="https://ich.unesco.org/en/decisions/18.COM%202.BUR/4.3" TargetMode="External"/><Relationship Id="rId58" Type="http://schemas.openxmlformats.org/officeDocument/2006/relationships/hyperlink" Target="https://ich.unesco.org/en/decisions-bureau/15.COM%202.BUR/3.5" TargetMode="External"/><Relationship Id="rId66" Type="http://schemas.openxmlformats.org/officeDocument/2006/relationships/hyperlink" Target="https://capacity-building.ich.unesco.org/login/index.php" TargetMode="External"/><Relationship Id="rId74" Type="http://schemas.openxmlformats.org/officeDocument/2006/relationships/hyperlink" Target="https://ich.unesco.org/en/events/reflection-meeting-on-safeguarding-living-heritage-in-formal-and-non-formal-education-01039" TargetMode="External"/><Relationship Id="rId79" Type="http://schemas.openxmlformats.org/officeDocument/2006/relationships/hyperlink" Target="https://ich.unesco.org/en/expert-meeting-on-safeguarding-intangible-cultural-heritage-and-climate-change-01353" TargetMode="External"/><Relationship Id="rId87" Type="http://schemas.openxmlformats.org/officeDocument/2006/relationships/hyperlink" Target="https://ich.unesco.org/en/sharing-good-safeguarding-experiences" TargetMode="External"/><Relationship Id="rId5" Type="http://schemas.openxmlformats.org/officeDocument/2006/relationships/webSettings" Target="webSettings.xml"/><Relationship Id="rId61" Type="http://schemas.openxmlformats.org/officeDocument/2006/relationships/hyperlink" Target="https://ich.unesco.org/en/decisions/18.COM%203.BUR/3.3" TargetMode="External"/><Relationship Id="rId82" Type="http://schemas.openxmlformats.org/officeDocument/2006/relationships/hyperlink" Target="https://ich.unesco.org/en/expert-meeting-on-urban-contexts-01405" TargetMode="External"/><Relationship Id="rId90" Type="http://schemas.openxmlformats.org/officeDocument/2006/relationships/hyperlink" Target="https://ich.unesco.org/en/celebrations-in-2024-01400" TargetMode="External"/><Relationship Id="rId95" Type="http://schemas.openxmlformats.org/officeDocument/2006/relationships/hyperlink" Target="https://ich.unesco.org/en/Decisions/14.COM/15" TargetMode="External"/><Relationship Id="rId19" Type="http://schemas.openxmlformats.org/officeDocument/2006/relationships/hyperlink" Target="https://ich.unesco.org/en/decisions/10.GA/8" TargetMode="External"/><Relationship Id="rId14" Type="http://schemas.openxmlformats.org/officeDocument/2006/relationships/hyperlink" Target="https://ich.unesco.org/en/decisions/3.GA/9" TargetMode="External"/><Relationship Id="rId22" Type="http://schemas.openxmlformats.org/officeDocument/2006/relationships/hyperlink" Target="https://ich.unesco.org/en/d%C3%A9cisions/8.COM/7.C" TargetMode="External"/><Relationship Id="rId27" Type="http://schemas.openxmlformats.org/officeDocument/2006/relationships/image" Target="media/image3.emf"/><Relationship Id="rId30" Type="http://schemas.openxmlformats.org/officeDocument/2006/relationships/header" Target="header3.xml"/><Relationship Id="rId35" Type="http://schemas.openxmlformats.org/officeDocument/2006/relationships/hyperlink" Target="https://ich.unesco.org/en/decisions/18.COM%202.BUR/4.1" TargetMode="External"/><Relationship Id="rId43" Type="http://schemas.openxmlformats.org/officeDocument/2006/relationships/hyperlink" Target="https://ich.unesco.org/en/decisions/17.COM%204.BUR/3.2" TargetMode="External"/><Relationship Id="rId48" Type="http://schemas.openxmlformats.org/officeDocument/2006/relationships/hyperlink" Target="https://ich.unesco.org/en/decisions/19.COM%201.BUR/3.1" TargetMode="External"/><Relationship Id="rId56" Type="http://schemas.openxmlformats.org/officeDocument/2006/relationships/hyperlink" Target="https://ich.unesco.org/en/decisions-bureau/17.COM%204.BUR/3.3" TargetMode="External"/><Relationship Id="rId64" Type="http://schemas.openxmlformats.org/officeDocument/2006/relationships/hyperlink" Target="https://ich.unesco.org/en/decisions/10.GA/8" TargetMode="External"/><Relationship Id="rId69" Type="http://schemas.openxmlformats.org/officeDocument/2006/relationships/hyperlink" Target="https://ich.unesco.org/doc/src/LHE-24-19.COM-6.b_EN.docx" TargetMode="External"/><Relationship Id="rId77" Type="http://schemas.openxmlformats.org/officeDocument/2006/relationships/hyperlink" Target="https://ich.unesco.org/doc/src/68297-EN.pdf" TargetMode="External"/><Relationship Id="rId8" Type="http://schemas.openxmlformats.org/officeDocument/2006/relationships/hyperlink" Target="https://ich.unesco.org/en/Decisions/8.GA/7" TargetMode="External"/><Relationship Id="rId51" Type="http://schemas.openxmlformats.org/officeDocument/2006/relationships/hyperlink" Target="https://ich.unesco.org/en/decisions-bureau/18.COM%203.BUR/3.2" TargetMode="External"/><Relationship Id="rId72" Type="http://schemas.openxmlformats.org/officeDocument/2006/relationships/hyperlink" Target="https://ich.unesco.org/en/unesco-chairs-and-unitwin-networks-01333" TargetMode="External"/><Relationship Id="rId80" Type="http://schemas.openxmlformats.org/officeDocument/2006/relationships/hyperlink" Target="https://ich.unesco.org/doc/src/68292-EN.pdf" TargetMode="External"/><Relationship Id="rId85" Type="http://schemas.openxmlformats.org/officeDocument/2006/relationships/hyperlink" Target="https://ich.unesco.org/en/decisions/18.COM/11" TargetMode="External"/><Relationship Id="rId93" Type="http://schemas.openxmlformats.org/officeDocument/2006/relationships/hyperlink" Target="https://ich.unesco.org/en/events/webinar-on-artificial-intelligence-and-intangible-cultural-heritage-01012"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ich.unesco.org/doc/src/LHE-25-20.COM-13_EN.docx" TargetMode="External"/><Relationship Id="rId17" Type="http://schemas.openxmlformats.org/officeDocument/2006/relationships/hyperlink" Target="https://ich.unesco.org/doc/src/LHE-25-20.COM-10_EN.docx" TargetMode="External"/><Relationship Id="rId25" Type="http://schemas.openxmlformats.org/officeDocument/2006/relationships/image" Target="media/image1.emf"/><Relationship Id="rId33" Type="http://schemas.openxmlformats.org/officeDocument/2006/relationships/hyperlink" Target="https://ich.unesco.org/en/decisions-bureau/19.COM%202.BUR/3.1" TargetMode="External"/><Relationship Id="rId38" Type="http://schemas.openxmlformats.org/officeDocument/2006/relationships/hyperlink" Target="https://ich.unesco.org/en/decisions/19.COM%202.BUR/3.3" TargetMode="External"/><Relationship Id="rId46" Type="http://schemas.openxmlformats.org/officeDocument/2006/relationships/hyperlink" Target="https://ich.unesco.org/en/decisions-bureau/18.COM%202.BUR/3.1" TargetMode="External"/><Relationship Id="rId59" Type="http://schemas.openxmlformats.org/officeDocument/2006/relationships/hyperlink" Target="https://ich.unesco.org/en/decisions-bureau/17.COM%205.BUR/3.3" TargetMode="External"/><Relationship Id="rId67" Type="http://schemas.openxmlformats.org/officeDocument/2006/relationships/hyperlink" Target="https://ich.unesco.org/en/events/strengthening-the-global-network-of-facilitators-of-the-2003-convention-training-workshop-for-new-facilitators-from-latin-america-and-the-caribbean-01016" TargetMode="External"/><Relationship Id="rId20" Type="http://schemas.openxmlformats.org/officeDocument/2006/relationships/hyperlink" Target="https://ich.unesco.org/en/decisions/18.COM/14" TargetMode="External"/><Relationship Id="rId41" Type="http://schemas.openxmlformats.org/officeDocument/2006/relationships/hyperlink" Target="https://ich.unesco.org/en/decisions/19.COM%201.BUR/4.1" TargetMode="External"/><Relationship Id="rId54" Type="http://schemas.openxmlformats.org/officeDocument/2006/relationships/hyperlink" Target="https://ich.unesco.org/en/decisions/18.COM/8.A.6" TargetMode="External"/><Relationship Id="rId62" Type="http://schemas.openxmlformats.org/officeDocument/2006/relationships/hyperlink" Target="https://ich.unesco.org/en/decisions-bureau/18.COM%202.BUR/4.7" TargetMode="External"/><Relationship Id="rId70" Type="http://schemas.openxmlformats.org/officeDocument/2006/relationships/hyperlink" Target="https://ich.unesco.org/en/events/twelfth-annual-coordination-meeting-of-category-2-centres-active-in-the-field-of-intangible-cultural-heritage-00999" TargetMode="External"/><Relationship Id="rId75" Type="http://schemas.openxmlformats.org/officeDocument/2006/relationships/hyperlink" Target="https://www.unesco.org/sites/default/files/medias/fichiers/2024/02/WCCAE_UNESCO%20Framework_EN_0.pdf" TargetMode="External"/><Relationship Id="rId83" Type="http://schemas.openxmlformats.org/officeDocument/2006/relationships/hyperlink" Target="https://ich.unesco.org/doc/src/LHE-25-20.COM-12_EN.docx" TargetMode="External"/><Relationship Id="rId88" Type="http://schemas.openxmlformats.org/officeDocument/2006/relationships/hyperlink" Target="https://ich.unesco.org/en/regional-consultation-meetings-in-preparation-of-the-reflection-year-01394" TargetMode="External"/><Relationship Id="rId91" Type="http://schemas.openxmlformats.org/officeDocument/2006/relationships/hyperlink" Target="https://youtu.be/sDf-xQ83Zes" TargetMode="External"/><Relationship Id="rId96" Type="http://schemas.openxmlformats.org/officeDocument/2006/relationships/hyperlink" Target="https://ich.unesco.org/en/accredited-ngo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en/decisions/10.GA/8" TargetMode="External"/><Relationship Id="rId23" Type="http://schemas.openxmlformats.org/officeDocument/2006/relationships/hyperlink" Target="https://unesdoc.unesco.org/in/documentViewer.xhtml?v=2.1.196&amp;id=p::usmarcdef_0000389188&amp;file=/in/rest/annotationSVC/DownloadWatermarkedAttachment/attach_import_fe30410b-cd79-4c40-bc56-cd068b3ec940%3F_%3D389188eng.pdf&amp;locale=en&amp;multi=true&amp;ark=/ark:/48223/pf0000389188/PDF/389188eng.pdf" TargetMode="External"/><Relationship Id="rId28" Type="http://schemas.openxmlformats.org/officeDocument/2006/relationships/header" Target="header1.xml"/><Relationship Id="rId36" Type="http://schemas.openxmlformats.org/officeDocument/2006/relationships/hyperlink" Target="https://ich.unesco.org/en/decisions/19.COM%202.BUR/3.2" TargetMode="External"/><Relationship Id="rId49" Type="http://schemas.openxmlformats.org/officeDocument/2006/relationships/hyperlink" Target="https://ich.unesco.org/en/decisions-bureau/19.COM%201.BUR/4.2" TargetMode="External"/><Relationship Id="rId57" Type="http://schemas.openxmlformats.org/officeDocument/2006/relationships/hyperlink" Target="https://ich.unesco.org/en/decisions-bureau/19.COM%203.BUR/3.4" TargetMode="External"/><Relationship Id="rId10" Type="http://schemas.openxmlformats.org/officeDocument/2006/relationships/hyperlink" Target="https://ich.unesco.org/doc/src/LHE-25-20.COM-5_EN.docx" TargetMode="External"/><Relationship Id="rId31" Type="http://schemas.openxmlformats.org/officeDocument/2006/relationships/image" Target="media/image5.emf"/><Relationship Id="rId44" Type="http://schemas.openxmlformats.org/officeDocument/2006/relationships/hyperlink" Target="https://ich.unesco.org/en/decisions-bureau/19.COM%203.BUR/3.2" TargetMode="External"/><Relationship Id="rId52" Type="http://schemas.openxmlformats.org/officeDocument/2006/relationships/hyperlink" Target="https://ich.unesco.org/en/decisions-bureau/18.COM%202.BUR/4.2" TargetMode="External"/><Relationship Id="rId60" Type="http://schemas.openxmlformats.org/officeDocument/2006/relationships/hyperlink" Target="https://ich.unesco.org/en/decisions-bureau/19.COM%201.BUR/4.3" TargetMode="External"/><Relationship Id="rId65" Type="http://schemas.openxmlformats.org/officeDocument/2006/relationships/hyperlink" Target="https://ich.unesco.org/en/learning-platform-01397" TargetMode="External"/><Relationship Id="rId73" Type="http://schemas.openxmlformats.org/officeDocument/2006/relationships/hyperlink" Target="https://ich.unesco.org/doc/src/LHE-25-20.COM-INF.13.2_EN.docx" TargetMode="External"/><Relationship Id="rId78" Type="http://schemas.openxmlformats.org/officeDocument/2006/relationships/hyperlink" Target="https://ich.unesco.org/en/decisions/18.COM/12" TargetMode="External"/><Relationship Id="rId81" Type="http://schemas.openxmlformats.org/officeDocument/2006/relationships/hyperlink" Target="https://ich.unesco.org/en/decisions/19.COM/11" TargetMode="External"/><Relationship Id="rId86" Type="http://schemas.openxmlformats.org/officeDocument/2006/relationships/hyperlink" Target="https://ich.unesco.org/en/decisions/19.COM/10" TargetMode="External"/><Relationship Id="rId94" Type="http://schemas.openxmlformats.org/officeDocument/2006/relationships/hyperlink" Target="https://unesdoc.unesco.org/ark:/48223/pf0000390088"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doc/src/LHE-25-20.COM-14_EN.docx" TargetMode="External"/><Relationship Id="rId13" Type="http://schemas.openxmlformats.org/officeDocument/2006/relationships/hyperlink" Target="https://ich.unesco.org/en/decisions/19.COM/12" TargetMode="External"/><Relationship Id="rId18" Type="http://schemas.openxmlformats.org/officeDocument/2006/relationships/hyperlink" Target="https://ich.unesco.org/en/Decisions/17.COM/11" TargetMode="External"/><Relationship Id="rId39" Type="http://schemas.openxmlformats.org/officeDocument/2006/relationships/hyperlink" Target="https://ich.unesco.org/en/decisions-bureau/18.COM%203.BUR/3.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en/decisions-bureau/19.COM%202.BUR/4.1" TargetMode="External"/><Relationship Id="rId13" Type="http://schemas.openxmlformats.org/officeDocument/2006/relationships/hyperlink" Target="https://ich.unesco.org/en/decisions-bureau/20.COM%203.BUR/4.5" TargetMode="External"/><Relationship Id="rId3" Type="http://schemas.openxmlformats.org/officeDocument/2006/relationships/hyperlink" Target="https://ich.unesco.org/en/decisions/13.COM%202.BUR/4.6" TargetMode="External"/><Relationship Id="rId7" Type="http://schemas.openxmlformats.org/officeDocument/2006/relationships/hyperlink" Target="https://ich.unesco.org/en/decisions-bureau/20.COM%203.BUR/3.1" TargetMode="External"/><Relationship Id="rId12" Type="http://schemas.openxmlformats.org/officeDocument/2006/relationships/hyperlink" Target="https://ich.unesco.org/en/decisions-bureau/20.COM%203.BUR/4.4" TargetMode="External"/><Relationship Id="rId2" Type="http://schemas.openxmlformats.org/officeDocument/2006/relationships/hyperlink" Target="https://ich.unesco.org/en/decisions-bureau/14.COM%202.BUR/5.3" TargetMode="External"/><Relationship Id="rId1" Type="http://schemas.openxmlformats.org/officeDocument/2006/relationships/hyperlink" Target="https://ich.unesco.org/doc/src/71015-EN.pdf" TargetMode="External"/><Relationship Id="rId6" Type="http://schemas.openxmlformats.org/officeDocument/2006/relationships/hyperlink" Target="https://ich.unesco.org/en/decisions-bureau/19.COM%203.BUR/3.2" TargetMode="External"/><Relationship Id="rId11" Type="http://schemas.openxmlformats.org/officeDocument/2006/relationships/hyperlink" Target="https://ich.unesco.org/en/decisions-bureau/20.COM%203.BUR/4.3" TargetMode="External"/><Relationship Id="rId5" Type="http://schemas.openxmlformats.org/officeDocument/2006/relationships/hyperlink" Target="https://ich.unesco.org/en/decisions-bureau/20.COM%202.BUR/3" TargetMode="External"/><Relationship Id="rId15" Type="http://schemas.openxmlformats.org/officeDocument/2006/relationships/hyperlink" Target="https://ich.unesco.org/en/decisions-bureau/20.COM%203.BUR/4.1" TargetMode="External"/><Relationship Id="rId10" Type="http://schemas.openxmlformats.org/officeDocument/2006/relationships/hyperlink" Target="https://ich.unesco.org/en/decisions-bureau/20.COM%203.BUR/4.2" TargetMode="External"/><Relationship Id="rId4" Type="http://schemas.openxmlformats.org/officeDocument/2006/relationships/hyperlink" Target="https://ich.unesco.org/en/decisions/19.COM%203.BUR/3.1" TargetMode="External"/><Relationship Id="rId9" Type="http://schemas.openxmlformats.org/officeDocument/2006/relationships/hyperlink" Target="https://ich.unesco.org/en/decisions-bureau/19.COM%202.BUR/4.2" TargetMode="External"/><Relationship Id="rId14" Type="http://schemas.openxmlformats.org/officeDocument/2006/relationships/hyperlink" Target="https://ich.unesco.org/en/decisions-bureau/20.COM%203.BUR/4.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10 COM_Information document_EN</Template>
  <TotalTime>317</TotalTime>
  <Pages>16</Pages>
  <Words>4983</Words>
  <Characters>36090</Characters>
  <Application>Microsoft Office Word</Application>
  <DocSecurity>0</DocSecurity>
  <Lines>300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Nakata Glenat, Keiichi Julien</cp:lastModifiedBy>
  <cp:revision>8</cp:revision>
  <cp:lastPrinted>2025-09-22T10:19:00Z</cp:lastPrinted>
  <dcterms:created xsi:type="dcterms:W3CDTF">2025-11-27T14:25:00Z</dcterms:created>
  <dcterms:modified xsi:type="dcterms:W3CDTF">2025-11-28T18:02:00Z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6341df98-9878-4c4f-9fdc-6c7e8668cb12</vt:lpwstr>
  </property>
</Properties>
</file>