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46A7090D" w:rsidR="002938F2" w:rsidRPr="006B2C51" w:rsidRDefault="002938F2" w:rsidP="00AE1B18">
      <w:pPr>
        <w:spacing w:before="1440"/>
        <w:jc w:val="center"/>
        <w:rPr>
          <w:rFonts w:ascii="Arial" w:hAnsi="Arial" w:cs="Arial"/>
          <w:b/>
          <w:szCs w:val="22"/>
        </w:rPr>
      </w:pPr>
      <w:r w:rsidRPr="006B2C51">
        <w:rPr>
          <w:rFonts w:ascii="Arial" w:hAnsi="Arial" w:cs="Arial"/>
          <w:b/>
          <w:szCs w:val="22"/>
        </w:rPr>
        <w:t>CONVENT</w:t>
      </w:r>
      <w:r w:rsidR="00E72B36" w:rsidRPr="006B2C51">
        <w:rPr>
          <w:rFonts w:ascii="Arial" w:hAnsi="Arial" w:cs="Arial"/>
          <w:b/>
          <w:szCs w:val="22"/>
        </w:rPr>
        <w:t>ION FOR THE SAFEGUARDING OF THE</w:t>
      </w:r>
      <w:r w:rsidRPr="006B2C51">
        <w:rPr>
          <w:rFonts w:ascii="Arial" w:hAnsi="Arial" w:cs="Arial"/>
          <w:b/>
          <w:szCs w:val="22"/>
        </w:rPr>
        <w:br/>
        <w:t>INTANGIBLE CULTURAL HERITAGE</w:t>
      </w:r>
    </w:p>
    <w:p w14:paraId="1D2DE622" w14:textId="77777777" w:rsidR="007E4E37" w:rsidRPr="006B2C51" w:rsidRDefault="007E4E37" w:rsidP="007E4E37">
      <w:pPr>
        <w:spacing w:before="1200"/>
        <w:jc w:val="center"/>
        <w:rPr>
          <w:rFonts w:ascii="Arial" w:hAnsi="Arial" w:cs="Arial"/>
          <w:b/>
          <w:szCs w:val="22"/>
        </w:rPr>
      </w:pPr>
      <w:r w:rsidRPr="006B2C51">
        <w:rPr>
          <w:rFonts w:ascii="Arial" w:hAnsi="Arial" w:cs="Arial"/>
          <w:b/>
          <w:szCs w:val="22"/>
        </w:rPr>
        <w:t>INTERGOVERNMENTAL COMMITTEE FOR THE</w:t>
      </w:r>
      <w:r w:rsidRPr="006B2C51">
        <w:rPr>
          <w:rFonts w:ascii="Arial" w:hAnsi="Arial" w:cs="Arial"/>
          <w:b/>
          <w:szCs w:val="22"/>
        </w:rPr>
        <w:br/>
        <w:t>SAFEGUARDING OF THE INTANGIBLE CULTURAL HERITAGE</w:t>
      </w:r>
    </w:p>
    <w:p w14:paraId="1DA5CC95" w14:textId="2C8488D8" w:rsidR="00FE41A9" w:rsidRPr="006B2C51" w:rsidRDefault="006E053C" w:rsidP="00FE41A9">
      <w:pPr>
        <w:spacing w:before="840" w:after="0"/>
        <w:jc w:val="center"/>
        <w:rPr>
          <w:rFonts w:ascii="Arial" w:hAnsi="Arial" w:cs="Arial"/>
          <w:b/>
          <w:szCs w:val="22"/>
        </w:rPr>
      </w:pPr>
      <w:r w:rsidRPr="006B2C51">
        <w:rPr>
          <w:rFonts w:ascii="Arial" w:eastAsiaTheme="minorEastAsia" w:hAnsi="Arial" w:cs="Arial"/>
          <w:b/>
          <w:szCs w:val="22"/>
          <w:lang w:eastAsia="ko-KR"/>
        </w:rPr>
        <w:t>Twentie</w:t>
      </w:r>
      <w:r w:rsidR="00FE41A9" w:rsidRPr="006B2C51">
        <w:rPr>
          <w:rFonts w:ascii="Arial" w:eastAsiaTheme="minorEastAsia" w:hAnsi="Arial" w:cs="Arial"/>
          <w:b/>
          <w:szCs w:val="22"/>
          <w:lang w:eastAsia="ko-KR"/>
        </w:rPr>
        <w:t xml:space="preserve">th </w:t>
      </w:r>
      <w:r w:rsidR="00FE41A9" w:rsidRPr="006B2C51">
        <w:rPr>
          <w:rFonts w:ascii="Arial" w:hAnsi="Arial" w:cs="Arial"/>
          <w:b/>
          <w:szCs w:val="22"/>
        </w:rPr>
        <w:t>session</w:t>
      </w:r>
    </w:p>
    <w:p w14:paraId="7CA63FC6" w14:textId="01CB91C7" w:rsidR="00FE41A9" w:rsidRPr="006B2C51" w:rsidRDefault="006E053C" w:rsidP="00FE41A9">
      <w:pPr>
        <w:spacing w:after="0"/>
        <w:jc w:val="center"/>
        <w:rPr>
          <w:rFonts w:ascii="Arial" w:hAnsi="Arial" w:cs="Arial"/>
          <w:b/>
          <w:szCs w:val="22"/>
        </w:rPr>
      </w:pPr>
      <w:r w:rsidRPr="006B2C51">
        <w:rPr>
          <w:rFonts w:ascii="Arial" w:hAnsi="Arial" w:cs="Arial"/>
          <w:b/>
          <w:szCs w:val="22"/>
        </w:rPr>
        <w:t>New Delhi</w:t>
      </w:r>
      <w:r w:rsidR="00FE41A9" w:rsidRPr="006B2C51">
        <w:rPr>
          <w:rFonts w:ascii="Arial" w:hAnsi="Arial" w:cs="Arial"/>
          <w:b/>
          <w:szCs w:val="22"/>
        </w:rPr>
        <w:t xml:space="preserve">, Republic of </w:t>
      </w:r>
      <w:r w:rsidRPr="006B2C51">
        <w:rPr>
          <w:rFonts w:ascii="Arial" w:hAnsi="Arial" w:cs="Arial"/>
          <w:b/>
          <w:szCs w:val="22"/>
        </w:rPr>
        <w:t>India</w:t>
      </w:r>
    </w:p>
    <w:p w14:paraId="10E9925B" w14:textId="64203A66" w:rsidR="00FE41A9" w:rsidRPr="006B2C51" w:rsidRDefault="006E053C" w:rsidP="00FE41A9">
      <w:pPr>
        <w:spacing w:after="0"/>
        <w:jc w:val="center"/>
        <w:rPr>
          <w:rFonts w:ascii="Arial" w:hAnsi="Arial" w:cs="Arial"/>
          <w:b/>
          <w:szCs w:val="22"/>
        </w:rPr>
      </w:pPr>
      <w:r w:rsidRPr="006B2C51">
        <w:rPr>
          <w:rFonts w:ascii="Arial" w:hAnsi="Arial" w:cs="Arial"/>
          <w:b/>
          <w:szCs w:val="22"/>
        </w:rPr>
        <w:t>8</w:t>
      </w:r>
      <w:r w:rsidR="00FE41A9" w:rsidRPr="006B2C51">
        <w:rPr>
          <w:rFonts w:ascii="Arial" w:hAnsi="Arial" w:cs="Arial"/>
          <w:b/>
          <w:szCs w:val="22"/>
        </w:rPr>
        <w:t xml:space="preserve"> to</w:t>
      </w:r>
      <w:r w:rsidRPr="006B2C51">
        <w:rPr>
          <w:rFonts w:ascii="Arial" w:hAnsi="Arial" w:cs="Arial"/>
          <w:b/>
          <w:szCs w:val="22"/>
        </w:rPr>
        <w:t xml:space="preserve"> 13</w:t>
      </w:r>
      <w:r w:rsidR="00FE41A9" w:rsidRPr="006B2C51">
        <w:rPr>
          <w:rFonts w:ascii="Arial" w:hAnsi="Arial" w:cs="Arial"/>
          <w:b/>
          <w:szCs w:val="22"/>
        </w:rPr>
        <w:t xml:space="preserve"> December 202</w:t>
      </w:r>
      <w:r w:rsidRPr="006B2C51">
        <w:rPr>
          <w:rFonts w:ascii="Arial" w:hAnsi="Arial" w:cs="Arial"/>
          <w:b/>
          <w:szCs w:val="22"/>
        </w:rPr>
        <w:t>5</w:t>
      </w:r>
    </w:p>
    <w:p w14:paraId="2DC6C2DB" w14:textId="77777777" w:rsidR="009D742C" w:rsidRPr="006B2C51" w:rsidRDefault="00D816FB" w:rsidP="00570814">
      <w:pPr>
        <w:spacing w:before="1200" w:after="0"/>
        <w:jc w:val="center"/>
        <w:rPr>
          <w:rFonts w:ascii="Arial" w:eastAsiaTheme="minorEastAsia" w:hAnsi="Arial" w:cs="Arial"/>
          <w:b/>
          <w:szCs w:val="22"/>
          <w:u w:val="single"/>
          <w:lang w:eastAsia="ko-KR"/>
        </w:rPr>
      </w:pPr>
      <w:r w:rsidRPr="006B2C51">
        <w:rPr>
          <w:rFonts w:ascii="Arial" w:eastAsiaTheme="minorEastAsia" w:hAnsi="Arial" w:cs="Arial"/>
          <w:b/>
          <w:szCs w:val="22"/>
          <w:u w:val="single"/>
          <w:lang w:eastAsia="ko-KR"/>
        </w:rPr>
        <w:t xml:space="preserve">Report on Funding </w:t>
      </w:r>
      <w:r w:rsidR="0032652E" w:rsidRPr="006B2C51">
        <w:rPr>
          <w:rFonts w:ascii="Arial" w:eastAsiaTheme="minorEastAsia" w:hAnsi="Arial" w:cs="Arial"/>
          <w:b/>
          <w:szCs w:val="22"/>
          <w:u w:val="single"/>
          <w:lang w:eastAsia="ko-KR"/>
        </w:rPr>
        <w:t>P</w:t>
      </w:r>
      <w:r w:rsidRPr="006B2C51">
        <w:rPr>
          <w:rFonts w:ascii="Arial" w:eastAsiaTheme="minorEastAsia" w:hAnsi="Arial" w:cs="Arial"/>
          <w:b/>
          <w:szCs w:val="22"/>
          <w:u w:val="single"/>
          <w:lang w:eastAsia="ko-KR"/>
        </w:rPr>
        <w:t xml:space="preserve">riority </w:t>
      </w:r>
      <w:r w:rsidR="008936F7" w:rsidRPr="006B2C51">
        <w:rPr>
          <w:rFonts w:ascii="Arial" w:eastAsiaTheme="minorEastAsia" w:hAnsi="Arial" w:cs="Arial"/>
          <w:b/>
          <w:szCs w:val="22"/>
          <w:u w:val="single"/>
          <w:lang w:eastAsia="ko-KR"/>
        </w:rPr>
        <w:t>2</w:t>
      </w:r>
      <w:r w:rsidRPr="006B2C51">
        <w:rPr>
          <w:rFonts w:ascii="Arial" w:eastAsiaTheme="minorEastAsia" w:hAnsi="Arial" w:cs="Arial"/>
          <w:b/>
          <w:szCs w:val="22"/>
          <w:u w:val="single"/>
          <w:lang w:eastAsia="ko-KR"/>
        </w:rPr>
        <w:t>:</w:t>
      </w:r>
    </w:p>
    <w:p w14:paraId="7F8237B5" w14:textId="5642B0E8" w:rsidR="00851458" w:rsidRPr="006B2C51" w:rsidRDefault="006D0BCF" w:rsidP="00384CD5">
      <w:pPr>
        <w:spacing w:after="0"/>
        <w:jc w:val="center"/>
        <w:rPr>
          <w:rFonts w:ascii="Arial" w:eastAsiaTheme="minorEastAsia" w:hAnsi="Arial" w:cs="Arial"/>
          <w:b/>
          <w:szCs w:val="22"/>
          <w:u w:val="single"/>
          <w:lang w:eastAsia="ko-KR"/>
        </w:rPr>
      </w:pPr>
      <w:r w:rsidRPr="006B2C51">
        <w:rPr>
          <w:rFonts w:ascii="Arial" w:eastAsiaTheme="minorEastAsia" w:hAnsi="Arial" w:cs="Arial"/>
          <w:b/>
          <w:szCs w:val="22"/>
          <w:u w:val="single"/>
          <w:lang w:eastAsia="ko-KR"/>
        </w:rPr>
        <w:t>S</w:t>
      </w:r>
      <w:r w:rsidR="008936F7" w:rsidRPr="006B2C51">
        <w:rPr>
          <w:rFonts w:ascii="Arial" w:eastAsiaTheme="minorEastAsia" w:hAnsi="Arial" w:cs="Arial"/>
          <w:b/>
          <w:szCs w:val="22"/>
          <w:u w:val="single"/>
          <w:lang w:eastAsia="ko-KR"/>
        </w:rPr>
        <w:t>afeguarding living heritage in formal and non-forma</w:t>
      </w:r>
      <w:r w:rsidR="00DA329E" w:rsidRPr="006B2C51">
        <w:rPr>
          <w:rFonts w:ascii="Arial" w:eastAsiaTheme="minorEastAsia" w:hAnsi="Arial" w:cs="Arial"/>
          <w:b/>
          <w:szCs w:val="22"/>
          <w:u w:val="single"/>
          <w:lang w:eastAsia="ko-KR"/>
        </w:rPr>
        <w:t>l</w:t>
      </w:r>
      <w:r w:rsidR="008936F7" w:rsidRPr="006B2C51">
        <w:rPr>
          <w:rFonts w:ascii="Arial" w:eastAsiaTheme="minorEastAsia" w:hAnsi="Arial" w:cs="Arial"/>
          <w:b/>
          <w:szCs w:val="22"/>
          <w:u w:val="single"/>
          <w:lang w:eastAsia="ko-KR"/>
        </w:rPr>
        <w:t xml:space="preserve"> education</w:t>
      </w:r>
      <w:r w:rsidR="009D742C" w:rsidRPr="006B2C51">
        <w:rPr>
          <w:rFonts w:ascii="Arial" w:eastAsiaTheme="minorEastAsia" w:hAnsi="Arial" w:cs="Arial"/>
          <w:b/>
          <w:szCs w:val="22"/>
          <w:u w:val="single"/>
          <w:lang w:eastAsia="ko-KR"/>
        </w:rPr>
        <w:t xml:space="preserve"> (2022</w:t>
      </w:r>
      <w:r w:rsidR="00DB7B72" w:rsidRPr="008673AD">
        <w:rPr>
          <w:b/>
          <w:bCs/>
        </w:rPr>
        <w:t>-</w:t>
      </w:r>
      <w:r w:rsidR="009D742C" w:rsidRPr="006B2C51">
        <w:rPr>
          <w:rFonts w:ascii="Arial" w:eastAsiaTheme="minorEastAsia" w:hAnsi="Arial" w:cs="Arial"/>
          <w:b/>
          <w:szCs w:val="22"/>
          <w:u w:val="single"/>
          <w:lang w:eastAsia="ko-KR"/>
        </w:rPr>
        <w:t>2025)</w:t>
      </w:r>
    </w:p>
    <w:p w14:paraId="40F4823E" w14:textId="77777777" w:rsidR="0060216F" w:rsidRPr="006B2C51" w:rsidRDefault="00851458" w:rsidP="00384CD5">
      <w:pPr>
        <w:pStyle w:val="1GAPara"/>
        <w:numPr>
          <w:ilvl w:val="0"/>
          <w:numId w:val="0"/>
        </w:numPr>
        <w:jc w:val="both"/>
        <w:rPr>
          <w:b/>
          <w:bCs/>
        </w:rPr>
      </w:pPr>
      <w:r w:rsidRPr="006B2C51">
        <w:br w:type="page"/>
      </w:r>
      <w:bookmarkStart w:id="0" w:name="_Hlk206417940"/>
      <w:r w:rsidR="0060216F" w:rsidRPr="006B2C51">
        <w:rPr>
          <w:b/>
          <w:bCs/>
        </w:rPr>
        <w:lastRenderedPageBreak/>
        <w:t>Background</w:t>
      </w:r>
    </w:p>
    <w:p w14:paraId="152480A6" w14:textId="6F657685" w:rsidR="000A640C" w:rsidRPr="006B2C51" w:rsidRDefault="001202EA" w:rsidP="00C8240B">
      <w:pPr>
        <w:pStyle w:val="1GAPara"/>
        <w:widowControl w:val="0"/>
        <w:ind w:left="567" w:hanging="567"/>
        <w:jc w:val="both"/>
      </w:pPr>
      <w:r w:rsidRPr="006B2C51">
        <w:t xml:space="preserve">Living heritage offers context-specific </w:t>
      </w:r>
      <w:r w:rsidR="00C7186C">
        <w:t xml:space="preserve">content and </w:t>
      </w:r>
      <w:r w:rsidRPr="006B2C51">
        <w:t>pedagogy that enhance</w:t>
      </w:r>
      <w:r w:rsidR="006B2C51">
        <w:t>s</w:t>
      </w:r>
      <w:r w:rsidRPr="006B2C51">
        <w:t xml:space="preserve"> the relevance and quality of education, while also promoting a broader approach to safeguarding. By contextualizing how and what </w:t>
      </w:r>
      <w:r w:rsidR="004E5B8F" w:rsidRPr="006B2C51">
        <w:t>one</w:t>
      </w:r>
      <w:r w:rsidRPr="006B2C51">
        <w:t xml:space="preserve"> learn</w:t>
      </w:r>
      <w:r w:rsidR="004E5B8F" w:rsidRPr="006B2C51">
        <w:t>s</w:t>
      </w:r>
      <w:r w:rsidRPr="006B2C51">
        <w:t>, it strengthens the connection between learning spaces and learners’ everyday li</w:t>
      </w:r>
      <w:r w:rsidR="006B2C51">
        <w:t>ves</w:t>
      </w:r>
      <w:r w:rsidRPr="006B2C51">
        <w:t>, fostering pride in their own cultures and respect for</w:t>
      </w:r>
      <w:r w:rsidR="006B2C51">
        <w:t xml:space="preserve"> that of</w:t>
      </w:r>
      <w:r w:rsidRPr="006B2C51">
        <w:t xml:space="preserve"> others. </w:t>
      </w:r>
      <w:r w:rsidR="00F503F9" w:rsidRPr="006B2C51">
        <w:t xml:space="preserve">The 2003 Convention recognizes the transmission of intangible cultural heritage through formal and non-formal education as a safeguarding measure (Article 2.3) and calls on States Parties to ensure recognition, respect, and enhancement of intangible cultural heritage through educational programmes (Article 14). </w:t>
      </w:r>
      <w:r w:rsidR="00EC4206" w:rsidRPr="006B2C51">
        <w:t xml:space="preserve">Building on this foundation, the </w:t>
      </w:r>
      <w:hyperlink r:id="rId8" w:history="1">
        <w:r w:rsidR="00EC4206" w:rsidRPr="006B2C51">
          <w:rPr>
            <w:rStyle w:val="Lienhypertexte"/>
          </w:rPr>
          <w:t>programme on Safeguarding intangible cultural heritage in formal and non-formal education</w:t>
        </w:r>
      </w:hyperlink>
      <w:r w:rsidR="00EC4206" w:rsidRPr="006B2C51">
        <w:t xml:space="preserve"> (hereafter </w:t>
      </w:r>
      <w:r w:rsidR="004E5B8F" w:rsidRPr="006B2C51">
        <w:t>‘</w:t>
      </w:r>
      <w:r w:rsidR="00EC4206" w:rsidRPr="006B2C51">
        <w:t>the Programme</w:t>
      </w:r>
      <w:r w:rsidR="004E5B8F" w:rsidRPr="006B2C51">
        <w:t>’</w:t>
      </w:r>
      <w:r w:rsidR="00EC4206" w:rsidRPr="006B2C51">
        <w:t xml:space="preserve">) was launched </w:t>
      </w:r>
      <w:r w:rsidR="006D66B1">
        <w:t xml:space="preserve">as Funding priority 2 under the Convention </w:t>
      </w:r>
      <w:r w:rsidR="00EC4206" w:rsidRPr="006B2C51">
        <w:t>in 201</w:t>
      </w:r>
      <w:r w:rsidR="006D66B1">
        <w:t>8 (</w:t>
      </w:r>
      <w:r w:rsidR="00912C84" w:rsidRPr="008673AD">
        <w:t>Decision </w:t>
      </w:r>
      <w:hyperlink r:id="rId9" w:history="1">
        <w:r w:rsidR="00912C84" w:rsidRPr="00912C84">
          <w:rPr>
            <w:rStyle w:val="Lienhypertexte"/>
          </w:rPr>
          <w:t>12.COM 6</w:t>
        </w:r>
      </w:hyperlink>
      <w:r w:rsidR="006D66B1">
        <w:t>)</w:t>
      </w:r>
      <w:r w:rsidR="00EC4206" w:rsidRPr="006B2C51">
        <w:t>.</w:t>
      </w:r>
    </w:p>
    <w:p w14:paraId="2C650016" w14:textId="1F332B11" w:rsidR="00F10A72" w:rsidRPr="006B2C51" w:rsidRDefault="006D66B1" w:rsidP="00F10A72">
      <w:pPr>
        <w:pStyle w:val="1GAPara"/>
        <w:widowControl w:val="0"/>
        <w:ind w:left="567" w:hanging="567"/>
        <w:jc w:val="both"/>
      </w:pPr>
      <w:r>
        <w:t xml:space="preserve">Since then, the </w:t>
      </w:r>
      <w:r w:rsidRPr="006B2C51">
        <w:t>integration of intangible cultural heritage safeguarding into formal and non-formal education has been supported by voluntary supplementary contributions to the Fund for the Safeguarding of the Intangible Cultural Heritage (</w:t>
      </w:r>
      <w:r>
        <w:t>hereinafter</w:t>
      </w:r>
      <w:r w:rsidRPr="006B2C51">
        <w:t xml:space="preserve"> ‘</w:t>
      </w:r>
      <w:r>
        <w:t xml:space="preserve">the </w:t>
      </w:r>
      <w:r w:rsidRPr="006B2C51">
        <w:t>Fund’)</w:t>
      </w:r>
      <w:r>
        <w:t>.</w:t>
      </w:r>
      <w:r w:rsidRPr="006B2C51">
        <w:t xml:space="preserve"> </w:t>
      </w:r>
      <w:r w:rsidR="00B04F3C" w:rsidRPr="006B2C51">
        <w:t>Early e</w:t>
      </w:r>
      <w:r w:rsidR="00EC4206" w:rsidRPr="006B2C51">
        <w:t>fforts focused on raising awareness and providing technical support to Member States in developing methods and tools to incorporate living heritage into education</w:t>
      </w:r>
      <w:r w:rsidR="0069143C" w:rsidRPr="006B2C51">
        <w:t>.</w:t>
      </w:r>
      <w:r>
        <w:t xml:space="preserve"> I</w:t>
      </w:r>
      <w:r w:rsidR="0069143C" w:rsidRPr="006B2C51">
        <w:t xml:space="preserve">n 2021 the sixteenth session of the Committee </w:t>
      </w:r>
      <w:r>
        <w:t xml:space="preserve">renewed </w:t>
      </w:r>
      <w:r w:rsidR="007D783F" w:rsidRPr="006B2C51">
        <w:t xml:space="preserve">Funding Priority 2 of the Convention for </w:t>
      </w:r>
      <w:r>
        <w:t>a</w:t>
      </w:r>
      <w:r w:rsidR="007D783F" w:rsidRPr="006B2C51">
        <w:t xml:space="preserve"> second quadrennium </w:t>
      </w:r>
      <w:r>
        <w:t xml:space="preserve">from </w:t>
      </w:r>
      <w:r w:rsidR="007D783F" w:rsidRPr="006B2C51">
        <w:t>2022</w:t>
      </w:r>
      <w:r>
        <w:t xml:space="preserve"> t</w:t>
      </w:r>
      <w:r w:rsidR="000A640C">
        <w:t>o</w:t>
      </w:r>
      <w:r>
        <w:t xml:space="preserve"> </w:t>
      </w:r>
      <w:r w:rsidR="007D783F" w:rsidRPr="006B2C51">
        <w:t xml:space="preserve">2025 (Decision </w:t>
      </w:r>
      <w:hyperlink r:id="rId10" w:history="1">
        <w:r w:rsidR="007D783F" w:rsidRPr="006B2C51">
          <w:rPr>
            <w:rStyle w:val="Lienhypertexte"/>
          </w:rPr>
          <w:t>16.COM 12</w:t>
        </w:r>
      </w:hyperlink>
      <w:r w:rsidR="007D783F" w:rsidRPr="006B2C51">
        <w:t>)</w:t>
      </w:r>
      <w:r w:rsidR="000A640C">
        <w:t xml:space="preserve">, </w:t>
      </w:r>
      <w:r w:rsidR="000A640C" w:rsidRPr="000A640C">
        <w:t>plac</w:t>
      </w:r>
      <w:r w:rsidR="000A640C">
        <w:t>ing</w:t>
      </w:r>
      <w:r w:rsidR="000A640C" w:rsidRPr="000A640C">
        <w:t xml:space="preserve"> greater emphasis on embedding projects and activities in education systems</w:t>
      </w:r>
      <w:r w:rsidR="007D783F" w:rsidRPr="006B2C51">
        <w:t>.</w:t>
      </w:r>
    </w:p>
    <w:p w14:paraId="65F071A8" w14:textId="60DFA2FA" w:rsidR="00AB4A1E" w:rsidRPr="006B2C51" w:rsidRDefault="00511E78" w:rsidP="00384CD5">
      <w:pPr>
        <w:pStyle w:val="1GAPara"/>
        <w:widowControl w:val="0"/>
        <w:ind w:left="567" w:hanging="567"/>
        <w:jc w:val="both"/>
      </w:pPr>
      <w:r w:rsidRPr="006B2C51">
        <w:t>For the 2022</w:t>
      </w:r>
      <w:r w:rsidR="00DB7B72" w:rsidRPr="00FD36C2">
        <w:t>-</w:t>
      </w:r>
      <w:r w:rsidRPr="006B2C51">
        <w:t>2025 quadrennium, t</w:t>
      </w:r>
      <w:r w:rsidR="00B92C4F" w:rsidRPr="006B2C51">
        <w:t xml:space="preserve">he interventions made under Funding Priority 2 </w:t>
      </w:r>
      <w:r w:rsidRPr="006B2C51">
        <w:t>were</w:t>
      </w:r>
      <w:r w:rsidR="00B92C4F" w:rsidRPr="006B2C51">
        <w:t xml:space="preserve"> structured around </w:t>
      </w:r>
      <w:r w:rsidR="00C7186C">
        <w:t>six</w:t>
      </w:r>
      <w:r w:rsidR="005E71BB" w:rsidRPr="006B2C51">
        <w:t xml:space="preserve"> expected outcomes (see Annex II of </w:t>
      </w:r>
      <w:r w:rsidR="00875348">
        <w:t>d</w:t>
      </w:r>
      <w:r w:rsidR="005E71BB" w:rsidRPr="006B2C51">
        <w:t xml:space="preserve">ocument </w:t>
      </w:r>
      <w:hyperlink r:id="rId11" w:history="1">
        <w:r w:rsidR="005E71BB" w:rsidRPr="006B2C51">
          <w:rPr>
            <w:rStyle w:val="Lienhypertexte"/>
          </w:rPr>
          <w:t>LHE/21/16.COM/12</w:t>
        </w:r>
      </w:hyperlink>
      <w:r w:rsidR="005E71BB" w:rsidRPr="006B2C51">
        <w:t>).</w:t>
      </w:r>
      <w:r w:rsidR="00F10A72" w:rsidRPr="006B2C51">
        <w:t xml:space="preserve"> </w:t>
      </w:r>
      <w:r w:rsidR="005E71BB" w:rsidRPr="006B2C51">
        <w:t xml:space="preserve">The purpose of </w:t>
      </w:r>
      <w:r w:rsidR="009B6E85" w:rsidRPr="006B2C51">
        <w:t>t</w:t>
      </w:r>
      <w:r w:rsidR="005E71BB" w:rsidRPr="006B2C51">
        <w:t>his document is to review and highlight the main achievements and lessons learnt within this framework</w:t>
      </w:r>
      <w:r w:rsidR="006B2C51">
        <w:t>,</w:t>
      </w:r>
      <w:r w:rsidR="005E71BB" w:rsidRPr="006B2C51">
        <w:t xml:space="preserve"> in support of the report made to the present session of the Intergovernmental Committee concerning voluntary supplementary contributions to the Fund under Item 13 (</w:t>
      </w:r>
      <w:r w:rsidR="005E71BB" w:rsidRPr="0057485D">
        <w:t xml:space="preserve">document </w:t>
      </w:r>
      <w:hyperlink r:id="rId12" w:history="1">
        <w:r w:rsidR="005E71BB" w:rsidRPr="0057485D">
          <w:rPr>
            <w:rStyle w:val="Lienhypertexte"/>
          </w:rPr>
          <w:t>LHE/25/20.C</w:t>
        </w:r>
        <w:r w:rsidR="00E83BE3" w:rsidRPr="0057485D">
          <w:rPr>
            <w:rStyle w:val="Lienhypertexte"/>
          </w:rPr>
          <w:t>OM</w:t>
        </w:r>
        <w:r w:rsidR="00875348" w:rsidRPr="0057485D">
          <w:rPr>
            <w:rStyle w:val="Lienhypertexte"/>
          </w:rPr>
          <w:t>/</w:t>
        </w:r>
        <w:r w:rsidR="005E71BB" w:rsidRPr="0057485D">
          <w:rPr>
            <w:rStyle w:val="Lienhypertexte"/>
          </w:rPr>
          <w:t>13</w:t>
        </w:r>
      </w:hyperlink>
      <w:r w:rsidR="005E71BB" w:rsidRPr="005010BD">
        <w:t>).</w:t>
      </w:r>
    </w:p>
    <w:p w14:paraId="01A55709" w14:textId="1EEC4148" w:rsidR="007B36EA" w:rsidRPr="006B2C51" w:rsidRDefault="002A562B" w:rsidP="00064B73">
      <w:pPr>
        <w:pStyle w:val="1GAPara"/>
        <w:ind w:left="567" w:hanging="567"/>
        <w:jc w:val="both"/>
      </w:pPr>
      <w:r w:rsidRPr="006B2C51">
        <w:t xml:space="preserve">Out of the three projects funded by voluntary supplementary contributions (listed below), </w:t>
      </w:r>
      <w:r w:rsidRPr="008673AD">
        <w:t>one is being implemented with support received within the reporting period</w:t>
      </w:r>
      <w:r w:rsidR="00266B42" w:rsidRPr="008673AD">
        <w:t xml:space="preserve"> (indicated </w:t>
      </w:r>
      <w:r w:rsidR="00442951" w:rsidRPr="008673AD">
        <w:t>by an asterisk</w:t>
      </w:r>
      <w:r w:rsidR="00266B42" w:rsidRPr="008673AD">
        <w:t>)</w:t>
      </w:r>
      <w:r w:rsidRPr="00442951">
        <w:t xml:space="preserve">. The </w:t>
      </w:r>
      <w:r w:rsidR="00D3721C" w:rsidRPr="00442951">
        <w:t xml:space="preserve">remaining </w:t>
      </w:r>
      <w:r w:rsidRPr="00442951">
        <w:t>two were funded by support received in the previous quadrennium</w:t>
      </w:r>
      <w:r w:rsidRPr="006B2C51">
        <w:t xml:space="preserve"> (2018</w:t>
      </w:r>
      <w:r w:rsidR="00DB7B72" w:rsidRPr="00FD36C2">
        <w:t>-</w:t>
      </w:r>
      <w:r w:rsidRPr="006B2C51">
        <w:t>20</w:t>
      </w:r>
      <w:r w:rsidR="006B2C51">
        <w:t>2</w:t>
      </w:r>
      <w:r w:rsidRPr="006B2C51">
        <w:t>1) and were implemented across both periods.</w:t>
      </w:r>
    </w:p>
    <w:tbl>
      <w:tblPr>
        <w:tblStyle w:val="Grilledutableau"/>
        <w:tblW w:w="0" w:type="auto"/>
        <w:tblInd w:w="567" w:type="dxa"/>
        <w:tblLayout w:type="fixed"/>
        <w:tblLook w:val="04A0" w:firstRow="1" w:lastRow="0" w:firstColumn="1" w:lastColumn="0" w:noHBand="0" w:noVBand="1"/>
      </w:tblPr>
      <w:tblGrid>
        <w:gridCol w:w="562"/>
        <w:gridCol w:w="5103"/>
        <w:gridCol w:w="1843"/>
        <w:gridCol w:w="1553"/>
      </w:tblGrid>
      <w:tr w:rsidR="006359E7" w:rsidRPr="006B2C51" w14:paraId="3D41BBC4" w14:textId="77777777" w:rsidTr="00384CD5">
        <w:tc>
          <w:tcPr>
            <w:tcW w:w="562" w:type="dxa"/>
          </w:tcPr>
          <w:p w14:paraId="2EE5927E" w14:textId="6E98BE37" w:rsidR="006359E7" w:rsidRPr="006B2C51" w:rsidRDefault="006359E7" w:rsidP="00384CD5">
            <w:pPr>
              <w:pStyle w:val="1GAPara"/>
              <w:numPr>
                <w:ilvl w:val="0"/>
                <w:numId w:val="0"/>
              </w:numPr>
              <w:ind w:right="-348"/>
              <w:jc w:val="both"/>
              <w:rPr>
                <w:b/>
                <w:bCs/>
                <w:sz w:val="20"/>
                <w:szCs w:val="20"/>
              </w:rPr>
            </w:pPr>
            <w:r w:rsidRPr="006B2C51">
              <w:rPr>
                <w:b/>
                <w:bCs/>
                <w:sz w:val="20"/>
                <w:szCs w:val="20"/>
              </w:rPr>
              <w:t>N°</w:t>
            </w:r>
          </w:p>
        </w:tc>
        <w:tc>
          <w:tcPr>
            <w:tcW w:w="5103" w:type="dxa"/>
          </w:tcPr>
          <w:p w14:paraId="49C43C87" w14:textId="0C79034D" w:rsidR="006359E7" w:rsidRPr="006B2C51" w:rsidRDefault="006359E7" w:rsidP="00384CD5">
            <w:pPr>
              <w:pStyle w:val="1GAPara"/>
              <w:numPr>
                <w:ilvl w:val="0"/>
                <w:numId w:val="0"/>
              </w:numPr>
              <w:jc w:val="center"/>
              <w:rPr>
                <w:b/>
                <w:bCs/>
                <w:sz w:val="20"/>
                <w:szCs w:val="20"/>
              </w:rPr>
            </w:pPr>
            <w:r w:rsidRPr="006B2C51">
              <w:rPr>
                <w:b/>
                <w:bCs/>
                <w:sz w:val="20"/>
                <w:szCs w:val="20"/>
              </w:rPr>
              <w:t>Title</w:t>
            </w:r>
          </w:p>
        </w:tc>
        <w:tc>
          <w:tcPr>
            <w:tcW w:w="1843" w:type="dxa"/>
          </w:tcPr>
          <w:p w14:paraId="0852EEF9" w14:textId="3E0B5403" w:rsidR="006359E7" w:rsidRPr="006B2C51" w:rsidRDefault="002606CB" w:rsidP="007F3D62">
            <w:pPr>
              <w:pStyle w:val="1GAPara"/>
              <w:numPr>
                <w:ilvl w:val="0"/>
                <w:numId w:val="0"/>
              </w:numPr>
              <w:jc w:val="both"/>
              <w:rPr>
                <w:b/>
                <w:bCs/>
                <w:sz w:val="20"/>
                <w:szCs w:val="20"/>
              </w:rPr>
            </w:pPr>
            <w:r>
              <w:rPr>
                <w:b/>
                <w:bCs/>
                <w:sz w:val="20"/>
                <w:szCs w:val="20"/>
              </w:rPr>
              <w:t>Implementation period</w:t>
            </w:r>
          </w:p>
        </w:tc>
        <w:tc>
          <w:tcPr>
            <w:tcW w:w="1553" w:type="dxa"/>
          </w:tcPr>
          <w:p w14:paraId="70A67775" w14:textId="3BED1FB7" w:rsidR="006359E7" w:rsidRPr="006B2C51" w:rsidRDefault="002A562B" w:rsidP="007F3D62">
            <w:pPr>
              <w:pStyle w:val="1GAPara"/>
              <w:numPr>
                <w:ilvl w:val="0"/>
                <w:numId w:val="0"/>
              </w:numPr>
              <w:jc w:val="both"/>
              <w:rPr>
                <w:b/>
                <w:bCs/>
                <w:sz w:val="20"/>
                <w:szCs w:val="20"/>
              </w:rPr>
            </w:pPr>
            <w:r w:rsidRPr="006B2C51">
              <w:rPr>
                <w:b/>
                <w:bCs/>
                <w:sz w:val="20"/>
                <w:szCs w:val="20"/>
              </w:rPr>
              <w:t>L</w:t>
            </w:r>
            <w:r w:rsidR="006359E7" w:rsidRPr="006B2C51">
              <w:rPr>
                <w:b/>
                <w:bCs/>
                <w:sz w:val="20"/>
                <w:szCs w:val="20"/>
              </w:rPr>
              <w:t>ink</w:t>
            </w:r>
          </w:p>
        </w:tc>
      </w:tr>
      <w:tr w:rsidR="00DA7DC4" w:rsidRPr="006B2C51" w14:paraId="6ECECC81" w14:textId="77777777" w:rsidTr="008673AD">
        <w:tc>
          <w:tcPr>
            <w:tcW w:w="562" w:type="dxa"/>
          </w:tcPr>
          <w:p w14:paraId="4D72DD6D" w14:textId="3C1395D6" w:rsidR="00DA7DC4" w:rsidRPr="006B2C51" w:rsidRDefault="00DA7DC4" w:rsidP="00DA7DC4">
            <w:pPr>
              <w:pStyle w:val="1GAPara"/>
              <w:numPr>
                <w:ilvl w:val="0"/>
                <w:numId w:val="0"/>
              </w:numPr>
              <w:jc w:val="both"/>
              <w:rPr>
                <w:sz w:val="20"/>
                <w:szCs w:val="20"/>
              </w:rPr>
            </w:pPr>
            <w:r w:rsidRPr="006B2C51">
              <w:rPr>
                <w:sz w:val="20"/>
                <w:szCs w:val="20"/>
              </w:rPr>
              <w:t>1</w:t>
            </w:r>
            <w:r w:rsidR="00266B42">
              <w:rPr>
                <w:sz w:val="20"/>
                <w:szCs w:val="20"/>
              </w:rPr>
              <w:t>*</w:t>
            </w:r>
          </w:p>
        </w:tc>
        <w:tc>
          <w:tcPr>
            <w:tcW w:w="5103" w:type="dxa"/>
          </w:tcPr>
          <w:p w14:paraId="4AA56A81" w14:textId="686688F8" w:rsidR="00DA7DC4" w:rsidRPr="00BA5247" w:rsidRDefault="002145ED" w:rsidP="00DA7DC4">
            <w:pPr>
              <w:pStyle w:val="1GAPara"/>
              <w:numPr>
                <w:ilvl w:val="0"/>
                <w:numId w:val="0"/>
              </w:numPr>
              <w:jc w:val="both"/>
              <w:rPr>
                <w:color w:val="000000" w:themeColor="text1"/>
                <w:sz w:val="20"/>
                <w:szCs w:val="20"/>
              </w:rPr>
            </w:pPr>
            <w:r>
              <w:rPr>
                <w:color w:val="000000" w:themeColor="text1"/>
                <w:sz w:val="20"/>
                <w:szCs w:val="20"/>
              </w:rPr>
              <w:t xml:space="preserve">Integration </w:t>
            </w:r>
            <w:r w:rsidR="008673AD">
              <w:rPr>
                <w:color w:val="000000" w:themeColor="text1"/>
                <w:sz w:val="20"/>
                <w:szCs w:val="20"/>
              </w:rPr>
              <w:t xml:space="preserve">of </w:t>
            </w:r>
            <w:r w:rsidR="008673AD" w:rsidRPr="00BA5247">
              <w:rPr>
                <w:color w:val="000000" w:themeColor="text1"/>
                <w:sz w:val="20"/>
                <w:szCs w:val="20"/>
              </w:rPr>
              <w:t>living</w:t>
            </w:r>
            <w:r w:rsidR="00DA7DC4" w:rsidRPr="00BA5247">
              <w:rPr>
                <w:color w:val="000000" w:themeColor="text1"/>
                <w:sz w:val="20"/>
                <w:szCs w:val="20"/>
              </w:rPr>
              <w:t xml:space="preserve"> heritage into education in</w:t>
            </w:r>
            <w:r w:rsidR="00047F67" w:rsidRPr="00BA5247">
              <w:rPr>
                <w:color w:val="000000" w:themeColor="text1"/>
                <w:sz w:val="20"/>
                <w:szCs w:val="20"/>
              </w:rPr>
              <w:t xml:space="preserve"> two</w:t>
            </w:r>
            <w:r w:rsidR="00DA7DC4" w:rsidRPr="00BA5247">
              <w:rPr>
                <w:color w:val="000000" w:themeColor="text1"/>
                <w:sz w:val="20"/>
                <w:szCs w:val="20"/>
              </w:rPr>
              <w:t xml:space="preserve"> Caribbean Small Island Developing States (SIDS)</w:t>
            </w:r>
          </w:p>
        </w:tc>
        <w:tc>
          <w:tcPr>
            <w:tcW w:w="1843" w:type="dxa"/>
          </w:tcPr>
          <w:p w14:paraId="15C6C40A" w14:textId="39960ABF" w:rsidR="00DA7DC4" w:rsidRPr="00BA5247" w:rsidRDefault="00CD0741" w:rsidP="00384CD5">
            <w:pPr>
              <w:pStyle w:val="1GAPara"/>
              <w:numPr>
                <w:ilvl w:val="0"/>
                <w:numId w:val="0"/>
              </w:numPr>
              <w:spacing w:after="0"/>
              <w:rPr>
                <w:color w:val="000000" w:themeColor="text1"/>
                <w:sz w:val="20"/>
                <w:szCs w:val="20"/>
              </w:rPr>
            </w:pPr>
            <w:r w:rsidRPr="00BA5247">
              <w:rPr>
                <w:color w:val="000000" w:themeColor="text1"/>
                <w:sz w:val="20"/>
                <w:szCs w:val="20"/>
              </w:rPr>
              <w:t>2024-2026</w:t>
            </w:r>
          </w:p>
          <w:p w14:paraId="46F3A16B" w14:textId="5B1B56B0" w:rsidR="002A562B" w:rsidRPr="00BA5247" w:rsidRDefault="002A562B" w:rsidP="00384CD5">
            <w:pPr>
              <w:pStyle w:val="1GAPara"/>
              <w:numPr>
                <w:ilvl w:val="0"/>
                <w:numId w:val="0"/>
              </w:numPr>
              <w:rPr>
                <w:color w:val="000000" w:themeColor="text1"/>
                <w:sz w:val="20"/>
                <w:szCs w:val="20"/>
              </w:rPr>
            </w:pPr>
          </w:p>
        </w:tc>
        <w:tc>
          <w:tcPr>
            <w:tcW w:w="1553" w:type="dxa"/>
          </w:tcPr>
          <w:p w14:paraId="0B845573" w14:textId="4D31E7A3" w:rsidR="00DA7DC4" w:rsidRPr="00BA5247" w:rsidRDefault="00687235" w:rsidP="00DA7DC4">
            <w:pPr>
              <w:pStyle w:val="1GAPara"/>
              <w:numPr>
                <w:ilvl w:val="0"/>
                <w:numId w:val="0"/>
              </w:numPr>
              <w:jc w:val="both"/>
              <w:rPr>
                <w:color w:val="000000" w:themeColor="text1"/>
                <w:sz w:val="20"/>
                <w:szCs w:val="20"/>
              </w:rPr>
            </w:pPr>
            <w:hyperlink r:id="rId13" w:history="1">
              <w:r w:rsidRPr="00BA5247">
                <w:rPr>
                  <w:rStyle w:val="Lienhypertexte"/>
                  <w:sz w:val="20"/>
                  <w:szCs w:val="20"/>
                </w:rPr>
                <w:t>P</w:t>
              </w:r>
              <w:r w:rsidR="00DA7DC4" w:rsidRPr="00BA5247">
                <w:rPr>
                  <w:rStyle w:val="Lienhypertexte"/>
                  <w:sz w:val="20"/>
                  <w:szCs w:val="20"/>
                </w:rPr>
                <w:t>roject page</w:t>
              </w:r>
            </w:hyperlink>
          </w:p>
        </w:tc>
      </w:tr>
      <w:tr w:rsidR="00DA7DC4" w:rsidRPr="006B2C51" w14:paraId="72D9C5CD" w14:textId="77777777" w:rsidTr="00384CD5">
        <w:tc>
          <w:tcPr>
            <w:tcW w:w="562" w:type="dxa"/>
          </w:tcPr>
          <w:p w14:paraId="44FBC40E" w14:textId="280664C8" w:rsidR="00DA7DC4" w:rsidRPr="006B2C51" w:rsidRDefault="00DA7DC4" w:rsidP="00DA7DC4">
            <w:pPr>
              <w:pStyle w:val="1GAPara"/>
              <w:numPr>
                <w:ilvl w:val="0"/>
                <w:numId w:val="0"/>
              </w:numPr>
              <w:jc w:val="both"/>
              <w:rPr>
                <w:sz w:val="20"/>
                <w:szCs w:val="20"/>
              </w:rPr>
            </w:pPr>
            <w:r w:rsidRPr="006B2C51">
              <w:rPr>
                <w:sz w:val="20"/>
                <w:szCs w:val="20"/>
              </w:rPr>
              <w:t>2</w:t>
            </w:r>
          </w:p>
        </w:tc>
        <w:tc>
          <w:tcPr>
            <w:tcW w:w="5103" w:type="dxa"/>
          </w:tcPr>
          <w:p w14:paraId="099D20DC" w14:textId="78187790" w:rsidR="00DA7DC4" w:rsidRPr="00BA5247" w:rsidRDefault="00DA7DC4" w:rsidP="00DA7DC4">
            <w:pPr>
              <w:pStyle w:val="1GAPara"/>
              <w:numPr>
                <w:ilvl w:val="0"/>
                <w:numId w:val="0"/>
              </w:numPr>
              <w:jc w:val="both"/>
              <w:rPr>
                <w:color w:val="000000" w:themeColor="text1"/>
                <w:sz w:val="20"/>
                <w:szCs w:val="20"/>
              </w:rPr>
            </w:pPr>
            <w:r w:rsidRPr="00BA5247">
              <w:rPr>
                <w:color w:val="000000" w:themeColor="text1"/>
                <w:sz w:val="20"/>
                <w:szCs w:val="20"/>
              </w:rPr>
              <w:t xml:space="preserve">Living </w:t>
            </w:r>
            <w:r w:rsidR="006571A3">
              <w:rPr>
                <w:color w:val="000000" w:themeColor="text1"/>
                <w:sz w:val="20"/>
                <w:szCs w:val="20"/>
              </w:rPr>
              <w:t>h</w:t>
            </w:r>
            <w:r w:rsidRPr="00BA5247">
              <w:rPr>
                <w:color w:val="000000" w:themeColor="text1"/>
                <w:sz w:val="20"/>
                <w:szCs w:val="20"/>
              </w:rPr>
              <w:t xml:space="preserve">eritage and </w:t>
            </w:r>
            <w:r w:rsidR="00F87235" w:rsidRPr="00D61AE4">
              <w:rPr>
                <w:color w:val="000000" w:themeColor="text1"/>
                <w:sz w:val="20"/>
                <w:szCs w:val="20"/>
              </w:rPr>
              <w:t>t</w:t>
            </w:r>
            <w:r w:rsidRPr="00D61AE4">
              <w:rPr>
                <w:color w:val="000000" w:themeColor="text1"/>
                <w:sz w:val="20"/>
                <w:szCs w:val="20"/>
              </w:rPr>
              <w:t>he</w:t>
            </w:r>
            <w:r w:rsidRPr="00BA5247">
              <w:rPr>
                <w:color w:val="000000" w:themeColor="text1"/>
                <w:sz w:val="20"/>
                <w:szCs w:val="20"/>
              </w:rPr>
              <w:t xml:space="preserve"> </w:t>
            </w:r>
            <w:r w:rsidR="006571A3">
              <w:rPr>
                <w:color w:val="000000" w:themeColor="text1"/>
                <w:sz w:val="20"/>
                <w:szCs w:val="20"/>
              </w:rPr>
              <w:t>s</w:t>
            </w:r>
            <w:r w:rsidRPr="00BA5247">
              <w:rPr>
                <w:color w:val="000000" w:themeColor="text1"/>
                <w:sz w:val="20"/>
                <w:szCs w:val="20"/>
              </w:rPr>
              <w:t xml:space="preserve">ustainable </w:t>
            </w:r>
            <w:r w:rsidR="006571A3">
              <w:rPr>
                <w:color w:val="000000" w:themeColor="text1"/>
                <w:sz w:val="20"/>
                <w:szCs w:val="20"/>
              </w:rPr>
              <w:t>d</w:t>
            </w:r>
            <w:r w:rsidRPr="00BA5247">
              <w:rPr>
                <w:color w:val="000000" w:themeColor="text1"/>
                <w:sz w:val="20"/>
                <w:szCs w:val="20"/>
              </w:rPr>
              <w:t xml:space="preserve">evelopment </w:t>
            </w:r>
            <w:r w:rsidR="006571A3">
              <w:rPr>
                <w:color w:val="000000" w:themeColor="text1"/>
                <w:sz w:val="20"/>
                <w:szCs w:val="20"/>
              </w:rPr>
              <w:t>g</w:t>
            </w:r>
            <w:r w:rsidRPr="00BA5247">
              <w:rPr>
                <w:color w:val="000000" w:themeColor="text1"/>
                <w:sz w:val="20"/>
                <w:szCs w:val="20"/>
              </w:rPr>
              <w:t xml:space="preserve">oals: </w:t>
            </w:r>
            <w:r w:rsidR="006571A3">
              <w:rPr>
                <w:color w:val="000000" w:themeColor="text1"/>
                <w:sz w:val="20"/>
                <w:szCs w:val="20"/>
              </w:rPr>
              <w:t>s</w:t>
            </w:r>
            <w:r w:rsidRPr="00BA5247">
              <w:rPr>
                <w:color w:val="000000" w:themeColor="text1"/>
                <w:sz w:val="20"/>
                <w:szCs w:val="20"/>
              </w:rPr>
              <w:t>afeguarding intangible cultural heritage through formal and non-formal education in the Asia and the Pacific Region and in Africa</w:t>
            </w:r>
          </w:p>
        </w:tc>
        <w:tc>
          <w:tcPr>
            <w:tcW w:w="1843" w:type="dxa"/>
          </w:tcPr>
          <w:p w14:paraId="5CF89382" w14:textId="2D9B0A88" w:rsidR="0002568A" w:rsidRPr="00BA5247" w:rsidRDefault="00CD0741" w:rsidP="00384CD5">
            <w:pPr>
              <w:pStyle w:val="1GAPara"/>
              <w:numPr>
                <w:ilvl w:val="0"/>
                <w:numId w:val="0"/>
              </w:numPr>
              <w:spacing w:after="0"/>
              <w:jc w:val="both"/>
              <w:rPr>
                <w:color w:val="000000" w:themeColor="text1"/>
                <w:sz w:val="20"/>
                <w:szCs w:val="20"/>
              </w:rPr>
            </w:pPr>
            <w:r w:rsidRPr="00BA5247">
              <w:rPr>
                <w:color w:val="000000" w:themeColor="text1"/>
                <w:sz w:val="20"/>
                <w:szCs w:val="20"/>
              </w:rPr>
              <w:t>2021-2025</w:t>
            </w:r>
          </w:p>
          <w:p w14:paraId="6C024E3E" w14:textId="5CE12BF5" w:rsidR="00DA7DC4" w:rsidRPr="00BA5247" w:rsidRDefault="00DA7DC4" w:rsidP="00384CD5">
            <w:pPr>
              <w:pStyle w:val="1GAPara"/>
              <w:numPr>
                <w:ilvl w:val="0"/>
                <w:numId w:val="0"/>
              </w:numPr>
              <w:rPr>
                <w:color w:val="000000" w:themeColor="text1"/>
                <w:sz w:val="20"/>
                <w:szCs w:val="20"/>
              </w:rPr>
            </w:pPr>
          </w:p>
        </w:tc>
        <w:tc>
          <w:tcPr>
            <w:tcW w:w="1553" w:type="dxa"/>
          </w:tcPr>
          <w:p w14:paraId="2F8094D0" w14:textId="5363F081" w:rsidR="00DA7DC4" w:rsidRPr="00BA5247" w:rsidRDefault="00687235" w:rsidP="002936B5">
            <w:pPr>
              <w:pStyle w:val="1GAPara"/>
              <w:numPr>
                <w:ilvl w:val="0"/>
                <w:numId w:val="0"/>
              </w:numPr>
              <w:jc w:val="both"/>
              <w:rPr>
                <w:color w:val="000000" w:themeColor="text1"/>
                <w:sz w:val="20"/>
                <w:szCs w:val="20"/>
              </w:rPr>
            </w:pPr>
            <w:hyperlink r:id="rId14" w:history="1">
              <w:r w:rsidRPr="00BA5247">
                <w:rPr>
                  <w:rStyle w:val="Lienhypertexte"/>
                  <w:sz w:val="20"/>
                  <w:szCs w:val="20"/>
                </w:rPr>
                <w:t>P</w:t>
              </w:r>
              <w:r w:rsidR="00DA7DC4" w:rsidRPr="00BA5247">
                <w:rPr>
                  <w:rStyle w:val="Lienhypertexte"/>
                  <w:sz w:val="20"/>
                  <w:szCs w:val="20"/>
                </w:rPr>
                <w:t>roject page</w:t>
              </w:r>
            </w:hyperlink>
          </w:p>
        </w:tc>
      </w:tr>
      <w:tr w:rsidR="00BE61E0" w:rsidRPr="006B2C51" w14:paraId="5AB3EF8F" w14:textId="77777777" w:rsidTr="00384CD5">
        <w:tc>
          <w:tcPr>
            <w:tcW w:w="562" w:type="dxa"/>
          </w:tcPr>
          <w:p w14:paraId="4D9CFE68" w14:textId="595A93CB" w:rsidR="00BE61E0" w:rsidRPr="006B2C51" w:rsidRDefault="00DA7DC4" w:rsidP="007F3D62">
            <w:pPr>
              <w:pStyle w:val="1GAPara"/>
              <w:numPr>
                <w:ilvl w:val="0"/>
                <w:numId w:val="0"/>
              </w:numPr>
              <w:jc w:val="both"/>
              <w:rPr>
                <w:sz w:val="20"/>
                <w:szCs w:val="20"/>
              </w:rPr>
            </w:pPr>
            <w:r w:rsidRPr="006B2C51">
              <w:rPr>
                <w:sz w:val="20"/>
                <w:szCs w:val="20"/>
              </w:rPr>
              <w:t>3</w:t>
            </w:r>
          </w:p>
        </w:tc>
        <w:tc>
          <w:tcPr>
            <w:tcW w:w="5103" w:type="dxa"/>
          </w:tcPr>
          <w:p w14:paraId="1AD8C74E" w14:textId="271FF5CB" w:rsidR="00BE61E0" w:rsidRPr="00BA5247" w:rsidRDefault="00BE61E0" w:rsidP="007F3D62">
            <w:pPr>
              <w:pStyle w:val="1GAPara"/>
              <w:numPr>
                <w:ilvl w:val="0"/>
                <w:numId w:val="0"/>
              </w:numPr>
              <w:jc w:val="both"/>
              <w:rPr>
                <w:color w:val="000000" w:themeColor="text1"/>
                <w:sz w:val="20"/>
                <w:szCs w:val="20"/>
              </w:rPr>
            </w:pPr>
            <w:r w:rsidRPr="00BA5247">
              <w:rPr>
                <w:color w:val="000000" w:themeColor="text1"/>
                <w:sz w:val="20"/>
                <w:szCs w:val="20"/>
              </w:rPr>
              <w:t>Learning with intangible cultural heritage for a sustainable future in Latin America and the Caribbean</w:t>
            </w:r>
            <w:r w:rsidR="00525460">
              <w:rPr>
                <w:rStyle w:val="Appelnotedebasdep"/>
                <w:color w:val="000000" w:themeColor="text1"/>
                <w:sz w:val="20"/>
                <w:szCs w:val="20"/>
              </w:rPr>
              <w:footnoteReference w:id="1"/>
            </w:r>
          </w:p>
        </w:tc>
        <w:tc>
          <w:tcPr>
            <w:tcW w:w="1843" w:type="dxa"/>
          </w:tcPr>
          <w:p w14:paraId="0361E682" w14:textId="550A9EB9" w:rsidR="006F6656" w:rsidRPr="00BA5247" w:rsidRDefault="00CD0741" w:rsidP="00384CD5">
            <w:pPr>
              <w:pStyle w:val="1GAPara"/>
              <w:numPr>
                <w:ilvl w:val="0"/>
                <w:numId w:val="0"/>
              </w:numPr>
              <w:spacing w:after="0"/>
              <w:rPr>
                <w:color w:val="000000" w:themeColor="text1"/>
                <w:sz w:val="20"/>
                <w:szCs w:val="20"/>
              </w:rPr>
            </w:pPr>
            <w:r w:rsidRPr="00D61AE4">
              <w:rPr>
                <w:color w:val="000000" w:themeColor="text1"/>
                <w:sz w:val="20"/>
                <w:szCs w:val="20"/>
              </w:rPr>
              <w:t>2021-202</w:t>
            </w:r>
            <w:r w:rsidR="00BA5247" w:rsidRPr="00D61AE4">
              <w:rPr>
                <w:color w:val="000000" w:themeColor="text1"/>
                <w:sz w:val="20"/>
                <w:szCs w:val="20"/>
              </w:rPr>
              <w:t>4</w:t>
            </w:r>
          </w:p>
          <w:p w14:paraId="0962C7EB" w14:textId="411532BB" w:rsidR="00BE61E0" w:rsidRPr="00BA5247" w:rsidRDefault="00BE61E0" w:rsidP="00CD0741">
            <w:pPr>
              <w:pStyle w:val="1GAPara"/>
              <w:numPr>
                <w:ilvl w:val="0"/>
                <w:numId w:val="0"/>
              </w:numPr>
              <w:spacing w:after="0"/>
              <w:rPr>
                <w:color w:val="000000" w:themeColor="text1"/>
                <w:sz w:val="20"/>
                <w:szCs w:val="20"/>
              </w:rPr>
            </w:pPr>
          </w:p>
        </w:tc>
        <w:tc>
          <w:tcPr>
            <w:tcW w:w="1553" w:type="dxa"/>
          </w:tcPr>
          <w:p w14:paraId="2D9C27E9" w14:textId="41BD60B1" w:rsidR="00D67614" w:rsidRPr="00BA5247" w:rsidRDefault="00687235" w:rsidP="007F3D62">
            <w:pPr>
              <w:pStyle w:val="1GAPara"/>
              <w:numPr>
                <w:ilvl w:val="0"/>
                <w:numId w:val="0"/>
              </w:numPr>
              <w:jc w:val="both"/>
              <w:rPr>
                <w:color w:val="000000" w:themeColor="text1"/>
                <w:sz w:val="20"/>
                <w:szCs w:val="20"/>
              </w:rPr>
            </w:pPr>
            <w:hyperlink r:id="rId15" w:history="1">
              <w:r w:rsidRPr="00BA5247">
                <w:rPr>
                  <w:rStyle w:val="Lienhypertexte"/>
                  <w:sz w:val="20"/>
                  <w:szCs w:val="20"/>
                </w:rPr>
                <w:t>P</w:t>
              </w:r>
              <w:r w:rsidR="00D67614" w:rsidRPr="00BA5247">
                <w:rPr>
                  <w:rStyle w:val="Lienhypertexte"/>
                  <w:sz w:val="20"/>
                  <w:szCs w:val="20"/>
                </w:rPr>
                <w:t>roject page</w:t>
              </w:r>
            </w:hyperlink>
          </w:p>
        </w:tc>
      </w:tr>
    </w:tbl>
    <w:p w14:paraId="3BBDC0F1" w14:textId="77777777" w:rsidR="007F3D62" w:rsidRPr="006B2C51" w:rsidRDefault="007F3D62" w:rsidP="007F3D62">
      <w:pPr>
        <w:pStyle w:val="1GAPara"/>
        <w:numPr>
          <w:ilvl w:val="0"/>
          <w:numId w:val="0"/>
        </w:numPr>
        <w:ind w:left="567"/>
        <w:jc w:val="both"/>
      </w:pPr>
    </w:p>
    <w:p w14:paraId="098FF368" w14:textId="5DAFD4E8" w:rsidR="00AB4A1E" w:rsidRPr="006B2C51" w:rsidRDefault="00AB4A1E" w:rsidP="00384CD5">
      <w:pPr>
        <w:pStyle w:val="Paragraphedeliste"/>
        <w:widowControl w:val="0"/>
        <w:tabs>
          <w:tab w:val="left" w:pos="567"/>
        </w:tabs>
        <w:snapToGrid w:val="0"/>
        <w:spacing w:before="120" w:after="120" w:line="240" w:lineRule="auto"/>
        <w:ind w:left="561" w:hanging="561"/>
        <w:jc w:val="both"/>
        <w:rPr>
          <w:b/>
          <w:lang w:val="en-GB"/>
        </w:rPr>
      </w:pPr>
      <w:r w:rsidRPr="006B2C51">
        <w:rPr>
          <w:rFonts w:ascii="Arial" w:eastAsia="Times New Roman" w:hAnsi="Arial" w:cs="Arial"/>
          <w:b/>
          <w:snapToGrid w:val="0"/>
          <w:kern w:val="0"/>
          <w:sz w:val="22"/>
          <w:szCs w:val="22"/>
          <w:lang w:val="en-GB" w:eastAsia="en-US"/>
          <w14:ligatures w14:val="none"/>
        </w:rPr>
        <w:t>Main achievements under the second funding priority in the 2022</w:t>
      </w:r>
      <w:r w:rsidR="00BE066D" w:rsidRPr="008673AD">
        <w:rPr>
          <w:b/>
          <w:bCs/>
          <w:color w:val="000000" w:themeColor="text1"/>
          <w:sz w:val="20"/>
          <w:szCs w:val="20"/>
          <w:lang w:val="en-US"/>
        </w:rPr>
        <w:t>-</w:t>
      </w:r>
      <w:r w:rsidRPr="006B2C51">
        <w:rPr>
          <w:rFonts w:ascii="Arial" w:eastAsia="Times New Roman" w:hAnsi="Arial" w:cs="Arial"/>
          <w:b/>
          <w:snapToGrid w:val="0"/>
          <w:kern w:val="0"/>
          <w:sz w:val="22"/>
          <w:szCs w:val="22"/>
          <w:lang w:val="en-GB" w:eastAsia="en-US"/>
          <w14:ligatures w14:val="none"/>
        </w:rPr>
        <w:t>2025 quadrennium</w:t>
      </w:r>
    </w:p>
    <w:p w14:paraId="1AB37B86" w14:textId="3D87C364" w:rsidR="00347F6D" w:rsidRPr="006B2C51" w:rsidRDefault="000C4BC1" w:rsidP="001B32A2">
      <w:pPr>
        <w:pStyle w:val="1GAPara"/>
        <w:widowControl w:val="0"/>
        <w:ind w:left="567" w:hanging="567"/>
        <w:jc w:val="both"/>
      </w:pPr>
      <w:r w:rsidRPr="000C4BC1">
        <w:t xml:space="preserve">The </w:t>
      </w:r>
      <w:r w:rsidR="005010BD">
        <w:t>interventions have</w:t>
      </w:r>
      <w:r w:rsidRPr="000C4BC1">
        <w:t xml:space="preserve"> generated significant </w:t>
      </w:r>
      <w:r w:rsidR="001405B3" w:rsidRPr="000C4BC1">
        <w:t>positive outcomes</w:t>
      </w:r>
      <w:r w:rsidRPr="000C4BC1">
        <w:t xml:space="preserve">, </w:t>
      </w:r>
      <w:r w:rsidR="005B1E02" w:rsidRPr="000C4BC1">
        <w:t>directly benefitt</w:t>
      </w:r>
      <w:r w:rsidR="00283F5B" w:rsidRPr="000C4BC1">
        <w:t>ing</w:t>
      </w:r>
      <w:r w:rsidR="005B1E02" w:rsidRPr="000C4BC1">
        <w:t xml:space="preserve"> nine countries </w:t>
      </w:r>
      <w:r w:rsidRPr="000C4BC1">
        <w:t>across</w:t>
      </w:r>
      <w:r w:rsidR="005B1E02" w:rsidRPr="000C4BC1">
        <w:t xml:space="preserve"> three regions</w:t>
      </w:r>
      <w:r w:rsidRPr="000C4BC1">
        <w:t xml:space="preserve"> and reaching an additional eleven countries through a survey, a technical meeting, and a publication in Latin America and the Caribbean. T</w:t>
      </w:r>
      <w:r w:rsidR="00283F5B" w:rsidRPr="000C4BC1">
        <w:t>he</w:t>
      </w:r>
      <w:r w:rsidR="005B1E02" w:rsidRPr="000C4BC1">
        <w:t xml:space="preserve"> </w:t>
      </w:r>
      <w:r w:rsidR="001405B3" w:rsidRPr="000C4BC1">
        <w:t>main achievements under the second funding priority in the 2022</w:t>
      </w:r>
      <w:r w:rsidR="00BE066D" w:rsidRPr="00D61AE4">
        <w:rPr>
          <w:color w:val="000000" w:themeColor="text1"/>
          <w:sz w:val="20"/>
          <w:szCs w:val="20"/>
        </w:rPr>
        <w:t>-</w:t>
      </w:r>
      <w:r w:rsidR="001405B3" w:rsidRPr="000C4BC1">
        <w:t xml:space="preserve">2025 quadrennium </w:t>
      </w:r>
      <w:r w:rsidRPr="000C4BC1">
        <w:t>can</w:t>
      </w:r>
      <w:r w:rsidR="001405B3" w:rsidRPr="000C4BC1">
        <w:t xml:space="preserve"> be </w:t>
      </w:r>
      <w:r w:rsidR="001405B3" w:rsidRPr="000C4BC1">
        <w:lastRenderedPageBreak/>
        <w:t>summarized as follows</w:t>
      </w:r>
      <w:r w:rsidR="001405B3" w:rsidRPr="006B2C51">
        <w:t>:</w:t>
      </w:r>
    </w:p>
    <w:p w14:paraId="29B67522" w14:textId="6DC63DFC" w:rsidR="0090137F" w:rsidRPr="006B2C51" w:rsidRDefault="0090137F" w:rsidP="00384CD5">
      <w:pPr>
        <w:pStyle w:val="1GAPara"/>
        <w:keepNext/>
        <w:numPr>
          <w:ilvl w:val="0"/>
          <w:numId w:val="0"/>
        </w:numPr>
        <w:ind w:firstLine="567"/>
        <w:jc w:val="both"/>
        <w:rPr>
          <w:u w:val="single"/>
        </w:rPr>
      </w:pPr>
      <w:r w:rsidRPr="006B2C51">
        <w:rPr>
          <w:u w:val="single"/>
        </w:rPr>
        <w:t xml:space="preserve">Building capacities and </w:t>
      </w:r>
      <w:r w:rsidR="00E64A44" w:rsidRPr="006B2C51">
        <w:rPr>
          <w:u w:val="single"/>
        </w:rPr>
        <w:t xml:space="preserve">methodologies to </w:t>
      </w:r>
      <w:r w:rsidRPr="006B2C51">
        <w:rPr>
          <w:u w:val="single"/>
        </w:rPr>
        <w:t>support</w:t>
      </w:r>
      <w:r w:rsidR="00E64A44" w:rsidRPr="006B2C51">
        <w:rPr>
          <w:u w:val="single"/>
        </w:rPr>
        <w:t xml:space="preserve"> </w:t>
      </w:r>
      <w:r w:rsidRPr="006B2C51">
        <w:rPr>
          <w:u w:val="single"/>
        </w:rPr>
        <w:t>a pedagogical shift</w:t>
      </w:r>
    </w:p>
    <w:p w14:paraId="62ED4BD0" w14:textId="13CBC1E7" w:rsidR="00E146A7" w:rsidRPr="000C4BC1" w:rsidRDefault="008265BC" w:rsidP="00384CD5">
      <w:pPr>
        <w:pStyle w:val="1GAPara"/>
        <w:keepNext/>
        <w:ind w:left="567" w:hanging="567"/>
        <w:jc w:val="both"/>
      </w:pPr>
      <w:r w:rsidRPr="006B2C51">
        <w:t>A</w:t>
      </w:r>
      <w:r w:rsidR="00EC27E8" w:rsidRPr="006B2C51">
        <w:t xml:space="preserve">ll projects </w:t>
      </w:r>
      <w:r w:rsidR="00EE1239" w:rsidRPr="006B2C51">
        <w:t xml:space="preserve">integrated </w:t>
      </w:r>
      <w:r w:rsidR="00EC27E8" w:rsidRPr="006B2C51">
        <w:t>capacity</w:t>
      </w:r>
      <w:r w:rsidR="00716BFF" w:rsidRPr="006B2C51">
        <w:t>-</w:t>
      </w:r>
      <w:r w:rsidR="00EC27E8" w:rsidRPr="006B2C51">
        <w:t xml:space="preserve">building </w:t>
      </w:r>
      <w:r w:rsidR="004A068F" w:rsidRPr="006B2C51">
        <w:t xml:space="preserve">to </w:t>
      </w:r>
      <w:r w:rsidR="00EE1239" w:rsidRPr="006B2C51">
        <w:t>help</w:t>
      </w:r>
      <w:r w:rsidR="004A068F" w:rsidRPr="006B2C51">
        <w:t xml:space="preserve"> educators</w:t>
      </w:r>
      <w:r w:rsidRPr="006B2C51">
        <w:t xml:space="preserve"> </w:t>
      </w:r>
      <w:r w:rsidR="00EE1239" w:rsidRPr="006B2C51">
        <w:t xml:space="preserve">incorporate </w:t>
      </w:r>
      <w:r w:rsidR="004A068F" w:rsidRPr="006B2C51">
        <w:t xml:space="preserve">living heritage </w:t>
      </w:r>
      <w:r w:rsidR="00EE1239" w:rsidRPr="006B2C51">
        <w:t xml:space="preserve">into teaching, promoting </w:t>
      </w:r>
      <w:r w:rsidRPr="006B2C51">
        <w:t>Global Citizenship Education (GCED)</w:t>
      </w:r>
      <w:r w:rsidR="00EE1239" w:rsidRPr="006B2C51">
        <w:t xml:space="preserve"> values</w:t>
      </w:r>
      <w:r w:rsidR="004A068F" w:rsidRPr="006B2C51">
        <w:t xml:space="preserve"> </w:t>
      </w:r>
      <w:r w:rsidRPr="006B2C51">
        <w:t xml:space="preserve">such as respect for cultural diversity </w:t>
      </w:r>
      <w:r w:rsidR="00716BFF" w:rsidRPr="006B2C51">
        <w:t xml:space="preserve">and </w:t>
      </w:r>
      <w:r w:rsidR="004A068F" w:rsidRPr="006B2C51">
        <w:t>collaboration</w:t>
      </w:r>
      <w:r w:rsidR="00ED6ED3" w:rsidRPr="006B2C51">
        <w:t xml:space="preserve">. In </w:t>
      </w:r>
      <w:r w:rsidRPr="006B2C51">
        <w:t>formal education</w:t>
      </w:r>
      <w:r w:rsidR="00E05F3F" w:rsidRPr="006B2C51">
        <w:t>,</w:t>
      </w:r>
      <w:r w:rsidR="00C32FB2" w:rsidRPr="006B2C51">
        <w:t xml:space="preserve"> </w:t>
      </w:r>
      <w:r w:rsidR="00283F5B">
        <w:t>twenty-four</w:t>
      </w:r>
      <w:r w:rsidR="00283F5B" w:rsidRPr="006B2C51">
        <w:t xml:space="preserve"> </w:t>
      </w:r>
      <w:r w:rsidR="00BF6FCA" w:rsidRPr="006B2C51">
        <w:t xml:space="preserve">teachers </w:t>
      </w:r>
      <w:r w:rsidR="00B06F01" w:rsidRPr="006B2C51">
        <w:t xml:space="preserve">in </w:t>
      </w:r>
      <w:r w:rsidR="00B06F01" w:rsidRPr="000C4BC1">
        <w:t>Benin</w:t>
      </w:r>
      <w:r w:rsidR="00B06F01" w:rsidRPr="000C4BC1" w:rsidDel="00E05F3F">
        <w:t xml:space="preserve"> </w:t>
      </w:r>
      <w:r w:rsidR="00E05F3F" w:rsidRPr="000C4BC1">
        <w:t xml:space="preserve">were trained to embed </w:t>
      </w:r>
      <w:r w:rsidR="00BF6FCA" w:rsidRPr="000C4BC1">
        <w:t>living heritage elements</w:t>
      </w:r>
      <w:r w:rsidR="00ED6ED3" w:rsidRPr="000C4BC1">
        <w:t xml:space="preserve"> identified through a prior </w:t>
      </w:r>
      <w:r w:rsidR="00BF6FCA" w:rsidRPr="000C4BC1">
        <w:t xml:space="preserve">inventorying exercise into </w:t>
      </w:r>
      <w:r w:rsidR="00E05F3F" w:rsidRPr="000C4BC1">
        <w:t xml:space="preserve">various </w:t>
      </w:r>
      <w:r w:rsidR="00BF6FCA" w:rsidRPr="000C4BC1">
        <w:t>subjects</w:t>
      </w:r>
      <w:r w:rsidR="00E05F3F" w:rsidRPr="000C4BC1">
        <w:t>, with pilot outcomes guiding national expansion</w:t>
      </w:r>
      <w:r w:rsidR="004A068F" w:rsidRPr="000C4BC1">
        <w:t>.</w:t>
      </w:r>
      <w:r w:rsidR="00D317FA" w:rsidRPr="000C4BC1">
        <w:t xml:space="preserve"> </w:t>
      </w:r>
      <w:r w:rsidR="00A97AE9" w:rsidRPr="00D61AE4">
        <w:t xml:space="preserve">The project in Saint Vincent and the Grenadines and Grenada prioritizes strengthening teachers’ capacities to carry out community-based inventorying in partnership with schools, while also fostering peer learning between the two countries. </w:t>
      </w:r>
      <w:r w:rsidR="008D35E2" w:rsidRPr="000C4BC1">
        <w:t xml:space="preserve">In </w:t>
      </w:r>
      <w:r w:rsidR="005D4876" w:rsidRPr="000C4BC1">
        <w:t xml:space="preserve">non-formal education, </w:t>
      </w:r>
      <w:r w:rsidR="008D35E2" w:rsidRPr="000C4BC1">
        <w:t>the</w:t>
      </w:r>
      <w:r w:rsidR="005D4876" w:rsidRPr="000C4BC1">
        <w:t xml:space="preserve"> potential</w:t>
      </w:r>
      <w:r w:rsidR="008D35E2" w:rsidRPr="000C4BC1">
        <w:t xml:space="preserve"> </w:t>
      </w:r>
      <w:r w:rsidR="0098018F" w:rsidRPr="000C4BC1">
        <w:t xml:space="preserve">of </w:t>
      </w:r>
      <w:r w:rsidR="005D4876" w:rsidRPr="000C4BC1">
        <w:t>community learning centres (CLCs</w:t>
      </w:r>
      <w:r w:rsidR="008D35E2" w:rsidRPr="000C4BC1">
        <w:t>)</w:t>
      </w:r>
      <w:r w:rsidR="00D7229D" w:rsidRPr="000C4BC1">
        <w:t xml:space="preserve"> in Asia and the Pacific </w:t>
      </w:r>
      <w:r w:rsidR="00B06F01" w:rsidRPr="000C4BC1">
        <w:t>was explored</w:t>
      </w:r>
      <w:r w:rsidR="00283F5B" w:rsidRPr="000C4BC1">
        <w:t>,</w:t>
      </w:r>
      <w:r w:rsidR="00D7229D" w:rsidRPr="000C4BC1">
        <w:t xml:space="preserve"> </w:t>
      </w:r>
      <w:r w:rsidR="00B06F01" w:rsidRPr="000C4BC1">
        <w:t>as they</w:t>
      </w:r>
      <w:r w:rsidR="008D35E2" w:rsidRPr="000C4BC1">
        <w:t xml:space="preserve"> </w:t>
      </w:r>
      <w:r w:rsidR="000B5843" w:rsidRPr="000C4BC1">
        <w:t xml:space="preserve">engage </w:t>
      </w:r>
      <w:r w:rsidR="00D7229D" w:rsidRPr="000C4BC1">
        <w:t>large numbers of</w:t>
      </w:r>
      <w:r w:rsidR="008D35E2" w:rsidRPr="000C4BC1">
        <w:t xml:space="preserve"> learners of all ages each year.</w:t>
      </w:r>
      <w:r w:rsidR="006667FC" w:rsidRPr="000C4BC1">
        <w:t xml:space="preserve"> </w:t>
      </w:r>
      <w:r w:rsidR="00013E54" w:rsidRPr="000C4BC1">
        <w:t>A</w:t>
      </w:r>
      <w:r w:rsidR="00C43A8B" w:rsidRPr="000C4BC1">
        <w:t xml:space="preserve">cross Thailand and Nepal, </w:t>
      </w:r>
      <w:r w:rsidR="00283F5B" w:rsidRPr="000C4BC1">
        <w:t>twenty-nine</w:t>
      </w:r>
      <w:r w:rsidR="005D4876" w:rsidRPr="000C4BC1">
        <w:t xml:space="preserve"> CLCs </w:t>
      </w:r>
      <w:r w:rsidR="006667FC" w:rsidRPr="000C4BC1">
        <w:t>were supported</w:t>
      </w:r>
      <w:r w:rsidR="006667FC" w:rsidRPr="006B2C51">
        <w:t xml:space="preserve"> to</w:t>
      </w:r>
      <w:r w:rsidR="005D4876" w:rsidRPr="006B2C51">
        <w:t xml:space="preserve"> design and implement heritage-based education </w:t>
      </w:r>
      <w:r w:rsidR="006667FC" w:rsidRPr="006B2C51">
        <w:t>initiatives</w:t>
      </w:r>
      <w:r w:rsidR="00AC10E1" w:rsidRPr="006B2C51">
        <w:t xml:space="preserve"> and develop safeguarding plans</w:t>
      </w:r>
      <w:r w:rsidR="006667FC" w:rsidRPr="006B2C51">
        <w:t xml:space="preserve">. </w:t>
      </w:r>
      <w:r w:rsidR="00B06F01" w:rsidRPr="006B2C51">
        <w:t>S</w:t>
      </w:r>
      <w:r w:rsidR="002752AF" w:rsidRPr="006B2C51">
        <w:t>everal initiatives</w:t>
      </w:r>
      <w:r w:rsidR="00283F5B">
        <w:t xml:space="preserve"> –</w:t>
      </w:r>
      <w:r w:rsidR="00B06F01" w:rsidRPr="006B2C51">
        <w:t xml:space="preserve"> such as </w:t>
      </w:r>
      <w:r w:rsidR="00996A2C" w:rsidRPr="006B2C51">
        <w:t>the project</w:t>
      </w:r>
      <w:r w:rsidR="00B06F01" w:rsidRPr="006B2C51">
        <w:t xml:space="preserve"> in Nepal</w:t>
      </w:r>
      <w:r w:rsidR="00283F5B">
        <w:t>,</w:t>
      </w:r>
      <w:r w:rsidR="00B06F01" w:rsidRPr="006B2C51">
        <w:t xml:space="preserve"> </w:t>
      </w:r>
      <w:r w:rsidR="00283F5B">
        <w:t xml:space="preserve">which </w:t>
      </w:r>
      <w:r w:rsidR="00B06F01" w:rsidRPr="006B2C51">
        <w:t>involv</w:t>
      </w:r>
      <w:r w:rsidR="007A3D17" w:rsidRPr="006B2C51">
        <w:t>ed</w:t>
      </w:r>
      <w:r w:rsidR="00B06F01" w:rsidRPr="006B2C51">
        <w:t xml:space="preserve"> teaching basket weaving using locally available materials</w:t>
      </w:r>
      <w:r w:rsidR="00283F5B">
        <w:t xml:space="preserve"> –</w:t>
      </w:r>
      <w:r w:rsidR="002752AF" w:rsidRPr="006B2C51">
        <w:t xml:space="preserve"> </w:t>
      </w:r>
      <w:r w:rsidR="00A97AE9">
        <w:t>supported lo</w:t>
      </w:r>
      <w:r w:rsidR="002752AF" w:rsidRPr="006B2C51">
        <w:t>cal livelihoods.</w:t>
      </w:r>
      <w:r w:rsidR="00B06F01" w:rsidRPr="006B2C51">
        <w:t xml:space="preserve"> Furthermore</w:t>
      </w:r>
      <w:r w:rsidR="00283F5B">
        <w:t>,</w:t>
      </w:r>
      <w:r w:rsidR="00B06F01" w:rsidRPr="006B2C51">
        <w:t xml:space="preserve"> and l</w:t>
      </w:r>
      <w:r w:rsidR="00E146A7" w:rsidRPr="006B2C51">
        <w:t xml:space="preserve">inking living heritage with both formal and non-formal education, </w:t>
      </w:r>
      <w:r w:rsidR="00283F5B">
        <w:rPr>
          <w:color w:val="000000" w:themeColor="text1"/>
        </w:rPr>
        <w:t>eighty-five</w:t>
      </w:r>
      <w:r w:rsidR="00E146A7" w:rsidRPr="006B2C51">
        <w:rPr>
          <w:color w:val="000000" w:themeColor="text1"/>
        </w:rPr>
        <w:t xml:space="preserve"> educators from Chile, Ecuador, Guatemala and Peru participated in four national capacity-building workshops on community-based teaching with living </w:t>
      </w:r>
      <w:r w:rsidR="00E146A7" w:rsidRPr="000C4BC1">
        <w:rPr>
          <w:color w:val="000000" w:themeColor="text1"/>
        </w:rPr>
        <w:t>heritage</w:t>
      </w:r>
      <w:r w:rsidR="00283F5B" w:rsidRPr="000C4BC1">
        <w:rPr>
          <w:color w:val="000000" w:themeColor="text1"/>
        </w:rPr>
        <w:t>. T</w:t>
      </w:r>
      <w:r w:rsidR="00E146A7" w:rsidRPr="000C4BC1">
        <w:rPr>
          <w:color w:val="000000" w:themeColor="text1"/>
        </w:rPr>
        <w:t xml:space="preserve">hey developed </w:t>
      </w:r>
      <w:r w:rsidR="00283F5B" w:rsidRPr="000C4BC1">
        <w:rPr>
          <w:color w:val="000000" w:themeColor="text1"/>
        </w:rPr>
        <w:t>seventy-three</w:t>
      </w:r>
      <w:r w:rsidR="00E146A7" w:rsidRPr="000C4BC1">
        <w:rPr>
          <w:color w:val="000000" w:themeColor="text1"/>
        </w:rPr>
        <w:t xml:space="preserve"> lesson plans, </w:t>
      </w:r>
      <w:r w:rsidR="00283F5B" w:rsidRPr="000C4BC1">
        <w:rPr>
          <w:color w:val="000000" w:themeColor="text1"/>
        </w:rPr>
        <w:t xml:space="preserve">twenty-four </w:t>
      </w:r>
      <w:r w:rsidR="00E146A7" w:rsidRPr="000C4BC1">
        <w:rPr>
          <w:color w:val="000000" w:themeColor="text1"/>
        </w:rPr>
        <w:t>of which were tested in a pilot phase</w:t>
      </w:r>
      <w:r w:rsidR="00E146A7" w:rsidRPr="000C4BC1">
        <w:t>.</w:t>
      </w:r>
      <w:r w:rsidR="00A97AE9" w:rsidRPr="000C4BC1">
        <w:t xml:space="preserve"> </w:t>
      </w:r>
      <w:r w:rsidR="00A97AE9" w:rsidRPr="00D61AE4">
        <w:t>Methodologies drawn from GCED, including experiential learning and critical reflection, deepened engagement</w:t>
      </w:r>
      <w:r w:rsidR="00A97AE9" w:rsidRPr="00D61AE4">
        <w:rPr>
          <w:bCs/>
          <w:color w:val="000000" w:themeColor="text1"/>
        </w:rPr>
        <w:t>.</w:t>
      </w:r>
    </w:p>
    <w:p w14:paraId="3EEFA66C" w14:textId="423FF078" w:rsidR="00A311A4" w:rsidRPr="006B2C51" w:rsidRDefault="0090137F" w:rsidP="00384CD5">
      <w:pPr>
        <w:pStyle w:val="1GAPara"/>
        <w:numPr>
          <w:ilvl w:val="0"/>
          <w:numId w:val="0"/>
        </w:numPr>
        <w:ind w:left="567"/>
        <w:jc w:val="both"/>
        <w:rPr>
          <w:u w:val="single"/>
        </w:rPr>
      </w:pPr>
      <w:r w:rsidRPr="006B2C51">
        <w:rPr>
          <w:u w:val="single"/>
        </w:rPr>
        <w:t>Supporting inter-ministerial collaboration</w:t>
      </w:r>
      <w:r w:rsidR="00142E5E" w:rsidRPr="006B2C51">
        <w:rPr>
          <w:u w:val="single"/>
        </w:rPr>
        <w:t>,</w:t>
      </w:r>
      <w:r w:rsidRPr="006B2C51">
        <w:rPr>
          <w:u w:val="single"/>
        </w:rPr>
        <w:t xml:space="preserve"> policy development </w:t>
      </w:r>
      <w:r w:rsidR="001F4138" w:rsidRPr="006B2C51">
        <w:rPr>
          <w:u w:val="single"/>
        </w:rPr>
        <w:t xml:space="preserve">and </w:t>
      </w:r>
      <w:r w:rsidR="00142E5E" w:rsidRPr="006B2C51">
        <w:rPr>
          <w:u w:val="single"/>
        </w:rPr>
        <w:t>networking</w:t>
      </w:r>
    </w:p>
    <w:p w14:paraId="673395A1" w14:textId="4EB79FCB" w:rsidR="00EA1DF6" w:rsidRPr="006B2C51" w:rsidRDefault="000B5843" w:rsidP="00664CFF">
      <w:pPr>
        <w:pStyle w:val="1GAPara"/>
        <w:ind w:left="567" w:hanging="567"/>
        <w:jc w:val="both"/>
        <w:rPr>
          <w:color w:val="000000" w:themeColor="text1"/>
        </w:rPr>
      </w:pPr>
      <w:r w:rsidRPr="006B2C51">
        <w:rPr>
          <w:color w:val="000000" w:themeColor="text1"/>
        </w:rPr>
        <w:t xml:space="preserve">A key priority has been to scale </w:t>
      </w:r>
      <w:r w:rsidR="006E4A5A" w:rsidRPr="006B2C51">
        <w:rPr>
          <w:color w:val="000000" w:themeColor="text1"/>
        </w:rPr>
        <w:t xml:space="preserve">up action </w:t>
      </w:r>
      <w:r w:rsidRPr="006B2C51">
        <w:rPr>
          <w:color w:val="000000" w:themeColor="text1"/>
        </w:rPr>
        <w:t>for</w:t>
      </w:r>
      <w:r w:rsidR="006E4A5A" w:rsidRPr="006B2C51">
        <w:rPr>
          <w:color w:val="000000" w:themeColor="text1"/>
        </w:rPr>
        <w:t xml:space="preserve"> </w:t>
      </w:r>
      <w:r w:rsidR="00BE3C7A" w:rsidRPr="006B2C51">
        <w:rPr>
          <w:color w:val="000000" w:themeColor="text1"/>
        </w:rPr>
        <w:t>lasting impact</w:t>
      </w:r>
      <w:r w:rsidRPr="006B2C51">
        <w:rPr>
          <w:color w:val="000000" w:themeColor="text1"/>
        </w:rPr>
        <w:t xml:space="preserve">, ensuring that </w:t>
      </w:r>
      <w:r w:rsidR="00BE3C7A" w:rsidRPr="006B2C51">
        <w:rPr>
          <w:color w:val="000000" w:themeColor="text1"/>
        </w:rPr>
        <w:t xml:space="preserve">individual projects </w:t>
      </w:r>
      <w:r w:rsidRPr="006B2C51">
        <w:rPr>
          <w:color w:val="000000" w:themeColor="text1"/>
        </w:rPr>
        <w:t>are firmly anchored within</w:t>
      </w:r>
      <w:r w:rsidR="00BE3C7A" w:rsidRPr="006B2C51">
        <w:rPr>
          <w:color w:val="000000" w:themeColor="text1"/>
        </w:rPr>
        <w:t xml:space="preserve"> education systems </w:t>
      </w:r>
      <w:r w:rsidRPr="006B2C51">
        <w:rPr>
          <w:color w:val="000000" w:themeColor="text1"/>
        </w:rPr>
        <w:t>to</w:t>
      </w:r>
      <w:r w:rsidR="00BE3C7A" w:rsidRPr="006B2C51">
        <w:rPr>
          <w:color w:val="000000" w:themeColor="text1"/>
        </w:rPr>
        <w:t xml:space="preserve"> benefit future generations of </w:t>
      </w:r>
      <w:r w:rsidR="001A6314" w:rsidRPr="006B2C51">
        <w:rPr>
          <w:color w:val="000000" w:themeColor="text1"/>
        </w:rPr>
        <w:t>learners</w:t>
      </w:r>
      <w:r w:rsidR="00BE3C7A" w:rsidRPr="006B2C51">
        <w:rPr>
          <w:color w:val="000000" w:themeColor="text1"/>
        </w:rPr>
        <w:t>, educators and communities</w:t>
      </w:r>
      <w:r w:rsidRPr="006B2C51">
        <w:rPr>
          <w:color w:val="000000" w:themeColor="text1"/>
        </w:rPr>
        <w:t xml:space="preserve">. </w:t>
      </w:r>
      <w:r w:rsidR="00755CC0" w:rsidRPr="006B2C51">
        <w:rPr>
          <w:color w:val="000000" w:themeColor="text1"/>
        </w:rPr>
        <w:t>Efforts were made to</w:t>
      </w:r>
      <w:r w:rsidR="00BE3C7A" w:rsidRPr="006B2C51">
        <w:rPr>
          <w:color w:val="000000" w:themeColor="text1"/>
        </w:rPr>
        <w:t xml:space="preserve"> </w:t>
      </w:r>
      <w:r w:rsidR="00C7296B" w:rsidRPr="006B2C51">
        <w:rPr>
          <w:color w:val="000000" w:themeColor="text1"/>
        </w:rPr>
        <w:t>analyse</w:t>
      </w:r>
      <w:r w:rsidR="00BE3C7A" w:rsidRPr="006B2C51">
        <w:rPr>
          <w:color w:val="000000" w:themeColor="text1"/>
        </w:rPr>
        <w:t xml:space="preserve"> the current integration of living heritage in education and</w:t>
      </w:r>
      <w:r w:rsidR="00283F5B">
        <w:rPr>
          <w:color w:val="000000" w:themeColor="text1"/>
        </w:rPr>
        <w:t xml:space="preserve"> to</w:t>
      </w:r>
      <w:r w:rsidR="00BE3C7A" w:rsidRPr="006B2C51">
        <w:rPr>
          <w:color w:val="000000" w:themeColor="text1"/>
        </w:rPr>
        <w:t xml:space="preserve"> offer recommendations for policy</w:t>
      </w:r>
      <w:r w:rsidR="00283F5B">
        <w:rPr>
          <w:color w:val="000000" w:themeColor="text1"/>
        </w:rPr>
        <w:t>-</w:t>
      </w:r>
      <w:r w:rsidR="00BE3C7A" w:rsidRPr="006B2C51">
        <w:rPr>
          <w:color w:val="000000" w:themeColor="text1"/>
        </w:rPr>
        <w:t>making and planning to embed this work in education systems</w:t>
      </w:r>
      <w:r w:rsidR="00283F5B">
        <w:rPr>
          <w:color w:val="000000" w:themeColor="text1"/>
        </w:rPr>
        <w:t>.</w:t>
      </w:r>
      <w:r w:rsidR="00AF1C8B" w:rsidRPr="006B2C51">
        <w:rPr>
          <w:rStyle w:val="Appelnotedebasdep"/>
          <w:color w:val="000000" w:themeColor="text1"/>
        </w:rPr>
        <w:footnoteReference w:id="2"/>
      </w:r>
      <w:r w:rsidR="00BE3C7A" w:rsidRPr="006B2C51">
        <w:rPr>
          <w:color w:val="000000" w:themeColor="text1"/>
        </w:rPr>
        <w:t xml:space="preserve"> </w:t>
      </w:r>
      <w:r w:rsidR="00A96B79" w:rsidRPr="006B2C51">
        <w:rPr>
          <w:color w:val="000000" w:themeColor="text1"/>
        </w:rPr>
        <w:t>For instance</w:t>
      </w:r>
      <w:r w:rsidR="00856F53" w:rsidRPr="006B2C51">
        <w:rPr>
          <w:color w:val="000000" w:themeColor="text1"/>
        </w:rPr>
        <w:t>, the National Council of Education (CNE)</w:t>
      </w:r>
      <w:r w:rsidR="00BE3C7A" w:rsidRPr="006B2C51">
        <w:rPr>
          <w:color w:val="000000" w:themeColor="text1"/>
        </w:rPr>
        <w:t xml:space="preserve"> </w:t>
      </w:r>
      <w:r w:rsidR="00A96B79" w:rsidRPr="006B2C51">
        <w:rPr>
          <w:color w:val="000000" w:themeColor="text1"/>
        </w:rPr>
        <w:t xml:space="preserve">in Benin </w:t>
      </w:r>
      <w:r w:rsidR="00856F53" w:rsidRPr="006B2C51">
        <w:rPr>
          <w:color w:val="000000" w:themeColor="text1"/>
        </w:rPr>
        <w:t>recommended that the Ministry of Nursery and Primary Education (MEMP) present the results</w:t>
      </w:r>
      <w:r w:rsidR="00C7296B" w:rsidRPr="006B2C51">
        <w:rPr>
          <w:color w:val="000000" w:themeColor="text1"/>
        </w:rPr>
        <w:t xml:space="preserve"> from the pilot projects</w:t>
      </w:r>
      <w:r w:rsidR="00856F53" w:rsidRPr="006B2C51">
        <w:rPr>
          <w:color w:val="000000" w:themeColor="text1"/>
        </w:rPr>
        <w:t xml:space="preserve"> </w:t>
      </w:r>
      <w:r w:rsidR="00BE3C7A" w:rsidRPr="006B2C51">
        <w:rPr>
          <w:color w:val="000000" w:themeColor="text1"/>
        </w:rPr>
        <w:t xml:space="preserve">to </w:t>
      </w:r>
      <w:r w:rsidR="00856F53" w:rsidRPr="006B2C51">
        <w:rPr>
          <w:color w:val="000000" w:themeColor="text1"/>
        </w:rPr>
        <w:t xml:space="preserve">the committee </w:t>
      </w:r>
      <w:r w:rsidR="00BE3C7A" w:rsidRPr="006B2C51">
        <w:rPr>
          <w:color w:val="000000" w:themeColor="text1"/>
        </w:rPr>
        <w:t>responsible for education quality</w:t>
      </w:r>
      <w:r w:rsidR="00856F53" w:rsidRPr="006B2C51">
        <w:rPr>
          <w:color w:val="000000" w:themeColor="text1"/>
        </w:rPr>
        <w:t xml:space="preserve"> reform.</w:t>
      </w:r>
      <w:r w:rsidR="00A96B79" w:rsidRPr="006B2C51">
        <w:rPr>
          <w:color w:val="000000" w:themeColor="text1"/>
        </w:rPr>
        <w:t xml:space="preserve"> Furthermore, p</w:t>
      </w:r>
      <w:r w:rsidR="003A3AB0" w:rsidRPr="006B2C51">
        <w:rPr>
          <w:color w:val="000000" w:themeColor="text1"/>
        </w:rPr>
        <w:t xml:space="preserve">romoting intersectoral partnerships, cross-country collaboration, and opportunities for </w:t>
      </w:r>
      <w:r w:rsidR="003A3AB0" w:rsidRPr="008C4F35">
        <w:rPr>
          <w:color w:val="000000" w:themeColor="text1"/>
        </w:rPr>
        <w:t xml:space="preserve">exchange among diverse </w:t>
      </w:r>
      <w:r w:rsidR="008C4F35" w:rsidRPr="008C4F35">
        <w:rPr>
          <w:color w:val="000000" w:themeColor="text1"/>
        </w:rPr>
        <w:t>stakeholders h</w:t>
      </w:r>
      <w:r w:rsidR="003A3AB0" w:rsidRPr="008C4F35">
        <w:rPr>
          <w:color w:val="000000" w:themeColor="text1"/>
        </w:rPr>
        <w:t>as been</w:t>
      </w:r>
      <w:r w:rsidR="003A3AB0" w:rsidRPr="006B2C51">
        <w:rPr>
          <w:color w:val="000000" w:themeColor="text1"/>
        </w:rPr>
        <w:t xml:space="preserve"> essential. </w:t>
      </w:r>
      <w:r w:rsidR="00C72DF1" w:rsidRPr="006B2C51">
        <w:rPr>
          <w:color w:val="000000" w:themeColor="text1"/>
        </w:rPr>
        <w:t>P</w:t>
      </w:r>
      <w:r w:rsidR="00422B16" w:rsidRPr="006B2C51">
        <w:rPr>
          <w:color w:val="000000" w:themeColor="text1"/>
        </w:rPr>
        <w:t>roject implementation teams included</w:t>
      </w:r>
      <w:r w:rsidR="003A3AB0" w:rsidRPr="006B2C51">
        <w:rPr>
          <w:color w:val="000000" w:themeColor="text1"/>
        </w:rPr>
        <w:t xml:space="preserve"> expert</w:t>
      </w:r>
      <w:r w:rsidR="00422B16" w:rsidRPr="006B2C51">
        <w:rPr>
          <w:color w:val="000000" w:themeColor="text1"/>
        </w:rPr>
        <w:t>s</w:t>
      </w:r>
      <w:r w:rsidR="003A3AB0" w:rsidRPr="006B2C51">
        <w:rPr>
          <w:color w:val="000000" w:themeColor="text1"/>
        </w:rPr>
        <w:t xml:space="preserve"> from </w:t>
      </w:r>
      <w:r w:rsidR="00422B16" w:rsidRPr="006B2C51">
        <w:rPr>
          <w:color w:val="000000" w:themeColor="text1"/>
        </w:rPr>
        <w:t xml:space="preserve">the </w:t>
      </w:r>
      <w:r w:rsidR="003A3AB0" w:rsidRPr="006B2C51">
        <w:rPr>
          <w:color w:val="000000" w:themeColor="text1"/>
        </w:rPr>
        <w:t>national education and culture sectors</w:t>
      </w:r>
      <w:r w:rsidR="00F27815">
        <w:rPr>
          <w:color w:val="000000" w:themeColor="text1"/>
        </w:rPr>
        <w:t>.</w:t>
      </w:r>
      <w:r w:rsidR="00A96B79" w:rsidRPr="006B2C51">
        <w:rPr>
          <w:rStyle w:val="Appelnotedebasdep"/>
          <w:color w:val="000000" w:themeColor="text1"/>
        </w:rPr>
        <w:footnoteReference w:id="3"/>
      </w:r>
      <w:r w:rsidR="003A3AB0" w:rsidRPr="006B2C51">
        <w:rPr>
          <w:color w:val="000000" w:themeColor="text1"/>
        </w:rPr>
        <w:t xml:space="preserve"> </w:t>
      </w:r>
      <w:r w:rsidR="00C72DF1" w:rsidRPr="006B2C51">
        <w:rPr>
          <w:color w:val="000000" w:themeColor="text1"/>
        </w:rPr>
        <w:t>At</w:t>
      </w:r>
      <w:r w:rsidR="00F27815">
        <w:rPr>
          <w:color w:val="000000" w:themeColor="text1"/>
        </w:rPr>
        <w:t xml:space="preserve"> the</w:t>
      </w:r>
      <w:r w:rsidR="00C72DF1" w:rsidRPr="006B2C51">
        <w:rPr>
          <w:color w:val="000000" w:themeColor="text1"/>
        </w:rPr>
        <w:t xml:space="preserve"> regional level, w</w:t>
      </w:r>
      <w:r w:rsidR="00CA21C3" w:rsidRPr="006B2C51">
        <w:rPr>
          <w:color w:val="000000" w:themeColor="text1"/>
        </w:rPr>
        <w:t xml:space="preserve">orkshops </w:t>
      </w:r>
      <w:r w:rsidR="00C72DF1" w:rsidRPr="006B2C51">
        <w:rPr>
          <w:color w:val="000000" w:themeColor="text1"/>
        </w:rPr>
        <w:t>involving</w:t>
      </w:r>
      <w:r w:rsidR="00C859BC" w:rsidRPr="006B2C51">
        <w:rPr>
          <w:color w:val="000000" w:themeColor="text1"/>
        </w:rPr>
        <w:t xml:space="preserve"> </w:t>
      </w:r>
      <w:r w:rsidR="00CA21C3" w:rsidRPr="006B2C51">
        <w:rPr>
          <w:color w:val="000000" w:themeColor="text1"/>
        </w:rPr>
        <w:t xml:space="preserve">participants from multiple countries saw broad </w:t>
      </w:r>
      <w:r w:rsidR="00C72DF1" w:rsidRPr="006B2C51">
        <w:rPr>
          <w:color w:val="000000" w:themeColor="text1"/>
        </w:rPr>
        <w:t>engagement</w:t>
      </w:r>
      <w:r w:rsidR="003A3AB0" w:rsidRPr="006B2C51">
        <w:rPr>
          <w:color w:val="000000" w:themeColor="text1"/>
        </w:rPr>
        <w:t xml:space="preserve"> beyond technical partners</w:t>
      </w:r>
      <w:r w:rsidR="00C72DF1" w:rsidRPr="006B2C51">
        <w:rPr>
          <w:color w:val="000000" w:themeColor="text1"/>
        </w:rPr>
        <w:t xml:space="preserve">, </w:t>
      </w:r>
      <w:r w:rsidR="003A3AB0" w:rsidRPr="006B2C51">
        <w:rPr>
          <w:color w:val="000000" w:themeColor="text1"/>
        </w:rPr>
        <w:t>includ</w:t>
      </w:r>
      <w:r w:rsidR="00C72DF1" w:rsidRPr="006B2C51">
        <w:rPr>
          <w:color w:val="000000" w:themeColor="text1"/>
        </w:rPr>
        <w:t>ing</w:t>
      </w:r>
      <w:r w:rsidR="003A3AB0" w:rsidRPr="006B2C51">
        <w:rPr>
          <w:color w:val="000000" w:themeColor="text1"/>
        </w:rPr>
        <w:t xml:space="preserve"> bearers, civil society and youth. For example, a two-day </w:t>
      </w:r>
      <w:r w:rsidR="001A6314" w:rsidRPr="006B2C51">
        <w:t>technical meeting</w:t>
      </w:r>
      <w:r w:rsidR="00064B73" w:rsidRPr="006B2C51">
        <w:rPr>
          <w:color w:val="000000" w:themeColor="text1"/>
        </w:rPr>
        <w:t xml:space="preserve"> </w:t>
      </w:r>
      <w:r w:rsidR="00BB26AC" w:rsidRPr="006B2C51">
        <w:rPr>
          <w:color w:val="000000" w:themeColor="text1"/>
        </w:rPr>
        <w:t xml:space="preserve">held in December 2022 </w:t>
      </w:r>
      <w:r w:rsidR="003A3AB0" w:rsidRPr="006B2C51">
        <w:rPr>
          <w:color w:val="000000" w:themeColor="text1"/>
        </w:rPr>
        <w:t xml:space="preserve">brought together stakeholders from </w:t>
      </w:r>
      <w:r w:rsidR="00F27815">
        <w:rPr>
          <w:color w:val="000000" w:themeColor="text1"/>
        </w:rPr>
        <w:t>fifteen</w:t>
      </w:r>
      <w:r w:rsidR="003A3AB0" w:rsidRPr="006B2C51">
        <w:rPr>
          <w:color w:val="000000" w:themeColor="text1"/>
        </w:rPr>
        <w:t xml:space="preserve"> countries to review pilot experiences of the project </w:t>
      </w:r>
      <w:r w:rsidR="008C4F35">
        <w:rPr>
          <w:color w:val="000000" w:themeColor="text1"/>
        </w:rPr>
        <w:t xml:space="preserve">in Latin America and the Caribbean </w:t>
      </w:r>
      <w:r w:rsidR="003A3AB0" w:rsidRPr="006B2C51">
        <w:rPr>
          <w:color w:val="000000" w:themeColor="text1"/>
        </w:rPr>
        <w:t>and generate new knowledge for advancing teaching and learning with living heritage.</w:t>
      </w:r>
    </w:p>
    <w:p w14:paraId="557A12F1" w14:textId="34849ADE" w:rsidR="00664CFF" w:rsidRPr="006B2C51" w:rsidRDefault="00EA1DF6" w:rsidP="00384CD5">
      <w:pPr>
        <w:pStyle w:val="1GAPara"/>
        <w:numPr>
          <w:ilvl w:val="0"/>
          <w:numId w:val="0"/>
        </w:numPr>
        <w:ind w:left="567"/>
        <w:jc w:val="both"/>
        <w:rPr>
          <w:color w:val="000000" w:themeColor="text1"/>
          <w:u w:val="single"/>
        </w:rPr>
      </w:pPr>
      <w:r w:rsidRPr="006B2C51">
        <w:rPr>
          <w:color w:val="000000" w:themeColor="text1"/>
          <w:u w:val="single"/>
        </w:rPr>
        <w:t>Other relevant achievements of the programme</w:t>
      </w:r>
    </w:p>
    <w:p w14:paraId="7B2F609F" w14:textId="76B0F8C2" w:rsidR="00A84091" w:rsidRPr="006B2C51" w:rsidRDefault="00EA1DF6" w:rsidP="00BC7986">
      <w:pPr>
        <w:pStyle w:val="1GAPara"/>
        <w:ind w:left="567" w:hanging="567"/>
        <w:jc w:val="both"/>
      </w:pPr>
      <w:r w:rsidRPr="006B2C51">
        <w:t>C</w:t>
      </w:r>
      <w:r w:rsidR="00A84091" w:rsidRPr="006B2C51">
        <w:t>ollaboration with the Education Sector</w:t>
      </w:r>
      <w:r w:rsidR="00BC7986" w:rsidRPr="006B2C51">
        <w:t xml:space="preserve"> was</w:t>
      </w:r>
      <w:r w:rsidR="00E54EC6" w:rsidRPr="006B2C51">
        <w:t xml:space="preserve"> strengthened </w:t>
      </w:r>
      <w:r w:rsidR="00A84091" w:rsidRPr="006B2C51">
        <w:t>in line with UNESCO’s</w:t>
      </w:r>
      <w:r w:rsidR="005E6F02" w:rsidRPr="006B2C51">
        <w:t xml:space="preserve"> </w:t>
      </w:r>
      <w:r w:rsidR="00A84091" w:rsidRPr="006B2C51">
        <w:t>Intersectoral Programme 1 on Culture and Education</w:t>
      </w:r>
      <w:r w:rsidRPr="006B2C51">
        <w:t>,</w:t>
      </w:r>
      <w:r w:rsidR="00BC7986" w:rsidRPr="006B2C51">
        <w:t xml:space="preserve"> </w:t>
      </w:r>
      <w:r w:rsidRPr="006B2C51">
        <w:t>resulting</w:t>
      </w:r>
      <w:r w:rsidR="00E54EC6" w:rsidRPr="006B2C51">
        <w:t xml:space="preserve"> in</w:t>
      </w:r>
      <w:r w:rsidR="00BC7986" w:rsidRPr="006B2C51">
        <w:t xml:space="preserve"> the </w:t>
      </w:r>
      <w:r w:rsidR="00BC7986" w:rsidRPr="006B2C51">
        <w:rPr>
          <w:rFonts w:asciiTheme="minorBidi" w:hAnsiTheme="minorBidi" w:cstheme="minorBidi"/>
        </w:rPr>
        <w:t>integration of living heritage safeguarding in</w:t>
      </w:r>
      <w:r w:rsidR="00E54EC6" w:rsidRPr="006B2C51">
        <w:rPr>
          <w:rFonts w:asciiTheme="minorBidi" w:hAnsiTheme="minorBidi" w:cstheme="minorBidi"/>
        </w:rPr>
        <w:t>to</w:t>
      </w:r>
      <w:r w:rsidR="00BC7986" w:rsidRPr="006B2C51">
        <w:rPr>
          <w:rFonts w:asciiTheme="minorBidi" w:hAnsiTheme="minorBidi" w:cstheme="minorBidi"/>
        </w:rPr>
        <w:t xml:space="preserve"> major international education frameworks</w:t>
      </w:r>
      <w:r w:rsidR="00C859BC" w:rsidRPr="006B2C51">
        <w:rPr>
          <w:rFonts w:asciiTheme="minorBidi" w:hAnsiTheme="minorBidi" w:cstheme="minorBidi"/>
        </w:rPr>
        <w:t xml:space="preserve">. For </w:t>
      </w:r>
      <w:r w:rsidR="00422B16" w:rsidRPr="006B2C51">
        <w:rPr>
          <w:rFonts w:asciiTheme="minorBidi" w:hAnsiTheme="minorBidi" w:cstheme="minorBidi"/>
        </w:rPr>
        <w:t>instance</w:t>
      </w:r>
      <w:r w:rsidR="00BC7986" w:rsidRPr="006B2C51">
        <w:rPr>
          <w:rFonts w:asciiTheme="minorBidi" w:hAnsiTheme="minorBidi" w:cstheme="minorBidi"/>
        </w:rPr>
        <w:t xml:space="preserve">, the </w:t>
      </w:r>
      <w:hyperlink r:id="rId16" w:history="1">
        <w:r w:rsidR="00177280" w:rsidRPr="00177280">
          <w:rPr>
            <w:rStyle w:val="Lienhypertexte"/>
            <w:rFonts w:asciiTheme="minorBidi" w:hAnsiTheme="minorBidi" w:cstheme="minorBidi"/>
          </w:rPr>
          <w:t>Recommendation</w:t>
        </w:r>
        <w:r w:rsidR="00BC7986" w:rsidRPr="00177280">
          <w:rPr>
            <w:rStyle w:val="Lienhypertexte"/>
            <w:rFonts w:asciiTheme="minorBidi" w:hAnsiTheme="minorBidi" w:cstheme="minorBidi"/>
          </w:rPr>
          <w:t xml:space="preserve"> on Education for Peace and Human Rights, International Understanding, Cooperation, Fundamental Freedoms, Global Citizenship and Sustainable Development</w:t>
        </w:r>
        <w:r w:rsidR="00BC7986" w:rsidRPr="00177280">
          <w:rPr>
            <w:rStyle w:val="Lienhypertexte"/>
          </w:rPr>
          <w:t xml:space="preserve"> (2023</w:t>
        </w:r>
        <w:r w:rsidR="00422B16" w:rsidRPr="00177280">
          <w:rPr>
            <w:rStyle w:val="Lienhypertexte"/>
          </w:rPr>
          <w:t>)</w:t>
        </w:r>
      </w:hyperlink>
      <w:r w:rsidR="00BC7986" w:rsidRPr="006B2C51">
        <w:t xml:space="preserve"> highlights the role of living heritage in fostering mutual understanding, solidarity and social cohesion</w:t>
      </w:r>
      <w:r w:rsidR="00C859BC" w:rsidRPr="006B2C51">
        <w:t>. Similarly</w:t>
      </w:r>
      <w:r w:rsidR="00E54EC6" w:rsidRPr="006B2C51">
        <w:t>,</w:t>
      </w:r>
      <w:r w:rsidR="00BC7986" w:rsidRPr="006B2C51">
        <w:t xml:space="preserve"> the </w:t>
      </w:r>
      <w:hyperlink r:id="rId17" w:history="1">
        <w:r w:rsidR="00177280" w:rsidRPr="00177280">
          <w:rPr>
            <w:rStyle w:val="Lienhypertexte"/>
            <w:rFonts w:asciiTheme="minorBidi" w:hAnsiTheme="minorBidi" w:cstheme="minorBidi"/>
          </w:rPr>
          <w:t>Framework</w:t>
        </w:r>
        <w:r w:rsidR="00BC7986" w:rsidRPr="00177280">
          <w:rPr>
            <w:rStyle w:val="Lienhypertexte"/>
            <w:rFonts w:asciiTheme="minorBidi" w:hAnsiTheme="minorBidi" w:cstheme="minorBidi"/>
          </w:rPr>
          <w:t xml:space="preserve"> for Culture and Arts Education (2024)</w:t>
        </w:r>
      </w:hyperlink>
      <w:r w:rsidR="00BC7986" w:rsidRPr="006B2C51">
        <w:rPr>
          <w:rFonts w:asciiTheme="minorBidi" w:hAnsiTheme="minorBidi" w:cstheme="minorBidi"/>
        </w:rPr>
        <w:t xml:space="preserve"> </w:t>
      </w:r>
      <w:r w:rsidR="00E54EC6" w:rsidRPr="006B2C51">
        <w:rPr>
          <w:rFonts w:asciiTheme="minorBidi" w:hAnsiTheme="minorBidi" w:cstheme="minorBidi"/>
        </w:rPr>
        <w:t>stresses the importance</w:t>
      </w:r>
      <w:r w:rsidR="00BC06EC" w:rsidRPr="006B2C51">
        <w:rPr>
          <w:rFonts w:asciiTheme="minorBidi" w:hAnsiTheme="minorBidi" w:cstheme="minorBidi"/>
        </w:rPr>
        <w:t xml:space="preserve"> of</w:t>
      </w:r>
      <w:r w:rsidR="00BC7986" w:rsidRPr="006B2C51">
        <w:rPr>
          <w:rFonts w:asciiTheme="minorBidi" w:hAnsiTheme="minorBidi" w:cstheme="minorBidi"/>
        </w:rPr>
        <w:t xml:space="preserve"> lifelong learning in culture and the arts across all educational settings, </w:t>
      </w:r>
      <w:r w:rsidR="00BC06EC" w:rsidRPr="006B2C51">
        <w:rPr>
          <w:rFonts w:asciiTheme="minorBidi" w:hAnsiTheme="minorBidi" w:cstheme="minorBidi"/>
        </w:rPr>
        <w:t>and the value of</w:t>
      </w:r>
      <w:r w:rsidR="00BC7986" w:rsidRPr="006B2C51">
        <w:rPr>
          <w:rFonts w:asciiTheme="minorBidi" w:hAnsiTheme="minorBidi" w:cstheme="minorBidi"/>
        </w:rPr>
        <w:t xml:space="preserve"> learning in, through and with diverse</w:t>
      </w:r>
      <w:r w:rsidR="00C859BC" w:rsidRPr="006B2C51">
        <w:rPr>
          <w:rFonts w:asciiTheme="minorBidi" w:hAnsiTheme="minorBidi" w:cstheme="minorBidi"/>
        </w:rPr>
        <w:t xml:space="preserve"> </w:t>
      </w:r>
      <w:r w:rsidR="00BC7986" w:rsidRPr="006B2C51">
        <w:rPr>
          <w:rFonts w:asciiTheme="minorBidi" w:hAnsiTheme="minorBidi" w:cstheme="minorBidi"/>
        </w:rPr>
        <w:t>cultural expressions</w:t>
      </w:r>
      <w:r w:rsidR="00C859BC" w:rsidRPr="006B2C51">
        <w:rPr>
          <w:rFonts w:asciiTheme="minorBidi" w:hAnsiTheme="minorBidi" w:cstheme="minorBidi"/>
        </w:rPr>
        <w:t>, including local and Indigenous expressions</w:t>
      </w:r>
      <w:r w:rsidR="00BC06EC" w:rsidRPr="006B2C51">
        <w:rPr>
          <w:rFonts w:asciiTheme="minorBidi" w:hAnsiTheme="minorBidi" w:cstheme="minorBidi"/>
        </w:rPr>
        <w:t>.</w:t>
      </w:r>
    </w:p>
    <w:p w14:paraId="25437ECE" w14:textId="4952DE56" w:rsidR="00BC06EC" w:rsidRPr="006B2C51" w:rsidRDefault="00665ADA" w:rsidP="00BC06EC">
      <w:pPr>
        <w:pStyle w:val="1GAPara"/>
        <w:ind w:left="567" w:hanging="567"/>
        <w:jc w:val="both"/>
      </w:pPr>
      <w:r w:rsidRPr="006B2C51">
        <w:t>U</w:t>
      </w:r>
      <w:r w:rsidR="00A84091" w:rsidRPr="006B2C51">
        <w:t xml:space="preserve">pstream </w:t>
      </w:r>
      <w:r w:rsidR="00CD6DF0" w:rsidRPr="006B2C51">
        <w:t>effort</w:t>
      </w:r>
      <w:r w:rsidR="00CE3541" w:rsidRPr="006B2C51">
        <w:t>s</w:t>
      </w:r>
      <w:r w:rsidR="00A84091" w:rsidRPr="006B2C51">
        <w:t xml:space="preserve"> continued</w:t>
      </w:r>
      <w:r w:rsidR="008E4F0D" w:rsidRPr="006B2C51">
        <w:t xml:space="preserve"> </w:t>
      </w:r>
      <w:r w:rsidR="00B45EC1" w:rsidRPr="006B2C51">
        <w:t xml:space="preserve">to provide </w:t>
      </w:r>
      <w:r w:rsidR="004C465F" w:rsidRPr="006B2C51">
        <w:t>guidance and</w:t>
      </w:r>
      <w:r w:rsidR="00B45EC1" w:rsidRPr="006B2C51">
        <w:t xml:space="preserve"> tools for stakeholders </w:t>
      </w:r>
      <w:r w:rsidR="00CD6DF0" w:rsidRPr="006B2C51">
        <w:t>engaged in</w:t>
      </w:r>
      <w:r w:rsidR="00B45EC1" w:rsidRPr="006B2C51">
        <w:t xml:space="preserve"> this topic</w:t>
      </w:r>
      <w:r w:rsidR="008E6DA2" w:rsidRPr="006B2C51">
        <w:t xml:space="preserve">, including the </w:t>
      </w:r>
      <w:hyperlink r:id="rId18" w:history="1">
        <w:r w:rsidR="008E6DA2" w:rsidRPr="006B2C51">
          <w:rPr>
            <w:rStyle w:val="Lienhypertexte"/>
          </w:rPr>
          <w:t>training</w:t>
        </w:r>
      </w:hyperlink>
      <w:r w:rsidR="008E6DA2" w:rsidRPr="006B2C51">
        <w:t xml:space="preserve"> of</w:t>
      </w:r>
      <w:r w:rsidR="00B45EC1" w:rsidRPr="006B2C51">
        <w:t xml:space="preserve"> </w:t>
      </w:r>
      <w:r w:rsidR="00F36A44" w:rsidRPr="006B2C51">
        <w:t>11</w:t>
      </w:r>
      <w:r w:rsidR="003D67C1" w:rsidRPr="006B2C51">
        <w:t>2</w:t>
      </w:r>
      <w:r w:rsidR="00F36A44" w:rsidRPr="006B2C51">
        <w:t xml:space="preserve"> members of the global facilitators’ network </w:t>
      </w:r>
      <w:r w:rsidR="00BC06EC" w:rsidRPr="006B2C51">
        <w:t xml:space="preserve">in </w:t>
      </w:r>
      <w:r w:rsidR="00F36A44" w:rsidRPr="006B2C51">
        <w:t xml:space="preserve">July 2025. </w:t>
      </w:r>
      <w:r w:rsidR="00D763AA" w:rsidRPr="006B2C51">
        <w:t>In line with</w:t>
      </w:r>
      <w:r w:rsidR="00F36A44" w:rsidRPr="006B2C51">
        <w:t xml:space="preserve"> the </w:t>
      </w:r>
      <w:r w:rsidR="00177280">
        <w:t>c</w:t>
      </w:r>
      <w:r w:rsidR="00F36A44" w:rsidRPr="006B2C51">
        <w:t>apacity-building programme</w:t>
      </w:r>
      <w:r w:rsidR="00D763AA" w:rsidRPr="006B2C51">
        <w:t>’s</w:t>
      </w:r>
      <w:r w:rsidR="00F36A44" w:rsidRPr="006B2C51">
        <w:t xml:space="preserve"> multimodal </w:t>
      </w:r>
      <w:r w:rsidR="00D763AA" w:rsidRPr="006B2C51">
        <w:t>approach</w:t>
      </w:r>
      <w:r w:rsidR="00F36A44" w:rsidRPr="006B2C51">
        <w:t xml:space="preserve">, </w:t>
      </w:r>
      <w:r w:rsidR="00FB0279" w:rsidRPr="006B2C51">
        <w:t>a</w:t>
      </w:r>
      <w:r w:rsidR="00F36A44" w:rsidRPr="006B2C51">
        <w:t xml:space="preserve"> self-paced online course on </w:t>
      </w:r>
      <w:r w:rsidR="00FB0279" w:rsidRPr="006B2C51">
        <w:t>l</w:t>
      </w:r>
      <w:r w:rsidR="00F36A44" w:rsidRPr="006B2C51">
        <w:t xml:space="preserve">iving heritage and education was jointly developed </w:t>
      </w:r>
      <w:r w:rsidR="00CD6DF0" w:rsidRPr="006B2C51">
        <w:t>with the</w:t>
      </w:r>
      <w:r w:rsidR="00F36A44" w:rsidRPr="006B2C51">
        <w:t xml:space="preserve"> Education Sector </w:t>
      </w:r>
      <w:r w:rsidR="001B4DE8" w:rsidRPr="006B2C51">
        <w:t>(to be launched during the present session of the Committee)</w:t>
      </w:r>
      <w:r w:rsidR="00F36A44" w:rsidRPr="006B2C51">
        <w:t xml:space="preserve"> </w:t>
      </w:r>
      <w:r w:rsidR="00FB0279" w:rsidRPr="006B2C51">
        <w:t>through</w:t>
      </w:r>
      <w:r w:rsidR="00CD6DF0" w:rsidRPr="006B2C51">
        <w:t xml:space="preserve"> the learning platform for safeguarding intangible cultural heritage, </w:t>
      </w:r>
      <w:r w:rsidR="001B4DE8" w:rsidRPr="006B2C51">
        <w:t>made public</w:t>
      </w:r>
      <w:r w:rsidR="00CD6DF0" w:rsidRPr="006B2C51">
        <w:t xml:space="preserve"> in </w:t>
      </w:r>
      <w:r w:rsidR="001B4DE8" w:rsidRPr="006B2C51">
        <w:t xml:space="preserve">May </w:t>
      </w:r>
      <w:r w:rsidR="00CD6DF0" w:rsidRPr="006B2C51">
        <w:t xml:space="preserve">2025. </w:t>
      </w:r>
      <w:r w:rsidR="00177280">
        <w:t>Moreover, d</w:t>
      </w:r>
      <w:r w:rsidR="00FB0279" w:rsidRPr="006B2C51">
        <w:t>uring</w:t>
      </w:r>
      <w:r w:rsidR="00CD6DF0" w:rsidRPr="006B2C51">
        <w:t xml:space="preserve"> th</w:t>
      </w:r>
      <w:r w:rsidR="00A1137F" w:rsidRPr="006B2C51">
        <w:t>e reporting</w:t>
      </w:r>
      <w:r w:rsidR="00CD6DF0" w:rsidRPr="006B2C51">
        <w:t xml:space="preserve"> period, the </w:t>
      </w:r>
      <w:hyperlink r:id="rId19" w:history="1">
        <w:r w:rsidR="00CD6DF0" w:rsidRPr="006B2C51">
          <w:rPr>
            <w:rStyle w:val="Lienhypertexte"/>
          </w:rPr>
          <w:t>Clearinghouse on living heritage and education</w:t>
        </w:r>
      </w:hyperlink>
      <w:r w:rsidR="00CD6DF0" w:rsidRPr="006B2C51">
        <w:t xml:space="preserve"> continued to </w:t>
      </w:r>
      <w:r w:rsidR="00FB0279" w:rsidRPr="006B2C51">
        <w:t>expand as a repository</w:t>
      </w:r>
      <w:r w:rsidR="00CD6DF0" w:rsidRPr="006B2C51">
        <w:t xml:space="preserve"> of ideas and examples, now </w:t>
      </w:r>
      <w:r w:rsidR="00FB0279" w:rsidRPr="006B2C51">
        <w:t>offering more than</w:t>
      </w:r>
      <w:r w:rsidR="00CD6DF0" w:rsidRPr="006B2C51">
        <w:t xml:space="preserve"> 130 resources and projects.</w:t>
      </w:r>
      <w:r w:rsidR="00630B56" w:rsidRPr="006B2C51">
        <w:t xml:space="preserve"> Finally, </w:t>
      </w:r>
      <w:r w:rsidR="00546B24" w:rsidRPr="006B2C51">
        <w:t>to mark the</w:t>
      </w:r>
      <w:r w:rsidR="00630B56" w:rsidRPr="006B2C51">
        <w:t xml:space="preserve"> </w:t>
      </w:r>
      <w:r w:rsidR="00546B24" w:rsidRPr="006B2C51">
        <w:t>close</w:t>
      </w:r>
      <w:r w:rsidR="00630B56" w:rsidRPr="006B2C51">
        <w:t xml:space="preserve"> of the quadrenni</w:t>
      </w:r>
      <w:r w:rsidR="00546B24" w:rsidRPr="006B2C51">
        <w:t>um</w:t>
      </w:r>
      <w:r w:rsidR="00630B56" w:rsidRPr="006B2C51">
        <w:t xml:space="preserve">, a </w:t>
      </w:r>
      <w:hyperlink r:id="rId20" w:history="1">
        <w:r w:rsidR="00546B24" w:rsidRPr="006B2C51">
          <w:rPr>
            <w:rStyle w:val="Lienhypertexte"/>
          </w:rPr>
          <w:t>reflection meeting</w:t>
        </w:r>
      </w:hyperlink>
      <w:r w:rsidR="00630B56" w:rsidRPr="006B2C51">
        <w:t xml:space="preserve"> brought together </w:t>
      </w:r>
      <w:r w:rsidR="00177280">
        <w:t>twenty-seven</w:t>
      </w:r>
      <w:r w:rsidR="00630B56" w:rsidRPr="006B2C51">
        <w:t xml:space="preserve"> experts in culture and education in July 2025, serving as a platform </w:t>
      </w:r>
      <w:r w:rsidR="00546B24" w:rsidRPr="006B2C51">
        <w:t xml:space="preserve">to </w:t>
      </w:r>
      <w:r w:rsidR="00630B56" w:rsidRPr="006B2C51">
        <w:t>exchange on the</w:t>
      </w:r>
      <w:r w:rsidR="00546B24" w:rsidRPr="006B2C51">
        <w:t xml:space="preserve"> Programme’s</w:t>
      </w:r>
      <w:r w:rsidR="00630B56" w:rsidRPr="006B2C51">
        <w:t xml:space="preserve"> implementation and </w:t>
      </w:r>
      <w:r w:rsidR="00546B24" w:rsidRPr="006B2C51">
        <w:t>to explore</w:t>
      </w:r>
      <w:r w:rsidR="00630B56" w:rsidRPr="006B2C51">
        <w:t xml:space="preserve"> its future directions. </w:t>
      </w:r>
    </w:p>
    <w:p w14:paraId="30F6D943" w14:textId="1069DA2B" w:rsidR="00BC06EC" w:rsidRPr="006B2C51" w:rsidRDefault="00BC06EC" w:rsidP="00BC06EC">
      <w:pPr>
        <w:pStyle w:val="1GAPara"/>
        <w:ind w:left="567" w:hanging="567"/>
        <w:jc w:val="both"/>
      </w:pPr>
      <w:r w:rsidRPr="006B2C51">
        <w:t xml:space="preserve">Recent projects supported at the national level </w:t>
      </w:r>
      <w:r w:rsidR="00B86CC0" w:rsidRPr="006B2C51">
        <w:t xml:space="preserve">have </w:t>
      </w:r>
      <w:r w:rsidRPr="006B2C51">
        <w:t xml:space="preserve">adopted a more </w:t>
      </w:r>
      <w:r w:rsidR="00D763AA" w:rsidRPr="006B2C51">
        <w:t xml:space="preserve">systemic </w:t>
      </w:r>
      <w:r w:rsidRPr="006B2C51">
        <w:t>approach, incorporating interministerial collaboration from the outset. A notable example is ‘</w:t>
      </w:r>
      <w:r w:rsidR="00D5157F" w:rsidRPr="006B2C51">
        <w:t xml:space="preserve">Safeguarding </w:t>
      </w:r>
      <w:r w:rsidR="007D355B">
        <w:t>i</w:t>
      </w:r>
      <w:r w:rsidR="007D355B" w:rsidRPr="006B2C51">
        <w:t xml:space="preserve">ntangible </w:t>
      </w:r>
      <w:r w:rsidR="007D355B">
        <w:t>c</w:t>
      </w:r>
      <w:r w:rsidR="00D5157F" w:rsidRPr="006B2C51">
        <w:t xml:space="preserve">ultural </w:t>
      </w:r>
      <w:r w:rsidR="007D355B">
        <w:t>h</w:t>
      </w:r>
      <w:r w:rsidR="00D5157F" w:rsidRPr="006B2C51">
        <w:t xml:space="preserve">eritage in </w:t>
      </w:r>
      <w:r w:rsidR="007D355B">
        <w:t>b</w:t>
      </w:r>
      <w:r w:rsidR="00D5157F" w:rsidRPr="006B2C51">
        <w:t xml:space="preserve">asic </w:t>
      </w:r>
      <w:r w:rsidR="007D355B">
        <w:t>e</w:t>
      </w:r>
      <w:r w:rsidR="00D5157F" w:rsidRPr="006B2C51">
        <w:t>ducation in Namibia and Zimbabwe’</w:t>
      </w:r>
      <w:r w:rsidR="00177280">
        <w:t>.</w:t>
      </w:r>
      <w:r w:rsidR="00D5157F" w:rsidRPr="006B2C51">
        <w:rPr>
          <w:rStyle w:val="Appelnotedebasdep"/>
        </w:rPr>
        <w:footnoteReference w:id="4"/>
      </w:r>
      <w:r w:rsidRPr="006B2C51">
        <w:t xml:space="preserve"> </w:t>
      </w:r>
      <w:r w:rsidR="00B86CC0" w:rsidRPr="006B2C51">
        <w:t>New initiatives also highlight the value of linking living heritage and education with other areas of action under the Convention.</w:t>
      </w:r>
      <w:r w:rsidRPr="006B2C51">
        <w:t xml:space="preserve"> These include ‘</w:t>
      </w:r>
      <w:r w:rsidR="00D5157F" w:rsidRPr="006B2C51">
        <w:t>Teaching and learning with living heritage in Ukraine’</w:t>
      </w:r>
      <w:r w:rsidR="00D5157F" w:rsidRPr="006B2C51">
        <w:rPr>
          <w:rStyle w:val="Appelnotedebasdep"/>
        </w:rPr>
        <w:footnoteReference w:id="5"/>
      </w:r>
      <w:r w:rsidRPr="006B2C51">
        <w:t xml:space="preserve"> (building on the methodology developed in the earlier project ‘</w:t>
      </w:r>
      <w:r w:rsidR="00003438" w:rsidRPr="006B2C51">
        <w:t>Teaching and learning with living heritage’</w:t>
      </w:r>
      <w:r w:rsidR="00003438" w:rsidRPr="006B2C51">
        <w:rPr>
          <w:rStyle w:val="Appelnotedebasdep"/>
        </w:rPr>
        <w:footnoteReference w:id="6"/>
      </w:r>
      <w:r w:rsidRPr="006B2C51">
        <w:t>) and ‘</w:t>
      </w:r>
      <w:r w:rsidR="00003438" w:rsidRPr="006B2C51">
        <w:t>Capacity</w:t>
      </w:r>
      <w:r w:rsidR="00177280">
        <w:t>-</w:t>
      </w:r>
      <w:r w:rsidR="00003438" w:rsidRPr="006B2C51">
        <w:t>building for safeguarding intangible cultural heritage in emergencies in Small Island Developing States in the Pacific and the Caribbean</w:t>
      </w:r>
      <w:r w:rsidRPr="006B2C51">
        <w:t>’</w:t>
      </w:r>
      <w:r w:rsidR="00003438" w:rsidRPr="006B2C51">
        <w:rPr>
          <w:rStyle w:val="Appelnotedebasdep"/>
        </w:rPr>
        <w:footnoteReference w:id="7"/>
      </w:r>
      <w:r w:rsidRPr="006B2C51">
        <w:t xml:space="preserve"> in</w:t>
      </w:r>
      <w:r w:rsidR="00177280">
        <w:t xml:space="preserve"> emergency</w:t>
      </w:r>
      <w:r w:rsidRPr="006B2C51">
        <w:t xml:space="preserve"> contexts, or ‘</w:t>
      </w:r>
      <w:r w:rsidR="00E766F4" w:rsidRPr="006B2C51">
        <w:t>Empowering communities through culture and education’</w:t>
      </w:r>
      <w:r w:rsidR="00E766F4" w:rsidRPr="006B2C51">
        <w:rPr>
          <w:rStyle w:val="Appelnotedebasdep"/>
        </w:rPr>
        <w:footnoteReference w:id="8"/>
      </w:r>
      <w:r w:rsidRPr="006B2C51">
        <w:t xml:space="preserve"> </w:t>
      </w:r>
      <w:r w:rsidR="00BB26AC" w:rsidRPr="006B2C51">
        <w:t>to</w:t>
      </w:r>
      <w:r w:rsidR="00B86CC0" w:rsidRPr="006B2C51">
        <w:t xml:space="preserve"> promote sustainable livelihoods through heritage-based technical and vocational education and training.</w:t>
      </w:r>
    </w:p>
    <w:p w14:paraId="25316745" w14:textId="77777777" w:rsidR="00A07660" w:rsidRPr="006B2C51" w:rsidRDefault="00A07660" w:rsidP="00384CD5">
      <w:pPr>
        <w:pStyle w:val="1GAPara"/>
        <w:numPr>
          <w:ilvl w:val="0"/>
          <w:numId w:val="0"/>
        </w:numPr>
        <w:rPr>
          <w:b/>
        </w:rPr>
      </w:pPr>
      <w:r w:rsidRPr="006B2C51">
        <w:rPr>
          <w:b/>
        </w:rPr>
        <w:t>Lessons learned during the quadrennium</w:t>
      </w:r>
    </w:p>
    <w:p w14:paraId="6CD987A3" w14:textId="437D9445" w:rsidR="009B6E85" w:rsidRPr="006B2C51" w:rsidRDefault="009B6E85" w:rsidP="00557B3A">
      <w:pPr>
        <w:pStyle w:val="1GAPara"/>
        <w:ind w:left="567" w:hanging="567"/>
        <w:jc w:val="both"/>
      </w:pPr>
      <w:r w:rsidRPr="006B2C51">
        <w:rPr>
          <w:bCs/>
        </w:rPr>
        <w:t xml:space="preserve">The lessons learned under the current funding priority provide valuable guidance </w:t>
      </w:r>
      <w:bookmarkEnd w:id="0"/>
      <w:r w:rsidRPr="006B2C51">
        <w:t xml:space="preserve">on </w:t>
      </w:r>
      <w:r w:rsidR="006E29AF" w:rsidRPr="006B2C51">
        <w:t xml:space="preserve">how to further develop </w:t>
      </w:r>
      <w:r w:rsidRPr="006B2C51">
        <w:t>s</w:t>
      </w:r>
      <w:r w:rsidR="00B16C82" w:rsidRPr="006B2C51">
        <w:t>afeguarding intangible cultural heritage in formal and non-formal education</w:t>
      </w:r>
      <w:r w:rsidR="00177280">
        <w:t>. Notably</w:t>
      </w:r>
      <w:r w:rsidR="006E29AF" w:rsidRPr="006B2C51">
        <w:t>:</w:t>
      </w:r>
    </w:p>
    <w:p w14:paraId="468D5402" w14:textId="4B05AEC7" w:rsidR="006E29AF" w:rsidRPr="006B2C51" w:rsidRDefault="009B6E85" w:rsidP="006E29AF">
      <w:pPr>
        <w:pStyle w:val="1GAPara"/>
        <w:numPr>
          <w:ilvl w:val="2"/>
          <w:numId w:val="2"/>
        </w:numPr>
        <w:ind w:left="1134" w:hanging="567"/>
        <w:jc w:val="both"/>
      </w:pPr>
      <w:r w:rsidRPr="006B2C51">
        <w:rPr>
          <w:b/>
          <w:bCs/>
        </w:rPr>
        <w:t>T</w:t>
      </w:r>
      <w:r w:rsidR="00B16C82" w:rsidRPr="006B2C51">
        <w:rPr>
          <w:b/>
          <w:bCs/>
        </w:rPr>
        <w:t xml:space="preserve">he role of education </w:t>
      </w:r>
      <w:r w:rsidRPr="006B2C51">
        <w:rPr>
          <w:b/>
          <w:bCs/>
        </w:rPr>
        <w:t xml:space="preserve">strengthened </w:t>
      </w:r>
      <w:r w:rsidR="00B16C82" w:rsidRPr="006B2C51">
        <w:rPr>
          <w:b/>
          <w:bCs/>
        </w:rPr>
        <w:t xml:space="preserve">as both </w:t>
      </w:r>
      <w:r w:rsidR="006A1468" w:rsidRPr="006B2C51">
        <w:rPr>
          <w:b/>
          <w:bCs/>
        </w:rPr>
        <w:t xml:space="preserve">a </w:t>
      </w:r>
      <w:r w:rsidR="00B16C82" w:rsidRPr="006B2C51">
        <w:rPr>
          <w:b/>
          <w:bCs/>
        </w:rPr>
        <w:t>driver of quality education and a key safeguarding measure</w:t>
      </w:r>
      <w:r w:rsidR="00387E3B" w:rsidRPr="006B2C51">
        <w:t>.</w:t>
      </w:r>
      <w:r w:rsidR="006E29AF" w:rsidRPr="006B2C51">
        <w:t xml:space="preserve"> </w:t>
      </w:r>
      <w:r w:rsidR="007018AF" w:rsidRPr="006B2C51">
        <w:t>The Programme has promoted the recognition of intangible cultural heritage as part of a broad vision of education that is both transformative and rooted in cultural diversity, in line with UNESCO’s interdisciplinary mandate in culture and education. As such</w:t>
      </w:r>
      <w:r w:rsidR="006E29AF" w:rsidRPr="006B2C51">
        <w:t xml:space="preserve">, the value of intangible cultural heritage for education is acknowledged broadly in major education initiatives and international frameworks. Projects under Funding </w:t>
      </w:r>
      <w:r w:rsidR="001A4C39">
        <w:t>P</w:t>
      </w:r>
      <w:r w:rsidR="006E29AF" w:rsidRPr="006B2C51">
        <w:t>riority 2 have</w:t>
      </w:r>
      <w:r w:rsidR="007018AF" w:rsidRPr="006B2C51">
        <w:t xml:space="preserve"> also</w:t>
      </w:r>
      <w:r w:rsidR="006E29AF" w:rsidRPr="006B2C51">
        <w:t xml:space="preserve"> clarified and reinforced the contribution of living heritage safeguarding to educational relevance and quality. This aligns with</w:t>
      </w:r>
      <w:r w:rsidR="001A4C39">
        <w:t xml:space="preserve"> the following</w:t>
      </w:r>
      <w:r w:rsidR="006E29AF" w:rsidRPr="006B2C51">
        <w:t xml:space="preserve"> Education Sector priorities: </w:t>
      </w:r>
      <w:r w:rsidR="001A4C39">
        <w:t>(a)</w:t>
      </w:r>
      <w:r w:rsidR="008C4F35">
        <w:t> </w:t>
      </w:r>
      <w:r w:rsidR="006E29AF" w:rsidRPr="006B2C51">
        <w:t>connecting classroom learning with students’ everyday lives</w:t>
      </w:r>
      <w:r w:rsidR="001A4C39">
        <w:t>,</w:t>
      </w:r>
      <w:r w:rsidR="006E29AF" w:rsidRPr="006B2C51">
        <w:t xml:space="preserve"> in line with G</w:t>
      </w:r>
      <w:r w:rsidR="001A4C39">
        <w:t>C</w:t>
      </w:r>
      <w:r w:rsidR="006E29AF" w:rsidRPr="006B2C51">
        <w:t>ED goals;</w:t>
      </w:r>
      <w:r w:rsidR="001A4C39">
        <w:t xml:space="preserve"> (b)</w:t>
      </w:r>
      <w:r w:rsidR="008C4F35">
        <w:t> </w:t>
      </w:r>
      <w:r w:rsidR="006E29AF" w:rsidRPr="006B2C51">
        <w:t>fostering confident, environmentally responsible learners in support of education for sustainable development; and</w:t>
      </w:r>
      <w:r w:rsidR="001A4C39">
        <w:t xml:space="preserve"> (c)</w:t>
      </w:r>
      <w:r w:rsidR="008C4F35">
        <w:t> </w:t>
      </w:r>
      <w:r w:rsidR="006E29AF" w:rsidRPr="006B2C51">
        <w:t>demonstrating how integrating communities’ knowledge and skills into lifelong and vocational education can sustain community livelihoods.</w:t>
      </w:r>
    </w:p>
    <w:p w14:paraId="67BD8672" w14:textId="21EFA6CA" w:rsidR="00B16C82" w:rsidRPr="006B2C51" w:rsidRDefault="009B6E85" w:rsidP="009B6E85">
      <w:pPr>
        <w:pStyle w:val="1GAPara"/>
        <w:numPr>
          <w:ilvl w:val="2"/>
          <w:numId w:val="2"/>
        </w:numPr>
        <w:ind w:left="1134" w:hanging="567"/>
        <w:jc w:val="both"/>
      </w:pPr>
      <w:r w:rsidRPr="006B2C51">
        <w:rPr>
          <w:b/>
          <w:bCs/>
        </w:rPr>
        <w:t>C</w:t>
      </w:r>
      <w:r w:rsidR="008815E5" w:rsidRPr="006B2C51">
        <w:rPr>
          <w:b/>
          <w:bCs/>
        </w:rPr>
        <w:t>apacity</w:t>
      </w:r>
      <w:r w:rsidR="001A4C39">
        <w:rPr>
          <w:b/>
          <w:bCs/>
        </w:rPr>
        <w:t>-</w:t>
      </w:r>
      <w:r w:rsidR="008815E5" w:rsidRPr="006B2C51">
        <w:rPr>
          <w:b/>
          <w:bCs/>
        </w:rPr>
        <w:t xml:space="preserve">building alone is </w:t>
      </w:r>
      <w:r w:rsidR="008164D5" w:rsidRPr="006B2C51">
        <w:rPr>
          <w:b/>
          <w:bCs/>
        </w:rPr>
        <w:t xml:space="preserve">insufficient </w:t>
      </w:r>
      <w:r w:rsidR="00841418" w:rsidRPr="006B2C51">
        <w:rPr>
          <w:b/>
          <w:bCs/>
        </w:rPr>
        <w:t xml:space="preserve">to </w:t>
      </w:r>
      <w:r w:rsidR="00C94535" w:rsidRPr="006B2C51">
        <w:rPr>
          <w:b/>
          <w:bCs/>
        </w:rPr>
        <w:t>ensure</w:t>
      </w:r>
      <w:r w:rsidR="00841418" w:rsidRPr="006B2C51">
        <w:rPr>
          <w:b/>
          <w:bCs/>
        </w:rPr>
        <w:t xml:space="preserve"> sustainability</w:t>
      </w:r>
      <w:r w:rsidR="0080309B" w:rsidRPr="006B2C51">
        <w:rPr>
          <w:b/>
          <w:bCs/>
        </w:rPr>
        <w:t>.</w:t>
      </w:r>
      <w:r w:rsidR="008815E5" w:rsidRPr="006B2C51">
        <w:rPr>
          <w:b/>
          <w:bCs/>
        </w:rPr>
        <w:t xml:space="preserve"> </w:t>
      </w:r>
      <w:r w:rsidR="0080309B" w:rsidRPr="006B2C51">
        <w:t>Efforts to integrate living heritage in education</w:t>
      </w:r>
      <w:r w:rsidR="008815E5" w:rsidRPr="006B2C51">
        <w:t xml:space="preserve"> must be </w:t>
      </w:r>
      <w:r w:rsidR="008164D5" w:rsidRPr="006B2C51">
        <w:t>complemented by</w:t>
      </w:r>
      <w:r w:rsidR="008815E5" w:rsidRPr="006B2C51">
        <w:t xml:space="preserve"> advocacy at </w:t>
      </w:r>
      <w:r w:rsidR="008164D5" w:rsidRPr="006B2C51">
        <w:t xml:space="preserve">both </w:t>
      </w:r>
      <w:r w:rsidR="008815E5" w:rsidRPr="006B2C51">
        <w:t xml:space="preserve">decision-making and technical levels to </w:t>
      </w:r>
      <w:r w:rsidR="008164D5" w:rsidRPr="006B2C51">
        <w:t xml:space="preserve">promote </w:t>
      </w:r>
      <w:r w:rsidR="008815E5" w:rsidRPr="006B2C51">
        <w:t xml:space="preserve">pedagogical models that </w:t>
      </w:r>
      <w:r w:rsidR="008164D5" w:rsidRPr="006B2C51">
        <w:t>acknowledge</w:t>
      </w:r>
      <w:r w:rsidR="008815E5" w:rsidRPr="006B2C51">
        <w:t xml:space="preserve"> culture bearers as </w:t>
      </w:r>
      <w:r w:rsidR="00841418" w:rsidRPr="006B2C51">
        <w:t>key sources of knowledge</w:t>
      </w:r>
      <w:r w:rsidR="008815E5" w:rsidRPr="006B2C51">
        <w:t xml:space="preserve">. </w:t>
      </w:r>
      <w:r w:rsidR="00885B54" w:rsidRPr="006B2C51">
        <w:t>A</w:t>
      </w:r>
      <w:r w:rsidR="004C5E80" w:rsidRPr="006B2C51">
        <w:t>t the same time</w:t>
      </w:r>
      <w:r w:rsidR="00885B54" w:rsidRPr="006B2C51">
        <w:t xml:space="preserve">, </w:t>
      </w:r>
      <w:r w:rsidR="004C5E80" w:rsidRPr="006B2C51">
        <w:t xml:space="preserve">assessing </w:t>
      </w:r>
      <w:r w:rsidR="00A0523A" w:rsidRPr="006B2C51">
        <w:t xml:space="preserve">learning outcomes related to teaching and learning with living heritage remains a significant challenge that must be addressed to achieve greater recognition </w:t>
      </w:r>
      <w:r w:rsidR="004C5E80" w:rsidRPr="006B2C51">
        <w:t>within</w:t>
      </w:r>
      <w:r w:rsidR="00A0523A" w:rsidRPr="006B2C51">
        <w:t xml:space="preserve"> curricula and national frameworks.</w:t>
      </w:r>
      <w:r w:rsidR="00557B3A" w:rsidRPr="006B2C51">
        <w:t xml:space="preserve"> </w:t>
      </w:r>
      <w:r w:rsidR="008164D5" w:rsidRPr="006B2C51">
        <w:t xml:space="preserve">Systematic </w:t>
      </w:r>
      <w:r w:rsidR="00841418" w:rsidRPr="006B2C51">
        <w:t>d</w:t>
      </w:r>
      <w:r w:rsidR="008815E5" w:rsidRPr="006B2C51">
        <w:t xml:space="preserve">ata collection and knowledge sharing </w:t>
      </w:r>
      <w:r w:rsidR="00C94535" w:rsidRPr="006B2C51">
        <w:t xml:space="preserve">also </w:t>
      </w:r>
      <w:r w:rsidR="008164D5" w:rsidRPr="006B2C51">
        <w:t>continue to pose difficulties</w:t>
      </w:r>
      <w:r w:rsidR="00885B54" w:rsidRPr="006B2C51">
        <w:t xml:space="preserve"> at </w:t>
      </w:r>
      <w:r w:rsidR="004C5E80" w:rsidRPr="006B2C51">
        <w:t xml:space="preserve">the </w:t>
      </w:r>
      <w:r w:rsidR="00885B54" w:rsidRPr="006B2C51">
        <w:t>country level.</w:t>
      </w:r>
      <w:r w:rsidR="00AE32D5" w:rsidRPr="006B2C51">
        <w:t xml:space="preserve"> Limited collaboration with </w:t>
      </w:r>
      <w:r w:rsidR="008164D5" w:rsidRPr="006B2C51">
        <w:t>Ministries</w:t>
      </w:r>
      <w:r w:rsidR="00AE32D5" w:rsidRPr="006B2C51">
        <w:t xml:space="preserve"> of Education is another recurring issue, </w:t>
      </w:r>
      <w:r w:rsidR="008164D5" w:rsidRPr="006B2C51">
        <w:t xml:space="preserve">despite positive examples of </w:t>
      </w:r>
      <w:r w:rsidR="00AE32D5" w:rsidRPr="006B2C51">
        <w:t>inter-ministerial collaborations</w:t>
      </w:r>
      <w:r w:rsidR="008164D5" w:rsidRPr="006B2C51">
        <w:t xml:space="preserve"> observed within the Programme</w:t>
      </w:r>
      <w:r w:rsidR="00AE32D5" w:rsidRPr="006B2C51">
        <w:t xml:space="preserve">. </w:t>
      </w:r>
      <w:r w:rsidR="008164D5" w:rsidRPr="006B2C51">
        <w:t>Looking ahead</w:t>
      </w:r>
      <w:r w:rsidR="00AE32D5" w:rsidRPr="006B2C51">
        <w:t xml:space="preserve">, comprehensive support </w:t>
      </w:r>
      <w:r w:rsidR="008164D5" w:rsidRPr="006B2C51">
        <w:t>will be required</w:t>
      </w:r>
      <w:r w:rsidR="00AE32D5" w:rsidRPr="006B2C51">
        <w:t xml:space="preserve"> through </w:t>
      </w:r>
      <w:r w:rsidR="008164D5" w:rsidRPr="006B2C51">
        <w:t xml:space="preserve">both </w:t>
      </w:r>
      <w:r w:rsidR="00AE32D5" w:rsidRPr="006B2C51">
        <w:t xml:space="preserve">upstream actions </w:t>
      </w:r>
      <w:r w:rsidR="0029486A" w:rsidRPr="006B2C51">
        <w:t>and</w:t>
      </w:r>
      <w:r w:rsidR="00AE32D5" w:rsidRPr="006B2C51">
        <w:t xml:space="preserve"> operational interventions.</w:t>
      </w:r>
    </w:p>
    <w:p w14:paraId="68EE82FF" w14:textId="38F4584B" w:rsidR="0007117A" w:rsidRPr="006B2C51" w:rsidRDefault="0080309B" w:rsidP="00384CD5">
      <w:pPr>
        <w:pStyle w:val="1GAPara"/>
        <w:numPr>
          <w:ilvl w:val="2"/>
          <w:numId w:val="2"/>
        </w:numPr>
        <w:ind w:left="1134" w:hanging="567"/>
        <w:jc w:val="both"/>
        <w:rPr>
          <w:color w:val="000000" w:themeColor="text1"/>
        </w:rPr>
      </w:pPr>
      <w:r w:rsidRPr="006B2C51">
        <w:rPr>
          <w:b/>
          <w:bCs/>
        </w:rPr>
        <w:t xml:space="preserve">Integrating living heritage in education can play a cross-cutting role. </w:t>
      </w:r>
      <w:r w:rsidR="00B16C82" w:rsidRPr="006B2C51">
        <w:t xml:space="preserve">In light of </w:t>
      </w:r>
      <w:r w:rsidR="00BA7F63" w:rsidRPr="006B2C51">
        <w:t>p</w:t>
      </w:r>
      <w:r w:rsidR="00B16C82" w:rsidRPr="006B2C51">
        <w:t xml:space="preserve">rogress achieved and </w:t>
      </w:r>
      <w:r w:rsidR="00D600AF" w:rsidRPr="006B2C51">
        <w:t>new</w:t>
      </w:r>
      <w:r w:rsidR="00B16C82" w:rsidRPr="006B2C51">
        <w:t xml:space="preserve"> opportunities – reinforced by milestones such as the MONDIACULT 2022 Declaration</w:t>
      </w:r>
      <w:r w:rsidR="00430677" w:rsidRPr="006B2C51">
        <w:t xml:space="preserve"> and UNESCO’s first </w:t>
      </w:r>
      <w:hyperlink r:id="rId21" w:history="1">
        <w:r w:rsidR="00430677" w:rsidRPr="006B2C51">
          <w:rPr>
            <w:rStyle w:val="Lienhypertexte"/>
            <w:rFonts w:asciiTheme="minorBidi" w:hAnsiTheme="minorBidi" w:cstheme="minorBidi"/>
          </w:rPr>
          <w:t>Global Report on Cultural Policies</w:t>
        </w:r>
      </w:hyperlink>
      <w:r w:rsidR="00430677" w:rsidRPr="006B2C51">
        <w:t xml:space="preserve"> (2025),</w:t>
      </w:r>
      <w:r w:rsidR="00B16C82" w:rsidRPr="006B2C51">
        <w:t xml:space="preserve"> </w:t>
      </w:r>
      <w:r w:rsidR="00430677" w:rsidRPr="006B2C51">
        <w:t xml:space="preserve">both of </w:t>
      </w:r>
      <w:r w:rsidR="00B16C82" w:rsidRPr="006B2C51">
        <w:t>which stresse</w:t>
      </w:r>
      <w:r w:rsidR="00430677" w:rsidRPr="006B2C51">
        <w:t>d</w:t>
      </w:r>
      <w:r w:rsidR="00B16C82" w:rsidRPr="006B2C51">
        <w:t xml:space="preserve"> the importance of context-relevant education that incorporates cultural heritage</w:t>
      </w:r>
      <w:r w:rsidR="00430677" w:rsidRPr="006B2C51">
        <w:t xml:space="preserve"> </w:t>
      </w:r>
      <w:r w:rsidR="00B16C82" w:rsidRPr="006B2C51">
        <w:t xml:space="preserve">– </w:t>
      </w:r>
      <w:r w:rsidR="00265496" w:rsidRPr="006B2C51">
        <w:t xml:space="preserve">the momentum gained through the Programme shall be pursued in </w:t>
      </w:r>
      <w:r w:rsidR="001A4C39">
        <w:t>line</w:t>
      </w:r>
      <w:r w:rsidR="001A4C39" w:rsidRPr="006B2C51">
        <w:t xml:space="preserve"> </w:t>
      </w:r>
      <w:r w:rsidR="00265496" w:rsidRPr="006B2C51">
        <w:t>with the development of the 2003 Convention</w:t>
      </w:r>
      <w:r w:rsidR="00B16C82" w:rsidRPr="006B2C51">
        <w:t xml:space="preserve">. </w:t>
      </w:r>
      <w:r w:rsidRPr="006B2C51">
        <w:t>With reference to</w:t>
      </w:r>
      <w:r w:rsidR="0007117A" w:rsidRPr="006B2C51">
        <w:t xml:space="preserve"> the Convention’s Operational Directives, particularly Chapter VI on safeguarding intangible cultural heritage and sustainable development, </w:t>
      </w:r>
      <w:r w:rsidRPr="006B2C51">
        <w:t xml:space="preserve">intersections are to be explored </w:t>
      </w:r>
      <w:r w:rsidR="001A4C39">
        <w:t xml:space="preserve">on </w:t>
      </w:r>
      <w:r w:rsidR="00DA38DE" w:rsidRPr="006B2C51">
        <w:t xml:space="preserve">how the integration of living heritage safeguarding in education can </w:t>
      </w:r>
      <w:r w:rsidR="0007117A" w:rsidRPr="006B2C51">
        <w:t>advanc</w:t>
      </w:r>
      <w:r w:rsidR="00DA38DE" w:rsidRPr="006B2C51">
        <w:t>e</w:t>
      </w:r>
      <w:r w:rsidR="0007117A" w:rsidRPr="006B2C51">
        <w:t xml:space="preserve"> </w:t>
      </w:r>
      <w:r w:rsidR="00265496" w:rsidRPr="006B2C51">
        <w:t xml:space="preserve">the ongoing </w:t>
      </w:r>
      <w:r w:rsidR="0007117A" w:rsidRPr="006B2C51">
        <w:t xml:space="preserve">thematic </w:t>
      </w:r>
      <w:r w:rsidR="00265496" w:rsidRPr="006B2C51">
        <w:t xml:space="preserve">initiatives and key intervention </w:t>
      </w:r>
      <w:r w:rsidR="0007117A" w:rsidRPr="006B2C51">
        <w:t>areas under the Convention</w:t>
      </w:r>
      <w:r w:rsidR="001A4C39">
        <w:t>,</w:t>
      </w:r>
      <w:r w:rsidR="0007117A" w:rsidRPr="006B2C51">
        <w:t xml:space="preserve"> such as emergencies, economic dimensions, climate change, urban contexts</w:t>
      </w:r>
      <w:r w:rsidR="001B32A2">
        <w:t xml:space="preserve">, </w:t>
      </w:r>
      <w:r w:rsidR="0007117A" w:rsidRPr="006B2C51">
        <w:t>foodways</w:t>
      </w:r>
      <w:r w:rsidR="001B32A2">
        <w:t xml:space="preserve"> and the development of inclusive approaches</w:t>
      </w:r>
      <w:r w:rsidR="0007117A" w:rsidRPr="006B2C51">
        <w:t>.</w:t>
      </w:r>
    </w:p>
    <w:p w14:paraId="7764727C" w14:textId="0B311BB1" w:rsidR="00546B24" w:rsidRPr="006B2C51" w:rsidRDefault="006E29AF" w:rsidP="00384CD5">
      <w:pPr>
        <w:pStyle w:val="1GAPara"/>
        <w:keepNext/>
        <w:numPr>
          <w:ilvl w:val="2"/>
          <w:numId w:val="2"/>
        </w:numPr>
        <w:ind w:left="1134" w:hanging="567"/>
        <w:jc w:val="both"/>
        <w:rPr>
          <w:color w:val="000000" w:themeColor="text1"/>
        </w:rPr>
      </w:pPr>
      <w:r w:rsidRPr="006B2C51">
        <w:rPr>
          <w:color w:val="000000" w:themeColor="text1"/>
        </w:rPr>
        <w:t>While voluntary supplementary contributions have led to many positive outcomes,</w:t>
      </w:r>
      <w:r w:rsidR="001A4C39">
        <w:rPr>
          <w:color w:val="000000" w:themeColor="text1"/>
        </w:rPr>
        <w:t xml:space="preserve"> there is</w:t>
      </w:r>
      <w:r w:rsidRPr="006B2C51">
        <w:rPr>
          <w:color w:val="000000" w:themeColor="text1"/>
        </w:rPr>
        <w:t xml:space="preserve"> a discrepancy between the high expectations linked to the second funding priority and the limited number and scale of contributions received. </w:t>
      </w:r>
      <w:r w:rsidR="00521CE4" w:rsidRPr="006B2C51">
        <w:rPr>
          <w:color w:val="000000" w:themeColor="text1"/>
        </w:rPr>
        <w:t>T</w:t>
      </w:r>
      <w:r w:rsidRPr="006B2C51">
        <w:rPr>
          <w:color w:val="000000" w:themeColor="text1"/>
        </w:rPr>
        <w:t xml:space="preserve">he </w:t>
      </w:r>
      <w:r w:rsidR="00521CE4" w:rsidRPr="006B2C51">
        <w:rPr>
          <w:color w:val="000000" w:themeColor="text1"/>
        </w:rPr>
        <w:t xml:space="preserve">proposed </w:t>
      </w:r>
      <w:r w:rsidRPr="006B2C51">
        <w:rPr>
          <w:color w:val="000000" w:themeColor="text1"/>
        </w:rPr>
        <w:t xml:space="preserve">plan is to </w:t>
      </w:r>
      <w:r w:rsidR="00521CE4" w:rsidRPr="006B2C51">
        <w:rPr>
          <w:color w:val="000000" w:themeColor="text1"/>
        </w:rPr>
        <w:t>further develop the programme as part of the Convention’s intervention areas (</w:t>
      </w:r>
      <w:r w:rsidR="00DA38DE" w:rsidRPr="006B2C51">
        <w:rPr>
          <w:color w:val="000000" w:themeColor="text1"/>
        </w:rPr>
        <w:t>instead of</w:t>
      </w:r>
      <w:r w:rsidR="00521CE4" w:rsidRPr="006B2C51">
        <w:rPr>
          <w:color w:val="000000" w:themeColor="text1"/>
        </w:rPr>
        <w:t xml:space="preserve"> continuing it as a </w:t>
      </w:r>
      <w:r w:rsidR="001A4C39">
        <w:rPr>
          <w:color w:val="000000" w:themeColor="text1"/>
        </w:rPr>
        <w:t>f</w:t>
      </w:r>
      <w:r w:rsidR="00521CE4" w:rsidRPr="006B2C51">
        <w:rPr>
          <w:color w:val="000000" w:themeColor="text1"/>
        </w:rPr>
        <w:t xml:space="preserve">unding priority for the next quadrennium). In this regard, </w:t>
      </w:r>
      <w:r w:rsidR="00521CE4" w:rsidRPr="006B2C51">
        <w:rPr>
          <w:b/>
          <w:bCs/>
          <w:color w:val="000000" w:themeColor="text1"/>
        </w:rPr>
        <w:t>s</w:t>
      </w:r>
      <w:r w:rsidR="00546B24" w:rsidRPr="006B2C51">
        <w:rPr>
          <w:b/>
          <w:bCs/>
          <w:color w:val="000000" w:themeColor="text1"/>
        </w:rPr>
        <w:t xml:space="preserve">ustained and increased funding will be essential </w:t>
      </w:r>
      <w:r w:rsidR="002D3050">
        <w:rPr>
          <w:b/>
          <w:bCs/>
          <w:color w:val="000000" w:themeColor="text1"/>
        </w:rPr>
        <w:t>for</w:t>
      </w:r>
      <w:r w:rsidR="002D3050" w:rsidRPr="006B2C51">
        <w:rPr>
          <w:b/>
          <w:bCs/>
          <w:color w:val="000000" w:themeColor="text1"/>
        </w:rPr>
        <w:t xml:space="preserve"> </w:t>
      </w:r>
      <w:r w:rsidR="00546B24" w:rsidRPr="006B2C51">
        <w:rPr>
          <w:b/>
          <w:bCs/>
          <w:color w:val="000000" w:themeColor="text1"/>
        </w:rPr>
        <w:t>advanc</w:t>
      </w:r>
      <w:r w:rsidR="002D3050">
        <w:rPr>
          <w:b/>
          <w:bCs/>
          <w:color w:val="000000" w:themeColor="text1"/>
        </w:rPr>
        <w:t>ing</w:t>
      </w:r>
      <w:r w:rsidR="00546B24" w:rsidRPr="006B2C51">
        <w:rPr>
          <w:b/>
          <w:bCs/>
          <w:color w:val="000000" w:themeColor="text1"/>
        </w:rPr>
        <w:t xml:space="preserve"> th</w:t>
      </w:r>
      <w:r w:rsidR="006F4CCA" w:rsidRPr="006B2C51">
        <w:rPr>
          <w:b/>
          <w:bCs/>
          <w:color w:val="000000" w:themeColor="text1"/>
        </w:rPr>
        <w:t>e</w:t>
      </w:r>
      <w:r w:rsidR="00546B24" w:rsidRPr="006B2C51">
        <w:rPr>
          <w:b/>
          <w:bCs/>
          <w:color w:val="000000" w:themeColor="text1"/>
        </w:rPr>
        <w:t xml:space="preserve"> work</w:t>
      </w:r>
      <w:r w:rsidR="006F4CCA" w:rsidRPr="006B2C51">
        <w:rPr>
          <w:b/>
          <w:bCs/>
          <w:color w:val="000000" w:themeColor="text1"/>
        </w:rPr>
        <w:t xml:space="preserve"> to transform learning with living heritage</w:t>
      </w:r>
      <w:r w:rsidR="00546B24" w:rsidRPr="006B2C51">
        <w:rPr>
          <w:color w:val="000000" w:themeColor="text1"/>
        </w:rPr>
        <w:t xml:space="preserve">, both </w:t>
      </w:r>
      <w:r w:rsidR="006D14AD" w:rsidRPr="006B2C51">
        <w:rPr>
          <w:color w:val="000000" w:themeColor="text1"/>
        </w:rPr>
        <w:t>under the umbrella of UNESCO’s ongoing intersectoral work and</w:t>
      </w:r>
      <w:r w:rsidR="00546B24" w:rsidRPr="006B2C51">
        <w:rPr>
          <w:color w:val="000000" w:themeColor="text1"/>
        </w:rPr>
        <w:t xml:space="preserve"> in connection with other </w:t>
      </w:r>
      <w:r w:rsidR="00430677" w:rsidRPr="006B2C51">
        <w:rPr>
          <w:color w:val="000000" w:themeColor="text1"/>
        </w:rPr>
        <w:t>intervention</w:t>
      </w:r>
      <w:r w:rsidR="00546B24" w:rsidRPr="006B2C51">
        <w:rPr>
          <w:color w:val="000000" w:themeColor="text1"/>
        </w:rPr>
        <w:t xml:space="preserve"> areas </w:t>
      </w:r>
      <w:r w:rsidR="006D14AD" w:rsidRPr="006B2C51">
        <w:rPr>
          <w:color w:val="000000" w:themeColor="text1"/>
        </w:rPr>
        <w:t>under</w:t>
      </w:r>
      <w:r w:rsidR="00546B24" w:rsidRPr="006B2C51">
        <w:rPr>
          <w:color w:val="000000" w:themeColor="text1"/>
        </w:rPr>
        <w:t xml:space="preserve"> the Convention.</w:t>
      </w:r>
      <w:r w:rsidR="006D14AD" w:rsidRPr="006B2C51">
        <w:rPr>
          <w:color w:val="000000" w:themeColor="text1"/>
        </w:rPr>
        <w:t xml:space="preserve"> Areas of action will include</w:t>
      </w:r>
      <w:r w:rsidR="001A4C39">
        <w:rPr>
          <w:color w:val="000000" w:themeColor="text1"/>
        </w:rPr>
        <w:t>:</w:t>
      </w:r>
      <w:r w:rsidR="006D14AD" w:rsidRPr="006B2C51">
        <w:rPr>
          <w:color w:val="000000" w:themeColor="text1"/>
        </w:rPr>
        <w:t xml:space="preserve"> </w:t>
      </w:r>
      <w:r w:rsidR="001A4C39">
        <w:rPr>
          <w:color w:val="000000" w:themeColor="text1"/>
        </w:rPr>
        <w:t xml:space="preserve">(a) </w:t>
      </w:r>
      <w:r w:rsidR="002D3050">
        <w:rPr>
          <w:color w:val="000000" w:themeColor="text1"/>
        </w:rPr>
        <w:t>developing</w:t>
      </w:r>
      <w:r w:rsidR="002D3050" w:rsidRPr="006B2C51">
        <w:rPr>
          <w:color w:val="000000" w:themeColor="text1"/>
        </w:rPr>
        <w:t xml:space="preserve"> </w:t>
      </w:r>
      <w:r w:rsidR="006D14AD" w:rsidRPr="006B2C51">
        <w:rPr>
          <w:color w:val="000000" w:themeColor="text1"/>
        </w:rPr>
        <w:t>capacities, tools and methodologies</w:t>
      </w:r>
      <w:r w:rsidR="002D3050">
        <w:rPr>
          <w:color w:val="000000" w:themeColor="text1"/>
        </w:rPr>
        <w:t xml:space="preserve"> tailored</w:t>
      </w:r>
      <w:r w:rsidR="006D14AD" w:rsidRPr="006B2C51">
        <w:rPr>
          <w:color w:val="000000" w:themeColor="text1"/>
        </w:rPr>
        <w:t xml:space="preserve"> to diverse educational settings and levels; </w:t>
      </w:r>
      <w:r w:rsidR="001A4C39">
        <w:rPr>
          <w:color w:val="000000" w:themeColor="text1"/>
        </w:rPr>
        <w:t xml:space="preserve">(b) </w:t>
      </w:r>
      <w:r w:rsidR="006D14AD" w:rsidRPr="006B2C51">
        <w:rPr>
          <w:color w:val="000000" w:themeColor="text1"/>
        </w:rPr>
        <w:t>advancing less</w:t>
      </w:r>
      <w:r w:rsidR="001A4C39">
        <w:rPr>
          <w:color w:val="000000" w:themeColor="text1"/>
        </w:rPr>
        <w:t>-</w:t>
      </w:r>
      <w:r w:rsidR="006D14AD" w:rsidRPr="006B2C51">
        <w:rPr>
          <w:color w:val="000000" w:themeColor="text1"/>
        </w:rPr>
        <w:t xml:space="preserve">explored areas such as technical and vocational education and training and non-formal education; </w:t>
      </w:r>
      <w:r w:rsidR="00905D08">
        <w:rPr>
          <w:color w:val="000000" w:themeColor="text1"/>
        </w:rPr>
        <w:t xml:space="preserve">(c) </w:t>
      </w:r>
      <w:r w:rsidR="002D3050">
        <w:rPr>
          <w:color w:val="000000" w:themeColor="text1"/>
        </w:rPr>
        <w:t xml:space="preserve">providing </w:t>
      </w:r>
      <w:r w:rsidR="00905D08">
        <w:rPr>
          <w:color w:val="000000" w:themeColor="text1"/>
        </w:rPr>
        <w:t xml:space="preserve">technical assistance for needs assessments, pilot activities and strategy development at </w:t>
      </w:r>
      <w:r w:rsidR="002D3050">
        <w:rPr>
          <w:color w:val="000000" w:themeColor="text1"/>
        </w:rPr>
        <w:t>the national</w:t>
      </w:r>
      <w:r w:rsidR="00905D08">
        <w:rPr>
          <w:color w:val="000000" w:themeColor="text1"/>
        </w:rPr>
        <w:t xml:space="preserve"> level </w:t>
      </w:r>
      <w:r w:rsidR="002D3050">
        <w:rPr>
          <w:color w:val="000000" w:themeColor="text1"/>
        </w:rPr>
        <w:t>to</w:t>
      </w:r>
      <w:r w:rsidR="00905D08">
        <w:rPr>
          <w:color w:val="000000" w:themeColor="text1"/>
        </w:rPr>
        <w:t xml:space="preserve"> embed</w:t>
      </w:r>
      <w:r w:rsidR="002D3050">
        <w:rPr>
          <w:color w:val="000000" w:themeColor="text1"/>
        </w:rPr>
        <w:t xml:space="preserve"> these</w:t>
      </w:r>
      <w:r w:rsidR="00905D08">
        <w:rPr>
          <w:color w:val="000000" w:themeColor="text1"/>
        </w:rPr>
        <w:t xml:space="preserve"> approaches </w:t>
      </w:r>
      <w:r w:rsidR="002D3050">
        <w:rPr>
          <w:color w:val="000000" w:themeColor="text1"/>
        </w:rPr>
        <w:t>with</w:t>
      </w:r>
      <w:r w:rsidR="00905D08">
        <w:rPr>
          <w:color w:val="000000" w:themeColor="text1"/>
        </w:rPr>
        <w:t xml:space="preserve">in education systems; </w:t>
      </w:r>
      <w:r w:rsidR="002D3050">
        <w:rPr>
          <w:color w:val="000000" w:themeColor="text1"/>
        </w:rPr>
        <w:t>(d) s</w:t>
      </w:r>
      <w:r w:rsidR="002D3050" w:rsidRPr="002D3050">
        <w:rPr>
          <w:color w:val="000000" w:themeColor="text1"/>
        </w:rPr>
        <w:t>upporting inter-ministerial dialogue</w:t>
      </w:r>
      <w:r w:rsidR="002D3050">
        <w:rPr>
          <w:color w:val="000000" w:themeColor="text1"/>
        </w:rPr>
        <w:t xml:space="preserve"> </w:t>
      </w:r>
      <w:r w:rsidR="002D3050" w:rsidRPr="002D3050">
        <w:rPr>
          <w:color w:val="000000" w:themeColor="text1"/>
        </w:rPr>
        <w:t>to ensure coordinated and inclusive policy</w:t>
      </w:r>
      <w:r w:rsidR="002D3050">
        <w:rPr>
          <w:color w:val="000000" w:themeColor="text1"/>
        </w:rPr>
        <w:t xml:space="preserve"> development and</w:t>
      </w:r>
      <w:r w:rsidR="002D3050" w:rsidRPr="002D3050">
        <w:rPr>
          <w:color w:val="000000" w:themeColor="text1"/>
        </w:rPr>
        <w:t xml:space="preserve"> implementation; </w:t>
      </w:r>
      <w:r w:rsidR="006D14AD" w:rsidRPr="006B2C51">
        <w:rPr>
          <w:color w:val="000000" w:themeColor="text1"/>
        </w:rPr>
        <w:t>and</w:t>
      </w:r>
      <w:r w:rsidR="001A4C39">
        <w:rPr>
          <w:color w:val="000000" w:themeColor="text1"/>
        </w:rPr>
        <w:t xml:space="preserve"> (</w:t>
      </w:r>
      <w:r w:rsidR="002D3050">
        <w:rPr>
          <w:color w:val="000000" w:themeColor="text1"/>
        </w:rPr>
        <w:t>e</w:t>
      </w:r>
      <w:r w:rsidR="001A4C39">
        <w:rPr>
          <w:color w:val="000000" w:themeColor="text1"/>
        </w:rPr>
        <w:t>)</w:t>
      </w:r>
      <w:r w:rsidR="006D14AD" w:rsidRPr="006B2C51">
        <w:rPr>
          <w:color w:val="000000" w:themeColor="text1"/>
        </w:rPr>
        <w:t xml:space="preserve"> </w:t>
      </w:r>
      <w:r w:rsidR="00FB788B">
        <w:rPr>
          <w:color w:val="000000" w:themeColor="text1"/>
        </w:rPr>
        <w:t xml:space="preserve">raising awareness and </w:t>
      </w:r>
      <w:r w:rsidR="006D14AD" w:rsidRPr="006B2C51">
        <w:rPr>
          <w:color w:val="000000" w:themeColor="text1"/>
        </w:rPr>
        <w:t>strengthening communication, networking and cross-regional exchange.</w:t>
      </w:r>
    </w:p>
    <w:p w14:paraId="775BB83A" w14:textId="602E16F9" w:rsidR="0096247E" w:rsidRPr="006B2C51" w:rsidRDefault="0096247E" w:rsidP="00B16C82">
      <w:pPr>
        <w:pStyle w:val="1GAPara"/>
        <w:numPr>
          <w:ilvl w:val="0"/>
          <w:numId w:val="0"/>
        </w:numPr>
        <w:jc w:val="both"/>
      </w:pPr>
    </w:p>
    <w:sectPr w:rsidR="0096247E" w:rsidRPr="006B2C51" w:rsidSect="002938F2">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969A" w14:textId="77777777" w:rsidR="00C57B89" w:rsidRDefault="00C57B89" w:rsidP="002938F2">
      <w:r>
        <w:separator/>
      </w:r>
    </w:p>
    <w:p w14:paraId="0B2E456D" w14:textId="77777777" w:rsidR="00C57B89" w:rsidRDefault="00C57B89"/>
  </w:endnote>
  <w:endnote w:type="continuationSeparator" w:id="0">
    <w:p w14:paraId="2DFDCAAC" w14:textId="77777777" w:rsidR="00C57B89" w:rsidRDefault="00C57B89" w:rsidP="002938F2">
      <w:r>
        <w:continuationSeparator/>
      </w:r>
    </w:p>
    <w:p w14:paraId="7C54F6B5" w14:textId="77777777" w:rsidR="00C57B89" w:rsidRDefault="00C57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EA90" w14:textId="77777777" w:rsidR="0034326C" w:rsidRDefault="003432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420B" w14:textId="77777777" w:rsidR="0034326C" w:rsidRDefault="003432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89AB" w14:textId="77777777" w:rsidR="0034326C" w:rsidRDefault="003432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00DE" w14:textId="77777777" w:rsidR="00C57B89" w:rsidRDefault="00C57B89" w:rsidP="002938F2">
      <w:r>
        <w:separator/>
      </w:r>
    </w:p>
  </w:footnote>
  <w:footnote w:type="continuationSeparator" w:id="0">
    <w:p w14:paraId="3E1A4076" w14:textId="77777777" w:rsidR="00C57B89" w:rsidRDefault="00C57B89" w:rsidP="002938F2">
      <w:r>
        <w:continuationSeparator/>
      </w:r>
    </w:p>
    <w:p w14:paraId="1027CB08" w14:textId="77777777" w:rsidR="00C57B89" w:rsidRDefault="00C57B89"/>
  </w:footnote>
  <w:footnote w:id="1">
    <w:p w14:paraId="469B367B" w14:textId="2FEF6401" w:rsidR="00525460" w:rsidRPr="008673AD" w:rsidRDefault="00525460" w:rsidP="00525460">
      <w:pPr>
        <w:rPr>
          <w:rFonts w:ascii="Arial" w:hAnsi="Arial" w:cs="Arial"/>
          <w:sz w:val="18"/>
          <w:szCs w:val="18"/>
          <w:lang w:val="en-US"/>
        </w:rPr>
      </w:pPr>
      <w:r w:rsidRPr="008673AD">
        <w:rPr>
          <w:rStyle w:val="Appelnotedebasdep"/>
          <w:rFonts w:ascii="Arial" w:hAnsi="Arial" w:cs="Arial"/>
          <w:sz w:val="18"/>
          <w:szCs w:val="18"/>
        </w:rPr>
        <w:footnoteRef/>
      </w:r>
      <w:r w:rsidRPr="008673AD">
        <w:rPr>
          <w:rFonts w:ascii="Arial" w:hAnsi="Arial" w:cs="Arial"/>
          <w:sz w:val="18"/>
          <w:szCs w:val="18"/>
          <w:vertAlign w:val="superscript"/>
        </w:rPr>
        <w:t xml:space="preserve">. </w:t>
      </w:r>
      <w:r w:rsidRPr="008673AD">
        <w:rPr>
          <w:rFonts w:ascii="Arial" w:hAnsi="Arial" w:cs="Arial"/>
          <w:sz w:val="18"/>
          <w:szCs w:val="18"/>
        </w:rPr>
        <w:t>Initial title: ‘</w:t>
      </w:r>
      <w:r w:rsidRPr="008673AD">
        <w:rPr>
          <w:rFonts w:ascii="Arial" w:hAnsi="Arial" w:cs="Arial"/>
          <w:color w:val="000000" w:themeColor="text1"/>
          <w:sz w:val="18"/>
          <w:szCs w:val="18"/>
          <w:lang w:val="en-US"/>
        </w:rPr>
        <w:t>Safeguarding intangible cultural heritage through formal and non-formal education in Latin America and the Caribbean’</w:t>
      </w:r>
    </w:p>
    <w:p w14:paraId="10253BCC" w14:textId="4B85D404" w:rsidR="00525460" w:rsidRPr="008673AD" w:rsidRDefault="00525460">
      <w:pPr>
        <w:pStyle w:val="Notedebasdepage"/>
        <w:rPr>
          <w:lang w:val="en-US"/>
        </w:rPr>
      </w:pPr>
    </w:p>
  </w:footnote>
  <w:footnote w:id="2">
    <w:p w14:paraId="7B5E82AB" w14:textId="5FD6A08F" w:rsidR="00AF1C8B" w:rsidRPr="00384CD5" w:rsidRDefault="00AF1C8B">
      <w:pPr>
        <w:pStyle w:val="Notedebasdepage"/>
        <w:rPr>
          <w:rFonts w:ascii="Arial" w:hAnsi="Arial" w:cs="Arial"/>
          <w:sz w:val="18"/>
          <w:szCs w:val="18"/>
          <w:lang w:val="en-US"/>
        </w:rPr>
      </w:pPr>
      <w:r w:rsidRPr="00384CD5">
        <w:rPr>
          <w:rStyle w:val="Appelnotedebasdep"/>
          <w:rFonts w:ascii="Arial" w:hAnsi="Arial" w:cs="Arial"/>
          <w:sz w:val="18"/>
          <w:szCs w:val="18"/>
        </w:rPr>
        <w:footnoteRef/>
      </w:r>
      <w:r w:rsidRPr="00384CD5">
        <w:rPr>
          <w:rFonts w:ascii="Arial" w:hAnsi="Arial" w:cs="Arial"/>
          <w:sz w:val="18"/>
          <w:szCs w:val="18"/>
        </w:rPr>
        <w:t xml:space="preserve"> Two </w:t>
      </w:r>
      <w:r w:rsidRPr="00384CD5">
        <w:rPr>
          <w:rFonts w:ascii="Arial" w:hAnsi="Arial" w:cs="Arial"/>
          <w:sz w:val="18"/>
          <w:szCs w:val="18"/>
          <w:lang w:val="en-US"/>
        </w:rPr>
        <w:t>studies were developed in 2021 to review the status of CLCs in Nepal and in Thailand and to identify potential entry points to mainstream the safeguarding of living heritage into non-formal education systems</w:t>
      </w:r>
      <w:r w:rsidR="00177280">
        <w:rPr>
          <w:rFonts w:ascii="Arial" w:hAnsi="Arial" w:cs="Arial"/>
          <w:sz w:val="18"/>
          <w:szCs w:val="18"/>
          <w:lang w:val="en-US"/>
        </w:rPr>
        <w:t>.</w:t>
      </w:r>
    </w:p>
  </w:footnote>
  <w:footnote w:id="3">
    <w:p w14:paraId="624E069F" w14:textId="76001A88" w:rsidR="00A96B79" w:rsidRPr="00384CD5" w:rsidRDefault="00A96B79">
      <w:pPr>
        <w:pStyle w:val="Notedebasdepage"/>
        <w:rPr>
          <w:lang w:val="en-US"/>
        </w:rPr>
      </w:pPr>
      <w:r w:rsidRPr="00384CD5">
        <w:rPr>
          <w:rStyle w:val="Appelnotedebasdep"/>
          <w:rFonts w:ascii="Arial" w:hAnsi="Arial" w:cs="Arial"/>
          <w:sz w:val="18"/>
          <w:szCs w:val="18"/>
        </w:rPr>
        <w:footnoteRef/>
      </w:r>
      <w:r w:rsidRPr="00384CD5">
        <w:rPr>
          <w:rFonts w:ascii="Arial" w:hAnsi="Arial" w:cs="Arial"/>
          <w:sz w:val="18"/>
          <w:szCs w:val="18"/>
        </w:rPr>
        <w:t xml:space="preserve"> </w:t>
      </w:r>
      <w:r w:rsidR="00002E22" w:rsidRPr="00384CD5">
        <w:rPr>
          <w:rFonts w:ascii="Arial" w:hAnsi="Arial" w:cs="Arial"/>
          <w:color w:val="000000" w:themeColor="text1"/>
          <w:sz w:val="18"/>
          <w:szCs w:val="18"/>
        </w:rPr>
        <w:t>I</w:t>
      </w:r>
      <w:r w:rsidRPr="00384CD5">
        <w:rPr>
          <w:rFonts w:ascii="Arial" w:hAnsi="Arial" w:cs="Arial"/>
          <w:color w:val="000000" w:themeColor="text1"/>
          <w:sz w:val="18"/>
          <w:szCs w:val="18"/>
        </w:rPr>
        <w:t>n Benin, the Directorate of Cultural Heritage (DPC) of the Ministry of Culture and the National Institute for Training and Research in Education (INFRE) of the Ministry of Basic Education were engaged throughout, fostering a shared understanding of opportunities and challenges in linking living heritage and education</w:t>
      </w:r>
      <w:r w:rsidR="00177280">
        <w:rPr>
          <w:rFonts w:ascii="Arial" w:hAnsi="Arial" w:cs="Arial"/>
          <w:color w:val="000000" w:themeColor="text1"/>
          <w:sz w:val="18"/>
          <w:szCs w:val="18"/>
        </w:rPr>
        <w:t>.</w:t>
      </w:r>
    </w:p>
  </w:footnote>
  <w:footnote w:id="4">
    <w:p w14:paraId="3245C826" w14:textId="56D3A62D" w:rsidR="00D5157F" w:rsidRPr="00384CD5" w:rsidRDefault="00D5157F">
      <w:pPr>
        <w:pStyle w:val="Notedebasdepage"/>
        <w:rPr>
          <w:rFonts w:ascii="Arial" w:hAnsi="Arial" w:cs="Arial"/>
          <w:sz w:val="18"/>
          <w:szCs w:val="18"/>
          <w:lang w:val="en-US"/>
        </w:rPr>
      </w:pPr>
      <w:r w:rsidRPr="00384CD5">
        <w:rPr>
          <w:rStyle w:val="Appelnotedebasdep"/>
          <w:rFonts w:ascii="Arial" w:hAnsi="Arial" w:cs="Arial"/>
          <w:sz w:val="18"/>
          <w:szCs w:val="18"/>
        </w:rPr>
        <w:footnoteRef/>
      </w:r>
      <w:r w:rsidRPr="00384CD5">
        <w:rPr>
          <w:rFonts w:ascii="Arial" w:hAnsi="Arial" w:cs="Arial"/>
          <w:sz w:val="18"/>
          <w:szCs w:val="18"/>
        </w:rPr>
        <w:t xml:space="preserve"> </w:t>
      </w:r>
      <w:r w:rsidRPr="00384CD5">
        <w:rPr>
          <w:rFonts w:ascii="Arial" w:hAnsi="Arial" w:cs="Arial"/>
          <w:sz w:val="18"/>
          <w:szCs w:val="18"/>
          <w:lang w:val="en-US"/>
        </w:rPr>
        <w:t xml:space="preserve">See the project </w:t>
      </w:r>
      <w:hyperlink r:id="rId1" w:history="1">
        <w:r w:rsidRPr="00384CD5">
          <w:rPr>
            <w:rStyle w:val="Lienhypertexte"/>
            <w:rFonts w:ascii="Arial" w:hAnsi="Arial" w:cs="Arial"/>
            <w:sz w:val="18"/>
            <w:szCs w:val="18"/>
            <w:lang w:val="en-US"/>
          </w:rPr>
          <w:t>page</w:t>
        </w:r>
      </w:hyperlink>
      <w:r w:rsidRPr="00384CD5">
        <w:rPr>
          <w:rFonts w:ascii="Arial" w:hAnsi="Arial" w:cs="Arial"/>
          <w:sz w:val="18"/>
          <w:szCs w:val="18"/>
          <w:lang w:val="en-US"/>
        </w:rPr>
        <w:t>.</w:t>
      </w:r>
    </w:p>
  </w:footnote>
  <w:footnote w:id="5">
    <w:p w14:paraId="72C26064" w14:textId="67195DF6" w:rsidR="00D5157F" w:rsidRPr="00384CD5" w:rsidRDefault="00D5157F">
      <w:pPr>
        <w:pStyle w:val="Notedebasdepage"/>
        <w:rPr>
          <w:rFonts w:ascii="Arial" w:hAnsi="Arial" w:cs="Arial"/>
          <w:sz w:val="18"/>
          <w:szCs w:val="18"/>
          <w:lang w:val="en-US"/>
        </w:rPr>
      </w:pPr>
      <w:r w:rsidRPr="00384CD5">
        <w:rPr>
          <w:rStyle w:val="Appelnotedebasdep"/>
          <w:rFonts w:ascii="Arial" w:hAnsi="Arial" w:cs="Arial"/>
          <w:sz w:val="18"/>
          <w:szCs w:val="18"/>
        </w:rPr>
        <w:footnoteRef/>
      </w:r>
      <w:r w:rsidRPr="00384CD5">
        <w:rPr>
          <w:rFonts w:ascii="Arial" w:hAnsi="Arial" w:cs="Arial"/>
          <w:sz w:val="18"/>
          <w:szCs w:val="18"/>
        </w:rPr>
        <w:t xml:space="preserve"> </w:t>
      </w:r>
      <w:r w:rsidRPr="00384CD5">
        <w:rPr>
          <w:rFonts w:ascii="Arial" w:hAnsi="Arial" w:cs="Arial"/>
          <w:sz w:val="18"/>
          <w:szCs w:val="18"/>
          <w:lang w:val="en-US"/>
        </w:rPr>
        <w:t xml:space="preserve">See the project </w:t>
      </w:r>
      <w:hyperlink r:id="rId2" w:history="1">
        <w:r w:rsidRPr="00384CD5">
          <w:rPr>
            <w:rStyle w:val="Lienhypertexte"/>
            <w:rFonts w:ascii="Arial" w:hAnsi="Arial" w:cs="Arial"/>
            <w:sz w:val="18"/>
            <w:szCs w:val="18"/>
            <w:lang w:val="en-US"/>
          </w:rPr>
          <w:t>page</w:t>
        </w:r>
      </w:hyperlink>
      <w:r w:rsidRPr="00384CD5">
        <w:rPr>
          <w:rFonts w:ascii="Arial" w:hAnsi="Arial" w:cs="Arial"/>
          <w:sz w:val="18"/>
          <w:szCs w:val="18"/>
          <w:lang w:val="en-US"/>
        </w:rPr>
        <w:t>.</w:t>
      </w:r>
    </w:p>
  </w:footnote>
  <w:footnote w:id="6">
    <w:p w14:paraId="32154972" w14:textId="4D8B9AF4" w:rsidR="00003438" w:rsidRPr="00384CD5" w:rsidRDefault="00003438">
      <w:pPr>
        <w:pStyle w:val="Notedebasdepage"/>
        <w:rPr>
          <w:rFonts w:ascii="Arial" w:hAnsi="Arial" w:cs="Arial"/>
          <w:sz w:val="18"/>
          <w:szCs w:val="18"/>
          <w:lang w:val="en-US"/>
        </w:rPr>
      </w:pPr>
      <w:r w:rsidRPr="00384CD5">
        <w:rPr>
          <w:rStyle w:val="Appelnotedebasdep"/>
          <w:rFonts w:ascii="Arial" w:hAnsi="Arial" w:cs="Arial"/>
          <w:sz w:val="18"/>
          <w:szCs w:val="18"/>
        </w:rPr>
        <w:footnoteRef/>
      </w:r>
      <w:r w:rsidRPr="00384CD5">
        <w:rPr>
          <w:rFonts w:ascii="Arial" w:hAnsi="Arial" w:cs="Arial"/>
          <w:sz w:val="18"/>
          <w:szCs w:val="18"/>
        </w:rPr>
        <w:t xml:space="preserve"> </w:t>
      </w:r>
      <w:r w:rsidRPr="00384CD5">
        <w:rPr>
          <w:rFonts w:ascii="Arial" w:hAnsi="Arial" w:cs="Arial"/>
          <w:sz w:val="18"/>
          <w:szCs w:val="18"/>
          <w:lang w:val="en-US"/>
        </w:rPr>
        <w:t xml:space="preserve">See the project </w:t>
      </w:r>
      <w:hyperlink r:id="rId3" w:history="1">
        <w:r w:rsidRPr="00384CD5">
          <w:rPr>
            <w:rStyle w:val="Lienhypertexte"/>
            <w:rFonts w:ascii="Arial" w:hAnsi="Arial" w:cs="Arial"/>
            <w:sz w:val="18"/>
            <w:szCs w:val="18"/>
            <w:lang w:val="en-US"/>
          </w:rPr>
          <w:t>page</w:t>
        </w:r>
      </w:hyperlink>
      <w:r w:rsidRPr="00384CD5">
        <w:rPr>
          <w:rFonts w:ascii="Arial" w:hAnsi="Arial" w:cs="Arial"/>
          <w:sz w:val="18"/>
          <w:szCs w:val="18"/>
          <w:lang w:val="en-US"/>
        </w:rPr>
        <w:t>.</w:t>
      </w:r>
    </w:p>
  </w:footnote>
  <w:footnote w:id="7">
    <w:p w14:paraId="4CDBB9A2" w14:textId="4F3E3565" w:rsidR="00003438" w:rsidRPr="00384CD5" w:rsidRDefault="00003438">
      <w:pPr>
        <w:pStyle w:val="Notedebasdepage"/>
        <w:rPr>
          <w:rFonts w:ascii="Arial" w:hAnsi="Arial" w:cs="Arial"/>
          <w:sz w:val="18"/>
          <w:szCs w:val="18"/>
          <w:lang w:val="en-US"/>
        </w:rPr>
      </w:pPr>
      <w:r w:rsidRPr="00384CD5">
        <w:rPr>
          <w:rStyle w:val="Appelnotedebasdep"/>
          <w:rFonts w:ascii="Arial" w:hAnsi="Arial" w:cs="Arial"/>
          <w:sz w:val="18"/>
          <w:szCs w:val="18"/>
        </w:rPr>
        <w:footnoteRef/>
      </w:r>
      <w:r w:rsidRPr="00384CD5">
        <w:rPr>
          <w:rFonts w:ascii="Arial" w:hAnsi="Arial" w:cs="Arial"/>
          <w:sz w:val="18"/>
          <w:szCs w:val="18"/>
        </w:rPr>
        <w:t xml:space="preserve"> </w:t>
      </w:r>
      <w:r w:rsidRPr="00384CD5">
        <w:rPr>
          <w:rFonts w:ascii="Arial" w:hAnsi="Arial" w:cs="Arial"/>
          <w:sz w:val="18"/>
          <w:szCs w:val="18"/>
          <w:lang w:val="en-US"/>
        </w:rPr>
        <w:t xml:space="preserve">See the project </w:t>
      </w:r>
      <w:hyperlink r:id="rId4" w:history="1">
        <w:r w:rsidRPr="00384CD5">
          <w:rPr>
            <w:rStyle w:val="Lienhypertexte"/>
            <w:rFonts w:ascii="Arial" w:hAnsi="Arial" w:cs="Arial"/>
            <w:sz w:val="18"/>
            <w:szCs w:val="18"/>
          </w:rPr>
          <w:t>page</w:t>
        </w:r>
      </w:hyperlink>
      <w:r w:rsidRPr="00384CD5">
        <w:rPr>
          <w:rFonts w:ascii="Arial" w:hAnsi="Arial" w:cs="Arial"/>
          <w:sz w:val="18"/>
          <w:szCs w:val="18"/>
          <w:lang w:val="en-US"/>
        </w:rPr>
        <w:t>.</w:t>
      </w:r>
    </w:p>
  </w:footnote>
  <w:footnote w:id="8">
    <w:p w14:paraId="2309EF82" w14:textId="4DB46E3D" w:rsidR="00E766F4" w:rsidRPr="00384CD5" w:rsidRDefault="00E766F4">
      <w:pPr>
        <w:pStyle w:val="Notedebasdepage"/>
        <w:rPr>
          <w:lang w:val="fr-FR"/>
        </w:rPr>
      </w:pPr>
      <w:r w:rsidRPr="00384CD5">
        <w:rPr>
          <w:rStyle w:val="Appelnotedebasdep"/>
          <w:rFonts w:ascii="Arial" w:hAnsi="Arial" w:cs="Arial"/>
          <w:sz w:val="18"/>
          <w:szCs w:val="18"/>
        </w:rPr>
        <w:footnoteRef/>
      </w:r>
      <w:r w:rsidRPr="00384CD5">
        <w:rPr>
          <w:rFonts w:ascii="Arial" w:hAnsi="Arial" w:cs="Arial"/>
          <w:sz w:val="18"/>
          <w:szCs w:val="18"/>
        </w:rPr>
        <w:t xml:space="preserve"> </w:t>
      </w:r>
      <w:r w:rsidRPr="00384CD5">
        <w:rPr>
          <w:rFonts w:ascii="Arial" w:hAnsi="Arial" w:cs="Arial"/>
          <w:sz w:val="18"/>
          <w:szCs w:val="18"/>
          <w:lang w:val="fr-FR"/>
        </w:rPr>
        <w:t xml:space="preserve">See the project </w:t>
      </w:r>
      <w:hyperlink r:id="rId5" w:history="1">
        <w:r w:rsidRPr="00384CD5">
          <w:rPr>
            <w:rStyle w:val="Lienhypertexte"/>
            <w:rFonts w:ascii="Arial" w:hAnsi="Arial" w:cs="Arial"/>
            <w:sz w:val="18"/>
            <w:szCs w:val="18"/>
          </w:rPr>
          <w:t>page</w:t>
        </w:r>
      </w:hyperlink>
      <w:r w:rsidRPr="00384CD5">
        <w:rPr>
          <w:rFonts w:ascii="Arial" w:hAnsi="Arial" w:cs="Arial"/>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2251C2E1" w:rsidR="00B6167A" w:rsidRPr="007E4E37" w:rsidRDefault="00FD1941" w:rsidP="009B55AC">
    <w:pPr>
      <w:pStyle w:val="En-tte"/>
      <w:rPr>
        <w:rFonts w:ascii="Arial" w:hAnsi="Arial" w:cs="Arial"/>
      </w:rPr>
    </w:pPr>
    <w:r>
      <w:rPr>
        <w:rFonts w:ascii="Arial" w:hAnsi="Arial" w:cs="Arial"/>
        <w:sz w:val="20"/>
        <w:szCs w:val="20"/>
      </w:rPr>
      <w:t>LHE/2</w:t>
    </w:r>
    <w:r w:rsidR="006E053C">
      <w:rPr>
        <w:rFonts w:ascii="Arial" w:hAnsi="Arial" w:cs="Arial"/>
        <w:sz w:val="20"/>
        <w:szCs w:val="20"/>
      </w:rPr>
      <w:t>5</w:t>
    </w:r>
    <w:r>
      <w:rPr>
        <w:rFonts w:ascii="Arial" w:hAnsi="Arial" w:cs="Arial"/>
        <w:sz w:val="20"/>
        <w:szCs w:val="20"/>
      </w:rPr>
      <w:t>/</w:t>
    </w:r>
    <w:r w:rsidR="006E053C">
      <w:rPr>
        <w:rFonts w:ascii="Arial" w:hAnsi="Arial" w:cs="Arial"/>
        <w:sz w:val="20"/>
        <w:szCs w:val="20"/>
      </w:rPr>
      <w:t>20</w:t>
    </w:r>
    <w:r w:rsidR="007E4E37">
      <w:rPr>
        <w:rFonts w:ascii="Arial" w:hAnsi="Arial" w:cs="Arial"/>
        <w:sz w:val="20"/>
        <w:szCs w:val="20"/>
      </w:rPr>
      <w:t>.COM</w:t>
    </w:r>
    <w:r w:rsidR="000A34CE" w:rsidRPr="00D81948">
      <w:rPr>
        <w:rFonts w:ascii="Arial" w:hAnsi="Arial" w:cs="Arial"/>
        <w:sz w:val="20"/>
        <w:szCs w:val="20"/>
      </w:rPr>
      <w:t>/INF.</w:t>
    </w:r>
    <w:r w:rsidR="00D816FB">
      <w:rPr>
        <w:rFonts w:ascii="Arial" w:hAnsi="Arial" w:cs="Arial"/>
        <w:sz w:val="20"/>
        <w:szCs w:val="20"/>
      </w:rPr>
      <w:t>13.</w:t>
    </w:r>
    <w:r w:rsidR="0060216F">
      <w:rPr>
        <w:rFonts w:ascii="Arial" w:hAnsi="Arial" w:cs="Arial"/>
        <w:sz w:val="20"/>
        <w:szCs w:val="20"/>
      </w:rPr>
      <w:t>2</w:t>
    </w:r>
    <w:r w:rsidR="00B6167A" w:rsidRPr="00D81948">
      <w:rPr>
        <w:rFonts w:ascii="Arial" w:hAnsi="Arial" w:cs="Arial"/>
        <w:sz w:val="20"/>
        <w:szCs w:val="20"/>
      </w:rPr>
      <w:t xml:space="preserve"> </w:t>
    </w:r>
    <w:bookmarkStart w:id="1" w:name="_Hlk206417812"/>
    <w:r w:rsidR="00B6167A" w:rsidRPr="00D81948">
      <w:rPr>
        <w:rFonts w:ascii="Arial" w:hAnsi="Arial" w:cs="Arial"/>
        <w:sz w:val="20"/>
        <w:szCs w:val="20"/>
      </w:rPr>
      <w:t xml:space="preserve">– </w:t>
    </w:r>
    <w:bookmarkEnd w:id="1"/>
    <w:r w:rsidR="00B6167A" w:rsidRPr="00D81948">
      <w:rPr>
        <w:rFonts w:ascii="Arial" w:hAnsi="Arial" w:cs="Arial"/>
        <w:sz w:val="20"/>
        <w:szCs w:val="20"/>
      </w:rPr>
      <w:t xml:space="preserve">page </w:t>
    </w:r>
    <w:r w:rsidR="00B6167A" w:rsidRPr="00D81948">
      <w:rPr>
        <w:rStyle w:val="Numrodepage"/>
        <w:rFonts w:ascii="Arial" w:hAnsi="Arial" w:cs="Arial"/>
        <w:sz w:val="20"/>
        <w:szCs w:val="20"/>
      </w:rPr>
      <w:fldChar w:fldCharType="begin"/>
    </w:r>
    <w:r w:rsidR="00B6167A" w:rsidRPr="00D81948">
      <w:rPr>
        <w:rStyle w:val="Numrodepage"/>
        <w:rFonts w:ascii="Arial" w:hAnsi="Arial" w:cs="Arial"/>
        <w:sz w:val="20"/>
        <w:szCs w:val="20"/>
      </w:rPr>
      <w:instrText xml:space="preserve"> PAGE </w:instrText>
    </w:r>
    <w:r w:rsidR="00B6167A" w:rsidRPr="00D81948">
      <w:rPr>
        <w:rStyle w:val="Numrodepage"/>
        <w:rFonts w:ascii="Arial" w:hAnsi="Arial" w:cs="Arial"/>
        <w:sz w:val="20"/>
        <w:szCs w:val="20"/>
      </w:rPr>
      <w:fldChar w:fldCharType="separate"/>
    </w:r>
    <w:r w:rsidR="00570814">
      <w:rPr>
        <w:rStyle w:val="Numrodepage"/>
        <w:rFonts w:ascii="Arial" w:hAnsi="Arial" w:cs="Arial"/>
        <w:noProof/>
        <w:sz w:val="20"/>
        <w:szCs w:val="20"/>
      </w:rPr>
      <w:t>2</w:t>
    </w:r>
    <w:r w:rsidR="00B6167A" w:rsidRPr="00D81948">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35ADEAFC" w:rsidR="00B6167A" w:rsidRPr="007E4E37" w:rsidRDefault="00FD1941" w:rsidP="007D13D9">
    <w:pPr>
      <w:pStyle w:val="En-tte"/>
      <w:ind w:left="2544" w:firstLine="3828"/>
      <w:jc w:val="right"/>
      <w:rPr>
        <w:rFonts w:ascii="Arial" w:hAnsi="Arial" w:cs="Arial"/>
      </w:rPr>
    </w:pPr>
    <w:r>
      <w:rPr>
        <w:rFonts w:ascii="Arial" w:hAnsi="Arial" w:cs="Arial"/>
        <w:sz w:val="20"/>
        <w:szCs w:val="20"/>
        <w:lang w:val="en-US"/>
      </w:rPr>
      <w:t>LHE/2</w:t>
    </w:r>
    <w:r w:rsidR="006E053C">
      <w:rPr>
        <w:rFonts w:ascii="Arial" w:hAnsi="Arial" w:cs="Arial"/>
        <w:sz w:val="20"/>
        <w:szCs w:val="20"/>
        <w:lang w:val="en-US"/>
      </w:rPr>
      <w:t>5</w:t>
    </w:r>
    <w:r>
      <w:rPr>
        <w:rFonts w:ascii="Arial" w:hAnsi="Arial" w:cs="Arial"/>
        <w:sz w:val="20"/>
        <w:szCs w:val="20"/>
        <w:lang w:val="en-US"/>
      </w:rPr>
      <w:t>/</w:t>
    </w:r>
    <w:r w:rsidR="006E053C">
      <w:rPr>
        <w:rFonts w:ascii="Arial" w:hAnsi="Arial" w:cs="Arial"/>
        <w:sz w:val="20"/>
        <w:szCs w:val="20"/>
        <w:lang w:val="en-US"/>
      </w:rPr>
      <w:t>20</w:t>
    </w:r>
    <w:r w:rsidR="007E4E37">
      <w:rPr>
        <w:rFonts w:ascii="Arial" w:hAnsi="Arial" w:cs="Arial"/>
        <w:sz w:val="20"/>
        <w:szCs w:val="20"/>
        <w:lang w:val="en-US"/>
      </w:rPr>
      <w:t>.COM</w:t>
    </w:r>
    <w:r w:rsidR="001E4EEB">
      <w:rPr>
        <w:rFonts w:ascii="Arial" w:hAnsi="Arial" w:cs="Arial"/>
        <w:sz w:val="20"/>
        <w:szCs w:val="20"/>
        <w:lang w:val="en-US"/>
      </w:rPr>
      <w:t>/INF.</w:t>
    </w:r>
    <w:r w:rsidR="000C7101">
      <w:rPr>
        <w:rFonts w:ascii="Arial" w:hAnsi="Arial" w:cs="Arial"/>
        <w:sz w:val="20"/>
        <w:szCs w:val="20"/>
        <w:lang w:val="en-US"/>
      </w:rPr>
      <w:t>13.</w:t>
    </w:r>
    <w:r w:rsidR="0060216F">
      <w:rPr>
        <w:rFonts w:ascii="Arial" w:hAnsi="Arial" w:cs="Arial"/>
        <w:sz w:val="20"/>
        <w:szCs w:val="20"/>
        <w:lang w:val="en-US"/>
      </w:rPr>
      <w:t>2</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Numrodepage"/>
        <w:rFonts w:ascii="Arial" w:hAnsi="Arial" w:cs="Arial"/>
        <w:sz w:val="20"/>
        <w:szCs w:val="20"/>
      </w:rPr>
      <w:fldChar w:fldCharType="begin"/>
    </w:r>
    <w:r w:rsidR="001E4EEB" w:rsidRPr="00EF563B">
      <w:rPr>
        <w:rStyle w:val="Numrodepage"/>
        <w:rFonts w:ascii="Arial" w:hAnsi="Arial" w:cs="Arial"/>
        <w:sz w:val="20"/>
        <w:szCs w:val="20"/>
        <w:lang w:val="en-US"/>
      </w:rPr>
      <w:instrText xml:space="preserve"> </w:instrText>
    </w:r>
    <w:r w:rsidR="001E4EEB">
      <w:rPr>
        <w:rStyle w:val="Numrodepage"/>
        <w:rFonts w:ascii="Arial" w:hAnsi="Arial" w:cs="Arial"/>
        <w:sz w:val="20"/>
        <w:szCs w:val="20"/>
        <w:lang w:val="en-US"/>
      </w:rPr>
      <w:instrText>PAGE</w:instrText>
    </w:r>
    <w:r w:rsidR="001E4EEB" w:rsidRPr="00EF563B">
      <w:rPr>
        <w:rStyle w:val="Numrodepage"/>
        <w:rFonts w:ascii="Arial" w:hAnsi="Arial" w:cs="Arial"/>
        <w:sz w:val="20"/>
        <w:szCs w:val="20"/>
        <w:lang w:val="en-US"/>
      </w:rPr>
      <w:instrText xml:space="preserve"> </w:instrText>
    </w:r>
    <w:r w:rsidR="001E4EEB" w:rsidRPr="00EF563B">
      <w:rPr>
        <w:rStyle w:val="Numrodepage"/>
        <w:rFonts w:ascii="Arial" w:hAnsi="Arial" w:cs="Arial"/>
        <w:sz w:val="20"/>
        <w:szCs w:val="20"/>
      </w:rPr>
      <w:fldChar w:fldCharType="separate"/>
    </w:r>
    <w:r w:rsidR="00570814">
      <w:rPr>
        <w:rStyle w:val="Numrodepage"/>
        <w:rFonts w:ascii="Arial" w:hAnsi="Arial" w:cs="Arial"/>
        <w:noProof/>
        <w:sz w:val="20"/>
        <w:szCs w:val="20"/>
        <w:lang w:val="en-US"/>
      </w:rPr>
      <w:t>3</w:t>
    </w:r>
    <w:r w:rsidR="001E4EEB"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42F3E8D3" w:rsidR="00B6167A" w:rsidRPr="008724E5" w:rsidRDefault="008F7B13">
    <w:pPr>
      <w:pStyle w:val="En-tte"/>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361EA77B" w:rsidR="00B6167A" w:rsidRPr="00483688" w:rsidRDefault="006E053C" w:rsidP="001943EE">
    <w:pPr>
      <w:pStyle w:val="En-tte"/>
      <w:spacing w:after="520"/>
      <w:jc w:val="right"/>
      <w:rPr>
        <w:rFonts w:ascii="Arial" w:hAnsi="Arial" w:cs="Arial"/>
        <w:b/>
        <w:sz w:val="44"/>
        <w:szCs w:val="44"/>
        <w:lang w:val="pt-PT"/>
      </w:rPr>
    </w:pPr>
    <w:r>
      <w:rPr>
        <w:rFonts w:ascii="Arial" w:hAnsi="Arial" w:cs="Arial"/>
        <w:b/>
        <w:sz w:val="44"/>
        <w:szCs w:val="44"/>
        <w:lang w:val="pt-PT"/>
      </w:rPr>
      <w:t>20</w:t>
    </w:r>
    <w:r w:rsidR="00B6167A" w:rsidRPr="00483688">
      <w:rPr>
        <w:rFonts w:ascii="Arial" w:hAnsi="Arial" w:cs="Arial"/>
        <w:b/>
        <w:sz w:val="44"/>
        <w:szCs w:val="44"/>
        <w:lang w:val="pt-PT"/>
      </w:rPr>
      <w:t xml:space="preserve"> </w:t>
    </w:r>
    <w:r w:rsidR="007E4E37" w:rsidRPr="00483688">
      <w:rPr>
        <w:rFonts w:ascii="Arial" w:hAnsi="Arial" w:cs="Arial"/>
        <w:b/>
        <w:sz w:val="44"/>
        <w:szCs w:val="44"/>
        <w:lang w:val="pt-PT"/>
      </w:rPr>
      <w:t>COM</w:t>
    </w:r>
  </w:p>
  <w:p w14:paraId="49B0C39B" w14:textId="009B940B" w:rsidR="00B6167A" w:rsidRPr="009B04F8" w:rsidRDefault="00FD1941" w:rsidP="009B55AC">
    <w:pPr>
      <w:spacing w:after="0"/>
      <w:jc w:val="right"/>
      <w:rPr>
        <w:rFonts w:ascii="Arial" w:hAnsi="Arial" w:cs="Arial"/>
        <w:b/>
        <w:szCs w:val="22"/>
        <w:lang w:val="pt-PT"/>
      </w:rPr>
    </w:pPr>
    <w:r w:rsidRPr="00483688">
      <w:rPr>
        <w:rFonts w:ascii="Arial" w:hAnsi="Arial" w:cs="Arial"/>
        <w:b/>
        <w:szCs w:val="22"/>
        <w:lang w:val="pt-PT"/>
      </w:rPr>
      <w:t>LHE/2</w:t>
    </w:r>
    <w:r w:rsidR="006E053C">
      <w:rPr>
        <w:rFonts w:ascii="Arial" w:hAnsi="Arial" w:cs="Arial"/>
        <w:b/>
        <w:szCs w:val="22"/>
        <w:lang w:val="pt-PT"/>
      </w:rPr>
      <w:t>5</w:t>
    </w:r>
    <w:r w:rsidRPr="00483688">
      <w:rPr>
        <w:rFonts w:ascii="Arial" w:hAnsi="Arial" w:cs="Arial"/>
        <w:b/>
        <w:szCs w:val="22"/>
        <w:lang w:val="pt-PT"/>
      </w:rPr>
      <w:t>/</w:t>
    </w:r>
    <w:r w:rsidR="006E053C">
      <w:rPr>
        <w:rFonts w:ascii="Arial" w:hAnsi="Arial" w:cs="Arial"/>
        <w:b/>
        <w:szCs w:val="22"/>
        <w:lang w:val="pt-PT"/>
      </w:rPr>
      <w:t>20</w:t>
    </w:r>
    <w:r w:rsidR="00B6167A" w:rsidRPr="00483688">
      <w:rPr>
        <w:rFonts w:ascii="Arial" w:hAnsi="Arial" w:cs="Arial"/>
        <w:b/>
        <w:szCs w:val="22"/>
        <w:lang w:val="pt-PT"/>
      </w:rPr>
      <w:t>.</w:t>
    </w:r>
    <w:r w:rsidR="007E4E37" w:rsidRPr="009B04F8">
      <w:rPr>
        <w:rFonts w:ascii="Arial" w:hAnsi="Arial" w:cs="Arial"/>
        <w:b/>
        <w:szCs w:val="22"/>
        <w:lang w:val="pt-PT"/>
      </w:rPr>
      <w:t>COM</w:t>
    </w:r>
    <w:r w:rsidR="00B6167A" w:rsidRPr="009B04F8">
      <w:rPr>
        <w:rFonts w:ascii="Arial" w:hAnsi="Arial" w:cs="Arial"/>
        <w:b/>
        <w:szCs w:val="22"/>
        <w:lang w:val="pt-PT"/>
      </w:rPr>
      <w:t>/INF.</w:t>
    </w:r>
    <w:r w:rsidR="00FB4D6D" w:rsidRPr="009B04F8">
      <w:rPr>
        <w:rFonts w:ascii="Arial" w:hAnsi="Arial" w:cs="Arial"/>
        <w:b/>
        <w:szCs w:val="22"/>
        <w:lang w:val="pt-PT"/>
      </w:rPr>
      <w:t>13.</w:t>
    </w:r>
    <w:r w:rsidR="008936F7" w:rsidRPr="009B04F8">
      <w:rPr>
        <w:rFonts w:ascii="Arial" w:hAnsi="Arial" w:cs="Arial"/>
        <w:b/>
        <w:szCs w:val="22"/>
        <w:lang w:val="pt-PT"/>
      </w:rPr>
      <w:t>2</w:t>
    </w:r>
  </w:p>
  <w:p w14:paraId="1D4CE950" w14:textId="04090850" w:rsidR="00B6167A" w:rsidRPr="009B04F8" w:rsidRDefault="00B6167A" w:rsidP="002D396D">
    <w:pPr>
      <w:spacing w:after="0"/>
      <w:jc w:val="right"/>
      <w:rPr>
        <w:rFonts w:ascii="Arial" w:eastAsiaTheme="minorEastAsia" w:hAnsi="Arial" w:cs="Arial"/>
        <w:b/>
        <w:szCs w:val="22"/>
        <w:lang w:val="pt-PT" w:eastAsia="ko-KR"/>
      </w:rPr>
    </w:pPr>
    <w:bookmarkStart w:id="2" w:name="_Hlk207190290"/>
    <w:r w:rsidRPr="009B04F8">
      <w:rPr>
        <w:rFonts w:ascii="Arial" w:hAnsi="Arial" w:cs="Arial"/>
        <w:b/>
        <w:szCs w:val="22"/>
        <w:lang w:val="pt-PT"/>
      </w:rPr>
      <w:t xml:space="preserve">Paris, </w:t>
    </w:r>
    <w:r w:rsidR="0034326C">
      <w:rPr>
        <w:rFonts w:ascii="Arial" w:hAnsi="Arial" w:cs="Arial"/>
        <w:b/>
        <w:szCs w:val="22"/>
        <w:lang w:val="pt-PT"/>
      </w:rPr>
      <w:t>28</w:t>
    </w:r>
    <w:r w:rsidR="0069143C" w:rsidRPr="008673AD">
      <w:rPr>
        <w:rFonts w:ascii="Arial" w:hAnsi="Arial" w:cs="Arial"/>
        <w:b/>
        <w:szCs w:val="22"/>
        <w:lang w:val="pt-PT"/>
      </w:rPr>
      <w:t xml:space="preserve"> </w:t>
    </w:r>
    <w:r w:rsidR="0074674D" w:rsidRPr="008673AD">
      <w:rPr>
        <w:rFonts w:ascii="Arial" w:hAnsi="Arial" w:cs="Arial"/>
        <w:b/>
        <w:szCs w:val="22"/>
        <w:lang w:val="pt-PT"/>
      </w:rPr>
      <w:t>November</w:t>
    </w:r>
    <w:r w:rsidR="00FD1941" w:rsidRPr="008673AD">
      <w:rPr>
        <w:rFonts w:ascii="Arial" w:hAnsi="Arial" w:cs="Arial"/>
        <w:b/>
        <w:szCs w:val="22"/>
        <w:lang w:val="pt-PT"/>
      </w:rPr>
      <w:t xml:space="preserve"> 202</w:t>
    </w:r>
    <w:r w:rsidR="006E053C" w:rsidRPr="008673AD">
      <w:rPr>
        <w:rFonts w:ascii="Arial" w:hAnsi="Arial" w:cs="Arial"/>
        <w:b/>
        <w:szCs w:val="22"/>
        <w:lang w:val="pt-PT"/>
      </w:rPr>
      <w:t>5</w:t>
    </w:r>
  </w:p>
  <w:bookmarkEnd w:id="2"/>
  <w:p w14:paraId="2A9F75AF" w14:textId="28A0396A" w:rsidR="00B6167A" w:rsidRPr="00D81948" w:rsidRDefault="00B6167A" w:rsidP="008F7B13">
    <w:pPr>
      <w:jc w:val="right"/>
      <w:rPr>
        <w:rFonts w:ascii="Arial" w:hAnsi="Arial" w:cs="Arial"/>
        <w:b/>
        <w:szCs w:val="22"/>
      </w:rPr>
    </w:pPr>
    <w:r w:rsidRPr="009B04F8">
      <w:rPr>
        <w:rFonts w:ascii="Arial" w:hAnsi="Arial" w:cs="Arial"/>
        <w:b/>
        <w:szCs w:val="22"/>
      </w:rPr>
      <w:t>Original:</w:t>
    </w:r>
    <w:r w:rsidR="003528F8" w:rsidRPr="009B04F8">
      <w:rPr>
        <w:rFonts w:ascii="Arial" w:hAnsi="Arial" w:cs="Arial"/>
        <w:b/>
        <w:szCs w:val="22"/>
      </w:rPr>
      <w:t xml:space="preserve"> English</w:t>
    </w:r>
  </w:p>
  <w:p w14:paraId="42728953" w14:textId="77777777" w:rsidR="00B6167A" w:rsidRPr="00D81948" w:rsidRDefault="00B61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C75"/>
    <w:multiLevelType w:val="hybridMultilevel"/>
    <w:tmpl w:val="D09EDC88"/>
    <w:lvl w:ilvl="0" w:tplc="0C50CB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252F4670"/>
    <w:multiLevelType w:val="hybridMultilevel"/>
    <w:tmpl w:val="FE54A758"/>
    <w:lvl w:ilvl="0" w:tplc="7DD2525A">
      <w:start w:val="1"/>
      <w:numFmt w:val="bullet"/>
      <w:lvlText w:val=""/>
      <w:lvlJc w:val="left"/>
      <w:pPr>
        <w:ind w:left="720" w:hanging="360"/>
      </w:pPr>
      <w:rPr>
        <w:rFonts w:ascii="Symbol" w:hAnsi="Symbol"/>
      </w:rPr>
    </w:lvl>
    <w:lvl w:ilvl="1" w:tplc="C444EAD8">
      <w:start w:val="1"/>
      <w:numFmt w:val="bullet"/>
      <w:lvlText w:val=""/>
      <w:lvlJc w:val="left"/>
      <w:pPr>
        <w:ind w:left="720" w:hanging="360"/>
      </w:pPr>
      <w:rPr>
        <w:rFonts w:ascii="Symbol" w:hAnsi="Symbol"/>
      </w:rPr>
    </w:lvl>
    <w:lvl w:ilvl="2" w:tplc="15B2C19A">
      <w:start w:val="1"/>
      <w:numFmt w:val="bullet"/>
      <w:lvlText w:val=""/>
      <w:lvlJc w:val="left"/>
      <w:pPr>
        <w:ind w:left="720" w:hanging="360"/>
      </w:pPr>
      <w:rPr>
        <w:rFonts w:ascii="Symbol" w:hAnsi="Symbol"/>
      </w:rPr>
    </w:lvl>
    <w:lvl w:ilvl="3" w:tplc="A66E6E12">
      <w:start w:val="1"/>
      <w:numFmt w:val="bullet"/>
      <w:lvlText w:val=""/>
      <w:lvlJc w:val="left"/>
      <w:pPr>
        <w:ind w:left="720" w:hanging="360"/>
      </w:pPr>
      <w:rPr>
        <w:rFonts w:ascii="Symbol" w:hAnsi="Symbol"/>
      </w:rPr>
    </w:lvl>
    <w:lvl w:ilvl="4" w:tplc="3F8A0F94">
      <w:start w:val="1"/>
      <w:numFmt w:val="bullet"/>
      <w:lvlText w:val=""/>
      <w:lvlJc w:val="left"/>
      <w:pPr>
        <w:ind w:left="720" w:hanging="360"/>
      </w:pPr>
      <w:rPr>
        <w:rFonts w:ascii="Symbol" w:hAnsi="Symbol"/>
      </w:rPr>
    </w:lvl>
    <w:lvl w:ilvl="5" w:tplc="F0FC8E0A">
      <w:start w:val="1"/>
      <w:numFmt w:val="bullet"/>
      <w:lvlText w:val=""/>
      <w:lvlJc w:val="left"/>
      <w:pPr>
        <w:ind w:left="720" w:hanging="360"/>
      </w:pPr>
      <w:rPr>
        <w:rFonts w:ascii="Symbol" w:hAnsi="Symbol"/>
      </w:rPr>
    </w:lvl>
    <w:lvl w:ilvl="6" w:tplc="96B291A2">
      <w:start w:val="1"/>
      <w:numFmt w:val="bullet"/>
      <w:lvlText w:val=""/>
      <w:lvlJc w:val="left"/>
      <w:pPr>
        <w:ind w:left="720" w:hanging="360"/>
      </w:pPr>
      <w:rPr>
        <w:rFonts w:ascii="Symbol" w:hAnsi="Symbol"/>
      </w:rPr>
    </w:lvl>
    <w:lvl w:ilvl="7" w:tplc="6A467DA8">
      <w:start w:val="1"/>
      <w:numFmt w:val="bullet"/>
      <w:lvlText w:val=""/>
      <w:lvlJc w:val="left"/>
      <w:pPr>
        <w:ind w:left="720" w:hanging="360"/>
      </w:pPr>
      <w:rPr>
        <w:rFonts w:ascii="Symbol" w:hAnsi="Symbol"/>
      </w:rPr>
    </w:lvl>
    <w:lvl w:ilvl="8" w:tplc="0EF2AA90">
      <w:start w:val="1"/>
      <w:numFmt w:val="bullet"/>
      <w:lvlText w:val=""/>
      <w:lvlJc w:val="left"/>
      <w:pPr>
        <w:ind w:left="720" w:hanging="360"/>
      </w:pPr>
      <w:rPr>
        <w:rFonts w:ascii="Symbol" w:hAnsi="Symbol"/>
      </w:rPr>
    </w:lvl>
  </w:abstractNum>
  <w:abstractNum w:abstractNumId="3" w15:restartNumberingAfterBreak="0">
    <w:nsid w:val="35F07BFE"/>
    <w:multiLevelType w:val="hybridMultilevel"/>
    <w:tmpl w:val="4A922A16"/>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5701BE"/>
    <w:multiLevelType w:val="hybridMultilevel"/>
    <w:tmpl w:val="0280256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A00386E"/>
    <w:multiLevelType w:val="hybridMultilevel"/>
    <w:tmpl w:val="8E1C3B5C"/>
    <w:lvl w:ilvl="0" w:tplc="8286B3C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ED4FAA"/>
    <w:multiLevelType w:val="hybridMultilevel"/>
    <w:tmpl w:val="0AFCE9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274277"/>
    <w:multiLevelType w:val="multilevel"/>
    <w:tmpl w:val="3A6C98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A2EFE"/>
    <w:multiLevelType w:val="hybridMultilevel"/>
    <w:tmpl w:val="14C88BD6"/>
    <w:lvl w:ilvl="0" w:tplc="3276650A">
      <w:start w:val="1"/>
      <w:numFmt w:val="decimal"/>
      <w:pStyle w:val="TM2"/>
      <w:lvlText w:val="%1."/>
      <w:lvlJc w:val="left"/>
      <w:pPr>
        <w:ind w:left="360" w:hanging="360"/>
      </w:pPr>
      <w:rPr>
        <w:rFonts w:hint="default"/>
        <w:b w:val="0"/>
        <w:bCs w:val="0"/>
        <w:lang w:val="pt-P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8593BA5"/>
    <w:multiLevelType w:val="hybridMultilevel"/>
    <w:tmpl w:val="A77CC47E"/>
    <w:lvl w:ilvl="0" w:tplc="8188B5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C872862"/>
    <w:multiLevelType w:val="hybridMultilevel"/>
    <w:tmpl w:val="A1C0E438"/>
    <w:lvl w:ilvl="0" w:tplc="B62AD86E">
      <w:start w:val="1"/>
      <w:numFmt w:val="upperLetter"/>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81636817">
    <w:abstractNumId w:val="1"/>
  </w:num>
  <w:num w:numId="2" w16cid:durableId="1441948170">
    <w:abstractNumId w:val="3"/>
  </w:num>
  <w:num w:numId="3" w16cid:durableId="1597859722">
    <w:abstractNumId w:val="6"/>
  </w:num>
  <w:num w:numId="4" w16cid:durableId="1855919175">
    <w:abstractNumId w:val="2"/>
  </w:num>
  <w:num w:numId="5" w16cid:durableId="1009915898">
    <w:abstractNumId w:val="0"/>
  </w:num>
  <w:num w:numId="6" w16cid:durableId="1039359462">
    <w:abstractNumId w:val="8"/>
  </w:num>
  <w:num w:numId="7" w16cid:durableId="559365078">
    <w:abstractNumId w:val="4"/>
  </w:num>
  <w:num w:numId="8" w16cid:durableId="1583686218">
    <w:abstractNumId w:val="3"/>
  </w:num>
  <w:num w:numId="9" w16cid:durableId="686978925">
    <w:abstractNumId w:val="3"/>
  </w:num>
  <w:num w:numId="10" w16cid:durableId="1859997981">
    <w:abstractNumId w:val="3"/>
  </w:num>
  <w:num w:numId="11" w16cid:durableId="1742294973">
    <w:abstractNumId w:val="3"/>
  </w:num>
  <w:num w:numId="12" w16cid:durableId="219638248">
    <w:abstractNumId w:val="3"/>
  </w:num>
  <w:num w:numId="13" w16cid:durableId="691077506">
    <w:abstractNumId w:val="3"/>
  </w:num>
  <w:num w:numId="14" w16cid:durableId="471947142">
    <w:abstractNumId w:val="3"/>
  </w:num>
  <w:num w:numId="15" w16cid:durableId="486671157">
    <w:abstractNumId w:val="7"/>
  </w:num>
  <w:num w:numId="16" w16cid:durableId="1485318131">
    <w:abstractNumId w:val="10"/>
  </w:num>
  <w:num w:numId="17" w16cid:durableId="1494566674">
    <w:abstractNumId w:val="3"/>
  </w:num>
  <w:num w:numId="18" w16cid:durableId="1337150398">
    <w:abstractNumId w:val="3"/>
  </w:num>
  <w:num w:numId="19" w16cid:durableId="157498086">
    <w:abstractNumId w:val="9"/>
  </w:num>
  <w:num w:numId="20" w16cid:durableId="1573658183">
    <w:abstractNumId w:val="5"/>
  </w:num>
  <w:num w:numId="21" w16cid:durableId="976642377">
    <w:abstractNumId w:val="3"/>
  </w:num>
  <w:num w:numId="22" w16cid:durableId="1597790883">
    <w:abstractNumId w:val="3"/>
  </w:num>
  <w:num w:numId="23" w16cid:durableId="7547162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2B72"/>
    <w:rsid w:val="00002E22"/>
    <w:rsid w:val="00003438"/>
    <w:rsid w:val="000047CC"/>
    <w:rsid w:val="00006EBF"/>
    <w:rsid w:val="000071C8"/>
    <w:rsid w:val="000120FD"/>
    <w:rsid w:val="00013E54"/>
    <w:rsid w:val="00014585"/>
    <w:rsid w:val="000160B3"/>
    <w:rsid w:val="00021831"/>
    <w:rsid w:val="0002568A"/>
    <w:rsid w:val="00025B58"/>
    <w:rsid w:val="00025C9F"/>
    <w:rsid w:val="00027964"/>
    <w:rsid w:val="00033E32"/>
    <w:rsid w:val="00036209"/>
    <w:rsid w:val="00040A95"/>
    <w:rsid w:val="00047E58"/>
    <w:rsid w:val="00047F67"/>
    <w:rsid w:val="000567FC"/>
    <w:rsid w:val="00062DE1"/>
    <w:rsid w:val="00064216"/>
    <w:rsid w:val="00064B73"/>
    <w:rsid w:val="0007117A"/>
    <w:rsid w:val="000720B4"/>
    <w:rsid w:val="00073D20"/>
    <w:rsid w:val="000755E1"/>
    <w:rsid w:val="000828BD"/>
    <w:rsid w:val="00082E25"/>
    <w:rsid w:val="00085541"/>
    <w:rsid w:val="00093063"/>
    <w:rsid w:val="00094C69"/>
    <w:rsid w:val="000A0D6F"/>
    <w:rsid w:val="000A34CE"/>
    <w:rsid w:val="000A640C"/>
    <w:rsid w:val="000A7D53"/>
    <w:rsid w:val="000B085E"/>
    <w:rsid w:val="000B31D5"/>
    <w:rsid w:val="000B5843"/>
    <w:rsid w:val="000B6E85"/>
    <w:rsid w:val="000B725C"/>
    <w:rsid w:val="000C07D7"/>
    <w:rsid w:val="000C1523"/>
    <w:rsid w:val="000C4BC1"/>
    <w:rsid w:val="000C600E"/>
    <w:rsid w:val="000C65E4"/>
    <w:rsid w:val="000C7101"/>
    <w:rsid w:val="000D26B6"/>
    <w:rsid w:val="000E01E2"/>
    <w:rsid w:val="000E280C"/>
    <w:rsid w:val="000E3D21"/>
    <w:rsid w:val="000E7603"/>
    <w:rsid w:val="000F2316"/>
    <w:rsid w:val="000F2A0B"/>
    <w:rsid w:val="000F3231"/>
    <w:rsid w:val="000F3FDE"/>
    <w:rsid w:val="000F67D7"/>
    <w:rsid w:val="001003F7"/>
    <w:rsid w:val="001025E7"/>
    <w:rsid w:val="00106492"/>
    <w:rsid w:val="001064D8"/>
    <w:rsid w:val="00106B72"/>
    <w:rsid w:val="00107284"/>
    <w:rsid w:val="00116981"/>
    <w:rsid w:val="0011750D"/>
    <w:rsid w:val="001202EA"/>
    <w:rsid w:val="00131A60"/>
    <w:rsid w:val="001343E4"/>
    <w:rsid w:val="00134D0D"/>
    <w:rsid w:val="001405B3"/>
    <w:rsid w:val="001412DE"/>
    <w:rsid w:val="00142E5E"/>
    <w:rsid w:val="00144A4D"/>
    <w:rsid w:val="00151351"/>
    <w:rsid w:val="0015206F"/>
    <w:rsid w:val="00152BFF"/>
    <w:rsid w:val="00153678"/>
    <w:rsid w:val="001655A1"/>
    <w:rsid w:val="0017201E"/>
    <w:rsid w:val="00173766"/>
    <w:rsid w:val="00174B39"/>
    <w:rsid w:val="00177280"/>
    <w:rsid w:val="001776B4"/>
    <w:rsid w:val="00182000"/>
    <w:rsid w:val="00186BC0"/>
    <w:rsid w:val="001877E4"/>
    <w:rsid w:val="001943EE"/>
    <w:rsid w:val="001A0C2D"/>
    <w:rsid w:val="001A2B3E"/>
    <w:rsid w:val="001A431C"/>
    <w:rsid w:val="001A4C39"/>
    <w:rsid w:val="001A4D1B"/>
    <w:rsid w:val="001A6314"/>
    <w:rsid w:val="001A6877"/>
    <w:rsid w:val="001A7C07"/>
    <w:rsid w:val="001A7DE1"/>
    <w:rsid w:val="001B2136"/>
    <w:rsid w:val="001B32A2"/>
    <w:rsid w:val="001B4AE4"/>
    <w:rsid w:val="001B4DE8"/>
    <w:rsid w:val="001C13AC"/>
    <w:rsid w:val="001C1805"/>
    <w:rsid w:val="001C5BA7"/>
    <w:rsid w:val="001C5D56"/>
    <w:rsid w:val="001D0036"/>
    <w:rsid w:val="001D00B5"/>
    <w:rsid w:val="001D1F1C"/>
    <w:rsid w:val="001D3B29"/>
    <w:rsid w:val="001D6A68"/>
    <w:rsid w:val="001E3A33"/>
    <w:rsid w:val="001E4EEB"/>
    <w:rsid w:val="001E567F"/>
    <w:rsid w:val="001E6026"/>
    <w:rsid w:val="001E6E4E"/>
    <w:rsid w:val="001F2FA8"/>
    <w:rsid w:val="001F3696"/>
    <w:rsid w:val="001F37CA"/>
    <w:rsid w:val="001F4138"/>
    <w:rsid w:val="001F7997"/>
    <w:rsid w:val="00200DFE"/>
    <w:rsid w:val="00201C4A"/>
    <w:rsid w:val="00204019"/>
    <w:rsid w:val="00204B37"/>
    <w:rsid w:val="0020681E"/>
    <w:rsid w:val="00207B60"/>
    <w:rsid w:val="00207C66"/>
    <w:rsid w:val="002105E4"/>
    <w:rsid w:val="00210F80"/>
    <w:rsid w:val="002111CF"/>
    <w:rsid w:val="002145ED"/>
    <w:rsid w:val="00220137"/>
    <w:rsid w:val="00220162"/>
    <w:rsid w:val="00220E0E"/>
    <w:rsid w:val="00223DA0"/>
    <w:rsid w:val="002248D5"/>
    <w:rsid w:val="00230A22"/>
    <w:rsid w:val="00235613"/>
    <w:rsid w:val="00237E43"/>
    <w:rsid w:val="002442CB"/>
    <w:rsid w:val="00246226"/>
    <w:rsid w:val="002545B3"/>
    <w:rsid w:val="00254CB9"/>
    <w:rsid w:val="002552E1"/>
    <w:rsid w:val="00257EC5"/>
    <w:rsid w:val="002606CB"/>
    <w:rsid w:val="00265496"/>
    <w:rsid w:val="00266B42"/>
    <w:rsid w:val="0026779F"/>
    <w:rsid w:val="002708BA"/>
    <w:rsid w:val="002713E2"/>
    <w:rsid w:val="0027198B"/>
    <w:rsid w:val="002752AF"/>
    <w:rsid w:val="00281057"/>
    <w:rsid w:val="00283F5B"/>
    <w:rsid w:val="00286B1A"/>
    <w:rsid w:val="00286C0C"/>
    <w:rsid w:val="00290D5F"/>
    <w:rsid w:val="00293277"/>
    <w:rsid w:val="002936B5"/>
    <w:rsid w:val="002938F2"/>
    <w:rsid w:val="0029486A"/>
    <w:rsid w:val="002A34D3"/>
    <w:rsid w:val="002A562B"/>
    <w:rsid w:val="002B04DE"/>
    <w:rsid w:val="002B14B8"/>
    <w:rsid w:val="002B6987"/>
    <w:rsid w:val="002C471A"/>
    <w:rsid w:val="002C5280"/>
    <w:rsid w:val="002C696D"/>
    <w:rsid w:val="002D16BC"/>
    <w:rsid w:val="002D3050"/>
    <w:rsid w:val="002D33CD"/>
    <w:rsid w:val="002D396D"/>
    <w:rsid w:val="002D4B43"/>
    <w:rsid w:val="002D56C4"/>
    <w:rsid w:val="002D5F6F"/>
    <w:rsid w:val="002E033B"/>
    <w:rsid w:val="002E63C4"/>
    <w:rsid w:val="002E63C7"/>
    <w:rsid w:val="002F529A"/>
    <w:rsid w:val="00307B6A"/>
    <w:rsid w:val="00310896"/>
    <w:rsid w:val="0031090B"/>
    <w:rsid w:val="003224D4"/>
    <w:rsid w:val="0032652E"/>
    <w:rsid w:val="00330C93"/>
    <w:rsid w:val="00331748"/>
    <w:rsid w:val="003344AD"/>
    <w:rsid w:val="00335438"/>
    <w:rsid w:val="0033751E"/>
    <w:rsid w:val="00340C1C"/>
    <w:rsid w:val="0034326C"/>
    <w:rsid w:val="0034366F"/>
    <w:rsid w:val="00346282"/>
    <w:rsid w:val="00346474"/>
    <w:rsid w:val="00347F6D"/>
    <w:rsid w:val="003528F8"/>
    <w:rsid w:val="00356028"/>
    <w:rsid w:val="0035648A"/>
    <w:rsid w:val="00363995"/>
    <w:rsid w:val="00363FE2"/>
    <w:rsid w:val="00367ADA"/>
    <w:rsid w:val="00373A1F"/>
    <w:rsid w:val="003764B7"/>
    <w:rsid w:val="003765BC"/>
    <w:rsid w:val="003800BE"/>
    <w:rsid w:val="003800F2"/>
    <w:rsid w:val="00384CD5"/>
    <w:rsid w:val="00386AF9"/>
    <w:rsid w:val="00386E70"/>
    <w:rsid w:val="00387044"/>
    <w:rsid w:val="00387E3B"/>
    <w:rsid w:val="00392CDA"/>
    <w:rsid w:val="0039305D"/>
    <w:rsid w:val="00393E4A"/>
    <w:rsid w:val="0039446E"/>
    <w:rsid w:val="003A3AB0"/>
    <w:rsid w:val="003A5874"/>
    <w:rsid w:val="003A62FD"/>
    <w:rsid w:val="003B7467"/>
    <w:rsid w:val="003C07DB"/>
    <w:rsid w:val="003C7065"/>
    <w:rsid w:val="003D2A84"/>
    <w:rsid w:val="003D2C93"/>
    <w:rsid w:val="003D3D79"/>
    <w:rsid w:val="003D67C1"/>
    <w:rsid w:val="003D7953"/>
    <w:rsid w:val="003D7A59"/>
    <w:rsid w:val="003E2EB5"/>
    <w:rsid w:val="003E3062"/>
    <w:rsid w:val="003E327E"/>
    <w:rsid w:val="003F02BD"/>
    <w:rsid w:val="003F02E3"/>
    <w:rsid w:val="003F0748"/>
    <w:rsid w:val="003F5969"/>
    <w:rsid w:val="003F5A7C"/>
    <w:rsid w:val="00407273"/>
    <w:rsid w:val="004079A1"/>
    <w:rsid w:val="004108B6"/>
    <w:rsid w:val="004108E1"/>
    <w:rsid w:val="00413779"/>
    <w:rsid w:val="004163DA"/>
    <w:rsid w:val="00422B16"/>
    <w:rsid w:val="00423CC5"/>
    <w:rsid w:val="00424AFF"/>
    <w:rsid w:val="00425E75"/>
    <w:rsid w:val="00427C49"/>
    <w:rsid w:val="00430313"/>
    <w:rsid w:val="00430677"/>
    <w:rsid w:val="0043363C"/>
    <w:rsid w:val="00434269"/>
    <w:rsid w:val="00434773"/>
    <w:rsid w:val="00436B43"/>
    <w:rsid w:val="00440E35"/>
    <w:rsid w:val="00442076"/>
    <w:rsid w:val="00442951"/>
    <w:rsid w:val="004447C8"/>
    <w:rsid w:val="004466FD"/>
    <w:rsid w:val="00447C66"/>
    <w:rsid w:val="00447D3D"/>
    <w:rsid w:val="00450878"/>
    <w:rsid w:val="00450FD7"/>
    <w:rsid w:val="00456616"/>
    <w:rsid w:val="0046335F"/>
    <w:rsid w:val="0046417E"/>
    <w:rsid w:val="00471B34"/>
    <w:rsid w:val="00472939"/>
    <w:rsid w:val="00474673"/>
    <w:rsid w:val="00480B72"/>
    <w:rsid w:val="00483688"/>
    <w:rsid w:val="00484E55"/>
    <w:rsid w:val="004874AA"/>
    <w:rsid w:val="00496C19"/>
    <w:rsid w:val="004970F7"/>
    <w:rsid w:val="00497ED6"/>
    <w:rsid w:val="004A068F"/>
    <w:rsid w:val="004A30F8"/>
    <w:rsid w:val="004A31F9"/>
    <w:rsid w:val="004A6BDA"/>
    <w:rsid w:val="004C465F"/>
    <w:rsid w:val="004C4E70"/>
    <w:rsid w:val="004C5E80"/>
    <w:rsid w:val="004C7581"/>
    <w:rsid w:val="004D1B57"/>
    <w:rsid w:val="004D6129"/>
    <w:rsid w:val="004D71CF"/>
    <w:rsid w:val="004D79D5"/>
    <w:rsid w:val="004E056C"/>
    <w:rsid w:val="004E1841"/>
    <w:rsid w:val="004E2817"/>
    <w:rsid w:val="004E464F"/>
    <w:rsid w:val="004E5B8F"/>
    <w:rsid w:val="004E67DA"/>
    <w:rsid w:val="004F1D6A"/>
    <w:rsid w:val="004F2E1C"/>
    <w:rsid w:val="004F3995"/>
    <w:rsid w:val="004F47D3"/>
    <w:rsid w:val="004F5E0C"/>
    <w:rsid w:val="004F6F62"/>
    <w:rsid w:val="005010BD"/>
    <w:rsid w:val="005016FB"/>
    <w:rsid w:val="00505EB8"/>
    <w:rsid w:val="00506240"/>
    <w:rsid w:val="00506430"/>
    <w:rsid w:val="00506B71"/>
    <w:rsid w:val="005076A1"/>
    <w:rsid w:val="00510478"/>
    <w:rsid w:val="00510789"/>
    <w:rsid w:val="00511D17"/>
    <w:rsid w:val="00511E78"/>
    <w:rsid w:val="005132D1"/>
    <w:rsid w:val="0051699F"/>
    <w:rsid w:val="00517D40"/>
    <w:rsid w:val="00521A71"/>
    <w:rsid w:val="00521CE4"/>
    <w:rsid w:val="00525460"/>
    <w:rsid w:val="00525D5C"/>
    <w:rsid w:val="005344D1"/>
    <w:rsid w:val="0053627B"/>
    <w:rsid w:val="005414A1"/>
    <w:rsid w:val="00541DDE"/>
    <w:rsid w:val="00542EBC"/>
    <w:rsid w:val="00543C77"/>
    <w:rsid w:val="00546B24"/>
    <w:rsid w:val="00550651"/>
    <w:rsid w:val="00557B3A"/>
    <w:rsid w:val="00560D02"/>
    <w:rsid w:val="005623B4"/>
    <w:rsid w:val="005639BB"/>
    <w:rsid w:val="00570814"/>
    <w:rsid w:val="0057485D"/>
    <w:rsid w:val="00576D07"/>
    <w:rsid w:val="00586181"/>
    <w:rsid w:val="005861F5"/>
    <w:rsid w:val="00592048"/>
    <w:rsid w:val="00593CED"/>
    <w:rsid w:val="0059776F"/>
    <w:rsid w:val="005A0B80"/>
    <w:rsid w:val="005A4CC5"/>
    <w:rsid w:val="005A5E87"/>
    <w:rsid w:val="005B1E02"/>
    <w:rsid w:val="005B5A10"/>
    <w:rsid w:val="005B7DC3"/>
    <w:rsid w:val="005C0660"/>
    <w:rsid w:val="005C1260"/>
    <w:rsid w:val="005C6D88"/>
    <w:rsid w:val="005D4876"/>
    <w:rsid w:val="005E38E4"/>
    <w:rsid w:val="005E6F02"/>
    <w:rsid w:val="005E71BB"/>
    <w:rsid w:val="005F5295"/>
    <w:rsid w:val="00601DD6"/>
    <w:rsid w:val="0060216F"/>
    <w:rsid w:val="00603AE6"/>
    <w:rsid w:val="00603F71"/>
    <w:rsid w:val="006154B8"/>
    <w:rsid w:val="00615588"/>
    <w:rsid w:val="00616D0F"/>
    <w:rsid w:val="00617DB6"/>
    <w:rsid w:val="00627E34"/>
    <w:rsid w:val="00630B56"/>
    <w:rsid w:val="00630DCD"/>
    <w:rsid w:val="006331F2"/>
    <w:rsid w:val="006359E7"/>
    <w:rsid w:val="00636760"/>
    <w:rsid w:val="00644244"/>
    <w:rsid w:val="00647978"/>
    <w:rsid w:val="00650511"/>
    <w:rsid w:val="006515C9"/>
    <w:rsid w:val="00652318"/>
    <w:rsid w:val="00652743"/>
    <w:rsid w:val="0065638E"/>
    <w:rsid w:val="006571A3"/>
    <w:rsid w:val="006619C4"/>
    <w:rsid w:val="00664CFF"/>
    <w:rsid w:val="00665ADA"/>
    <w:rsid w:val="006667FC"/>
    <w:rsid w:val="0067005F"/>
    <w:rsid w:val="00674F41"/>
    <w:rsid w:val="00684711"/>
    <w:rsid w:val="00687235"/>
    <w:rsid w:val="00690B60"/>
    <w:rsid w:val="00690B6B"/>
    <w:rsid w:val="0069143C"/>
    <w:rsid w:val="00693A25"/>
    <w:rsid w:val="006953CB"/>
    <w:rsid w:val="006A0D86"/>
    <w:rsid w:val="006A1468"/>
    <w:rsid w:val="006A1C6B"/>
    <w:rsid w:val="006B116B"/>
    <w:rsid w:val="006B1C35"/>
    <w:rsid w:val="006B2C51"/>
    <w:rsid w:val="006B3A8B"/>
    <w:rsid w:val="006B60C1"/>
    <w:rsid w:val="006C0911"/>
    <w:rsid w:val="006C7F07"/>
    <w:rsid w:val="006D0BCF"/>
    <w:rsid w:val="006D14AD"/>
    <w:rsid w:val="006D46FB"/>
    <w:rsid w:val="006D5CA8"/>
    <w:rsid w:val="006D66B1"/>
    <w:rsid w:val="006D6AF5"/>
    <w:rsid w:val="006D76B9"/>
    <w:rsid w:val="006E053C"/>
    <w:rsid w:val="006E1BBB"/>
    <w:rsid w:val="006E2651"/>
    <w:rsid w:val="006E29AF"/>
    <w:rsid w:val="006E4A5A"/>
    <w:rsid w:val="006F0BEB"/>
    <w:rsid w:val="006F4CCA"/>
    <w:rsid w:val="006F6656"/>
    <w:rsid w:val="0070177B"/>
    <w:rsid w:val="007018AF"/>
    <w:rsid w:val="0070476B"/>
    <w:rsid w:val="00706842"/>
    <w:rsid w:val="007113E7"/>
    <w:rsid w:val="00713907"/>
    <w:rsid w:val="00716BFF"/>
    <w:rsid w:val="0071746E"/>
    <w:rsid w:val="007216E4"/>
    <w:rsid w:val="007415F5"/>
    <w:rsid w:val="00745F30"/>
    <w:rsid w:val="00746204"/>
    <w:rsid w:val="0074674D"/>
    <w:rsid w:val="00747715"/>
    <w:rsid w:val="00750138"/>
    <w:rsid w:val="0075196D"/>
    <w:rsid w:val="00753DA3"/>
    <w:rsid w:val="00755CC0"/>
    <w:rsid w:val="00764779"/>
    <w:rsid w:val="00764F50"/>
    <w:rsid w:val="00766F25"/>
    <w:rsid w:val="00770A92"/>
    <w:rsid w:val="007749A0"/>
    <w:rsid w:val="00774A47"/>
    <w:rsid w:val="00776D17"/>
    <w:rsid w:val="00782AE2"/>
    <w:rsid w:val="00786CB5"/>
    <w:rsid w:val="00790474"/>
    <w:rsid w:val="00790C65"/>
    <w:rsid w:val="00790CEB"/>
    <w:rsid w:val="00795991"/>
    <w:rsid w:val="007A00A8"/>
    <w:rsid w:val="007A21C4"/>
    <w:rsid w:val="007A3179"/>
    <w:rsid w:val="007A3D17"/>
    <w:rsid w:val="007A3FB5"/>
    <w:rsid w:val="007A5BE1"/>
    <w:rsid w:val="007A7D45"/>
    <w:rsid w:val="007B36EA"/>
    <w:rsid w:val="007B5137"/>
    <w:rsid w:val="007C1B00"/>
    <w:rsid w:val="007C56DC"/>
    <w:rsid w:val="007C5C81"/>
    <w:rsid w:val="007C6754"/>
    <w:rsid w:val="007C7C30"/>
    <w:rsid w:val="007D1354"/>
    <w:rsid w:val="007D13D9"/>
    <w:rsid w:val="007D31CE"/>
    <w:rsid w:val="007D355B"/>
    <w:rsid w:val="007D3B22"/>
    <w:rsid w:val="007D41E0"/>
    <w:rsid w:val="007D4C8A"/>
    <w:rsid w:val="007D5BB7"/>
    <w:rsid w:val="007D783F"/>
    <w:rsid w:val="007E0621"/>
    <w:rsid w:val="007E0AEE"/>
    <w:rsid w:val="007E4E37"/>
    <w:rsid w:val="007F1280"/>
    <w:rsid w:val="007F3697"/>
    <w:rsid w:val="007F3D62"/>
    <w:rsid w:val="007F4B07"/>
    <w:rsid w:val="007F59B9"/>
    <w:rsid w:val="008028B6"/>
    <w:rsid w:val="0080309B"/>
    <w:rsid w:val="008109C7"/>
    <w:rsid w:val="008137D3"/>
    <w:rsid w:val="00813EB8"/>
    <w:rsid w:val="00815CD6"/>
    <w:rsid w:val="008164D5"/>
    <w:rsid w:val="00821EB8"/>
    <w:rsid w:val="00824C26"/>
    <w:rsid w:val="008265BC"/>
    <w:rsid w:val="0083488D"/>
    <w:rsid w:val="0083492D"/>
    <w:rsid w:val="00840217"/>
    <w:rsid w:val="00841418"/>
    <w:rsid w:val="008460E7"/>
    <w:rsid w:val="008466C3"/>
    <w:rsid w:val="00846B1A"/>
    <w:rsid w:val="00851458"/>
    <w:rsid w:val="00856376"/>
    <w:rsid w:val="00856F53"/>
    <w:rsid w:val="00861A47"/>
    <w:rsid w:val="008633DD"/>
    <w:rsid w:val="008673AD"/>
    <w:rsid w:val="008707FF"/>
    <w:rsid w:val="00870852"/>
    <w:rsid w:val="0087194D"/>
    <w:rsid w:val="008724E5"/>
    <w:rsid w:val="00874EE6"/>
    <w:rsid w:val="00875348"/>
    <w:rsid w:val="008815E5"/>
    <w:rsid w:val="0088315E"/>
    <w:rsid w:val="00885B54"/>
    <w:rsid w:val="00887556"/>
    <w:rsid w:val="008936F7"/>
    <w:rsid w:val="008A0C4D"/>
    <w:rsid w:val="008A2314"/>
    <w:rsid w:val="008B2018"/>
    <w:rsid w:val="008B63C6"/>
    <w:rsid w:val="008B7E57"/>
    <w:rsid w:val="008C1140"/>
    <w:rsid w:val="008C43E0"/>
    <w:rsid w:val="008C49C6"/>
    <w:rsid w:val="008C4F35"/>
    <w:rsid w:val="008C5307"/>
    <w:rsid w:val="008C5A81"/>
    <w:rsid w:val="008D35E2"/>
    <w:rsid w:val="008D3BF7"/>
    <w:rsid w:val="008D53B0"/>
    <w:rsid w:val="008D60B9"/>
    <w:rsid w:val="008E3BEB"/>
    <w:rsid w:val="008E4F0D"/>
    <w:rsid w:val="008E4F74"/>
    <w:rsid w:val="008E6DA2"/>
    <w:rsid w:val="008E7DC6"/>
    <w:rsid w:val="008E7FA3"/>
    <w:rsid w:val="008F16C6"/>
    <w:rsid w:val="008F2310"/>
    <w:rsid w:val="008F34A1"/>
    <w:rsid w:val="008F4DAC"/>
    <w:rsid w:val="008F4E38"/>
    <w:rsid w:val="008F66AD"/>
    <w:rsid w:val="008F772A"/>
    <w:rsid w:val="008F7B13"/>
    <w:rsid w:val="0090137F"/>
    <w:rsid w:val="00905D08"/>
    <w:rsid w:val="00907479"/>
    <w:rsid w:val="009117DA"/>
    <w:rsid w:val="00911A07"/>
    <w:rsid w:val="009121CE"/>
    <w:rsid w:val="009127D8"/>
    <w:rsid w:val="00912C84"/>
    <w:rsid w:val="00913FF4"/>
    <w:rsid w:val="00915631"/>
    <w:rsid w:val="00921F65"/>
    <w:rsid w:val="00922347"/>
    <w:rsid w:val="00924BED"/>
    <w:rsid w:val="0092529D"/>
    <w:rsid w:val="00927289"/>
    <w:rsid w:val="00936A1B"/>
    <w:rsid w:val="009465CF"/>
    <w:rsid w:val="00947784"/>
    <w:rsid w:val="009529A3"/>
    <w:rsid w:val="00956DFD"/>
    <w:rsid w:val="0096247E"/>
    <w:rsid w:val="00962F23"/>
    <w:rsid w:val="00966D45"/>
    <w:rsid w:val="00967CE4"/>
    <w:rsid w:val="00970A11"/>
    <w:rsid w:val="009725C0"/>
    <w:rsid w:val="0097349C"/>
    <w:rsid w:val="0097749C"/>
    <w:rsid w:val="0098018F"/>
    <w:rsid w:val="009816CC"/>
    <w:rsid w:val="00982B09"/>
    <w:rsid w:val="00985A4C"/>
    <w:rsid w:val="0099570B"/>
    <w:rsid w:val="00996A2C"/>
    <w:rsid w:val="009A213A"/>
    <w:rsid w:val="009A7D6B"/>
    <w:rsid w:val="009B04F8"/>
    <w:rsid w:val="009B55AC"/>
    <w:rsid w:val="009B6C85"/>
    <w:rsid w:val="009B6E85"/>
    <w:rsid w:val="009C7063"/>
    <w:rsid w:val="009D4547"/>
    <w:rsid w:val="009D5E38"/>
    <w:rsid w:val="009D742C"/>
    <w:rsid w:val="009E7C97"/>
    <w:rsid w:val="009F34A4"/>
    <w:rsid w:val="009F3988"/>
    <w:rsid w:val="009F4E3D"/>
    <w:rsid w:val="00A0523A"/>
    <w:rsid w:val="00A054C2"/>
    <w:rsid w:val="00A07660"/>
    <w:rsid w:val="00A1137F"/>
    <w:rsid w:val="00A118C4"/>
    <w:rsid w:val="00A13E9A"/>
    <w:rsid w:val="00A146B1"/>
    <w:rsid w:val="00A150C7"/>
    <w:rsid w:val="00A258E9"/>
    <w:rsid w:val="00A31077"/>
    <w:rsid w:val="00A311A4"/>
    <w:rsid w:val="00A32A0E"/>
    <w:rsid w:val="00A342E0"/>
    <w:rsid w:val="00A42F69"/>
    <w:rsid w:val="00A443D0"/>
    <w:rsid w:val="00A456A7"/>
    <w:rsid w:val="00A50E04"/>
    <w:rsid w:val="00A519A2"/>
    <w:rsid w:val="00A51DD8"/>
    <w:rsid w:val="00A628D0"/>
    <w:rsid w:val="00A63CBE"/>
    <w:rsid w:val="00A70883"/>
    <w:rsid w:val="00A765BC"/>
    <w:rsid w:val="00A76984"/>
    <w:rsid w:val="00A76F0C"/>
    <w:rsid w:val="00A77AEB"/>
    <w:rsid w:val="00A81FD6"/>
    <w:rsid w:val="00A84091"/>
    <w:rsid w:val="00A86042"/>
    <w:rsid w:val="00A905B4"/>
    <w:rsid w:val="00A96B79"/>
    <w:rsid w:val="00A976A7"/>
    <w:rsid w:val="00A97AE9"/>
    <w:rsid w:val="00AA3ABD"/>
    <w:rsid w:val="00AA444A"/>
    <w:rsid w:val="00AA7556"/>
    <w:rsid w:val="00AA7FF0"/>
    <w:rsid w:val="00AB1528"/>
    <w:rsid w:val="00AB4A1E"/>
    <w:rsid w:val="00AB57DF"/>
    <w:rsid w:val="00AB7A48"/>
    <w:rsid w:val="00AC10E1"/>
    <w:rsid w:val="00AC164D"/>
    <w:rsid w:val="00AC268B"/>
    <w:rsid w:val="00AC5753"/>
    <w:rsid w:val="00AD313C"/>
    <w:rsid w:val="00AD5274"/>
    <w:rsid w:val="00AE1B18"/>
    <w:rsid w:val="00AE2243"/>
    <w:rsid w:val="00AE32D5"/>
    <w:rsid w:val="00AF12D0"/>
    <w:rsid w:val="00AF1C32"/>
    <w:rsid w:val="00AF1C8B"/>
    <w:rsid w:val="00AF222D"/>
    <w:rsid w:val="00AF2AB6"/>
    <w:rsid w:val="00B02640"/>
    <w:rsid w:val="00B04F3C"/>
    <w:rsid w:val="00B06F01"/>
    <w:rsid w:val="00B11AB9"/>
    <w:rsid w:val="00B11AE3"/>
    <w:rsid w:val="00B13952"/>
    <w:rsid w:val="00B1608B"/>
    <w:rsid w:val="00B16C82"/>
    <w:rsid w:val="00B200D7"/>
    <w:rsid w:val="00B21562"/>
    <w:rsid w:val="00B217E0"/>
    <w:rsid w:val="00B25B6F"/>
    <w:rsid w:val="00B328A8"/>
    <w:rsid w:val="00B33418"/>
    <w:rsid w:val="00B356B4"/>
    <w:rsid w:val="00B374B3"/>
    <w:rsid w:val="00B45EC1"/>
    <w:rsid w:val="00B46D2E"/>
    <w:rsid w:val="00B50DF7"/>
    <w:rsid w:val="00B513A4"/>
    <w:rsid w:val="00B6167A"/>
    <w:rsid w:val="00B61CE2"/>
    <w:rsid w:val="00B805DD"/>
    <w:rsid w:val="00B86CC0"/>
    <w:rsid w:val="00B91E69"/>
    <w:rsid w:val="00B92BDE"/>
    <w:rsid w:val="00B92C4F"/>
    <w:rsid w:val="00B92DB8"/>
    <w:rsid w:val="00B960D5"/>
    <w:rsid w:val="00B973B5"/>
    <w:rsid w:val="00BA038C"/>
    <w:rsid w:val="00BA1979"/>
    <w:rsid w:val="00BA5247"/>
    <w:rsid w:val="00BA75DB"/>
    <w:rsid w:val="00BA7F63"/>
    <w:rsid w:val="00BB26AC"/>
    <w:rsid w:val="00BC0098"/>
    <w:rsid w:val="00BC06EC"/>
    <w:rsid w:val="00BC2260"/>
    <w:rsid w:val="00BC7563"/>
    <w:rsid w:val="00BC7948"/>
    <w:rsid w:val="00BC7986"/>
    <w:rsid w:val="00BD0955"/>
    <w:rsid w:val="00BD28FB"/>
    <w:rsid w:val="00BD59BD"/>
    <w:rsid w:val="00BD7D94"/>
    <w:rsid w:val="00BE066D"/>
    <w:rsid w:val="00BE3C7A"/>
    <w:rsid w:val="00BE4805"/>
    <w:rsid w:val="00BE4DA3"/>
    <w:rsid w:val="00BE61E0"/>
    <w:rsid w:val="00BF09DF"/>
    <w:rsid w:val="00BF461D"/>
    <w:rsid w:val="00BF4EB3"/>
    <w:rsid w:val="00BF6FCA"/>
    <w:rsid w:val="00C069C5"/>
    <w:rsid w:val="00C0778D"/>
    <w:rsid w:val="00C07898"/>
    <w:rsid w:val="00C11AB2"/>
    <w:rsid w:val="00C14307"/>
    <w:rsid w:val="00C1651E"/>
    <w:rsid w:val="00C32FB2"/>
    <w:rsid w:val="00C335F1"/>
    <w:rsid w:val="00C3447C"/>
    <w:rsid w:val="00C35DC9"/>
    <w:rsid w:val="00C43A8B"/>
    <w:rsid w:val="00C465CC"/>
    <w:rsid w:val="00C50853"/>
    <w:rsid w:val="00C57B89"/>
    <w:rsid w:val="00C60314"/>
    <w:rsid w:val="00C60CDD"/>
    <w:rsid w:val="00C61D1E"/>
    <w:rsid w:val="00C6353C"/>
    <w:rsid w:val="00C6478B"/>
    <w:rsid w:val="00C65379"/>
    <w:rsid w:val="00C65A0B"/>
    <w:rsid w:val="00C6603F"/>
    <w:rsid w:val="00C70EFC"/>
    <w:rsid w:val="00C7186C"/>
    <w:rsid w:val="00C7296B"/>
    <w:rsid w:val="00C72DF1"/>
    <w:rsid w:val="00C806B3"/>
    <w:rsid w:val="00C8240B"/>
    <w:rsid w:val="00C859BC"/>
    <w:rsid w:val="00C85B3B"/>
    <w:rsid w:val="00C86AB5"/>
    <w:rsid w:val="00C90045"/>
    <w:rsid w:val="00C9156B"/>
    <w:rsid w:val="00C91644"/>
    <w:rsid w:val="00C91F2F"/>
    <w:rsid w:val="00C94535"/>
    <w:rsid w:val="00C94877"/>
    <w:rsid w:val="00C95C87"/>
    <w:rsid w:val="00C96E9A"/>
    <w:rsid w:val="00CA1382"/>
    <w:rsid w:val="00CA21C3"/>
    <w:rsid w:val="00CA3D3A"/>
    <w:rsid w:val="00CA4037"/>
    <w:rsid w:val="00CA608E"/>
    <w:rsid w:val="00CA775F"/>
    <w:rsid w:val="00CB0F37"/>
    <w:rsid w:val="00CB1B5A"/>
    <w:rsid w:val="00CB53C4"/>
    <w:rsid w:val="00CB669D"/>
    <w:rsid w:val="00CC28D2"/>
    <w:rsid w:val="00CC2BC6"/>
    <w:rsid w:val="00CD0741"/>
    <w:rsid w:val="00CD37C9"/>
    <w:rsid w:val="00CD5C16"/>
    <w:rsid w:val="00CD69DC"/>
    <w:rsid w:val="00CD6DF0"/>
    <w:rsid w:val="00CE2586"/>
    <w:rsid w:val="00CE3541"/>
    <w:rsid w:val="00CE5A57"/>
    <w:rsid w:val="00CF4CB1"/>
    <w:rsid w:val="00CF68E3"/>
    <w:rsid w:val="00D001F6"/>
    <w:rsid w:val="00D05000"/>
    <w:rsid w:val="00D22D3B"/>
    <w:rsid w:val="00D265F3"/>
    <w:rsid w:val="00D317FA"/>
    <w:rsid w:val="00D359BF"/>
    <w:rsid w:val="00D3721C"/>
    <w:rsid w:val="00D404B7"/>
    <w:rsid w:val="00D42181"/>
    <w:rsid w:val="00D45C4B"/>
    <w:rsid w:val="00D46EBD"/>
    <w:rsid w:val="00D47685"/>
    <w:rsid w:val="00D5157F"/>
    <w:rsid w:val="00D53CD0"/>
    <w:rsid w:val="00D600AF"/>
    <w:rsid w:val="00D60B4D"/>
    <w:rsid w:val="00D61AE4"/>
    <w:rsid w:val="00D62345"/>
    <w:rsid w:val="00D62F3B"/>
    <w:rsid w:val="00D64F69"/>
    <w:rsid w:val="00D6525C"/>
    <w:rsid w:val="00D67614"/>
    <w:rsid w:val="00D7057F"/>
    <w:rsid w:val="00D7229D"/>
    <w:rsid w:val="00D763AA"/>
    <w:rsid w:val="00D809E5"/>
    <w:rsid w:val="00D816FB"/>
    <w:rsid w:val="00D81948"/>
    <w:rsid w:val="00D85D8A"/>
    <w:rsid w:val="00D8676F"/>
    <w:rsid w:val="00D9436D"/>
    <w:rsid w:val="00D9501F"/>
    <w:rsid w:val="00D96952"/>
    <w:rsid w:val="00D97642"/>
    <w:rsid w:val="00DA329E"/>
    <w:rsid w:val="00DA35F6"/>
    <w:rsid w:val="00DA38DE"/>
    <w:rsid w:val="00DA7BDF"/>
    <w:rsid w:val="00DA7DC4"/>
    <w:rsid w:val="00DB11E7"/>
    <w:rsid w:val="00DB2957"/>
    <w:rsid w:val="00DB50D5"/>
    <w:rsid w:val="00DB5CA9"/>
    <w:rsid w:val="00DB60A3"/>
    <w:rsid w:val="00DB778D"/>
    <w:rsid w:val="00DB79C4"/>
    <w:rsid w:val="00DB7B72"/>
    <w:rsid w:val="00DC0F4C"/>
    <w:rsid w:val="00DE6185"/>
    <w:rsid w:val="00DF0D1D"/>
    <w:rsid w:val="00DF3DA3"/>
    <w:rsid w:val="00DF5209"/>
    <w:rsid w:val="00E03C1C"/>
    <w:rsid w:val="00E05F3F"/>
    <w:rsid w:val="00E06A00"/>
    <w:rsid w:val="00E1204D"/>
    <w:rsid w:val="00E13C85"/>
    <w:rsid w:val="00E14322"/>
    <w:rsid w:val="00E146A7"/>
    <w:rsid w:val="00E151CE"/>
    <w:rsid w:val="00E22B99"/>
    <w:rsid w:val="00E24C45"/>
    <w:rsid w:val="00E253BD"/>
    <w:rsid w:val="00E258D9"/>
    <w:rsid w:val="00E26D37"/>
    <w:rsid w:val="00E26E9D"/>
    <w:rsid w:val="00E3509F"/>
    <w:rsid w:val="00E425D9"/>
    <w:rsid w:val="00E428E8"/>
    <w:rsid w:val="00E439CA"/>
    <w:rsid w:val="00E5219B"/>
    <w:rsid w:val="00E525A2"/>
    <w:rsid w:val="00E526E7"/>
    <w:rsid w:val="00E54EC6"/>
    <w:rsid w:val="00E55728"/>
    <w:rsid w:val="00E559AD"/>
    <w:rsid w:val="00E61D4D"/>
    <w:rsid w:val="00E6404B"/>
    <w:rsid w:val="00E64A44"/>
    <w:rsid w:val="00E655E6"/>
    <w:rsid w:val="00E72B36"/>
    <w:rsid w:val="00E73F9F"/>
    <w:rsid w:val="00E75CF2"/>
    <w:rsid w:val="00E766F4"/>
    <w:rsid w:val="00E83BE3"/>
    <w:rsid w:val="00E851F4"/>
    <w:rsid w:val="00E93F6E"/>
    <w:rsid w:val="00E95DD2"/>
    <w:rsid w:val="00E97043"/>
    <w:rsid w:val="00EA198F"/>
    <w:rsid w:val="00EA1DF6"/>
    <w:rsid w:val="00EA5084"/>
    <w:rsid w:val="00EA5C89"/>
    <w:rsid w:val="00EA6BED"/>
    <w:rsid w:val="00EA7339"/>
    <w:rsid w:val="00EA7AE8"/>
    <w:rsid w:val="00EB158F"/>
    <w:rsid w:val="00EB66DD"/>
    <w:rsid w:val="00EB75BF"/>
    <w:rsid w:val="00EC27E8"/>
    <w:rsid w:val="00EC4206"/>
    <w:rsid w:val="00EC74D8"/>
    <w:rsid w:val="00ED23F3"/>
    <w:rsid w:val="00ED6ED3"/>
    <w:rsid w:val="00EE1239"/>
    <w:rsid w:val="00EE138A"/>
    <w:rsid w:val="00EE3048"/>
    <w:rsid w:val="00EE63C4"/>
    <w:rsid w:val="00EE788E"/>
    <w:rsid w:val="00EF0BCB"/>
    <w:rsid w:val="00EF0E74"/>
    <w:rsid w:val="00EF31B0"/>
    <w:rsid w:val="00EF3921"/>
    <w:rsid w:val="00EF3B14"/>
    <w:rsid w:val="00EF3F13"/>
    <w:rsid w:val="00EF6D74"/>
    <w:rsid w:val="00EF7C59"/>
    <w:rsid w:val="00F00995"/>
    <w:rsid w:val="00F00E8A"/>
    <w:rsid w:val="00F02F2C"/>
    <w:rsid w:val="00F10A72"/>
    <w:rsid w:val="00F12556"/>
    <w:rsid w:val="00F13D37"/>
    <w:rsid w:val="00F152E4"/>
    <w:rsid w:val="00F228A0"/>
    <w:rsid w:val="00F228E9"/>
    <w:rsid w:val="00F230CA"/>
    <w:rsid w:val="00F26034"/>
    <w:rsid w:val="00F27815"/>
    <w:rsid w:val="00F315D0"/>
    <w:rsid w:val="00F33650"/>
    <w:rsid w:val="00F36A44"/>
    <w:rsid w:val="00F473CB"/>
    <w:rsid w:val="00F47E0D"/>
    <w:rsid w:val="00F50245"/>
    <w:rsid w:val="00F503F9"/>
    <w:rsid w:val="00F62443"/>
    <w:rsid w:val="00F63DDA"/>
    <w:rsid w:val="00F70858"/>
    <w:rsid w:val="00F725E2"/>
    <w:rsid w:val="00F7397F"/>
    <w:rsid w:val="00F74807"/>
    <w:rsid w:val="00F748D8"/>
    <w:rsid w:val="00F75949"/>
    <w:rsid w:val="00F87235"/>
    <w:rsid w:val="00F92688"/>
    <w:rsid w:val="00F941F0"/>
    <w:rsid w:val="00F94E36"/>
    <w:rsid w:val="00FA4D57"/>
    <w:rsid w:val="00FB0279"/>
    <w:rsid w:val="00FB2DBB"/>
    <w:rsid w:val="00FB394B"/>
    <w:rsid w:val="00FB4D6D"/>
    <w:rsid w:val="00FB5A3A"/>
    <w:rsid w:val="00FB5E96"/>
    <w:rsid w:val="00FB788B"/>
    <w:rsid w:val="00FC422C"/>
    <w:rsid w:val="00FD1941"/>
    <w:rsid w:val="00FD1C3A"/>
    <w:rsid w:val="00FD3235"/>
    <w:rsid w:val="00FD5928"/>
    <w:rsid w:val="00FD5F87"/>
    <w:rsid w:val="00FD79BE"/>
    <w:rsid w:val="00FE41A9"/>
    <w:rsid w:val="00FF0F80"/>
    <w:rsid w:val="00FF1DC4"/>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3F0FEA26-9288-4DA2-9357-CD49AFE8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Titre1">
    <w:name w:val="heading 1"/>
    <w:basedOn w:val="Normal"/>
    <w:next w:val="Normal"/>
    <w:link w:val="Titre1Car"/>
    <w:qFormat/>
    <w:rsid w:val="004C75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C72DF1"/>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
    <w:name w:val="1. GA Para"/>
    <w:qFormat/>
    <w:rsid w:val="00E22B99"/>
    <w:pPr>
      <w:numPr>
        <w:numId w:val="2"/>
      </w:numPr>
      <w:spacing w:after="120"/>
    </w:pPr>
    <w:rPr>
      <w:rFonts w:ascii="Arial" w:eastAsia="Times New Roman" w:hAnsi="Arial" w:cs="Arial"/>
      <w:snapToGrid w:val="0"/>
      <w:sz w:val="22"/>
      <w:szCs w:val="22"/>
      <w:lang w:val="en-GB" w:eastAsia="en-US"/>
    </w:rPr>
  </w:style>
  <w:style w:type="table" w:customStyle="1" w:styleId="TableGrid1">
    <w:name w:val="Table Grid1"/>
    <w:basedOn w:val="TableauNormal"/>
    <w:next w:val="Grilledutableau"/>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D816FB"/>
    <w:rPr>
      <w:color w:val="0000FF" w:themeColor="hyperlink"/>
      <w:u w:val="single"/>
    </w:rPr>
  </w:style>
  <w:style w:type="character" w:styleId="Lienhypertextesuivivisit">
    <w:name w:val="FollowedHyperlink"/>
    <w:basedOn w:val="Policepardfaut"/>
    <w:semiHidden/>
    <w:unhideWhenUsed/>
    <w:rsid w:val="00C335F1"/>
    <w:rPr>
      <w:color w:val="800080" w:themeColor="followedHyperlink"/>
      <w:u w:val="single"/>
    </w:rPr>
  </w:style>
  <w:style w:type="character" w:styleId="Mentionnonrsolue">
    <w:name w:val="Unresolved Mention"/>
    <w:basedOn w:val="Policepardfaut"/>
    <w:uiPriority w:val="99"/>
    <w:semiHidden/>
    <w:unhideWhenUsed/>
    <w:rsid w:val="00EA6BED"/>
    <w:rPr>
      <w:color w:val="605E5C"/>
      <w:shd w:val="clear" w:color="auto" w:fill="E1DFDD"/>
    </w:rPr>
  </w:style>
  <w:style w:type="paragraph" w:styleId="Paragraphedeliste">
    <w:name w:val="List Paragraph"/>
    <w:basedOn w:val="Normal"/>
    <w:uiPriority w:val="34"/>
    <w:qFormat/>
    <w:rsid w:val="007B36EA"/>
    <w:pPr>
      <w:spacing w:after="160" w:line="278" w:lineRule="auto"/>
      <w:ind w:left="720"/>
      <w:contextualSpacing/>
    </w:pPr>
    <w:rPr>
      <w:rFonts w:asciiTheme="minorHAnsi" w:eastAsiaTheme="minorEastAsia" w:hAnsiTheme="minorHAnsi" w:cstheme="minorBidi"/>
      <w:kern w:val="2"/>
      <w:sz w:val="24"/>
      <w:lang w:val="fr-FR" w:eastAsia="zh-CN"/>
      <w14:ligatures w14:val="standardContextual"/>
    </w:rPr>
  </w:style>
  <w:style w:type="character" w:customStyle="1" w:styleId="Titre1Car">
    <w:name w:val="Titre 1 Car"/>
    <w:basedOn w:val="Policepardfaut"/>
    <w:link w:val="Titre1"/>
    <w:rsid w:val="004C7581"/>
    <w:rPr>
      <w:rFonts w:asciiTheme="majorHAnsi" w:eastAsiaTheme="majorEastAsia" w:hAnsiTheme="majorHAnsi" w:cstheme="majorBidi"/>
      <w:color w:val="365F91" w:themeColor="accent1" w:themeShade="BF"/>
      <w:sz w:val="32"/>
      <w:szCs w:val="32"/>
      <w:lang w:val="en-GB"/>
    </w:rPr>
  </w:style>
  <w:style w:type="paragraph" w:styleId="Rvision">
    <w:name w:val="Revision"/>
    <w:hidden/>
    <w:semiHidden/>
    <w:rsid w:val="00F47E0D"/>
    <w:rPr>
      <w:rFonts w:ascii="Times New Roman" w:eastAsia="Times New Roman" w:hAnsi="Times New Roman"/>
      <w:sz w:val="22"/>
      <w:szCs w:val="24"/>
      <w:lang w:val="en-GB"/>
    </w:rPr>
  </w:style>
  <w:style w:type="character" w:customStyle="1" w:styleId="hps">
    <w:name w:val="hps"/>
    <w:rsid w:val="00A76F0C"/>
  </w:style>
  <w:style w:type="paragraph" w:customStyle="1" w:styleId="COMPara">
    <w:name w:val="COM Para"/>
    <w:qFormat/>
    <w:rsid w:val="00BC7986"/>
    <w:pPr>
      <w:spacing w:after="120"/>
    </w:pPr>
    <w:rPr>
      <w:rFonts w:ascii="Arial" w:eastAsia="Times New Roman" w:hAnsi="Arial" w:cs="Arial"/>
      <w:snapToGrid w:val="0"/>
      <w:sz w:val="22"/>
      <w:szCs w:val="22"/>
      <w:lang w:val="en-GB" w:eastAsia="en-US"/>
    </w:rPr>
  </w:style>
  <w:style w:type="paragraph" w:styleId="TM2">
    <w:name w:val="toc 2"/>
    <w:basedOn w:val="Normal"/>
    <w:next w:val="Normal"/>
    <w:autoRedefine/>
    <w:uiPriority w:val="39"/>
    <w:unhideWhenUsed/>
    <w:rsid w:val="00BC7986"/>
    <w:pPr>
      <w:keepNext/>
      <w:numPr>
        <w:numId w:val="6"/>
      </w:numPr>
      <w:spacing w:line="280" w:lineRule="atLeast"/>
      <w:jc w:val="both"/>
    </w:pPr>
    <w:rPr>
      <w:rFonts w:ascii="Arial" w:hAnsi="Arial" w:cs="Arial"/>
      <w:snapToGrid w:val="0"/>
      <w:szCs w:val="22"/>
      <w:lang w:eastAsia="en-US"/>
    </w:rPr>
  </w:style>
  <w:style w:type="character" w:customStyle="1" w:styleId="Titre3Car">
    <w:name w:val="Titre 3 Car"/>
    <w:basedOn w:val="Policepardfaut"/>
    <w:link w:val="Titre3"/>
    <w:semiHidden/>
    <w:rsid w:val="00C72DF1"/>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semiHidden/>
    <w:unhideWhenUsed/>
    <w:rsid w:val="00387E3B"/>
    <w:pPr>
      <w:spacing w:before="100" w:beforeAutospacing="1" w:after="100" w:afterAutospacing="1"/>
    </w:pPr>
    <w:rPr>
      <w:sz w:val="24"/>
      <w:lang w:eastAsia="en-GB"/>
    </w:rPr>
  </w:style>
  <w:style w:type="paragraph" w:styleId="Notedebasdepage">
    <w:name w:val="footnote text"/>
    <w:basedOn w:val="Normal"/>
    <w:link w:val="NotedebasdepageCar"/>
    <w:semiHidden/>
    <w:unhideWhenUsed/>
    <w:rsid w:val="00AF1C8B"/>
    <w:pPr>
      <w:spacing w:after="0"/>
    </w:pPr>
    <w:rPr>
      <w:sz w:val="20"/>
      <w:szCs w:val="20"/>
    </w:rPr>
  </w:style>
  <w:style w:type="character" w:customStyle="1" w:styleId="NotedebasdepageCar">
    <w:name w:val="Note de bas de page Car"/>
    <w:basedOn w:val="Policepardfaut"/>
    <w:link w:val="Notedebasdepage"/>
    <w:semiHidden/>
    <w:rsid w:val="00AF1C8B"/>
    <w:rPr>
      <w:rFonts w:ascii="Times New Roman" w:eastAsia="Times New Roman" w:hAnsi="Times New Roman"/>
      <w:lang w:val="en-GB"/>
    </w:rPr>
  </w:style>
  <w:style w:type="character" w:styleId="Appelnotedebasdep">
    <w:name w:val="footnote reference"/>
    <w:basedOn w:val="Policepardfaut"/>
    <w:semiHidden/>
    <w:unhideWhenUsed/>
    <w:rsid w:val="00AF1C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6408">
      <w:bodyDiv w:val="1"/>
      <w:marLeft w:val="0"/>
      <w:marRight w:val="0"/>
      <w:marTop w:val="0"/>
      <w:marBottom w:val="0"/>
      <w:divBdr>
        <w:top w:val="none" w:sz="0" w:space="0" w:color="auto"/>
        <w:left w:val="none" w:sz="0" w:space="0" w:color="auto"/>
        <w:bottom w:val="none" w:sz="0" w:space="0" w:color="auto"/>
        <w:right w:val="none" w:sz="0" w:space="0" w:color="auto"/>
      </w:divBdr>
    </w:div>
    <w:div w:id="186140392">
      <w:bodyDiv w:val="1"/>
      <w:marLeft w:val="0"/>
      <w:marRight w:val="0"/>
      <w:marTop w:val="0"/>
      <w:marBottom w:val="0"/>
      <w:divBdr>
        <w:top w:val="none" w:sz="0" w:space="0" w:color="auto"/>
        <w:left w:val="none" w:sz="0" w:space="0" w:color="auto"/>
        <w:bottom w:val="none" w:sz="0" w:space="0" w:color="auto"/>
        <w:right w:val="none" w:sz="0" w:space="0" w:color="auto"/>
      </w:divBdr>
    </w:div>
    <w:div w:id="189496143">
      <w:bodyDiv w:val="1"/>
      <w:marLeft w:val="0"/>
      <w:marRight w:val="0"/>
      <w:marTop w:val="0"/>
      <w:marBottom w:val="0"/>
      <w:divBdr>
        <w:top w:val="none" w:sz="0" w:space="0" w:color="auto"/>
        <w:left w:val="none" w:sz="0" w:space="0" w:color="auto"/>
        <w:bottom w:val="none" w:sz="0" w:space="0" w:color="auto"/>
        <w:right w:val="none" w:sz="0" w:space="0" w:color="auto"/>
      </w:divBdr>
      <w:divsChild>
        <w:div w:id="67584065">
          <w:marLeft w:val="0"/>
          <w:marRight w:val="0"/>
          <w:marTop w:val="0"/>
          <w:marBottom w:val="0"/>
          <w:divBdr>
            <w:top w:val="none" w:sz="0" w:space="0" w:color="auto"/>
            <w:left w:val="none" w:sz="0" w:space="0" w:color="auto"/>
            <w:bottom w:val="none" w:sz="0" w:space="0" w:color="auto"/>
            <w:right w:val="none" w:sz="0" w:space="0" w:color="auto"/>
          </w:divBdr>
          <w:divsChild>
            <w:div w:id="125976761">
              <w:marLeft w:val="0"/>
              <w:marRight w:val="0"/>
              <w:marTop w:val="0"/>
              <w:marBottom w:val="0"/>
              <w:divBdr>
                <w:top w:val="none" w:sz="0" w:space="0" w:color="auto"/>
                <w:left w:val="none" w:sz="0" w:space="0" w:color="auto"/>
                <w:bottom w:val="none" w:sz="0" w:space="0" w:color="auto"/>
                <w:right w:val="none" w:sz="0" w:space="0" w:color="auto"/>
              </w:divBdr>
              <w:divsChild>
                <w:div w:id="1906836841">
                  <w:marLeft w:val="0"/>
                  <w:marRight w:val="0"/>
                  <w:marTop w:val="0"/>
                  <w:marBottom w:val="0"/>
                  <w:divBdr>
                    <w:top w:val="none" w:sz="0" w:space="0" w:color="auto"/>
                    <w:left w:val="none" w:sz="0" w:space="0" w:color="auto"/>
                    <w:bottom w:val="none" w:sz="0" w:space="0" w:color="auto"/>
                    <w:right w:val="none" w:sz="0" w:space="0" w:color="auto"/>
                  </w:divBdr>
                  <w:divsChild>
                    <w:div w:id="225185392">
                      <w:marLeft w:val="0"/>
                      <w:marRight w:val="0"/>
                      <w:marTop w:val="0"/>
                      <w:marBottom w:val="0"/>
                      <w:divBdr>
                        <w:top w:val="none" w:sz="0" w:space="0" w:color="auto"/>
                        <w:left w:val="none" w:sz="0" w:space="0" w:color="auto"/>
                        <w:bottom w:val="none" w:sz="0" w:space="0" w:color="auto"/>
                        <w:right w:val="none" w:sz="0" w:space="0" w:color="auto"/>
                      </w:divBdr>
                      <w:divsChild>
                        <w:div w:id="383263810">
                          <w:marLeft w:val="0"/>
                          <w:marRight w:val="0"/>
                          <w:marTop w:val="0"/>
                          <w:marBottom w:val="0"/>
                          <w:divBdr>
                            <w:top w:val="none" w:sz="0" w:space="0" w:color="auto"/>
                            <w:left w:val="none" w:sz="0" w:space="0" w:color="auto"/>
                            <w:bottom w:val="none" w:sz="0" w:space="0" w:color="auto"/>
                            <w:right w:val="none" w:sz="0" w:space="0" w:color="auto"/>
                          </w:divBdr>
                          <w:divsChild>
                            <w:div w:id="275139009">
                              <w:marLeft w:val="0"/>
                              <w:marRight w:val="0"/>
                              <w:marTop w:val="0"/>
                              <w:marBottom w:val="0"/>
                              <w:divBdr>
                                <w:top w:val="none" w:sz="0" w:space="0" w:color="auto"/>
                                <w:left w:val="none" w:sz="0" w:space="0" w:color="auto"/>
                                <w:bottom w:val="none" w:sz="0" w:space="0" w:color="auto"/>
                                <w:right w:val="none" w:sz="0" w:space="0" w:color="auto"/>
                              </w:divBdr>
                              <w:divsChild>
                                <w:div w:id="600770287">
                                  <w:marLeft w:val="0"/>
                                  <w:marRight w:val="0"/>
                                  <w:marTop w:val="0"/>
                                  <w:marBottom w:val="0"/>
                                  <w:divBdr>
                                    <w:top w:val="none" w:sz="0" w:space="0" w:color="auto"/>
                                    <w:left w:val="none" w:sz="0" w:space="0" w:color="auto"/>
                                    <w:bottom w:val="none" w:sz="0" w:space="0" w:color="auto"/>
                                    <w:right w:val="none" w:sz="0" w:space="0" w:color="auto"/>
                                  </w:divBdr>
                                  <w:divsChild>
                                    <w:div w:id="1079979155">
                                      <w:marLeft w:val="0"/>
                                      <w:marRight w:val="0"/>
                                      <w:marTop w:val="0"/>
                                      <w:marBottom w:val="0"/>
                                      <w:divBdr>
                                        <w:top w:val="none" w:sz="0" w:space="0" w:color="auto"/>
                                        <w:left w:val="none" w:sz="0" w:space="0" w:color="auto"/>
                                        <w:bottom w:val="none" w:sz="0" w:space="0" w:color="auto"/>
                                        <w:right w:val="none" w:sz="0" w:space="0" w:color="auto"/>
                                      </w:divBdr>
                                      <w:divsChild>
                                        <w:div w:id="550069303">
                                          <w:marLeft w:val="0"/>
                                          <w:marRight w:val="0"/>
                                          <w:marTop w:val="0"/>
                                          <w:marBottom w:val="0"/>
                                          <w:divBdr>
                                            <w:top w:val="none" w:sz="0" w:space="0" w:color="auto"/>
                                            <w:left w:val="none" w:sz="0" w:space="0" w:color="auto"/>
                                            <w:bottom w:val="none" w:sz="0" w:space="0" w:color="auto"/>
                                            <w:right w:val="none" w:sz="0" w:space="0" w:color="auto"/>
                                          </w:divBdr>
                                          <w:divsChild>
                                            <w:div w:id="1871643312">
                                              <w:marLeft w:val="0"/>
                                              <w:marRight w:val="0"/>
                                              <w:marTop w:val="0"/>
                                              <w:marBottom w:val="0"/>
                                              <w:divBdr>
                                                <w:top w:val="none" w:sz="0" w:space="0" w:color="auto"/>
                                                <w:left w:val="none" w:sz="0" w:space="0" w:color="auto"/>
                                                <w:bottom w:val="none" w:sz="0" w:space="0" w:color="auto"/>
                                                <w:right w:val="none" w:sz="0" w:space="0" w:color="auto"/>
                                              </w:divBdr>
                                              <w:divsChild>
                                                <w:div w:id="6881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5488205">
          <w:marLeft w:val="0"/>
          <w:marRight w:val="0"/>
          <w:marTop w:val="0"/>
          <w:marBottom w:val="0"/>
          <w:divBdr>
            <w:top w:val="none" w:sz="0" w:space="0" w:color="auto"/>
            <w:left w:val="none" w:sz="0" w:space="0" w:color="auto"/>
            <w:bottom w:val="none" w:sz="0" w:space="0" w:color="auto"/>
            <w:right w:val="none" w:sz="0" w:space="0" w:color="auto"/>
          </w:divBdr>
          <w:divsChild>
            <w:div w:id="523906766">
              <w:marLeft w:val="0"/>
              <w:marRight w:val="0"/>
              <w:marTop w:val="0"/>
              <w:marBottom w:val="0"/>
              <w:divBdr>
                <w:top w:val="none" w:sz="0" w:space="0" w:color="auto"/>
                <w:left w:val="none" w:sz="0" w:space="0" w:color="auto"/>
                <w:bottom w:val="none" w:sz="0" w:space="0" w:color="auto"/>
                <w:right w:val="none" w:sz="0" w:space="0" w:color="auto"/>
              </w:divBdr>
              <w:divsChild>
                <w:div w:id="1414668574">
                  <w:marLeft w:val="0"/>
                  <w:marRight w:val="0"/>
                  <w:marTop w:val="0"/>
                  <w:marBottom w:val="0"/>
                  <w:divBdr>
                    <w:top w:val="none" w:sz="0" w:space="0" w:color="auto"/>
                    <w:left w:val="none" w:sz="0" w:space="0" w:color="auto"/>
                    <w:bottom w:val="none" w:sz="0" w:space="0" w:color="auto"/>
                    <w:right w:val="none" w:sz="0" w:space="0" w:color="auto"/>
                  </w:divBdr>
                  <w:divsChild>
                    <w:div w:id="1291939329">
                      <w:marLeft w:val="0"/>
                      <w:marRight w:val="0"/>
                      <w:marTop w:val="0"/>
                      <w:marBottom w:val="0"/>
                      <w:divBdr>
                        <w:top w:val="none" w:sz="0" w:space="0" w:color="auto"/>
                        <w:left w:val="none" w:sz="0" w:space="0" w:color="auto"/>
                        <w:bottom w:val="none" w:sz="0" w:space="0" w:color="auto"/>
                        <w:right w:val="none" w:sz="0" w:space="0" w:color="auto"/>
                      </w:divBdr>
                      <w:divsChild>
                        <w:div w:id="1219900171">
                          <w:marLeft w:val="0"/>
                          <w:marRight w:val="0"/>
                          <w:marTop w:val="0"/>
                          <w:marBottom w:val="0"/>
                          <w:divBdr>
                            <w:top w:val="none" w:sz="0" w:space="0" w:color="auto"/>
                            <w:left w:val="none" w:sz="0" w:space="0" w:color="auto"/>
                            <w:bottom w:val="none" w:sz="0" w:space="0" w:color="auto"/>
                            <w:right w:val="none" w:sz="0" w:space="0" w:color="auto"/>
                          </w:divBdr>
                          <w:divsChild>
                            <w:div w:id="745414977">
                              <w:marLeft w:val="0"/>
                              <w:marRight w:val="0"/>
                              <w:marTop w:val="0"/>
                              <w:marBottom w:val="0"/>
                              <w:divBdr>
                                <w:top w:val="none" w:sz="0" w:space="0" w:color="auto"/>
                                <w:left w:val="none" w:sz="0" w:space="0" w:color="auto"/>
                                <w:bottom w:val="none" w:sz="0" w:space="0" w:color="auto"/>
                                <w:right w:val="none" w:sz="0" w:space="0" w:color="auto"/>
                              </w:divBdr>
                              <w:divsChild>
                                <w:div w:id="1324360130">
                                  <w:marLeft w:val="0"/>
                                  <w:marRight w:val="0"/>
                                  <w:marTop w:val="0"/>
                                  <w:marBottom w:val="0"/>
                                  <w:divBdr>
                                    <w:top w:val="none" w:sz="0" w:space="0" w:color="auto"/>
                                    <w:left w:val="none" w:sz="0" w:space="0" w:color="auto"/>
                                    <w:bottom w:val="none" w:sz="0" w:space="0" w:color="auto"/>
                                    <w:right w:val="none" w:sz="0" w:space="0" w:color="auto"/>
                                  </w:divBdr>
                                  <w:divsChild>
                                    <w:div w:id="1910384898">
                                      <w:marLeft w:val="0"/>
                                      <w:marRight w:val="0"/>
                                      <w:marTop w:val="0"/>
                                      <w:marBottom w:val="0"/>
                                      <w:divBdr>
                                        <w:top w:val="none" w:sz="0" w:space="0" w:color="auto"/>
                                        <w:left w:val="none" w:sz="0" w:space="0" w:color="auto"/>
                                        <w:bottom w:val="none" w:sz="0" w:space="0" w:color="auto"/>
                                        <w:right w:val="none" w:sz="0" w:space="0" w:color="auto"/>
                                      </w:divBdr>
                                      <w:divsChild>
                                        <w:div w:id="1831557756">
                                          <w:marLeft w:val="0"/>
                                          <w:marRight w:val="0"/>
                                          <w:marTop w:val="0"/>
                                          <w:marBottom w:val="0"/>
                                          <w:divBdr>
                                            <w:top w:val="none" w:sz="0" w:space="0" w:color="auto"/>
                                            <w:left w:val="none" w:sz="0" w:space="0" w:color="auto"/>
                                            <w:bottom w:val="none" w:sz="0" w:space="0" w:color="auto"/>
                                            <w:right w:val="none" w:sz="0" w:space="0" w:color="auto"/>
                                          </w:divBdr>
                                          <w:divsChild>
                                            <w:div w:id="1916429692">
                                              <w:marLeft w:val="0"/>
                                              <w:marRight w:val="0"/>
                                              <w:marTop w:val="0"/>
                                              <w:marBottom w:val="0"/>
                                              <w:divBdr>
                                                <w:top w:val="none" w:sz="0" w:space="0" w:color="auto"/>
                                                <w:left w:val="none" w:sz="0" w:space="0" w:color="auto"/>
                                                <w:bottom w:val="none" w:sz="0" w:space="0" w:color="auto"/>
                                                <w:right w:val="none" w:sz="0" w:space="0" w:color="auto"/>
                                              </w:divBdr>
                                              <w:divsChild>
                                                <w:div w:id="716511173">
                                                  <w:marLeft w:val="0"/>
                                                  <w:marRight w:val="0"/>
                                                  <w:marTop w:val="0"/>
                                                  <w:marBottom w:val="0"/>
                                                  <w:divBdr>
                                                    <w:top w:val="none" w:sz="0" w:space="0" w:color="auto"/>
                                                    <w:left w:val="none" w:sz="0" w:space="0" w:color="auto"/>
                                                    <w:bottom w:val="none" w:sz="0" w:space="0" w:color="auto"/>
                                                    <w:right w:val="none" w:sz="0" w:space="0" w:color="auto"/>
                                                  </w:divBdr>
                                                  <w:divsChild>
                                                    <w:div w:id="718823452">
                                                      <w:marLeft w:val="0"/>
                                                      <w:marRight w:val="0"/>
                                                      <w:marTop w:val="0"/>
                                                      <w:marBottom w:val="0"/>
                                                      <w:divBdr>
                                                        <w:top w:val="none" w:sz="0" w:space="0" w:color="auto"/>
                                                        <w:left w:val="none" w:sz="0" w:space="0" w:color="auto"/>
                                                        <w:bottom w:val="none" w:sz="0" w:space="0" w:color="auto"/>
                                                        <w:right w:val="none" w:sz="0" w:space="0" w:color="auto"/>
                                                      </w:divBdr>
                                                    </w:div>
                                                  </w:divsChild>
                                                </w:div>
                                                <w:div w:id="452141278">
                                                  <w:marLeft w:val="0"/>
                                                  <w:marRight w:val="0"/>
                                                  <w:marTop w:val="0"/>
                                                  <w:marBottom w:val="0"/>
                                                  <w:divBdr>
                                                    <w:top w:val="none" w:sz="0" w:space="0" w:color="auto"/>
                                                    <w:left w:val="none" w:sz="0" w:space="0" w:color="auto"/>
                                                    <w:bottom w:val="none" w:sz="0" w:space="0" w:color="auto"/>
                                                    <w:right w:val="none" w:sz="0" w:space="0" w:color="auto"/>
                                                  </w:divBdr>
                                                  <w:divsChild>
                                                    <w:div w:id="1713994328">
                                                      <w:marLeft w:val="0"/>
                                                      <w:marRight w:val="0"/>
                                                      <w:marTop w:val="0"/>
                                                      <w:marBottom w:val="0"/>
                                                      <w:divBdr>
                                                        <w:top w:val="none" w:sz="0" w:space="0" w:color="auto"/>
                                                        <w:left w:val="none" w:sz="0" w:space="0" w:color="auto"/>
                                                        <w:bottom w:val="none" w:sz="0" w:space="0" w:color="auto"/>
                                                        <w:right w:val="none" w:sz="0" w:space="0" w:color="auto"/>
                                                      </w:divBdr>
                                                    </w:div>
                                                    <w:div w:id="9744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220146">
      <w:bodyDiv w:val="1"/>
      <w:marLeft w:val="0"/>
      <w:marRight w:val="0"/>
      <w:marTop w:val="0"/>
      <w:marBottom w:val="0"/>
      <w:divBdr>
        <w:top w:val="none" w:sz="0" w:space="0" w:color="auto"/>
        <w:left w:val="none" w:sz="0" w:space="0" w:color="auto"/>
        <w:bottom w:val="none" w:sz="0" w:space="0" w:color="auto"/>
        <w:right w:val="none" w:sz="0" w:space="0" w:color="auto"/>
      </w:divBdr>
    </w:div>
    <w:div w:id="326716372">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491601444">
      <w:bodyDiv w:val="1"/>
      <w:marLeft w:val="0"/>
      <w:marRight w:val="0"/>
      <w:marTop w:val="0"/>
      <w:marBottom w:val="0"/>
      <w:divBdr>
        <w:top w:val="none" w:sz="0" w:space="0" w:color="auto"/>
        <w:left w:val="none" w:sz="0" w:space="0" w:color="auto"/>
        <w:bottom w:val="none" w:sz="0" w:space="0" w:color="auto"/>
        <w:right w:val="none" w:sz="0" w:space="0" w:color="auto"/>
      </w:divBdr>
    </w:div>
    <w:div w:id="692463475">
      <w:bodyDiv w:val="1"/>
      <w:marLeft w:val="0"/>
      <w:marRight w:val="0"/>
      <w:marTop w:val="0"/>
      <w:marBottom w:val="0"/>
      <w:divBdr>
        <w:top w:val="none" w:sz="0" w:space="0" w:color="auto"/>
        <w:left w:val="none" w:sz="0" w:space="0" w:color="auto"/>
        <w:bottom w:val="none" w:sz="0" w:space="0" w:color="auto"/>
        <w:right w:val="none" w:sz="0" w:space="0" w:color="auto"/>
      </w:divBdr>
    </w:div>
    <w:div w:id="749043429">
      <w:bodyDiv w:val="1"/>
      <w:marLeft w:val="0"/>
      <w:marRight w:val="0"/>
      <w:marTop w:val="0"/>
      <w:marBottom w:val="0"/>
      <w:divBdr>
        <w:top w:val="none" w:sz="0" w:space="0" w:color="auto"/>
        <w:left w:val="none" w:sz="0" w:space="0" w:color="auto"/>
        <w:bottom w:val="none" w:sz="0" w:space="0" w:color="auto"/>
        <w:right w:val="none" w:sz="0" w:space="0" w:color="auto"/>
      </w:divBdr>
    </w:div>
    <w:div w:id="1287658092">
      <w:bodyDiv w:val="1"/>
      <w:marLeft w:val="0"/>
      <w:marRight w:val="0"/>
      <w:marTop w:val="0"/>
      <w:marBottom w:val="0"/>
      <w:divBdr>
        <w:top w:val="none" w:sz="0" w:space="0" w:color="auto"/>
        <w:left w:val="none" w:sz="0" w:space="0" w:color="auto"/>
        <w:bottom w:val="none" w:sz="0" w:space="0" w:color="auto"/>
        <w:right w:val="none" w:sz="0" w:space="0" w:color="auto"/>
      </w:divBdr>
      <w:divsChild>
        <w:div w:id="1625112199">
          <w:marLeft w:val="0"/>
          <w:marRight w:val="0"/>
          <w:marTop w:val="0"/>
          <w:marBottom w:val="0"/>
          <w:divBdr>
            <w:top w:val="none" w:sz="0" w:space="0" w:color="auto"/>
            <w:left w:val="none" w:sz="0" w:space="0" w:color="auto"/>
            <w:bottom w:val="none" w:sz="0" w:space="0" w:color="auto"/>
            <w:right w:val="none" w:sz="0" w:space="0" w:color="auto"/>
          </w:divBdr>
          <w:divsChild>
            <w:div w:id="1920947472">
              <w:marLeft w:val="0"/>
              <w:marRight w:val="0"/>
              <w:marTop w:val="0"/>
              <w:marBottom w:val="0"/>
              <w:divBdr>
                <w:top w:val="none" w:sz="0" w:space="0" w:color="auto"/>
                <w:left w:val="none" w:sz="0" w:space="0" w:color="auto"/>
                <w:bottom w:val="none" w:sz="0" w:space="0" w:color="auto"/>
                <w:right w:val="none" w:sz="0" w:space="0" w:color="auto"/>
              </w:divBdr>
              <w:divsChild>
                <w:div w:id="1825972416">
                  <w:marLeft w:val="0"/>
                  <w:marRight w:val="0"/>
                  <w:marTop w:val="0"/>
                  <w:marBottom w:val="0"/>
                  <w:divBdr>
                    <w:top w:val="none" w:sz="0" w:space="0" w:color="auto"/>
                    <w:left w:val="none" w:sz="0" w:space="0" w:color="auto"/>
                    <w:bottom w:val="none" w:sz="0" w:space="0" w:color="auto"/>
                    <w:right w:val="none" w:sz="0" w:space="0" w:color="auto"/>
                  </w:divBdr>
                  <w:divsChild>
                    <w:div w:id="1770009223">
                      <w:marLeft w:val="0"/>
                      <w:marRight w:val="0"/>
                      <w:marTop w:val="0"/>
                      <w:marBottom w:val="0"/>
                      <w:divBdr>
                        <w:top w:val="none" w:sz="0" w:space="0" w:color="auto"/>
                        <w:left w:val="none" w:sz="0" w:space="0" w:color="auto"/>
                        <w:bottom w:val="none" w:sz="0" w:space="0" w:color="auto"/>
                        <w:right w:val="none" w:sz="0" w:space="0" w:color="auto"/>
                      </w:divBdr>
                      <w:divsChild>
                        <w:div w:id="238636367">
                          <w:marLeft w:val="0"/>
                          <w:marRight w:val="0"/>
                          <w:marTop w:val="0"/>
                          <w:marBottom w:val="0"/>
                          <w:divBdr>
                            <w:top w:val="none" w:sz="0" w:space="0" w:color="auto"/>
                            <w:left w:val="none" w:sz="0" w:space="0" w:color="auto"/>
                            <w:bottom w:val="none" w:sz="0" w:space="0" w:color="auto"/>
                            <w:right w:val="none" w:sz="0" w:space="0" w:color="auto"/>
                          </w:divBdr>
                          <w:divsChild>
                            <w:div w:id="1441342600">
                              <w:marLeft w:val="0"/>
                              <w:marRight w:val="0"/>
                              <w:marTop w:val="0"/>
                              <w:marBottom w:val="0"/>
                              <w:divBdr>
                                <w:top w:val="none" w:sz="0" w:space="0" w:color="auto"/>
                                <w:left w:val="none" w:sz="0" w:space="0" w:color="auto"/>
                                <w:bottom w:val="none" w:sz="0" w:space="0" w:color="auto"/>
                                <w:right w:val="none" w:sz="0" w:space="0" w:color="auto"/>
                              </w:divBdr>
                              <w:divsChild>
                                <w:div w:id="1508640587">
                                  <w:marLeft w:val="0"/>
                                  <w:marRight w:val="0"/>
                                  <w:marTop w:val="0"/>
                                  <w:marBottom w:val="0"/>
                                  <w:divBdr>
                                    <w:top w:val="none" w:sz="0" w:space="0" w:color="auto"/>
                                    <w:left w:val="none" w:sz="0" w:space="0" w:color="auto"/>
                                    <w:bottom w:val="none" w:sz="0" w:space="0" w:color="auto"/>
                                    <w:right w:val="none" w:sz="0" w:space="0" w:color="auto"/>
                                  </w:divBdr>
                                  <w:divsChild>
                                    <w:div w:id="235821291">
                                      <w:marLeft w:val="0"/>
                                      <w:marRight w:val="0"/>
                                      <w:marTop w:val="0"/>
                                      <w:marBottom w:val="0"/>
                                      <w:divBdr>
                                        <w:top w:val="none" w:sz="0" w:space="0" w:color="auto"/>
                                        <w:left w:val="none" w:sz="0" w:space="0" w:color="auto"/>
                                        <w:bottom w:val="none" w:sz="0" w:space="0" w:color="auto"/>
                                        <w:right w:val="none" w:sz="0" w:space="0" w:color="auto"/>
                                      </w:divBdr>
                                      <w:divsChild>
                                        <w:div w:id="1562322850">
                                          <w:marLeft w:val="0"/>
                                          <w:marRight w:val="0"/>
                                          <w:marTop w:val="0"/>
                                          <w:marBottom w:val="0"/>
                                          <w:divBdr>
                                            <w:top w:val="none" w:sz="0" w:space="0" w:color="auto"/>
                                            <w:left w:val="none" w:sz="0" w:space="0" w:color="auto"/>
                                            <w:bottom w:val="none" w:sz="0" w:space="0" w:color="auto"/>
                                            <w:right w:val="none" w:sz="0" w:space="0" w:color="auto"/>
                                          </w:divBdr>
                                          <w:divsChild>
                                            <w:div w:id="559905222">
                                              <w:marLeft w:val="0"/>
                                              <w:marRight w:val="0"/>
                                              <w:marTop w:val="0"/>
                                              <w:marBottom w:val="0"/>
                                              <w:divBdr>
                                                <w:top w:val="none" w:sz="0" w:space="0" w:color="auto"/>
                                                <w:left w:val="none" w:sz="0" w:space="0" w:color="auto"/>
                                                <w:bottom w:val="none" w:sz="0" w:space="0" w:color="auto"/>
                                                <w:right w:val="none" w:sz="0" w:space="0" w:color="auto"/>
                                              </w:divBdr>
                                              <w:divsChild>
                                                <w:div w:id="41452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793855">
          <w:marLeft w:val="0"/>
          <w:marRight w:val="0"/>
          <w:marTop w:val="0"/>
          <w:marBottom w:val="0"/>
          <w:divBdr>
            <w:top w:val="none" w:sz="0" w:space="0" w:color="auto"/>
            <w:left w:val="none" w:sz="0" w:space="0" w:color="auto"/>
            <w:bottom w:val="none" w:sz="0" w:space="0" w:color="auto"/>
            <w:right w:val="none" w:sz="0" w:space="0" w:color="auto"/>
          </w:divBdr>
          <w:divsChild>
            <w:div w:id="2086490479">
              <w:marLeft w:val="0"/>
              <w:marRight w:val="0"/>
              <w:marTop w:val="0"/>
              <w:marBottom w:val="0"/>
              <w:divBdr>
                <w:top w:val="none" w:sz="0" w:space="0" w:color="auto"/>
                <w:left w:val="none" w:sz="0" w:space="0" w:color="auto"/>
                <w:bottom w:val="none" w:sz="0" w:space="0" w:color="auto"/>
                <w:right w:val="none" w:sz="0" w:space="0" w:color="auto"/>
              </w:divBdr>
              <w:divsChild>
                <w:div w:id="1938439362">
                  <w:marLeft w:val="0"/>
                  <w:marRight w:val="0"/>
                  <w:marTop w:val="0"/>
                  <w:marBottom w:val="0"/>
                  <w:divBdr>
                    <w:top w:val="none" w:sz="0" w:space="0" w:color="auto"/>
                    <w:left w:val="none" w:sz="0" w:space="0" w:color="auto"/>
                    <w:bottom w:val="none" w:sz="0" w:space="0" w:color="auto"/>
                    <w:right w:val="none" w:sz="0" w:space="0" w:color="auto"/>
                  </w:divBdr>
                  <w:divsChild>
                    <w:div w:id="1245603026">
                      <w:marLeft w:val="0"/>
                      <w:marRight w:val="0"/>
                      <w:marTop w:val="0"/>
                      <w:marBottom w:val="0"/>
                      <w:divBdr>
                        <w:top w:val="none" w:sz="0" w:space="0" w:color="auto"/>
                        <w:left w:val="none" w:sz="0" w:space="0" w:color="auto"/>
                        <w:bottom w:val="none" w:sz="0" w:space="0" w:color="auto"/>
                        <w:right w:val="none" w:sz="0" w:space="0" w:color="auto"/>
                      </w:divBdr>
                      <w:divsChild>
                        <w:div w:id="2057578651">
                          <w:marLeft w:val="0"/>
                          <w:marRight w:val="0"/>
                          <w:marTop w:val="0"/>
                          <w:marBottom w:val="0"/>
                          <w:divBdr>
                            <w:top w:val="none" w:sz="0" w:space="0" w:color="auto"/>
                            <w:left w:val="none" w:sz="0" w:space="0" w:color="auto"/>
                            <w:bottom w:val="none" w:sz="0" w:space="0" w:color="auto"/>
                            <w:right w:val="none" w:sz="0" w:space="0" w:color="auto"/>
                          </w:divBdr>
                          <w:divsChild>
                            <w:div w:id="1871453689">
                              <w:marLeft w:val="0"/>
                              <w:marRight w:val="0"/>
                              <w:marTop w:val="0"/>
                              <w:marBottom w:val="0"/>
                              <w:divBdr>
                                <w:top w:val="none" w:sz="0" w:space="0" w:color="auto"/>
                                <w:left w:val="none" w:sz="0" w:space="0" w:color="auto"/>
                                <w:bottom w:val="none" w:sz="0" w:space="0" w:color="auto"/>
                                <w:right w:val="none" w:sz="0" w:space="0" w:color="auto"/>
                              </w:divBdr>
                              <w:divsChild>
                                <w:div w:id="474296503">
                                  <w:marLeft w:val="0"/>
                                  <w:marRight w:val="0"/>
                                  <w:marTop w:val="0"/>
                                  <w:marBottom w:val="0"/>
                                  <w:divBdr>
                                    <w:top w:val="none" w:sz="0" w:space="0" w:color="auto"/>
                                    <w:left w:val="none" w:sz="0" w:space="0" w:color="auto"/>
                                    <w:bottom w:val="none" w:sz="0" w:space="0" w:color="auto"/>
                                    <w:right w:val="none" w:sz="0" w:space="0" w:color="auto"/>
                                  </w:divBdr>
                                  <w:divsChild>
                                    <w:div w:id="1666934752">
                                      <w:marLeft w:val="0"/>
                                      <w:marRight w:val="0"/>
                                      <w:marTop w:val="0"/>
                                      <w:marBottom w:val="0"/>
                                      <w:divBdr>
                                        <w:top w:val="none" w:sz="0" w:space="0" w:color="auto"/>
                                        <w:left w:val="none" w:sz="0" w:space="0" w:color="auto"/>
                                        <w:bottom w:val="none" w:sz="0" w:space="0" w:color="auto"/>
                                        <w:right w:val="none" w:sz="0" w:space="0" w:color="auto"/>
                                      </w:divBdr>
                                      <w:divsChild>
                                        <w:div w:id="1762991275">
                                          <w:marLeft w:val="0"/>
                                          <w:marRight w:val="0"/>
                                          <w:marTop w:val="0"/>
                                          <w:marBottom w:val="0"/>
                                          <w:divBdr>
                                            <w:top w:val="none" w:sz="0" w:space="0" w:color="auto"/>
                                            <w:left w:val="none" w:sz="0" w:space="0" w:color="auto"/>
                                            <w:bottom w:val="none" w:sz="0" w:space="0" w:color="auto"/>
                                            <w:right w:val="none" w:sz="0" w:space="0" w:color="auto"/>
                                          </w:divBdr>
                                          <w:divsChild>
                                            <w:div w:id="2029938608">
                                              <w:marLeft w:val="0"/>
                                              <w:marRight w:val="0"/>
                                              <w:marTop w:val="0"/>
                                              <w:marBottom w:val="0"/>
                                              <w:divBdr>
                                                <w:top w:val="none" w:sz="0" w:space="0" w:color="auto"/>
                                                <w:left w:val="none" w:sz="0" w:space="0" w:color="auto"/>
                                                <w:bottom w:val="none" w:sz="0" w:space="0" w:color="auto"/>
                                                <w:right w:val="none" w:sz="0" w:space="0" w:color="auto"/>
                                              </w:divBdr>
                                              <w:divsChild>
                                                <w:div w:id="1851791964">
                                                  <w:marLeft w:val="0"/>
                                                  <w:marRight w:val="0"/>
                                                  <w:marTop w:val="0"/>
                                                  <w:marBottom w:val="0"/>
                                                  <w:divBdr>
                                                    <w:top w:val="none" w:sz="0" w:space="0" w:color="auto"/>
                                                    <w:left w:val="none" w:sz="0" w:space="0" w:color="auto"/>
                                                    <w:bottom w:val="none" w:sz="0" w:space="0" w:color="auto"/>
                                                    <w:right w:val="none" w:sz="0" w:space="0" w:color="auto"/>
                                                  </w:divBdr>
                                                  <w:divsChild>
                                                    <w:div w:id="1734499611">
                                                      <w:marLeft w:val="0"/>
                                                      <w:marRight w:val="0"/>
                                                      <w:marTop w:val="0"/>
                                                      <w:marBottom w:val="0"/>
                                                      <w:divBdr>
                                                        <w:top w:val="none" w:sz="0" w:space="0" w:color="auto"/>
                                                        <w:left w:val="none" w:sz="0" w:space="0" w:color="auto"/>
                                                        <w:bottom w:val="none" w:sz="0" w:space="0" w:color="auto"/>
                                                        <w:right w:val="none" w:sz="0" w:space="0" w:color="auto"/>
                                                      </w:divBdr>
                                                    </w:div>
                                                  </w:divsChild>
                                                </w:div>
                                                <w:div w:id="955480272">
                                                  <w:marLeft w:val="0"/>
                                                  <w:marRight w:val="0"/>
                                                  <w:marTop w:val="0"/>
                                                  <w:marBottom w:val="0"/>
                                                  <w:divBdr>
                                                    <w:top w:val="none" w:sz="0" w:space="0" w:color="auto"/>
                                                    <w:left w:val="none" w:sz="0" w:space="0" w:color="auto"/>
                                                    <w:bottom w:val="none" w:sz="0" w:space="0" w:color="auto"/>
                                                    <w:right w:val="none" w:sz="0" w:space="0" w:color="auto"/>
                                                  </w:divBdr>
                                                  <w:divsChild>
                                                    <w:div w:id="1297495030">
                                                      <w:marLeft w:val="0"/>
                                                      <w:marRight w:val="0"/>
                                                      <w:marTop w:val="0"/>
                                                      <w:marBottom w:val="0"/>
                                                      <w:divBdr>
                                                        <w:top w:val="none" w:sz="0" w:space="0" w:color="auto"/>
                                                        <w:left w:val="none" w:sz="0" w:space="0" w:color="auto"/>
                                                        <w:bottom w:val="none" w:sz="0" w:space="0" w:color="auto"/>
                                                        <w:right w:val="none" w:sz="0" w:space="0" w:color="auto"/>
                                                      </w:divBdr>
                                                    </w:div>
                                                    <w:div w:id="18071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826696">
      <w:bodyDiv w:val="1"/>
      <w:marLeft w:val="0"/>
      <w:marRight w:val="0"/>
      <w:marTop w:val="0"/>
      <w:marBottom w:val="0"/>
      <w:divBdr>
        <w:top w:val="none" w:sz="0" w:space="0" w:color="auto"/>
        <w:left w:val="none" w:sz="0" w:space="0" w:color="auto"/>
        <w:bottom w:val="none" w:sz="0" w:space="0" w:color="auto"/>
        <w:right w:val="none" w:sz="0" w:space="0" w:color="auto"/>
      </w:divBdr>
    </w:div>
    <w:div w:id="1633091789">
      <w:bodyDiv w:val="1"/>
      <w:marLeft w:val="0"/>
      <w:marRight w:val="0"/>
      <w:marTop w:val="0"/>
      <w:marBottom w:val="0"/>
      <w:divBdr>
        <w:top w:val="none" w:sz="0" w:space="0" w:color="auto"/>
        <w:left w:val="none" w:sz="0" w:space="0" w:color="auto"/>
        <w:bottom w:val="none" w:sz="0" w:space="0" w:color="auto"/>
        <w:right w:val="none" w:sz="0" w:space="0" w:color="auto"/>
      </w:divBdr>
    </w:div>
    <w:div w:id="1647783216">
      <w:bodyDiv w:val="1"/>
      <w:marLeft w:val="0"/>
      <w:marRight w:val="0"/>
      <w:marTop w:val="0"/>
      <w:marBottom w:val="0"/>
      <w:divBdr>
        <w:top w:val="none" w:sz="0" w:space="0" w:color="auto"/>
        <w:left w:val="none" w:sz="0" w:space="0" w:color="auto"/>
        <w:bottom w:val="none" w:sz="0" w:space="0" w:color="auto"/>
        <w:right w:val="none" w:sz="0" w:space="0" w:color="auto"/>
      </w:divBdr>
    </w:div>
    <w:div w:id="1792091237">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education" TargetMode="External"/><Relationship Id="rId13" Type="http://schemas.openxmlformats.org/officeDocument/2006/relationships/hyperlink" Target="https://ich.unesco.org/en/projects/integrating-living-heritage-into-primary-education-in-caribbean-small-island-developing-states-sids-00504" TargetMode="External"/><Relationship Id="rId18" Type="http://schemas.openxmlformats.org/officeDocument/2006/relationships/hyperlink" Target="https://ich.unesco.org/en/events/living-heritage-and-education-training-programme-for-the-global-facilitators-network-0103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unesdoc.unesco.org/ark:/48223/pf0000395504?posInSet=1&amp;queryId=272a7b59-1cb0-4e46-9c30-3fc290cf818b" TargetMode="External"/><Relationship Id="rId7" Type="http://schemas.openxmlformats.org/officeDocument/2006/relationships/endnotes" Target="endnotes.xml"/><Relationship Id="rId12" Type="http://schemas.openxmlformats.org/officeDocument/2006/relationships/hyperlink" Target="https://ich.unesco.org/doc/src/LHE-25-20.COM-13_EN.docx" TargetMode="External"/><Relationship Id="rId17" Type="http://schemas.openxmlformats.org/officeDocument/2006/relationships/hyperlink" Target="https://www.unesco.org/en/articles/unesco-member-states-adopt-global-framework-strengthen-culture-and-arts-educati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nesco.org/en/global-citizenship-peace-education/recommendation" TargetMode="External"/><Relationship Id="rId20" Type="http://schemas.openxmlformats.org/officeDocument/2006/relationships/hyperlink" Target="https://ich.unesco.org/en/events/reflection-meeting-on-safeguarding-living-heritage-in-formal-and-non-formal-education-0103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1-16.COM-12-EN.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ch.unesco.org/en/projects/learning-with-intangible-cultural-heritage-for-a-sustainable-future-in-latin-america-and-the-caribbean-0047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ch.unesco.org/en/decisions/16.COM/12" TargetMode="External"/><Relationship Id="rId19" Type="http://schemas.openxmlformats.org/officeDocument/2006/relationships/hyperlink" Target="https://ich.unesco.org/en/clearinghouse-education?sdds" TargetMode="External"/><Relationship Id="rId4" Type="http://schemas.openxmlformats.org/officeDocument/2006/relationships/settings" Target="settings.xml"/><Relationship Id="rId9" Type="http://schemas.openxmlformats.org/officeDocument/2006/relationships/hyperlink" Target="https://ich.unesco.org/en/Decisions/12.COM/6" TargetMode="External"/><Relationship Id="rId14" Type="http://schemas.openxmlformats.org/officeDocument/2006/relationships/hyperlink" Target="https://ich.unesco.org/en/projects/living-heritage-and-the-sustainable-development-goals-safeguarding-intangible-cultural-heritage-through-formal-and-non-formal-education-in-the-asia-and-the-pacific-region-and-in-africa-00476?projectID=00476"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resources-for-teachers-01180" TargetMode="External"/><Relationship Id="rId2" Type="http://schemas.openxmlformats.org/officeDocument/2006/relationships/hyperlink" Target="https://ich.unesco.org/en/projects/supporting-the-resilience-of-ukrainian-school-children-through-enhancing-awareness-of-their-living-heritage-00485" TargetMode="External"/><Relationship Id="rId1" Type="http://schemas.openxmlformats.org/officeDocument/2006/relationships/hyperlink" Target="https://ich.unesco.org/en/projects/safeguarding-intangible-cultural-heritage-in-basic-education-in-namibia-and-zimbabwe-00482" TargetMode="External"/><Relationship Id="rId5" Type="http://schemas.openxmlformats.org/officeDocument/2006/relationships/hyperlink" Target="https://www.unesco.org/en/culture-education/alwaleedphilantropies" TargetMode="External"/><Relationship Id="rId4" Type="http://schemas.openxmlformats.org/officeDocument/2006/relationships/hyperlink" Target="https://ich.unesco.org/en/projects/capacity-building-for-safeguarding-intangible-cultural-heritage-in-emergencies-in-small-island-developing-states-sids-in-the-pacific-and-the-caribbean-0047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document_EN.dotx</Template>
  <TotalTime>4</TotalTime>
  <Pages>5</Pages>
  <Words>2403</Words>
  <Characters>13219</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Ohinata, Fumiko</cp:lastModifiedBy>
  <cp:revision>5</cp:revision>
  <cp:lastPrinted>2025-11-13T11:08:00Z</cp:lastPrinted>
  <dcterms:created xsi:type="dcterms:W3CDTF">2025-11-25T16:35:00Z</dcterms:created>
  <dcterms:modified xsi:type="dcterms:W3CDTF">2025-11-28T11:10:00Z</dcterms:modified>
</cp:coreProperties>
</file>