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6830B" w14:textId="46A7090D" w:rsidR="002938F2" w:rsidRPr="008D7B22" w:rsidRDefault="002938F2" w:rsidP="00AE1B18">
      <w:pPr>
        <w:spacing w:before="1440"/>
        <w:jc w:val="center"/>
        <w:rPr>
          <w:rFonts w:ascii="Arial" w:hAnsi="Arial" w:cs="Arial"/>
          <w:b/>
          <w:szCs w:val="22"/>
        </w:rPr>
      </w:pPr>
      <w:r>
        <w:rPr>
          <w:rFonts w:ascii="Arial" w:hAnsi="Arial"/>
          <w:b/>
        </w:rPr>
        <w:t>CONVENTION POUR LA SAUVEGARDE DU</w:t>
      </w:r>
      <w:r>
        <w:rPr>
          <w:rFonts w:ascii="Arial" w:hAnsi="Arial"/>
          <w:b/>
        </w:rPr>
        <w:br/>
        <w:t>PATRIMOINE CULTUREL IMMATÉRIEL</w:t>
      </w:r>
    </w:p>
    <w:p w14:paraId="1D2DE622" w14:textId="561C61E4" w:rsidR="007E4E37" w:rsidRPr="008D7B22" w:rsidRDefault="007E4E37" w:rsidP="007E4E37">
      <w:pPr>
        <w:spacing w:before="1200"/>
        <w:jc w:val="center"/>
        <w:rPr>
          <w:rFonts w:ascii="Arial" w:hAnsi="Arial" w:cs="Arial"/>
          <w:b/>
          <w:szCs w:val="22"/>
        </w:rPr>
      </w:pPr>
      <w:r>
        <w:rPr>
          <w:rFonts w:ascii="Arial" w:hAnsi="Arial"/>
          <w:b/>
        </w:rPr>
        <w:t>COMITÉ INTERGOUVERNEMENTAL DE SAUVEGARDE</w:t>
      </w:r>
      <w:r w:rsidR="0008386A">
        <w:rPr>
          <w:rFonts w:ascii="Arial" w:hAnsi="Arial"/>
          <w:b/>
        </w:rPr>
        <w:br/>
      </w:r>
      <w:r>
        <w:rPr>
          <w:rFonts w:ascii="Arial" w:hAnsi="Arial"/>
          <w:b/>
        </w:rPr>
        <w:t>DU PATRIMOINE CULTUREL IMMATÉRIEL</w:t>
      </w:r>
    </w:p>
    <w:p w14:paraId="1DA5CC95" w14:textId="2C8488D8" w:rsidR="00FE41A9" w:rsidRPr="008D7B22" w:rsidRDefault="006E053C" w:rsidP="00FE41A9">
      <w:pPr>
        <w:spacing w:before="840" w:after="0"/>
        <w:jc w:val="center"/>
        <w:rPr>
          <w:rFonts w:ascii="Arial" w:hAnsi="Arial" w:cs="Arial"/>
          <w:b/>
          <w:szCs w:val="22"/>
        </w:rPr>
      </w:pPr>
      <w:r>
        <w:rPr>
          <w:rFonts w:ascii="Arial" w:hAnsi="Arial"/>
          <w:b/>
        </w:rPr>
        <w:t>Vingtième session</w:t>
      </w:r>
    </w:p>
    <w:p w14:paraId="7CA63FC6" w14:textId="01CB91C7" w:rsidR="00FE41A9" w:rsidRPr="008D7B22" w:rsidRDefault="006E053C" w:rsidP="00FE41A9">
      <w:pPr>
        <w:spacing w:after="0"/>
        <w:jc w:val="center"/>
        <w:rPr>
          <w:rFonts w:ascii="Arial" w:hAnsi="Arial" w:cs="Arial"/>
          <w:b/>
          <w:szCs w:val="22"/>
        </w:rPr>
      </w:pPr>
      <w:r>
        <w:rPr>
          <w:rFonts w:ascii="Arial" w:hAnsi="Arial"/>
          <w:b/>
        </w:rPr>
        <w:t>New Delhi, République de l’Inde</w:t>
      </w:r>
    </w:p>
    <w:p w14:paraId="10E9925B" w14:textId="64203A66" w:rsidR="00FE41A9" w:rsidRPr="008D7B22" w:rsidRDefault="006E053C" w:rsidP="00FE41A9">
      <w:pPr>
        <w:spacing w:after="0"/>
        <w:jc w:val="center"/>
        <w:rPr>
          <w:rFonts w:ascii="Arial" w:hAnsi="Arial" w:cs="Arial"/>
          <w:b/>
          <w:szCs w:val="22"/>
        </w:rPr>
      </w:pPr>
      <w:r>
        <w:rPr>
          <w:rFonts w:ascii="Arial" w:hAnsi="Arial"/>
          <w:b/>
        </w:rPr>
        <w:t>8 – 13 décembre 2025</w:t>
      </w:r>
    </w:p>
    <w:p w14:paraId="31D62215" w14:textId="77777777" w:rsidR="00416402" w:rsidRPr="008D7B22" w:rsidRDefault="00D816FB" w:rsidP="00570814">
      <w:pPr>
        <w:spacing w:before="1200" w:after="0"/>
        <w:jc w:val="center"/>
        <w:rPr>
          <w:rFonts w:ascii="Arial" w:eastAsiaTheme="minorEastAsia" w:hAnsi="Arial" w:cs="Arial"/>
          <w:b/>
          <w:szCs w:val="22"/>
          <w:u w:val="single"/>
        </w:rPr>
      </w:pPr>
      <w:r>
        <w:rPr>
          <w:rFonts w:ascii="Arial" w:hAnsi="Arial"/>
          <w:b/>
          <w:u w:val="single"/>
        </w:rPr>
        <w:t xml:space="preserve">Rapport sur la priorité de financement 1 : </w:t>
      </w:r>
    </w:p>
    <w:p w14:paraId="7F8237B5" w14:textId="3EF162C9" w:rsidR="00851458" w:rsidRPr="008D7B22" w:rsidRDefault="0096014D" w:rsidP="001E0DC0">
      <w:pPr>
        <w:spacing w:after="0"/>
        <w:jc w:val="center"/>
        <w:rPr>
          <w:rFonts w:ascii="Arial" w:eastAsiaTheme="minorEastAsia" w:hAnsi="Arial" w:cs="Arial"/>
          <w:b/>
          <w:szCs w:val="22"/>
          <w:u w:val="single"/>
        </w:rPr>
      </w:pPr>
      <w:r>
        <w:rPr>
          <w:rFonts w:ascii="Arial" w:hAnsi="Arial"/>
          <w:b/>
          <w:u w:val="single"/>
        </w:rPr>
        <w:t xml:space="preserve">Le </w:t>
      </w:r>
      <w:r w:rsidR="009C7D48">
        <w:rPr>
          <w:rFonts w:ascii="Arial" w:hAnsi="Arial"/>
          <w:b/>
          <w:u w:val="single"/>
        </w:rPr>
        <w:t xml:space="preserve">renforcement des capacités de sauvegarde du patrimoine culturel immatériel par </w:t>
      </w:r>
      <w:r>
        <w:rPr>
          <w:rFonts w:ascii="Arial" w:hAnsi="Arial"/>
          <w:b/>
          <w:u w:val="single"/>
        </w:rPr>
        <w:t>d</w:t>
      </w:r>
      <w:r w:rsidR="009C7D48">
        <w:rPr>
          <w:rFonts w:ascii="Arial" w:hAnsi="Arial"/>
          <w:b/>
          <w:u w:val="single"/>
        </w:rPr>
        <w:t>es approches multimodales et de contribution au développement durable (2022</w:t>
      </w:r>
      <w:r w:rsidR="009E1B19">
        <w:rPr>
          <w:rFonts w:ascii="Arial" w:hAnsi="Arial"/>
          <w:b/>
          <w:u w:val="single"/>
        </w:rPr>
        <w:t>-</w:t>
      </w:r>
      <w:r w:rsidR="009C7D48">
        <w:rPr>
          <w:rFonts w:ascii="Arial" w:hAnsi="Arial"/>
          <w:b/>
          <w:u w:val="single"/>
        </w:rPr>
        <w:t>2025)</w:t>
      </w:r>
    </w:p>
    <w:p w14:paraId="7A1F80B7" w14:textId="6A04AF96" w:rsidR="008744F4" w:rsidRPr="008D7B22" w:rsidRDefault="00851458" w:rsidP="001E0DC0">
      <w:pPr>
        <w:pStyle w:val="1GAPara"/>
        <w:numPr>
          <w:ilvl w:val="0"/>
          <w:numId w:val="0"/>
        </w:numPr>
        <w:jc w:val="both"/>
        <w:rPr>
          <w:b/>
          <w:bCs/>
        </w:rPr>
      </w:pPr>
      <w:r>
        <w:br w:type="page"/>
      </w:r>
      <w:bookmarkStart w:id="0" w:name="_Hlk206417940"/>
      <w:r>
        <w:rPr>
          <w:b/>
        </w:rPr>
        <w:lastRenderedPageBreak/>
        <w:t>Contexte</w:t>
      </w:r>
    </w:p>
    <w:p w14:paraId="7BD17C2F" w14:textId="0318A1A0" w:rsidR="00B250FB" w:rsidRPr="008D7B22" w:rsidRDefault="00514489" w:rsidP="009F20E7">
      <w:pPr>
        <w:pStyle w:val="1GAPara"/>
        <w:ind w:left="567" w:hanging="567"/>
        <w:jc w:val="both"/>
      </w:pPr>
      <w:r>
        <w:t>Le renforcement des capacités est au cœur de la mise en œuvre de la Convention de 2003 depuis le lancement de la stratégie mondiale de renforcement des capacités en 2009, soutenue par des contributions volontaires supplémentaires au Fonds pour la sauvegarde du patrimoine culturel immatériel (ou « Fonds du patrimoine culturel immatériel ») de la Convention de 2003. Sur la base des expériences acquises dans le cadre de la priorité de financement équivalente pour la période précédente (2018-2011),</w:t>
      </w:r>
      <w:r w:rsidR="00EF3A9F" w:rsidRPr="008D7B22">
        <w:rPr>
          <w:rStyle w:val="FootnoteReference"/>
        </w:rPr>
        <w:footnoteReference w:id="1"/>
      </w:r>
      <w:r>
        <w:t xml:space="preserve"> la priorité de financement 1 de la Convention pour la deuxième période quadriennale a été adoptée par la seizième session du Comité intergouvernemental en décembre 2021 (</w:t>
      </w:r>
      <w:r w:rsidR="0009185C">
        <w:t>d</w:t>
      </w:r>
      <w:r>
        <w:t>écision</w:t>
      </w:r>
      <w:r>
        <w:rPr>
          <w:b/>
        </w:rPr>
        <w:t> </w:t>
      </w:r>
      <w:hyperlink r:id="rId8" w:history="1">
        <w:r>
          <w:rPr>
            <w:rStyle w:val="Hyperlink"/>
          </w:rPr>
          <w:t>16.COM 12</w:t>
        </w:r>
      </w:hyperlink>
      <w:r>
        <w:t>), intitulée « Le renforcement des capacités de sauvegarde du patrimoine culturel immatériel par des approches multimodales et de contribution au développement durable (2022-2025) ».</w:t>
      </w:r>
    </w:p>
    <w:p w14:paraId="41A01FAD" w14:textId="4D7D3E48" w:rsidR="00E22B99" w:rsidRPr="00A06089" w:rsidRDefault="0040480C" w:rsidP="00AE6BC1">
      <w:pPr>
        <w:pStyle w:val="1GAPara"/>
        <w:ind w:left="567" w:hanging="567"/>
        <w:jc w:val="both"/>
      </w:pPr>
      <w:r>
        <w:t>Pour la période quadriennale 2022-2025, les interventions réalisées dans le cadre de la priorité de financement 1 ont été structurées autour de six résultats attendus (voir l’</w:t>
      </w:r>
      <w:r w:rsidR="0009185C">
        <w:t>a</w:t>
      </w:r>
      <w:r>
        <w:t xml:space="preserve">nnexe II du </w:t>
      </w:r>
      <w:r w:rsidR="0009185C">
        <w:t>d</w:t>
      </w:r>
      <w:r>
        <w:t>ocument </w:t>
      </w:r>
      <w:hyperlink r:id="rId9" w:history="1">
        <w:r>
          <w:rPr>
            <w:rStyle w:val="Hyperlink"/>
          </w:rPr>
          <w:t>LHE/21/16.COM/12</w:t>
        </w:r>
      </w:hyperlink>
      <w:r>
        <w:t xml:space="preserve">). L’objectif de ce rapport est de passer en revue et de souligner les principales réalisations et leçons apprises dans ce cadre, afin de soutenir le rapport présenté à cette session du Comité intergouvernemental concernant les contributions volontaires supplémentaires au Fonds du patrimoine culturel immatériel, au titre du point 13 </w:t>
      </w:r>
      <w:r w:rsidRPr="00A06089">
        <w:t>(</w:t>
      </w:r>
      <w:r w:rsidR="0009185C" w:rsidRPr="00644095">
        <w:t>d</w:t>
      </w:r>
      <w:r w:rsidRPr="00A06089">
        <w:t>ocument </w:t>
      </w:r>
      <w:hyperlink r:id="rId10" w:history="1">
        <w:r w:rsidRPr="00A06089">
          <w:rPr>
            <w:rStyle w:val="Hyperlink"/>
          </w:rPr>
          <w:t>LHE/25/20.COM</w:t>
        </w:r>
        <w:r w:rsidR="0009185C" w:rsidRPr="00A06089">
          <w:rPr>
            <w:rStyle w:val="Hyperlink"/>
          </w:rPr>
          <w:t>/</w:t>
        </w:r>
        <w:r w:rsidRPr="00A06089">
          <w:rPr>
            <w:rStyle w:val="Hyperlink"/>
          </w:rPr>
          <w:t>13</w:t>
        </w:r>
      </w:hyperlink>
      <w:r w:rsidRPr="00A06089">
        <w:t>).</w:t>
      </w:r>
    </w:p>
    <w:p w14:paraId="24083DD6" w14:textId="093D8DB6" w:rsidR="0048044D" w:rsidRPr="008D7B22" w:rsidRDefault="0048044D" w:rsidP="0048044D">
      <w:pPr>
        <w:pStyle w:val="1GAPara"/>
        <w:ind w:left="567" w:hanging="567"/>
        <w:jc w:val="both"/>
      </w:pPr>
      <w:r>
        <w:t>Sur les huit projets financés par des contributions volontaires supplémentaires (énumérés ci-dessous), trois sont en cours de mise en œuvre grâce à l’aide reçue au cours de la période considérée</w:t>
      </w:r>
      <w:r w:rsidR="00BF3246">
        <w:t xml:space="preserve"> (signalés par un astérisque)</w:t>
      </w:r>
      <w:r>
        <w:t>. Les cinq autres ont été financés par le soutien reçu au cours de la période quadriennale précédente (2018-2021) et ont été mis en œuvre au cours des deux périodes :</w:t>
      </w:r>
    </w:p>
    <w:tbl>
      <w:tblPr>
        <w:tblStyle w:val="TableGrid"/>
        <w:tblW w:w="9067" w:type="dxa"/>
        <w:tblInd w:w="567" w:type="dxa"/>
        <w:tblLook w:val="04A0" w:firstRow="1" w:lastRow="0" w:firstColumn="1" w:lastColumn="0" w:noHBand="0" w:noVBand="1"/>
      </w:tblPr>
      <w:tblGrid>
        <w:gridCol w:w="727"/>
        <w:gridCol w:w="4611"/>
        <w:gridCol w:w="1756"/>
        <w:gridCol w:w="1973"/>
      </w:tblGrid>
      <w:tr w:rsidR="0048044D" w:rsidRPr="008D7B22" w14:paraId="6C84A9CB" w14:textId="77777777" w:rsidTr="0048044D">
        <w:tc>
          <w:tcPr>
            <w:tcW w:w="727" w:type="dxa"/>
            <w:vAlign w:val="center"/>
          </w:tcPr>
          <w:p w14:paraId="6B390C30" w14:textId="77777777" w:rsidR="0048044D" w:rsidRPr="008D7B22" w:rsidRDefault="0048044D" w:rsidP="009F5F5B">
            <w:pPr>
              <w:pStyle w:val="1GAPara"/>
              <w:numPr>
                <w:ilvl w:val="0"/>
                <w:numId w:val="0"/>
              </w:numPr>
              <w:spacing w:before="60" w:after="60"/>
              <w:jc w:val="center"/>
              <w:rPr>
                <w:b/>
                <w:bCs/>
                <w:sz w:val="20"/>
                <w:szCs w:val="20"/>
              </w:rPr>
            </w:pPr>
            <w:r>
              <w:rPr>
                <w:b/>
                <w:sz w:val="20"/>
              </w:rPr>
              <w:t>N°</w:t>
            </w:r>
          </w:p>
        </w:tc>
        <w:tc>
          <w:tcPr>
            <w:tcW w:w="4611" w:type="dxa"/>
            <w:vAlign w:val="center"/>
          </w:tcPr>
          <w:p w14:paraId="0695784A" w14:textId="77777777" w:rsidR="0048044D" w:rsidRPr="008D7B22" w:rsidRDefault="0048044D" w:rsidP="009F5F5B">
            <w:pPr>
              <w:pStyle w:val="1GAPara"/>
              <w:keepNext/>
              <w:keepLines/>
              <w:numPr>
                <w:ilvl w:val="0"/>
                <w:numId w:val="0"/>
              </w:numPr>
              <w:spacing w:before="60" w:after="60"/>
              <w:jc w:val="center"/>
              <w:rPr>
                <w:b/>
                <w:bCs/>
                <w:sz w:val="20"/>
                <w:szCs w:val="20"/>
              </w:rPr>
            </w:pPr>
            <w:r>
              <w:rPr>
                <w:b/>
                <w:sz w:val="20"/>
              </w:rPr>
              <w:t>Titre</w:t>
            </w:r>
          </w:p>
        </w:tc>
        <w:tc>
          <w:tcPr>
            <w:tcW w:w="1756" w:type="dxa"/>
            <w:vAlign w:val="center"/>
          </w:tcPr>
          <w:p w14:paraId="2F346342" w14:textId="58CB2785" w:rsidR="0048044D" w:rsidRPr="008D7B22" w:rsidRDefault="00BF3246" w:rsidP="009F5F5B">
            <w:pPr>
              <w:pStyle w:val="1GAPara"/>
              <w:keepNext/>
              <w:keepLines/>
              <w:numPr>
                <w:ilvl w:val="0"/>
                <w:numId w:val="0"/>
              </w:numPr>
              <w:spacing w:before="60" w:after="60"/>
              <w:jc w:val="center"/>
              <w:rPr>
                <w:b/>
                <w:bCs/>
                <w:sz w:val="20"/>
                <w:szCs w:val="20"/>
              </w:rPr>
            </w:pPr>
            <w:r>
              <w:rPr>
                <w:b/>
                <w:sz w:val="20"/>
              </w:rPr>
              <w:t>Période de mise en œuvre</w:t>
            </w:r>
            <w:r w:rsidR="0048044D">
              <w:rPr>
                <w:b/>
                <w:sz w:val="20"/>
              </w:rPr>
              <w:t xml:space="preserve"> </w:t>
            </w:r>
          </w:p>
        </w:tc>
        <w:tc>
          <w:tcPr>
            <w:tcW w:w="1973" w:type="dxa"/>
            <w:vAlign w:val="center"/>
          </w:tcPr>
          <w:p w14:paraId="07D0B38C" w14:textId="3A873E4E" w:rsidR="0048044D" w:rsidRPr="008D7B22" w:rsidRDefault="008D7B22" w:rsidP="009F5F5B">
            <w:pPr>
              <w:pStyle w:val="1GAPara"/>
              <w:keepNext/>
              <w:keepLines/>
              <w:numPr>
                <w:ilvl w:val="0"/>
                <w:numId w:val="0"/>
              </w:numPr>
              <w:spacing w:before="60" w:after="60"/>
              <w:jc w:val="center"/>
              <w:rPr>
                <w:b/>
                <w:bCs/>
                <w:sz w:val="20"/>
                <w:szCs w:val="20"/>
              </w:rPr>
            </w:pPr>
            <w:r>
              <w:rPr>
                <w:b/>
                <w:sz w:val="20"/>
              </w:rPr>
              <w:t>Lien</w:t>
            </w:r>
          </w:p>
        </w:tc>
      </w:tr>
      <w:tr w:rsidR="0048044D" w:rsidRPr="008D7B22" w14:paraId="7E5A914D" w14:textId="77777777" w:rsidTr="0048044D">
        <w:tc>
          <w:tcPr>
            <w:tcW w:w="727" w:type="dxa"/>
          </w:tcPr>
          <w:p w14:paraId="3872C9D5" w14:textId="3747AE14" w:rsidR="0048044D" w:rsidRPr="008D7B22" w:rsidRDefault="0048044D" w:rsidP="009F5F5B">
            <w:pPr>
              <w:pStyle w:val="1GAPara"/>
              <w:numPr>
                <w:ilvl w:val="0"/>
                <w:numId w:val="0"/>
              </w:numPr>
              <w:spacing w:before="60" w:after="60"/>
              <w:jc w:val="both"/>
              <w:rPr>
                <w:sz w:val="20"/>
                <w:szCs w:val="20"/>
              </w:rPr>
            </w:pPr>
            <w:r>
              <w:rPr>
                <w:sz w:val="20"/>
              </w:rPr>
              <w:t>1</w:t>
            </w:r>
            <w:r w:rsidR="00BF3246">
              <w:rPr>
                <w:sz w:val="20"/>
              </w:rPr>
              <w:t>*</w:t>
            </w:r>
          </w:p>
        </w:tc>
        <w:tc>
          <w:tcPr>
            <w:tcW w:w="4611" w:type="dxa"/>
          </w:tcPr>
          <w:p w14:paraId="26B5B83D" w14:textId="74EABB47" w:rsidR="0048044D" w:rsidRPr="008D7B22" w:rsidRDefault="0048044D" w:rsidP="009F5F5B">
            <w:pPr>
              <w:pStyle w:val="1GAPara"/>
              <w:numPr>
                <w:ilvl w:val="0"/>
                <w:numId w:val="0"/>
              </w:numPr>
              <w:spacing w:before="60" w:after="60"/>
              <w:jc w:val="both"/>
              <w:rPr>
                <w:sz w:val="20"/>
                <w:szCs w:val="20"/>
              </w:rPr>
            </w:pPr>
            <w:r>
              <w:rPr>
                <w:sz w:val="20"/>
              </w:rPr>
              <w:t>Manuel pratique sur les rapports périodiques avec un outil d'auto-apprentissage sur le cadre global des résultats pour la mise en œuvre de la Convention pour la sauvegarde du patrimoine culturel immatériel</w:t>
            </w:r>
          </w:p>
        </w:tc>
        <w:tc>
          <w:tcPr>
            <w:tcW w:w="1756" w:type="dxa"/>
          </w:tcPr>
          <w:p w14:paraId="06A06516" w14:textId="28BB6DB5" w:rsidR="0048044D" w:rsidRPr="008D7B22" w:rsidRDefault="008B41B1" w:rsidP="00644095">
            <w:pPr>
              <w:pStyle w:val="1GAPara"/>
              <w:numPr>
                <w:ilvl w:val="0"/>
                <w:numId w:val="0"/>
              </w:numPr>
              <w:spacing w:before="60" w:after="60"/>
              <w:jc w:val="both"/>
              <w:rPr>
                <w:sz w:val="20"/>
                <w:szCs w:val="20"/>
              </w:rPr>
            </w:pPr>
            <w:r>
              <w:rPr>
                <w:sz w:val="20"/>
              </w:rPr>
              <w:t>202</w:t>
            </w:r>
            <w:r w:rsidR="00BF3246">
              <w:rPr>
                <w:sz w:val="20"/>
              </w:rPr>
              <w:t>2-2025</w:t>
            </w:r>
          </w:p>
        </w:tc>
        <w:tc>
          <w:tcPr>
            <w:tcW w:w="1973" w:type="dxa"/>
          </w:tcPr>
          <w:p w14:paraId="4B5105DB" w14:textId="77777777" w:rsidR="0048044D" w:rsidRPr="008D7B22" w:rsidRDefault="0048044D" w:rsidP="009F5F5B">
            <w:pPr>
              <w:pStyle w:val="1GAPara"/>
              <w:numPr>
                <w:ilvl w:val="0"/>
                <w:numId w:val="0"/>
              </w:numPr>
              <w:spacing w:before="60" w:after="60"/>
              <w:jc w:val="both"/>
              <w:rPr>
                <w:sz w:val="20"/>
                <w:szCs w:val="20"/>
              </w:rPr>
            </w:pPr>
            <w:hyperlink r:id="rId11" w:history="1">
              <w:r>
                <w:rPr>
                  <w:rStyle w:val="Hyperlink"/>
                  <w:sz w:val="20"/>
                </w:rPr>
                <w:t>Page du projet</w:t>
              </w:r>
            </w:hyperlink>
          </w:p>
        </w:tc>
      </w:tr>
      <w:tr w:rsidR="0048044D" w:rsidRPr="008D7B22" w14:paraId="49DC6B98" w14:textId="77777777" w:rsidTr="0048044D">
        <w:tc>
          <w:tcPr>
            <w:tcW w:w="727" w:type="dxa"/>
          </w:tcPr>
          <w:p w14:paraId="738522A4" w14:textId="16A3C3DC" w:rsidR="0048044D" w:rsidRPr="008D7B22" w:rsidRDefault="0048044D" w:rsidP="009F5F5B">
            <w:pPr>
              <w:pStyle w:val="1GAPara"/>
              <w:numPr>
                <w:ilvl w:val="0"/>
                <w:numId w:val="0"/>
              </w:numPr>
              <w:spacing w:before="60" w:after="60"/>
              <w:jc w:val="both"/>
              <w:rPr>
                <w:sz w:val="20"/>
                <w:szCs w:val="20"/>
              </w:rPr>
            </w:pPr>
            <w:r>
              <w:rPr>
                <w:sz w:val="20"/>
              </w:rPr>
              <w:t>2</w:t>
            </w:r>
            <w:r w:rsidR="00BF3246">
              <w:rPr>
                <w:sz w:val="20"/>
              </w:rPr>
              <w:t>*</w:t>
            </w:r>
          </w:p>
        </w:tc>
        <w:tc>
          <w:tcPr>
            <w:tcW w:w="4611" w:type="dxa"/>
          </w:tcPr>
          <w:p w14:paraId="558EEE87" w14:textId="396C7A51" w:rsidR="0048044D" w:rsidRPr="008D7B22" w:rsidRDefault="0048044D" w:rsidP="009F5F5B">
            <w:pPr>
              <w:pStyle w:val="1GAPara"/>
              <w:numPr>
                <w:ilvl w:val="0"/>
                <w:numId w:val="0"/>
              </w:numPr>
              <w:spacing w:before="60" w:after="60"/>
              <w:jc w:val="both"/>
              <w:rPr>
                <w:sz w:val="20"/>
                <w:szCs w:val="20"/>
              </w:rPr>
            </w:pPr>
            <w:r>
              <w:rPr>
                <w:sz w:val="20"/>
              </w:rPr>
              <w:t xml:space="preserve">Renforcement des capacités de préparation des dossiers de candidature pour les </w:t>
            </w:r>
            <w:r w:rsidR="005057E4">
              <w:rPr>
                <w:sz w:val="20"/>
              </w:rPr>
              <w:t>L</w:t>
            </w:r>
            <w:r>
              <w:rPr>
                <w:sz w:val="20"/>
              </w:rPr>
              <w:t>istes de la Convention de 2003 dans les petits États insulaires en développement (PEID) d’Amérique latine et des Caraïbes</w:t>
            </w:r>
          </w:p>
        </w:tc>
        <w:tc>
          <w:tcPr>
            <w:tcW w:w="1756" w:type="dxa"/>
          </w:tcPr>
          <w:p w14:paraId="6761A21C" w14:textId="2C62913D" w:rsidR="006208A4" w:rsidRPr="008D7B22" w:rsidRDefault="00BF3246" w:rsidP="00DA1F43">
            <w:pPr>
              <w:pStyle w:val="1GAPara"/>
              <w:numPr>
                <w:ilvl w:val="0"/>
                <w:numId w:val="0"/>
              </w:numPr>
              <w:spacing w:before="60" w:after="60"/>
              <w:rPr>
                <w:sz w:val="20"/>
                <w:szCs w:val="20"/>
              </w:rPr>
            </w:pPr>
            <w:r>
              <w:rPr>
                <w:sz w:val="20"/>
              </w:rPr>
              <w:t>2022-2025</w:t>
            </w:r>
          </w:p>
        </w:tc>
        <w:tc>
          <w:tcPr>
            <w:tcW w:w="1973" w:type="dxa"/>
          </w:tcPr>
          <w:p w14:paraId="16D5AC6D" w14:textId="77777777" w:rsidR="0048044D" w:rsidRPr="008D7B22" w:rsidRDefault="0048044D" w:rsidP="009F5F5B">
            <w:pPr>
              <w:spacing w:before="60" w:after="60"/>
              <w:jc w:val="both"/>
              <w:rPr>
                <w:rFonts w:ascii="Arial" w:hAnsi="Arial" w:cs="Arial"/>
                <w:sz w:val="20"/>
                <w:szCs w:val="20"/>
              </w:rPr>
            </w:pPr>
            <w:hyperlink r:id="rId12" w:history="1">
              <w:r>
                <w:rPr>
                  <w:rStyle w:val="Hyperlink"/>
                  <w:rFonts w:ascii="Arial" w:hAnsi="Arial"/>
                  <w:sz w:val="20"/>
                </w:rPr>
                <w:t>Page du projet</w:t>
              </w:r>
            </w:hyperlink>
          </w:p>
          <w:p w14:paraId="1E44A0E0" w14:textId="77777777" w:rsidR="0048044D" w:rsidRPr="008D7B22" w:rsidRDefault="0048044D" w:rsidP="009F5F5B">
            <w:pPr>
              <w:pStyle w:val="1GAPara"/>
              <w:numPr>
                <w:ilvl w:val="0"/>
                <w:numId w:val="0"/>
              </w:numPr>
              <w:spacing w:before="60" w:after="60"/>
              <w:jc w:val="both"/>
              <w:rPr>
                <w:sz w:val="20"/>
                <w:szCs w:val="20"/>
              </w:rPr>
            </w:pPr>
          </w:p>
        </w:tc>
      </w:tr>
      <w:tr w:rsidR="0048044D" w:rsidRPr="008D7B22" w14:paraId="14ECEE43" w14:textId="77777777" w:rsidTr="0048044D">
        <w:tc>
          <w:tcPr>
            <w:tcW w:w="727" w:type="dxa"/>
          </w:tcPr>
          <w:p w14:paraId="2818853B" w14:textId="6271DDE9" w:rsidR="0048044D" w:rsidRPr="008D7B22" w:rsidRDefault="0048044D" w:rsidP="009F5F5B">
            <w:pPr>
              <w:pStyle w:val="1GAPara"/>
              <w:numPr>
                <w:ilvl w:val="0"/>
                <w:numId w:val="0"/>
              </w:numPr>
              <w:spacing w:before="60" w:after="60"/>
              <w:jc w:val="both"/>
              <w:rPr>
                <w:sz w:val="20"/>
                <w:szCs w:val="20"/>
              </w:rPr>
            </w:pPr>
            <w:r>
              <w:rPr>
                <w:sz w:val="20"/>
              </w:rPr>
              <w:t>3</w:t>
            </w:r>
            <w:r w:rsidR="00BF3246">
              <w:rPr>
                <w:sz w:val="20"/>
              </w:rPr>
              <w:t>*</w:t>
            </w:r>
          </w:p>
        </w:tc>
        <w:tc>
          <w:tcPr>
            <w:tcW w:w="4611" w:type="dxa"/>
          </w:tcPr>
          <w:p w14:paraId="4FBBE832" w14:textId="77777777" w:rsidR="0048044D" w:rsidRPr="008D7B22" w:rsidRDefault="0048044D" w:rsidP="009F5F5B">
            <w:pPr>
              <w:pStyle w:val="1GAPara"/>
              <w:numPr>
                <w:ilvl w:val="0"/>
                <w:numId w:val="0"/>
              </w:numPr>
              <w:spacing w:before="60" w:after="60"/>
              <w:jc w:val="both"/>
              <w:rPr>
                <w:sz w:val="20"/>
                <w:szCs w:val="20"/>
              </w:rPr>
            </w:pPr>
            <w:r>
              <w:rPr>
                <w:sz w:val="20"/>
              </w:rPr>
              <w:t>Renforcer les capacités aux niveaux national et local pour la sauvegarde du patrimoine culturel immatériel en République-Unie de Tanzanie et la contribution au développement durable</w:t>
            </w:r>
          </w:p>
        </w:tc>
        <w:tc>
          <w:tcPr>
            <w:tcW w:w="1756" w:type="dxa"/>
          </w:tcPr>
          <w:p w14:paraId="66ED828A" w14:textId="5C6A9E09" w:rsidR="00BF3246" w:rsidRPr="008D7B22" w:rsidRDefault="0048044D" w:rsidP="009F5F5B">
            <w:pPr>
              <w:pStyle w:val="1GAPara"/>
              <w:numPr>
                <w:ilvl w:val="0"/>
                <w:numId w:val="0"/>
              </w:numPr>
              <w:spacing w:before="60" w:after="60"/>
              <w:jc w:val="both"/>
              <w:rPr>
                <w:sz w:val="20"/>
                <w:szCs w:val="20"/>
              </w:rPr>
            </w:pPr>
            <w:r>
              <w:rPr>
                <w:sz w:val="20"/>
              </w:rPr>
              <w:t>2022</w:t>
            </w:r>
            <w:r w:rsidR="00BF3246">
              <w:rPr>
                <w:sz w:val="20"/>
              </w:rPr>
              <w:t>-2024</w:t>
            </w:r>
            <w:r w:rsidR="00BF3246">
              <w:rPr>
                <w:sz w:val="20"/>
                <w:szCs w:val="20"/>
              </w:rPr>
              <w:t>Achevé</w:t>
            </w:r>
          </w:p>
          <w:p w14:paraId="66A211E2" w14:textId="013DA70D" w:rsidR="0048044D" w:rsidRPr="008D7B22" w:rsidRDefault="0048044D" w:rsidP="009F5F5B">
            <w:pPr>
              <w:pStyle w:val="1GAPara"/>
              <w:numPr>
                <w:ilvl w:val="0"/>
                <w:numId w:val="0"/>
              </w:numPr>
              <w:spacing w:before="60" w:after="60"/>
              <w:jc w:val="both"/>
              <w:rPr>
                <w:sz w:val="20"/>
                <w:szCs w:val="20"/>
              </w:rPr>
            </w:pPr>
          </w:p>
        </w:tc>
        <w:tc>
          <w:tcPr>
            <w:tcW w:w="1973" w:type="dxa"/>
          </w:tcPr>
          <w:p w14:paraId="56DA6F4E" w14:textId="77777777" w:rsidR="0048044D" w:rsidRPr="008D7B22" w:rsidRDefault="0048044D" w:rsidP="009F5F5B">
            <w:pPr>
              <w:spacing w:before="60" w:after="60"/>
              <w:jc w:val="both"/>
              <w:rPr>
                <w:rFonts w:ascii="Arial" w:hAnsi="Arial" w:cs="Arial"/>
                <w:sz w:val="20"/>
                <w:szCs w:val="20"/>
              </w:rPr>
            </w:pPr>
            <w:hyperlink r:id="rId13" w:history="1">
              <w:r>
                <w:rPr>
                  <w:rStyle w:val="Hyperlink"/>
                  <w:rFonts w:ascii="Arial" w:hAnsi="Arial"/>
                  <w:sz w:val="20"/>
                </w:rPr>
                <w:t>Page du projet</w:t>
              </w:r>
            </w:hyperlink>
          </w:p>
        </w:tc>
      </w:tr>
      <w:tr w:rsidR="0048044D" w:rsidRPr="008D7B22" w14:paraId="0D8554DC" w14:textId="77777777" w:rsidTr="0048044D">
        <w:tc>
          <w:tcPr>
            <w:tcW w:w="727" w:type="dxa"/>
          </w:tcPr>
          <w:p w14:paraId="607D3B88" w14:textId="77777777" w:rsidR="0048044D" w:rsidRPr="008D7B22" w:rsidRDefault="0048044D" w:rsidP="009F5F5B">
            <w:pPr>
              <w:pStyle w:val="1GAPara"/>
              <w:numPr>
                <w:ilvl w:val="0"/>
                <w:numId w:val="0"/>
              </w:numPr>
              <w:spacing w:before="60" w:after="60"/>
              <w:jc w:val="both"/>
              <w:rPr>
                <w:sz w:val="20"/>
                <w:szCs w:val="20"/>
              </w:rPr>
            </w:pPr>
            <w:r>
              <w:rPr>
                <w:sz w:val="20"/>
              </w:rPr>
              <w:t>4</w:t>
            </w:r>
          </w:p>
        </w:tc>
        <w:tc>
          <w:tcPr>
            <w:tcW w:w="4611" w:type="dxa"/>
          </w:tcPr>
          <w:p w14:paraId="3F61BD47" w14:textId="4672BA67" w:rsidR="0048044D" w:rsidRPr="008D7B22" w:rsidRDefault="0048044D" w:rsidP="009F5F5B">
            <w:pPr>
              <w:pStyle w:val="1GAPara"/>
              <w:numPr>
                <w:ilvl w:val="0"/>
                <w:numId w:val="0"/>
              </w:numPr>
              <w:spacing w:before="60" w:after="60"/>
              <w:jc w:val="both"/>
              <w:rPr>
                <w:sz w:val="20"/>
                <w:szCs w:val="20"/>
              </w:rPr>
            </w:pPr>
            <w:r>
              <w:rPr>
                <w:sz w:val="20"/>
              </w:rPr>
              <w:t>Renforcement des capacités pour la sauvegarde du patrimoine culturel immatériel et la contribution au développement durable</w:t>
            </w:r>
          </w:p>
        </w:tc>
        <w:tc>
          <w:tcPr>
            <w:tcW w:w="1756" w:type="dxa"/>
          </w:tcPr>
          <w:p w14:paraId="23A723B6" w14:textId="63856A5C" w:rsidR="006208A4" w:rsidRPr="008D7B22" w:rsidRDefault="00BF3246" w:rsidP="009F5F5B">
            <w:pPr>
              <w:pStyle w:val="1GAPara"/>
              <w:numPr>
                <w:ilvl w:val="0"/>
                <w:numId w:val="0"/>
              </w:numPr>
              <w:spacing w:before="60" w:after="60"/>
              <w:jc w:val="both"/>
              <w:rPr>
                <w:sz w:val="20"/>
                <w:szCs w:val="20"/>
              </w:rPr>
            </w:pPr>
            <w:r>
              <w:rPr>
                <w:sz w:val="20"/>
              </w:rPr>
              <w:t>2021-2025</w:t>
            </w:r>
          </w:p>
        </w:tc>
        <w:tc>
          <w:tcPr>
            <w:tcW w:w="1973" w:type="dxa"/>
          </w:tcPr>
          <w:p w14:paraId="6BBB5A55" w14:textId="77777777" w:rsidR="0048044D" w:rsidRPr="008D7B22" w:rsidRDefault="0048044D" w:rsidP="009F5F5B">
            <w:pPr>
              <w:spacing w:before="60" w:after="60"/>
              <w:jc w:val="both"/>
              <w:rPr>
                <w:rFonts w:ascii="Arial" w:hAnsi="Arial" w:cs="Arial"/>
                <w:sz w:val="20"/>
                <w:szCs w:val="20"/>
              </w:rPr>
            </w:pPr>
            <w:hyperlink r:id="rId14" w:history="1">
              <w:r>
                <w:rPr>
                  <w:rStyle w:val="Hyperlink"/>
                  <w:rFonts w:ascii="Arial" w:hAnsi="Arial"/>
                  <w:sz w:val="20"/>
                </w:rPr>
                <w:t>Page du projet</w:t>
              </w:r>
            </w:hyperlink>
          </w:p>
        </w:tc>
      </w:tr>
      <w:tr w:rsidR="0048044D" w:rsidRPr="008D7B22" w14:paraId="4A52E808" w14:textId="77777777" w:rsidTr="0048044D">
        <w:tc>
          <w:tcPr>
            <w:tcW w:w="727" w:type="dxa"/>
          </w:tcPr>
          <w:p w14:paraId="4F1537A4" w14:textId="77777777" w:rsidR="0048044D" w:rsidRPr="008D7B22" w:rsidRDefault="0048044D" w:rsidP="009F5F5B">
            <w:pPr>
              <w:pStyle w:val="1GAPara"/>
              <w:numPr>
                <w:ilvl w:val="0"/>
                <w:numId w:val="0"/>
              </w:numPr>
              <w:spacing w:before="60" w:after="60"/>
              <w:jc w:val="both"/>
              <w:rPr>
                <w:sz w:val="20"/>
                <w:szCs w:val="20"/>
              </w:rPr>
            </w:pPr>
            <w:r>
              <w:rPr>
                <w:sz w:val="20"/>
              </w:rPr>
              <w:lastRenderedPageBreak/>
              <w:t>5</w:t>
            </w:r>
          </w:p>
        </w:tc>
        <w:tc>
          <w:tcPr>
            <w:tcW w:w="4611" w:type="dxa"/>
          </w:tcPr>
          <w:p w14:paraId="7C045F7F" w14:textId="104E4958" w:rsidR="0048044D" w:rsidRPr="008D7B22" w:rsidRDefault="0048044D" w:rsidP="009F5F5B">
            <w:pPr>
              <w:pStyle w:val="1GAPara"/>
              <w:numPr>
                <w:ilvl w:val="0"/>
                <w:numId w:val="0"/>
              </w:numPr>
              <w:spacing w:before="60" w:after="60"/>
              <w:jc w:val="both"/>
              <w:rPr>
                <w:sz w:val="20"/>
                <w:szCs w:val="20"/>
              </w:rPr>
            </w:pPr>
            <w:r>
              <w:rPr>
                <w:sz w:val="20"/>
              </w:rPr>
              <w:t xml:space="preserve">Renforcement </w:t>
            </w:r>
            <w:r w:rsidR="00BF3246">
              <w:rPr>
                <w:sz w:val="20"/>
              </w:rPr>
              <w:t xml:space="preserve">des capacités </w:t>
            </w:r>
            <w:r>
              <w:rPr>
                <w:sz w:val="20"/>
              </w:rPr>
              <w:t>aux niveaux national et local pour la sauvegarde du patrimoine culturel immatériel en Dominique</w:t>
            </w:r>
          </w:p>
        </w:tc>
        <w:tc>
          <w:tcPr>
            <w:tcW w:w="1756" w:type="dxa"/>
          </w:tcPr>
          <w:p w14:paraId="4ED091EF" w14:textId="3A355C7D" w:rsidR="006208A4" w:rsidRPr="008D7B22" w:rsidRDefault="008B41B1" w:rsidP="00644095">
            <w:pPr>
              <w:pStyle w:val="1GAPara"/>
              <w:numPr>
                <w:ilvl w:val="0"/>
                <w:numId w:val="0"/>
              </w:numPr>
              <w:spacing w:before="60" w:after="60"/>
              <w:jc w:val="both"/>
              <w:rPr>
                <w:sz w:val="20"/>
                <w:szCs w:val="20"/>
              </w:rPr>
            </w:pPr>
            <w:r>
              <w:rPr>
                <w:sz w:val="20"/>
              </w:rPr>
              <w:t>2021</w:t>
            </w:r>
            <w:r w:rsidR="00BF3246">
              <w:rPr>
                <w:sz w:val="20"/>
              </w:rPr>
              <w:t>-2026</w:t>
            </w:r>
          </w:p>
        </w:tc>
        <w:tc>
          <w:tcPr>
            <w:tcW w:w="1973" w:type="dxa"/>
          </w:tcPr>
          <w:p w14:paraId="3F91756F" w14:textId="77777777" w:rsidR="0048044D" w:rsidRPr="008D7B22" w:rsidRDefault="0048044D" w:rsidP="009F5F5B">
            <w:pPr>
              <w:spacing w:before="60" w:after="60"/>
              <w:jc w:val="both"/>
              <w:rPr>
                <w:rFonts w:ascii="Arial" w:hAnsi="Arial" w:cs="Arial"/>
                <w:sz w:val="20"/>
                <w:szCs w:val="20"/>
              </w:rPr>
            </w:pPr>
            <w:hyperlink r:id="rId15" w:history="1">
              <w:r>
                <w:rPr>
                  <w:rStyle w:val="Hyperlink"/>
                  <w:rFonts w:ascii="Arial" w:hAnsi="Arial"/>
                  <w:sz w:val="20"/>
                </w:rPr>
                <w:t>Page du projet</w:t>
              </w:r>
            </w:hyperlink>
          </w:p>
        </w:tc>
      </w:tr>
      <w:tr w:rsidR="0048044D" w:rsidRPr="008D7B22" w14:paraId="459635CA" w14:textId="77777777" w:rsidTr="0048044D">
        <w:tc>
          <w:tcPr>
            <w:tcW w:w="727" w:type="dxa"/>
          </w:tcPr>
          <w:p w14:paraId="699C6A66" w14:textId="77777777" w:rsidR="0048044D" w:rsidRPr="008D7B22" w:rsidRDefault="0048044D" w:rsidP="009F5F5B">
            <w:pPr>
              <w:pStyle w:val="1GAPara"/>
              <w:numPr>
                <w:ilvl w:val="0"/>
                <w:numId w:val="0"/>
              </w:numPr>
              <w:spacing w:before="60" w:after="60"/>
              <w:jc w:val="both"/>
              <w:rPr>
                <w:sz w:val="20"/>
                <w:szCs w:val="20"/>
              </w:rPr>
            </w:pPr>
            <w:r>
              <w:rPr>
                <w:sz w:val="20"/>
              </w:rPr>
              <w:t>6</w:t>
            </w:r>
          </w:p>
        </w:tc>
        <w:tc>
          <w:tcPr>
            <w:tcW w:w="4611" w:type="dxa"/>
          </w:tcPr>
          <w:p w14:paraId="30AAAFAF" w14:textId="77777777" w:rsidR="0048044D" w:rsidRPr="008D7B22" w:rsidRDefault="0048044D" w:rsidP="009F5F5B">
            <w:pPr>
              <w:pStyle w:val="1GAPara"/>
              <w:numPr>
                <w:ilvl w:val="0"/>
                <w:numId w:val="0"/>
              </w:numPr>
              <w:spacing w:before="60" w:after="60"/>
              <w:jc w:val="both"/>
              <w:rPr>
                <w:sz w:val="20"/>
                <w:szCs w:val="20"/>
              </w:rPr>
            </w:pPr>
            <w:r>
              <w:rPr>
                <w:sz w:val="20"/>
              </w:rPr>
              <w:t>Renforcement des capacités nationales pour la sauvegarde du patrimoine culturel immatériel et la contribution au développement durable au Kenya</w:t>
            </w:r>
          </w:p>
        </w:tc>
        <w:tc>
          <w:tcPr>
            <w:tcW w:w="1756" w:type="dxa"/>
          </w:tcPr>
          <w:p w14:paraId="1F22A43E" w14:textId="2544A79D" w:rsidR="006208A4" w:rsidRPr="008D7B22" w:rsidRDefault="008B41B1" w:rsidP="00644095">
            <w:pPr>
              <w:pStyle w:val="1GAPara"/>
              <w:numPr>
                <w:ilvl w:val="0"/>
                <w:numId w:val="0"/>
              </w:numPr>
              <w:spacing w:before="60" w:after="60"/>
              <w:jc w:val="both"/>
              <w:rPr>
                <w:sz w:val="20"/>
                <w:szCs w:val="20"/>
              </w:rPr>
            </w:pPr>
            <w:r>
              <w:rPr>
                <w:sz w:val="20"/>
              </w:rPr>
              <w:t>2021</w:t>
            </w:r>
            <w:r w:rsidR="00BF3246">
              <w:rPr>
                <w:sz w:val="20"/>
              </w:rPr>
              <w:t>-2025</w:t>
            </w:r>
          </w:p>
        </w:tc>
        <w:tc>
          <w:tcPr>
            <w:tcW w:w="1973" w:type="dxa"/>
          </w:tcPr>
          <w:p w14:paraId="1A017946" w14:textId="77777777" w:rsidR="0048044D" w:rsidRPr="008D7B22" w:rsidRDefault="0048044D" w:rsidP="009F5F5B">
            <w:pPr>
              <w:spacing w:before="60" w:after="60"/>
              <w:jc w:val="both"/>
              <w:rPr>
                <w:rFonts w:ascii="Arial" w:hAnsi="Arial" w:cs="Arial"/>
                <w:sz w:val="20"/>
                <w:szCs w:val="20"/>
              </w:rPr>
            </w:pPr>
            <w:hyperlink r:id="rId16" w:history="1">
              <w:r>
                <w:rPr>
                  <w:rStyle w:val="Hyperlink"/>
                  <w:rFonts w:ascii="Arial" w:hAnsi="Arial"/>
                  <w:sz w:val="20"/>
                </w:rPr>
                <w:t>Page du projet</w:t>
              </w:r>
            </w:hyperlink>
            <w:r>
              <w:rPr>
                <w:rFonts w:ascii="Arial" w:hAnsi="Arial"/>
                <w:sz w:val="20"/>
              </w:rPr>
              <w:t xml:space="preserve"> </w:t>
            </w:r>
          </w:p>
        </w:tc>
      </w:tr>
      <w:tr w:rsidR="0048044D" w:rsidRPr="008D7B22" w14:paraId="75005CA5" w14:textId="77777777" w:rsidTr="0048044D">
        <w:tc>
          <w:tcPr>
            <w:tcW w:w="727" w:type="dxa"/>
          </w:tcPr>
          <w:p w14:paraId="2E9A6B8A" w14:textId="77777777" w:rsidR="0048044D" w:rsidRPr="008D7B22" w:rsidRDefault="0048044D" w:rsidP="009F5F5B">
            <w:pPr>
              <w:pStyle w:val="1GAPara"/>
              <w:numPr>
                <w:ilvl w:val="0"/>
                <w:numId w:val="0"/>
              </w:numPr>
              <w:spacing w:before="60" w:after="60"/>
              <w:jc w:val="both"/>
              <w:rPr>
                <w:sz w:val="20"/>
                <w:szCs w:val="20"/>
              </w:rPr>
            </w:pPr>
            <w:r>
              <w:rPr>
                <w:sz w:val="20"/>
              </w:rPr>
              <w:t>7</w:t>
            </w:r>
          </w:p>
        </w:tc>
        <w:tc>
          <w:tcPr>
            <w:tcW w:w="4611" w:type="dxa"/>
          </w:tcPr>
          <w:p w14:paraId="751C48D9" w14:textId="39A7F133" w:rsidR="0048044D" w:rsidRPr="008D7B22" w:rsidRDefault="0048044D" w:rsidP="009F5F5B">
            <w:pPr>
              <w:pStyle w:val="1GAPara"/>
              <w:numPr>
                <w:ilvl w:val="0"/>
                <w:numId w:val="0"/>
              </w:numPr>
              <w:spacing w:before="60" w:after="60"/>
              <w:jc w:val="both"/>
              <w:rPr>
                <w:sz w:val="20"/>
                <w:szCs w:val="20"/>
              </w:rPr>
            </w:pPr>
            <w:r>
              <w:rPr>
                <w:sz w:val="20"/>
              </w:rPr>
              <w:t>Renforcement des capacités de sauvegarde du patrimoine culturel immatériel dans les contextes de catastrophe</w:t>
            </w:r>
          </w:p>
        </w:tc>
        <w:tc>
          <w:tcPr>
            <w:tcW w:w="1756" w:type="dxa"/>
          </w:tcPr>
          <w:p w14:paraId="456F6363" w14:textId="77777777" w:rsidR="00BF3246" w:rsidRDefault="008B41B1" w:rsidP="004122E1">
            <w:pPr>
              <w:pStyle w:val="1GAPara"/>
              <w:numPr>
                <w:ilvl w:val="0"/>
                <w:numId w:val="0"/>
              </w:numPr>
              <w:spacing w:before="60" w:after="60"/>
              <w:jc w:val="both"/>
              <w:rPr>
                <w:sz w:val="20"/>
              </w:rPr>
            </w:pPr>
            <w:r>
              <w:rPr>
                <w:sz w:val="20"/>
              </w:rPr>
              <w:t>20</w:t>
            </w:r>
            <w:r w:rsidR="00BF3246">
              <w:rPr>
                <w:sz w:val="20"/>
              </w:rPr>
              <w:t>19-2025</w:t>
            </w:r>
          </w:p>
          <w:p w14:paraId="5923A41E" w14:textId="4BD8FB03" w:rsidR="0016024C" w:rsidRPr="008D7B22" w:rsidRDefault="00BF3246" w:rsidP="00644095">
            <w:pPr>
              <w:pStyle w:val="1GAPara"/>
              <w:numPr>
                <w:ilvl w:val="0"/>
                <w:numId w:val="0"/>
              </w:numPr>
              <w:spacing w:before="60" w:after="60"/>
              <w:jc w:val="both"/>
              <w:rPr>
                <w:sz w:val="20"/>
                <w:szCs w:val="20"/>
              </w:rPr>
            </w:pPr>
            <w:r>
              <w:rPr>
                <w:sz w:val="20"/>
              </w:rPr>
              <w:t>Achevé</w:t>
            </w:r>
          </w:p>
        </w:tc>
        <w:tc>
          <w:tcPr>
            <w:tcW w:w="1973" w:type="dxa"/>
          </w:tcPr>
          <w:p w14:paraId="2D92D4F4" w14:textId="77777777" w:rsidR="0048044D" w:rsidRPr="008D7B22" w:rsidRDefault="0048044D" w:rsidP="009F5F5B">
            <w:pPr>
              <w:pStyle w:val="1GAPara"/>
              <w:numPr>
                <w:ilvl w:val="0"/>
                <w:numId w:val="0"/>
              </w:numPr>
              <w:spacing w:before="60" w:after="60"/>
              <w:jc w:val="both"/>
              <w:rPr>
                <w:sz w:val="20"/>
                <w:szCs w:val="20"/>
              </w:rPr>
            </w:pPr>
            <w:hyperlink r:id="rId17" w:history="1">
              <w:r>
                <w:rPr>
                  <w:rStyle w:val="Hyperlink"/>
                  <w:sz w:val="20"/>
                </w:rPr>
                <w:t>Page du projet</w:t>
              </w:r>
            </w:hyperlink>
          </w:p>
        </w:tc>
      </w:tr>
      <w:tr w:rsidR="0048044D" w:rsidRPr="008D7B22" w14:paraId="6F3E1D7E" w14:textId="77777777" w:rsidTr="0048044D">
        <w:tc>
          <w:tcPr>
            <w:tcW w:w="727" w:type="dxa"/>
          </w:tcPr>
          <w:p w14:paraId="29EF1523" w14:textId="77777777" w:rsidR="0048044D" w:rsidRPr="008D7B22" w:rsidRDefault="0048044D" w:rsidP="009F5F5B">
            <w:pPr>
              <w:pStyle w:val="1GAPara"/>
              <w:numPr>
                <w:ilvl w:val="0"/>
                <w:numId w:val="0"/>
              </w:numPr>
              <w:spacing w:before="60" w:after="60"/>
              <w:jc w:val="both"/>
              <w:rPr>
                <w:sz w:val="20"/>
                <w:szCs w:val="20"/>
              </w:rPr>
            </w:pPr>
            <w:r>
              <w:rPr>
                <w:sz w:val="20"/>
              </w:rPr>
              <w:t>8</w:t>
            </w:r>
          </w:p>
        </w:tc>
        <w:tc>
          <w:tcPr>
            <w:tcW w:w="4611" w:type="dxa"/>
          </w:tcPr>
          <w:p w14:paraId="540AA878" w14:textId="022E8D71" w:rsidR="0048044D" w:rsidRPr="008D7B22" w:rsidRDefault="0048044D" w:rsidP="009F5F5B">
            <w:pPr>
              <w:pStyle w:val="1GAPara"/>
              <w:numPr>
                <w:ilvl w:val="0"/>
                <w:numId w:val="0"/>
              </w:numPr>
              <w:spacing w:before="60" w:after="60"/>
              <w:jc w:val="both"/>
              <w:rPr>
                <w:sz w:val="20"/>
                <w:szCs w:val="20"/>
              </w:rPr>
            </w:pPr>
            <w:r>
              <w:rPr>
                <w:sz w:val="20"/>
              </w:rPr>
              <w:t>Soutien à l'élaboration et à la mise en œuvre d’activités de renforcement des capacités pour la sauvegarde du patrimoine culturel immatériel dans les situations de conflit, y compris les situations de déplacement forcé</w:t>
            </w:r>
          </w:p>
        </w:tc>
        <w:tc>
          <w:tcPr>
            <w:tcW w:w="1756" w:type="dxa"/>
          </w:tcPr>
          <w:p w14:paraId="37EDEBBF" w14:textId="44D305F8" w:rsidR="0016024C" w:rsidRPr="008D7B22" w:rsidRDefault="008B41B1" w:rsidP="00DA1F43">
            <w:pPr>
              <w:pStyle w:val="1GAPara"/>
              <w:numPr>
                <w:ilvl w:val="0"/>
                <w:numId w:val="0"/>
              </w:numPr>
              <w:spacing w:before="60" w:after="60"/>
              <w:rPr>
                <w:sz w:val="20"/>
                <w:szCs w:val="20"/>
              </w:rPr>
            </w:pPr>
            <w:r>
              <w:rPr>
                <w:sz w:val="20"/>
              </w:rPr>
              <w:t>202</w:t>
            </w:r>
            <w:r w:rsidR="00A01344">
              <w:rPr>
                <w:sz w:val="20"/>
              </w:rPr>
              <w:t>1-2026</w:t>
            </w:r>
          </w:p>
        </w:tc>
        <w:tc>
          <w:tcPr>
            <w:tcW w:w="1973" w:type="dxa"/>
          </w:tcPr>
          <w:p w14:paraId="036C5D26" w14:textId="77777777" w:rsidR="0048044D" w:rsidRPr="008D7B22" w:rsidRDefault="0048044D" w:rsidP="009F5F5B">
            <w:pPr>
              <w:pStyle w:val="1GAPara"/>
              <w:numPr>
                <w:ilvl w:val="0"/>
                <w:numId w:val="0"/>
              </w:numPr>
              <w:spacing w:before="60" w:after="60"/>
              <w:jc w:val="both"/>
              <w:rPr>
                <w:sz w:val="20"/>
                <w:szCs w:val="20"/>
              </w:rPr>
            </w:pPr>
            <w:hyperlink r:id="rId18" w:history="1">
              <w:r>
                <w:rPr>
                  <w:rStyle w:val="Hyperlink"/>
                  <w:sz w:val="20"/>
                </w:rPr>
                <w:t>Page du projet</w:t>
              </w:r>
            </w:hyperlink>
          </w:p>
        </w:tc>
      </w:tr>
    </w:tbl>
    <w:p w14:paraId="0146F6EF" w14:textId="701CFD37" w:rsidR="0048044D" w:rsidRPr="008D7B22" w:rsidRDefault="0048044D" w:rsidP="001E0DC0">
      <w:pPr>
        <w:pStyle w:val="1GAPara"/>
        <w:numPr>
          <w:ilvl w:val="0"/>
          <w:numId w:val="0"/>
        </w:numPr>
        <w:spacing w:before="360"/>
        <w:jc w:val="both"/>
        <w:rPr>
          <w:b/>
          <w:bCs/>
        </w:rPr>
      </w:pPr>
      <w:r>
        <w:rPr>
          <w:b/>
        </w:rPr>
        <w:t xml:space="preserve">Principales réalisations dans le cadre de la </w:t>
      </w:r>
      <w:proofErr w:type="gramStart"/>
      <w:r>
        <w:rPr>
          <w:b/>
        </w:rPr>
        <w:t>première priorité</w:t>
      </w:r>
      <w:proofErr w:type="gramEnd"/>
      <w:r>
        <w:rPr>
          <w:b/>
        </w:rPr>
        <w:t xml:space="preserve"> de financement pour la période quadriennale 2022-2025</w:t>
      </w:r>
    </w:p>
    <w:p w14:paraId="671B42D5" w14:textId="44247E58" w:rsidR="00F7327C" w:rsidRPr="008D7B22" w:rsidRDefault="00ED2D07" w:rsidP="00F7327C">
      <w:pPr>
        <w:pStyle w:val="1GAPara"/>
        <w:ind w:left="567" w:hanging="567"/>
        <w:jc w:val="both"/>
      </w:pPr>
      <w:r>
        <w:t>Si les résultats positifs sont multiples (</w:t>
      </w:r>
      <w:r w:rsidR="003B0730">
        <w:t>vingt-sept</w:t>
      </w:r>
      <w:r>
        <w:t xml:space="preserve"> pays </w:t>
      </w:r>
      <w:r w:rsidR="003B0730">
        <w:t xml:space="preserve">bénéficiaires directs </w:t>
      </w:r>
      <w:r>
        <w:t>dans</w:t>
      </w:r>
      <w:r w:rsidR="003B0730">
        <w:t xml:space="preserve"> quatre</w:t>
      </w:r>
      <w:r>
        <w:t xml:space="preserve"> régions, </w:t>
      </w:r>
      <w:r w:rsidR="003B0730">
        <w:t>contribuant aux</w:t>
      </w:r>
      <w:r>
        <w:t xml:space="preserve"> six résultats), les principales réalisations dans le cadre de la </w:t>
      </w:r>
      <w:proofErr w:type="gramStart"/>
      <w:r>
        <w:t>première priorité</w:t>
      </w:r>
      <w:proofErr w:type="gramEnd"/>
      <w:r>
        <w:t xml:space="preserve"> de financement au cours de la période quadriennale 2022-2025 peuvent être résumées comme suit :</w:t>
      </w:r>
    </w:p>
    <w:p w14:paraId="606D4F4C" w14:textId="7F95CE0A" w:rsidR="00116981" w:rsidRPr="008D7B22" w:rsidRDefault="0068322D" w:rsidP="001E0DC0">
      <w:pPr>
        <w:pStyle w:val="1GAPara"/>
        <w:numPr>
          <w:ilvl w:val="0"/>
          <w:numId w:val="0"/>
        </w:numPr>
        <w:ind w:left="567"/>
        <w:rPr>
          <w:u w:val="single"/>
        </w:rPr>
      </w:pPr>
      <w:r>
        <w:rPr>
          <w:u w:val="single"/>
        </w:rPr>
        <w:t>C</w:t>
      </w:r>
      <w:r w:rsidR="00116981">
        <w:rPr>
          <w:u w:val="single"/>
        </w:rPr>
        <w:t>apacités humaines, politiques et cadres institutionnels</w:t>
      </w:r>
      <w:r>
        <w:rPr>
          <w:u w:val="single"/>
        </w:rPr>
        <w:t xml:space="preserve"> renforcés</w:t>
      </w:r>
    </w:p>
    <w:p w14:paraId="114C5C5A" w14:textId="76B5D0F0" w:rsidR="00630762" w:rsidRPr="008D7B22" w:rsidRDefault="00875C32" w:rsidP="00630762">
      <w:pPr>
        <w:pStyle w:val="1GAPara"/>
        <w:ind w:left="567" w:hanging="567"/>
        <w:jc w:val="both"/>
      </w:pPr>
      <w:r>
        <w:t>Plusieurs projets ont contribué à l’élaboration ou à la révision de politiques et de cadres juridiques et institutionnels. Par exemple, au Ghana, l</w:t>
      </w:r>
      <w:r w:rsidR="003B0730">
        <w:t xml:space="preserve">a politique culturelle nationale de 2004 a été révisée, ce qui a permis de formuler des recommandations visant à intégrer la sauvegarde du patrimoine vivant dans les programmes d’enseignement primaire et les stratégies nationales de développement. </w:t>
      </w:r>
      <w:r>
        <w:t xml:space="preserve">En Gambie, la collaboration </w:t>
      </w:r>
      <w:r w:rsidR="003B0730">
        <w:t xml:space="preserve">a été renforcée </w:t>
      </w:r>
      <w:r>
        <w:t>entre les ministères compétents, au-delà de la culture, jetant les bases d’une stratégie nationale qui intègre le patrimoine vivant aux politiques intersectorielles. De même,</w:t>
      </w:r>
      <w:r w:rsidR="003B0730">
        <w:t xml:space="preserve"> les interventions au Kenya ont permis la mise en </w:t>
      </w:r>
      <w:r>
        <w:t xml:space="preserve">d’une équipe nationale intérimaire dédiée au patrimoine culturel immatériel. L’expertise pour la mise en œuvre de la Convention au niveau national a également été renforcée dans certains cas. C’est le cas du projet mené au Ghana, qui a conduit à la création d’un réseau régional et national pour le patrimoine culturel immatériel. De même, le projet </w:t>
      </w:r>
      <w:r w:rsidR="003B0730">
        <w:t>en Dominique</w:t>
      </w:r>
      <w:r>
        <w:t xml:space="preserve"> a renforcé la coopération entre différentes institutions culturelles, créant une approche plus coordonnée de la sauvegarde du patrimoine vivant.</w:t>
      </w:r>
    </w:p>
    <w:p w14:paraId="26EB9320" w14:textId="381D84FE" w:rsidR="00116981" w:rsidRPr="008D7B22" w:rsidRDefault="00077250" w:rsidP="001E0DC0">
      <w:pPr>
        <w:pStyle w:val="1GAPara"/>
        <w:numPr>
          <w:ilvl w:val="0"/>
          <w:numId w:val="0"/>
        </w:numPr>
        <w:ind w:left="567"/>
        <w:jc w:val="both"/>
        <w:rPr>
          <w:u w:val="single"/>
        </w:rPr>
      </w:pPr>
      <w:r>
        <w:rPr>
          <w:u w:val="single"/>
        </w:rPr>
        <w:t xml:space="preserve">Sauvegarde du patrimoine vivant en réponse </w:t>
      </w:r>
      <w:r w:rsidR="00984C7A">
        <w:rPr>
          <w:u w:val="single"/>
        </w:rPr>
        <w:t xml:space="preserve">à de </w:t>
      </w:r>
      <w:r>
        <w:rPr>
          <w:u w:val="single"/>
        </w:rPr>
        <w:t>nouveaux défis</w:t>
      </w:r>
    </w:p>
    <w:p w14:paraId="248F7E14" w14:textId="4CAF63F4" w:rsidR="007F59B9" w:rsidRPr="008D7B22" w:rsidRDefault="007F42CB" w:rsidP="001E0DC0">
      <w:pPr>
        <w:pStyle w:val="1GAPara"/>
        <w:ind w:left="567" w:hanging="567"/>
        <w:jc w:val="both"/>
      </w:pPr>
      <w:r>
        <w:t>La période concernée a vu la finalisation de deux unités de formation</w:t>
      </w:r>
      <w:r w:rsidR="00677A85" w:rsidRPr="008D7B22">
        <w:rPr>
          <w:rStyle w:val="FootnoteReference"/>
        </w:rPr>
        <w:footnoteReference w:id="2"/>
      </w:r>
      <w:r>
        <w:t xml:space="preserve"> sur la réduction des risques de catastrophe testées aux Philippines et au Honduras. Deux autres unités de formation ont été créées pour </w:t>
      </w:r>
      <w:r w:rsidR="00984C7A">
        <w:t xml:space="preserve">approfondir </w:t>
      </w:r>
      <w:r>
        <w:t>le thème de la sauvegarde du patrimoine culturel immatériel dans les situations de conflit et de déplacement</w:t>
      </w:r>
      <w:r w:rsidR="00CD60E7" w:rsidRPr="008D7B22">
        <w:rPr>
          <w:rStyle w:val="FootnoteReference"/>
        </w:rPr>
        <w:footnoteReference w:id="3"/>
      </w:r>
      <w:r w:rsidR="00984C7A">
        <w:t xml:space="preserve">à travers </w:t>
      </w:r>
      <w:r>
        <w:t>un atelier de renforcement des capacités dans un camp de réfugiés au Cameroun. Cet atelier a été organisé en collaboration avec le Haut Commissariat des Nations Unies pour les réfugiés (HCR). Le projet a bénéficié à des groupes spécifiques, notamment les réfugiés, les communautés d’accueil, les acteurs humanitaires et les autorités nationales, qui ont évalué ensemble les conséquences des déplacements sur le patrimoine culturel immatériel et identifié les éléments qui contribuent à la résilience et à la reprise. En outre, un guide sur l’intégration de la sauvegarde du patrimoine vivant à l’action humanitaire a été élaboré pour évaluer l’impact des conflits et répondre aux besoins de sauvegarde dans les contextes d’urgence.</w:t>
      </w:r>
    </w:p>
    <w:p w14:paraId="616F5176" w14:textId="7F9A77BB" w:rsidR="00116981" w:rsidRPr="008D7B22" w:rsidRDefault="0068322D" w:rsidP="001E0DC0">
      <w:pPr>
        <w:pStyle w:val="1GAPara"/>
        <w:numPr>
          <w:ilvl w:val="0"/>
          <w:numId w:val="0"/>
        </w:numPr>
        <w:ind w:left="567"/>
        <w:jc w:val="both"/>
        <w:rPr>
          <w:u w:val="single"/>
        </w:rPr>
      </w:pPr>
      <w:r>
        <w:rPr>
          <w:u w:val="single"/>
        </w:rPr>
        <w:t>C</w:t>
      </w:r>
      <w:r w:rsidR="00116981">
        <w:rPr>
          <w:u w:val="single"/>
        </w:rPr>
        <w:t>adres et des méthodologies d’inventaire</w:t>
      </w:r>
      <w:r>
        <w:rPr>
          <w:u w:val="single"/>
        </w:rPr>
        <w:t xml:space="preserve"> améliorés</w:t>
      </w:r>
    </w:p>
    <w:p w14:paraId="14334855" w14:textId="59421BDB" w:rsidR="00911A07" w:rsidRPr="008D7B22" w:rsidRDefault="00911A07" w:rsidP="00F7327C">
      <w:pPr>
        <w:pStyle w:val="1GAPara"/>
        <w:ind w:left="567" w:hanging="567"/>
        <w:jc w:val="both"/>
      </w:pPr>
      <w:r>
        <w:t>L’inventaire par les communautés reste un domaine crucial pour le renforcement des capacités. Il s’agit d’une étape initiale essentielle vers l’élaboration de stratégies, de politiques et de plans de sauvegarde. Au Ghana, quatre-vingt-quatorze éléments du patrimoine vivant ont été inventoriés dans huit districts, et une base de données a été créée. En Gambie, vingt-quatre éléments ont été inventoriés dans toutes les régions du pays, ce qui a permis de créer une base de données nationale en ligne. Au Kenya, cinquante-neuf personnes ont été formées à l’inventaire communautaire, y compris des fonctionnaires, des praticiens culturels et des dirigeants de communautés. En outre, les inventaires ont souvent été considérés comme des outils permettant d’exploiter le potentiel du patrimoine vivant pour la résilience et le bien-être des communautés. Au Honduras, une activité d’inventaire par les communautés menée à Yamaranguila et à Santa Cruz del Rosario s’est concentrée sur l’identification des éléments du patrimoine vivant liés à la réduction des risques de catastrophes.</w:t>
      </w:r>
    </w:p>
    <w:p w14:paraId="517645D4" w14:textId="13EBE15C" w:rsidR="00116981" w:rsidRPr="008D7B22" w:rsidRDefault="007D2B49" w:rsidP="001E0DC0">
      <w:pPr>
        <w:pStyle w:val="1GAPara"/>
        <w:widowControl w:val="0"/>
        <w:numPr>
          <w:ilvl w:val="0"/>
          <w:numId w:val="0"/>
        </w:numPr>
        <w:spacing w:before="120"/>
        <w:ind w:left="5747" w:hanging="5180"/>
        <w:rPr>
          <w:u w:val="single"/>
        </w:rPr>
      </w:pPr>
      <w:r>
        <w:rPr>
          <w:u w:val="single"/>
        </w:rPr>
        <w:t>Participation accrue aux mécanismes de coopération internationale de la Convention</w:t>
      </w:r>
    </w:p>
    <w:p w14:paraId="76ADDC4A" w14:textId="78C74A46" w:rsidR="00A375F3" w:rsidRPr="008D7B22" w:rsidRDefault="00A375F3" w:rsidP="00F7327C">
      <w:pPr>
        <w:pStyle w:val="1GAPara"/>
        <w:widowControl w:val="0"/>
        <w:ind w:left="567" w:hanging="567"/>
        <w:jc w:val="both"/>
      </w:pPr>
      <w:r>
        <w:t xml:space="preserve">Les contributions volontaires ont renforcé l’engagement des pays africains et des PEID dans les mécanismes de coopération internationale de la Convention. Par exemple, une intervention au Ghana </w:t>
      </w:r>
      <w:r w:rsidR="00C91D2D">
        <w:t>a contribué à ce que le</w:t>
      </w:r>
      <w:r>
        <w:t xml:space="preserve"> pays </w:t>
      </w:r>
      <w:r w:rsidR="00C91D2D">
        <w:t>obtienne</w:t>
      </w:r>
      <w:r>
        <w:t xml:space="preserve"> sa première inscription sur la Liste représentative du patrimoine culturel immatériel de l’humanité. De même, une formation dispensée dans dix-neuf PEID des Caraïbes (dont la Barbade, le Belize, Cuba et Haïti) a conduit à la </w:t>
      </w:r>
      <w:r w:rsidR="00AC2E38">
        <w:t xml:space="preserve">soumission </w:t>
      </w:r>
      <w:r>
        <w:t xml:space="preserve">de quatre candidatures </w:t>
      </w:r>
      <w:r w:rsidR="00AC2E38">
        <w:t>aux L</w:t>
      </w:r>
      <w:r>
        <w:t>es listes de la Convention, tout en favorisant le dialogue et la coopération dans la région. Parallèlement, les projets menés en Gambie et en Tanzanie ont contribué à renforcer les capacités nationales de demande d’</w:t>
      </w:r>
      <w:r w:rsidR="00AC2E38">
        <w:t>A</w:t>
      </w:r>
      <w:r>
        <w:t>ssistance internationale. Dans les deux cas, les pays ont reçu une assistance du Fonds du patrimoine culturel immatériel.</w:t>
      </w:r>
    </w:p>
    <w:p w14:paraId="2E4516E6" w14:textId="2057B596" w:rsidR="002F56DF" w:rsidRPr="008D7B22" w:rsidRDefault="002F56DF" w:rsidP="001E0DC0">
      <w:pPr>
        <w:pStyle w:val="1GAPara"/>
        <w:widowControl w:val="0"/>
        <w:numPr>
          <w:ilvl w:val="0"/>
          <w:numId w:val="0"/>
        </w:numPr>
        <w:spacing w:before="120"/>
        <w:ind w:left="5747" w:hanging="5180"/>
        <w:rPr>
          <w:u w:val="single"/>
        </w:rPr>
      </w:pPr>
      <w:r>
        <w:rPr>
          <w:u w:val="single"/>
        </w:rPr>
        <w:t>Utilisation du Cadre global de résultats dans les interventions politiques et le suivi</w:t>
      </w:r>
    </w:p>
    <w:p w14:paraId="46A0365F" w14:textId="43C50290" w:rsidR="00F7327C" w:rsidRPr="008D7B22" w:rsidRDefault="00F7327C" w:rsidP="00F7327C">
      <w:pPr>
        <w:pStyle w:val="1GAPara"/>
        <w:widowControl w:val="0"/>
        <w:ind w:left="567" w:hanging="567"/>
        <w:jc w:val="both"/>
      </w:pPr>
      <w:r>
        <w:t xml:space="preserve">Enfin, la priorité de financement a permis d’améliorer l’accessibilité et l’utilisation du Cadre global de résultats de la Convention. Ce projet a conduit à l’élaboration de deux outils interactifs et en ligne essentiels qui renforcent l’autoapprentissage durable des différentes parties prenantes. Le premier outil est le cours autonome en ligne « Le Cadre global de résultats de la Convention de 2003 et son application </w:t>
      </w:r>
      <w:r w:rsidR="00AC2E38">
        <w:t xml:space="preserve">à </w:t>
      </w:r>
      <w:r>
        <w:t xml:space="preserve">la conception, la mise en œuvre et le suivi de projets axés sur les résultats », disponible sur la </w:t>
      </w:r>
      <w:hyperlink r:id="rId19" w:history="1">
        <w:r>
          <w:rPr>
            <w:rStyle w:val="Hyperlink"/>
          </w:rPr>
          <w:t>Plateforme d’apprentissage</w:t>
        </w:r>
      </w:hyperlink>
      <w:r>
        <w:t xml:space="preserve"> pour la sauvegarde du patrimoine culturel immatériel. Lancé en avril 2025, le cours marque une avancée dans l’expansion des outils pédagogiques visant à promouvoir une meilleure compréhension du Cadre global de résultats et à encourager son application dans les rapports axés sur les résultats. En outre, un manuel pratique est en cours d’élaboration pour aider les points focaux et les autres parties prenantes à établir des rapports périodiques. Ce guide sera finalisé en même temps que le passage à un système unique de soumission globale des rapports</w:t>
      </w:r>
      <w:r w:rsidR="00C23F5D">
        <w:t xml:space="preserve"> périodiques.</w:t>
      </w:r>
    </w:p>
    <w:p w14:paraId="401B1346" w14:textId="6ACE9340" w:rsidR="002F56DF" w:rsidRPr="008D7B22" w:rsidRDefault="002F56DF" w:rsidP="001E0DC0">
      <w:pPr>
        <w:pStyle w:val="1GAPara"/>
        <w:widowControl w:val="0"/>
        <w:numPr>
          <w:ilvl w:val="0"/>
          <w:numId w:val="0"/>
        </w:numPr>
        <w:spacing w:before="120"/>
        <w:ind w:left="5747" w:hanging="5180"/>
        <w:rPr>
          <w:u w:val="single"/>
        </w:rPr>
      </w:pPr>
      <w:r>
        <w:rPr>
          <w:u w:val="single"/>
        </w:rPr>
        <w:t>Autres réalisations pertinentes du programme mondial de renforcement des capacités</w:t>
      </w:r>
    </w:p>
    <w:p w14:paraId="495D4AD7" w14:textId="6A5EBED4" w:rsidR="002F56DF" w:rsidRPr="008D7B22" w:rsidRDefault="002F56DF" w:rsidP="001E0DC0">
      <w:pPr>
        <w:pStyle w:val="1GAPara"/>
        <w:widowControl w:val="0"/>
        <w:ind w:left="567" w:hanging="567"/>
        <w:jc w:val="both"/>
      </w:pPr>
      <w:r>
        <w:t>Au cours de la deuxième période quadriennale, le programme a adopté une réorientation stratégique afin de développer de nouveaux formats de diffusion (hybrides, en ligne et en personne). L’objectif était d’élargir sa portée à divers publics et acteurs engagés dans le patrimoine vivant et le développement durable. Cette réorientation a pris en compte les leçons tirées de la pandémie de COVID-19 et a introduit de nouveaux domaines d’intervention concernant les contextes d’urgence, l’éducation, l’égalité entre les hommes et les femmes et le développement durable. Des efforts considérables ont été déployés pour renforcer les capacités concernant les rapports périodiques, conformément à la recommandation n</w:t>
      </w:r>
      <w:r>
        <w:rPr>
          <w:vertAlign w:val="superscript"/>
        </w:rPr>
        <w:t>o</w:t>
      </w:r>
      <w:r>
        <w:t> 9 de l’évaluation </w:t>
      </w:r>
      <w:r w:rsidR="00C23F5D">
        <w:t xml:space="preserve">de la Division des services de contrôle interne (IOS) de </w:t>
      </w:r>
      <w:r>
        <w:t xml:space="preserve">2021. Une approche multimodale, avec des formations en ligne et en personne, a été appliquée pour accroître la portée et l’efficacité des activités (voir le </w:t>
      </w:r>
      <w:r w:rsidR="00C23F5D" w:rsidRPr="00A06089">
        <w:t>d</w:t>
      </w:r>
      <w:r w:rsidRPr="00A06089">
        <w:t>ocument </w:t>
      </w:r>
      <w:hyperlink r:id="rId20" w:history="1">
        <w:r w:rsidRPr="00A06089">
          <w:rPr>
            <w:rStyle w:val="Hyperlink"/>
          </w:rPr>
          <w:t>LHE/25/20.COM/6.c</w:t>
        </w:r>
      </w:hyperlink>
      <w:r>
        <w:t>). En conséquence, les points focaux et les parties prenantes nationales ont considérablement renforcé leurs capacités à participer au mécanisme de soumission de rapports périodiques de la Convention. Le processus a démontré le potentiel de l’outil de soumission des rapports en tant qu’instrument de suivi axé sur les résultats, étroitement aligné sur le Cadre global de résultats. Il a également permis aux points focaux d’utiliser l’exercice de rapports périodiques pour renforcer les synergies intersectorielles et promouvoir la coopération entre les institutions au niveau national.</w:t>
      </w:r>
    </w:p>
    <w:p w14:paraId="6B267B5E" w14:textId="0B09D6FB" w:rsidR="00C11AB2" w:rsidRPr="008D7B22" w:rsidRDefault="00464BF9" w:rsidP="008310C1">
      <w:pPr>
        <w:pStyle w:val="1GAPara"/>
        <w:keepNext/>
        <w:numPr>
          <w:ilvl w:val="0"/>
          <w:numId w:val="0"/>
        </w:numPr>
        <w:spacing w:before="240"/>
        <w:ind w:left="567"/>
        <w:jc w:val="both"/>
        <w:rPr>
          <w:b/>
          <w:bCs/>
        </w:rPr>
      </w:pPr>
      <w:r>
        <w:rPr>
          <w:b/>
        </w:rPr>
        <w:t>Enseignements tirés de la période quadriennale</w:t>
      </w:r>
    </w:p>
    <w:p w14:paraId="4EBFF6DD" w14:textId="69BB2D0B" w:rsidR="00464BF9" w:rsidRPr="008D7B22" w:rsidRDefault="00464BF9" w:rsidP="008310C1">
      <w:pPr>
        <w:pStyle w:val="1GAPara"/>
        <w:keepNext/>
        <w:ind w:left="567" w:hanging="567"/>
        <w:jc w:val="both"/>
      </w:pPr>
      <w:bookmarkStart w:id="1" w:name="_Hlk209339347"/>
      <w:r>
        <w:t>Les enseignements tirés de la priorité de financement actuelle fournissent des indications précieuses pour l’orientation stratégique du programme mondial de renforcement des capacités en général, et des priorités de financement en particulier, au cours de la prochaine période quadriennale :</w:t>
      </w:r>
    </w:p>
    <w:p w14:paraId="67CC6E0D" w14:textId="33EBE08A" w:rsidR="00461F11" w:rsidRPr="008D7B22" w:rsidRDefault="00EC1CE2" w:rsidP="001E0DC0">
      <w:pPr>
        <w:pStyle w:val="1GAPara"/>
        <w:numPr>
          <w:ilvl w:val="0"/>
          <w:numId w:val="43"/>
        </w:numPr>
        <w:jc w:val="both"/>
      </w:pPr>
      <w:bookmarkStart w:id="2" w:name="_Hlk209341149"/>
      <w:bookmarkEnd w:id="1"/>
      <w:r>
        <w:rPr>
          <w:b/>
        </w:rPr>
        <w:t>Le renforcement des capacités régionales en matière de mécanismes internationaux peut renforcer l’engagement des États parties dans les processus fondamentaux de la Convention.</w:t>
      </w:r>
      <w:r>
        <w:t xml:space="preserve"> L’initiative régionale pionnière ciblant les PEID des Caraïbes a démontré comment </w:t>
      </w:r>
      <w:r w:rsidR="00C23F5D">
        <w:t xml:space="preserve">un </w:t>
      </w:r>
      <w:r>
        <w:t>renforcement des capacités</w:t>
      </w:r>
      <w:r w:rsidR="00C23F5D">
        <w:t xml:space="preserve"> adapté au contexte, centré</w:t>
      </w:r>
      <w:r>
        <w:t xml:space="preserve"> </w:t>
      </w:r>
      <w:r w:rsidR="00C23F5D">
        <w:t>sur les mécanismes d’inscription de la Convention,</w:t>
      </w:r>
      <w:r w:rsidR="00C23F5D" w:rsidDel="00C23F5D">
        <w:t xml:space="preserve"> </w:t>
      </w:r>
      <w:r>
        <w:t xml:space="preserve">peut </w:t>
      </w:r>
      <w:r w:rsidR="00C23F5D">
        <w:t xml:space="preserve">efficacement </w:t>
      </w:r>
      <w:r w:rsidR="009E1B19">
        <w:t>renforcer</w:t>
      </w:r>
      <w:r w:rsidR="00A56753">
        <w:t xml:space="preserve"> </w:t>
      </w:r>
      <w:r>
        <w:t xml:space="preserve">les capacités des États parties à préparer </w:t>
      </w:r>
      <w:r w:rsidR="00A56753">
        <w:t xml:space="preserve">des </w:t>
      </w:r>
      <w:r>
        <w:t>candidatures, en prenant en compte certains des changements clés introduits après la réflexion globale sur les mécanismes d’inscription (2018-2022). Cette approche a non seulement permis d’augmenter le nombre de candidatures en cours de préparation ou déjà soumises par ces États parties, mais elle a également favorisé une meilleure compréhension et une plus grande appropriation des cadres de sauvegarde et de coopération de la Convention. Le projet a également favorisé l’apprentissage par les pairs, la collaboration et l’échange au niveau régional, établissant un modèle reproductible pour soutenir d’autres régions et d’autres priorités thématiques. La pertinence de cette initiative souligne l’importance des modalités régionales pour compléter les efforts nationaux et mondiaux, en particulier pour les États parties ayant des contextes et des défis communs.</w:t>
      </w:r>
    </w:p>
    <w:bookmarkEnd w:id="2"/>
    <w:p w14:paraId="0A1E8B46" w14:textId="543963F6" w:rsidR="00461F11" w:rsidRPr="008D7B22" w:rsidRDefault="00B25DFA" w:rsidP="001E0DC0">
      <w:pPr>
        <w:pStyle w:val="1GAPara"/>
        <w:numPr>
          <w:ilvl w:val="0"/>
          <w:numId w:val="43"/>
        </w:numPr>
        <w:jc w:val="both"/>
      </w:pPr>
      <w:r>
        <w:rPr>
          <w:b/>
        </w:rPr>
        <w:t xml:space="preserve">L’approche pluriannuelle du renforcement des capacités continue de démontrer sa pertinence dans le renforcement des cadres de sauvegarde au niveau national. </w:t>
      </w:r>
      <w:r>
        <w:t>Une aide prolongée a permis aux États bénéficiaires d’établir ou de renforcer des mécanismes solides d’inventaire et de sauvegarde et a contribué à la mise en place d’un environnement politique favorable, générant ainsi une dynamique importante en faveur de la sauvegarde du patrimoine vivant. Cela s’est traduit par un renforcement des mécanismes de sauvegarde au niveau national, ainsi que par un engagement accru dans les processus de coopération internationale, y compris les demandes d’</w:t>
      </w:r>
      <w:r w:rsidR="00A56753">
        <w:t>A</w:t>
      </w:r>
      <w:r>
        <w:t xml:space="preserve">ssistance internationale par l’intermédiaire du Fonds du patrimoine culturel immatériel et la préparation de candidatures pour les </w:t>
      </w:r>
      <w:r w:rsidR="00A56753">
        <w:t>L</w:t>
      </w:r>
      <w:r>
        <w:t xml:space="preserve">istes et le </w:t>
      </w:r>
      <w:r w:rsidR="00A56753">
        <w:t>R</w:t>
      </w:r>
      <w:r>
        <w:t>egistre de la Convention. En outre, l’approche a facilité l’appropriation par les institutions et le développement de l’expertise locale, notamment par la mise en place de réseaux nationaux d’experts et de formateurs. En favorisant l’intégration de la sauvegarde du patrimoine culturel immatériel dans des stratégies de développement national plus larges, cette approche a contribué à des efforts de sauvegarde durables.</w:t>
      </w:r>
    </w:p>
    <w:p w14:paraId="7B529C60" w14:textId="113DD730" w:rsidR="00FC1A3A" w:rsidRPr="008D7B22" w:rsidRDefault="00FC1A3A" w:rsidP="001E0DC0">
      <w:pPr>
        <w:pStyle w:val="1GAPara"/>
        <w:numPr>
          <w:ilvl w:val="0"/>
          <w:numId w:val="43"/>
        </w:numPr>
        <w:jc w:val="both"/>
      </w:pPr>
      <w:r>
        <w:rPr>
          <w:b/>
        </w:rPr>
        <w:t>Les contributions volontaires affectées permettent de développer de nouveaux domaines d’intervention</w:t>
      </w:r>
      <w:r w:rsidR="00A56753">
        <w:rPr>
          <w:b/>
        </w:rPr>
        <w:t xml:space="preserve">, </w:t>
      </w:r>
      <w:r w:rsidR="00A56753" w:rsidRPr="00644095">
        <w:rPr>
          <w:bCs/>
        </w:rPr>
        <w:t>répondant</w:t>
      </w:r>
      <w:r w:rsidR="00A56753">
        <w:rPr>
          <w:bCs/>
        </w:rPr>
        <w:t xml:space="preserve"> </w:t>
      </w:r>
      <w:r>
        <w:t xml:space="preserve">aux défis émergents de la sauvegarde du patrimoine culturel immatériel dans le cadre de la Convention. Les approches de renforcement des capacités se sont concentrées sur des domaines prioritaires, notamment la sauvegarde du patrimoine vivant dans le cadre de la réduction des risques de catastrophes et des situations de conflit, y compris les déplacements forcés. L’engagement de nouveaux publics et de parties prenantes en dehors du secteur culturel a été recherché. Bien que ce nouveau sujet </w:t>
      </w:r>
      <w:r w:rsidR="00A56753">
        <w:t>ait</w:t>
      </w:r>
      <w:r>
        <w:t xml:space="preserve"> nécessité une attention particulière lors de l’établissement de méthodologies sur une longue période, une approche progressive a permis de développer des supports de renforcement des capacités, de former des experts et des facilitateurs, et de mettre en œuvre des activités pilotes au niveau national.</w:t>
      </w:r>
    </w:p>
    <w:p w14:paraId="49A5DBF9" w14:textId="55DD3B14" w:rsidR="00DB71FE" w:rsidRPr="008D7B22" w:rsidRDefault="00245B51" w:rsidP="001E0DC0">
      <w:pPr>
        <w:pStyle w:val="1GAPara"/>
        <w:numPr>
          <w:ilvl w:val="0"/>
          <w:numId w:val="43"/>
        </w:numPr>
        <w:jc w:val="both"/>
      </w:pPr>
      <w:r>
        <w:t xml:space="preserve">Si les contributions volontaires supplémentaires ont permis d’obtenir de nombreux résultats positifs, il subsiste un décalage entre les attentes élevées liées à la </w:t>
      </w:r>
      <w:proofErr w:type="gramStart"/>
      <w:r>
        <w:t>première priorité</w:t>
      </w:r>
      <w:proofErr w:type="gramEnd"/>
      <w:r>
        <w:t xml:space="preserve"> de financement et le nombre et l’ampleur limités des contributions reçues. Cette situation, combinée à la nécessité d’aborder un large éventail de domaines d’intervention dans des contextes divers, a entraîné une prolongation des délais de mise en œuvre. </w:t>
      </w:r>
      <w:r>
        <w:rPr>
          <w:b/>
        </w:rPr>
        <w:t xml:space="preserve">Pour l’avenir, il est essentiel de </w:t>
      </w:r>
      <w:r w:rsidR="00A56753">
        <w:rPr>
          <w:b/>
        </w:rPr>
        <w:t>clarifier</w:t>
      </w:r>
      <w:r>
        <w:rPr>
          <w:b/>
        </w:rPr>
        <w:t xml:space="preserve"> quels domaines prioritaires de la Convention bénéficieraient le plus des contributions volontaires affectées,</w:t>
      </w:r>
      <w:r>
        <w:t xml:space="preserve"> tout en reconnaissant que d’autres modalités de financement – telles que le dossier d’</w:t>
      </w:r>
      <w:r w:rsidR="00A56753">
        <w:t>A</w:t>
      </w:r>
      <w:r>
        <w:t xml:space="preserve">ssistance internationale du Fonds du patrimoine culturel immatériel, la coopération dans le cadre des fonds-en-dépôt et les contributions supplémentaires aux programmes ordinaires – soutiennent également le développement de la Convention. À cet égard, une série de propositions pour les prochaines priorités de financement est soumise à l’examen du Comité lors de sa présente session </w:t>
      </w:r>
      <w:r w:rsidRPr="00A06089">
        <w:t>(</w:t>
      </w:r>
      <w:r w:rsidR="00A56753" w:rsidRPr="00A06089">
        <w:t>d</w:t>
      </w:r>
      <w:r w:rsidRPr="00A06089">
        <w:t>ocument </w:t>
      </w:r>
      <w:hyperlink r:id="rId21" w:history="1">
        <w:r w:rsidRPr="00A06089">
          <w:rPr>
            <w:rStyle w:val="Hyperlink"/>
          </w:rPr>
          <w:t>LHE/25/20.COM/13</w:t>
        </w:r>
      </w:hyperlink>
      <w:r w:rsidRPr="00A06089">
        <w:t>).</w:t>
      </w:r>
    </w:p>
    <w:bookmarkEnd w:id="0"/>
    <w:p w14:paraId="78C4339F" w14:textId="335AF15B" w:rsidR="00C11AB2" w:rsidRPr="008D7B22" w:rsidRDefault="00C11AB2" w:rsidP="001E0DC0">
      <w:pPr>
        <w:pStyle w:val="1GAPara"/>
        <w:numPr>
          <w:ilvl w:val="0"/>
          <w:numId w:val="0"/>
        </w:numPr>
        <w:ind w:left="5387"/>
        <w:jc w:val="both"/>
      </w:pPr>
    </w:p>
    <w:sectPr w:rsidR="00C11AB2" w:rsidRPr="008D7B22" w:rsidSect="002938F2">
      <w:headerReference w:type="even" r:id="rId22"/>
      <w:headerReference w:type="default" r:id="rId23"/>
      <w:headerReference w:type="first" r:id="rId24"/>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65B11" w14:textId="77777777" w:rsidR="00483713" w:rsidRDefault="00483713" w:rsidP="002938F2">
      <w:r>
        <w:separator/>
      </w:r>
    </w:p>
    <w:p w14:paraId="0C70A0DA" w14:textId="77777777" w:rsidR="00483713" w:rsidRDefault="00483713"/>
  </w:endnote>
  <w:endnote w:type="continuationSeparator" w:id="0">
    <w:p w14:paraId="01685B0E" w14:textId="77777777" w:rsidR="00483713" w:rsidRDefault="00483713" w:rsidP="002938F2">
      <w:r>
        <w:continuationSeparator/>
      </w:r>
    </w:p>
    <w:p w14:paraId="1B79EB4D" w14:textId="77777777" w:rsidR="00483713" w:rsidRDefault="00483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CD0AC" w14:textId="77777777" w:rsidR="00483713" w:rsidRDefault="00483713" w:rsidP="002938F2">
      <w:r>
        <w:separator/>
      </w:r>
    </w:p>
  </w:footnote>
  <w:footnote w:type="continuationSeparator" w:id="0">
    <w:p w14:paraId="58C599EA" w14:textId="77777777" w:rsidR="00483713" w:rsidRDefault="00483713" w:rsidP="002938F2">
      <w:r>
        <w:continuationSeparator/>
      </w:r>
    </w:p>
    <w:p w14:paraId="2FAE8AF0" w14:textId="77777777" w:rsidR="00483713" w:rsidRDefault="00483713"/>
  </w:footnote>
  <w:footnote w:id="1">
    <w:p w14:paraId="57EA1A0A" w14:textId="2D8520F2" w:rsidR="00EF3A9F" w:rsidRPr="001E0DC0" w:rsidRDefault="00EF3A9F" w:rsidP="001E0DC0">
      <w:pPr>
        <w:pStyle w:val="1GAPara"/>
        <w:numPr>
          <w:ilvl w:val="0"/>
          <w:numId w:val="0"/>
        </w:numPr>
        <w:jc w:val="both"/>
        <w:rPr>
          <w:sz w:val="18"/>
          <w:szCs w:val="18"/>
        </w:rPr>
      </w:pPr>
      <w:r>
        <w:rPr>
          <w:rStyle w:val="FootnoteReference"/>
        </w:rPr>
        <w:footnoteRef/>
      </w:r>
      <w:r>
        <w:t xml:space="preserve"> </w:t>
      </w:r>
      <w:r>
        <w:rPr>
          <w:sz w:val="18"/>
        </w:rPr>
        <w:t xml:space="preserve">Les principales réalisations de la première décennie sont les suivantes : (a) l’élaboration de supports de renforcement des capacités sur des sujets </w:t>
      </w:r>
      <w:r w:rsidR="00A01344">
        <w:rPr>
          <w:sz w:val="18"/>
        </w:rPr>
        <w:t xml:space="preserve">fondamentaux </w:t>
      </w:r>
      <w:r>
        <w:rPr>
          <w:sz w:val="18"/>
        </w:rPr>
        <w:t>tels que la mise en œuvre de la Convention au niveau national, les cadres politiques et juridiques, l’inventaire par les communautés et les plans de sauvegarde ; (b) l’élaboration d’une première cohorte pour le réseau mondial de facilitateurs formés par le Secrétariat pour soutenir les communautés, les États parties et les autres parties prenantes concernées ; et (c) la mise en œuvre de services de formation et de conseil au niveau national, y compris pour le développement de réseaux de personnes ressources et l’assistance technique pour l’élaboration de politiques. En 2017, le programme avait formé plus de 2 400 personnes dans plus de 120</w:t>
      </w:r>
      <w:r w:rsidR="00A01344">
        <w:rPr>
          <w:sz w:val="18"/>
        </w:rPr>
        <w:t xml:space="preserve"> </w:t>
      </w:r>
      <w:r>
        <w:rPr>
          <w:sz w:val="18"/>
        </w:rPr>
        <w:t>pays (voir l’</w:t>
      </w:r>
      <w:r w:rsidR="00A01344">
        <w:rPr>
          <w:sz w:val="18"/>
        </w:rPr>
        <w:t>a</w:t>
      </w:r>
      <w:r>
        <w:rPr>
          <w:sz w:val="18"/>
        </w:rPr>
        <w:t xml:space="preserve">nnexe II du </w:t>
      </w:r>
      <w:r w:rsidR="00A01344">
        <w:rPr>
          <w:sz w:val="18"/>
        </w:rPr>
        <w:t>d</w:t>
      </w:r>
      <w:r>
        <w:rPr>
          <w:sz w:val="18"/>
        </w:rPr>
        <w:t>ocument </w:t>
      </w:r>
      <w:hyperlink r:id="rId1" w:history="1">
        <w:r>
          <w:rPr>
            <w:rStyle w:val="Hyperlink"/>
            <w:sz w:val="18"/>
          </w:rPr>
          <w:t>LHE/21/16.COM/12</w:t>
        </w:r>
      </w:hyperlink>
      <w:r>
        <w:rPr>
          <w:sz w:val="18"/>
        </w:rPr>
        <w:t>).</w:t>
      </w:r>
    </w:p>
    <w:p w14:paraId="48EBDA68" w14:textId="4AF5D98F" w:rsidR="00EF3A9F" w:rsidRPr="00EF3A9F" w:rsidRDefault="00EF3A9F">
      <w:pPr>
        <w:pStyle w:val="FootnoteText"/>
      </w:pPr>
    </w:p>
  </w:footnote>
  <w:footnote w:id="2">
    <w:p w14:paraId="4A8EFBF1" w14:textId="2CE581BE" w:rsidR="00677A85" w:rsidRPr="001E0DC0" w:rsidRDefault="00677A85">
      <w:pPr>
        <w:pStyle w:val="FootnoteText"/>
        <w:rPr>
          <w:rFonts w:ascii="Arial" w:hAnsi="Arial" w:cs="Arial"/>
          <w:sz w:val="18"/>
          <w:szCs w:val="18"/>
        </w:rPr>
      </w:pPr>
      <w:r>
        <w:rPr>
          <w:rStyle w:val="FootnoteReference"/>
          <w:rFonts w:asciiTheme="minorHAnsi" w:hAnsiTheme="minorHAnsi" w:cstheme="minorHAnsi"/>
        </w:rPr>
        <w:footnoteRef/>
      </w:r>
      <w:r>
        <w:rPr>
          <w:rFonts w:asciiTheme="minorHAnsi" w:hAnsiTheme="minorHAnsi"/>
        </w:rPr>
        <w:t xml:space="preserve"> </w:t>
      </w:r>
      <w:r>
        <w:rPr>
          <w:rFonts w:ascii="Arial" w:hAnsi="Arial"/>
          <w:sz w:val="18"/>
        </w:rPr>
        <w:t xml:space="preserve">« Principes de base </w:t>
      </w:r>
      <w:r w:rsidR="00984C7A">
        <w:rPr>
          <w:rFonts w:ascii="Arial" w:hAnsi="Arial"/>
          <w:sz w:val="18"/>
        </w:rPr>
        <w:t xml:space="preserve">de </w:t>
      </w:r>
      <w:r>
        <w:rPr>
          <w:rFonts w:ascii="Arial" w:hAnsi="Arial"/>
          <w:sz w:val="18"/>
        </w:rPr>
        <w:t>la réduction des risques de catastrophes (RRC) et patrimoine culturel immatériel » (</w:t>
      </w:r>
      <w:hyperlink r:id="rId2" w:anchor="#unite-63-principes-de-base-de-la-reduction-des-risques-de-catastrophes-et-patrimoine-culturel-immaterielbr" w:history="1">
        <w:r>
          <w:rPr>
            <w:rStyle w:val="Hyperlink"/>
            <w:rFonts w:ascii="Arial" w:hAnsi="Arial"/>
            <w:sz w:val="18"/>
          </w:rPr>
          <w:t>Unité 63</w:t>
        </w:r>
      </w:hyperlink>
      <w:r>
        <w:rPr>
          <w:rFonts w:ascii="Arial" w:hAnsi="Arial"/>
          <w:sz w:val="18"/>
        </w:rPr>
        <w:t xml:space="preserve">) et « Intégration de la </w:t>
      </w:r>
      <w:r w:rsidR="009E1B19">
        <w:rPr>
          <w:rFonts w:ascii="Arial" w:hAnsi="Arial"/>
          <w:sz w:val="18"/>
        </w:rPr>
        <w:t>réduction des risques des catastrophes (</w:t>
      </w:r>
      <w:r>
        <w:rPr>
          <w:rFonts w:ascii="Arial" w:hAnsi="Arial"/>
          <w:sz w:val="18"/>
        </w:rPr>
        <w:t>RRC</w:t>
      </w:r>
      <w:r w:rsidR="009E1B19">
        <w:rPr>
          <w:rFonts w:ascii="Arial" w:hAnsi="Arial"/>
          <w:sz w:val="18"/>
        </w:rPr>
        <w:t>)</w:t>
      </w:r>
      <w:r>
        <w:rPr>
          <w:rFonts w:ascii="Arial" w:hAnsi="Arial"/>
          <w:sz w:val="18"/>
        </w:rPr>
        <w:t xml:space="preserve"> dans les inventaires du </w:t>
      </w:r>
      <w:r w:rsidR="00984C7A">
        <w:rPr>
          <w:rFonts w:ascii="Arial" w:hAnsi="Arial"/>
          <w:sz w:val="18"/>
        </w:rPr>
        <w:t>patrimoine culturel immatériel</w:t>
      </w:r>
      <w:r>
        <w:rPr>
          <w:rFonts w:ascii="Arial" w:hAnsi="Arial"/>
          <w:sz w:val="18"/>
        </w:rPr>
        <w:t> » (</w:t>
      </w:r>
      <w:hyperlink r:id="rId3" w:anchor="#unite-64-integration-de-la-reduction-des-risques-de-catastrophes-dans-les-inventaires-du-patrimoine-culturel-immaterielbr" w:history="1">
        <w:r>
          <w:rPr>
            <w:rStyle w:val="Hyperlink"/>
            <w:rFonts w:ascii="Arial" w:hAnsi="Arial"/>
            <w:sz w:val="18"/>
          </w:rPr>
          <w:t>Unité 64</w:t>
        </w:r>
      </w:hyperlink>
      <w:r>
        <w:rPr>
          <w:rFonts w:ascii="Arial" w:hAnsi="Arial"/>
          <w:sz w:val="18"/>
        </w:rPr>
        <w:t>)</w:t>
      </w:r>
      <w:r>
        <w:t>.</w:t>
      </w:r>
    </w:p>
  </w:footnote>
  <w:footnote w:id="3">
    <w:p w14:paraId="11DE002C" w14:textId="7BAF2824" w:rsidR="00CD60E7" w:rsidRPr="001E0DC0" w:rsidRDefault="00CD60E7">
      <w:pPr>
        <w:pStyle w:val="FootnoteText"/>
      </w:pPr>
      <w:r>
        <w:rPr>
          <w:rStyle w:val="FootnoteReference"/>
          <w:rFonts w:ascii="Arial" w:hAnsi="Arial" w:cs="Arial"/>
          <w:sz w:val="18"/>
          <w:szCs w:val="18"/>
        </w:rPr>
        <w:footnoteRef/>
      </w:r>
      <w:r>
        <w:rPr>
          <w:rFonts w:ascii="Arial" w:hAnsi="Arial"/>
          <w:sz w:val="18"/>
        </w:rPr>
        <w:t xml:space="preserve"> « Principes fondamentaux de la sauvegarde du patrimoine culturel immatériel dans les situations de conflit et de déplacement forcé » (</w:t>
      </w:r>
      <w:hyperlink r:id="rId4" w:anchor="#unite-65-principes-fondamentaux-de-la-sauvegarde-du-patrimoine-culturel-immateriel-dans-les-situations-de-conflit-et-de-deplacement-forcebr" w:history="1">
        <w:r>
          <w:rPr>
            <w:rStyle w:val="Hyperlink"/>
            <w:rFonts w:ascii="Arial" w:hAnsi="Arial"/>
            <w:sz w:val="18"/>
          </w:rPr>
          <w:t>Unité 65</w:t>
        </w:r>
      </w:hyperlink>
      <w:r>
        <w:rPr>
          <w:rFonts w:ascii="Arial" w:hAnsi="Arial"/>
          <w:sz w:val="18"/>
        </w:rPr>
        <w:t>) et « Identification des besoins réalisée avec la participation des communautés </w:t>
      </w:r>
      <w:r w:rsidR="00984C7A">
        <w:rPr>
          <w:rFonts w:ascii="Arial" w:hAnsi="Arial"/>
          <w:sz w:val="18"/>
        </w:rPr>
        <w:t xml:space="preserve">concernant le patrimoine culturel immatériel dans les situations de conflit et de déplacement </w:t>
      </w:r>
      <w:r>
        <w:rPr>
          <w:rFonts w:ascii="Arial" w:hAnsi="Arial"/>
          <w:sz w:val="18"/>
        </w:rPr>
        <w:t>» (</w:t>
      </w:r>
      <w:hyperlink r:id="rId5" w:anchor="#unite-66-identification-des-besoins-realisee-avec-la-participation-des-communautes-concernant-le-patrimoine-culturel-immateriel-dans-les-situations-de-conflit-et-de-deplacementbr" w:history="1">
        <w:r>
          <w:rPr>
            <w:rStyle w:val="Hyperlink"/>
            <w:rFonts w:ascii="Arial" w:hAnsi="Arial"/>
            <w:sz w:val="18"/>
          </w:rPr>
          <w:t>Unité 66</w:t>
        </w:r>
      </w:hyperlink>
      <w:r>
        <w:rPr>
          <w:rFonts w:ascii="Arial" w:hAnsi="Arial"/>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16B9C" w14:textId="543453AB" w:rsidR="00B6167A" w:rsidRPr="007E4E37" w:rsidRDefault="00FD1941" w:rsidP="009B55AC">
    <w:pPr>
      <w:pStyle w:val="Header"/>
      <w:rPr>
        <w:rFonts w:ascii="Arial" w:hAnsi="Arial" w:cs="Arial"/>
      </w:rPr>
    </w:pPr>
    <w:r>
      <w:rPr>
        <w:rFonts w:ascii="Arial" w:hAnsi="Arial"/>
        <w:sz w:val="20"/>
      </w:rPr>
      <w:t xml:space="preserve">LHE/25/20.COM/INF.13.1 </w:t>
    </w:r>
    <w:bookmarkStart w:id="3" w:name="_Hlk206417812"/>
    <w:r>
      <w:rPr>
        <w:rFonts w:ascii="Arial" w:hAnsi="Arial"/>
        <w:sz w:val="20"/>
      </w:rPr>
      <w:t xml:space="preserve">– </w:t>
    </w:r>
    <w:bookmarkEnd w:id="3"/>
    <w:r>
      <w:rPr>
        <w:rFonts w:ascii="Arial" w:hAnsi="Arial"/>
        <w:sz w:val="20"/>
      </w:rPr>
      <w:t xml:space="preserve">page </w:t>
    </w:r>
    <w:r w:rsidR="00B6167A" w:rsidRPr="00D81948">
      <w:rPr>
        <w:rStyle w:val="PageNumber"/>
        <w:rFonts w:ascii="Arial" w:hAnsi="Arial" w:cs="Arial"/>
        <w:sz w:val="20"/>
      </w:rPr>
      <w:fldChar w:fldCharType="begin"/>
    </w:r>
    <w:r w:rsidR="00B6167A" w:rsidRPr="00D81948">
      <w:rPr>
        <w:rStyle w:val="PageNumber"/>
        <w:rFonts w:ascii="Arial" w:hAnsi="Arial" w:cs="Arial"/>
        <w:sz w:val="20"/>
      </w:rPr>
      <w:instrText xml:space="preserve"> PAGE </w:instrText>
    </w:r>
    <w:r w:rsidR="00B6167A" w:rsidRPr="00D81948">
      <w:rPr>
        <w:rStyle w:val="PageNumber"/>
        <w:rFonts w:ascii="Arial" w:hAnsi="Arial" w:cs="Arial"/>
        <w:sz w:val="20"/>
      </w:rPr>
      <w:fldChar w:fldCharType="separate"/>
    </w:r>
    <w:r w:rsidR="00570814">
      <w:rPr>
        <w:rStyle w:val="PageNumber"/>
        <w:rFonts w:ascii="Arial" w:hAnsi="Arial" w:cs="Arial"/>
        <w:sz w:val="20"/>
      </w:rPr>
      <w:t>2</w:t>
    </w:r>
    <w:r w:rsidR="00B6167A" w:rsidRPr="00D81948">
      <w:rPr>
        <w:rStyle w:val="PageNumber"/>
        <w:rFonts w:ascii="Arial" w:hAnsi="Arial" w:cs="Arial"/>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65B8C" w14:textId="3F5A5716" w:rsidR="00B6167A" w:rsidRPr="007E4E37" w:rsidRDefault="00FD1941" w:rsidP="007D13D9">
    <w:pPr>
      <w:pStyle w:val="Header"/>
      <w:ind w:left="2544" w:firstLine="3828"/>
      <w:jc w:val="right"/>
      <w:rPr>
        <w:rFonts w:ascii="Arial" w:hAnsi="Arial" w:cs="Arial"/>
      </w:rPr>
    </w:pPr>
    <w:r>
      <w:rPr>
        <w:rFonts w:ascii="Arial" w:hAnsi="Arial"/>
        <w:sz w:val="20"/>
      </w:rPr>
      <w:t xml:space="preserve">LHE/25/20.COM/INF.13.1 – page </w:t>
    </w:r>
    <w:r w:rsidR="001E4EEB" w:rsidRPr="00EF563B">
      <w:rPr>
        <w:rStyle w:val="PageNumber"/>
        <w:rFonts w:ascii="Arial" w:hAnsi="Arial" w:cs="Arial"/>
        <w:sz w:val="20"/>
      </w:rPr>
      <w:fldChar w:fldCharType="begin"/>
    </w:r>
    <w:r w:rsidR="001E4EEB" w:rsidRPr="00EF563B">
      <w:rPr>
        <w:rStyle w:val="PageNumber"/>
        <w:rFonts w:ascii="Arial" w:hAnsi="Arial" w:cs="Arial"/>
        <w:sz w:val="20"/>
      </w:rPr>
      <w:instrText xml:space="preserve"> </w:instrText>
    </w:r>
    <w:r w:rsidR="001E4EEB">
      <w:rPr>
        <w:rStyle w:val="PageNumber"/>
        <w:rFonts w:ascii="Arial" w:hAnsi="Arial" w:cs="Arial"/>
        <w:sz w:val="20"/>
      </w:rPr>
      <w:instrText>PAGE</w:instrText>
    </w:r>
    <w:r w:rsidR="001E4EEB" w:rsidRPr="00EF563B">
      <w:rPr>
        <w:rStyle w:val="PageNumber"/>
        <w:rFonts w:ascii="Arial" w:hAnsi="Arial" w:cs="Arial"/>
        <w:sz w:val="20"/>
      </w:rPr>
      <w:instrText xml:space="preserve"> </w:instrText>
    </w:r>
    <w:r w:rsidR="001E4EEB" w:rsidRPr="00EF563B">
      <w:rPr>
        <w:rStyle w:val="PageNumber"/>
        <w:rFonts w:ascii="Arial" w:hAnsi="Arial" w:cs="Arial"/>
        <w:sz w:val="20"/>
      </w:rPr>
      <w:fldChar w:fldCharType="separate"/>
    </w:r>
    <w:r w:rsidR="00570814">
      <w:rPr>
        <w:rStyle w:val="PageNumber"/>
        <w:rFonts w:ascii="Arial" w:hAnsi="Arial" w:cs="Arial"/>
        <w:sz w:val="20"/>
      </w:rPr>
      <w:t>3</w:t>
    </w:r>
    <w:r w:rsidR="001E4EEB" w:rsidRPr="00EF563B">
      <w:rPr>
        <w:rStyle w:val="PageNumber"/>
        <w:rFonts w:ascii="Arial" w:hAnsi="Arial" w:cs="Arial"/>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68CC4" w14:textId="098F8968" w:rsidR="00B6167A" w:rsidRPr="00241CD3" w:rsidRDefault="0008386A">
    <w:pPr>
      <w:pStyle w:val="Header"/>
    </w:pPr>
    <w:r w:rsidRPr="00241CD3">
      <w:rPr>
        <w:rFonts w:ascii="Arial" w:hAnsi="Arial" w:cs="Arial"/>
        <w:b/>
        <w:sz w:val="44"/>
        <w:szCs w:val="44"/>
      </w:rPr>
      <w:drawing>
        <wp:anchor distT="0" distB="0" distL="114300" distR="114300" simplePos="0" relativeHeight="251659264" behindDoc="1" locked="0" layoutInCell="1" allowOverlap="1" wp14:anchorId="62FA2944" wp14:editId="183E59E0">
          <wp:simplePos x="0" y="0"/>
          <wp:positionH relativeFrom="margin">
            <wp:posOffset>0</wp:posOffset>
          </wp:positionH>
          <wp:positionV relativeFrom="paragraph">
            <wp:posOffset>26456</wp:posOffset>
          </wp:positionV>
          <wp:extent cx="1710000" cy="1436138"/>
          <wp:effectExtent l="0" t="0" r="5080" b="0"/>
          <wp:wrapNone/>
          <wp:docPr id="1" name="Image 1" descr="Une image contenant texte, Police, logo,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olice, logo, capture d’écran&#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0000" cy="143613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A2FC2B" w14:textId="6ADF0A00" w:rsidR="00B6167A" w:rsidRPr="00241CD3" w:rsidRDefault="006E053C" w:rsidP="001943EE">
    <w:pPr>
      <w:pStyle w:val="Header"/>
      <w:spacing w:after="520"/>
      <w:jc w:val="right"/>
      <w:rPr>
        <w:rFonts w:ascii="Arial" w:hAnsi="Arial" w:cs="Arial"/>
        <w:b/>
        <w:sz w:val="44"/>
        <w:szCs w:val="44"/>
      </w:rPr>
    </w:pPr>
    <w:r w:rsidRPr="00241CD3">
      <w:rPr>
        <w:rFonts w:ascii="Arial" w:hAnsi="Arial"/>
        <w:b/>
        <w:sz w:val="44"/>
      </w:rPr>
      <w:t>20 COM</w:t>
    </w:r>
  </w:p>
  <w:p w14:paraId="49B0C39B" w14:textId="67D6DF84" w:rsidR="00B6167A" w:rsidRPr="00241CD3" w:rsidRDefault="00FD1941" w:rsidP="009B55AC">
    <w:pPr>
      <w:spacing w:after="0"/>
      <w:jc w:val="right"/>
      <w:rPr>
        <w:rFonts w:ascii="Arial" w:hAnsi="Arial" w:cs="Arial"/>
        <w:b/>
        <w:szCs w:val="22"/>
      </w:rPr>
    </w:pPr>
    <w:r w:rsidRPr="00241CD3">
      <w:rPr>
        <w:rFonts w:ascii="Arial" w:hAnsi="Arial"/>
        <w:b/>
      </w:rPr>
      <w:t>LHE/25/20.COM/INF.13.1</w:t>
    </w:r>
  </w:p>
  <w:p w14:paraId="1D4CE950" w14:textId="5BFC50E3" w:rsidR="00B6167A" w:rsidRPr="00241CD3" w:rsidRDefault="00B6167A" w:rsidP="002D396D">
    <w:pPr>
      <w:spacing w:after="0"/>
      <w:jc w:val="right"/>
      <w:rPr>
        <w:rFonts w:ascii="Arial" w:eastAsiaTheme="minorEastAsia" w:hAnsi="Arial" w:cs="Arial"/>
        <w:b/>
        <w:szCs w:val="22"/>
      </w:rPr>
    </w:pPr>
    <w:r w:rsidRPr="00241CD3">
      <w:rPr>
        <w:rFonts w:ascii="Arial" w:hAnsi="Arial"/>
        <w:b/>
      </w:rPr>
      <w:t>Paris, le 2</w:t>
    </w:r>
    <w:r w:rsidR="00241CD3" w:rsidRPr="00241CD3">
      <w:rPr>
        <w:rFonts w:ascii="Arial" w:hAnsi="Arial"/>
        <w:b/>
      </w:rPr>
      <w:t>8</w:t>
    </w:r>
    <w:r w:rsidRPr="00241CD3">
      <w:rPr>
        <w:rFonts w:ascii="Arial" w:hAnsi="Arial"/>
        <w:b/>
      </w:rPr>
      <w:t xml:space="preserve"> novembre 2025</w:t>
    </w:r>
  </w:p>
  <w:p w14:paraId="2A9F75AF" w14:textId="28A0396A" w:rsidR="00B6167A" w:rsidRPr="00241CD3" w:rsidRDefault="00B6167A" w:rsidP="008F7B13">
    <w:pPr>
      <w:jc w:val="right"/>
      <w:rPr>
        <w:rFonts w:ascii="Arial" w:hAnsi="Arial" w:cs="Arial"/>
        <w:b/>
        <w:szCs w:val="22"/>
      </w:rPr>
    </w:pPr>
    <w:r w:rsidRPr="00241CD3">
      <w:rPr>
        <w:rFonts w:ascii="Arial" w:hAnsi="Arial"/>
        <w:b/>
      </w:rPr>
      <w:t>Original : anglais</w:t>
    </w:r>
  </w:p>
  <w:p w14:paraId="42728953" w14:textId="77777777" w:rsidR="00B6167A" w:rsidRPr="00241CD3" w:rsidRDefault="00B616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D750A"/>
    <w:multiLevelType w:val="multilevel"/>
    <w:tmpl w:val="A3DA6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11B461E0"/>
    <w:multiLevelType w:val="hybridMultilevel"/>
    <w:tmpl w:val="29D8CFD0"/>
    <w:lvl w:ilvl="0" w:tplc="040C0017">
      <w:start w:val="1"/>
      <w:numFmt w:val="lowerLetter"/>
      <w:lvlText w:val="%1)"/>
      <w:lvlJc w:val="left"/>
      <w:pPr>
        <w:ind w:left="927" w:hanging="360"/>
      </w:pPr>
      <w:rPr>
        <w:rFonts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 w15:restartNumberingAfterBreak="0">
    <w:nsid w:val="1A1B3653"/>
    <w:multiLevelType w:val="hybridMultilevel"/>
    <w:tmpl w:val="A9C8FA84"/>
    <w:lvl w:ilvl="0" w:tplc="57CE0984">
      <w:start w:val="1"/>
      <w:numFmt w:val="bullet"/>
      <w:lvlText w:val=""/>
      <w:lvlJc w:val="left"/>
      <w:pPr>
        <w:ind w:left="1160" w:hanging="360"/>
      </w:pPr>
      <w:rPr>
        <w:rFonts w:ascii="Symbol" w:hAnsi="Symbol"/>
      </w:rPr>
    </w:lvl>
    <w:lvl w:ilvl="1" w:tplc="65D6379A">
      <w:start w:val="1"/>
      <w:numFmt w:val="bullet"/>
      <w:lvlText w:val=""/>
      <w:lvlJc w:val="left"/>
      <w:pPr>
        <w:ind w:left="1160" w:hanging="360"/>
      </w:pPr>
      <w:rPr>
        <w:rFonts w:ascii="Symbol" w:hAnsi="Symbol"/>
      </w:rPr>
    </w:lvl>
    <w:lvl w:ilvl="2" w:tplc="8D8821F8">
      <w:start w:val="1"/>
      <w:numFmt w:val="bullet"/>
      <w:lvlText w:val=""/>
      <w:lvlJc w:val="left"/>
      <w:pPr>
        <w:ind w:left="1160" w:hanging="360"/>
      </w:pPr>
      <w:rPr>
        <w:rFonts w:ascii="Symbol" w:hAnsi="Symbol"/>
      </w:rPr>
    </w:lvl>
    <w:lvl w:ilvl="3" w:tplc="8CD0A458">
      <w:start w:val="1"/>
      <w:numFmt w:val="bullet"/>
      <w:lvlText w:val=""/>
      <w:lvlJc w:val="left"/>
      <w:pPr>
        <w:ind w:left="1160" w:hanging="360"/>
      </w:pPr>
      <w:rPr>
        <w:rFonts w:ascii="Symbol" w:hAnsi="Symbol"/>
      </w:rPr>
    </w:lvl>
    <w:lvl w:ilvl="4" w:tplc="32929466">
      <w:start w:val="1"/>
      <w:numFmt w:val="bullet"/>
      <w:lvlText w:val=""/>
      <w:lvlJc w:val="left"/>
      <w:pPr>
        <w:ind w:left="1160" w:hanging="360"/>
      </w:pPr>
      <w:rPr>
        <w:rFonts w:ascii="Symbol" w:hAnsi="Symbol"/>
      </w:rPr>
    </w:lvl>
    <w:lvl w:ilvl="5" w:tplc="B3AC6EF4">
      <w:start w:val="1"/>
      <w:numFmt w:val="bullet"/>
      <w:lvlText w:val=""/>
      <w:lvlJc w:val="left"/>
      <w:pPr>
        <w:ind w:left="1160" w:hanging="360"/>
      </w:pPr>
      <w:rPr>
        <w:rFonts w:ascii="Symbol" w:hAnsi="Symbol"/>
      </w:rPr>
    </w:lvl>
    <w:lvl w:ilvl="6" w:tplc="1F8CC37A">
      <w:start w:val="1"/>
      <w:numFmt w:val="bullet"/>
      <w:lvlText w:val=""/>
      <w:lvlJc w:val="left"/>
      <w:pPr>
        <w:ind w:left="1160" w:hanging="360"/>
      </w:pPr>
      <w:rPr>
        <w:rFonts w:ascii="Symbol" w:hAnsi="Symbol"/>
      </w:rPr>
    </w:lvl>
    <w:lvl w:ilvl="7" w:tplc="91BE9B74">
      <w:start w:val="1"/>
      <w:numFmt w:val="bullet"/>
      <w:lvlText w:val=""/>
      <w:lvlJc w:val="left"/>
      <w:pPr>
        <w:ind w:left="1160" w:hanging="360"/>
      </w:pPr>
      <w:rPr>
        <w:rFonts w:ascii="Symbol" w:hAnsi="Symbol"/>
      </w:rPr>
    </w:lvl>
    <w:lvl w:ilvl="8" w:tplc="3FB80858">
      <w:start w:val="1"/>
      <w:numFmt w:val="bullet"/>
      <w:lvlText w:val=""/>
      <w:lvlJc w:val="left"/>
      <w:pPr>
        <w:ind w:left="1160" w:hanging="360"/>
      </w:pPr>
      <w:rPr>
        <w:rFonts w:ascii="Symbol" w:hAnsi="Symbol"/>
      </w:rPr>
    </w:lvl>
  </w:abstractNum>
  <w:abstractNum w:abstractNumId="4"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5"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5D813D1"/>
    <w:multiLevelType w:val="hybridMultilevel"/>
    <w:tmpl w:val="CE5677A8"/>
    <w:lvl w:ilvl="0" w:tplc="040C0015">
      <w:start w:val="1"/>
      <w:numFmt w:val="upperLetter"/>
      <w:lvlText w:val="%1."/>
      <w:lvlJc w:val="left"/>
      <w:pPr>
        <w:ind w:left="1290" w:hanging="360"/>
      </w:pPr>
    </w:lvl>
    <w:lvl w:ilvl="1" w:tplc="040C0019" w:tentative="1">
      <w:start w:val="1"/>
      <w:numFmt w:val="lowerLetter"/>
      <w:lvlText w:val="%2."/>
      <w:lvlJc w:val="left"/>
      <w:pPr>
        <w:ind w:left="2010" w:hanging="360"/>
      </w:pPr>
    </w:lvl>
    <w:lvl w:ilvl="2" w:tplc="040C001B" w:tentative="1">
      <w:start w:val="1"/>
      <w:numFmt w:val="lowerRoman"/>
      <w:lvlText w:val="%3."/>
      <w:lvlJc w:val="right"/>
      <w:pPr>
        <w:ind w:left="2730" w:hanging="180"/>
      </w:pPr>
    </w:lvl>
    <w:lvl w:ilvl="3" w:tplc="040C000F" w:tentative="1">
      <w:start w:val="1"/>
      <w:numFmt w:val="decimal"/>
      <w:lvlText w:val="%4."/>
      <w:lvlJc w:val="left"/>
      <w:pPr>
        <w:ind w:left="3450" w:hanging="360"/>
      </w:pPr>
    </w:lvl>
    <w:lvl w:ilvl="4" w:tplc="040C0019" w:tentative="1">
      <w:start w:val="1"/>
      <w:numFmt w:val="lowerLetter"/>
      <w:lvlText w:val="%5."/>
      <w:lvlJc w:val="left"/>
      <w:pPr>
        <w:ind w:left="4170" w:hanging="360"/>
      </w:pPr>
    </w:lvl>
    <w:lvl w:ilvl="5" w:tplc="040C001B" w:tentative="1">
      <w:start w:val="1"/>
      <w:numFmt w:val="lowerRoman"/>
      <w:lvlText w:val="%6."/>
      <w:lvlJc w:val="right"/>
      <w:pPr>
        <w:ind w:left="4890" w:hanging="180"/>
      </w:pPr>
    </w:lvl>
    <w:lvl w:ilvl="6" w:tplc="040C000F" w:tentative="1">
      <w:start w:val="1"/>
      <w:numFmt w:val="decimal"/>
      <w:lvlText w:val="%7."/>
      <w:lvlJc w:val="left"/>
      <w:pPr>
        <w:ind w:left="5610" w:hanging="360"/>
      </w:pPr>
    </w:lvl>
    <w:lvl w:ilvl="7" w:tplc="040C0019" w:tentative="1">
      <w:start w:val="1"/>
      <w:numFmt w:val="lowerLetter"/>
      <w:lvlText w:val="%8."/>
      <w:lvlJc w:val="left"/>
      <w:pPr>
        <w:ind w:left="6330" w:hanging="360"/>
      </w:pPr>
    </w:lvl>
    <w:lvl w:ilvl="8" w:tplc="040C001B" w:tentative="1">
      <w:start w:val="1"/>
      <w:numFmt w:val="lowerRoman"/>
      <w:lvlText w:val="%9."/>
      <w:lvlJc w:val="right"/>
      <w:pPr>
        <w:ind w:left="7050" w:hanging="180"/>
      </w:pPr>
    </w:lvl>
  </w:abstractNum>
  <w:abstractNum w:abstractNumId="7" w15:restartNumberingAfterBreak="0">
    <w:nsid w:val="35F07BFE"/>
    <w:multiLevelType w:val="hybridMultilevel"/>
    <w:tmpl w:val="6CC67502"/>
    <w:lvl w:ilvl="0" w:tplc="3864E488">
      <w:start w:val="1"/>
      <w:numFmt w:val="decimal"/>
      <w:pStyle w:val="1GAPara"/>
      <w:lvlText w:val="%1."/>
      <w:lvlJc w:val="left"/>
      <w:pPr>
        <w:ind w:left="5747"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 w15:restartNumberingAfterBreak="0">
    <w:nsid w:val="3EF50BB5"/>
    <w:multiLevelType w:val="hybridMultilevel"/>
    <w:tmpl w:val="4726F7C8"/>
    <w:lvl w:ilvl="0" w:tplc="60DEBB2E">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0" w15:restartNumberingAfterBreak="0">
    <w:nsid w:val="400719A7"/>
    <w:multiLevelType w:val="hybridMultilevel"/>
    <w:tmpl w:val="88E66B32"/>
    <w:lvl w:ilvl="0" w:tplc="040C0015">
      <w:start w:val="1"/>
      <w:numFmt w:val="upp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1" w15:restartNumberingAfterBreak="0">
    <w:nsid w:val="44A106FF"/>
    <w:multiLevelType w:val="hybridMultilevel"/>
    <w:tmpl w:val="10249AE0"/>
    <w:lvl w:ilvl="0" w:tplc="040C001B">
      <w:start w:val="1"/>
      <w:numFmt w:val="lowerRoman"/>
      <w:lvlText w:val="%1."/>
      <w:lvlJc w:val="right"/>
      <w:pPr>
        <w:ind w:left="927" w:hanging="360"/>
      </w:pPr>
      <w:rPr>
        <w:rFonts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2" w15:restartNumberingAfterBreak="0">
    <w:nsid w:val="492542CE"/>
    <w:multiLevelType w:val="hybridMultilevel"/>
    <w:tmpl w:val="F5E2A422"/>
    <w:lvl w:ilvl="0" w:tplc="B6C2CA5E">
      <w:start w:val="4"/>
      <w:numFmt w:val="bullet"/>
      <w:lvlText w:val="-"/>
      <w:lvlJc w:val="left"/>
      <w:pPr>
        <w:ind w:left="927" w:hanging="360"/>
      </w:pPr>
      <w:rPr>
        <w:rFonts w:ascii="Arial" w:eastAsia="Times New Roman" w:hAnsi="Arial"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3" w15:restartNumberingAfterBreak="0">
    <w:nsid w:val="497C5A1E"/>
    <w:multiLevelType w:val="hybridMultilevel"/>
    <w:tmpl w:val="52BA3668"/>
    <w:lvl w:ilvl="0" w:tplc="040C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5DFC5550"/>
    <w:multiLevelType w:val="multilevel"/>
    <w:tmpl w:val="5308A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CD35B7"/>
    <w:multiLevelType w:val="hybridMultilevel"/>
    <w:tmpl w:val="E40E89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A9B1360"/>
    <w:multiLevelType w:val="hybridMultilevel"/>
    <w:tmpl w:val="924CFA76"/>
    <w:lvl w:ilvl="0" w:tplc="AF164EE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C2F2645"/>
    <w:multiLevelType w:val="multilevel"/>
    <w:tmpl w:val="9A44BBB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0A41ED5"/>
    <w:multiLevelType w:val="multilevel"/>
    <w:tmpl w:val="177AE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ADA51A3"/>
    <w:multiLevelType w:val="multilevel"/>
    <w:tmpl w:val="641857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7387668">
    <w:abstractNumId w:val="15"/>
  </w:num>
  <w:num w:numId="2" w16cid:durableId="1506937438">
    <w:abstractNumId w:val="8"/>
  </w:num>
  <w:num w:numId="3" w16cid:durableId="2058314806">
    <w:abstractNumId w:val="4"/>
  </w:num>
  <w:num w:numId="4" w16cid:durableId="1562522762">
    <w:abstractNumId w:val="20"/>
  </w:num>
  <w:num w:numId="5" w16cid:durableId="1338726779">
    <w:abstractNumId w:val="16"/>
  </w:num>
  <w:num w:numId="6" w16cid:durableId="1381636817">
    <w:abstractNumId w:val="1"/>
  </w:num>
  <w:num w:numId="7" w16cid:durableId="434249634">
    <w:abstractNumId w:val="5"/>
  </w:num>
  <w:num w:numId="8" w16cid:durableId="1441948170">
    <w:abstractNumId w:val="7"/>
  </w:num>
  <w:num w:numId="9" w16cid:durableId="1187720211">
    <w:abstractNumId w:val="17"/>
  </w:num>
  <w:num w:numId="10" w16cid:durableId="121581902">
    <w:abstractNumId w:val="13"/>
  </w:num>
  <w:num w:numId="11" w16cid:durableId="1145469577">
    <w:abstractNumId w:val="3"/>
  </w:num>
  <w:num w:numId="12" w16cid:durableId="632060084">
    <w:abstractNumId w:val="12"/>
  </w:num>
  <w:num w:numId="13" w16cid:durableId="687753857">
    <w:abstractNumId w:val="14"/>
  </w:num>
  <w:num w:numId="14" w16cid:durableId="1189875335">
    <w:abstractNumId w:val="7"/>
  </w:num>
  <w:num w:numId="15" w16cid:durableId="440102380">
    <w:abstractNumId w:val="19"/>
  </w:num>
  <w:num w:numId="16" w16cid:durableId="977608218">
    <w:abstractNumId w:val="18"/>
  </w:num>
  <w:num w:numId="17" w16cid:durableId="1449543911">
    <w:abstractNumId w:val="7"/>
  </w:num>
  <w:num w:numId="18" w16cid:durableId="1432581221">
    <w:abstractNumId w:val="7"/>
  </w:num>
  <w:num w:numId="19" w16cid:durableId="483202159">
    <w:abstractNumId w:val="7"/>
  </w:num>
  <w:num w:numId="20" w16cid:durableId="135725653">
    <w:abstractNumId w:val="7"/>
  </w:num>
  <w:num w:numId="21" w16cid:durableId="2058892056">
    <w:abstractNumId w:val="7"/>
  </w:num>
  <w:num w:numId="22" w16cid:durableId="1665281548">
    <w:abstractNumId w:val="7"/>
  </w:num>
  <w:num w:numId="23" w16cid:durableId="645743099">
    <w:abstractNumId w:val="21"/>
  </w:num>
  <w:num w:numId="24" w16cid:durableId="322126469">
    <w:abstractNumId w:val="0"/>
  </w:num>
  <w:num w:numId="25" w16cid:durableId="695470997">
    <w:abstractNumId w:val="7"/>
  </w:num>
  <w:num w:numId="26" w16cid:durableId="300886435">
    <w:abstractNumId w:val="7"/>
  </w:num>
  <w:num w:numId="27" w16cid:durableId="215237623">
    <w:abstractNumId w:val="2"/>
  </w:num>
  <w:num w:numId="28" w16cid:durableId="1112091670">
    <w:abstractNumId w:val="7"/>
  </w:num>
  <w:num w:numId="29" w16cid:durableId="1611817580">
    <w:abstractNumId w:val="6"/>
  </w:num>
  <w:num w:numId="30" w16cid:durableId="1589002529">
    <w:abstractNumId w:val="10"/>
  </w:num>
  <w:num w:numId="31" w16cid:durableId="78911752">
    <w:abstractNumId w:val="7"/>
  </w:num>
  <w:num w:numId="32" w16cid:durableId="1166092147">
    <w:abstractNumId w:val="7"/>
  </w:num>
  <w:num w:numId="33" w16cid:durableId="918251141">
    <w:abstractNumId w:val="7"/>
  </w:num>
  <w:num w:numId="34" w16cid:durableId="2048216270">
    <w:abstractNumId w:val="7"/>
  </w:num>
  <w:num w:numId="35" w16cid:durableId="713626714">
    <w:abstractNumId w:val="7"/>
  </w:num>
  <w:num w:numId="36" w16cid:durableId="1568688426">
    <w:abstractNumId w:val="7"/>
  </w:num>
  <w:num w:numId="37" w16cid:durableId="1428964487">
    <w:abstractNumId w:val="9"/>
  </w:num>
  <w:num w:numId="38" w16cid:durableId="1769232440">
    <w:abstractNumId w:val="7"/>
  </w:num>
  <w:num w:numId="39" w16cid:durableId="600383542">
    <w:abstractNumId w:val="7"/>
  </w:num>
  <w:num w:numId="40" w16cid:durableId="688601123">
    <w:abstractNumId w:val="7"/>
  </w:num>
  <w:num w:numId="41" w16cid:durableId="1316685405">
    <w:abstractNumId w:val="7"/>
  </w:num>
  <w:num w:numId="42" w16cid:durableId="1948076137">
    <w:abstractNumId w:val="7"/>
  </w:num>
  <w:num w:numId="43" w16cid:durableId="296035980">
    <w:abstractNumId w:val="11"/>
  </w:num>
  <w:num w:numId="44" w16cid:durableId="649288236">
    <w:abstractNumId w:val="7"/>
  </w:num>
  <w:num w:numId="45" w16cid:durableId="1974866508">
    <w:abstractNumId w:val="7"/>
  </w:num>
  <w:num w:numId="46" w16cid:durableId="1020007049">
    <w:abstractNumId w:val="7"/>
  </w:num>
  <w:num w:numId="47" w16cid:durableId="1133713003">
    <w:abstractNumId w:val="7"/>
  </w:num>
  <w:num w:numId="48" w16cid:durableId="351496909">
    <w:abstractNumId w:val="7"/>
  </w:num>
  <w:num w:numId="49" w16cid:durableId="628976247">
    <w:abstractNumId w:val="7"/>
  </w:num>
  <w:num w:numId="50" w16cid:durableId="458761845">
    <w:abstractNumId w:val="7"/>
  </w:num>
  <w:num w:numId="51" w16cid:durableId="1277520118">
    <w:abstractNumId w:val="7"/>
  </w:num>
  <w:num w:numId="52" w16cid:durableId="1129974573">
    <w:abstractNumId w:val="7"/>
  </w:num>
  <w:num w:numId="53" w16cid:durableId="393312064">
    <w:abstractNumId w:val="7"/>
  </w:num>
  <w:num w:numId="54" w16cid:durableId="272053133">
    <w:abstractNumId w:val="7"/>
  </w:num>
  <w:num w:numId="55" w16cid:durableId="1473330278">
    <w:abstractNumId w:val="7"/>
  </w:num>
  <w:num w:numId="56" w16cid:durableId="726951149">
    <w:abstractNumId w:val="7"/>
  </w:num>
  <w:num w:numId="57" w16cid:durableId="1540556201">
    <w:abstractNumId w:val="7"/>
  </w:num>
  <w:num w:numId="58" w16cid:durableId="2072927458">
    <w:abstractNumId w:val="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4A1"/>
    <w:rsid w:val="00000493"/>
    <w:rsid w:val="000016A4"/>
    <w:rsid w:val="000019DB"/>
    <w:rsid w:val="000047CC"/>
    <w:rsid w:val="000120FD"/>
    <w:rsid w:val="00014585"/>
    <w:rsid w:val="000160B3"/>
    <w:rsid w:val="00021831"/>
    <w:rsid w:val="00022EEE"/>
    <w:rsid w:val="00025B58"/>
    <w:rsid w:val="00025D79"/>
    <w:rsid w:val="00036209"/>
    <w:rsid w:val="000378F8"/>
    <w:rsid w:val="00040A95"/>
    <w:rsid w:val="00044267"/>
    <w:rsid w:val="00047E58"/>
    <w:rsid w:val="00055E4E"/>
    <w:rsid w:val="00060699"/>
    <w:rsid w:val="00062DE1"/>
    <w:rsid w:val="00063C08"/>
    <w:rsid w:val="00071620"/>
    <w:rsid w:val="000720B4"/>
    <w:rsid w:val="00073D20"/>
    <w:rsid w:val="000755E1"/>
    <w:rsid w:val="00077250"/>
    <w:rsid w:val="00080573"/>
    <w:rsid w:val="000828BD"/>
    <w:rsid w:val="00082E25"/>
    <w:rsid w:val="0008386A"/>
    <w:rsid w:val="00085541"/>
    <w:rsid w:val="0009185C"/>
    <w:rsid w:val="00093063"/>
    <w:rsid w:val="00094044"/>
    <w:rsid w:val="000A0D6F"/>
    <w:rsid w:val="000A34CE"/>
    <w:rsid w:val="000A4009"/>
    <w:rsid w:val="000B085E"/>
    <w:rsid w:val="000B6E85"/>
    <w:rsid w:val="000B7936"/>
    <w:rsid w:val="000C65E4"/>
    <w:rsid w:val="000C7101"/>
    <w:rsid w:val="000C71A6"/>
    <w:rsid w:val="000D26B6"/>
    <w:rsid w:val="000D3A97"/>
    <w:rsid w:val="000E01E2"/>
    <w:rsid w:val="000E280C"/>
    <w:rsid w:val="000E3D21"/>
    <w:rsid w:val="000F0390"/>
    <w:rsid w:val="000F2316"/>
    <w:rsid w:val="000F2A0B"/>
    <w:rsid w:val="000F2DE5"/>
    <w:rsid w:val="000F3231"/>
    <w:rsid w:val="000F67D7"/>
    <w:rsid w:val="000F7DA9"/>
    <w:rsid w:val="0010035A"/>
    <w:rsid w:val="001003F7"/>
    <w:rsid w:val="001025E7"/>
    <w:rsid w:val="0010601A"/>
    <w:rsid w:val="001064D8"/>
    <w:rsid w:val="00106A9C"/>
    <w:rsid w:val="00106B72"/>
    <w:rsid w:val="00115677"/>
    <w:rsid w:val="00116981"/>
    <w:rsid w:val="0011750D"/>
    <w:rsid w:val="001177E3"/>
    <w:rsid w:val="00126B4A"/>
    <w:rsid w:val="00130EC3"/>
    <w:rsid w:val="00132FFC"/>
    <w:rsid w:val="001412DE"/>
    <w:rsid w:val="00144A4D"/>
    <w:rsid w:val="00151351"/>
    <w:rsid w:val="00152BFF"/>
    <w:rsid w:val="00152E75"/>
    <w:rsid w:val="00153841"/>
    <w:rsid w:val="0016024C"/>
    <w:rsid w:val="00166254"/>
    <w:rsid w:val="0017201E"/>
    <w:rsid w:val="00172F2A"/>
    <w:rsid w:val="00173766"/>
    <w:rsid w:val="00173794"/>
    <w:rsid w:val="00174B39"/>
    <w:rsid w:val="0018349D"/>
    <w:rsid w:val="00186BC0"/>
    <w:rsid w:val="0018723A"/>
    <w:rsid w:val="001877E4"/>
    <w:rsid w:val="001943EE"/>
    <w:rsid w:val="001A431C"/>
    <w:rsid w:val="001A4D1B"/>
    <w:rsid w:val="001B2136"/>
    <w:rsid w:val="001C1805"/>
    <w:rsid w:val="001C5BA7"/>
    <w:rsid w:val="001C7CD5"/>
    <w:rsid w:val="001D00B5"/>
    <w:rsid w:val="001D1625"/>
    <w:rsid w:val="001D1F1C"/>
    <w:rsid w:val="001D3B29"/>
    <w:rsid w:val="001D5E33"/>
    <w:rsid w:val="001D6AF6"/>
    <w:rsid w:val="001E0DC0"/>
    <w:rsid w:val="001E4EEB"/>
    <w:rsid w:val="001E567F"/>
    <w:rsid w:val="001E6026"/>
    <w:rsid w:val="001E6983"/>
    <w:rsid w:val="001E6E4E"/>
    <w:rsid w:val="001E7A39"/>
    <w:rsid w:val="001F1482"/>
    <w:rsid w:val="001F3696"/>
    <w:rsid w:val="001F37CA"/>
    <w:rsid w:val="00201C4A"/>
    <w:rsid w:val="00202772"/>
    <w:rsid w:val="00204B37"/>
    <w:rsid w:val="0020681E"/>
    <w:rsid w:val="00207B60"/>
    <w:rsid w:val="00207C22"/>
    <w:rsid w:val="00207CF7"/>
    <w:rsid w:val="002105E4"/>
    <w:rsid w:val="00210B53"/>
    <w:rsid w:val="002114DB"/>
    <w:rsid w:val="00211692"/>
    <w:rsid w:val="00220E0E"/>
    <w:rsid w:val="00221342"/>
    <w:rsid w:val="002238D3"/>
    <w:rsid w:val="002248D5"/>
    <w:rsid w:val="00230A22"/>
    <w:rsid w:val="00230E76"/>
    <w:rsid w:val="00231A26"/>
    <w:rsid w:val="0023491D"/>
    <w:rsid w:val="00237E43"/>
    <w:rsid w:val="00241CD3"/>
    <w:rsid w:val="00242C15"/>
    <w:rsid w:val="00245B51"/>
    <w:rsid w:val="00250F85"/>
    <w:rsid w:val="00257EC5"/>
    <w:rsid w:val="002708BA"/>
    <w:rsid w:val="002713E2"/>
    <w:rsid w:val="0027198B"/>
    <w:rsid w:val="00286B1A"/>
    <w:rsid w:val="00286C0C"/>
    <w:rsid w:val="00290D5F"/>
    <w:rsid w:val="00291380"/>
    <w:rsid w:val="002938F2"/>
    <w:rsid w:val="002A6C7B"/>
    <w:rsid w:val="002C2BE2"/>
    <w:rsid w:val="002C409A"/>
    <w:rsid w:val="002C471A"/>
    <w:rsid w:val="002C5280"/>
    <w:rsid w:val="002C696D"/>
    <w:rsid w:val="002D396D"/>
    <w:rsid w:val="002D56C4"/>
    <w:rsid w:val="002D5F6F"/>
    <w:rsid w:val="002E033B"/>
    <w:rsid w:val="002E251A"/>
    <w:rsid w:val="002E63C4"/>
    <w:rsid w:val="002E70F7"/>
    <w:rsid w:val="002F4AC2"/>
    <w:rsid w:val="002F56DF"/>
    <w:rsid w:val="00306029"/>
    <w:rsid w:val="00307B6A"/>
    <w:rsid w:val="00310896"/>
    <w:rsid w:val="00317589"/>
    <w:rsid w:val="003224D4"/>
    <w:rsid w:val="00325A64"/>
    <w:rsid w:val="0032652E"/>
    <w:rsid w:val="00330A4A"/>
    <w:rsid w:val="00330E4B"/>
    <w:rsid w:val="00332F0D"/>
    <w:rsid w:val="003333C5"/>
    <w:rsid w:val="0033751E"/>
    <w:rsid w:val="00340C1C"/>
    <w:rsid w:val="0034366F"/>
    <w:rsid w:val="00343B9A"/>
    <w:rsid w:val="003528F8"/>
    <w:rsid w:val="00356028"/>
    <w:rsid w:val="0035648A"/>
    <w:rsid w:val="00360448"/>
    <w:rsid w:val="00363995"/>
    <w:rsid w:val="003645FB"/>
    <w:rsid w:val="00364FE2"/>
    <w:rsid w:val="00365B63"/>
    <w:rsid w:val="00367457"/>
    <w:rsid w:val="00373A1F"/>
    <w:rsid w:val="003741F2"/>
    <w:rsid w:val="003800BE"/>
    <w:rsid w:val="00386E70"/>
    <w:rsid w:val="00390D1E"/>
    <w:rsid w:val="00393B3B"/>
    <w:rsid w:val="00393E4A"/>
    <w:rsid w:val="0039446E"/>
    <w:rsid w:val="003A62FD"/>
    <w:rsid w:val="003A6499"/>
    <w:rsid w:val="003B0730"/>
    <w:rsid w:val="003B0AA4"/>
    <w:rsid w:val="003B3D2B"/>
    <w:rsid w:val="003B7008"/>
    <w:rsid w:val="003C07DB"/>
    <w:rsid w:val="003C1F1E"/>
    <w:rsid w:val="003C7065"/>
    <w:rsid w:val="003D5F76"/>
    <w:rsid w:val="003E2EB5"/>
    <w:rsid w:val="003F0748"/>
    <w:rsid w:val="003F1020"/>
    <w:rsid w:val="003F48C9"/>
    <w:rsid w:val="003F5969"/>
    <w:rsid w:val="003F5A7C"/>
    <w:rsid w:val="0040480C"/>
    <w:rsid w:val="00407521"/>
    <w:rsid w:val="004108B6"/>
    <w:rsid w:val="004122E1"/>
    <w:rsid w:val="00412375"/>
    <w:rsid w:val="00412E23"/>
    <w:rsid w:val="00413779"/>
    <w:rsid w:val="00415083"/>
    <w:rsid w:val="00416402"/>
    <w:rsid w:val="00421C1A"/>
    <w:rsid w:val="00421F68"/>
    <w:rsid w:val="0042454D"/>
    <w:rsid w:val="00427C49"/>
    <w:rsid w:val="00432787"/>
    <w:rsid w:val="0043363C"/>
    <w:rsid w:val="004343A2"/>
    <w:rsid w:val="00434773"/>
    <w:rsid w:val="00444F36"/>
    <w:rsid w:val="004454D1"/>
    <w:rsid w:val="004466FD"/>
    <w:rsid w:val="00447C66"/>
    <w:rsid w:val="00450878"/>
    <w:rsid w:val="004561EB"/>
    <w:rsid w:val="004573F3"/>
    <w:rsid w:val="00461F11"/>
    <w:rsid w:val="004625D3"/>
    <w:rsid w:val="0046335F"/>
    <w:rsid w:val="00464BF9"/>
    <w:rsid w:val="00466DB9"/>
    <w:rsid w:val="00471B34"/>
    <w:rsid w:val="004732EB"/>
    <w:rsid w:val="00474673"/>
    <w:rsid w:val="0048044D"/>
    <w:rsid w:val="00483688"/>
    <w:rsid w:val="00483713"/>
    <w:rsid w:val="004874AA"/>
    <w:rsid w:val="00495026"/>
    <w:rsid w:val="004979B2"/>
    <w:rsid w:val="00497ED6"/>
    <w:rsid w:val="004B0DA9"/>
    <w:rsid w:val="004B35D6"/>
    <w:rsid w:val="004B4634"/>
    <w:rsid w:val="004C3078"/>
    <w:rsid w:val="004C4E70"/>
    <w:rsid w:val="004C7581"/>
    <w:rsid w:val="004D21FE"/>
    <w:rsid w:val="004D2E26"/>
    <w:rsid w:val="004D6129"/>
    <w:rsid w:val="004D638C"/>
    <w:rsid w:val="004D71CF"/>
    <w:rsid w:val="004E056C"/>
    <w:rsid w:val="004E2817"/>
    <w:rsid w:val="004E67DA"/>
    <w:rsid w:val="004F2AA7"/>
    <w:rsid w:val="004F2B78"/>
    <w:rsid w:val="004F47D3"/>
    <w:rsid w:val="004F5E0C"/>
    <w:rsid w:val="004F6F62"/>
    <w:rsid w:val="005016FB"/>
    <w:rsid w:val="005057E4"/>
    <w:rsid w:val="00506B71"/>
    <w:rsid w:val="005076A1"/>
    <w:rsid w:val="00510789"/>
    <w:rsid w:val="00511D17"/>
    <w:rsid w:val="00514489"/>
    <w:rsid w:val="0051699F"/>
    <w:rsid w:val="00516B27"/>
    <w:rsid w:val="00517D40"/>
    <w:rsid w:val="00534C39"/>
    <w:rsid w:val="00535B35"/>
    <w:rsid w:val="0053627B"/>
    <w:rsid w:val="005414A1"/>
    <w:rsid w:val="00541DDE"/>
    <w:rsid w:val="00542EBC"/>
    <w:rsid w:val="00543C77"/>
    <w:rsid w:val="00545E05"/>
    <w:rsid w:val="005502FA"/>
    <w:rsid w:val="00551A96"/>
    <w:rsid w:val="00562AC6"/>
    <w:rsid w:val="00563135"/>
    <w:rsid w:val="00563F21"/>
    <w:rsid w:val="00565963"/>
    <w:rsid w:val="00570814"/>
    <w:rsid w:val="00570B94"/>
    <w:rsid w:val="0057220E"/>
    <w:rsid w:val="0057393D"/>
    <w:rsid w:val="00576D07"/>
    <w:rsid w:val="00577998"/>
    <w:rsid w:val="0058114E"/>
    <w:rsid w:val="00586181"/>
    <w:rsid w:val="00590C94"/>
    <w:rsid w:val="00590D0A"/>
    <w:rsid w:val="00593CED"/>
    <w:rsid w:val="005A051C"/>
    <w:rsid w:val="005A206E"/>
    <w:rsid w:val="005A4CC5"/>
    <w:rsid w:val="005B35BA"/>
    <w:rsid w:val="005B35E7"/>
    <w:rsid w:val="005B39F8"/>
    <w:rsid w:val="005B5A10"/>
    <w:rsid w:val="005B6D05"/>
    <w:rsid w:val="005C0660"/>
    <w:rsid w:val="005C4497"/>
    <w:rsid w:val="005C53B8"/>
    <w:rsid w:val="005C6D88"/>
    <w:rsid w:val="005C7C08"/>
    <w:rsid w:val="005D22F5"/>
    <w:rsid w:val="005D2C95"/>
    <w:rsid w:val="005D684E"/>
    <w:rsid w:val="005E38E4"/>
    <w:rsid w:val="005E4F7B"/>
    <w:rsid w:val="005F37CE"/>
    <w:rsid w:val="005F53BE"/>
    <w:rsid w:val="00601DD6"/>
    <w:rsid w:val="006038E1"/>
    <w:rsid w:val="00603F71"/>
    <w:rsid w:val="006040F0"/>
    <w:rsid w:val="00611878"/>
    <w:rsid w:val="006208A4"/>
    <w:rsid w:val="006208B1"/>
    <w:rsid w:val="006212D8"/>
    <w:rsid w:val="00622839"/>
    <w:rsid w:val="0062548E"/>
    <w:rsid w:val="0062740D"/>
    <w:rsid w:val="00630762"/>
    <w:rsid w:val="00630DCD"/>
    <w:rsid w:val="00632149"/>
    <w:rsid w:val="006359E7"/>
    <w:rsid w:val="00636760"/>
    <w:rsid w:val="00636873"/>
    <w:rsid w:val="0063783A"/>
    <w:rsid w:val="00642BA2"/>
    <w:rsid w:val="00644095"/>
    <w:rsid w:val="00644244"/>
    <w:rsid w:val="00645358"/>
    <w:rsid w:val="00647978"/>
    <w:rsid w:val="006515C9"/>
    <w:rsid w:val="00652318"/>
    <w:rsid w:val="00652743"/>
    <w:rsid w:val="0065638E"/>
    <w:rsid w:val="006606C4"/>
    <w:rsid w:val="006619C4"/>
    <w:rsid w:val="00662174"/>
    <w:rsid w:val="0067005F"/>
    <w:rsid w:val="00674F41"/>
    <w:rsid w:val="00675FDF"/>
    <w:rsid w:val="00677A85"/>
    <w:rsid w:val="0068322D"/>
    <w:rsid w:val="0069023A"/>
    <w:rsid w:val="00690F4E"/>
    <w:rsid w:val="00693A25"/>
    <w:rsid w:val="006953CB"/>
    <w:rsid w:val="00697253"/>
    <w:rsid w:val="006A0B0E"/>
    <w:rsid w:val="006A0D86"/>
    <w:rsid w:val="006A1384"/>
    <w:rsid w:val="006A15F8"/>
    <w:rsid w:val="006A48B5"/>
    <w:rsid w:val="006A6064"/>
    <w:rsid w:val="006A69AE"/>
    <w:rsid w:val="006B116B"/>
    <w:rsid w:val="006C0911"/>
    <w:rsid w:val="006C23A1"/>
    <w:rsid w:val="006C243C"/>
    <w:rsid w:val="006C5644"/>
    <w:rsid w:val="006C6A70"/>
    <w:rsid w:val="006D1825"/>
    <w:rsid w:val="006D46FB"/>
    <w:rsid w:val="006E053C"/>
    <w:rsid w:val="006E12C8"/>
    <w:rsid w:val="006E1BBB"/>
    <w:rsid w:val="006E2651"/>
    <w:rsid w:val="006E5175"/>
    <w:rsid w:val="006F09FA"/>
    <w:rsid w:val="006F7F05"/>
    <w:rsid w:val="00706842"/>
    <w:rsid w:val="00713246"/>
    <w:rsid w:val="0071340C"/>
    <w:rsid w:val="00715AA3"/>
    <w:rsid w:val="007205EA"/>
    <w:rsid w:val="00732555"/>
    <w:rsid w:val="00736CFE"/>
    <w:rsid w:val="00743D6C"/>
    <w:rsid w:val="00744200"/>
    <w:rsid w:val="00744293"/>
    <w:rsid w:val="00744CCA"/>
    <w:rsid w:val="00746204"/>
    <w:rsid w:val="0074674D"/>
    <w:rsid w:val="00747715"/>
    <w:rsid w:val="00750138"/>
    <w:rsid w:val="00753DA3"/>
    <w:rsid w:val="0075788A"/>
    <w:rsid w:val="00764F50"/>
    <w:rsid w:val="007659DB"/>
    <w:rsid w:val="00770A92"/>
    <w:rsid w:val="00774A47"/>
    <w:rsid w:val="0077716A"/>
    <w:rsid w:val="00781B8B"/>
    <w:rsid w:val="00782AE2"/>
    <w:rsid w:val="00790474"/>
    <w:rsid w:val="00790C65"/>
    <w:rsid w:val="00790CEB"/>
    <w:rsid w:val="00795991"/>
    <w:rsid w:val="007A00A8"/>
    <w:rsid w:val="007A3FB5"/>
    <w:rsid w:val="007A7D45"/>
    <w:rsid w:val="007B12DC"/>
    <w:rsid w:val="007B2E99"/>
    <w:rsid w:val="007B338F"/>
    <w:rsid w:val="007B36EA"/>
    <w:rsid w:val="007B376A"/>
    <w:rsid w:val="007B5137"/>
    <w:rsid w:val="007B67D2"/>
    <w:rsid w:val="007B7B18"/>
    <w:rsid w:val="007C1B00"/>
    <w:rsid w:val="007C56DC"/>
    <w:rsid w:val="007C6754"/>
    <w:rsid w:val="007D0695"/>
    <w:rsid w:val="007D1256"/>
    <w:rsid w:val="007D13D9"/>
    <w:rsid w:val="007D2B49"/>
    <w:rsid w:val="007D31CE"/>
    <w:rsid w:val="007D3B22"/>
    <w:rsid w:val="007D4C8A"/>
    <w:rsid w:val="007D5BB7"/>
    <w:rsid w:val="007D7DBF"/>
    <w:rsid w:val="007E0621"/>
    <w:rsid w:val="007E3DA8"/>
    <w:rsid w:val="007E4E37"/>
    <w:rsid w:val="007F3697"/>
    <w:rsid w:val="007F3D62"/>
    <w:rsid w:val="007F42CB"/>
    <w:rsid w:val="007F4B07"/>
    <w:rsid w:val="007F59B9"/>
    <w:rsid w:val="00806CB9"/>
    <w:rsid w:val="008079AA"/>
    <w:rsid w:val="00810D5A"/>
    <w:rsid w:val="0081257B"/>
    <w:rsid w:val="00815CD6"/>
    <w:rsid w:val="00825829"/>
    <w:rsid w:val="00830638"/>
    <w:rsid w:val="008310C1"/>
    <w:rsid w:val="0083488D"/>
    <w:rsid w:val="0083492D"/>
    <w:rsid w:val="00837E4A"/>
    <w:rsid w:val="008466C3"/>
    <w:rsid w:val="00846AC1"/>
    <w:rsid w:val="0084717C"/>
    <w:rsid w:val="00851458"/>
    <w:rsid w:val="0085252E"/>
    <w:rsid w:val="00855419"/>
    <w:rsid w:val="00861A47"/>
    <w:rsid w:val="0086318D"/>
    <w:rsid w:val="00863370"/>
    <w:rsid w:val="00863F53"/>
    <w:rsid w:val="00865DD4"/>
    <w:rsid w:val="008707FF"/>
    <w:rsid w:val="00870852"/>
    <w:rsid w:val="0087179A"/>
    <w:rsid w:val="008724E5"/>
    <w:rsid w:val="008744F4"/>
    <w:rsid w:val="00874EE6"/>
    <w:rsid w:val="008757B8"/>
    <w:rsid w:val="00875C32"/>
    <w:rsid w:val="008803F8"/>
    <w:rsid w:val="00880503"/>
    <w:rsid w:val="00880CB1"/>
    <w:rsid w:val="008824C0"/>
    <w:rsid w:val="008917FA"/>
    <w:rsid w:val="00893A52"/>
    <w:rsid w:val="008A6209"/>
    <w:rsid w:val="008B41B1"/>
    <w:rsid w:val="008C0F28"/>
    <w:rsid w:val="008C28BB"/>
    <w:rsid w:val="008C2F90"/>
    <w:rsid w:val="008C49C6"/>
    <w:rsid w:val="008C5307"/>
    <w:rsid w:val="008D3BF7"/>
    <w:rsid w:val="008D53B0"/>
    <w:rsid w:val="008D5FF5"/>
    <w:rsid w:val="008D7B22"/>
    <w:rsid w:val="008E0C29"/>
    <w:rsid w:val="008E3BEB"/>
    <w:rsid w:val="008E55E5"/>
    <w:rsid w:val="008E6C76"/>
    <w:rsid w:val="008E7750"/>
    <w:rsid w:val="008E7DC6"/>
    <w:rsid w:val="008E7FA3"/>
    <w:rsid w:val="008F153C"/>
    <w:rsid w:val="008F16C6"/>
    <w:rsid w:val="008F34A1"/>
    <w:rsid w:val="008F4E38"/>
    <w:rsid w:val="008F7B13"/>
    <w:rsid w:val="009001CE"/>
    <w:rsid w:val="00907479"/>
    <w:rsid w:val="00911A07"/>
    <w:rsid w:val="009121CE"/>
    <w:rsid w:val="009127D8"/>
    <w:rsid w:val="00913379"/>
    <w:rsid w:val="00914F8B"/>
    <w:rsid w:val="00915631"/>
    <w:rsid w:val="009167BA"/>
    <w:rsid w:val="00921F65"/>
    <w:rsid w:val="00924B63"/>
    <w:rsid w:val="00925E8A"/>
    <w:rsid w:val="00926156"/>
    <w:rsid w:val="00927289"/>
    <w:rsid w:val="0093081B"/>
    <w:rsid w:val="00936A1B"/>
    <w:rsid w:val="00941C6A"/>
    <w:rsid w:val="00942054"/>
    <w:rsid w:val="00945DE1"/>
    <w:rsid w:val="00946373"/>
    <w:rsid w:val="009465CF"/>
    <w:rsid w:val="00947F42"/>
    <w:rsid w:val="0095252B"/>
    <w:rsid w:val="009529A3"/>
    <w:rsid w:val="00952BED"/>
    <w:rsid w:val="00956DFD"/>
    <w:rsid w:val="0096014D"/>
    <w:rsid w:val="00962F23"/>
    <w:rsid w:val="00966D45"/>
    <w:rsid w:val="00967CE4"/>
    <w:rsid w:val="009725C0"/>
    <w:rsid w:val="0097349C"/>
    <w:rsid w:val="0097466A"/>
    <w:rsid w:val="00974A61"/>
    <w:rsid w:val="0097749C"/>
    <w:rsid w:val="00982AE3"/>
    <w:rsid w:val="00984C7A"/>
    <w:rsid w:val="00987086"/>
    <w:rsid w:val="009B175E"/>
    <w:rsid w:val="009B4A6C"/>
    <w:rsid w:val="009B55AC"/>
    <w:rsid w:val="009C7063"/>
    <w:rsid w:val="009C7D48"/>
    <w:rsid w:val="009D10BA"/>
    <w:rsid w:val="009D4547"/>
    <w:rsid w:val="009D5E38"/>
    <w:rsid w:val="009D7BCF"/>
    <w:rsid w:val="009E1B19"/>
    <w:rsid w:val="009F1659"/>
    <w:rsid w:val="009F20E7"/>
    <w:rsid w:val="009F34A4"/>
    <w:rsid w:val="009F3988"/>
    <w:rsid w:val="009F61A8"/>
    <w:rsid w:val="00A01344"/>
    <w:rsid w:val="00A06089"/>
    <w:rsid w:val="00A06D9E"/>
    <w:rsid w:val="00A141C5"/>
    <w:rsid w:val="00A150C7"/>
    <w:rsid w:val="00A22E7E"/>
    <w:rsid w:val="00A328AA"/>
    <w:rsid w:val="00A32A0E"/>
    <w:rsid w:val="00A337BF"/>
    <w:rsid w:val="00A35B1F"/>
    <w:rsid w:val="00A375F3"/>
    <w:rsid w:val="00A50E04"/>
    <w:rsid w:val="00A519A2"/>
    <w:rsid w:val="00A55A2F"/>
    <w:rsid w:val="00A56753"/>
    <w:rsid w:val="00A56E74"/>
    <w:rsid w:val="00A70883"/>
    <w:rsid w:val="00A71481"/>
    <w:rsid w:val="00A71DAE"/>
    <w:rsid w:val="00A77AEB"/>
    <w:rsid w:val="00A84174"/>
    <w:rsid w:val="00A86042"/>
    <w:rsid w:val="00A976A7"/>
    <w:rsid w:val="00AA444A"/>
    <w:rsid w:val="00AA7556"/>
    <w:rsid w:val="00AB1528"/>
    <w:rsid w:val="00AB424A"/>
    <w:rsid w:val="00AB7A48"/>
    <w:rsid w:val="00AC268B"/>
    <w:rsid w:val="00AC2E38"/>
    <w:rsid w:val="00AC5753"/>
    <w:rsid w:val="00AE0E59"/>
    <w:rsid w:val="00AE1B18"/>
    <w:rsid w:val="00AE2243"/>
    <w:rsid w:val="00AE59F7"/>
    <w:rsid w:val="00AE6BC1"/>
    <w:rsid w:val="00AF12D0"/>
    <w:rsid w:val="00AF1760"/>
    <w:rsid w:val="00AF18EA"/>
    <w:rsid w:val="00AF1C32"/>
    <w:rsid w:val="00AF222D"/>
    <w:rsid w:val="00AF2AB6"/>
    <w:rsid w:val="00AF2D08"/>
    <w:rsid w:val="00AF5F45"/>
    <w:rsid w:val="00B03687"/>
    <w:rsid w:val="00B11AE3"/>
    <w:rsid w:val="00B13952"/>
    <w:rsid w:val="00B200D7"/>
    <w:rsid w:val="00B21562"/>
    <w:rsid w:val="00B250FB"/>
    <w:rsid w:val="00B25DFA"/>
    <w:rsid w:val="00B315F7"/>
    <w:rsid w:val="00B356B4"/>
    <w:rsid w:val="00B46D2E"/>
    <w:rsid w:val="00B47010"/>
    <w:rsid w:val="00B506AF"/>
    <w:rsid w:val="00B50FAF"/>
    <w:rsid w:val="00B513A4"/>
    <w:rsid w:val="00B549AD"/>
    <w:rsid w:val="00B6167A"/>
    <w:rsid w:val="00B6687B"/>
    <w:rsid w:val="00B66B8E"/>
    <w:rsid w:val="00B75005"/>
    <w:rsid w:val="00B806B6"/>
    <w:rsid w:val="00B82CBF"/>
    <w:rsid w:val="00B918D5"/>
    <w:rsid w:val="00B973B5"/>
    <w:rsid w:val="00BA1929"/>
    <w:rsid w:val="00BA1979"/>
    <w:rsid w:val="00BA3140"/>
    <w:rsid w:val="00BA3BA1"/>
    <w:rsid w:val="00BB4603"/>
    <w:rsid w:val="00BB5407"/>
    <w:rsid w:val="00BB737E"/>
    <w:rsid w:val="00BB7696"/>
    <w:rsid w:val="00BC1DD4"/>
    <w:rsid w:val="00BC49CC"/>
    <w:rsid w:val="00BC4FEE"/>
    <w:rsid w:val="00BC6177"/>
    <w:rsid w:val="00BC7948"/>
    <w:rsid w:val="00BD0137"/>
    <w:rsid w:val="00BD28FB"/>
    <w:rsid w:val="00BD59BD"/>
    <w:rsid w:val="00BE0815"/>
    <w:rsid w:val="00BE37F2"/>
    <w:rsid w:val="00BE39C3"/>
    <w:rsid w:val="00BE3DBD"/>
    <w:rsid w:val="00BE4805"/>
    <w:rsid w:val="00BE5B24"/>
    <w:rsid w:val="00BF09AC"/>
    <w:rsid w:val="00BF09DF"/>
    <w:rsid w:val="00BF3246"/>
    <w:rsid w:val="00BF4EB3"/>
    <w:rsid w:val="00BF5DD4"/>
    <w:rsid w:val="00C0309B"/>
    <w:rsid w:val="00C11AB2"/>
    <w:rsid w:val="00C1651E"/>
    <w:rsid w:val="00C23F5D"/>
    <w:rsid w:val="00C31156"/>
    <w:rsid w:val="00C335F1"/>
    <w:rsid w:val="00C3447C"/>
    <w:rsid w:val="00C35DC9"/>
    <w:rsid w:val="00C373E1"/>
    <w:rsid w:val="00C37ADE"/>
    <w:rsid w:val="00C44E63"/>
    <w:rsid w:val="00C4550D"/>
    <w:rsid w:val="00C47A7A"/>
    <w:rsid w:val="00C5304F"/>
    <w:rsid w:val="00C54CCF"/>
    <w:rsid w:val="00C57F92"/>
    <w:rsid w:val="00C60314"/>
    <w:rsid w:val="00C6353C"/>
    <w:rsid w:val="00C6478B"/>
    <w:rsid w:val="00C65379"/>
    <w:rsid w:val="00C70EFC"/>
    <w:rsid w:val="00C748D8"/>
    <w:rsid w:val="00C75295"/>
    <w:rsid w:val="00C75E42"/>
    <w:rsid w:val="00C76CFA"/>
    <w:rsid w:val="00C86AB5"/>
    <w:rsid w:val="00C91644"/>
    <w:rsid w:val="00C91D2D"/>
    <w:rsid w:val="00C9220E"/>
    <w:rsid w:val="00C94877"/>
    <w:rsid w:val="00C95838"/>
    <w:rsid w:val="00C95C87"/>
    <w:rsid w:val="00C96E9A"/>
    <w:rsid w:val="00CA329D"/>
    <w:rsid w:val="00CA3D3A"/>
    <w:rsid w:val="00CA608E"/>
    <w:rsid w:val="00CA775F"/>
    <w:rsid w:val="00CB0610"/>
    <w:rsid w:val="00CB0F37"/>
    <w:rsid w:val="00CB1B5A"/>
    <w:rsid w:val="00CB53C4"/>
    <w:rsid w:val="00CB7477"/>
    <w:rsid w:val="00CC2B50"/>
    <w:rsid w:val="00CC2BC6"/>
    <w:rsid w:val="00CC6E3E"/>
    <w:rsid w:val="00CC7F39"/>
    <w:rsid w:val="00CD117E"/>
    <w:rsid w:val="00CD37C9"/>
    <w:rsid w:val="00CD4F89"/>
    <w:rsid w:val="00CD5C16"/>
    <w:rsid w:val="00CD60E7"/>
    <w:rsid w:val="00CD69DC"/>
    <w:rsid w:val="00CE2586"/>
    <w:rsid w:val="00CE2C5E"/>
    <w:rsid w:val="00CE4D40"/>
    <w:rsid w:val="00CE5A57"/>
    <w:rsid w:val="00CF423A"/>
    <w:rsid w:val="00CF4CB1"/>
    <w:rsid w:val="00CF68E3"/>
    <w:rsid w:val="00CF6B9B"/>
    <w:rsid w:val="00D05000"/>
    <w:rsid w:val="00D17A84"/>
    <w:rsid w:val="00D20301"/>
    <w:rsid w:val="00D265F3"/>
    <w:rsid w:val="00D27988"/>
    <w:rsid w:val="00D302AD"/>
    <w:rsid w:val="00D359BF"/>
    <w:rsid w:val="00D35F17"/>
    <w:rsid w:val="00D404B7"/>
    <w:rsid w:val="00D45C4B"/>
    <w:rsid w:val="00D4612A"/>
    <w:rsid w:val="00D46EBD"/>
    <w:rsid w:val="00D47685"/>
    <w:rsid w:val="00D50BB2"/>
    <w:rsid w:val="00D61835"/>
    <w:rsid w:val="00D62345"/>
    <w:rsid w:val="00D6241A"/>
    <w:rsid w:val="00D6274B"/>
    <w:rsid w:val="00D62F3B"/>
    <w:rsid w:val="00D66B4E"/>
    <w:rsid w:val="00D67EAF"/>
    <w:rsid w:val="00D7450F"/>
    <w:rsid w:val="00D809E5"/>
    <w:rsid w:val="00D80EF2"/>
    <w:rsid w:val="00D816FB"/>
    <w:rsid w:val="00D81948"/>
    <w:rsid w:val="00D81A09"/>
    <w:rsid w:val="00D83A87"/>
    <w:rsid w:val="00D9211F"/>
    <w:rsid w:val="00D92F46"/>
    <w:rsid w:val="00D9501F"/>
    <w:rsid w:val="00D97642"/>
    <w:rsid w:val="00DA1F43"/>
    <w:rsid w:val="00DB02E9"/>
    <w:rsid w:val="00DB11E7"/>
    <w:rsid w:val="00DB24F0"/>
    <w:rsid w:val="00DB257E"/>
    <w:rsid w:val="00DB50D5"/>
    <w:rsid w:val="00DB71FE"/>
    <w:rsid w:val="00DC379E"/>
    <w:rsid w:val="00DC579D"/>
    <w:rsid w:val="00DC793C"/>
    <w:rsid w:val="00DD196F"/>
    <w:rsid w:val="00DD52EE"/>
    <w:rsid w:val="00DD5652"/>
    <w:rsid w:val="00DE16E4"/>
    <w:rsid w:val="00DE2BB3"/>
    <w:rsid w:val="00DE42A3"/>
    <w:rsid w:val="00DF0FD2"/>
    <w:rsid w:val="00DF1B41"/>
    <w:rsid w:val="00DF2F2B"/>
    <w:rsid w:val="00DF3DA3"/>
    <w:rsid w:val="00DF3FB7"/>
    <w:rsid w:val="00DF5209"/>
    <w:rsid w:val="00E01D92"/>
    <w:rsid w:val="00E03C1C"/>
    <w:rsid w:val="00E06A00"/>
    <w:rsid w:val="00E11989"/>
    <w:rsid w:val="00E12D0F"/>
    <w:rsid w:val="00E1329C"/>
    <w:rsid w:val="00E13A4B"/>
    <w:rsid w:val="00E14322"/>
    <w:rsid w:val="00E16477"/>
    <w:rsid w:val="00E21DD0"/>
    <w:rsid w:val="00E22B99"/>
    <w:rsid w:val="00E244F2"/>
    <w:rsid w:val="00E24C45"/>
    <w:rsid w:val="00E253BD"/>
    <w:rsid w:val="00E25791"/>
    <w:rsid w:val="00E258D9"/>
    <w:rsid w:val="00E26E9D"/>
    <w:rsid w:val="00E3489B"/>
    <w:rsid w:val="00E3509F"/>
    <w:rsid w:val="00E40A50"/>
    <w:rsid w:val="00E41D8D"/>
    <w:rsid w:val="00E425D9"/>
    <w:rsid w:val="00E431DB"/>
    <w:rsid w:val="00E439CA"/>
    <w:rsid w:val="00E47181"/>
    <w:rsid w:val="00E5219B"/>
    <w:rsid w:val="00E525A2"/>
    <w:rsid w:val="00E526E7"/>
    <w:rsid w:val="00E55441"/>
    <w:rsid w:val="00E6404B"/>
    <w:rsid w:val="00E655E6"/>
    <w:rsid w:val="00E66A40"/>
    <w:rsid w:val="00E66F72"/>
    <w:rsid w:val="00E72ADA"/>
    <w:rsid w:val="00E72B36"/>
    <w:rsid w:val="00E75684"/>
    <w:rsid w:val="00E83023"/>
    <w:rsid w:val="00E84D66"/>
    <w:rsid w:val="00E927C4"/>
    <w:rsid w:val="00E93F6E"/>
    <w:rsid w:val="00E95DD2"/>
    <w:rsid w:val="00EA198F"/>
    <w:rsid w:val="00EA1BCF"/>
    <w:rsid w:val="00EA6BED"/>
    <w:rsid w:val="00EB0D7F"/>
    <w:rsid w:val="00EB5F42"/>
    <w:rsid w:val="00EB75BF"/>
    <w:rsid w:val="00EC09B7"/>
    <w:rsid w:val="00EC1CE2"/>
    <w:rsid w:val="00ED2D07"/>
    <w:rsid w:val="00EE3048"/>
    <w:rsid w:val="00EE63C4"/>
    <w:rsid w:val="00EE788E"/>
    <w:rsid w:val="00EF0BCB"/>
    <w:rsid w:val="00EF0E74"/>
    <w:rsid w:val="00EF219E"/>
    <w:rsid w:val="00EF23A1"/>
    <w:rsid w:val="00EF3A9F"/>
    <w:rsid w:val="00EF3B14"/>
    <w:rsid w:val="00EF6D74"/>
    <w:rsid w:val="00EF7C59"/>
    <w:rsid w:val="00F00E8A"/>
    <w:rsid w:val="00F039C0"/>
    <w:rsid w:val="00F12556"/>
    <w:rsid w:val="00F13D37"/>
    <w:rsid w:val="00F228E9"/>
    <w:rsid w:val="00F3118C"/>
    <w:rsid w:val="00F315D0"/>
    <w:rsid w:val="00F327DA"/>
    <w:rsid w:val="00F33650"/>
    <w:rsid w:val="00F368F6"/>
    <w:rsid w:val="00F473CB"/>
    <w:rsid w:val="00F47E0D"/>
    <w:rsid w:val="00F50245"/>
    <w:rsid w:val="00F57AD6"/>
    <w:rsid w:val="00F60C42"/>
    <w:rsid w:val="00F63DDA"/>
    <w:rsid w:val="00F70858"/>
    <w:rsid w:val="00F725E2"/>
    <w:rsid w:val="00F7327C"/>
    <w:rsid w:val="00F7397F"/>
    <w:rsid w:val="00F748D8"/>
    <w:rsid w:val="00F7535F"/>
    <w:rsid w:val="00F75949"/>
    <w:rsid w:val="00F76939"/>
    <w:rsid w:val="00F77B74"/>
    <w:rsid w:val="00F845E6"/>
    <w:rsid w:val="00F9165A"/>
    <w:rsid w:val="00F941F0"/>
    <w:rsid w:val="00F953B0"/>
    <w:rsid w:val="00F956AF"/>
    <w:rsid w:val="00FA0D65"/>
    <w:rsid w:val="00FA3037"/>
    <w:rsid w:val="00FA308A"/>
    <w:rsid w:val="00FA5A38"/>
    <w:rsid w:val="00FA5EED"/>
    <w:rsid w:val="00FB394B"/>
    <w:rsid w:val="00FB4D6D"/>
    <w:rsid w:val="00FB5E96"/>
    <w:rsid w:val="00FC1A3A"/>
    <w:rsid w:val="00FC229E"/>
    <w:rsid w:val="00FC422C"/>
    <w:rsid w:val="00FC4E4A"/>
    <w:rsid w:val="00FD056A"/>
    <w:rsid w:val="00FD1941"/>
    <w:rsid w:val="00FD3235"/>
    <w:rsid w:val="00FD54BE"/>
    <w:rsid w:val="00FD57D3"/>
    <w:rsid w:val="00FD5F85"/>
    <w:rsid w:val="00FE2565"/>
    <w:rsid w:val="00FE41A9"/>
    <w:rsid w:val="00FF0F80"/>
    <w:rsid w:val="00FF1DC4"/>
    <w:rsid w:val="00FF2B1D"/>
    <w:rsid w:val="00FF7928"/>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C8FBD"/>
  <w15:docId w15:val="{704578A4-8F5E-42F7-A5FC-0FC6CDB9B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2B99"/>
    <w:pPr>
      <w:spacing w:after="120"/>
    </w:pPr>
    <w:rPr>
      <w:rFonts w:ascii="Times New Roman" w:eastAsia="Times New Roman" w:hAnsi="Times New Roman"/>
      <w:sz w:val="22"/>
      <w:szCs w:val="24"/>
    </w:rPr>
  </w:style>
  <w:style w:type="paragraph" w:styleId="Heading1">
    <w:name w:val="heading 1"/>
    <w:basedOn w:val="Normal"/>
    <w:next w:val="Normal"/>
    <w:link w:val="Heading1Char"/>
    <w:qFormat/>
    <w:rsid w:val="004C75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564DDB"/>
    <w:pPr>
      <w:keepNext/>
      <w:spacing w:before="240" w:after="60"/>
      <w:outlineLvl w:val="1"/>
    </w:pPr>
    <w:rPr>
      <w:rFonts w:ascii="Cambria" w:hAnsi="Cambria"/>
      <w:b/>
      <w:bCs/>
      <w:i/>
      <w:iCs/>
      <w:sz w:val="28"/>
      <w:szCs w:val="28"/>
    </w:rPr>
  </w:style>
  <w:style w:type="paragraph" w:styleId="Heading4">
    <w:name w:val="heading 4"/>
    <w:aliases w:val="GA Heading"/>
    <w:basedOn w:val="Normal"/>
    <w:next w:val="Normal"/>
    <w:link w:val="Heading4Char"/>
    <w:qFormat/>
    <w:rsid w:val="00F66657"/>
    <w:pPr>
      <w:keepNext/>
      <w:keepLines/>
      <w:tabs>
        <w:tab w:val="left" w:pos="567"/>
      </w:tabs>
      <w:snapToGrid w:val="0"/>
      <w:spacing w:after="240"/>
      <w:outlineLvl w:val="3"/>
    </w:pPr>
    <w:rPr>
      <w:rFonts w:ascii="Arial" w:hAnsi="Arial"/>
      <w:b/>
      <w:bCs/>
      <w:snapToGrid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spacing w:after="0"/>
    </w:pPr>
  </w:style>
  <w:style w:type="character" w:customStyle="1" w:styleId="HeaderChar">
    <w:name w:val="Header Char"/>
    <w:link w:val="Header"/>
    <w:rsid w:val="008724E5"/>
    <w:rPr>
      <w:lang w:val="fr-FR"/>
    </w:rPr>
  </w:style>
  <w:style w:type="paragraph" w:styleId="Footer">
    <w:name w:val="footer"/>
    <w:basedOn w:val="Normal"/>
    <w:link w:val="FooterChar"/>
    <w:uiPriority w:val="99"/>
    <w:unhideWhenUsed/>
    <w:rsid w:val="008724E5"/>
    <w:pPr>
      <w:tabs>
        <w:tab w:val="center" w:pos="4536"/>
        <w:tab w:val="right" w:pos="9072"/>
      </w:tabs>
      <w:spacing w:after="0"/>
    </w:pPr>
  </w:style>
  <w:style w:type="character" w:customStyle="1" w:styleId="FooterChar">
    <w:name w:val="Footer Char"/>
    <w:link w:val="Footer"/>
    <w:uiPriority w:val="99"/>
    <w:rsid w:val="008724E5"/>
    <w:rPr>
      <w:lang w:val="fr-FR"/>
    </w:rPr>
  </w:style>
  <w:style w:type="paragraph" w:styleId="BalloonText">
    <w:name w:val="Balloon Text"/>
    <w:basedOn w:val="Normal"/>
    <w:link w:val="BalloonTextChar"/>
    <w:uiPriority w:val="99"/>
    <w:semiHidden/>
    <w:unhideWhenUsed/>
    <w:rsid w:val="008724E5"/>
    <w:pPr>
      <w:spacing w:after="0"/>
    </w:pPr>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fr-FR"/>
    </w:rPr>
  </w:style>
  <w:style w:type="paragraph" w:customStyle="1" w:styleId="Sansinterligne1">
    <w:name w:val="Sans interligne1"/>
    <w:uiPriority w:val="1"/>
    <w:qFormat/>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GA Heading Char"/>
    <w:link w:val="Heading4"/>
    <w:rsid w:val="00F66657"/>
    <w:rPr>
      <w:rFonts w:ascii="Arial" w:eastAsia="Times New Roman" w:hAnsi="Arial"/>
      <w:b/>
      <w:bCs/>
      <w:snapToGrid w:val="0"/>
      <w:sz w:val="22"/>
      <w:szCs w:val="24"/>
      <w:lang w:val="fr-FR" w:eastAsia="en-US"/>
    </w:rPr>
  </w:style>
  <w:style w:type="paragraph" w:customStyle="1" w:styleId="ColorfulList-Accent11">
    <w:name w:val="Colorful List - Accent 11"/>
    <w:basedOn w:val="Normal"/>
    <w:uiPriority w:val="34"/>
    <w:qFormat/>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character" w:styleId="CommentReference">
    <w:name w:val="annotation reference"/>
    <w:rsid w:val="00B11AE3"/>
    <w:rPr>
      <w:sz w:val="16"/>
      <w:szCs w:val="16"/>
    </w:rPr>
  </w:style>
  <w:style w:type="paragraph" w:styleId="CommentText">
    <w:name w:val="annotation text"/>
    <w:basedOn w:val="Normal"/>
    <w:link w:val="CommentTextChar"/>
    <w:rsid w:val="00B11AE3"/>
    <w:rPr>
      <w:sz w:val="20"/>
      <w:szCs w:val="20"/>
    </w:rPr>
  </w:style>
  <w:style w:type="character" w:customStyle="1" w:styleId="CommentTextChar">
    <w:name w:val="Comment Text Char"/>
    <w:link w:val="CommentText"/>
    <w:rsid w:val="00B11AE3"/>
    <w:rPr>
      <w:rFonts w:ascii="Times New Roman" w:eastAsia="Times New Roman" w:hAnsi="Times New Roman"/>
      <w:lang w:val="fr-FR"/>
    </w:rPr>
  </w:style>
  <w:style w:type="paragraph" w:styleId="CommentSubject">
    <w:name w:val="annotation subject"/>
    <w:basedOn w:val="CommentText"/>
    <w:next w:val="CommentText"/>
    <w:link w:val="CommentSubjectChar"/>
    <w:rsid w:val="00B11AE3"/>
    <w:rPr>
      <w:b/>
      <w:bCs/>
    </w:rPr>
  </w:style>
  <w:style w:type="character" w:customStyle="1" w:styleId="CommentSubjectChar">
    <w:name w:val="Comment Subject Char"/>
    <w:link w:val="CommentSubject"/>
    <w:rsid w:val="00B11AE3"/>
    <w:rPr>
      <w:rFonts w:ascii="Times New Roman" w:eastAsia="Times New Roman" w:hAnsi="Times New Roman"/>
      <w:b/>
      <w:bCs/>
      <w:lang w:val="fr-FR"/>
    </w:rPr>
  </w:style>
  <w:style w:type="paragraph" w:customStyle="1" w:styleId="1GAPara">
    <w:name w:val="1. GA Para"/>
    <w:qFormat/>
    <w:rsid w:val="00E22B99"/>
    <w:pPr>
      <w:numPr>
        <w:numId w:val="8"/>
      </w:numPr>
      <w:spacing w:after="120"/>
    </w:pPr>
    <w:rPr>
      <w:rFonts w:ascii="Arial" w:eastAsia="Times New Roman" w:hAnsi="Arial" w:cs="Arial"/>
      <w:snapToGrid w:val="0"/>
      <w:sz w:val="22"/>
      <w:szCs w:val="22"/>
      <w:lang w:eastAsia="en-US"/>
    </w:rPr>
  </w:style>
  <w:style w:type="table" w:customStyle="1" w:styleId="TableGrid1">
    <w:name w:val="Table Grid1"/>
    <w:basedOn w:val="TableNormal"/>
    <w:next w:val="TableGrid"/>
    <w:uiPriority w:val="59"/>
    <w:rsid w:val="00C70EFC"/>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816FB"/>
    <w:rPr>
      <w:color w:val="0000FF" w:themeColor="hyperlink"/>
      <w:u w:val="single"/>
    </w:rPr>
  </w:style>
  <w:style w:type="character" w:styleId="FollowedHyperlink">
    <w:name w:val="FollowedHyperlink"/>
    <w:basedOn w:val="DefaultParagraphFont"/>
    <w:semiHidden/>
    <w:unhideWhenUsed/>
    <w:rsid w:val="00C335F1"/>
    <w:rPr>
      <w:color w:val="800080" w:themeColor="followedHyperlink"/>
      <w:u w:val="single"/>
    </w:rPr>
  </w:style>
  <w:style w:type="character" w:styleId="UnresolvedMention">
    <w:name w:val="Unresolved Mention"/>
    <w:basedOn w:val="DefaultParagraphFont"/>
    <w:uiPriority w:val="99"/>
    <w:semiHidden/>
    <w:unhideWhenUsed/>
    <w:rsid w:val="00EA6BED"/>
    <w:rPr>
      <w:color w:val="605E5C"/>
      <w:shd w:val="clear" w:color="auto" w:fill="E1DFDD"/>
    </w:rPr>
  </w:style>
  <w:style w:type="paragraph" w:styleId="ListParagraph">
    <w:name w:val="List Paragraph"/>
    <w:basedOn w:val="Normal"/>
    <w:uiPriority w:val="34"/>
    <w:qFormat/>
    <w:rsid w:val="007B36EA"/>
    <w:pPr>
      <w:spacing w:after="160" w:line="278" w:lineRule="auto"/>
      <w:ind w:left="720"/>
      <w:contextualSpacing/>
    </w:pPr>
    <w:rPr>
      <w:rFonts w:asciiTheme="minorHAnsi" w:eastAsiaTheme="minorEastAsia" w:hAnsiTheme="minorHAnsi" w:cstheme="minorBidi"/>
      <w:kern w:val="2"/>
      <w:sz w:val="24"/>
      <w:lang w:eastAsia="zh-CN"/>
      <w14:ligatures w14:val="standardContextual"/>
    </w:rPr>
  </w:style>
  <w:style w:type="character" w:customStyle="1" w:styleId="Heading1Char">
    <w:name w:val="Heading 1 Char"/>
    <w:basedOn w:val="DefaultParagraphFont"/>
    <w:link w:val="Heading1"/>
    <w:rsid w:val="004C7581"/>
    <w:rPr>
      <w:rFonts w:asciiTheme="majorHAnsi" w:eastAsiaTheme="majorEastAsia" w:hAnsiTheme="majorHAnsi" w:cstheme="majorBidi"/>
      <w:color w:val="365F91" w:themeColor="accent1" w:themeShade="BF"/>
      <w:sz w:val="32"/>
      <w:szCs w:val="32"/>
      <w:lang w:val="fr-FR"/>
    </w:rPr>
  </w:style>
  <w:style w:type="paragraph" w:styleId="Revision">
    <w:name w:val="Revision"/>
    <w:hidden/>
    <w:semiHidden/>
    <w:rsid w:val="00F47E0D"/>
    <w:rPr>
      <w:rFonts w:ascii="Times New Roman" w:eastAsia="Times New Roman" w:hAnsi="Times New Roman"/>
      <w:sz w:val="22"/>
      <w:szCs w:val="24"/>
    </w:rPr>
  </w:style>
  <w:style w:type="paragraph" w:styleId="NormalWeb">
    <w:name w:val="Normal (Web)"/>
    <w:basedOn w:val="Normal"/>
    <w:uiPriority w:val="99"/>
    <w:semiHidden/>
    <w:unhideWhenUsed/>
    <w:rsid w:val="00DF3FB7"/>
    <w:pPr>
      <w:spacing w:before="100" w:beforeAutospacing="1" w:after="100" w:afterAutospacing="1"/>
    </w:pPr>
    <w:rPr>
      <w:sz w:val="24"/>
      <w:lang w:eastAsia="en-GB"/>
    </w:rPr>
  </w:style>
  <w:style w:type="character" w:styleId="Strong">
    <w:name w:val="Strong"/>
    <w:basedOn w:val="DefaultParagraphFont"/>
    <w:uiPriority w:val="22"/>
    <w:qFormat/>
    <w:rsid w:val="00DF3FB7"/>
    <w:rPr>
      <w:b/>
      <w:bCs/>
    </w:rPr>
  </w:style>
  <w:style w:type="paragraph" w:styleId="FootnoteText">
    <w:name w:val="footnote text"/>
    <w:basedOn w:val="Normal"/>
    <w:link w:val="FootnoteTextChar"/>
    <w:semiHidden/>
    <w:unhideWhenUsed/>
    <w:rsid w:val="00EF3A9F"/>
    <w:pPr>
      <w:spacing w:after="0"/>
    </w:pPr>
    <w:rPr>
      <w:sz w:val="20"/>
      <w:szCs w:val="20"/>
    </w:rPr>
  </w:style>
  <w:style w:type="character" w:customStyle="1" w:styleId="FootnoteTextChar">
    <w:name w:val="Footnote Text Char"/>
    <w:basedOn w:val="DefaultParagraphFont"/>
    <w:link w:val="FootnoteText"/>
    <w:semiHidden/>
    <w:rsid w:val="00EF3A9F"/>
    <w:rPr>
      <w:rFonts w:ascii="Times New Roman" w:eastAsia="Times New Roman" w:hAnsi="Times New Roman"/>
      <w:lang w:val="fr-FR"/>
    </w:rPr>
  </w:style>
  <w:style w:type="character" w:styleId="FootnoteReference">
    <w:name w:val="footnote reference"/>
    <w:basedOn w:val="DefaultParagraphFont"/>
    <w:semiHidden/>
    <w:unhideWhenUsed/>
    <w:rsid w:val="00EF3A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6919">
      <w:bodyDiv w:val="1"/>
      <w:marLeft w:val="0"/>
      <w:marRight w:val="0"/>
      <w:marTop w:val="0"/>
      <w:marBottom w:val="0"/>
      <w:divBdr>
        <w:top w:val="none" w:sz="0" w:space="0" w:color="auto"/>
        <w:left w:val="none" w:sz="0" w:space="0" w:color="auto"/>
        <w:bottom w:val="none" w:sz="0" w:space="0" w:color="auto"/>
        <w:right w:val="none" w:sz="0" w:space="0" w:color="auto"/>
      </w:divBdr>
    </w:div>
    <w:div w:id="35280451">
      <w:bodyDiv w:val="1"/>
      <w:marLeft w:val="0"/>
      <w:marRight w:val="0"/>
      <w:marTop w:val="0"/>
      <w:marBottom w:val="0"/>
      <w:divBdr>
        <w:top w:val="none" w:sz="0" w:space="0" w:color="auto"/>
        <w:left w:val="none" w:sz="0" w:space="0" w:color="auto"/>
        <w:bottom w:val="none" w:sz="0" w:space="0" w:color="auto"/>
        <w:right w:val="none" w:sz="0" w:space="0" w:color="auto"/>
      </w:divBdr>
    </w:div>
    <w:div w:id="56366408">
      <w:bodyDiv w:val="1"/>
      <w:marLeft w:val="0"/>
      <w:marRight w:val="0"/>
      <w:marTop w:val="0"/>
      <w:marBottom w:val="0"/>
      <w:divBdr>
        <w:top w:val="none" w:sz="0" w:space="0" w:color="auto"/>
        <w:left w:val="none" w:sz="0" w:space="0" w:color="auto"/>
        <w:bottom w:val="none" w:sz="0" w:space="0" w:color="auto"/>
        <w:right w:val="none" w:sz="0" w:space="0" w:color="auto"/>
      </w:divBdr>
    </w:div>
    <w:div w:id="129788900">
      <w:bodyDiv w:val="1"/>
      <w:marLeft w:val="0"/>
      <w:marRight w:val="0"/>
      <w:marTop w:val="0"/>
      <w:marBottom w:val="0"/>
      <w:divBdr>
        <w:top w:val="none" w:sz="0" w:space="0" w:color="auto"/>
        <w:left w:val="none" w:sz="0" w:space="0" w:color="auto"/>
        <w:bottom w:val="none" w:sz="0" w:space="0" w:color="auto"/>
        <w:right w:val="none" w:sz="0" w:space="0" w:color="auto"/>
      </w:divBdr>
    </w:div>
    <w:div w:id="147987308">
      <w:bodyDiv w:val="1"/>
      <w:marLeft w:val="0"/>
      <w:marRight w:val="0"/>
      <w:marTop w:val="0"/>
      <w:marBottom w:val="0"/>
      <w:divBdr>
        <w:top w:val="none" w:sz="0" w:space="0" w:color="auto"/>
        <w:left w:val="none" w:sz="0" w:space="0" w:color="auto"/>
        <w:bottom w:val="none" w:sz="0" w:space="0" w:color="auto"/>
        <w:right w:val="none" w:sz="0" w:space="0" w:color="auto"/>
      </w:divBdr>
    </w:div>
    <w:div w:id="186140392">
      <w:bodyDiv w:val="1"/>
      <w:marLeft w:val="0"/>
      <w:marRight w:val="0"/>
      <w:marTop w:val="0"/>
      <w:marBottom w:val="0"/>
      <w:divBdr>
        <w:top w:val="none" w:sz="0" w:space="0" w:color="auto"/>
        <w:left w:val="none" w:sz="0" w:space="0" w:color="auto"/>
        <w:bottom w:val="none" w:sz="0" w:space="0" w:color="auto"/>
        <w:right w:val="none" w:sz="0" w:space="0" w:color="auto"/>
      </w:divBdr>
    </w:div>
    <w:div w:id="429158315">
      <w:bodyDiv w:val="1"/>
      <w:marLeft w:val="0"/>
      <w:marRight w:val="0"/>
      <w:marTop w:val="0"/>
      <w:marBottom w:val="0"/>
      <w:divBdr>
        <w:top w:val="none" w:sz="0" w:space="0" w:color="auto"/>
        <w:left w:val="none" w:sz="0" w:space="0" w:color="auto"/>
        <w:bottom w:val="none" w:sz="0" w:space="0" w:color="auto"/>
        <w:right w:val="none" w:sz="0" w:space="0" w:color="auto"/>
      </w:divBdr>
    </w:div>
    <w:div w:id="483552841">
      <w:bodyDiv w:val="1"/>
      <w:marLeft w:val="0"/>
      <w:marRight w:val="0"/>
      <w:marTop w:val="0"/>
      <w:marBottom w:val="0"/>
      <w:divBdr>
        <w:top w:val="none" w:sz="0" w:space="0" w:color="auto"/>
        <w:left w:val="none" w:sz="0" w:space="0" w:color="auto"/>
        <w:bottom w:val="none" w:sz="0" w:space="0" w:color="auto"/>
        <w:right w:val="none" w:sz="0" w:space="0" w:color="auto"/>
      </w:divBdr>
    </w:div>
    <w:div w:id="691104831">
      <w:bodyDiv w:val="1"/>
      <w:marLeft w:val="0"/>
      <w:marRight w:val="0"/>
      <w:marTop w:val="0"/>
      <w:marBottom w:val="0"/>
      <w:divBdr>
        <w:top w:val="none" w:sz="0" w:space="0" w:color="auto"/>
        <w:left w:val="none" w:sz="0" w:space="0" w:color="auto"/>
        <w:bottom w:val="none" w:sz="0" w:space="0" w:color="auto"/>
        <w:right w:val="none" w:sz="0" w:space="0" w:color="auto"/>
      </w:divBdr>
    </w:div>
    <w:div w:id="692463475">
      <w:bodyDiv w:val="1"/>
      <w:marLeft w:val="0"/>
      <w:marRight w:val="0"/>
      <w:marTop w:val="0"/>
      <w:marBottom w:val="0"/>
      <w:divBdr>
        <w:top w:val="none" w:sz="0" w:space="0" w:color="auto"/>
        <w:left w:val="none" w:sz="0" w:space="0" w:color="auto"/>
        <w:bottom w:val="none" w:sz="0" w:space="0" w:color="auto"/>
        <w:right w:val="none" w:sz="0" w:space="0" w:color="auto"/>
      </w:divBdr>
    </w:div>
    <w:div w:id="706033040">
      <w:bodyDiv w:val="1"/>
      <w:marLeft w:val="0"/>
      <w:marRight w:val="0"/>
      <w:marTop w:val="0"/>
      <w:marBottom w:val="0"/>
      <w:divBdr>
        <w:top w:val="none" w:sz="0" w:space="0" w:color="auto"/>
        <w:left w:val="none" w:sz="0" w:space="0" w:color="auto"/>
        <w:bottom w:val="none" w:sz="0" w:space="0" w:color="auto"/>
        <w:right w:val="none" w:sz="0" w:space="0" w:color="auto"/>
      </w:divBdr>
    </w:div>
    <w:div w:id="719285342">
      <w:bodyDiv w:val="1"/>
      <w:marLeft w:val="0"/>
      <w:marRight w:val="0"/>
      <w:marTop w:val="0"/>
      <w:marBottom w:val="0"/>
      <w:divBdr>
        <w:top w:val="none" w:sz="0" w:space="0" w:color="auto"/>
        <w:left w:val="none" w:sz="0" w:space="0" w:color="auto"/>
        <w:bottom w:val="none" w:sz="0" w:space="0" w:color="auto"/>
        <w:right w:val="none" w:sz="0" w:space="0" w:color="auto"/>
      </w:divBdr>
    </w:div>
    <w:div w:id="749501055">
      <w:bodyDiv w:val="1"/>
      <w:marLeft w:val="0"/>
      <w:marRight w:val="0"/>
      <w:marTop w:val="0"/>
      <w:marBottom w:val="0"/>
      <w:divBdr>
        <w:top w:val="none" w:sz="0" w:space="0" w:color="auto"/>
        <w:left w:val="none" w:sz="0" w:space="0" w:color="auto"/>
        <w:bottom w:val="none" w:sz="0" w:space="0" w:color="auto"/>
        <w:right w:val="none" w:sz="0" w:space="0" w:color="auto"/>
      </w:divBdr>
    </w:div>
    <w:div w:id="881408507">
      <w:bodyDiv w:val="1"/>
      <w:marLeft w:val="0"/>
      <w:marRight w:val="0"/>
      <w:marTop w:val="0"/>
      <w:marBottom w:val="0"/>
      <w:divBdr>
        <w:top w:val="none" w:sz="0" w:space="0" w:color="auto"/>
        <w:left w:val="none" w:sz="0" w:space="0" w:color="auto"/>
        <w:bottom w:val="none" w:sz="0" w:space="0" w:color="auto"/>
        <w:right w:val="none" w:sz="0" w:space="0" w:color="auto"/>
      </w:divBdr>
    </w:div>
    <w:div w:id="979845720">
      <w:bodyDiv w:val="1"/>
      <w:marLeft w:val="0"/>
      <w:marRight w:val="0"/>
      <w:marTop w:val="0"/>
      <w:marBottom w:val="0"/>
      <w:divBdr>
        <w:top w:val="none" w:sz="0" w:space="0" w:color="auto"/>
        <w:left w:val="none" w:sz="0" w:space="0" w:color="auto"/>
        <w:bottom w:val="none" w:sz="0" w:space="0" w:color="auto"/>
        <w:right w:val="none" w:sz="0" w:space="0" w:color="auto"/>
      </w:divBdr>
    </w:div>
    <w:div w:id="1102647539">
      <w:bodyDiv w:val="1"/>
      <w:marLeft w:val="0"/>
      <w:marRight w:val="0"/>
      <w:marTop w:val="0"/>
      <w:marBottom w:val="0"/>
      <w:divBdr>
        <w:top w:val="none" w:sz="0" w:space="0" w:color="auto"/>
        <w:left w:val="none" w:sz="0" w:space="0" w:color="auto"/>
        <w:bottom w:val="none" w:sz="0" w:space="0" w:color="auto"/>
        <w:right w:val="none" w:sz="0" w:space="0" w:color="auto"/>
      </w:divBdr>
    </w:div>
    <w:div w:id="1205484855">
      <w:bodyDiv w:val="1"/>
      <w:marLeft w:val="0"/>
      <w:marRight w:val="0"/>
      <w:marTop w:val="0"/>
      <w:marBottom w:val="0"/>
      <w:divBdr>
        <w:top w:val="none" w:sz="0" w:space="0" w:color="auto"/>
        <w:left w:val="none" w:sz="0" w:space="0" w:color="auto"/>
        <w:bottom w:val="none" w:sz="0" w:space="0" w:color="auto"/>
        <w:right w:val="none" w:sz="0" w:space="0" w:color="auto"/>
      </w:divBdr>
    </w:div>
    <w:div w:id="1293057548">
      <w:bodyDiv w:val="1"/>
      <w:marLeft w:val="0"/>
      <w:marRight w:val="0"/>
      <w:marTop w:val="0"/>
      <w:marBottom w:val="0"/>
      <w:divBdr>
        <w:top w:val="none" w:sz="0" w:space="0" w:color="auto"/>
        <w:left w:val="none" w:sz="0" w:space="0" w:color="auto"/>
        <w:bottom w:val="none" w:sz="0" w:space="0" w:color="auto"/>
        <w:right w:val="none" w:sz="0" w:space="0" w:color="auto"/>
      </w:divBdr>
    </w:div>
    <w:div w:id="1298951346">
      <w:bodyDiv w:val="1"/>
      <w:marLeft w:val="0"/>
      <w:marRight w:val="0"/>
      <w:marTop w:val="0"/>
      <w:marBottom w:val="0"/>
      <w:divBdr>
        <w:top w:val="none" w:sz="0" w:space="0" w:color="auto"/>
        <w:left w:val="none" w:sz="0" w:space="0" w:color="auto"/>
        <w:bottom w:val="none" w:sz="0" w:space="0" w:color="auto"/>
        <w:right w:val="none" w:sz="0" w:space="0" w:color="auto"/>
      </w:divBdr>
    </w:div>
    <w:div w:id="1358198233">
      <w:bodyDiv w:val="1"/>
      <w:marLeft w:val="0"/>
      <w:marRight w:val="0"/>
      <w:marTop w:val="0"/>
      <w:marBottom w:val="0"/>
      <w:divBdr>
        <w:top w:val="none" w:sz="0" w:space="0" w:color="auto"/>
        <w:left w:val="none" w:sz="0" w:space="0" w:color="auto"/>
        <w:bottom w:val="none" w:sz="0" w:space="0" w:color="auto"/>
        <w:right w:val="none" w:sz="0" w:space="0" w:color="auto"/>
      </w:divBdr>
    </w:div>
    <w:div w:id="1400664812">
      <w:bodyDiv w:val="1"/>
      <w:marLeft w:val="0"/>
      <w:marRight w:val="0"/>
      <w:marTop w:val="0"/>
      <w:marBottom w:val="0"/>
      <w:divBdr>
        <w:top w:val="none" w:sz="0" w:space="0" w:color="auto"/>
        <w:left w:val="none" w:sz="0" w:space="0" w:color="auto"/>
        <w:bottom w:val="none" w:sz="0" w:space="0" w:color="auto"/>
        <w:right w:val="none" w:sz="0" w:space="0" w:color="auto"/>
      </w:divBdr>
    </w:div>
    <w:div w:id="1463842832">
      <w:bodyDiv w:val="1"/>
      <w:marLeft w:val="0"/>
      <w:marRight w:val="0"/>
      <w:marTop w:val="0"/>
      <w:marBottom w:val="0"/>
      <w:divBdr>
        <w:top w:val="none" w:sz="0" w:space="0" w:color="auto"/>
        <w:left w:val="none" w:sz="0" w:space="0" w:color="auto"/>
        <w:bottom w:val="none" w:sz="0" w:space="0" w:color="auto"/>
        <w:right w:val="none" w:sz="0" w:space="0" w:color="auto"/>
      </w:divBdr>
    </w:div>
    <w:div w:id="1525826696">
      <w:bodyDiv w:val="1"/>
      <w:marLeft w:val="0"/>
      <w:marRight w:val="0"/>
      <w:marTop w:val="0"/>
      <w:marBottom w:val="0"/>
      <w:divBdr>
        <w:top w:val="none" w:sz="0" w:space="0" w:color="auto"/>
        <w:left w:val="none" w:sz="0" w:space="0" w:color="auto"/>
        <w:bottom w:val="none" w:sz="0" w:space="0" w:color="auto"/>
        <w:right w:val="none" w:sz="0" w:space="0" w:color="auto"/>
      </w:divBdr>
    </w:div>
    <w:div w:id="1633091789">
      <w:bodyDiv w:val="1"/>
      <w:marLeft w:val="0"/>
      <w:marRight w:val="0"/>
      <w:marTop w:val="0"/>
      <w:marBottom w:val="0"/>
      <w:divBdr>
        <w:top w:val="none" w:sz="0" w:space="0" w:color="auto"/>
        <w:left w:val="none" w:sz="0" w:space="0" w:color="auto"/>
        <w:bottom w:val="none" w:sz="0" w:space="0" w:color="auto"/>
        <w:right w:val="none" w:sz="0" w:space="0" w:color="auto"/>
      </w:divBdr>
    </w:div>
    <w:div w:id="1655256186">
      <w:bodyDiv w:val="1"/>
      <w:marLeft w:val="0"/>
      <w:marRight w:val="0"/>
      <w:marTop w:val="0"/>
      <w:marBottom w:val="0"/>
      <w:divBdr>
        <w:top w:val="none" w:sz="0" w:space="0" w:color="auto"/>
        <w:left w:val="none" w:sz="0" w:space="0" w:color="auto"/>
        <w:bottom w:val="none" w:sz="0" w:space="0" w:color="auto"/>
        <w:right w:val="none" w:sz="0" w:space="0" w:color="auto"/>
      </w:divBdr>
    </w:div>
    <w:div w:id="1792091237">
      <w:bodyDiv w:val="1"/>
      <w:marLeft w:val="0"/>
      <w:marRight w:val="0"/>
      <w:marTop w:val="0"/>
      <w:marBottom w:val="0"/>
      <w:divBdr>
        <w:top w:val="none" w:sz="0" w:space="0" w:color="auto"/>
        <w:left w:val="none" w:sz="0" w:space="0" w:color="auto"/>
        <w:bottom w:val="none" w:sz="0" w:space="0" w:color="auto"/>
        <w:right w:val="none" w:sz="0" w:space="0" w:color="auto"/>
      </w:divBdr>
    </w:div>
    <w:div w:id="1798522821">
      <w:bodyDiv w:val="1"/>
      <w:marLeft w:val="0"/>
      <w:marRight w:val="0"/>
      <w:marTop w:val="0"/>
      <w:marBottom w:val="0"/>
      <w:divBdr>
        <w:top w:val="none" w:sz="0" w:space="0" w:color="auto"/>
        <w:left w:val="none" w:sz="0" w:space="0" w:color="auto"/>
        <w:bottom w:val="none" w:sz="0" w:space="0" w:color="auto"/>
        <w:right w:val="none" w:sz="0" w:space="0" w:color="auto"/>
      </w:divBdr>
    </w:div>
    <w:div w:id="1819415738">
      <w:bodyDiv w:val="1"/>
      <w:marLeft w:val="0"/>
      <w:marRight w:val="0"/>
      <w:marTop w:val="0"/>
      <w:marBottom w:val="0"/>
      <w:divBdr>
        <w:top w:val="none" w:sz="0" w:space="0" w:color="auto"/>
        <w:left w:val="none" w:sz="0" w:space="0" w:color="auto"/>
        <w:bottom w:val="none" w:sz="0" w:space="0" w:color="auto"/>
        <w:right w:val="none" w:sz="0" w:space="0" w:color="auto"/>
      </w:divBdr>
    </w:div>
    <w:div w:id="1856722669">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73367013">
      <w:bodyDiv w:val="1"/>
      <w:marLeft w:val="0"/>
      <w:marRight w:val="0"/>
      <w:marTop w:val="0"/>
      <w:marBottom w:val="0"/>
      <w:divBdr>
        <w:top w:val="none" w:sz="0" w:space="0" w:color="auto"/>
        <w:left w:val="none" w:sz="0" w:space="0" w:color="auto"/>
        <w:bottom w:val="none" w:sz="0" w:space="0" w:color="auto"/>
        <w:right w:val="none" w:sz="0" w:space="0" w:color="auto"/>
      </w:divBdr>
    </w:div>
    <w:div w:id="200188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fr/decisions/16.COM/12" TargetMode="External"/><Relationship Id="rId13" Type="http://schemas.openxmlformats.org/officeDocument/2006/relationships/hyperlink" Target="https://ich.unesco.org/fr/projets/renforcer-les-capacites-aux-niveaux-national-et-local-pour-la-sauvegarde-du-patrimoine-culturel-immateriel-en-republique-unie-de-tanzanie-et-la-contribution-au-developpement-durable-00481?projectID=00481" TargetMode="External"/><Relationship Id="rId18" Type="http://schemas.openxmlformats.org/officeDocument/2006/relationships/hyperlink" Target="https://ich.unesco.org/fr/projets/soutien-a-l-elaboration-et-a-la-mise-en-oeuvre-d-activites-de-renforcement-des-capacites-pour-la-sauvegarde-du-patrimoine-culturel-immateriel-dans-les-situations-de-conflit-y-compris-les-situations-de-deplacement-force-00474?projectID=00474"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ich.unesco.org/doc/src/LHE-25-20.COM-13_FR.docx" TargetMode="External"/><Relationship Id="rId7" Type="http://schemas.openxmlformats.org/officeDocument/2006/relationships/endnotes" Target="endnotes.xml"/><Relationship Id="rId12" Type="http://schemas.openxmlformats.org/officeDocument/2006/relationships/hyperlink" Target="https://ich.unesco.org/fr/projets/renforcement-des-capacites-de-preparation-des-dossiers-de-candidature-pour-les-listes-de-la-convention-de-2003-dans-les-petits-etats-insulaires-et-en-developpement-peid-des-caraibes-00502?projectID=00502" TargetMode="External"/><Relationship Id="rId17" Type="http://schemas.openxmlformats.org/officeDocument/2006/relationships/hyperlink" Target="https://ich.unesco.org/fr/projets/renforcement-des-capacites-de-sauvegarde-du-patrimoine-culturel-immateriel-dans-les-contextes-de-catastrophe-00458?projectID=00458"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ch.unesco.org/fr/projets/renforcement-des-capacites-nationales-pour-la-sauvegarde-du-patrimoine-culturel-immateriel-et-la-contribution-au-developpement-durable-au-kenya-00480?projectID=00480" TargetMode="External"/><Relationship Id="rId20" Type="http://schemas.openxmlformats.org/officeDocument/2006/relationships/hyperlink" Target="https://ich.unesco.org/doc/src/LHE-25-20.COM-6.c_FR.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fr/projets/manuel-pratique-sur-les-rapports-periodiques-avec-un-outil-d-auto-apprentissage-sur-le-cadre-global-des-resultats-pour-la-mise-en-oeuvre-de-la-convention-pour-la-sauvegarde-du-patrimoine-culturel-immateriel-00484?projectID=00484"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ich.unesco.org/fr/projets/renforcement-des-capacites-aux-niveaux-national-et-local-pour-la-sauvegarde-du-patrimoine-culturel-immateriel-en-dominique-00477?projectID=00477" TargetMode="External"/><Relationship Id="rId23" Type="http://schemas.openxmlformats.org/officeDocument/2006/relationships/header" Target="header2.xml"/><Relationship Id="rId10" Type="http://schemas.openxmlformats.org/officeDocument/2006/relationships/hyperlink" Target="https://ich.unesco.org/doc/src/LHE-25-20.COM-13_FR.docx" TargetMode="External"/><Relationship Id="rId19" Type="http://schemas.openxmlformats.org/officeDocument/2006/relationships/hyperlink" Target="https://capacity-building.ich.unesco.org/login/index.php" TargetMode="External"/><Relationship Id="rId4" Type="http://schemas.openxmlformats.org/officeDocument/2006/relationships/settings" Target="settings.xml"/><Relationship Id="rId9" Type="http://schemas.openxmlformats.org/officeDocument/2006/relationships/hyperlink" Target="https://ich.unesco.org/doc/src/LHE-21-16.COM-12-FR.docx" TargetMode="External"/><Relationship Id="rId14" Type="http://schemas.openxmlformats.org/officeDocument/2006/relationships/hyperlink" Target="https://ich.unesco.org/fr/projets/renforcement-des-capacites-pour-la-sauvegarde-du-patrimoine-culturel-immateriel-et-la-contribution-au-developpement-durable-00475?projectID=00475"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ich.unesco.org/fr/materiel-renforcement-capacites" TargetMode="External"/><Relationship Id="rId2" Type="http://schemas.openxmlformats.org/officeDocument/2006/relationships/hyperlink" Target="https://ich.unesco.org/fr/materiel-renforcement-capacites" TargetMode="External"/><Relationship Id="rId1" Type="http://schemas.openxmlformats.org/officeDocument/2006/relationships/hyperlink" Target="https://ich.unesco.org/doc/src/LHE-21-16.COM-12-FR.docx" TargetMode="External"/><Relationship Id="rId5" Type="http://schemas.openxmlformats.org/officeDocument/2006/relationships/hyperlink" Target="https://ich.unesco.org/fr/materiel-renforcement-capacites" TargetMode="External"/><Relationship Id="rId4" Type="http://schemas.openxmlformats.org/officeDocument/2006/relationships/hyperlink" Target="https://ich.unesco.org/fr/materiel-renforcement-capacite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Information%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D64B2-7D7B-40E9-8A47-F99FB6E96E3B}">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10 COM_Information document_EN</Template>
  <TotalTime>1</TotalTime>
  <Pages>6</Pages>
  <Words>2874</Words>
  <Characters>15811</Characters>
  <Application>Microsoft Office Word</Application>
  <DocSecurity>0</DocSecurity>
  <Lines>131</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18648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 Eunkyung</dc:creator>
  <cp:lastModifiedBy>Nakata Glenat, Keiichi Julien</cp:lastModifiedBy>
  <cp:revision>6</cp:revision>
  <cp:lastPrinted>2025-11-12T17:56:00Z</cp:lastPrinted>
  <dcterms:created xsi:type="dcterms:W3CDTF">2025-11-25T16:59:00Z</dcterms:created>
  <dcterms:modified xsi:type="dcterms:W3CDTF">2025-11-28T18:18:00Z</dcterms:modified>
</cp:coreProperties>
</file>