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6A7090D" w:rsidR="002938F2" w:rsidRPr="008D7B22" w:rsidRDefault="002938F2" w:rsidP="00AE1B18">
      <w:pPr>
        <w:spacing w:before="1440"/>
        <w:jc w:val="center"/>
        <w:rPr>
          <w:rFonts w:ascii="Arial" w:hAnsi="Arial" w:cs="Arial"/>
          <w:b/>
          <w:szCs w:val="22"/>
        </w:rPr>
      </w:pPr>
      <w:r w:rsidRPr="008D7B22">
        <w:rPr>
          <w:rFonts w:ascii="Arial" w:hAnsi="Arial" w:cs="Arial"/>
          <w:b/>
          <w:szCs w:val="22"/>
        </w:rPr>
        <w:t>CONVENT</w:t>
      </w:r>
      <w:r w:rsidR="00E72B36" w:rsidRPr="008D7B22">
        <w:rPr>
          <w:rFonts w:ascii="Arial" w:hAnsi="Arial" w:cs="Arial"/>
          <w:b/>
          <w:szCs w:val="22"/>
        </w:rPr>
        <w:t>ION FOR THE SAFEGUARDING OF THE</w:t>
      </w:r>
      <w:r w:rsidRPr="008D7B22">
        <w:rPr>
          <w:rFonts w:ascii="Arial" w:hAnsi="Arial" w:cs="Arial"/>
          <w:b/>
          <w:szCs w:val="22"/>
        </w:rPr>
        <w:br/>
        <w:t>INTANGIBLE CULTURAL HERITAGE</w:t>
      </w:r>
    </w:p>
    <w:p w14:paraId="1D2DE622" w14:textId="77777777" w:rsidR="007E4E37" w:rsidRPr="008D7B22" w:rsidRDefault="007E4E37" w:rsidP="007E4E37">
      <w:pPr>
        <w:spacing w:before="1200"/>
        <w:jc w:val="center"/>
        <w:rPr>
          <w:rFonts w:ascii="Arial" w:hAnsi="Arial" w:cs="Arial"/>
          <w:b/>
          <w:szCs w:val="22"/>
        </w:rPr>
      </w:pPr>
      <w:r w:rsidRPr="008D7B22">
        <w:rPr>
          <w:rFonts w:ascii="Arial" w:hAnsi="Arial" w:cs="Arial"/>
          <w:b/>
          <w:szCs w:val="22"/>
        </w:rPr>
        <w:t>INTERGOVERNMENTAL COMMITTEE FOR THE</w:t>
      </w:r>
      <w:r w:rsidRPr="008D7B22">
        <w:rPr>
          <w:rFonts w:ascii="Arial" w:hAnsi="Arial" w:cs="Arial"/>
          <w:b/>
          <w:szCs w:val="22"/>
        </w:rPr>
        <w:br/>
        <w:t>SAFEGUARDING OF THE INTANGIBLE CULTURAL HERITAGE</w:t>
      </w:r>
    </w:p>
    <w:p w14:paraId="1DA5CC95" w14:textId="2C8488D8" w:rsidR="00FE41A9" w:rsidRPr="008D7B22" w:rsidRDefault="006E053C" w:rsidP="00FE41A9">
      <w:pPr>
        <w:spacing w:before="840" w:after="0"/>
        <w:jc w:val="center"/>
        <w:rPr>
          <w:rFonts w:ascii="Arial" w:hAnsi="Arial" w:cs="Arial"/>
          <w:b/>
          <w:szCs w:val="22"/>
        </w:rPr>
      </w:pPr>
      <w:r w:rsidRPr="008D7B22">
        <w:rPr>
          <w:rFonts w:ascii="Arial" w:eastAsiaTheme="minorEastAsia" w:hAnsi="Arial" w:cs="Arial"/>
          <w:b/>
          <w:szCs w:val="22"/>
          <w:lang w:eastAsia="ko-KR"/>
        </w:rPr>
        <w:t>Twentie</w:t>
      </w:r>
      <w:r w:rsidR="00FE41A9" w:rsidRPr="008D7B22">
        <w:rPr>
          <w:rFonts w:ascii="Arial" w:eastAsiaTheme="minorEastAsia" w:hAnsi="Arial" w:cs="Arial"/>
          <w:b/>
          <w:szCs w:val="22"/>
          <w:lang w:eastAsia="ko-KR"/>
        </w:rPr>
        <w:t xml:space="preserve">th </w:t>
      </w:r>
      <w:r w:rsidR="00FE41A9" w:rsidRPr="008D7B22">
        <w:rPr>
          <w:rFonts w:ascii="Arial" w:hAnsi="Arial" w:cs="Arial"/>
          <w:b/>
          <w:szCs w:val="22"/>
        </w:rPr>
        <w:t>session</w:t>
      </w:r>
    </w:p>
    <w:p w14:paraId="7CA63FC6" w14:textId="01CB91C7" w:rsidR="00FE41A9" w:rsidRPr="008D7B22" w:rsidRDefault="006E053C" w:rsidP="00FE41A9">
      <w:pPr>
        <w:spacing w:after="0"/>
        <w:jc w:val="center"/>
        <w:rPr>
          <w:rFonts w:ascii="Arial" w:hAnsi="Arial" w:cs="Arial"/>
          <w:b/>
          <w:szCs w:val="22"/>
        </w:rPr>
      </w:pPr>
      <w:r w:rsidRPr="008D7B22">
        <w:rPr>
          <w:rFonts w:ascii="Arial" w:hAnsi="Arial" w:cs="Arial"/>
          <w:b/>
          <w:szCs w:val="22"/>
        </w:rPr>
        <w:t>New Delhi</w:t>
      </w:r>
      <w:r w:rsidR="00FE41A9" w:rsidRPr="008D7B22">
        <w:rPr>
          <w:rFonts w:ascii="Arial" w:hAnsi="Arial" w:cs="Arial"/>
          <w:b/>
          <w:szCs w:val="22"/>
        </w:rPr>
        <w:t xml:space="preserve">, Republic of </w:t>
      </w:r>
      <w:r w:rsidRPr="008D7B22">
        <w:rPr>
          <w:rFonts w:ascii="Arial" w:hAnsi="Arial" w:cs="Arial"/>
          <w:b/>
          <w:szCs w:val="22"/>
        </w:rPr>
        <w:t>India</w:t>
      </w:r>
    </w:p>
    <w:p w14:paraId="10E9925B" w14:textId="64203A66" w:rsidR="00FE41A9" w:rsidRPr="008D7B22" w:rsidRDefault="006E053C" w:rsidP="00FE41A9">
      <w:pPr>
        <w:spacing w:after="0"/>
        <w:jc w:val="center"/>
        <w:rPr>
          <w:rFonts w:ascii="Arial" w:hAnsi="Arial" w:cs="Arial"/>
          <w:b/>
          <w:szCs w:val="22"/>
        </w:rPr>
      </w:pPr>
      <w:r w:rsidRPr="008D7B22">
        <w:rPr>
          <w:rFonts w:ascii="Arial" w:hAnsi="Arial" w:cs="Arial"/>
          <w:b/>
          <w:szCs w:val="22"/>
        </w:rPr>
        <w:t>8</w:t>
      </w:r>
      <w:r w:rsidR="00FE41A9" w:rsidRPr="008D7B22">
        <w:rPr>
          <w:rFonts w:ascii="Arial" w:hAnsi="Arial" w:cs="Arial"/>
          <w:b/>
          <w:szCs w:val="22"/>
        </w:rPr>
        <w:t xml:space="preserve"> to</w:t>
      </w:r>
      <w:r w:rsidRPr="008D7B22">
        <w:rPr>
          <w:rFonts w:ascii="Arial" w:hAnsi="Arial" w:cs="Arial"/>
          <w:b/>
          <w:szCs w:val="22"/>
        </w:rPr>
        <w:t xml:space="preserve"> 13</w:t>
      </w:r>
      <w:r w:rsidR="00FE41A9" w:rsidRPr="008D7B22">
        <w:rPr>
          <w:rFonts w:ascii="Arial" w:hAnsi="Arial" w:cs="Arial"/>
          <w:b/>
          <w:szCs w:val="22"/>
        </w:rPr>
        <w:t xml:space="preserve"> December 202</w:t>
      </w:r>
      <w:r w:rsidRPr="008D7B22">
        <w:rPr>
          <w:rFonts w:ascii="Arial" w:hAnsi="Arial" w:cs="Arial"/>
          <w:b/>
          <w:szCs w:val="22"/>
        </w:rPr>
        <w:t>5</w:t>
      </w:r>
    </w:p>
    <w:p w14:paraId="31D62215" w14:textId="77777777" w:rsidR="00416402" w:rsidRPr="008D7B22" w:rsidRDefault="00D816FB" w:rsidP="00570814">
      <w:pPr>
        <w:spacing w:before="1200" w:after="0"/>
        <w:jc w:val="center"/>
        <w:rPr>
          <w:rFonts w:ascii="Arial" w:eastAsiaTheme="minorEastAsia" w:hAnsi="Arial" w:cs="Arial"/>
          <w:b/>
          <w:szCs w:val="22"/>
          <w:u w:val="single"/>
          <w:lang w:eastAsia="ko-KR"/>
        </w:rPr>
      </w:pPr>
      <w:r w:rsidRPr="008D7B22">
        <w:rPr>
          <w:rFonts w:ascii="Arial" w:eastAsiaTheme="minorEastAsia" w:hAnsi="Arial" w:cs="Arial"/>
          <w:b/>
          <w:szCs w:val="22"/>
          <w:u w:val="single"/>
          <w:lang w:eastAsia="ko-KR"/>
        </w:rPr>
        <w:t xml:space="preserve">Report on Funding </w:t>
      </w:r>
      <w:r w:rsidR="0032652E" w:rsidRPr="008D7B22">
        <w:rPr>
          <w:rFonts w:ascii="Arial" w:eastAsiaTheme="minorEastAsia" w:hAnsi="Arial" w:cs="Arial"/>
          <w:b/>
          <w:szCs w:val="22"/>
          <w:u w:val="single"/>
          <w:lang w:eastAsia="ko-KR"/>
        </w:rPr>
        <w:t>P</w:t>
      </w:r>
      <w:r w:rsidRPr="008D7B22">
        <w:rPr>
          <w:rFonts w:ascii="Arial" w:eastAsiaTheme="minorEastAsia" w:hAnsi="Arial" w:cs="Arial"/>
          <w:b/>
          <w:szCs w:val="22"/>
          <w:u w:val="single"/>
          <w:lang w:eastAsia="ko-KR"/>
        </w:rPr>
        <w:t xml:space="preserve">riority 1: </w:t>
      </w:r>
    </w:p>
    <w:p w14:paraId="7F8237B5" w14:textId="446D597F" w:rsidR="00851458" w:rsidRPr="008D7B22" w:rsidRDefault="009C7D48" w:rsidP="001E0DC0">
      <w:pPr>
        <w:spacing w:after="0"/>
        <w:jc w:val="center"/>
        <w:rPr>
          <w:rFonts w:ascii="Arial" w:eastAsiaTheme="minorEastAsia" w:hAnsi="Arial" w:cs="Arial"/>
          <w:b/>
          <w:szCs w:val="22"/>
          <w:u w:val="single"/>
          <w:lang w:eastAsia="ko-KR"/>
        </w:rPr>
      </w:pPr>
      <w:r w:rsidRPr="008D7B22">
        <w:rPr>
          <w:rFonts w:ascii="Arial" w:eastAsiaTheme="minorEastAsia" w:hAnsi="Arial" w:cs="Arial"/>
          <w:b/>
          <w:szCs w:val="22"/>
          <w:u w:val="single"/>
          <w:lang w:eastAsia="ko-KR"/>
        </w:rPr>
        <w:t>S</w:t>
      </w:r>
      <w:r w:rsidR="00D816FB" w:rsidRPr="008D7B22">
        <w:rPr>
          <w:rFonts w:ascii="Arial" w:eastAsiaTheme="minorEastAsia" w:hAnsi="Arial" w:cs="Arial"/>
          <w:b/>
          <w:szCs w:val="22"/>
          <w:u w:val="single"/>
          <w:lang w:eastAsia="ko-KR"/>
        </w:rPr>
        <w:t>trengthening capacities to safeguard intangible cultural heritage using multi-modal approaches and contribute to sustainable development</w:t>
      </w:r>
      <w:r w:rsidRPr="008D7B22">
        <w:rPr>
          <w:rFonts w:ascii="Arial" w:eastAsiaTheme="minorEastAsia" w:hAnsi="Arial" w:cs="Arial"/>
          <w:b/>
          <w:szCs w:val="22"/>
          <w:u w:val="single"/>
          <w:lang w:eastAsia="ko-KR"/>
        </w:rPr>
        <w:t xml:space="preserve"> (2022</w:t>
      </w:r>
      <w:r w:rsidR="00EA1C60" w:rsidRPr="00FA311E">
        <w:rPr>
          <w:u w:val="single"/>
        </w:rPr>
        <w:t>-</w:t>
      </w:r>
      <w:r w:rsidRPr="008D7B22">
        <w:rPr>
          <w:rFonts w:ascii="Arial" w:eastAsiaTheme="minorEastAsia" w:hAnsi="Arial" w:cs="Arial"/>
          <w:b/>
          <w:szCs w:val="22"/>
          <w:u w:val="single"/>
          <w:lang w:eastAsia="ko-KR"/>
        </w:rPr>
        <w:t>2025</w:t>
      </w:r>
      <w:r w:rsidR="00416402" w:rsidRPr="008D7B22">
        <w:rPr>
          <w:rFonts w:ascii="Arial" w:eastAsiaTheme="minorEastAsia" w:hAnsi="Arial" w:cs="Arial"/>
          <w:b/>
          <w:szCs w:val="22"/>
          <w:u w:val="single"/>
          <w:lang w:eastAsia="ko-KR"/>
        </w:rPr>
        <w:t>)</w:t>
      </w:r>
    </w:p>
    <w:p w14:paraId="7A1F80B7" w14:textId="6A04AF96" w:rsidR="008744F4" w:rsidRPr="008D7B22" w:rsidRDefault="00851458" w:rsidP="001E0DC0">
      <w:pPr>
        <w:pStyle w:val="1GAPara"/>
        <w:numPr>
          <w:ilvl w:val="0"/>
          <w:numId w:val="0"/>
        </w:numPr>
        <w:jc w:val="both"/>
        <w:rPr>
          <w:b/>
          <w:bCs/>
        </w:rPr>
      </w:pPr>
      <w:r w:rsidRPr="008D7B22">
        <w:br w:type="page"/>
      </w:r>
      <w:bookmarkStart w:id="0" w:name="_Hlk206417940"/>
      <w:r w:rsidR="008744F4" w:rsidRPr="008D7B22">
        <w:rPr>
          <w:b/>
          <w:bCs/>
        </w:rPr>
        <w:lastRenderedPageBreak/>
        <w:t>Background</w:t>
      </w:r>
    </w:p>
    <w:p w14:paraId="7BD17C2F" w14:textId="7A1C2EF7" w:rsidR="00B250FB" w:rsidRPr="008D7B22" w:rsidRDefault="00514489" w:rsidP="009F20E7">
      <w:pPr>
        <w:pStyle w:val="1GAPara"/>
        <w:ind w:left="567" w:hanging="567"/>
        <w:jc w:val="both"/>
      </w:pPr>
      <w:r w:rsidRPr="008D7B22">
        <w:t>Capacity</w:t>
      </w:r>
      <w:r w:rsidR="008D7B22">
        <w:t>-</w:t>
      </w:r>
      <w:r w:rsidRPr="008D7B22">
        <w:t>building has been central to implementing the 2003 Convention since the launch of the global capacity</w:t>
      </w:r>
      <w:r w:rsidR="008D7B22">
        <w:t>-</w:t>
      </w:r>
      <w:r w:rsidRPr="008D7B22">
        <w:t>building strategy in 2009, supported by voluntary supplementary contributions</w:t>
      </w:r>
      <w:r w:rsidR="00FA3037" w:rsidRPr="008D7B22">
        <w:t xml:space="preserve"> to the </w:t>
      </w:r>
      <w:r w:rsidR="006A15F8" w:rsidRPr="008D7B22">
        <w:t>Fund for the Safeguarding of the Intangible Cultural Heritage (or ‘</w:t>
      </w:r>
      <w:r w:rsidR="00F953B0" w:rsidRPr="008D7B22">
        <w:t xml:space="preserve">Intangible Cultural Heritage </w:t>
      </w:r>
      <w:r w:rsidR="00FA3037" w:rsidRPr="008D7B22">
        <w:t>Fund</w:t>
      </w:r>
      <w:r w:rsidR="006A15F8" w:rsidRPr="008D7B22">
        <w:t>’)</w:t>
      </w:r>
      <w:r w:rsidR="00FA3037" w:rsidRPr="008D7B22">
        <w:t xml:space="preserve"> of the </w:t>
      </w:r>
      <w:r w:rsidR="00F3118C" w:rsidRPr="008D7B22">
        <w:t xml:space="preserve">2003 </w:t>
      </w:r>
      <w:r w:rsidR="00FA3037" w:rsidRPr="008D7B22">
        <w:t>Convention</w:t>
      </w:r>
      <w:r w:rsidRPr="008D7B22">
        <w:t>.</w:t>
      </w:r>
      <w:r w:rsidR="007205EA" w:rsidRPr="008D7B22">
        <w:t xml:space="preserve"> Based on the </w:t>
      </w:r>
      <w:r w:rsidR="00DE42A3" w:rsidRPr="008D7B22">
        <w:t>experiences gained</w:t>
      </w:r>
      <w:r w:rsidR="007205EA" w:rsidRPr="008D7B22">
        <w:t xml:space="preserve"> under the equivalent funding priority for the previous period (2018</w:t>
      </w:r>
      <w:r w:rsidR="00EA1C60" w:rsidRPr="00FD36C2">
        <w:t>-</w:t>
      </w:r>
      <w:r w:rsidR="007205EA" w:rsidRPr="008D7B22">
        <w:t>20</w:t>
      </w:r>
      <w:r w:rsidR="00257554">
        <w:t>2</w:t>
      </w:r>
      <w:r w:rsidR="007205EA" w:rsidRPr="008D7B22">
        <w:t>1)</w:t>
      </w:r>
      <w:r w:rsidR="008D7B22">
        <w:t>,</w:t>
      </w:r>
      <w:r w:rsidR="00EF3A9F" w:rsidRPr="008D7B22">
        <w:rPr>
          <w:rStyle w:val="FootnoteReference"/>
        </w:rPr>
        <w:footnoteReference w:id="1"/>
      </w:r>
      <w:r w:rsidR="007205EA" w:rsidRPr="008D7B22">
        <w:t xml:space="preserve"> </w:t>
      </w:r>
      <w:r w:rsidR="006606C4" w:rsidRPr="008D7B22">
        <w:t>Funding P</w:t>
      </w:r>
      <w:r w:rsidR="007205EA" w:rsidRPr="008D7B22">
        <w:t>riority</w:t>
      </w:r>
      <w:r w:rsidR="006606C4" w:rsidRPr="008D7B22">
        <w:t xml:space="preserve"> 1</w:t>
      </w:r>
      <w:r w:rsidR="007B338F" w:rsidRPr="008D7B22">
        <w:t xml:space="preserve"> of the Convention</w:t>
      </w:r>
      <w:r w:rsidR="007205EA" w:rsidRPr="008D7B22">
        <w:t xml:space="preserve"> for the second quadrennium was adopted by the sixteenth session of the Intergovernmental Committee in December 2021 (Decision</w:t>
      </w:r>
      <w:r w:rsidR="007205EA" w:rsidRPr="008D7B22">
        <w:rPr>
          <w:b/>
          <w:bCs/>
        </w:rPr>
        <w:t xml:space="preserve"> </w:t>
      </w:r>
      <w:hyperlink r:id="rId8" w:history="1">
        <w:r w:rsidR="007205EA" w:rsidRPr="008D7B22">
          <w:rPr>
            <w:rStyle w:val="Hyperlink"/>
          </w:rPr>
          <w:t>16.COM 12</w:t>
        </w:r>
      </w:hyperlink>
      <w:r w:rsidR="007205EA" w:rsidRPr="008D7B22">
        <w:t>)</w:t>
      </w:r>
      <w:r w:rsidR="009F20E7" w:rsidRPr="008D7B22">
        <w:t xml:space="preserve">, entitled </w:t>
      </w:r>
      <w:r w:rsidR="003B3D2B" w:rsidRPr="008D7B22">
        <w:t>‘</w:t>
      </w:r>
      <w:r w:rsidR="009F20E7" w:rsidRPr="008D7B22">
        <w:t>Strengthening capacities to safeguard intangible cultural heritage using multi-modal approaches and contribute to sustainable development (2022</w:t>
      </w:r>
      <w:r w:rsidR="00EA1C60" w:rsidRPr="00FD36C2">
        <w:t>-</w:t>
      </w:r>
      <w:r w:rsidR="009F20E7" w:rsidRPr="008D7B22">
        <w:t>2025)’</w:t>
      </w:r>
      <w:r w:rsidR="007205EA" w:rsidRPr="008D7B22">
        <w:t>.</w:t>
      </w:r>
    </w:p>
    <w:p w14:paraId="41A01FAD" w14:textId="654C00F4" w:rsidR="00E22B99" w:rsidRPr="008D7B22" w:rsidRDefault="0040480C" w:rsidP="00AE6BC1">
      <w:pPr>
        <w:pStyle w:val="1GAPara"/>
        <w:ind w:left="567" w:hanging="567"/>
        <w:jc w:val="both"/>
      </w:pPr>
      <w:r w:rsidRPr="008D7B22">
        <w:t xml:space="preserve">For the </w:t>
      </w:r>
      <w:r w:rsidR="00AE6BC1" w:rsidRPr="008D7B22">
        <w:t>2022</w:t>
      </w:r>
      <w:r w:rsidR="00EA1C60" w:rsidRPr="00FD36C2">
        <w:t>-</w:t>
      </w:r>
      <w:r w:rsidR="00AE6BC1" w:rsidRPr="008D7B22">
        <w:t>2025</w:t>
      </w:r>
      <w:r w:rsidR="008D7B22">
        <w:t xml:space="preserve"> quadrennium</w:t>
      </w:r>
      <w:r w:rsidR="00AE6BC1" w:rsidRPr="008D7B22">
        <w:t xml:space="preserve">, </w:t>
      </w:r>
      <w:r w:rsidR="00D6274B" w:rsidRPr="008D7B22">
        <w:t xml:space="preserve">the interventions made under Funding Priority 1 </w:t>
      </w:r>
      <w:r w:rsidR="008D7B22">
        <w:t>were</w:t>
      </w:r>
      <w:r w:rsidR="008D7B22" w:rsidRPr="008D7B22">
        <w:t xml:space="preserve"> </w:t>
      </w:r>
      <w:r w:rsidR="00D6274B" w:rsidRPr="008D7B22">
        <w:t>structured around six expected outcomes</w:t>
      </w:r>
      <w:r w:rsidR="00166254" w:rsidRPr="008D7B22">
        <w:t xml:space="preserve"> (see Annex II of </w:t>
      </w:r>
      <w:r w:rsidR="005B6861">
        <w:t>d</w:t>
      </w:r>
      <w:r w:rsidR="005B6861" w:rsidRPr="008D7B22">
        <w:t xml:space="preserve">ocument </w:t>
      </w:r>
      <w:hyperlink r:id="rId9" w:history="1">
        <w:r w:rsidR="00166254" w:rsidRPr="008D7B22">
          <w:rPr>
            <w:rStyle w:val="Hyperlink"/>
          </w:rPr>
          <w:t>LHE/21/16.COM/12</w:t>
        </w:r>
      </w:hyperlink>
      <w:r w:rsidR="00166254" w:rsidRPr="008D7B22">
        <w:t>)</w:t>
      </w:r>
      <w:r w:rsidR="00D6274B" w:rsidRPr="008D7B22">
        <w:t xml:space="preserve">. </w:t>
      </w:r>
      <w:r w:rsidR="00D816FB" w:rsidRPr="008D7B22">
        <w:t xml:space="preserve">The purpose of this </w:t>
      </w:r>
      <w:r w:rsidR="008D7B22">
        <w:t>report</w:t>
      </w:r>
      <w:r w:rsidR="00D816FB" w:rsidRPr="008D7B22">
        <w:t xml:space="preserve"> is to review </w:t>
      </w:r>
      <w:r w:rsidR="00A55A2F" w:rsidRPr="008D7B22">
        <w:t>and highlight the main achievements and lessons learn</w:t>
      </w:r>
      <w:r w:rsidR="008D7B22">
        <w:t>ed</w:t>
      </w:r>
      <w:r w:rsidR="00A55A2F" w:rsidRPr="008D7B22">
        <w:t xml:space="preserve"> </w:t>
      </w:r>
      <w:r w:rsidR="009F20E7" w:rsidRPr="008D7B22">
        <w:t>within this framework</w:t>
      </w:r>
      <w:r w:rsidR="00421C1A" w:rsidRPr="008D7B22">
        <w:t>, in support of</w:t>
      </w:r>
      <w:r w:rsidR="00071620" w:rsidRPr="008D7B22">
        <w:t xml:space="preserve"> the report made to the present session of the Intergovernmental Committee</w:t>
      </w:r>
      <w:r w:rsidR="00044267" w:rsidRPr="008D7B22">
        <w:t xml:space="preserve"> concerning voluntary supplementary </w:t>
      </w:r>
      <w:r w:rsidR="00044267" w:rsidRPr="00C373E1">
        <w:t>contributions to the Intangible Cultural Heritage Fund,</w:t>
      </w:r>
      <w:r w:rsidR="00071620" w:rsidRPr="00C373E1">
        <w:t xml:space="preserve"> under Item 13</w:t>
      </w:r>
      <w:r w:rsidR="00EF23A1" w:rsidRPr="00C373E1">
        <w:t xml:space="preserve"> (</w:t>
      </w:r>
      <w:r w:rsidR="00EF23A1" w:rsidRPr="00FA311E">
        <w:t xml:space="preserve">document </w:t>
      </w:r>
      <w:hyperlink r:id="rId10" w:history="1">
        <w:r w:rsidR="00EF23A1" w:rsidRPr="00FA311E">
          <w:rPr>
            <w:rStyle w:val="Hyperlink"/>
          </w:rPr>
          <w:t>LHE/25/20.COM</w:t>
        </w:r>
        <w:r w:rsidR="005A55DD" w:rsidRPr="00FA311E">
          <w:rPr>
            <w:rStyle w:val="Hyperlink"/>
          </w:rPr>
          <w:t>/</w:t>
        </w:r>
        <w:r w:rsidR="00EF23A1" w:rsidRPr="00FA311E">
          <w:rPr>
            <w:rStyle w:val="Hyperlink"/>
          </w:rPr>
          <w:t>13</w:t>
        </w:r>
      </w:hyperlink>
      <w:r w:rsidR="00EF23A1" w:rsidRPr="008D7B22">
        <w:t>)</w:t>
      </w:r>
      <w:r w:rsidR="004B35D6" w:rsidRPr="008D7B22">
        <w:t>.</w:t>
      </w:r>
    </w:p>
    <w:p w14:paraId="24083DD6" w14:textId="2FCD7F63" w:rsidR="0048044D" w:rsidRPr="008D7B22" w:rsidRDefault="0048044D" w:rsidP="0048044D">
      <w:pPr>
        <w:pStyle w:val="1GAPara"/>
        <w:ind w:left="567" w:hanging="567"/>
        <w:jc w:val="both"/>
      </w:pPr>
      <w:r w:rsidRPr="008D7B22">
        <w:t xml:space="preserve">Out of </w:t>
      </w:r>
      <w:r w:rsidR="008D7B22">
        <w:t xml:space="preserve">the </w:t>
      </w:r>
      <w:r w:rsidRPr="008D7B22">
        <w:t xml:space="preserve">eight projects </w:t>
      </w:r>
      <w:r w:rsidR="00952BED" w:rsidRPr="008D7B22">
        <w:t>funded by voluntary supplementary contributions</w:t>
      </w:r>
      <w:r w:rsidR="008D7B22">
        <w:t xml:space="preserve"> (</w:t>
      </w:r>
      <w:r w:rsidR="008D7B22" w:rsidRPr="008D7B22">
        <w:t>listed below</w:t>
      </w:r>
      <w:r w:rsidR="008D7B22">
        <w:t>)</w:t>
      </w:r>
      <w:r w:rsidRPr="008D7B22">
        <w:t xml:space="preserve">, three </w:t>
      </w:r>
      <w:r w:rsidR="00952BED" w:rsidRPr="008D7B22">
        <w:t xml:space="preserve">are being implemented with support received </w:t>
      </w:r>
      <w:r w:rsidRPr="008D7B22">
        <w:t>within the reporting period</w:t>
      </w:r>
      <w:r w:rsidR="00BA6100">
        <w:t xml:space="preserve"> (indicated </w:t>
      </w:r>
      <w:r w:rsidR="00043D56">
        <w:t>by an asterisk</w:t>
      </w:r>
      <w:r w:rsidR="00BA6100">
        <w:t>)</w:t>
      </w:r>
      <w:r w:rsidR="008D7B22">
        <w:t>. The remaining</w:t>
      </w:r>
      <w:r w:rsidRPr="008D7B22">
        <w:t xml:space="preserve"> five were funded by </w:t>
      </w:r>
      <w:r w:rsidR="008D7B22">
        <w:t>support</w:t>
      </w:r>
      <w:r w:rsidRPr="008D7B22">
        <w:t xml:space="preserve"> received in the previous quadrennium (2018</w:t>
      </w:r>
      <w:r w:rsidR="00EA1C60" w:rsidRPr="00FD36C2">
        <w:t>-</w:t>
      </w:r>
      <w:r w:rsidRPr="008D7B22">
        <w:t>2021) and</w:t>
      </w:r>
      <w:r w:rsidR="008D7B22">
        <w:t xml:space="preserve"> were</w:t>
      </w:r>
      <w:r w:rsidRPr="008D7B22">
        <w:t xml:space="preserve"> implemented across both periods:</w:t>
      </w:r>
    </w:p>
    <w:tbl>
      <w:tblPr>
        <w:tblStyle w:val="TableGrid"/>
        <w:tblW w:w="9067" w:type="dxa"/>
        <w:tblInd w:w="567" w:type="dxa"/>
        <w:tblLook w:val="04A0" w:firstRow="1" w:lastRow="0" w:firstColumn="1" w:lastColumn="0" w:noHBand="0" w:noVBand="1"/>
      </w:tblPr>
      <w:tblGrid>
        <w:gridCol w:w="727"/>
        <w:gridCol w:w="4611"/>
        <w:gridCol w:w="1756"/>
        <w:gridCol w:w="1973"/>
      </w:tblGrid>
      <w:tr w:rsidR="0048044D" w:rsidRPr="008D7B22" w14:paraId="6C84A9CB" w14:textId="77777777" w:rsidTr="0048044D">
        <w:tc>
          <w:tcPr>
            <w:tcW w:w="727" w:type="dxa"/>
            <w:vAlign w:val="center"/>
          </w:tcPr>
          <w:p w14:paraId="6B390C30" w14:textId="77777777" w:rsidR="0048044D" w:rsidRPr="008D7B22" w:rsidRDefault="0048044D" w:rsidP="009F5F5B">
            <w:pPr>
              <w:pStyle w:val="1GAPara"/>
              <w:numPr>
                <w:ilvl w:val="0"/>
                <w:numId w:val="0"/>
              </w:numPr>
              <w:spacing w:before="60" w:after="60"/>
              <w:jc w:val="center"/>
              <w:rPr>
                <w:b/>
                <w:bCs/>
                <w:sz w:val="20"/>
                <w:szCs w:val="20"/>
              </w:rPr>
            </w:pPr>
            <w:r w:rsidRPr="008D7B22">
              <w:rPr>
                <w:b/>
                <w:bCs/>
                <w:sz w:val="20"/>
                <w:szCs w:val="20"/>
              </w:rPr>
              <w:t>N°</w:t>
            </w:r>
          </w:p>
        </w:tc>
        <w:tc>
          <w:tcPr>
            <w:tcW w:w="4611" w:type="dxa"/>
            <w:vAlign w:val="center"/>
          </w:tcPr>
          <w:p w14:paraId="0695784A" w14:textId="77777777" w:rsidR="0048044D" w:rsidRPr="008D7B22" w:rsidRDefault="0048044D" w:rsidP="009F5F5B">
            <w:pPr>
              <w:pStyle w:val="1GAPara"/>
              <w:keepNext/>
              <w:keepLines/>
              <w:numPr>
                <w:ilvl w:val="0"/>
                <w:numId w:val="0"/>
              </w:numPr>
              <w:spacing w:before="60" w:after="60"/>
              <w:jc w:val="center"/>
              <w:rPr>
                <w:b/>
                <w:bCs/>
                <w:sz w:val="20"/>
                <w:szCs w:val="20"/>
              </w:rPr>
            </w:pPr>
            <w:r w:rsidRPr="008D7B22">
              <w:rPr>
                <w:b/>
                <w:bCs/>
                <w:sz w:val="20"/>
                <w:szCs w:val="20"/>
              </w:rPr>
              <w:t>Title</w:t>
            </w:r>
          </w:p>
        </w:tc>
        <w:tc>
          <w:tcPr>
            <w:tcW w:w="1756" w:type="dxa"/>
            <w:vAlign w:val="center"/>
          </w:tcPr>
          <w:p w14:paraId="2F346342" w14:textId="01983DDF" w:rsidR="0048044D" w:rsidRPr="008D7B22" w:rsidRDefault="00CD2919" w:rsidP="009F5F5B">
            <w:pPr>
              <w:pStyle w:val="1GAPara"/>
              <w:keepNext/>
              <w:keepLines/>
              <w:numPr>
                <w:ilvl w:val="0"/>
                <w:numId w:val="0"/>
              </w:numPr>
              <w:spacing w:before="60" w:after="60"/>
              <w:jc w:val="center"/>
              <w:rPr>
                <w:b/>
                <w:bCs/>
                <w:sz w:val="20"/>
                <w:szCs w:val="20"/>
              </w:rPr>
            </w:pPr>
            <w:r>
              <w:rPr>
                <w:b/>
                <w:bCs/>
                <w:sz w:val="20"/>
                <w:szCs w:val="20"/>
              </w:rPr>
              <w:t>Implementation period</w:t>
            </w:r>
            <w:r w:rsidR="0048044D" w:rsidRPr="008D7B22">
              <w:rPr>
                <w:b/>
                <w:bCs/>
                <w:sz w:val="20"/>
                <w:szCs w:val="20"/>
              </w:rPr>
              <w:t xml:space="preserve"> </w:t>
            </w:r>
          </w:p>
        </w:tc>
        <w:tc>
          <w:tcPr>
            <w:tcW w:w="1973" w:type="dxa"/>
            <w:vAlign w:val="center"/>
          </w:tcPr>
          <w:p w14:paraId="07D0B38C" w14:textId="3A873E4E" w:rsidR="0048044D" w:rsidRPr="008D7B22" w:rsidRDefault="008D7B22" w:rsidP="009F5F5B">
            <w:pPr>
              <w:pStyle w:val="1GAPara"/>
              <w:keepNext/>
              <w:keepLines/>
              <w:numPr>
                <w:ilvl w:val="0"/>
                <w:numId w:val="0"/>
              </w:numPr>
              <w:spacing w:before="60" w:after="60"/>
              <w:jc w:val="center"/>
              <w:rPr>
                <w:b/>
                <w:bCs/>
                <w:sz w:val="20"/>
                <w:szCs w:val="20"/>
              </w:rPr>
            </w:pPr>
            <w:r>
              <w:rPr>
                <w:b/>
                <w:bCs/>
                <w:sz w:val="20"/>
                <w:szCs w:val="20"/>
              </w:rPr>
              <w:t>L</w:t>
            </w:r>
            <w:r w:rsidR="0048044D" w:rsidRPr="008D7B22">
              <w:rPr>
                <w:b/>
                <w:bCs/>
                <w:sz w:val="20"/>
                <w:szCs w:val="20"/>
              </w:rPr>
              <w:t>ink</w:t>
            </w:r>
          </w:p>
        </w:tc>
      </w:tr>
      <w:tr w:rsidR="00B57CE5" w:rsidRPr="008D7B22" w14:paraId="7E5A914D" w14:textId="77777777" w:rsidTr="00FA311E">
        <w:tc>
          <w:tcPr>
            <w:tcW w:w="727" w:type="dxa"/>
          </w:tcPr>
          <w:p w14:paraId="3872C9D5" w14:textId="6C5B4842" w:rsidR="00B57CE5" w:rsidRPr="008D7B22" w:rsidRDefault="00B57CE5" w:rsidP="00B57CE5">
            <w:pPr>
              <w:pStyle w:val="1GAPara"/>
              <w:numPr>
                <w:ilvl w:val="0"/>
                <w:numId w:val="0"/>
              </w:numPr>
              <w:spacing w:before="60" w:after="60"/>
              <w:jc w:val="both"/>
              <w:rPr>
                <w:sz w:val="20"/>
                <w:szCs w:val="20"/>
              </w:rPr>
            </w:pPr>
            <w:r w:rsidRPr="008D7B22">
              <w:rPr>
                <w:sz w:val="20"/>
                <w:szCs w:val="20"/>
              </w:rPr>
              <w:t>1</w:t>
            </w:r>
            <w:r>
              <w:rPr>
                <w:sz w:val="20"/>
                <w:szCs w:val="20"/>
              </w:rPr>
              <w:t>*</w:t>
            </w:r>
          </w:p>
        </w:tc>
        <w:tc>
          <w:tcPr>
            <w:tcW w:w="4611" w:type="dxa"/>
          </w:tcPr>
          <w:p w14:paraId="26B5B83D" w14:textId="409D448A" w:rsidR="00B57CE5" w:rsidRPr="008D7B22" w:rsidRDefault="00B57CE5" w:rsidP="00B57CE5">
            <w:pPr>
              <w:pStyle w:val="1GAPara"/>
              <w:numPr>
                <w:ilvl w:val="0"/>
                <w:numId w:val="0"/>
              </w:numPr>
              <w:spacing w:before="60" w:after="60"/>
              <w:jc w:val="both"/>
              <w:rPr>
                <w:sz w:val="20"/>
                <w:szCs w:val="20"/>
              </w:rPr>
            </w:pPr>
            <w:r w:rsidRPr="008D7B22">
              <w:rPr>
                <w:sz w:val="20"/>
                <w:szCs w:val="20"/>
              </w:rPr>
              <w:t xml:space="preserve">Practical handbook on periodic reporting with a self-learning tool on the Overall </w:t>
            </w:r>
            <w:r>
              <w:rPr>
                <w:sz w:val="20"/>
                <w:szCs w:val="20"/>
              </w:rPr>
              <w:t>R</w:t>
            </w:r>
            <w:r w:rsidRPr="008D7B22">
              <w:rPr>
                <w:sz w:val="20"/>
                <w:szCs w:val="20"/>
              </w:rPr>
              <w:t xml:space="preserve">esults </w:t>
            </w:r>
            <w:r>
              <w:rPr>
                <w:sz w:val="20"/>
                <w:szCs w:val="20"/>
              </w:rPr>
              <w:t>F</w:t>
            </w:r>
            <w:r w:rsidRPr="008D7B22">
              <w:rPr>
                <w:sz w:val="20"/>
                <w:szCs w:val="20"/>
              </w:rPr>
              <w:t>ramework for the implementation of the Convention for the Safeguarding of the Intangible Cultural Heritage</w:t>
            </w:r>
          </w:p>
        </w:tc>
        <w:tc>
          <w:tcPr>
            <w:tcW w:w="1756" w:type="dxa"/>
          </w:tcPr>
          <w:p w14:paraId="06A06516" w14:textId="4FB4873B" w:rsidR="00B57CE5" w:rsidRPr="008D7B22" w:rsidRDefault="00B57CE5" w:rsidP="00B57CE5">
            <w:pPr>
              <w:pStyle w:val="1GAPara"/>
              <w:numPr>
                <w:ilvl w:val="0"/>
                <w:numId w:val="0"/>
              </w:numPr>
              <w:spacing w:before="60" w:after="60"/>
              <w:rPr>
                <w:sz w:val="20"/>
                <w:szCs w:val="20"/>
              </w:rPr>
            </w:pPr>
            <w:r>
              <w:rPr>
                <w:sz w:val="20"/>
                <w:szCs w:val="20"/>
              </w:rPr>
              <w:t>2022-2026</w:t>
            </w:r>
          </w:p>
        </w:tc>
        <w:tc>
          <w:tcPr>
            <w:tcW w:w="1973" w:type="dxa"/>
          </w:tcPr>
          <w:p w14:paraId="4B5105DB" w14:textId="77777777" w:rsidR="00B57CE5" w:rsidRPr="008D7B22" w:rsidRDefault="00B57CE5" w:rsidP="00B57CE5">
            <w:pPr>
              <w:pStyle w:val="1GAPara"/>
              <w:numPr>
                <w:ilvl w:val="0"/>
                <w:numId w:val="0"/>
              </w:numPr>
              <w:spacing w:before="60" w:after="60"/>
              <w:jc w:val="both"/>
              <w:rPr>
                <w:sz w:val="20"/>
                <w:szCs w:val="20"/>
              </w:rPr>
            </w:pPr>
            <w:hyperlink r:id="rId11" w:history="1">
              <w:r w:rsidRPr="008D7B22">
                <w:rPr>
                  <w:rStyle w:val="Hyperlink"/>
                  <w:sz w:val="20"/>
                  <w:szCs w:val="20"/>
                </w:rPr>
                <w:t>Project page</w:t>
              </w:r>
            </w:hyperlink>
          </w:p>
        </w:tc>
      </w:tr>
      <w:tr w:rsidR="00B57CE5" w:rsidRPr="008D7B22" w14:paraId="49DC6B98" w14:textId="77777777" w:rsidTr="00FA311E">
        <w:tc>
          <w:tcPr>
            <w:tcW w:w="727" w:type="dxa"/>
          </w:tcPr>
          <w:p w14:paraId="738522A4" w14:textId="04EFFBEC" w:rsidR="00B57CE5" w:rsidRPr="008D7B22" w:rsidRDefault="00B57CE5" w:rsidP="00B57CE5">
            <w:pPr>
              <w:pStyle w:val="1GAPara"/>
              <w:numPr>
                <w:ilvl w:val="0"/>
                <w:numId w:val="0"/>
              </w:numPr>
              <w:spacing w:before="60" w:after="60"/>
              <w:jc w:val="both"/>
              <w:rPr>
                <w:sz w:val="20"/>
                <w:szCs w:val="20"/>
              </w:rPr>
            </w:pPr>
            <w:r w:rsidRPr="008D7B22">
              <w:rPr>
                <w:sz w:val="20"/>
                <w:szCs w:val="20"/>
              </w:rPr>
              <w:t>2</w:t>
            </w:r>
            <w:r>
              <w:rPr>
                <w:sz w:val="20"/>
                <w:szCs w:val="20"/>
              </w:rPr>
              <w:t>*</w:t>
            </w:r>
          </w:p>
        </w:tc>
        <w:tc>
          <w:tcPr>
            <w:tcW w:w="4611" w:type="dxa"/>
          </w:tcPr>
          <w:p w14:paraId="558EEE87" w14:textId="172A4C68" w:rsidR="00B57CE5" w:rsidRPr="008D7B22" w:rsidRDefault="00B57CE5" w:rsidP="00B57CE5">
            <w:pPr>
              <w:pStyle w:val="1GAPara"/>
              <w:numPr>
                <w:ilvl w:val="0"/>
                <w:numId w:val="0"/>
              </w:numPr>
              <w:spacing w:before="60" w:after="60"/>
              <w:jc w:val="both"/>
              <w:rPr>
                <w:sz w:val="20"/>
                <w:szCs w:val="20"/>
              </w:rPr>
            </w:pPr>
            <w:r w:rsidRPr="008D7B22">
              <w:rPr>
                <w:sz w:val="20"/>
                <w:szCs w:val="20"/>
              </w:rPr>
              <w:t>Strengthening capacities for preparing nomination files for the Lists of the 2003 Convention in Small Island Developing States (SIDS) in Latin America and the Caribbean</w:t>
            </w:r>
          </w:p>
        </w:tc>
        <w:tc>
          <w:tcPr>
            <w:tcW w:w="1756" w:type="dxa"/>
          </w:tcPr>
          <w:p w14:paraId="417F05E4" w14:textId="77777777" w:rsidR="00B57CE5" w:rsidRPr="008D7B22" w:rsidRDefault="00B57CE5" w:rsidP="00B57CE5">
            <w:pPr>
              <w:pStyle w:val="1GAPara"/>
              <w:numPr>
                <w:ilvl w:val="0"/>
                <w:numId w:val="0"/>
              </w:numPr>
              <w:spacing w:before="60" w:after="60"/>
              <w:jc w:val="both"/>
              <w:rPr>
                <w:sz w:val="20"/>
                <w:szCs w:val="20"/>
              </w:rPr>
            </w:pPr>
            <w:r>
              <w:rPr>
                <w:sz w:val="20"/>
                <w:szCs w:val="20"/>
              </w:rPr>
              <w:t>2022-2025</w:t>
            </w:r>
          </w:p>
          <w:p w14:paraId="6761A21C" w14:textId="0F1B5ED0" w:rsidR="00B57CE5" w:rsidRPr="008D7B22" w:rsidRDefault="00B57CE5" w:rsidP="00B57CE5">
            <w:pPr>
              <w:pStyle w:val="1GAPara"/>
              <w:numPr>
                <w:ilvl w:val="0"/>
                <w:numId w:val="0"/>
              </w:numPr>
              <w:spacing w:before="60" w:after="60"/>
              <w:rPr>
                <w:sz w:val="20"/>
                <w:szCs w:val="20"/>
              </w:rPr>
            </w:pPr>
          </w:p>
        </w:tc>
        <w:tc>
          <w:tcPr>
            <w:tcW w:w="1973" w:type="dxa"/>
          </w:tcPr>
          <w:p w14:paraId="16D5AC6D" w14:textId="77777777" w:rsidR="00B57CE5" w:rsidRPr="008D7B22" w:rsidRDefault="00B57CE5" w:rsidP="00B57CE5">
            <w:pPr>
              <w:spacing w:before="60" w:after="60"/>
              <w:jc w:val="both"/>
              <w:rPr>
                <w:rFonts w:ascii="Arial" w:hAnsi="Arial" w:cs="Arial"/>
                <w:sz w:val="20"/>
                <w:szCs w:val="20"/>
              </w:rPr>
            </w:pPr>
            <w:hyperlink r:id="rId12" w:history="1">
              <w:r w:rsidRPr="008D7B22">
                <w:rPr>
                  <w:rStyle w:val="Hyperlink"/>
                  <w:rFonts w:ascii="Arial" w:hAnsi="Arial" w:cs="Arial"/>
                  <w:sz w:val="20"/>
                  <w:szCs w:val="20"/>
                </w:rPr>
                <w:t>Project page</w:t>
              </w:r>
            </w:hyperlink>
          </w:p>
          <w:p w14:paraId="1E44A0E0" w14:textId="77777777" w:rsidR="00B57CE5" w:rsidRPr="008D7B22" w:rsidRDefault="00B57CE5" w:rsidP="00B57CE5">
            <w:pPr>
              <w:pStyle w:val="1GAPara"/>
              <w:numPr>
                <w:ilvl w:val="0"/>
                <w:numId w:val="0"/>
              </w:numPr>
              <w:spacing w:before="60" w:after="60"/>
              <w:jc w:val="both"/>
              <w:rPr>
                <w:sz w:val="20"/>
                <w:szCs w:val="20"/>
              </w:rPr>
            </w:pPr>
          </w:p>
        </w:tc>
      </w:tr>
      <w:tr w:rsidR="00B57CE5" w:rsidRPr="008D7B22" w14:paraId="14ECEE43" w14:textId="77777777" w:rsidTr="00FA311E">
        <w:tc>
          <w:tcPr>
            <w:tcW w:w="727" w:type="dxa"/>
          </w:tcPr>
          <w:p w14:paraId="2818853B" w14:textId="05A04E9A" w:rsidR="00B57CE5" w:rsidRPr="008D7B22" w:rsidRDefault="00B57CE5" w:rsidP="00B57CE5">
            <w:pPr>
              <w:pStyle w:val="1GAPara"/>
              <w:numPr>
                <w:ilvl w:val="0"/>
                <w:numId w:val="0"/>
              </w:numPr>
              <w:spacing w:before="60" w:after="60"/>
              <w:jc w:val="both"/>
              <w:rPr>
                <w:sz w:val="20"/>
                <w:szCs w:val="20"/>
              </w:rPr>
            </w:pPr>
            <w:r w:rsidRPr="008D7B22">
              <w:rPr>
                <w:sz w:val="20"/>
                <w:szCs w:val="20"/>
              </w:rPr>
              <w:t>3</w:t>
            </w:r>
            <w:r>
              <w:rPr>
                <w:sz w:val="20"/>
                <w:szCs w:val="20"/>
              </w:rPr>
              <w:t>*</w:t>
            </w:r>
          </w:p>
        </w:tc>
        <w:tc>
          <w:tcPr>
            <w:tcW w:w="4611" w:type="dxa"/>
          </w:tcPr>
          <w:p w14:paraId="4FBBE832"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t>Strengthening capacities at the national and local levels for the safeguarding of intangible cultural heritage in the United Republic of Tanzania and contributing to sustainable development</w:t>
            </w:r>
          </w:p>
        </w:tc>
        <w:tc>
          <w:tcPr>
            <w:tcW w:w="1756" w:type="dxa"/>
          </w:tcPr>
          <w:p w14:paraId="316C265D"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t>2022</w:t>
            </w:r>
            <w:r>
              <w:rPr>
                <w:sz w:val="20"/>
                <w:szCs w:val="20"/>
              </w:rPr>
              <w:t>-2024</w:t>
            </w:r>
          </w:p>
          <w:p w14:paraId="66A211E2" w14:textId="1D088678" w:rsidR="00B57CE5" w:rsidRPr="008D7B22" w:rsidRDefault="00B57CE5" w:rsidP="00B57CE5">
            <w:pPr>
              <w:pStyle w:val="1GAPara"/>
              <w:numPr>
                <w:ilvl w:val="0"/>
                <w:numId w:val="0"/>
              </w:numPr>
              <w:spacing w:before="60" w:after="60"/>
              <w:jc w:val="both"/>
              <w:rPr>
                <w:sz w:val="20"/>
                <w:szCs w:val="20"/>
              </w:rPr>
            </w:pPr>
            <w:r w:rsidRPr="008D7B22">
              <w:rPr>
                <w:sz w:val="20"/>
                <w:szCs w:val="20"/>
              </w:rPr>
              <w:t>Closed</w:t>
            </w:r>
          </w:p>
        </w:tc>
        <w:tc>
          <w:tcPr>
            <w:tcW w:w="1973" w:type="dxa"/>
          </w:tcPr>
          <w:p w14:paraId="56DA6F4E" w14:textId="77777777" w:rsidR="00B57CE5" w:rsidRPr="008D7B22" w:rsidRDefault="00B57CE5" w:rsidP="00B57CE5">
            <w:pPr>
              <w:spacing w:before="60" w:after="60"/>
              <w:jc w:val="both"/>
              <w:rPr>
                <w:rFonts w:ascii="Arial" w:hAnsi="Arial" w:cs="Arial"/>
                <w:sz w:val="20"/>
                <w:szCs w:val="20"/>
              </w:rPr>
            </w:pPr>
            <w:hyperlink r:id="rId13" w:history="1">
              <w:r w:rsidRPr="008D7B22">
                <w:rPr>
                  <w:rStyle w:val="Hyperlink"/>
                  <w:rFonts w:ascii="Arial" w:hAnsi="Arial" w:cs="Arial"/>
                  <w:sz w:val="20"/>
                  <w:szCs w:val="20"/>
                </w:rPr>
                <w:t>Project page</w:t>
              </w:r>
            </w:hyperlink>
          </w:p>
        </w:tc>
      </w:tr>
      <w:tr w:rsidR="00B57CE5" w:rsidRPr="008D7B22" w14:paraId="0D8554DC" w14:textId="77777777" w:rsidTr="0048044D">
        <w:tc>
          <w:tcPr>
            <w:tcW w:w="727" w:type="dxa"/>
          </w:tcPr>
          <w:p w14:paraId="607D3B88"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t>4</w:t>
            </w:r>
          </w:p>
        </w:tc>
        <w:tc>
          <w:tcPr>
            <w:tcW w:w="4611" w:type="dxa"/>
          </w:tcPr>
          <w:p w14:paraId="3F61BD47" w14:textId="4672BA67" w:rsidR="00B57CE5" w:rsidRPr="008D7B22" w:rsidRDefault="00B57CE5" w:rsidP="00B57CE5">
            <w:pPr>
              <w:pStyle w:val="1GAPara"/>
              <w:numPr>
                <w:ilvl w:val="0"/>
                <w:numId w:val="0"/>
              </w:numPr>
              <w:spacing w:before="60" w:after="60"/>
              <w:jc w:val="both"/>
              <w:rPr>
                <w:sz w:val="20"/>
                <w:szCs w:val="20"/>
              </w:rPr>
            </w:pPr>
            <w:r w:rsidRPr="008D7B22">
              <w:rPr>
                <w:sz w:val="20"/>
                <w:szCs w:val="20"/>
              </w:rPr>
              <w:t>Capacity-building for safeguarding intangible cultural heritage and contributing to sustainable development</w:t>
            </w:r>
          </w:p>
        </w:tc>
        <w:tc>
          <w:tcPr>
            <w:tcW w:w="1756" w:type="dxa"/>
          </w:tcPr>
          <w:p w14:paraId="14E8008A" w14:textId="4ED0BFC9" w:rsidR="00B57CE5" w:rsidRPr="008D7B22" w:rsidRDefault="00B57CE5" w:rsidP="00B57CE5">
            <w:pPr>
              <w:pStyle w:val="1GAPara"/>
              <w:numPr>
                <w:ilvl w:val="0"/>
                <w:numId w:val="0"/>
              </w:numPr>
              <w:spacing w:before="60" w:after="60"/>
              <w:jc w:val="both"/>
              <w:rPr>
                <w:sz w:val="20"/>
                <w:szCs w:val="20"/>
              </w:rPr>
            </w:pPr>
            <w:r>
              <w:rPr>
                <w:sz w:val="20"/>
                <w:szCs w:val="20"/>
              </w:rPr>
              <w:t>202</w:t>
            </w:r>
            <w:r w:rsidR="00925D2E">
              <w:rPr>
                <w:sz w:val="20"/>
                <w:szCs w:val="20"/>
              </w:rPr>
              <w:t>1</w:t>
            </w:r>
            <w:r>
              <w:rPr>
                <w:sz w:val="20"/>
                <w:szCs w:val="20"/>
              </w:rPr>
              <w:t>-2025</w:t>
            </w:r>
          </w:p>
          <w:p w14:paraId="23A723B6" w14:textId="6B1B6469" w:rsidR="00B57CE5" w:rsidRPr="008D7B22" w:rsidRDefault="00B57CE5" w:rsidP="00B57CE5">
            <w:pPr>
              <w:pStyle w:val="1GAPara"/>
              <w:numPr>
                <w:ilvl w:val="0"/>
                <w:numId w:val="0"/>
              </w:numPr>
              <w:spacing w:before="60" w:after="60"/>
              <w:jc w:val="both"/>
              <w:rPr>
                <w:sz w:val="20"/>
                <w:szCs w:val="20"/>
              </w:rPr>
            </w:pPr>
          </w:p>
        </w:tc>
        <w:tc>
          <w:tcPr>
            <w:tcW w:w="1973" w:type="dxa"/>
          </w:tcPr>
          <w:p w14:paraId="6BBB5A55" w14:textId="77777777" w:rsidR="00B57CE5" w:rsidRPr="008D7B22" w:rsidRDefault="00B57CE5" w:rsidP="00B57CE5">
            <w:pPr>
              <w:spacing w:before="60" w:after="60"/>
              <w:jc w:val="both"/>
              <w:rPr>
                <w:rFonts w:ascii="Arial" w:hAnsi="Arial" w:cs="Arial"/>
                <w:sz w:val="20"/>
                <w:szCs w:val="20"/>
              </w:rPr>
            </w:pPr>
            <w:hyperlink r:id="rId14" w:history="1">
              <w:r w:rsidRPr="008D7B22">
                <w:rPr>
                  <w:rStyle w:val="Hyperlink"/>
                  <w:rFonts w:ascii="Arial" w:hAnsi="Arial" w:cs="Arial"/>
                  <w:sz w:val="20"/>
                  <w:szCs w:val="20"/>
                </w:rPr>
                <w:t>Project page</w:t>
              </w:r>
            </w:hyperlink>
          </w:p>
        </w:tc>
      </w:tr>
      <w:tr w:rsidR="00B57CE5" w:rsidRPr="008D7B22" w14:paraId="4A52E808" w14:textId="77777777" w:rsidTr="0048044D">
        <w:tc>
          <w:tcPr>
            <w:tcW w:w="727" w:type="dxa"/>
          </w:tcPr>
          <w:p w14:paraId="4F1537A4" w14:textId="77777777" w:rsidR="00B57CE5" w:rsidRPr="00E33432" w:rsidRDefault="00B57CE5" w:rsidP="00B57CE5">
            <w:pPr>
              <w:pStyle w:val="1GAPara"/>
              <w:numPr>
                <w:ilvl w:val="0"/>
                <w:numId w:val="0"/>
              </w:numPr>
              <w:spacing w:before="60" w:after="60"/>
              <w:jc w:val="both"/>
              <w:rPr>
                <w:sz w:val="20"/>
                <w:szCs w:val="20"/>
              </w:rPr>
            </w:pPr>
            <w:r w:rsidRPr="00E33432">
              <w:rPr>
                <w:sz w:val="20"/>
                <w:szCs w:val="20"/>
              </w:rPr>
              <w:t>5</w:t>
            </w:r>
          </w:p>
        </w:tc>
        <w:tc>
          <w:tcPr>
            <w:tcW w:w="4611" w:type="dxa"/>
          </w:tcPr>
          <w:p w14:paraId="7C045F7F" w14:textId="77777777" w:rsidR="00B57CE5" w:rsidRPr="00E33432" w:rsidRDefault="00B57CE5" w:rsidP="00B57CE5">
            <w:pPr>
              <w:pStyle w:val="1GAPara"/>
              <w:numPr>
                <w:ilvl w:val="0"/>
                <w:numId w:val="0"/>
              </w:numPr>
              <w:spacing w:before="60" w:after="60"/>
              <w:jc w:val="both"/>
              <w:rPr>
                <w:sz w:val="20"/>
                <w:szCs w:val="20"/>
              </w:rPr>
            </w:pPr>
            <w:r w:rsidRPr="00E33432">
              <w:rPr>
                <w:sz w:val="20"/>
                <w:szCs w:val="20"/>
              </w:rPr>
              <w:t>Strengthening capacities at the national and local levels for the safeguarding of intangible cultural heritage in Dominica</w:t>
            </w:r>
          </w:p>
        </w:tc>
        <w:tc>
          <w:tcPr>
            <w:tcW w:w="1756" w:type="dxa"/>
          </w:tcPr>
          <w:p w14:paraId="4ED091EF" w14:textId="5CD8BDB1" w:rsidR="00B57CE5" w:rsidRPr="00B57CE5" w:rsidRDefault="00B57CE5" w:rsidP="00B57CE5">
            <w:pPr>
              <w:pStyle w:val="1GAPara"/>
              <w:numPr>
                <w:ilvl w:val="0"/>
                <w:numId w:val="0"/>
              </w:numPr>
              <w:spacing w:before="60" w:after="60"/>
              <w:rPr>
                <w:sz w:val="20"/>
                <w:szCs w:val="20"/>
              </w:rPr>
            </w:pPr>
            <w:r w:rsidRPr="00B57CE5">
              <w:rPr>
                <w:sz w:val="20"/>
                <w:szCs w:val="20"/>
              </w:rPr>
              <w:t>202</w:t>
            </w:r>
            <w:r w:rsidR="00925D2E">
              <w:rPr>
                <w:sz w:val="20"/>
                <w:szCs w:val="20"/>
              </w:rPr>
              <w:t>1</w:t>
            </w:r>
            <w:r w:rsidRPr="00B57CE5">
              <w:rPr>
                <w:sz w:val="20"/>
                <w:szCs w:val="20"/>
              </w:rPr>
              <w:t>-2026</w:t>
            </w:r>
          </w:p>
        </w:tc>
        <w:tc>
          <w:tcPr>
            <w:tcW w:w="1973" w:type="dxa"/>
          </w:tcPr>
          <w:p w14:paraId="3F91756F" w14:textId="77777777" w:rsidR="00B57CE5" w:rsidRPr="009A3E97" w:rsidRDefault="00B57CE5" w:rsidP="00B57CE5">
            <w:pPr>
              <w:spacing w:before="60" w:after="60"/>
              <w:jc w:val="both"/>
              <w:rPr>
                <w:rFonts w:ascii="Arial" w:hAnsi="Arial" w:cs="Arial"/>
                <w:sz w:val="20"/>
                <w:szCs w:val="20"/>
              </w:rPr>
            </w:pPr>
            <w:hyperlink r:id="rId15" w:history="1">
              <w:r w:rsidRPr="009A3E97">
                <w:rPr>
                  <w:rStyle w:val="Hyperlink"/>
                  <w:rFonts w:ascii="Arial" w:hAnsi="Arial" w:cs="Arial"/>
                  <w:sz w:val="20"/>
                  <w:szCs w:val="20"/>
                </w:rPr>
                <w:t>Project page</w:t>
              </w:r>
            </w:hyperlink>
          </w:p>
        </w:tc>
      </w:tr>
      <w:tr w:rsidR="00B57CE5" w:rsidRPr="008D7B22" w14:paraId="459635CA" w14:textId="77777777" w:rsidTr="0048044D">
        <w:tc>
          <w:tcPr>
            <w:tcW w:w="727" w:type="dxa"/>
          </w:tcPr>
          <w:p w14:paraId="699C6A66"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t>6</w:t>
            </w:r>
          </w:p>
        </w:tc>
        <w:tc>
          <w:tcPr>
            <w:tcW w:w="4611" w:type="dxa"/>
          </w:tcPr>
          <w:p w14:paraId="30AAAFAF"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t>Strengthening national capacities for safeguarding intangible cultural heritage and contributing to sustainable development in Kenya</w:t>
            </w:r>
          </w:p>
        </w:tc>
        <w:tc>
          <w:tcPr>
            <w:tcW w:w="1756" w:type="dxa"/>
          </w:tcPr>
          <w:p w14:paraId="296BF380" w14:textId="77777777" w:rsidR="00B57CE5" w:rsidRPr="00B57CE5" w:rsidRDefault="00B57CE5" w:rsidP="00B57CE5">
            <w:pPr>
              <w:pStyle w:val="1GAPara"/>
              <w:numPr>
                <w:ilvl w:val="0"/>
                <w:numId w:val="0"/>
              </w:numPr>
              <w:spacing w:before="60" w:after="60"/>
              <w:jc w:val="both"/>
              <w:rPr>
                <w:sz w:val="20"/>
                <w:szCs w:val="20"/>
              </w:rPr>
            </w:pPr>
            <w:r w:rsidRPr="00B57CE5">
              <w:rPr>
                <w:sz w:val="20"/>
                <w:szCs w:val="20"/>
              </w:rPr>
              <w:t>2021-2025</w:t>
            </w:r>
          </w:p>
          <w:p w14:paraId="1F22A43E" w14:textId="78EFFA8D" w:rsidR="00B57CE5" w:rsidRPr="00B57CE5" w:rsidRDefault="00B57CE5" w:rsidP="00B57CE5">
            <w:pPr>
              <w:pStyle w:val="1GAPara"/>
              <w:numPr>
                <w:ilvl w:val="0"/>
                <w:numId w:val="0"/>
              </w:numPr>
              <w:spacing w:before="60" w:after="60"/>
              <w:rPr>
                <w:sz w:val="20"/>
                <w:szCs w:val="20"/>
              </w:rPr>
            </w:pPr>
          </w:p>
        </w:tc>
        <w:tc>
          <w:tcPr>
            <w:tcW w:w="1973" w:type="dxa"/>
          </w:tcPr>
          <w:p w14:paraId="1A017946" w14:textId="77777777" w:rsidR="00B57CE5" w:rsidRPr="008D7B22" w:rsidRDefault="00B57CE5" w:rsidP="00B57CE5">
            <w:pPr>
              <w:spacing w:before="60" w:after="60"/>
              <w:jc w:val="both"/>
              <w:rPr>
                <w:rFonts w:ascii="Arial" w:hAnsi="Arial" w:cs="Arial"/>
                <w:sz w:val="20"/>
                <w:szCs w:val="20"/>
              </w:rPr>
            </w:pPr>
            <w:hyperlink r:id="rId16" w:history="1">
              <w:r w:rsidRPr="008D7B22">
                <w:rPr>
                  <w:rStyle w:val="Hyperlink"/>
                  <w:rFonts w:ascii="Arial" w:hAnsi="Arial" w:cs="Arial"/>
                  <w:sz w:val="20"/>
                  <w:szCs w:val="20"/>
                </w:rPr>
                <w:t>Project page</w:t>
              </w:r>
            </w:hyperlink>
            <w:r w:rsidRPr="008D7B22">
              <w:rPr>
                <w:rFonts w:ascii="Arial" w:hAnsi="Arial" w:cs="Arial"/>
                <w:sz w:val="20"/>
                <w:szCs w:val="20"/>
              </w:rPr>
              <w:t xml:space="preserve"> </w:t>
            </w:r>
          </w:p>
        </w:tc>
      </w:tr>
      <w:tr w:rsidR="00B57CE5" w:rsidRPr="008D7B22" w14:paraId="75005CA5" w14:textId="77777777" w:rsidTr="0048044D">
        <w:tc>
          <w:tcPr>
            <w:tcW w:w="727" w:type="dxa"/>
          </w:tcPr>
          <w:p w14:paraId="2E9A6B8A"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lastRenderedPageBreak/>
              <w:t>7</w:t>
            </w:r>
          </w:p>
        </w:tc>
        <w:tc>
          <w:tcPr>
            <w:tcW w:w="4611" w:type="dxa"/>
          </w:tcPr>
          <w:p w14:paraId="751C48D9" w14:textId="39A7F133" w:rsidR="00B57CE5" w:rsidRPr="008D7B22" w:rsidRDefault="00B57CE5" w:rsidP="00B57CE5">
            <w:pPr>
              <w:pStyle w:val="1GAPara"/>
              <w:numPr>
                <w:ilvl w:val="0"/>
                <w:numId w:val="0"/>
              </w:numPr>
              <w:spacing w:before="60" w:after="60"/>
              <w:jc w:val="both"/>
              <w:rPr>
                <w:sz w:val="20"/>
                <w:szCs w:val="20"/>
              </w:rPr>
            </w:pPr>
            <w:r w:rsidRPr="008D7B22">
              <w:rPr>
                <w:sz w:val="20"/>
                <w:szCs w:val="20"/>
              </w:rPr>
              <w:t>Strengthening capacities for safeguarding intangible cultural heritage in disaster contexts</w:t>
            </w:r>
          </w:p>
        </w:tc>
        <w:tc>
          <w:tcPr>
            <w:tcW w:w="1756" w:type="dxa"/>
          </w:tcPr>
          <w:p w14:paraId="3BE79059" w14:textId="77777777" w:rsidR="00B57CE5" w:rsidRPr="008D7B22" w:rsidRDefault="00B57CE5" w:rsidP="00B57CE5">
            <w:pPr>
              <w:pStyle w:val="1GAPara"/>
              <w:numPr>
                <w:ilvl w:val="0"/>
                <w:numId w:val="0"/>
              </w:numPr>
              <w:spacing w:before="60" w:after="60"/>
              <w:jc w:val="both"/>
              <w:rPr>
                <w:sz w:val="20"/>
                <w:szCs w:val="20"/>
              </w:rPr>
            </w:pPr>
            <w:r>
              <w:rPr>
                <w:sz w:val="20"/>
                <w:szCs w:val="20"/>
              </w:rPr>
              <w:t>2019-2025</w:t>
            </w:r>
          </w:p>
          <w:p w14:paraId="5923A41E" w14:textId="3D9974EF" w:rsidR="00B57CE5" w:rsidRPr="008D7B22" w:rsidRDefault="00B57CE5" w:rsidP="00B57CE5">
            <w:pPr>
              <w:pStyle w:val="1GAPara"/>
              <w:numPr>
                <w:ilvl w:val="0"/>
                <w:numId w:val="0"/>
              </w:numPr>
              <w:spacing w:before="60" w:after="60"/>
              <w:rPr>
                <w:sz w:val="20"/>
                <w:szCs w:val="20"/>
              </w:rPr>
            </w:pPr>
            <w:r>
              <w:rPr>
                <w:sz w:val="20"/>
                <w:szCs w:val="20"/>
              </w:rPr>
              <w:t>Closed</w:t>
            </w:r>
          </w:p>
        </w:tc>
        <w:tc>
          <w:tcPr>
            <w:tcW w:w="1973" w:type="dxa"/>
          </w:tcPr>
          <w:p w14:paraId="2D92D4F4" w14:textId="77777777" w:rsidR="00B57CE5" w:rsidRPr="008D7B22" w:rsidRDefault="00B57CE5" w:rsidP="00B57CE5">
            <w:pPr>
              <w:pStyle w:val="1GAPara"/>
              <w:numPr>
                <w:ilvl w:val="0"/>
                <w:numId w:val="0"/>
              </w:numPr>
              <w:spacing w:before="60" w:after="60"/>
              <w:jc w:val="both"/>
              <w:rPr>
                <w:sz w:val="20"/>
                <w:szCs w:val="20"/>
              </w:rPr>
            </w:pPr>
            <w:hyperlink r:id="rId17" w:history="1">
              <w:r w:rsidRPr="008D7B22">
                <w:rPr>
                  <w:rStyle w:val="Hyperlink"/>
                  <w:sz w:val="20"/>
                  <w:szCs w:val="20"/>
                </w:rPr>
                <w:t>Project page</w:t>
              </w:r>
            </w:hyperlink>
          </w:p>
        </w:tc>
      </w:tr>
      <w:tr w:rsidR="00B57CE5" w:rsidRPr="008D7B22" w14:paraId="6F3E1D7E" w14:textId="77777777" w:rsidTr="0048044D">
        <w:tc>
          <w:tcPr>
            <w:tcW w:w="727" w:type="dxa"/>
          </w:tcPr>
          <w:p w14:paraId="29EF1523" w14:textId="77777777" w:rsidR="00B57CE5" w:rsidRPr="008D7B22" w:rsidRDefault="00B57CE5" w:rsidP="00B57CE5">
            <w:pPr>
              <w:pStyle w:val="1GAPara"/>
              <w:numPr>
                <w:ilvl w:val="0"/>
                <w:numId w:val="0"/>
              </w:numPr>
              <w:spacing w:before="60" w:after="60"/>
              <w:jc w:val="both"/>
              <w:rPr>
                <w:sz w:val="20"/>
                <w:szCs w:val="20"/>
              </w:rPr>
            </w:pPr>
            <w:r w:rsidRPr="008D7B22">
              <w:rPr>
                <w:sz w:val="20"/>
                <w:szCs w:val="20"/>
              </w:rPr>
              <w:t>8</w:t>
            </w:r>
          </w:p>
        </w:tc>
        <w:tc>
          <w:tcPr>
            <w:tcW w:w="4611" w:type="dxa"/>
          </w:tcPr>
          <w:p w14:paraId="540AA878" w14:textId="0E128FCE" w:rsidR="00B57CE5" w:rsidRPr="00622BC4" w:rsidRDefault="00B57CE5" w:rsidP="00B57CE5">
            <w:pPr>
              <w:pStyle w:val="1GAPara"/>
              <w:numPr>
                <w:ilvl w:val="0"/>
                <w:numId w:val="0"/>
              </w:numPr>
              <w:spacing w:before="60" w:after="60"/>
              <w:jc w:val="both"/>
              <w:rPr>
                <w:sz w:val="20"/>
                <w:szCs w:val="20"/>
              </w:rPr>
            </w:pPr>
            <w:r w:rsidRPr="00622BC4">
              <w:rPr>
                <w:sz w:val="20"/>
                <w:szCs w:val="20"/>
              </w:rPr>
              <w:t>Support of the development and implementation of capacity-building activities for safeguarding intangible cultural heritage in conflict-related situations, including situations of forced displacement</w:t>
            </w:r>
          </w:p>
        </w:tc>
        <w:tc>
          <w:tcPr>
            <w:tcW w:w="1756" w:type="dxa"/>
          </w:tcPr>
          <w:p w14:paraId="668C9FD2" w14:textId="77777777" w:rsidR="00B57CE5" w:rsidRPr="00622BC4" w:rsidRDefault="00B57CE5" w:rsidP="00B57CE5">
            <w:pPr>
              <w:pStyle w:val="1GAPara"/>
              <w:numPr>
                <w:ilvl w:val="0"/>
                <w:numId w:val="0"/>
              </w:numPr>
              <w:spacing w:before="60" w:after="60"/>
              <w:jc w:val="both"/>
              <w:rPr>
                <w:sz w:val="20"/>
                <w:szCs w:val="20"/>
              </w:rPr>
            </w:pPr>
            <w:r w:rsidRPr="00733986">
              <w:rPr>
                <w:sz w:val="20"/>
                <w:szCs w:val="20"/>
              </w:rPr>
              <w:t>2021</w:t>
            </w:r>
            <w:r>
              <w:rPr>
                <w:sz w:val="20"/>
                <w:szCs w:val="20"/>
              </w:rPr>
              <w:t>-2026</w:t>
            </w:r>
          </w:p>
          <w:p w14:paraId="37EDEBBF" w14:textId="4327BD0E" w:rsidR="00B57CE5" w:rsidRPr="00622BC4" w:rsidRDefault="00B57CE5" w:rsidP="00B57CE5">
            <w:pPr>
              <w:pStyle w:val="1GAPara"/>
              <w:numPr>
                <w:ilvl w:val="0"/>
                <w:numId w:val="0"/>
              </w:numPr>
              <w:spacing w:before="60" w:after="60"/>
              <w:rPr>
                <w:sz w:val="20"/>
                <w:szCs w:val="20"/>
              </w:rPr>
            </w:pPr>
          </w:p>
        </w:tc>
        <w:tc>
          <w:tcPr>
            <w:tcW w:w="1973" w:type="dxa"/>
          </w:tcPr>
          <w:p w14:paraId="036C5D26" w14:textId="77777777" w:rsidR="00B57CE5" w:rsidRPr="00622BC4" w:rsidRDefault="00B57CE5" w:rsidP="00B57CE5">
            <w:pPr>
              <w:pStyle w:val="1GAPara"/>
              <w:numPr>
                <w:ilvl w:val="0"/>
                <w:numId w:val="0"/>
              </w:numPr>
              <w:spacing w:before="60" w:after="60"/>
              <w:jc w:val="both"/>
              <w:rPr>
                <w:sz w:val="20"/>
                <w:szCs w:val="20"/>
              </w:rPr>
            </w:pPr>
            <w:hyperlink r:id="rId18" w:history="1">
              <w:r w:rsidRPr="00622BC4">
                <w:rPr>
                  <w:rStyle w:val="Hyperlink"/>
                  <w:sz w:val="20"/>
                  <w:szCs w:val="20"/>
                </w:rPr>
                <w:t>Project page</w:t>
              </w:r>
            </w:hyperlink>
          </w:p>
        </w:tc>
      </w:tr>
    </w:tbl>
    <w:p w14:paraId="0146F6EF" w14:textId="799CBE45" w:rsidR="0048044D" w:rsidRPr="008D7B22" w:rsidRDefault="0048044D" w:rsidP="001E0DC0">
      <w:pPr>
        <w:pStyle w:val="1GAPara"/>
        <w:numPr>
          <w:ilvl w:val="0"/>
          <w:numId w:val="0"/>
        </w:numPr>
        <w:spacing w:before="360"/>
        <w:jc w:val="both"/>
        <w:rPr>
          <w:b/>
          <w:bCs/>
        </w:rPr>
      </w:pPr>
      <w:r w:rsidRPr="008D7B22">
        <w:rPr>
          <w:b/>
          <w:bCs/>
        </w:rPr>
        <w:t xml:space="preserve">Main achievements under the </w:t>
      </w:r>
      <w:r w:rsidR="006E12C8" w:rsidRPr="008D7B22">
        <w:rPr>
          <w:b/>
          <w:bCs/>
        </w:rPr>
        <w:t xml:space="preserve">first </w:t>
      </w:r>
      <w:r w:rsidRPr="008D7B22">
        <w:rPr>
          <w:b/>
          <w:bCs/>
        </w:rPr>
        <w:t>funding priority in the 2022</w:t>
      </w:r>
      <w:r w:rsidR="00EA1C60" w:rsidRPr="00FA311E">
        <w:rPr>
          <w:b/>
          <w:bCs/>
        </w:rPr>
        <w:t>-</w:t>
      </w:r>
      <w:r w:rsidRPr="008D7B22">
        <w:rPr>
          <w:b/>
          <w:bCs/>
        </w:rPr>
        <w:t>2025 quadrennium</w:t>
      </w:r>
    </w:p>
    <w:p w14:paraId="671B42D5" w14:textId="0D3C5DF2" w:rsidR="00F7327C" w:rsidRPr="008D7B22" w:rsidRDefault="00ED2D07" w:rsidP="00F7327C">
      <w:pPr>
        <w:pStyle w:val="1GAPara"/>
        <w:ind w:left="567" w:hanging="567"/>
        <w:jc w:val="both"/>
      </w:pPr>
      <w:r w:rsidRPr="008D7B22">
        <w:t xml:space="preserve">While </w:t>
      </w:r>
      <w:r w:rsidR="006E12C8" w:rsidRPr="008D7B22">
        <w:t xml:space="preserve">the positive outcomes are </w:t>
      </w:r>
      <w:r w:rsidR="00D80EF2">
        <w:t>multiple</w:t>
      </w:r>
      <w:r w:rsidR="00534C39">
        <w:t xml:space="preserve"> (directly benefitted </w:t>
      </w:r>
      <w:r w:rsidR="003A76B2" w:rsidRPr="00E33432">
        <w:t>twenty-</w:t>
      </w:r>
      <w:r w:rsidR="00497653" w:rsidRPr="00E33432">
        <w:t>seven</w:t>
      </w:r>
      <w:r w:rsidR="00534C39" w:rsidRPr="00AC098C">
        <w:t xml:space="preserve"> countries in </w:t>
      </w:r>
      <w:r w:rsidR="003A76B2" w:rsidRPr="00E33432">
        <w:t>four</w:t>
      </w:r>
      <w:r w:rsidR="00534C39" w:rsidRPr="00AC098C">
        <w:t xml:space="preserve"> regions</w:t>
      </w:r>
      <w:r w:rsidR="007D7DBF" w:rsidRPr="00AC098C">
        <w:t>, in support of all six outcomes</w:t>
      </w:r>
      <w:r w:rsidR="00534C39" w:rsidRPr="00AC098C">
        <w:t>)</w:t>
      </w:r>
      <w:r w:rsidR="006E12C8" w:rsidRPr="00AC098C">
        <w:t>, main achievements under the first funding priority</w:t>
      </w:r>
      <w:r w:rsidR="006E12C8" w:rsidRPr="008D7B22">
        <w:t xml:space="preserve"> in the 2022</w:t>
      </w:r>
      <w:r w:rsidR="00EA1C60" w:rsidRPr="00FD36C2">
        <w:t>-</w:t>
      </w:r>
      <w:r w:rsidR="006E12C8" w:rsidRPr="008D7B22">
        <w:t>2025 quadrennium may be summarized as follows:</w:t>
      </w:r>
    </w:p>
    <w:p w14:paraId="606D4F4C" w14:textId="2A8BA95D" w:rsidR="00116981" w:rsidRPr="008D7B22" w:rsidRDefault="00116981" w:rsidP="001E0DC0">
      <w:pPr>
        <w:pStyle w:val="1GAPara"/>
        <w:numPr>
          <w:ilvl w:val="0"/>
          <w:numId w:val="0"/>
        </w:numPr>
        <w:ind w:left="567"/>
        <w:rPr>
          <w:u w:val="single"/>
        </w:rPr>
      </w:pPr>
      <w:r w:rsidRPr="008D7B22">
        <w:rPr>
          <w:u w:val="single"/>
        </w:rPr>
        <w:t>Strengthened human capacities, policies and institutional frameworks</w:t>
      </w:r>
    </w:p>
    <w:p w14:paraId="114C5C5A" w14:textId="55A052B1" w:rsidR="00630762" w:rsidRPr="008D7B22" w:rsidRDefault="00875C32" w:rsidP="00630762">
      <w:pPr>
        <w:pStyle w:val="1GAPara"/>
        <w:ind w:left="567" w:hanging="567"/>
        <w:jc w:val="both"/>
      </w:pPr>
      <w:r w:rsidRPr="008D7B22">
        <w:t>Several p</w:t>
      </w:r>
      <w:r w:rsidR="008C2F90" w:rsidRPr="008D7B22">
        <w:t xml:space="preserve">rojects </w:t>
      </w:r>
      <w:r w:rsidR="00C76CFA" w:rsidRPr="008D7B22">
        <w:t>contributed</w:t>
      </w:r>
      <w:r w:rsidR="008C2F90" w:rsidRPr="008D7B22">
        <w:t xml:space="preserve"> </w:t>
      </w:r>
      <w:r w:rsidR="00D80EF2">
        <w:t>to</w:t>
      </w:r>
      <w:r w:rsidR="008C2F90" w:rsidRPr="008D7B22">
        <w:t xml:space="preserve"> the development or revision of policies</w:t>
      </w:r>
      <w:r w:rsidR="00D80EF2">
        <w:t xml:space="preserve"> and of</w:t>
      </w:r>
      <w:r w:rsidR="008C2F90" w:rsidRPr="008D7B22">
        <w:t xml:space="preserve"> legal and institutional frameworks. </w:t>
      </w:r>
      <w:r w:rsidR="00132FFC" w:rsidRPr="008D7B22">
        <w:t xml:space="preserve">For instance, </w:t>
      </w:r>
      <w:r w:rsidR="00CF4CB1" w:rsidRPr="008D7B22">
        <w:t>in Ghana</w:t>
      </w:r>
      <w:r w:rsidR="00D80EF2">
        <w:t xml:space="preserve">, </w:t>
      </w:r>
      <w:r w:rsidR="00CF4CB1" w:rsidRPr="008D7B22">
        <w:t xml:space="preserve">the country’s 2004 Cultural Policy </w:t>
      </w:r>
      <w:r w:rsidR="004F4B7F">
        <w:t xml:space="preserve">was reviewed, informing </w:t>
      </w:r>
      <w:r w:rsidR="00CF4CB1" w:rsidRPr="008D7B22">
        <w:t xml:space="preserve">recommendations to integrate living heritage safeguarding into primary school curricula and national development strategies. In Gambia, collaboration </w:t>
      </w:r>
      <w:r w:rsidR="004F4B7F">
        <w:t xml:space="preserve">was </w:t>
      </w:r>
      <w:r w:rsidR="004F4B7F" w:rsidRPr="008D7B22">
        <w:t xml:space="preserve">strengthened </w:t>
      </w:r>
      <w:r w:rsidR="00CF4CB1" w:rsidRPr="008D7B22">
        <w:t xml:space="preserve">among </w:t>
      </w:r>
      <w:r w:rsidR="00132FFC" w:rsidRPr="008D7B22">
        <w:t>line ministries beyond culture</w:t>
      </w:r>
      <w:r w:rsidR="00CF4CB1" w:rsidRPr="008D7B22">
        <w:t xml:space="preserve">, laying the groundwork for a national strategy that </w:t>
      </w:r>
      <w:r w:rsidR="0077716A" w:rsidRPr="008D7B22">
        <w:t xml:space="preserve">embeds </w:t>
      </w:r>
      <w:r w:rsidR="00CF4CB1" w:rsidRPr="008D7B22">
        <w:t xml:space="preserve">living heritage </w:t>
      </w:r>
      <w:r w:rsidR="0077716A" w:rsidRPr="008D7B22">
        <w:t>within</w:t>
      </w:r>
      <w:r w:rsidR="00CF4CB1" w:rsidRPr="008D7B22">
        <w:t xml:space="preserve"> cross-sector</w:t>
      </w:r>
      <w:r w:rsidR="0077716A" w:rsidRPr="008D7B22">
        <w:t>al</w:t>
      </w:r>
      <w:r w:rsidR="00CF4CB1" w:rsidRPr="008D7B22">
        <w:t xml:space="preserve"> policies.</w:t>
      </w:r>
      <w:r w:rsidR="000F3231" w:rsidRPr="008D7B22">
        <w:t xml:space="preserve"> </w:t>
      </w:r>
      <w:r w:rsidR="00D80EF2">
        <w:t xml:space="preserve">Similarly, </w:t>
      </w:r>
      <w:r w:rsidR="004F4B7F">
        <w:t xml:space="preserve">interventions made </w:t>
      </w:r>
      <w:r w:rsidR="000F3231" w:rsidRPr="008D7B22">
        <w:t xml:space="preserve">in Kenya </w:t>
      </w:r>
      <w:r w:rsidR="0077716A" w:rsidRPr="008D7B22">
        <w:t>enabled</w:t>
      </w:r>
      <w:r w:rsidR="000F3231" w:rsidRPr="008D7B22">
        <w:t xml:space="preserve"> the establishment of an Interim National </w:t>
      </w:r>
      <w:r w:rsidR="00207B60" w:rsidRPr="008D7B22">
        <w:t>Intangible Cultural Heritage</w:t>
      </w:r>
      <w:r w:rsidR="000F3231" w:rsidRPr="008D7B22">
        <w:t xml:space="preserve"> Team.</w:t>
      </w:r>
      <w:r w:rsidR="004732EB" w:rsidRPr="008D7B22">
        <w:t xml:space="preserve"> </w:t>
      </w:r>
      <w:r w:rsidR="005C53B8" w:rsidRPr="008D7B22">
        <w:t>E</w:t>
      </w:r>
      <w:r w:rsidR="003B7008" w:rsidRPr="008D7B22">
        <w:t xml:space="preserve">xpertise </w:t>
      </w:r>
      <w:r w:rsidR="001A4D1B" w:rsidRPr="008D7B22">
        <w:t>for implement</w:t>
      </w:r>
      <w:r w:rsidR="0077716A" w:rsidRPr="008D7B22">
        <w:t>ing</w:t>
      </w:r>
      <w:r w:rsidR="001A4D1B" w:rsidRPr="008D7B22">
        <w:t xml:space="preserve"> the Convention</w:t>
      </w:r>
      <w:r w:rsidR="0077716A" w:rsidRPr="008D7B22">
        <w:t xml:space="preserve"> at the national level </w:t>
      </w:r>
      <w:r w:rsidR="005C53B8" w:rsidRPr="008D7B22">
        <w:t xml:space="preserve">were </w:t>
      </w:r>
      <w:r w:rsidR="00367457" w:rsidRPr="008D7B22">
        <w:t xml:space="preserve">also </w:t>
      </w:r>
      <w:r w:rsidR="005C53B8" w:rsidRPr="008D7B22">
        <w:t>strengthened in some cases.</w:t>
      </w:r>
      <w:r w:rsidR="00F315D0" w:rsidRPr="008D7B22">
        <w:t xml:space="preserve"> </w:t>
      </w:r>
      <w:r w:rsidR="00367457" w:rsidRPr="008D7B22">
        <w:t>A case in point is</w:t>
      </w:r>
      <w:r w:rsidR="00EF3B14" w:rsidRPr="008D7B22">
        <w:t xml:space="preserve"> the </w:t>
      </w:r>
      <w:r w:rsidR="00063C08" w:rsidRPr="008D7B22">
        <w:t>project</w:t>
      </w:r>
      <w:r w:rsidR="00EF3B14" w:rsidRPr="008D7B22">
        <w:t xml:space="preserve"> </w:t>
      </w:r>
      <w:r w:rsidR="00D80EF2">
        <w:t xml:space="preserve">carried out </w:t>
      </w:r>
      <w:r w:rsidR="0077716A" w:rsidRPr="008D7B22">
        <w:t>in Ghana</w:t>
      </w:r>
      <w:r w:rsidR="00D80EF2">
        <w:t>,</w:t>
      </w:r>
      <w:r w:rsidR="0077716A" w:rsidRPr="008D7B22">
        <w:t xml:space="preserve"> </w:t>
      </w:r>
      <w:r w:rsidR="00367457" w:rsidRPr="008D7B22">
        <w:t xml:space="preserve">which </w:t>
      </w:r>
      <w:r w:rsidR="00D4612A" w:rsidRPr="008D7B22">
        <w:t>led to the establishment</w:t>
      </w:r>
      <w:r w:rsidR="00EF3B14" w:rsidRPr="008D7B22">
        <w:t xml:space="preserve"> of a </w:t>
      </w:r>
      <w:r w:rsidR="00132FFC" w:rsidRPr="008D7B22">
        <w:t xml:space="preserve">regional and a </w:t>
      </w:r>
      <w:r w:rsidR="00EF3B14" w:rsidRPr="008D7B22">
        <w:t>national intangible cultural heritage network.</w:t>
      </w:r>
      <w:r w:rsidR="00630762" w:rsidRPr="008D7B22">
        <w:t xml:space="preserve"> Similarly, the project in Dominica enhanced cooperation among various cultural institutions, creating a more coordinated approach to living heritage safeguarding.</w:t>
      </w:r>
    </w:p>
    <w:p w14:paraId="26EB9320" w14:textId="6D96CCAC" w:rsidR="00116981" w:rsidRPr="008D7B22" w:rsidRDefault="00077250" w:rsidP="001E0DC0">
      <w:pPr>
        <w:pStyle w:val="1GAPara"/>
        <w:numPr>
          <w:ilvl w:val="0"/>
          <w:numId w:val="0"/>
        </w:numPr>
        <w:ind w:left="567"/>
        <w:jc w:val="both"/>
        <w:rPr>
          <w:u w:val="single"/>
        </w:rPr>
      </w:pPr>
      <w:r w:rsidRPr="008D7B22">
        <w:rPr>
          <w:u w:val="single"/>
        </w:rPr>
        <w:t xml:space="preserve">Living </w:t>
      </w:r>
      <w:r w:rsidR="00644244" w:rsidRPr="008D7B22">
        <w:rPr>
          <w:u w:val="single"/>
        </w:rPr>
        <w:t xml:space="preserve">heritage </w:t>
      </w:r>
      <w:r w:rsidRPr="008D7B22">
        <w:rPr>
          <w:u w:val="single"/>
        </w:rPr>
        <w:t xml:space="preserve">safeguarding </w:t>
      </w:r>
      <w:r w:rsidR="008C2F90" w:rsidRPr="008D7B22">
        <w:rPr>
          <w:u w:val="single"/>
        </w:rPr>
        <w:t>in response to emerging challenges</w:t>
      </w:r>
    </w:p>
    <w:p w14:paraId="248F7E14" w14:textId="2E964FEF" w:rsidR="007F59B9" w:rsidRPr="008D7B22" w:rsidRDefault="007F42CB" w:rsidP="001E0DC0">
      <w:pPr>
        <w:pStyle w:val="1GAPara"/>
        <w:ind w:left="567" w:hanging="567"/>
        <w:jc w:val="both"/>
      </w:pPr>
      <w:r w:rsidRPr="008D7B22">
        <w:t xml:space="preserve">The reporting period saw </w:t>
      </w:r>
      <w:r w:rsidR="00677A85" w:rsidRPr="008D7B22">
        <w:t>t</w:t>
      </w:r>
      <w:r w:rsidRPr="008D7B22">
        <w:t>he finalization of</w:t>
      </w:r>
      <w:r w:rsidR="007F59B9" w:rsidRPr="008D7B22">
        <w:t xml:space="preserve"> two training </w:t>
      </w:r>
      <w:r w:rsidR="00865DD4" w:rsidRPr="008D7B22">
        <w:t>units</w:t>
      </w:r>
      <w:r w:rsidR="00677A85" w:rsidRPr="008D7B22">
        <w:rPr>
          <w:rStyle w:val="FootnoteReference"/>
        </w:rPr>
        <w:footnoteReference w:id="2"/>
      </w:r>
      <w:r w:rsidR="00495026" w:rsidRPr="008D7B22">
        <w:t xml:space="preserve"> </w:t>
      </w:r>
      <w:r w:rsidR="00677A85" w:rsidRPr="008D7B22">
        <w:t>related to disaster risk reduction</w:t>
      </w:r>
      <w:r w:rsidR="00360448" w:rsidRPr="008D7B22">
        <w:t xml:space="preserve">, which were </w:t>
      </w:r>
      <w:r w:rsidR="00BE0815" w:rsidRPr="008D7B22">
        <w:t xml:space="preserve">pilot </w:t>
      </w:r>
      <w:r w:rsidR="00865DD4" w:rsidRPr="008D7B22">
        <w:t>tested</w:t>
      </w:r>
      <w:r w:rsidR="00B549AD" w:rsidRPr="008D7B22">
        <w:rPr>
          <w:rFonts w:eastAsia="MS Mincho"/>
          <w:lang w:eastAsia="ja-JP"/>
        </w:rPr>
        <w:t xml:space="preserve"> </w:t>
      </w:r>
      <w:r w:rsidR="00865DD4" w:rsidRPr="008D7B22">
        <w:t>in</w:t>
      </w:r>
      <w:r w:rsidR="007F59B9" w:rsidRPr="008D7B22">
        <w:t xml:space="preserve"> the Philippines and Honduras</w:t>
      </w:r>
      <w:r w:rsidR="00736CFE" w:rsidRPr="008D7B22">
        <w:t>.</w:t>
      </w:r>
      <w:r w:rsidR="00CD60E7" w:rsidRPr="008D7B22">
        <w:t xml:space="preserve"> </w:t>
      </w:r>
      <w:r w:rsidR="009F61A8" w:rsidRPr="008D7B22">
        <w:t>T</w:t>
      </w:r>
      <w:r w:rsidR="00CD60E7" w:rsidRPr="008D7B22">
        <w:t xml:space="preserve">wo </w:t>
      </w:r>
      <w:r w:rsidR="00BE0815" w:rsidRPr="008D7B22">
        <w:t>further</w:t>
      </w:r>
      <w:r w:rsidR="00EC09B7" w:rsidRPr="008D7B22">
        <w:t xml:space="preserve"> </w:t>
      </w:r>
      <w:r w:rsidR="009F61A8" w:rsidRPr="008D7B22">
        <w:t xml:space="preserve">training </w:t>
      </w:r>
      <w:r w:rsidR="00CD60E7" w:rsidRPr="008D7B22">
        <w:t xml:space="preserve">units were created to explore </w:t>
      </w:r>
      <w:r w:rsidR="000D26B6" w:rsidRPr="008D7B22">
        <w:t>t</w:t>
      </w:r>
      <w:r w:rsidR="007F59B9" w:rsidRPr="008D7B22">
        <w:t xml:space="preserve">he </w:t>
      </w:r>
      <w:r w:rsidR="00D80EF2">
        <w:t xml:space="preserve">topic of </w:t>
      </w:r>
      <w:r w:rsidR="00CD60E7" w:rsidRPr="008D7B22">
        <w:t xml:space="preserve">intangible cultural heritage safeguarding </w:t>
      </w:r>
      <w:r w:rsidR="00915631" w:rsidRPr="008D7B22">
        <w:t>in conflict</w:t>
      </w:r>
      <w:r w:rsidR="00CD60E7" w:rsidRPr="008D7B22">
        <w:t xml:space="preserve"> and displacement settings</w:t>
      </w:r>
      <w:r w:rsidR="00CD60E7" w:rsidRPr="008D7B22">
        <w:rPr>
          <w:rStyle w:val="FootnoteReference"/>
        </w:rPr>
        <w:footnoteReference w:id="3"/>
      </w:r>
      <w:r w:rsidR="000D26B6" w:rsidRPr="008D7B22">
        <w:t xml:space="preserve"> </w:t>
      </w:r>
      <w:r w:rsidR="00EC09B7" w:rsidRPr="008D7B22">
        <w:t>through a capacity</w:t>
      </w:r>
      <w:r w:rsidR="00D80EF2">
        <w:t>-</w:t>
      </w:r>
      <w:r w:rsidR="00EC09B7" w:rsidRPr="008D7B22">
        <w:t xml:space="preserve">building workshop in </w:t>
      </w:r>
      <w:r w:rsidR="00BE0815" w:rsidRPr="008D7B22">
        <w:t>a</w:t>
      </w:r>
      <w:r w:rsidR="00EC09B7" w:rsidRPr="008D7B22">
        <w:t xml:space="preserve"> </w:t>
      </w:r>
      <w:r w:rsidR="00D80EF2">
        <w:t>r</w:t>
      </w:r>
      <w:r w:rsidR="00EC09B7" w:rsidRPr="008D7B22">
        <w:t xml:space="preserve">efugee </w:t>
      </w:r>
      <w:r w:rsidR="00D80EF2">
        <w:t>c</w:t>
      </w:r>
      <w:r w:rsidR="00EC09B7" w:rsidRPr="008D7B22">
        <w:t>amp in Cameroon, organized in collaboration with the United Nations High Commissioner for Refugees (UNHCR)</w:t>
      </w:r>
      <w:r w:rsidR="00C748D8">
        <w:t>. T</w:t>
      </w:r>
      <w:r w:rsidR="00EC09B7" w:rsidRPr="008D7B22">
        <w:t xml:space="preserve">he project reached specific stakeholder groups, including refugees, host communities, humanitarian actors and </w:t>
      </w:r>
      <w:r w:rsidR="009F61A8" w:rsidRPr="008D7B22">
        <w:t xml:space="preserve">national </w:t>
      </w:r>
      <w:r w:rsidR="00EC09B7" w:rsidRPr="008D7B22">
        <w:t>authorities, who collaboratively assessed the impacts of displacement</w:t>
      </w:r>
      <w:r w:rsidR="00C748D8">
        <w:t xml:space="preserve"> on intangible cultural heritage</w:t>
      </w:r>
      <w:r w:rsidR="00EC09B7" w:rsidRPr="008D7B22">
        <w:t xml:space="preserve"> and identified elements that contribute to resilience and recovery.</w:t>
      </w:r>
      <w:r w:rsidR="009F61A8" w:rsidRPr="008D7B22">
        <w:t xml:space="preserve"> </w:t>
      </w:r>
      <w:r w:rsidR="002A6C7B" w:rsidRPr="008D7B22">
        <w:t xml:space="preserve">Additionally, a </w:t>
      </w:r>
      <w:r w:rsidR="0062740D" w:rsidRPr="008D7B22">
        <w:t>guide</w:t>
      </w:r>
      <w:r w:rsidR="002A6C7B" w:rsidRPr="008D7B22">
        <w:t xml:space="preserve"> on integrating living heritage safeguarding into humanitarian action was developed</w:t>
      </w:r>
      <w:r w:rsidR="00094044" w:rsidRPr="008D7B22">
        <w:t xml:space="preserve"> </w:t>
      </w:r>
      <w:r w:rsidR="00C748D8">
        <w:t>to</w:t>
      </w:r>
      <w:r w:rsidR="000D26B6" w:rsidRPr="008D7B22">
        <w:t xml:space="preserve"> assess the impact of conflict</w:t>
      </w:r>
      <w:r w:rsidR="00C94877" w:rsidRPr="008D7B22">
        <w:t>s</w:t>
      </w:r>
      <w:r w:rsidR="000D26B6" w:rsidRPr="008D7B22">
        <w:t xml:space="preserve"> and </w:t>
      </w:r>
      <w:r w:rsidR="0085252E" w:rsidRPr="008D7B22">
        <w:t>address</w:t>
      </w:r>
      <w:r w:rsidR="000D26B6" w:rsidRPr="008D7B22">
        <w:t xml:space="preserve"> safeguarding needs in emergency contexts.</w:t>
      </w:r>
    </w:p>
    <w:p w14:paraId="616F5176" w14:textId="42E3D23D" w:rsidR="00116981" w:rsidRPr="008D7B22" w:rsidRDefault="00116981" w:rsidP="00E33432">
      <w:pPr>
        <w:pStyle w:val="1GAPara"/>
        <w:keepNext/>
        <w:numPr>
          <w:ilvl w:val="0"/>
          <w:numId w:val="0"/>
        </w:numPr>
        <w:ind w:left="567"/>
        <w:jc w:val="both"/>
        <w:rPr>
          <w:u w:val="single"/>
        </w:rPr>
      </w:pPr>
      <w:r w:rsidRPr="008D7B22">
        <w:rPr>
          <w:u w:val="single"/>
        </w:rPr>
        <w:t>Improved inventorying frameworks and methodologies</w:t>
      </w:r>
    </w:p>
    <w:p w14:paraId="14334855" w14:textId="59421BDB" w:rsidR="00911A07" w:rsidRPr="008D7B22" w:rsidRDefault="00911A07" w:rsidP="00F7327C">
      <w:pPr>
        <w:pStyle w:val="1GAPara"/>
        <w:ind w:left="567" w:hanging="567"/>
        <w:jc w:val="both"/>
      </w:pPr>
      <w:r w:rsidRPr="008D7B22">
        <w:t xml:space="preserve">Community-based inventorying </w:t>
      </w:r>
      <w:r w:rsidR="00C44E63" w:rsidRPr="008D7B22">
        <w:t xml:space="preserve">remains a </w:t>
      </w:r>
      <w:r w:rsidR="00C37ADE" w:rsidRPr="008D7B22">
        <w:t>crucial</w:t>
      </w:r>
      <w:r w:rsidR="00094044" w:rsidRPr="008D7B22">
        <w:t xml:space="preserve"> </w:t>
      </w:r>
      <w:r w:rsidRPr="008D7B22">
        <w:t>capacity</w:t>
      </w:r>
      <w:r w:rsidR="00C748D8">
        <w:t>-</w:t>
      </w:r>
      <w:r w:rsidRPr="008D7B22">
        <w:t>building</w:t>
      </w:r>
      <w:r w:rsidR="00E525A2" w:rsidRPr="008D7B22">
        <w:t xml:space="preserve"> </w:t>
      </w:r>
      <w:r w:rsidR="00094044" w:rsidRPr="008D7B22">
        <w:t>area</w:t>
      </w:r>
      <w:r w:rsidR="00D17A84" w:rsidRPr="008D7B22">
        <w:t>, as</w:t>
      </w:r>
      <w:r w:rsidR="00CF4CB1" w:rsidRPr="008D7B22">
        <w:t xml:space="preserve"> </w:t>
      </w:r>
      <w:r w:rsidRPr="008D7B22">
        <w:t xml:space="preserve">a </w:t>
      </w:r>
      <w:r w:rsidR="00C44E63" w:rsidRPr="008D7B22">
        <w:t xml:space="preserve">key </w:t>
      </w:r>
      <w:r w:rsidR="00202772" w:rsidRPr="008D7B22">
        <w:t xml:space="preserve">initial </w:t>
      </w:r>
      <w:r w:rsidRPr="008D7B22">
        <w:t xml:space="preserve">step </w:t>
      </w:r>
      <w:r w:rsidR="00202772" w:rsidRPr="008D7B22">
        <w:t>towards</w:t>
      </w:r>
      <w:r w:rsidR="00390D1E" w:rsidRPr="008D7B22">
        <w:t xml:space="preserve"> </w:t>
      </w:r>
      <w:r w:rsidRPr="008D7B22">
        <w:t xml:space="preserve">the development of </w:t>
      </w:r>
      <w:r w:rsidR="00202772" w:rsidRPr="008D7B22">
        <w:t xml:space="preserve">safeguarding </w:t>
      </w:r>
      <w:r w:rsidR="00C44E63" w:rsidRPr="008D7B22">
        <w:t>strategies</w:t>
      </w:r>
      <w:r w:rsidR="00202772" w:rsidRPr="008D7B22">
        <w:t xml:space="preserve">, </w:t>
      </w:r>
      <w:r w:rsidRPr="008D7B22">
        <w:t>policies</w:t>
      </w:r>
      <w:r w:rsidR="00202772" w:rsidRPr="008D7B22">
        <w:t xml:space="preserve"> and plans</w:t>
      </w:r>
      <w:r w:rsidRPr="008D7B22">
        <w:t>.</w:t>
      </w:r>
      <w:r w:rsidR="00E525A2" w:rsidRPr="008D7B22">
        <w:t xml:space="preserve"> </w:t>
      </w:r>
      <w:r w:rsidR="00744CCA" w:rsidRPr="008D7B22">
        <w:t>In Ghana,</w:t>
      </w:r>
      <w:r w:rsidR="00870852" w:rsidRPr="008D7B22">
        <w:t xml:space="preserve"> </w:t>
      </w:r>
      <w:r w:rsidR="00C748D8">
        <w:t>ninety-four</w:t>
      </w:r>
      <w:r w:rsidR="00EE63C4" w:rsidRPr="008D7B22">
        <w:t xml:space="preserve"> </w:t>
      </w:r>
      <w:r w:rsidR="00E525A2" w:rsidRPr="008D7B22">
        <w:t xml:space="preserve">living heritage </w:t>
      </w:r>
      <w:r w:rsidR="00EE63C4" w:rsidRPr="008D7B22">
        <w:t xml:space="preserve">elements were inventoried </w:t>
      </w:r>
      <w:r w:rsidR="00390D1E" w:rsidRPr="008D7B22">
        <w:t xml:space="preserve">across </w:t>
      </w:r>
      <w:r w:rsidR="00EE63C4" w:rsidRPr="008D7B22">
        <w:t>eight districts</w:t>
      </w:r>
      <w:r w:rsidR="00390D1E" w:rsidRPr="008D7B22">
        <w:t xml:space="preserve">, alongside the establishment of </w:t>
      </w:r>
      <w:r w:rsidR="00EE63C4" w:rsidRPr="008D7B22">
        <w:t>a database</w:t>
      </w:r>
      <w:r w:rsidR="007D2B49" w:rsidRPr="008D7B22">
        <w:t>.</w:t>
      </w:r>
      <w:r w:rsidR="00390D1E" w:rsidRPr="008D7B22">
        <w:t xml:space="preserve"> </w:t>
      </w:r>
      <w:r w:rsidR="00EE63C4" w:rsidRPr="008D7B22">
        <w:t xml:space="preserve">In </w:t>
      </w:r>
      <w:r w:rsidR="00870852" w:rsidRPr="008D7B22">
        <w:t>Gambia</w:t>
      </w:r>
      <w:r w:rsidR="00BA1979" w:rsidRPr="008D7B22">
        <w:t xml:space="preserve">, </w:t>
      </w:r>
      <w:r w:rsidR="00C748D8">
        <w:t>twenty-four</w:t>
      </w:r>
      <w:r w:rsidR="00EE788E" w:rsidRPr="008D7B22">
        <w:t xml:space="preserve"> elements were inventoried across all regions of the country</w:t>
      </w:r>
      <w:r w:rsidR="00870852" w:rsidRPr="008D7B22">
        <w:t>,</w:t>
      </w:r>
      <w:r w:rsidR="00EE788E" w:rsidRPr="008D7B22">
        <w:t xml:space="preserve"> </w:t>
      </w:r>
      <w:r w:rsidR="001F1482" w:rsidRPr="008D7B22">
        <w:t>resulting in</w:t>
      </w:r>
      <w:r w:rsidR="00744CCA" w:rsidRPr="008D7B22">
        <w:t xml:space="preserve"> </w:t>
      </w:r>
      <w:r w:rsidR="00EE788E" w:rsidRPr="008D7B22">
        <w:t>a national online database</w:t>
      </w:r>
      <w:r w:rsidR="00BD0137" w:rsidRPr="008D7B22">
        <w:t xml:space="preserve">. </w:t>
      </w:r>
      <w:r w:rsidR="003224D4" w:rsidRPr="008D7B22">
        <w:t xml:space="preserve">In Kenya, </w:t>
      </w:r>
      <w:r w:rsidR="00C748D8">
        <w:t>fifty-nine</w:t>
      </w:r>
      <w:r w:rsidR="003224D4" w:rsidRPr="008D7B22">
        <w:t xml:space="preserve"> persons were trained in community-based inventorying, </w:t>
      </w:r>
      <w:r w:rsidR="00F725E2" w:rsidRPr="008D7B22">
        <w:t>including government offic</w:t>
      </w:r>
      <w:r w:rsidR="0097749C" w:rsidRPr="008D7B22">
        <w:t>ials</w:t>
      </w:r>
      <w:r w:rsidR="00F725E2" w:rsidRPr="008D7B22">
        <w:t>, cultural practitioners and community leaders</w:t>
      </w:r>
      <w:r w:rsidR="003224D4" w:rsidRPr="008D7B22">
        <w:t>.</w:t>
      </w:r>
      <w:r w:rsidR="0081257B" w:rsidRPr="008D7B22">
        <w:t xml:space="preserve"> Furthermore, inventories were often seen as tools to leverage the potential of living heritage for community resilience and well-being. In Honduras, a community-based inventorying</w:t>
      </w:r>
      <w:r w:rsidR="00C748D8">
        <w:t xml:space="preserve"> activity carried out</w:t>
      </w:r>
      <w:r w:rsidR="0081257B" w:rsidRPr="008D7B22">
        <w:t xml:space="preserve"> in </w:t>
      </w:r>
      <w:proofErr w:type="spellStart"/>
      <w:r w:rsidR="0081257B" w:rsidRPr="008D7B22">
        <w:t>Yamaranguila</w:t>
      </w:r>
      <w:proofErr w:type="spellEnd"/>
      <w:r w:rsidR="0081257B" w:rsidRPr="008D7B22">
        <w:t xml:space="preserve"> and Santa Cruz del Rosario focused on identifying living heritage elements linked to disaster risk reduction.</w:t>
      </w:r>
    </w:p>
    <w:p w14:paraId="517645D4" w14:textId="13EBE15C" w:rsidR="00116981" w:rsidRPr="008D7B22" w:rsidRDefault="007D2B49" w:rsidP="001E0DC0">
      <w:pPr>
        <w:pStyle w:val="1GAPara"/>
        <w:widowControl w:val="0"/>
        <w:numPr>
          <w:ilvl w:val="0"/>
          <w:numId w:val="0"/>
        </w:numPr>
        <w:spacing w:before="120"/>
        <w:ind w:left="5747" w:hanging="5180"/>
        <w:rPr>
          <w:u w:val="single"/>
        </w:rPr>
      </w:pPr>
      <w:r w:rsidRPr="008D7B22">
        <w:rPr>
          <w:u w:val="single"/>
        </w:rPr>
        <w:t>Enhanced p</w:t>
      </w:r>
      <w:r w:rsidR="00116981" w:rsidRPr="008D7B22">
        <w:rPr>
          <w:u w:val="single"/>
        </w:rPr>
        <w:t>articipation in the Convention’s international cooperation mechanisms</w:t>
      </w:r>
    </w:p>
    <w:p w14:paraId="76ADDC4A" w14:textId="05A4D617" w:rsidR="00A375F3" w:rsidRPr="008D7B22" w:rsidRDefault="00A375F3" w:rsidP="00F7327C">
      <w:pPr>
        <w:pStyle w:val="1GAPara"/>
        <w:widowControl w:val="0"/>
        <w:ind w:left="567" w:hanging="567"/>
        <w:jc w:val="both"/>
      </w:pPr>
      <w:r w:rsidRPr="008D7B22">
        <w:t xml:space="preserve">Voluntary contributions strengthened the engagement of African countries and SIDS in the Convention’s international cooperation mechanisms. </w:t>
      </w:r>
      <w:r w:rsidR="00C47A7A" w:rsidRPr="008D7B22">
        <w:t xml:space="preserve">For instance, an </w:t>
      </w:r>
      <w:r w:rsidR="004F2AA7" w:rsidRPr="008D7B22">
        <w:t xml:space="preserve">intervention made in Ghana </w:t>
      </w:r>
      <w:r w:rsidR="0002505D">
        <w:t>contributed to</w:t>
      </w:r>
      <w:r w:rsidR="00C47A7A" w:rsidRPr="008D7B22">
        <w:t xml:space="preserve"> </w:t>
      </w:r>
      <w:r w:rsidR="004F2AA7" w:rsidRPr="008D7B22">
        <w:t>the country achieving its first inscription</w:t>
      </w:r>
      <w:r w:rsidR="00C47A7A" w:rsidRPr="008D7B22">
        <w:t xml:space="preserve"> on the Representative List of the </w:t>
      </w:r>
      <w:r w:rsidR="00C748D8">
        <w:t>Intangible Cultural Heritage of Humanity</w:t>
      </w:r>
      <w:r w:rsidR="00C47A7A" w:rsidRPr="008D7B22">
        <w:t xml:space="preserve">. Similarly, </w:t>
      </w:r>
      <w:r w:rsidR="00DB02E9" w:rsidRPr="008D7B22">
        <w:t>a</w:t>
      </w:r>
      <w:r w:rsidRPr="008D7B22">
        <w:t xml:space="preserve"> training </w:t>
      </w:r>
      <w:r w:rsidR="00C748D8">
        <w:t>carried out</w:t>
      </w:r>
      <w:r w:rsidR="00C748D8" w:rsidRPr="008D7B22">
        <w:t xml:space="preserve"> </w:t>
      </w:r>
      <w:r w:rsidRPr="008D7B22">
        <w:t xml:space="preserve">in </w:t>
      </w:r>
      <w:r w:rsidR="00715AA3" w:rsidRPr="008D7B22">
        <w:t>nineteen</w:t>
      </w:r>
      <w:r w:rsidRPr="008D7B22">
        <w:t xml:space="preserve"> Caribbean SIDS (</w:t>
      </w:r>
      <w:r w:rsidR="00C748D8">
        <w:t xml:space="preserve">including </w:t>
      </w:r>
      <w:r w:rsidRPr="008D7B22">
        <w:t>Barbados, Belize, Cuba and Haiti) led to the submission of four nominations</w:t>
      </w:r>
      <w:r w:rsidR="00C748D8">
        <w:t xml:space="preserve"> to the </w:t>
      </w:r>
      <w:r w:rsidR="00C0309B">
        <w:t>L</w:t>
      </w:r>
      <w:r w:rsidR="00C748D8">
        <w:t>ists of the Convention</w:t>
      </w:r>
      <w:r w:rsidRPr="008D7B22">
        <w:t>, while also fostering reginal dialogue</w:t>
      </w:r>
      <w:r w:rsidR="00C748D8">
        <w:t xml:space="preserve"> and cooperation</w:t>
      </w:r>
      <w:r w:rsidRPr="008D7B22">
        <w:t>.</w:t>
      </w:r>
      <w:r w:rsidR="00E41D8D" w:rsidRPr="008D7B22">
        <w:t xml:space="preserve"> In parallel, the project</w:t>
      </w:r>
      <w:r w:rsidR="00715AA3" w:rsidRPr="008D7B22">
        <w:t>s</w:t>
      </w:r>
      <w:r w:rsidR="00E41D8D" w:rsidRPr="008D7B22">
        <w:t xml:space="preserve"> </w:t>
      </w:r>
      <w:r w:rsidR="00715AA3" w:rsidRPr="008D7B22">
        <w:t xml:space="preserve">carried out </w:t>
      </w:r>
      <w:r w:rsidR="00E41D8D" w:rsidRPr="008D7B22">
        <w:t xml:space="preserve">in </w:t>
      </w:r>
      <w:r w:rsidR="00715AA3" w:rsidRPr="008D7B22">
        <w:t>Gambia and Tanzania</w:t>
      </w:r>
      <w:r w:rsidR="00E41D8D" w:rsidRPr="008D7B22">
        <w:t xml:space="preserve"> </w:t>
      </w:r>
      <w:r w:rsidR="00715AA3" w:rsidRPr="008D7B22">
        <w:t>hel</w:t>
      </w:r>
      <w:r w:rsidR="00BF09AC" w:rsidRPr="008D7B22">
        <w:t>ped</w:t>
      </w:r>
      <w:r w:rsidR="00715AA3" w:rsidRPr="008D7B22">
        <w:t xml:space="preserve"> </w:t>
      </w:r>
      <w:r w:rsidR="00BF09AC" w:rsidRPr="008D7B22">
        <w:t xml:space="preserve">to </w:t>
      </w:r>
      <w:r w:rsidR="00715AA3" w:rsidRPr="008D7B22">
        <w:t xml:space="preserve">enhance </w:t>
      </w:r>
      <w:r w:rsidR="00E41D8D" w:rsidRPr="008D7B22">
        <w:t>national capacities for requesting International Assistance</w:t>
      </w:r>
      <w:r w:rsidR="00C748D8">
        <w:t>. I</w:t>
      </w:r>
      <w:r w:rsidR="00715AA3" w:rsidRPr="008D7B22">
        <w:t>n both cases the countries were granted assistance from the Intangible Cultural Heritage Fund.</w:t>
      </w:r>
    </w:p>
    <w:p w14:paraId="2E4516E6" w14:textId="2057B596" w:rsidR="002F56DF" w:rsidRPr="008D7B22" w:rsidRDefault="002F56DF" w:rsidP="001E0DC0">
      <w:pPr>
        <w:pStyle w:val="1GAPara"/>
        <w:widowControl w:val="0"/>
        <w:numPr>
          <w:ilvl w:val="0"/>
          <w:numId w:val="0"/>
        </w:numPr>
        <w:spacing w:before="120"/>
        <w:ind w:left="5747" w:hanging="5180"/>
        <w:rPr>
          <w:u w:val="single"/>
        </w:rPr>
      </w:pPr>
      <w:r w:rsidRPr="008D7B22">
        <w:rPr>
          <w:u w:val="single"/>
        </w:rPr>
        <w:t xml:space="preserve">Use of the Overall </w:t>
      </w:r>
      <w:r w:rsidR="00C748D8">
        <w:rPr>
          <w:u w:val="single"/>
        </w:rPr>
        <w:t>R</w:t>
      </w:r>
      <w:r w:rsidRPr="008D7B22">
        <w:rPr>
          <w:u w:val="single"/>
        </w:rPr>
        <w:t xml:space="preserve">esults </w:t>
      </w:r>
      <w:r w:rsidR="00C748D8">
        <w:rPr>
          <w:u w:val="single"/>
        </w:rPr>
        <w:t>F</w:t>
      </w:r>
      <w:r w:rsidRPr="008D7B22">
        <w:rPr>
          <w:u w:val="single"/>
        </w:rPr>
        <w:t>ramework in policy interventions and monitoring</w:t>
      </w:r>
    </w:p>
    <w:p w14:paraId="46A0365F" w14:textId="63B9335F" w:rsidR="00F7327C" w:rsidRPr="008D7B22" w:rsidRDefault="00F7327C" w:rsidP="00F7327C">
      <w:pPr>
        <w:pStyle w:val="1GAPara"/>
        <w:widowControl w:val="0"/>
        <w:ind w:left="567" w:hanging="567"/>
        <w:jc w:val="both"/>
      </w:pPr>
      <w:r w:rsidRPr="008D7B22">
        <w:t xml:space="preserve">Finally, the funding priority has improved the accessibility and use of the Convention’s </w:t>
      </w:r>
      <w:r w:rsidR="00C748D8">
        <w:t>O</w:t>
      </w:r>
      <w:r w:rsidRPr="008D7B22">
        <w:t xml:space="preserve">verall </w:t>
      </w:r>
      <w:r w:rsidR="00C748D8">
        <w:t>R</w:t>
      </w:r>
      <w:r w:rsidRPr="008D7B22">
        <w:t xml:space="preserve">esults </w:t>
      </w:r>
      <w:r w:rsidR="00C748D8">
        <w:t>F</w:t>
      </w:r>
      <w:r w:rsidRPr="008D7B22">
        <w:t xml:space="preserve">ramework. This project led to the development of two key interactive and online tools that strengthen sustained self-learning among diverse stakeholders. The first tool is the online self-paced course ‘The </w:t>
      </w:r>
      <w:r w:rsidR="00C748D8">
        <w:t>O</w:t>
      </w:r>
      <w:r w:rsidRPr="008D7B22">
        <w:t xml:space="preserve">verall </w:t>
      </w:r>
      <w:r w:rsidR="00C748D8">
        <w:t>R</w:t>
      </w:r>
      <w:r w:rsidRPr="008D7B22">
        <w:t xml:space="preserve">esults </w:t>
      </w:r>
      <w:r w:rsidR="00C748D8">
        <w:t>F</w:t>
      </w:r>
      <w:r w:rsidRPr="008D7B22">
        <w:t xml:space="preserve">ramework of the 2003 Convention and its application to results-based project design, implementation and monitoring’, available on the </w:t>
      </w:r>
      <w:hyperlink r:id="rId19" w:history="1">
        <w:r w:rsidRPr="008D7B22">
          <w:rPr>
            <w:rStyle w:val="Hyperlink"/>
          </w:rPr>
          <w:t>Learning Platform</w:t>
        </w:r>
      </w:hyperlink>
      <w:r w:rsidRPr="008D7B22">
        <w:t xml:space="preserve"> for the Safeguarding of Intangible Cultural Heritage </w:t>
      </w:r>
      <w:r w:rsidR="002F0CEB">
        <w:t>.</w:t>
      </w:r>
      <w:r w:rsidRPr="008D7B22">
        <w:t xml:space="preserve"> Launched in April 2025, the course marks progress in expanding pedagogical tools to promote a better understanding of the </w:t>
      </w:r>
      <w:r w:rsidR="00C748D8">
        <w:t>O</w:t>
      </w:r>
      <w:r w:rsidRPr="008D7B22">
        <w:t xml:space="preserve">verall </w:t>
      </w:r>
      <w:r w:rsidR="00C748D8">
        <w:t>R</w:t>
      </w:r>
      <w:r w:rsidRPr="008D7B22">
        <w:t xml:space="preserve">esults </w:t>
      </w:r>
      <w:r w:rsidR="00C748D8">
        <w:t>F</w:t>
      </w:r>
      <w:r w:rsidRPr="008D7B22">
        <w:t>ramework and encourage its application in results-based reporting. Additionally</w:t>
      </w:r>
      <w:r w:rsidR="000C71A6" w:rsidRPr="008D7B22">
        <w:t>,</w:t>
      </w:r>
      <w:r w:rsidRPr="008D7B22">
        <w:t xml:space="preserve"> a practical handbook is under development to support focal points and other stakeholders in conducting periodic reporting</w:t>
      </w:r>
      <w:r w:rsidR="00C748D8">
        <w:t>. T</w:t>
      </w:r>
      <w:r w:rsidRPr="008D7B22">
        <w:t xml:space="preserve">his guide will be finalized in alignment </w:t>
      </w:r>
      <w:r w:rsidR="00C748D8">
        <w:t>with</w:t>
      </w:r>
      <w:r w:rsidRPr="008D7B22">
        <w:t xml:space="preserve"> the move of the reporting exercise to </w:t>
      </w:r>
      <w:r w:rsidR="00C748D8">
        <w:t>a</w:t>
      </w:r>
      <w:r w:rsidR="00C748D8" w:rsidRPr="008D7B22">
        <w:t xml:space="preserve"> </w:t>
      </w:r>
      <w:r w:rsidRPr="008D7B22">
        <w:t>single global submission system.</w:t>
      </w:r>
    </w:p>
    <w:p w14:paraId="401B1346" w14:textId="6ACE9340" w:rsidR="002F56DF" w:rsidRPr="008D7B22" w:rsidRDefault="002F56DF" w:rsidP="001E0DC0">
      <w:pPr>
        <w:pStyle w:val="1GAPara"/>
        <w:widowControl w:val="0"/>
        <w:numPr>
          <w:ilvl w:val="0"/>
          <w:numId w:val="0"/>
        </w:numPr>
        <w:spacing w:before="120"/>
        <w:ind w:left="5747" w:hanging="5180"/>
        <w:rPr>
          <w:u w:val="single"/>
        </w:rPr>
      </w:pPr>
      <w:r w:rsidRPr="008D7B22">
        <w:rPr>
          <w:u w:val="single"/>
        </w:rPr>
        <w:t xml:space="preserve">Other relevant achievements of the </w:t>
      </w:r>
      <w:r w:rsidR="00BE5B24">
        <w:rPr>
          <w:u w:val="single"/>
        </w:rPr>
        <w:t>g</w:t>
      </w:r>
      <w:r w:rsidRPr="008D7B22">
        <w:rPr>
          <w:u w:val="single"/>
        </w:rPr>
        <w:t>lobal capacity</w:t>
      </w:r>
      <w:r w:rsidR="00BE5B24">
        <w:rPr>
          <w:u w:val="single"/>
        </w:rPr>
        <w:t>-</w:t>
      </w:r>
      <w:r w:rsidRPr="008D7B22">
        <w:rPr>
          <w:u w:val="single"/>
        </w:rPr>
        <w:t>building programme</w:t>
      </w:r>
    </w:p>
    <w:p w14:paraId="495D4AD7" w14:textId="2BB42C32" w:rsidR="002F56DF" w:rsidRPr="008D7B22" w:rsidRDefault="002F56DF" w:rsidP="001E0DC0">
      <w:pPr>
        <w:pStyle w:val="1GAPara"/>
        <w:widowControl w:val="0"/>
        <w:ind w:left="567" w:hanging="567"/>
        <w:jc w:val="both"/>
      </w:pPr>
      <w:r w:rsidRPr="008D7B22">
        <w:t>During the second quadrennium, the programme adopted a strategic reorientation to develop new delivery formats – hybrid, online</w:t>
      </w:r>
      <w:r w:rsidR="00C0309B">
        <w:t xml:space="preserve"> and</w:t>
      </w:r>
      <w:r w:rsidRPr="008D7B22">
        <w:t xml:space="preserve"> in</w:t>
      </w:r>
      <w:r w:rsidR="00C0309B">
        <w:t xml:space="preserve"> </w:t>
      </w:r>
      <w:r w:rsidRPr="008D7B22">
        <w:t xml:space="preserve">person – broadening reach to diverse audiences and actors engaged in </w:t>
      </w:r>
      <w:r w:rsidR="00C0309B">
        <w:t xml:space="preserve">living </w:t>
      </w:r>
      <w:r w:rsidRPr="008D7B22">
        <w:t>heritage and sustainable development. This reorientation incorporated lessons learn</w:t>
      </w:r>
      <w:r w:rsidR="00C0309B">
        <w:t>ed</w:t>
      </w:r>
      <w:r w:rsidRPr="008D7B22">
        <w:t xml:space="preserve"> from the COVID-19 pandemic and introduced new intervention areas addressing contexts of emergencies, education, gender and sustainable development. Significant efforts were deployed to strengthen capacities for periodic reporting, in line with Recommendation n°9 of the 2021 </w:t>
      </w:r>
      <w:r w:rsidR="00001E77">
        <w:t>e</w:t>
      </w:r>
      <w:r w:rsidR="00001E77" w:rsidRPr="008D7B22">
        <w:t>valuation</w:t>
      </w:r>
      <w:r w:rsidR="00001E77">
        <w:t xml:space="preserve"> of the Internal Oversight Service</w:t>
      </w:r>
      <w:r w:rsidRPr="008D7B22">
        <w:t xml:space="preserve">. A multi-modal delivery approach, with online and in-person training, was applied to increase the reach and effectiveness of the activities (see </w:t>
      </w:r>
      <w:r w:rsidR="00D86E1C" w:rsidRPr="00B4216E">
        <w:t xml:space="preserve">document </w:t>
      </w:r>
      <w:hyperlink r:id="rId20" w:history="1">
        <w:r w:rsidRPr="00B4216E">
          <w:rPr>
            <w:rStyle w:val="Hyperlink"/>
          </w:rPr>
          <w:t>LHE/25/20.COM/6.c</w:t>
        </w:r>
      </w:hyperlink>
      <w:r w:rsidRPr="008D7B22">
        <w:t xml:space="preserve">). As a result, focal points and national stakeholders significantly strengthened their capacities to engage with the Convention’s periodic reporting mechanism. The process demonstrated the potential of the reporting tool as an instrument for results-based monitoring, closely aligned with the Overall </w:t>
      </w:r>
      <w:r w:rsidR="00C0309B">
        <w:t>R</w:t>
      </w:r>
      <w:r w:rsidRPr="008D7B22">
        <w:t xml:space="preserve">esults </w:t>
      </w:r>
      <w:r w:rsidR="00C0309B">
        <w:t>F</w:t>
      </w:r>
      <w:r w:rsidRPr="008D7B22">
        <w:t xml:space="preserve">ramework. It also enabled focal points to use the periodic reporting exercise to reinforce cross-sectoral synergies and promote inter-institutional cooperation at </w:t>
      </w:r>
      <w:r w:rsidR="00C0309B">
        <w:t xml:space="preserve">the </w:t>
      </w:r>
      <w:r w:rsidRPr="008D7B22">
        <w:t>national level.</w:t>
      </w:r>
    </w:p>
    <w:p w14:paraId="6B267B5E" w14:textId="0B09D6FB" w:rsidR="00C11AB2" w:rsidRPr="008D7B22" w:rsidRDefault="00464BF9" w:rsidP="008310C1">
      <w:pPr>
        <w:pStyle w:val="1GAPara"/>
        <w:keepNext/>
        <w:numPr>
          <w:ilvl w:val="0"/>
          <w:numId w:val="0"/>
        </w:numPr>
        <w:spacing w:before="240"/>
        <w:ind w:left="567"/>
        <w:jc w:val="both"/>
        <w:rPr>
          <w:b/>
          <w:bCs/>
        </w:rPr>
      </w:pPr>
      <w:r w:rsidRPr="008D7B22">
        <w:rPr>
          <w:b/>
          <w:bCs/>
        </w:rPr>
        <w:t>Lessons learn</w:t>
      </w:r>
      <w:r w:rsidR="00C0309B">
        <w:rPr>
          <w:b/>
          <w:bCs/>
        </w:rPr>
        <w:t>ed</w:t>
      </w:r>
      <w:r w:rsidRPr="008D7B22">
        <w:rPr>
          <w:b/>
          <w:bCs/>
        </w:rPr>
        <w:t xml:space="preserve"> </w:t>
      </w:r>
      <w:r w:rsidR="00E66F72" w:rsidRPr="008D7B22">
        <w:rPr>
          <w:b/>
          <w:bCs/>
        </w:rPr>
        <w:t xml:space="preserve">during </w:t>
      </w:r>
      <w:r w:rsidRPr="008D7B22">
        <w:rPr>
          <w:b/>
          <w:bCs/>
        </w:rPr>
        <w:t>the quadrennium</w:t>
      </w:r>
    </w:p>
    <w:p w14:paraId="4EBFF6DD" w14:textId="69BB2D0B" w:rsidR="00464BF9" w:rsidRPr="008D7B22" w:rsidRDefault="00464BF9" w:rsidP="008310C1">
      <w:pPr>
        <w:pStyle w:val="1GAPara"/>
        <w:keepNext/>
        <w:ind w:left="567" w:hanging="567"/>
        <w:jc w:val="both"/>
      </w:pPr>
      <w:bookmarkStart w:id="1" w:name="_Hlk209339347"/>
      <w:r w:rsidRPr="008D7B22">
        <w:t xml:space="preserve">The </w:t>
      </w:r>
      <w:r w:rsidR="006040F0" w:rsidRPr="008D7B22">
        <w:t>lessons learn</w:t>
      </w:r>
      <w:r w:rsidR="00C0309B">
        <w:t>ed</w:t>
      </w:r>
      <w:r w:rsidR="006040F0" w:rsidRPr="008D7B22">
        <w:t xml:space="preserve"> </w:t>
      </w:r>
      <w:r w:rsidR="00C4550D" w:rsidRPr="008D7B22">
        <w:t>under</w:t>
      </w:r>
      <w:r w:rsidRPr="008D7B22">
        <w:t xml:space="preserve"> the </w:t>
      </w:r>
      <w:r w:rsidR="00C4550D" w:rsidRPr="008D7B22">
        <w:t xml:space="preserve">current </w:t>
      </w:r>
      <w:r w:rsidRPr="008D7B22">
        <w:t xml:space="preserve">funding priority </w:t>
      </w:r>
      <w:r w:rsidR="006040F0" w:rsidRPr="008D7B22">
        <w:t>provide valuable guidance to inform</w:t>
      </w:r>
      <w:r w:rsidRPr="008D7B22">
        <w:t xml:space="preserve"> the </w:t>
      </w:r>
      <w:r w:rsidR="006C23A1" w:rsidRPr="008D7B22">
        <w:t xml:space="preserve">strategic direction of the global </w:t>
      </w:r>
      <w:r w:rsidRPr="008D7B22">
        <w:t>capacity</w:t>
      </w:r>
      <w:r w:rsidR="006C23A1" w:rsidRPr="008D7B22">
        <w:t>-</w:t>
      </w:r>
      <w:r w:rsidRPr="008D7B22">
        <w:t>building programme</w:t>
      </w:r>
      <w:r w:rsidR="006C23A1" w:rsidRPr="008D7B22">
        <w:t xml:space="preserve"> </w:t>
      </w:r>
      <w:r w:rsidR="006040F0" w:rsidRPr="008D7B22">
        <w:t xml:space="preserve">in general, and the funding priorities in particular, </w:t>
      </w:r>
      <w:r w:rsidR="006C23A1" w:rsidRPr="008D7B22">
        <w:t xml:space="preserve">in </w:t>
      </w:r>
      <w:r w:rsidRPr="008D7B22">
        <w:t xml:space="preserve">the </w:t>
      </w:r>
      <w:r w:rsidR="006040F0" w:rsidRPr="008D7B22">
        <w:t>next</w:t>
      </w:r>
      <w:r w:rsidR="003741F2" w:rsidRPr="008D7B22">
        <w:t xml:space="preserve"> quadrennium</w:t>
      </w:r>
      <w:r w:rsidR="00FD056A" w:rsidRPr="008D7B22">
        <w:t>:</w:t>
      </w:r>
    </w:p>
    <w:p w14:paraId="67CC6E0D" w14:textId="6D281C90" w:rsidR="00461F11" w:rsidRPr="008D7B22" w:rsidRDefault="00EC1CE2" w:rsidP="001E0DC0">
      <w:pPr>
        <w:pStyle w:val="1GAPara"/>
        <w:numPr>
          <w:ilvl w:val="0"/>
          <w:numId w:val="43"/>
        </w:numPr>
        <w:jc w:val="both"/>
      </w:pPr>
      <w:bookmarkStart w:id="2" w:name="_Hlk209341149"/>
      <w:bookmarkEnd w:id="1"/>
      <w:r w:rsidRPr="008D7B22">
        <w:rPr>
          <w:b/>
          <w:bCs/>
        </w:rPr>
        <w:t>Regional capacity</w:t>
      </w:r>
      <w:r w:rsidR="00C0309B">
        <w:rPr>
          <w:b/>
          <w:bCs/>
        </w:rPr>
        <w:t>-</w:t>
      </w:r>
      <w:r w:rsidRPr="008D7B22">
        <w:rPr>
          <w:b/>
          <w:bCs/>
        </w:rPr>
        <w:t xml:space="preserve">building on international mechanisms can </w:t>
      </w:r>
      <w:r w:rsidR="00461F11" w:rsidRPr="008D7B22">
        <w:rPr>
          <w:b/>
          <w:bCs/>
        </w:rPr>
        <w:t>strengthen</w:t>
      </w:r>
      <w:r w:rsidRPr="008D7B22">
        <w:rPr>
          <w:b/>
          <w:bCs/>
        </w:rPr>
        <w:t xml:space="preserve"> </w:t>
      </w:r>
      <w:r w:rsidR="00C0309B">
        <w:rPr>
          <w:b/>
          <w:bCs/>
        </w:rPr>
        <w:t xml:space="preserve">the engagement of </w:t>
      </w:r>
      <w:r w:rsidRPr="008D7B22">
        <w:rPr>
          <w:b/>
          <w:bCs/>
        </w:rPr>
        <w:t>States</w:t>
      </w:r>
      <w:r w:rsidR="00461F11" w:rsidRPr="008D7B22">
        <w:rPr>
          <w:b/>
          <w:bCs/>
        </w:rPr>
        <w:t xml:space="preserve"> Parties</w:t>
      </w:r>
      <w:r w:rsidRPr="008D7B22">
        <w:rPr>
          <w:b/>
          <w:bCs/>
        </w:rPr>
        <w:t xml:space="preserve"> with the Convention’s core processes</w:t>
      </w:r>
      <w:r w:rsidRPr="001D5E33">
        <w:rPr>
          <w:b/>
          <w:bCs/>
        </w:rPr>
        <w:t>.</w:t>
      </w:r>
      <w:r w:rsidRPr="008D7B22">
        <w:t xml:space="preserve"> </w:t>
      </w:r>
      <w:r w:rsidR="00C0309B">
        <w:t>The</w:t>
      </w:r>
      <w:r w:rsidRPr="008D7B22">
        <w:t xml:space="preserve"> pioneering regional initiative targeting Caribbean SIDS demonstrated how context-specific capacity</w:t>
      </w:r>
      <w:r w:rsidR="00C0309B">
        <w:t>-</w:t>
      </w:r>
      <w:r w:rsidRPr="008D7B22">
        <w:t xml:space="preserve">building on the Convention’s listing mechanisms </w:t>
      </w:r>
      <w:r w:rsidR="00412375" w:rsidRPr="008D7B22">
        <w:t xml:space="preserve">can </w:t>
      </w:r>
      <w:r w:rsidRPr="008D7B22">
        <w:t>effectively enhanc</w:t>
      </w:r>
      <w:r w:rsidR="00412375" w:rsidRPr="008D7B22">
        <w:t>e</w:t>
      </w:r>
      <w:r w:rsidRPr="008D7B22">
        <w:t xml:space="preserve"> </w:t>
      </w:r>
      <w:r w:rsidR="00461F11" w:rsidRPr="008D7B22">
        <w:t xml:space="preserve">the capacities of </w:t>
      </w:r>
      <w:r w:rsidRPr="008D7B22">
        <w:t>States</w:t>
      </w:r>
      <w:r w:rsidR="00461F11" w:rsidRPr="008D7B22">
        <w:t xml:space="preserve"> Parties</w:t>
      </w:r>
      <w:r w:rsidRPr="008D7B22">
        <w:t xml:space="preserve"> to prepare nominations, </w:t>
      </w:r>
      <w:r w:rsidR="00461F11" w:rsidRPr="008D7B22">
        <w:t>considering some of the</w:t>
      </w:r>
      <w:r w:rsidRPr="008D7B22">
        <w:t xml:space="preserve"> </w:t>
      </w:r>
      <w:r w:rsidR="00412375" w:rsidRPr="008D7B22">
        <w:t xml:space="preserve">key </w:t>
      </w:r>
      <w:r w:rsidRPr="008D7B22">
        <w:t>changes introduced after the global reflection on the listing mechanism</w:t>
      </w:r>
      <w:r w:rsidR="00412375" w:rsidRPr="008D7B22">
        <w:t>s</w:t>
      </w:r>
      <w:r w:rsidR="00210B53" w:rsidRPr="008D7B22">
        <w:t xml:space="preserve"> (2018</w:t>
      </w:r>
      <w:r w:rsidR="0041482A">
        <w:t>-</w:t>
      </w:r>
      <w:r w:rsidR="00210B53" w:rsidRPr="008D7B22">
        <w:t>2022)</w:t>
      </w:r>
      <w:r w:rsidRPr="008D7B22">
        <w:t xml:space="preserve">. This approach not only increased the number of nominations under preparation or already submitted </w:t>
      </w:r>
      <w:r w:rsidR="00461F11" w:rsidRPr="008D7B22">
        <w:t>by</w:t>
      </w:r>
      <w:r w:rsidRPr="008D7B22">
        <w:t xml:space="preserve"> these States </w:t>
      </w:r>
      <w:r w:rsidR="00001E77" w:rsidRPr="008D7B22">
        <w:t>Parties</w:t>
      </w:r>
      <w:r w:rsidR="00001E77">
        <w:t xml:space="preserve"> but</w:t>
      </w:r>
      <w:r w:rsidRPr="008D7B22">
        <w:t xml:space="preserve"> also fostered greater understanding and ownership of the Convention’s safeguarding and cooperation frameworks. The project further promoted regional peer learning, collaboration and exchange, establishing a replicable model for supporting other regions and thematic priorities. The </w:t>
      </w:r>
      <w:r w:rsidR="00C0309B">
        <w:t>relevance</w:t>
      </w:r>
      <w:r w:rsidR="00C0309B" w:rsidRPr="008D7B22">
        <w:t xml:space="preserve"> </w:t>
      </w:r>
      <w:r w:rsidR="00461F11" w:rsidRPr="008D7B22">
        <w:t xml:space="preserve">of this initiative </w:t>
      </w:r>
      <w:r w:rsidRPr="008D7B22">
        <w:t xml:space="preserve">underscores the value of regional modalities in complementing national and global efforts, </w:t>
      </w:r>
      <w:r w:rsidR="00461F11" w:rsidRPr="008D7B22">
        <w:t>particularly</w:t>
      </w:r>
      <w:r w:rsidRPr="008D7B22">
        <w:t xml:space="preserve"> for States </w:t>
      </w:r>
      <w:r w:rsidR="00461F11" w:rsidRPr="008D7B22">
        <w:t xml:space="preserve">Parties </w:t>
      </w:r>
      <w:r w:rsidRPr="008D7B22">
        <w:t>with shared contexts and challenges.</w:t>
      </w:r>
    </w:p>
    <w:bookmarkEnd w:id="2"/>
    <w:p w14:paraId="0A1E8B46" w14:textId="4C47BAC7" w:rsidR="00461F11" w:rsidRPr="008D7B22" w:rsidRDefault="00B25DFA" w:rsidP="001E0DC0">
      <w:pPr>
        <w:pStyle w:val="1GAPara"/>
        <w:numPr>
          <w:ilvl w:val="0"/>
          <w:numId w:val="43"/>
        </w:numPr>
        <w:jc w:val="both"/>
      </w:pPr>
      <w:r w:rsidRPr="008D7B22">
        <w:rPr>
          <w:b/>
          <w:bCs/>
        </w:rPr>
        <w:t xml:space="preserve">The multi-year capacity-building approach </w:t>
      </w:r>
      <w:r w:rsidR="00461F11" w:rsidRPr="008D7B22">
        <w:rPr>
          <w:b/>
          <w:bCs/>
        </w:rPr>
        <w:t xml:space="preserve">continues to demonstrate its relevance in strengthening </w:t>
      </w:r>
      <w:r w:rsidRPr="008D7B22">
        <w:rPr>
          <w:b/>
          <w:bCs/>
        </w:rPr>
        <w:t xml:space="preserve">safeguarding </w:t>
      </w:r>
      <w:r w:rsidR="00461F11" w:rsidRPr="008D7B22">
        <w:rPr>
          <w:b/>
          <w:bCs/>
        </w:rPr>
        <w:t>frameworks at the national level</w:t>
      </w:r>
      <w:r w:rsidR="00461F11" w:rsidRPr="001D5E33">
        <w:rPr>
          <w:b/>
          <w:bCs/>
        </w:rPr>
        <w:t xml:space="preserve">. </w:t>
      </w:r>
      <w:r w:rsidR="00461F11" w:rsidRPr="008D7B22">
        <w:t>Sustained support has enabled beneficiary States to establish or reinforce robust inventorying and safeguarding mechanism</w:t>
      </w:r>
      <w:r w:rsidR="00152E75" w:rsidRPr="008D7B22">
        <w:t>s</w:t>
      </w:r>
      <w:r w:rsidR="00461F11" w:rsidRPr="008D7B22">
        <w:t xml:space="preserve"> and </w:t>
      </w:r>
      <w:r w:rsidR="00C0309B">
        <w:t xml:space="preserve">contributed to </w:t>
      </w:r>
      <w:r w:rsidR="00461F11" w:rsidRPr="008D7B22">
        <w:t>a conducive policy environment</w:t>
      </w:r>
      <w:r w:rsidR="005D22F5" w:rsidRPr="008D7B22">
        <w:t>, the</w:t>
      </w:r>
      <w:r w:rsidR="00461F11" w:rsidRPr="008D7B22">
        <w:t>reby generating significant</w:t>
      </w:r>
      <w:r w:rsidR="005D22F5" w:rsidRPr="008D7B22">
        <w:t xml:space="preserve"> momentum</w:t>
      </w:r>
      <w:r w:rsidR="00C0309B">
        <w:t xml:space="preserve"> towards living heritage safeguarding</w:t>
      </w:r>
      <w:r w:rsidR="00461F11" w:rsidRPr="008D7B22">
        <w:t>. This has resulted in strengthened count</w:t>
      </w:r>
      <w:r w:rsidR="007659DB" w:rsidRPr="008D7B22">
        <w:t>r</w:t>
      </w:r>
      <w:r w:rsidR="00461F11" w:rsidRPr="008D7B22">
        <w:t>y-level safeguarding mechanisms</w:t>
      </w:r>
      <w:r w:rsidR="00152E75" w:rsidRPr="008D7B22">
        <w:t xml:space="preserve">, alongside increased engagement in international cooperation processes, including </w:t>
      </w:r>
      <w:r w:rsidR="00DF3FB7" w:rsidRPr="008D7B22">
        <w:t xml:space="preserve">requests for </w:t>
      </w:r>
      <w:r w:rsidR="00E01D92" w:rsidRPr="008D7B22">
        <w:t>I</w:t>
      </w:r>
      <w:r w:rsidR="005D22F5" w:rsidRPr="008D7B22">
        <w:t xml:space="preserve">nternational </w:t>
      </w:r>
      <w:r w:rsidR="00E01D92" w:rsidRPr="008D7B22">
        <w:t>A</w:t>
      </w:r>
      <w:r w:rsidR="005D22F5" w:rsidRPr="008D7B22">
        <w:t>ssistance</w:t>
      </w:r>
      <w:r w:rsidR="00DF3FB7" w:rsidRPr="008D7B22">
        <w:t xml:space="preserve"> through the Intangible Cultural Heritage Fund</w:t>
      </w:r>
      <w:r w:rsidR="00CD4F89" w:rsidRPr="008D7B22">
        <w:t xml:space="preserve"> and </w:t>
      </w:r>
      <w:r w:rsidR="005D22F5" w:rsidRPr="008D7B22">
        <w:t xml:space="preserve">the preparation of nominations to the </w:t>
      </w:r>
      <w:r w:rsidR="00CD4F89" w:rsidRPr="008D7B22">
        <w:t xml:space="preserve">Convention’s </w:t>
      </w:r>
      <w:r w:rsidR="005D22F5" w:rsidRPr="008D7B22">
        <w:t>Lists and Register</w:t>
      </w:r>
      <w:r w:rsidR="00152E75" w:rsidRPr="008D7B22">
        <w:t xml:space="preserve">. Furthermore, the approach has facilitated institutional ownership and the development of local expertise, notably through the establishment of national networks of experts and trainers. By promoting the integration of intangible cultural heritage safeguarding within broader national development strategies, this approach </w:t>
      </w:r>
      <w:r w:rsidR="00C0309B">
        <w:t xml:space="preserve">has </w:t>
      </w:r>
      <w:r w:rsidR="00152E75" w:rsidRPr="008D7B22">
        <w:t>contributed to sustainable safeguarding efforts.</w:t>
      </w:r>
    </w:p>
    <w:p w14:paraId="7B529C60" w14:textId="608FCCFB" w:rsidR="00FC1A3A" w:rsidRPr="008D7B22" w:rsidRDefault="00FC1A3A" w:rsidP="001E0DC0">
      <w:pPr>
        <w:pStyle w:val="1GAPara"/>
        <w:numPr>
          <w:ilvl w:val="0"/>
          <w:numId w:val="43"/>
        </w:numPr>
        <w:jc w:val="both"/>
      </w:pPr>
      <w:r w:rsidRPr="008D7B22">
        <w:rPr>
          <w:b/>
          <w:bCs/>
        </w:rPr>
        <w:t xml:space="preserve">Earmarked voluntary contributions enable the development of new </w:t>
      </w:r>
      <w:r w:rsidR="00BC49CC" w:rsidRPr="008D7B22">
        <w:rPr>
          <w:b/>
          <w:bCs/>
        </w:rPr>
        <w:t>intervention areas</w:t>
      </w:r>
      <w:r w:rsidRPr="008D7B22">
        <w:rPr>
          <w:b/>
          <w:bCs/>
        </w:rPr>
        <w:t xml:space="preserve">, </w:t>
      </w:r>
      <w:r w:rsidRPr="008D7B22">
        <w:t xml:space="preserve">addressing emerging challenges of safeguarding intangible cultural heritage under the Convention. The </w:t>
      </w:r>
      <w:r w:rsidR="00BC49CC" w:rsidRPr="008D7B22">
        <w:t>capacity-building a</w:t>
      </w:r>
      <w:r w:rsidRPr="008D7B22">
        <w:t xml:space="preserve">pproaches have focused on priority areas, notably safeguarding living heritage in contexts of disaster risk reduction and conflict-related situations, including forced displacement. Engagement was sought with new audiences and stakeholders beyond the culture sector. </w:t>
      </w:r>
      <w:r w:rsidR="00E12D0F" w:rsidRPr="008D7B22">
        <w:t>While t</w:t>
      </w:r>
      <w:r w:rsidR="00153841" w:rsidRPr="008D7B22">
        <w:t xml:space="preserve">he </w:t>
      </w:r>
      <w:r w:rsidR="005E4F7B">
        <w:t>new</w:t>
      </w:r>
      <w:r w:rsidR="005E4F7B" w:rsidRPr="008D7B22">
        <w:t xml:space="preserve"> </w:t>
      </w:r>
      <w:r w:rsidR="00153841" w:rsidRPr="008D7B22">
        <w:t>topic required careful consideration when establishing methodologies over a sustained period</w:t>
      </w:r>
      <w:r w:rsidR="005E4F7B">
        <w:t xml:space="preserve"> of</w:t>
      </w:r>
      <w:r w:rsidR="00153841" w:rsidRPr="008D7B22">
        <w:t xml:space="preserve"> time, a</w:t>
      </w:r>
      <w:r w:rsidRPr="008D7B22">
        <w:t xml:space="preserve"> phased approach allowed the development of capacity-building materials, training for experts and facilitators, and the implementation of pilot activities at the country level.</w:t>
      </w:r>
    </w:p>
    <w:p w14:paraId="49A5DBF9" w14:textId="2F9FFF5D" w:rsidR="00DB71FE" w:rsidRPr="008D7B22" w:rsidRDefault="00245B51" w:rsidP="001E0DC0">
      <w:pPr>
        <w:pStyle w:val="1GAPara"/>
        <w:numPr>
          <w:ilvl w:val="0"/>
          <w:numId w:val="43"/>
        </w:numPr>
        <w:jc w:val="both"/>
      </w:pPr>
      <w:r w:rsidRPr="008D7B22">
        <w:t>While voluntary supplementary contributions have led to many positive outcomes, a discrepancy remains between the high expectations linked to the first funding priority and the limited number and scale of contributions received. This situation, combined with the need to address a wide range of intervention area</w:t>
      </w:r>
      <w:r w:rsidR="005E4F7B">
        <w:t>s</w:t>
      </w:r>
      <w:r w:rsidRPr="008D7B22">
        <w:t xml:space="preserve"> across diverse contexts, has resulted in extended implementation timelines. </w:t>
      </w:r>
      <w:r w:rsidRPr="008D7B22">
        <w:rPr>
          <w:b/>
          <w:bCs/>
        </w:rPr>
        <w:t xml:space="preserve">Looking ahead, it is essential to clarify which priority areas under the Convention would benefit most from </w:t>
      </w:r>
      <w:r w:rsidR="00563F21" w:rsidRPr="008D7B22">
        <w:rPr>
          <w:b/>
          <w:bCs/>
        </w:rPr>
        <w:t>earmarked voluntary contributions,</w:t>
      </w:r>
      <w:r w:rsidR="00563F21" w:rsidRPr="008D7B22">
        <w:t xml:space="preserve"> </w:t>
      </w:r>
      <w:r w:rsidRPr="008D7B22">
        <w:t xml:space="preserve">while recognizing that other funding modalities – such as the International Assistance </w:t>
      </w:r>
      <w:r w:rsidR="005E4F7B">
        <w:t>P</w:t>
      </w:r>
      <w:r w:rsidRPr="008D7B22">
        <w:t xml:space="preserve">ortfolio of the Intangible Cultural Heritage, Funds-in-Trust cooperation, </w:t>
      </w:r>
      <w:r w:rsidR="005E4F7B">
        <w:t xml:space="preserve">and </w:t>
      </w:r>
      <w:r w:rsidRPr="008D7B22">
        <w:t xml:space="preserve">additional contributions to </w:t>
      </w:r>
      <w:r w:rsidR="005E4F7B">
        <w:t>r</w:t>
      </w:r>
      <w:r w:rsidRPr="008D7B22">
        <w:t xml:space="preserve">egular </w:t>
      </w:r>
      <w:r w:rsidR="005E4F7B">
        <w:t>p</w:t>
      </w:r>
      <w:r w:rsidRPr="008D7B22">
        <w:t xml:space="preserve">rogrammes – also support the development of the Convention. In this regard, a set of proposals for the next funding priorities is submitted for consideration by the Committee at its present session </w:t>
      </w:r>
      <w:r w:rsidR="004F2B78" w:rsidRPr="008D7B22">
        <w:t>(</w:t>
      </w:r>
      <w:r w:rsidR="004F2B78" w:rsidRPr="00B4216E">
        <w:t xml:space="preserve">document </w:t>
      </w:r>
      <w:hyperlink r:id="rId21" w:history="1">
        <w:r w:rsidR="004F2B78" w:rsidRPr="00B4216E">
          <w:rPr>
            <w:rStyle w:val="Hyperlink"/>
          </w:rPr>
          <w:t>LHE/25/20.COM/</w:t>
        </w:r>
        <w:r w:rsidRPr="00B4216E">
          <w:rPr>
            <w:rStyle w:val="Hyperlink"/>
          </w:rPr>
          <w:t>1</w:t>
        </w:r>
        <w:r w:rsidR="004F2B78" w:rsidRPr="00B4216E">
          <w:rPr>
            <w:rStyle w:val="Hyperlink"/>
          </w:rPr>
          <w:t>3</w:t>
        </w:r>
      </w:hyperlink>
      <w:r w:rsidR="004F2B78" w:rsidRPr="008D7B22">
        <w:t>).</w:t>
      </w:r>
    </w:p>
    <w:bookmarkEnd w:id="0"/>
    <w:p w14:paraId="78C4339F" w14:textId="335AF15B" w:rsidR="00C11AB2" w:rsidRPr="008D7B22" w:rsidRDefault="00C11AB2" w:rsidP="00181413">
      <w:pPr>
        <w:pStyle w:val="1GAPara"/>
        <w:numPr>
          <w:ilvl w:val="0"/>
          <w:numId w:val="0"/>
        </w:numPr>
        <w:ind w:left="5747" w:hanging="360"/>
        <w:jc w:val="both"/>
      </w:pPr>
    </w:p>
    <w:sectPr w:rsidR="00C11AB2" w:rsidRPr="008D7B22" w:rsidSect="002938F2">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5B11" w14:textId="77777777" w:rsidR="00483713" w:rsidRDefault="00483713" w:rsidP="002938F2">
      <w:r>
        <w:separator/>
      </w:r>
    </w:p>
    <w:p w14:paraId="0C70A0DA" w14:textId="77777777" w:rsidR="00483713" w:rsidRDefault="00483713"/>
  </w:endnote>
  <w:endnote w:type="continuationSeparator" w:id="0">
    <w:p w14:paraId="01685B0E" w14:textId="77777777" w:rsidR="00483713" w:rsidRDefault="00483713" w:rsidP="002938F2">
      <w:r>
        <w:continuationSeparator/>
      </w:r>
    </w:p>
    <w:p w14:paraId="1B79EB4D" w14:textId="77777777" w:rsidR="00483713" w:rsidRDefault="0048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D0AC" w14:textId="77777777" w:rsidR="00483713" w:rsidRDefault="00483713" w:rsidP="002938F2">
      <w:r>
        <w:separator/>
      </w:r>
    </w:p>
  </w:footnote>
  <w:footnote w:type="continuationSeparator" w:id="0">
    <w:p w14:paraId="58C599EA" w14:textId="77777777" w:rsidR="00483713" w:rsidRDefault="00483713" w:rsidP="002938F2">
      <w:r>
        <w:continuationSeparator/>
      </w:r>
    </w:p>
    <w:p w14:paraId="2FAE8AF0" w14:textId="77777777" w:rsidR="00483713" w:rsidRDefault="00483713"/>
  </w:footnote>
  <w:footnote w:id="1">
    <w:p w14:paraId="57EA1A0A" w14:textId="36DCA52B" w:rsidR="00EF3A9F" w:rsidRPr="001E0DC0" w:rsidRDefault="00EF3A9F" w:rsidP="001E0DC0">
      <w:pPr>
        <w:pStyle w:val="1GAPara"/>
        <w:numPr>
          <w:ilvl w:val="0"/>
          <w:numId w:val="0"/>
        </w:numPr>
        <w:jc w:val="both"/>
        <w:rPr>
          <w:sz w:val="18"/>
          <w:szCs w:val="18"/>
        </w:rPr>
      </w:pPr>
      <w:r>
        <w:rPr>
          <w:rStyle w:val="FootnoteReference"/>
        </w:rPr>
        <w:footnoteRef/>
      </w:r>
      <w:r>
        <w:t xml:space="preserve"> </w:t>
      </w:r>
      <w:r w:rsidRPr="001E0DC0">
        <w:rPr>
          <w:sz w:val="18"/>
          <w:szCs w:val="18"/>
        </w:rPr>
        <w:t>Key achievements in the first decade include</w:t>
      </w:r>
      <w:r w:rsidR="00D80EF2">
        <w:rPr>
          <w:sz w:val="18"/>
          <w:szCs w:val="18"/>
        </w:rPr>
        <w:t>: (a)</w:t>
      </w:r>
      <w:r w:rsidRPr="001E0DC0">
        <w:rPr>
          <w:sz w:val="18"/>
          <w:szCs w:val="18"/>
        </w:rPr>
        <w:t xml:space="preserve"> developing capacity</w:t>
      </w:r>
      <w:r w:rsidR="008D7B22">
        <w:rPr>
          <w:sz w:val="18"/>
          <w:szCs w:val="18"/>
        </w:rPr>
        <w:t>-</w:t>
      </w:r>
      <w:r w:rsidRPr="001E0DC0">
        <w:rPr>
          <w:sz w:val="18"/>
          <w:szCs w:val="18"/>
        </w:rPr>
        <w:t xml:space="preserve">building materials on core topics such as the implementation of the Convention at the national level, policy and legal frameworks, community-based inventorying, and safeguarding plans; </w:t>
      </w:r>
      <w:r w:rsidR="00D80EF2">
        <w:rPr>
          <w:sz w:val="18"/>
          <w:szCs w:val="18"/>
        </w:rPr>
        <w:t xml:space="preserve">(b) </w:t>
      </w:r>
      <w:r w:rsidRPr="001E0DC0">
        <w:rPr>
          <w:sz w:val="18"/>
          <w:szCs w:val="18"/>
        </w:rPr>
        <w:t xml:space="preserve">establishing a first cohort for the global network of facilitators trained by the Secretariat to support communities, States Parties and other relevant stakeholders; and </w:t>
      </w:r>
      <w:r w:rsidR="00D80EF2">
        <w:rPr>
          <w:sz w:val="18"/>
          <w:szCs w:val="18"/>
        </w:rPr>
        <w:t xml:space="preserve">(c) </w:t>
      </w:r>
      <w:r w:rsidRPr="001E0DC0">
        <w:rPr>
          <w:sz w:val="18"/>
          <w:szCs w:val="18"/>
        </w:rPr>
        <w:t>implementing country-level training and advisory services, including for developing</w:t>
      </w:r>
      <w:r w:rsidR="00D80EF2">
        <w:rPr>
          <w:sz w:val="18"/>
          <w:szCs w:val="18"/>
        </w:rPr>
        <w:t xml:space="preserve"> networks of</w:t>
      </w:r>
      <w:r w:rsidRPr="001E0DC0">
        <w:rPr>
          <w:sz w:val="18"/>
          <w:szCs w:val="18"/>
        </w:rPr>
        <w:t xml:space="preserve"> resource persons and technical assistance for policy development. By 2017, the Programme had trained more than </w:t>
      </w:r>
      <w:r w:rsidR="00D6241A">
        <w:rPr>
          <w:sz w:val="18"/>
          <w:szCs w:val="18"/>
        </w:rPr>
        <w:t>2</w:t>
      </w:r>
      <w:r w:rsidR="00D80EF2">
        <w:rPr>
          <w:sz w:val="18"/>
          <w:szCs w:val="18"/>
        </w:rPr>
        <w:t>,</w:t>
      </w:r>
      <w:r w:rsidR="00D6241A">
        <w:rPr>
          <w:sz w:val="18"/>
          <w:szCs w:val="18"/>
        </w:rPr>
        <w:t>400</w:t>
      </w:r>
      <w:r w:rsidRPr="001E0DC0">
        <w:rPr>
          <w:sz w:val="18"/>
          <w:szCs w:val="18"/>
        </w:rPr>
        <w:t xml:space="preserve"> individuals in more than </w:t>
      </w:r>
      <w:r w:rsidR="00D6241A">
        <w:rPr>
          <w:sz w:val="18"/>
          <w:szCs w:val="18"/>
        </w:rPr>
        <w:t>120</w:t>
      </w:r>
      <w:r w:rsidRPr="001E0DC0">
        <w:rPr>
          <w:sz w:val="18"/>
          <w:szCs w:val="18"/>
        </w:rPr>
        <w:t xml:space="preserve"> countries</w:t>
      </w:r>
      <w:r w:rsidR="00E431DB">
        <w:rPr>
          <w:sz w:val="18"/>
          <w:szCs w:val="18"/>
        </w:rPr>
        <w:t xml:space="preserve"> </w:t>
      </w:r>
      <w:r w:rsidR="00E431DB" w:rsidRPr="001E0DC0">
        <w:rPr>
          <w:sz w:val="18"/>
          <w:szCs w:val="18"/>
        </w:rPr>
        <w:t xml:space="preserve">(see Annex II of </w:t>
      </w:r>
      <w:r w:rsidR="005B6861">
        <w:rPr>
          <w:sz w:val="18"/>
          <w:szCs w:val="18"/>
        </w:rPr>
        <w:t>d</w:t>
      </w:r>
      <w:r w:rsidR="005B6861" w:rsidRPr="001E0DC0">
        <w:rPr>
          <w:sz w:val="18"/>
          <w:szCs w:val="18"/>
        </w:rPr>
        <w:t xml:space="preserve">ocument </w:t>
      </w:r>
      <w:hyperlink r:id="rId1" w:history="1">
        <w:r w:rsidR="00E431DB" w:rsidRPr="001E0DC0">
          <w:rPr>
            <w:rStyle w:val="Hyperlink"/>
            <w:sz w:val="18"/>
            <w:szCs w:val="18"/>
          </w:rPr>
          <w:t>LHE/21/16.COM/12</w:t>
        </w:r>
      </w:hyperlink>
      <w:r w:rsidR="00E431DB" w:rsidRPr="001E0DC0">
        <w:rPr>
          <w:sz w:val="18"/>
          <w:szCs w:val="18"/>
        </w:rPr>
        <w:t>)</w:t>
      </w:r>
      <w:r w:rsidRPr="001E0DC0">
        <w:rPr>
          <w:sz w:val="18"/>
          <w:szCs w:val="18"/>
        </w:rPr>
        <w:t>.</w:t>
      </w:r>
    </w:p>
    <w:p w14:paraId="48EBDA68" w14:textId="4AF5D98F" w:rsidR="00EF3A9F" w:rsidRPr="00EF3A9F" w:rsidRDefault="00EF3A9F">
      <w:pPr>
        <w:pStyle w:val="FootnoteText"/>
      </w:pPr>
    </w:p>
  </w:footnote>
  <w:footnote w:id="2">
    <w:p w14:paraId="4A8EFBF1" w14:textId="76476918" w:rsidR="00677A85" w:rsidRPr="001E0DC0" w:rsidRDefault="00677A85">
      <w:pPr>
        <w:pStyle w:val="FootnoteText"/>
        <w:rPr>
          <w:rFonts w:ascii="Arial" w:hAnsi="Arial" w:cs="Arial"/>
          <w:sz w:val="18"/>
          <w:szCs w:val="18"/>
          <w:lang w:val="en-US"/>
        </w:rPr>
      </w:pPr>
      <w:r w:rsidRPr="001E0DC0">
        <w:rPr>
          <w:rStyle w:val="FootnoteReference"/>
          <w:rFonts w:asciiTheme="minorHAnsi" w:hAnsiTheme="minorHAnsi" w:cstheme="minorHAnsi"/>
        </w:rPr>
        <w:footnoteRef/>
      </w:r>
      <w:r w:rsidRPr="001E0DC0">
        <w:rPr>
          <w:rFonts w:asciiTheme="minorHAnsi" w:hAnsiTheme="minorHAnsi" w:cstheme="minorHAnsi"/>
        </w:rPr>
        <w:t xml:space="preserve"> </w:t>
      </w:r>
      <w:r w:rsidRPr="001E0DC0">
        <w:rPr>
          <w:rFonts w:ascii="Arial" w:hAnsi="Arial" w:cs="Arial"/>
          <w:sz w:val="18"/>
          <w:szCs w:val="18"/>
        </w:rPr>
        <w:t xml:space="preserve">‘Basics in Disaster Risk Reduction (DRR) and </w:t>
      </w:r>
      <w:r w:rsidR="00CB37F0">
        <w:rPr>
          <w:rFonts w:ascii="Arial" w:hAnsi="Arial" w:cs="Arial"/>
          <w:sz w:val="18"/>
          <w:szCs w:val="18"/>
        </w:rPr>
        <w:t>i</w:t>
      </w:r>
      <w:r w:rsidRPr="001E0DC0">
        <w:rPr>
          <w:rFonts w:ascii="Arial" w:hAnsi="Arial" w:cs="Arial"/>
          <w:sz w:val="18"/>
          <w:szCs w:val="18"/>
        </w:rPr>
        <w:t xml:space="preserve">ntangible </w:t>
      </w:r>
      <w:r w:rsidR="00CB37F0">
        <w:rPr>
          <w:rFonts w:ascii="Arial" w:hAnsi="Arial" w:cs="Arial"/>
          <w:sz w:val="18"/>
          <w:szCs w:val="18"/>
        </w:rPr>
        <w:t>c</w:t>
      </w:r>
      <w:r w:rsidRPr="001E0DC0">
        <w:rPr>
          <w:rFonts w:ascii="Arial" w:hAnsi="Arial" w:cs="Arial"/>
          <w:sz w:val="18"/>
          <w:szCs w:val="18"/>
        </w:rPr>
        <w:t xml:space="preserve">ultural </w:t>
      </w:r>
      <w:r w:rsidR="00CB37F0">
        <w:rPr>
          <w:rFonts w:ascii="Arial" w:hAnsi="Arial" w:cs="Arial"/>
          <w:sz w:val="18"/>
          <w:szCs w:val="18"/>
        </w:rPr>
        <w:t>h</w:t>
      </w:r>
      <w:r w:rsidRPr="001E0DC0">
        <w:rPr>
          <w:rFonts w:ascii="Arial" w:hAnsi="Arial" w:cs="Arial"/>
          <w:sz w:val="18"/>
          <w:szCs w:val="18"/>
        </w:rPr>
        <w:t>eritage’ (</w:t>
      </w:r>
      <w:hyperlink r:id="rId2" w:anchor="unit-63-basics-in-disaster-risk-reduction-and-intangible-cultural-heritagebr" w:history="1">
        <w:r w:rsidRPr="001E0DC0">
          <w:rPr>
            <w:rStyle w:val="Hyperlink"/>
            <w:rFonts w:ascii="Arial" w:hAnsi="Arial" w:cs="Arial"/>
            <w:sz w:val="18"/>
            <w:szCs w:val="18"/>
          </w:rPr>
          <w:t>Unit 63</w:t>
        </w:r>
      </w:hyperlink>
      <w:r w:rsidRPr="001E0DC0">
        <w:rPr>
          <w:rFonts w:ascii="Arial" w:hAnsi="Arial" w:cs="Arial"/>
          <w:sz w:val="18"/>
          <w:szCs w:val="18"/>
        </w:rPr>
        <w:t xml:space="preserve">) and ‘Integrating </w:t>
      </w:r>
      <w:r w:rsidR="00CB37F0" w:rsidRPr="001E0DC0">
        <w:rPr>
          <w:rFonts w:ascii="Arial" w:hAnsi="Arial" w:cs="Arial"/>
          <w:sz w:val="18"/>
          <w:szCs w:val="18"/>
        </w:rPr>
        <w:t xml:space="preserve">Disaster Risk Reduction </w:t>
      </w:r>
      <w:r w:rsidR="00CB37F0">
        <w:rPr>
          <w:rFonts w:ascii="Arial" w:hAnsi="Arial" w:cs="Arial"/>
          <w:sz w:val="18"/>
          <w:szCs w:val="18"/>
        </w:rPr>
        <w:t>(</w:t>
      </w:r>
      <w:r w:rsidRPr="001E0DC0">
        <w:rPr>
          <w:rFonts w:ascii="Arial" w:hAnsi="Arial" w:cs="Arial"/>
          <w:sz w:val="18"/>
          <w:szCs w:val="18"/>
        </w:rPr>
        <w:t>DRR</w:t>
      </w:r>
      <w:r w:rsidR="00CB37F0">
        <w:rPr>
          <w:rFonts w:ascii="Arial" w:hAnsi="Arial" w:cs="Arial"/>
          <w:sz w:val="18"/>
          <w:szCs w:val="18"/>
        </w:rPr>
        <w:t>)</w:t>
      </w:r>
      <w:r w:rsidRPr="001E0DC0">
        <w:rPr>
          <w:rFonts w:ascii="Arial" w:hAnsi="Arial" w:cs="Arial"/>
          <w:sz w:val="18"/>
          <w:szCs w:val="18"/>
        </w:rPr>
        <w:t xml:space="preserve"> into </w:t>
      </w:r>
      <w:r w:rsidR="00F3025E">
        <w:rPr>
          <w:rFonts w:ascii="Arial" w:hAnsi="Arial" w:cs="Arial"/>
          <w:sz w:val="18"/>
          <w:szCs w:val="18"/>
        </w:rPr>
        <w:t xml:space="preserve">intangible cultural heritage </w:t>
      </w:r>
      <w:r w:rsidR="00CB37F0">
        <w:rPr>
          <w:rFonts w:ascii="Arial" w:hAnsi="Arial" w:cs="Arial"/>
          <w:sz w:val="18"/>
          <w:szCs w:val="18"/>
        </w:rPr>
        <w:t>i</w:t>
      </w:r>
      <w:r w:rsidRPr="001E0DC0">
        <w:rPr>
          <w:rFonts w:ascii="Arial" w:hAnsi="Arial" w:cs="Arial"/>
          <w:sz w:val="18"/>
          <w:szCs w:val="18"/>
        </w:rPr>
        <w:t>nventorying’ (</w:t>
      </w:r>
      <w:hyperlink r:id="rId3" w:anchor="unit-64-integrating-disaster-risk-reduction-into-ich-inventoryingbr" w:history="1">
        <w:r w:rsidRPr="001E0DC0">
          <w:rPr>
            <w:rStyle w:val="Hyperlink"/>
            <w:rFonts w:ascii="Arial" w:hAnsi="Arial" w:cs="Arial"/>
            <w:sz w:val="18"/>
            <w:szCs w:val="18"/>
          </w:rPr>
          <w:t>Unit 64</w:t>
        </w:r>
      </w:hyperlink>
      <w:r w:rsidRPr="001E0DC0">
        <w:rPr>
          <w:rFonts w:ascii="Arial" w:hAnsi="Arial" w:cs="Arial"/>
          <w:sz w:val="18"/>
          <w:szCs w:val="18"/>
        </w:rPr>
        <w:t>)</w:t>
      </w:r>
    </w:p>
  </w:footnote>
  <w:footnote w:id="3">
    <w:p w14:paraId="11DE002C" w14:textId="2C97A293" w:rsidR="00CD60E7" w:rsidRPr="00FA311E" w:rsidRDefault="00CD60E7" w:rsidP="00140FDB">
      <w:pPr>
        <w:pStyle w:val="FootnoteText"/>
        <w:rPr>
          <w:rFonts w:ascii="Arial" w:hAnsi="Arial" w:cs="Arial"/>
          <w:sz w:val="18"/>
          <w:szCs w:val="18"/>
        </w:rPr>
      </w:pPr>
      <w:r w:rsidRPr="001E0DC0">
        <w:rPr>
          <w:rStyle w:val="FootnoteReference"/>
          <w:rFonts w:ascii="Arial" w:hAnsi="Arial" w:cs="Arial"/>
          <w:sz w:val="18"/>
          <w:szCs w:val="18"/>
        </w:rPr>
        <w:footnoteRef/>
      </w:r>
      <w:r w:rsidR="00E72ADA">
        <w:rPr>
          <w:rFonts w:ascii="Arial" w:hAnsi="Arial" w:cs="Arial"/>
          <w:sz w:val="18"/>
          <w:szCs w:val="18"/>
          <w:lang w:val="en-US"/>
        </w:rPr>
        <w:t xml:space="preserve"> </w:t>
      </w:r>
      <w:r w:rsidRPr="001E0DC0">
        <w:rPr>
          <w:rFonts w:ascii="Arial" w:hAnsi="Arial" w:cs="Arial"/>
          <w:sz w:val="18"/>
          <w:szCs w:val="18"/>
        </w:rPr>
        <w:t>‘Basics in safeguarding intangible cultural heritage in situations of conflict and forced displacement’ (</w:t>
      </w:r>
      <w:hyperlink r:id="rId4" w:anchor="unit-65-basics-in-safeguarding-intangible-cultural-heritage-in-situations-of-conflict-and-forced-displacementbr" w:history="1">
        <w:r w:rsidRPr="001E0DC0">
          <w:rPr>
            <w:rStyle w:val="Hyperlink"/>
            <w:rFonts w:ascii="Arial" w:hAnsi="Arial" w:cs="Arial"/>
            <w:sz w:val="18"/>
            <w:szCs w:val="18"/>
          </w:rPr>
          <w:t>Unit 65</w:t>
        </w:r>
      </w:hyperlink>
      <w:r w:rsidRPr="001E0DC0">
        <w:rPr>
          <w:rFonts w:ascii="Arial" w:hAnsi="Arial" w:cs="Arial"/>
          <w:sz w:val="18"/>
          <w:szCs w:val="18"/>
        </w:rPr>
        <w:t>) and ‘Conducting community-based needs identifications</w:t>
      </w:r>
      <w:r w:rsidR="00140FDB" w:rsidRPr="00140FDB">
        <w:rPr>
          <w:rFonts w:ascii="Arial" w:hAnsi="Arial" w:cs="Arial"/>
          <w:sz w:val="18"/>
          <w:szCs w:val="18"/>
          <w:lang w:val="en-US"/>
        </w:rPr>
        <w:t> for intangible cultural heritage in situations of conflict and forced displacement</w:t>
      </w:r>
      <w:r w:rsidRPr="001E0DC0">
        <w:rPr>
          <w:rFonts w:ascii="Arial" w:hAnsi="Arial" w:cs="Arial"/>
          <w:sz w:val="18"/>
          <w:szCs w:val="18"/>
        </w:rPr>
        <w:t>’ (</w:t>
      </w:r>
      <w:hyperlink r:id="rId5" w:anchor="unit-66-conducting-community-based-needs-identifications-for-intangible-cultural-heritage-in-situations-of-conflict-and-forced-displacementbr" w:history="1">
        <w:r w:rsidRPr="001E0DC0">
          <w:rPr>
            <w:rStyle w:val="Hyperlink"/>
            <w:rFonts w:ascii="Arial" w:hAnsi="Arial" w:cs="Arial"/>
            <w:sz w:val="18"/>
            <w:szCs w:val="18"/>
          </w:rPr>
          <w:t>Unit 66</w:t>
        </w:r>
      </w:hyperlink>
      <w:r w:rsidRPr="001E0DC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543453AB" w:rsidR="00B6167A" w:rsidRPr="007E4E37" w:rsidRDefault="00FD1941" w:rsidP="009B55AC">
    <w:pPr>
      <w:pStyle w:val="Header"/>
      <w:rPr>
        <w:rFonts w:ascii="Arial" w:hAnsi="Arial" w:cs="Arial"/>
      </w:rPr>
    </w:pPr>
    <w:r>
      <w:rPr>
        <w:rFonts w:ascii="Arial" w:hAnsi="Arial" w:cs="Arial"/>
        <w:sz w:val="20"/>
        <w:szCs w:val="20"/>
      </w:rPr>
      <w:t>LHE/2</w:t>
    </w:r>
    <w:r w:rsidR="006E053C">
      <w:rPr>
        <w:rFonts w:ascii="Arial" w:hAnsi="Arial" w:cs="Arial"/>
        <w:sz w:val="20"/>
        <w:szCs w:val="20"/>
      </w:rPr>
      <w:t>5</w:t>
    </w:r>
    <w:r>
      <w:rPr>
        <w:rFonts w:ascii="Arial" w:hAnsi="Arial" w:cs="Arial"/>
        <w:sz w:val="20"/>
        <w:szCs w:val="20"/>
      </w:rPr>
      <w:t>/</w:t>
    </w:r>
    <w:r w:rsidR="006E053C">
      <w:rPr>
        <w:rFonts w:ascii="Arial" w:hAnsi="Arial" w:cs="Arial"/>
        <w:sz w:val="20"/>
        <w:szCs w:val="20"/>
      </w:rPr>
      <w:t>20</w:t>
    </w:r>
    <w:r w:rsidR="007E4E37">
      <w:rPr>
        <w:rFonts w:ascii="Arial" w:hAnsi="Arial" w:cs="Arial"/>
        <w:sz w:val="20"/>
        <w:szCs w:val="20"/>
      </w:rPr>
      <w:t>.COM</w:t>
    </w:r>
    <w:r w:rsidR="000A34CE" w:rsidRPr="00D81948">
      <w:rPr>
        <w:rFonts w:ascii="Arial" w:hAnsi="Arial" w:cs="Arial"/>
        <w:sz w:val="20"/>
        <w:szCs w:val="20"/>
      </w:rPr>
      <w:t>/INF.</w:t>
    </w:r>
    <w:r w:rsidR="00D816FB">
      <w:rPr>
        <w:rFonts w:ascii="Arial" w:hAnsi="Arial" w:cs="Arial"/>
        <w:sz w:val="20"/>
        <w:szCs w:val="20"/>
      </w:rPr>
      <w:t>13.1</w:t>
    </w:r>
    <w:r w:rsidR="00B6167A" w:rsidRPr="00D81948">
      <w:rPr>
        <w:rFonts w:ascii="Arial" w:hAnsi="Arial" w:cs="Arial"/>
        <w:sz w:val="20"/>
        <w:szCs w:val="20"/>
      </w:rPr>
      <w:t xml:space="preserve"> </w:t>
    </w:r>
    <w:bookmarkStart w:id="3" w:name="_Hlk206417812"/>
    <w:r w:rsidR="00B6167A" w:rsidRPr="00D81948">
      <w:rPr>
        <w:rFonts w:ascii="Arial" w:hAnsi="Arial" w:cs="Arial"/>
        <w:sz w:val="20"/>
        <w:szCs w:val="20"/>
      </w:rPr>
      <w:t xml:space="preserve">– </w:t>
    </w:r>
    <w:bookmarkEnd w:id="3"/>
    <w:r w:rsidR="00B6167A" w:rsidRPr="00D81948">
      <w:rPr>
        <w:rFonts w:ascii="Arial" w:hAnsi="Arial" w:cs="Arial"/>
        <w:sz w:val="20"/>
        <w:szCs w:val="20"/>
      </w:rPr>
      <w:t xml:space="preserve">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3F5A5716"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6E053C">
      <w:rPr>
        <w:rFonts w:ascii="Arial" w:hAnsi="Arial" w:cs="Arial"/>
        <w:sz w:val="20"/>
        <w:szCs w:val="20"/>
        <w:lang w:val="en-US"/>
      </w:rPr>
      <w:t>5</w:t>
    </w:r>
    <w:r>
      <w:rPr>
        <w:rFonts w:ascii="Arial" w:hAnsi="Arial" w:cs="Arial"/>
        <w:sz w:val="20"/>
        <w:szCs w:val="20"/>
        <w:lang w:val="en-US"/>
      </w:rPr>
      <w:t>/</w:t>
    </w:r>
    <w:r w:rsidR="006E053C">
      <w:rPr>
        <w:rFonts w:ascii="Arial" w:hAnsi="Arial" w:cs="Arial"/>
        <w:sz w:val="20"/>
        <w:szCs w:val="20"/>
        <w:lang w:val="en-US"/>
      </w:rPr>
      <w:t>20</w:t>
    </w:r>
    <w:r w:rsidR="007E4E37">
      <w:rPr>
        <w:rFonts w:ascii="Arial" w:hAnsi="Arial" w:cs="Arial"/>
        <w:sz w:val="20"/>
        <w:szCs w:val="20"/>
        <w:lang w:val="en-US"/>
      </w:rPr>
      <w:t>.COM</w:t>
    </w:r>
    <w:r w:rsidR="001E4EEB">
      <w:rPr>
        <w:rFonts w:ascii="Arial" w:hAnsi="Arial" w:cs="Arial"/>
        <w:sz w:val="20"/>
        <w:szCs w:val="20"/>
        <w:lang w:val="en-US"/>
      </w:rPr>
      <w:t>/INF.</w:t>
    </w:r>
    <w:r w:rsidR="000C7101">
      <w:rPr>
        <w:rFonts w:ascii="Arial" w:hAnsi="Arial" w:cs="Arial"/>
        <w:sz w:val="20"/>
        <w:szCs w:val="20"/>
        <w:lang w:val="en-US"/>
      </w:rPr>
      <w:t>13.1</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741066597" name="Image 174106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361EA77B" w:rsidR="00B6167A" w:rsidRPr="00483688" w:rsidRDefault="006E053C" w:rsidP="001943EE">
    <w:pPr>
      <w:pStyle w:val="Header"/>
      <w:spacing w:after="520"/>
      <w:jc w:val="right"/>
      <w:rPr>
        <w:rFonts w:ascii="Arial" w:hAnsi="Arial" w:cs="Arial"/>
        <w:b/>
        <w:sz w:val="44"/>
        <w:szCs w:val="44"/>
        <w:lang w:val="pt-PT"/>
      </w:rPr>
    </w:pPr>
    <w:r>
      <w:rPr>
        <w:rFonts w:ascii="Arial" w:hAnsi="Arial" w:cs="Arial"/>
        <w:b/>
        <w:sz w:val="44"/>
        <w:szCs w:val="44"/>
        <w:lang w:val="pt-PT"/>
      </w:rPr>
      <w:t>20</w:t>
    </w:r>
    <w:r w:rsidR="00B6167A" w:rsidRPr="00483688">
      <w:rPr>
        <w:rFonts w:ascii="Arial" w:hAnsi="Arial" w:cs="Arial"/>
        <w:b/>
        <w:sz w:val="44"/>
        <w:szCs w:val="44"/>
        <w:lang w:val="pt-PT"/>
      </w:rPr>
      <w:t xml:space="preserve"> </w:t>
    </w:r>
    <w:r w:rsidR="007E4E37" w:rsidRPr="00483688">
      <w:rPr>
        <w:rFonts w:ascii="Arial" w:hAnsi="Arial" w:cs="Arial"/>
        <w:b/>
        <w:sz w:val="44"/>
        <w:szCs w:val="44"/>
        <w:lang w:val="pt-PT"/>
      </w:rPr>
      <w:t>COM</w:t>
    </w:r>
  </w:p>
  <w:p w14:paraId="49B0C39B" w14:textId="67D6DF84" w:rsidR="00B6167A" w:rsidRPr="00B65A3E" w:rsidRDefault="00FD1941" w:rsidP="009B55AC">
    <w:pPr>
      <w:spacing w:after="0"/>
      <w:jc w:val="right"/>
      <w:rPr>
        <w:rFonts w:ascii="Arial" w:hAnsi="Arial" w:cs="Arial"/>
        <w:b/>
        <w:szCs w:val="22"/>
        <w:lang w:val="pt-PT"/>
      </w:rPr>
    </w:pPr>
    <w:r w:rsidRPr="00B65A3E">
      <w:rPr>
        <w:rFonts w:ascii="Arial" w:hAnsi="Arial" w:cs="Arial"/>
        <w:b/>
        <w:szCs w:val="22"/>
        <w:lang w:val="pt-PT"/>
      </w:rPr>
      <w:t>LHE/2</w:t>
    </w:r>
    <w:r w:rsidR="006E053C" w:rsidRPr="00B65A3E">
      <w:rPr>
        <w:rFonts w:ascii="Arial" w:hAnsi="Arial" w:cs="Arial"/>
        <w:b/>
        <w:szCs w:val="22"/>
        <w:lang w:val="pt-PT"/>
      </w:rPr>
      <w:t>5</w:t>
    </w:r>
    <w:r w:rsidRPr="00B65A3E">
      <w:rPr>
        <w:rFonts w:ascii="Arial" w:hAnsi="Arial" w:cs="Arial"/>
        <w:b/>
        <w:szCs w:val="22"/>
        <w:lang w:val="pt-PT"/>
      </w:rPr>
      <w:t>/</w:t>
    </w:r>
    <w:r w:rsidR="006E053C" w:rsidRPr="00B65A3E">
      <w:rPr>
        <w:rFonts w:ascii="Arial" w:hAnsi="Arial" w:cs="Arial"/>
        <w:b/>
        <w:szCs w:val="22"/>
        <w:lang w:val="pt-PT"/>
      </w:rPr>
      <w:t>20</w:t>
    </w:r>
    <w:r w:rsidR="00B6167A" w:rsidRPr="00B65A3E">
      <w:rPr>
        <w:rFonts w:ascii="Arial" w:hAnsi="Arial" w:cs="Arial"/>
        <w:b/>
        <w:szCs w:val="22"/>
        <w:lang w:val="pt-PT"/>
      </w:rPr>
      <w:t>.</w:t>
    </w:r>
    <w:r w:rsidR="007E4E37" w:rsidRPr="00B65A3E">
      <w:rPr>
        <w:rFonts w:ascii="Arial" w:hAnsi="Arial" w:cs="Arial"/>
        <w:b/>
        <w:szCs w:val="22"/>
        <w:lang w:val="pt-PT"/>
      </w:rPr>
      <w:t>COM</w:t>
    </w:r>
    <w:r w:rsidR="00B6167A" w:rsidRPr="00B65A3E">
      <w:rPr>
        <w:rFonts w:ascii="Arial" w:hAnsi="Arial" w:cs="Arial"/>
        <w:b/>
        <w:szCs w:val="22"/>
        <w:lang w:val="pt-PT"/>
      </w:rPr>
      <w:t>/INF.</w:t>
    </w:r>
    <w:r w:rsidR="00FB4D6D" w:rsidRPr="00B65A3E">
      <w:rPr>
        <w:rFonts w:ascii="Arial" w:hAnsi="Arial" w:cs="Arial"/>
        <w:b/>
        <w:szCs w:val="22"/>
        <w:lang w:val="pt-PT"/>
      </w:rPr>
      <w:t>13.1</w:t>
    </w:r>
  </w:p>
  <w:p w14:paraId="1D4CE950" w14:textId="2762DB89" w:rsidR="00B6167A" w:rsidRPr="00B65A3E" w:rsidRDefault="00B6167A" w:rsidP="002D396D">
    <w:pPr>
      <w:spacing w:after="0"/>
      <w:jc w:val="right"/>
      <w:rPr>
        <w:rFonts w:ascii="Arial" w:eastAsiaTheme="minorEastAsia" w:hAnsi="Arial" w:cs="Arial"/>
        <w:b/>
        <w:szCs w:val="22"/>
        <w:lang w:val="pt-PT" w:eastAsia="ko-KR"/>
      </w:rPr>
    </w:pPr>
    <w:r w:rsidRPr="00B65A3E">
      <w:rPr>
        <w:rFonts w:ascii="Arial" w:hAnsi="Arial" w:cs="Arial"/>
        <w:b/>
        <w:szCs w:val="22"/>
        <w:lang w:val="pt-PT"/>
      </w:rPr>
      <w:t xml:space="preserve">Paris, </w:t>
    </w:r>
    <w:r w:rsidR="00FE6DAE" w:rsidRPr="00FA311E">
      <w:rPr>
        <w:rFonts w:ascii="Arial" w:hAnsi="Arial" w:cs="Arial"/>
        <w:b/>
        <w:szCs w:val="22"/>
        <w:lang w:val="pt-PT"/>
      </w:rPr>
      <w:t>2</w:t>
    </w:r>
    <w:r w:rsidR="00FE6DAE">
      <w:rPr>
        <w:rFonts w:ascii="Arial" w:hAnsi="Arial" w:cs="Arial"/>
        <w:b/>
        <w:szCs w:val="22"/>
        <w:lang w:val="pt-PT"/>
      </w:rPr>
      <w:t>8</w:t>
    </w:r>
    <w:r w:rsidR="00FE6DAE" w:rsidRPr="00FA311E">
      <w:rPr>
        <w:rFonts w:ascii="Arial" w:hAnsi="Arial" w:cs="Arial"/>
        <w:b/>
        <w:szCs w:val="22"/>
        <w:lang w:val="pt-PT"/>
      </w:rPr>
      <w:t xml:space="preserve"> </w:t>
    </w:r>
    <w:r w:rsidR="0074674D" w:rsidRPr="00FA311E">
      <w:rPr>
        <w:rFonts w:ascii="Arial" w:hAnsi="Arial" w:cs="Arial"/>
        <w:b/>
        <w:szCs w:val="22"/>
        <w:lang w:val="pt-PT"/>
      </w:rPr>
      <w:t>November</w:t>
    </w:r>
    <w:r w:rsidR="00FD1941" w:rsidRPr="00FA311E">
      <w:rPr>
        <w:rFonts w:ascii="Arial" w:hAnsi="Arial" w:cs="Arial"/>
        <w:b/>
        <w:szCs w:val="22"/>
        <w:lang w:val="pt-PT"/>
      </w:rPr>
      <w:t xml:space="preserve"> 202</w:t>
    </w:r>
    <w:r w:rsidR="006E053C" w:rsidRPr="00FA311E">
      <w:rPr>
        <w:rFonts w:ascii="Arial" w:hAnsi="Arial" w:cs="Arial"/>
        <w:b/>
        <w:szCs w:val="22"/>
        <w:lang w:val="pt-PT"/>
      </w:rPr>
      <w:t>5</w:t>
    </w:r>
  </w:p>
  <w:p w14:paraId="2A9F75AF" w14:textId="28A0396A" w:rsidR="00B6167A" w:rsidRPr="00D81948" w:rsidRDefault="00B6167A" w:rsidP="008F7B13">
    <w:pPr>
      <w:jc w:val="right"/>
      <w:rPr>
        <w:rFonts w:ascii="Arial" w:hAnsi="Arial" w:cs="Arial"/>
        <w:b/>
        <w:szCs w:val="22"/>
      </w:rPr>
    </w:pPr>
    <w:r w:rsidRPr="00B65A3E">
      <w:rPr>
        <w:rFonts w:ascii="Arial" w:hAnsi="Arial" w:cs="Arial"/>
        <w:b/>
        <w:szCs w:val="22"/>
      </w:rPr>
      <w:t>Original:</w:t>
    </w:r>
    <w:r w:rsidR="003528F8" w:rsidRPr="00B65A3E">
      <w:rPr>
        <w:rFonts w:ascii="Arial" w:hAnsi="Arial" w:cs="Arial"/>
        <w:b/>
        <w:szCs w:val="22"/>
      </w:rPr>
      <w:t xml:space="preserve"> English</w:t>
    </w:r>
  </w:p>
  <w:p w14:paraId="42728953" w14:textId="77777777"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50A"/>
    <w:multiLevelType w:val="multilevel"/>
    <w:tmpl w:val="A3DA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1B461E0"/>
    <w:multiLevelType w:val="hybridMultilevel"/>
    <w:tmpl w:val="29D8CFD0"/>
    <w:lvl w:ilvl="0" w:tplc="040C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1A1B3653"/>
    <w:multiLevelType w:val="hybridMultilevel"/>
    <w:tmpl w:val="A9C8FA84"/>
    <w:lvl w:ilvl="0" w:tplc="57CE0984">
      <w:start w:val="1"/>
      <w:numFmt w:val="bullet"/>
      <w:lvlText w:val=""/>
      <w:lvlJc w:val="left"/>
      <w:pPr>
        <w:ind w:left="1160" w:hanging="360"/>
      </w:pPr>
      <w:rPr>
        <w:rFonts w:ascii="Symbol" w:hAnsi="Symbol"/>
      </w:rPr>
    </w:lvl>
    <w:lvl w:ilvl="1" w:tplc="65D6379A">
      <w:start w:val="1"/>
      <w:numFmt w:val="bullet"/>
      <w:lvlText w:val=""/>
      <w:lvlJc w:val="left"/>
      <w:pPr>
        <w:ind w:left="1160" w:hanging="360"/>
      </w:pPr>
      <w:rPr>
        <w:rFonts w:ascii="Symbol" w:hAnsi="Symbol"/>
      </w:rPr>
    </w:lvl>
    <w:lvl w:ilvl="2" w:tplc="8D8821F8">
      <w:start w:val="1"/>
      <w:numFmt w:val="bullet"/>
      <w:lvlText w:val=""/>
      <w:lvlJc w:val="left"/>
      <w:pPr>
        <w:ind w:left="1160" w:hanging="360"/>
      </w:pPr>
      <w:rPr>
        <w:rFonts w:ascii="Symbol" w:hAnsi="Symbol"/>
      </w:rPr>
    </w:lvl>
    <w:lvl w:ilvl="3" w:tplc="8CD0A458">
      <w:start w:val="1"/>
      <w:numFmt w:val="bullet"/>
      <w:lvlText w:val=""/>
      <w:lvlJc w:val="left"/>
      <w:pPr>
        <w:ind w:left="1160" w:hanging="360"/>
      </w:pPr>
      <w:rPr>
        <w:rFonts w:ascii="Symbol" w:hAnsi="Symbol"/>
      </w:rPr>
    </w:lvl>
    <w:lvl w:ilvl="4" w:tplc="32929466">
      <w:start w:val="1"/>
      <w:numFmt w:val="bullet"/>
      <w:lvlText w:val=""/>
      <w:lvlJc w:val="left"/>
      <w:pPr>
        <w:ind w:left="1160" w:hanging="360"/>
      </w:pPr>
      <w:rPr>
        <w:rFonts w:ascii="Symbol" w:hAnsi="Symbol"/>
      </w:rPr>
    </w:lvl>
    <w:lvl w:ilvl="5" w:tplc="B3AC6EF4">
      <w:start w:val="1"/>
      <w:numFmt w:val="bullet"/>
      <w:lvlText w:val=""/>
      <w:lvlJc w:val="left"/>
      <w:pPr>
        <w:ind w:left="1160" w:hanging="360"/>
      </w:pPr>
      <w:rPr>
        <w:rFonts w:ascii="Symbol" w:hAnsi="Symbol"/>
      </w:rPr>
    </w:lvl>
    <w:lvl w:ilvl="6" w:tplc="1F8CC37A">
      <w:start w:val="1"/>
      <w:numFmt w:val="bullet"/>
      <w:lvlText w:val=""/>
      <w:lvlJc w:val="left"/>
      <w:pPr>
        <w:ind w:left="1160" w:hanging="360"/>
      </w:pPr>
      <w:rPr>
        <w:rFonts w:ascii="Symbol" w:hAnsi="Symbol"/>
      </w:rPr>
    </w:lvl>
    <w:lvl w:ilvl="7" w:tplc="91BE9B74">
      <w:start w:val="1"/>
      <w:numFmt w:val="bullet"/>
      <w:lvlText w:val=""/>
      <w:lvlJc w:val="left"/>
      <w:pPr>
        <w:ind w:left="1160" w:hanging="360"/>
      </w:pPr>
      <w:rPr>
        <w:rFonts w:ascii="Symbol" w:hAnsi="Symbol"/>
      </w:rPr>
    </w:lvl>
    <w:lvl w:ilvl="8" w:tplc="3FB80858">
      <w:start w:val="1"/>
      <w:numFmt w:val="bullet"/>
      <w:lvlText w:val=""/>
      <w:lvlJc w:val="left"/>
      <w:pPr>
        <w:ind w:left="1160" w:hanging="360"/>
      </w:pPr>
      <w:rPr>
        <w:rFonts w:ascii="Symbol" w:hAnsi="Symbol"/>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D813D1"/>
    <w:multiLevelType w:val="hybridMultilevel"/>
    <w:tmpl w:val="CE5677A8"/>
    <w:lvl w:ilvl="0" w:tplc="040C0015">
      <w:start w:val="1"/>
      <w:numFmt w:val="upperLetter"/>
      <w:lvlText w:val="%1."/>
      <w:lvlJc w:val="left"/>
      <w:pPr>
        <w:ind w:left="1290" w:hanging="360"/>
      </w:p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574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EF50BB5"/>
    <w:multiLevelType w:val="hybridMultilevel"/>
    <w:tmpl w:val="4726F7C8"/>
    <w:lvl w:ilvl="0" w:tplc="60DEBB2E">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400719A7"/>
    <w:multiLevelType w:val="hybridMultilevel"/>
    <w:tmpl w:val="88E66B32"/>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44A106FF"/>
    <w:multiLevelType w:val="hybridMultilevel"/>
    <w:tmpl w:val="10249AE0"/>
    <w:lvl w:ilvl="0" w:tplc="040C001B">
      <w:start w:val="1"/>
      <w:numFmt w:val="lowerRoman"/>
      <w:lvlText w:val="%1."/>
      <w:lvlJc w:val="righ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92542CE"/>
    <w:multiLevelType w:val="hybridMultilevel"/>
    <w:tmpl w:val="F5E2A422"/>
    <w:lvl w:ilvl="0" w:tplc="B6C2CA5E">
      <w:start w:val="4"/>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497C5A1E"/>
    <w:multiLevelType w:val="hybridMultilevel"/>
    <w:tmpl w:val="52BA3668"/>
    <w:lvl w:ilvl="0" w:tplc="040C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DFC5550"/>
    <w:multiLevelType w:val="multilevel"/>
    <w:tmpl w:val="5308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2F2645"/>
    <w:multiLevelType w:val="multilevel"/>
    <w:tmpl w:val="9A44BB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41ED5"/>
    <w:multiLevelType w:val="multilevel"/>
    <w:tmpl w:val="177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DA51A3"/>
    <w:multiLevelType w:val="multilevel"/>
    <w:tmpl w:val="64185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387668">
    <w:abstractNumId w:val="15"/>
  </w:num>
  <w:num w:numId="2" w16cid:durableId="1506937438">
    <w:abstractNumId w:val="8"/>
  </w:num>
  <w:num w:numId="3" w16cid:durableId="2058314806">
    <w:abstractNumId w:val="4"/>
  </w:num>
  <w:num w:numId="4" w16cid:durableId="1562522762">
    <w:abstractNumId w:val="20"/>
  </w:num>
  <w:num w:numId="5" w16cid:durableId="1338726779">
    <w:abstractNumId w:val="16"/>
  </w:num>
  <w:num w:numId="6" w16cid:durableId="1381636817">
    <w:abstractNumId w:val="1"/>
  </w:num>
  <w:num w:numId="7" w16cid:durableId="434249634">
    <w:abstractNumId w:val="5"/>
  </w:num>
  <w:num w:numId="8" w16cid:durableId="1441948170">
    <w:abstractNumId w:val="7"/>
  </w:num>
  <w:num w:numId="9" w16cid:durableId="1187720211">
    <w:abstractNumId w:val="17"/>
  </w:num>
  <w:num w:numId="10" w16cid:durableId="121581902">
    <w:abstractNumId w:val="13"/>
  </w:num>
  <w:num w:numId="11" w16cid:durableId="1145469577">
    <w:abstractNumId w:val="3"/>
  </w:num>
  <w:num w:numId="12" w16cid:durableId="632060084">
    <w:abstractNumId w:val="12"/>
  </w:num>
  <w:num w:numId="13" w16cid:durableId="687753857">
    <w:abstractNumId w:val="14"/>
  </w:num>
  <w:num w:numId="14" w16cid:durableId="1189875335">
    <w:abstractNumId w:val="7"/>
  </w:num>
  <w:num w:numId="15" w16cid:durableId="440102380">
    <w:abstractNumId w:val="19"/>
  </w:num>
  <w:num w:numId="16" w16cid:durableId="977608218">
    <w:abstractNumId w:val="18"/>
  </w:num>
  <w:num w:numId="17" w16cid:durableId="1449543911">
    <w:abstractNumId w:val="7"/>
  </w:num>
  <w:num w:numId="18" w16cid:durableId="1432581221">
    <w:abstractNumId w:val="7"/>
  </w:num>
  <w:num w:numId="19" w16cid:durableId="483202159">
    <w:abstractNumId w:val="7"/>
  </w:num>
  <w:num w:numId="20" w16cid:durableId="135725653">
    <w:abstractNumId w:val="7"/>
  </w:num>
  <w:num w:numId="21" w16cid:durableId="2058892056">
    <w:abstractNumId w:val="7"/>
  </w:num>
  <w:num w:numId="22" w16cid:durableId="1665281548">
    <w:abstractNumId w:val="7"/>
  </w:num>
  <w:num w:numId="23" w16cid:durableId="645743099">
    <w:abstractNumId w:val="21"/>
  </w:num>
  <w:num w:numId="24" w16cid:durableId="322126469">
    <w:abstractNumId w:val="0"/>
  </w:num>
  <w:num w:numId="25" w16cid:durableId="695470997">
    <w:abstractNumId w:val="7"/>
  </w:num>
  <w:num w:numId="26" w16cid:durableId="300886435">
    <w:abstractNumId w:val="7"/>
  </w:num>
  <w:num w:numId="27" w16cid:durableId="215237623">
    <w:abstractNumId w:val="2"/>
  </w:num>
  <w:num w:numId="28" w16cid:durableId="1112091670">
    <w:abstractNumId w:val="7"/>
  </w:num>
  <w:num w:numId="29" w16cid:durableId="1611817580">
    <w:abstractNumId w:val="6"/>
  </w:num>
  <w:num w:numId="30" w16cid:durableId="1589002529">
    <w:abstractNumId w:val="10"/>
  </w:num>
  <w:num w:numId="31" w16cid:durableId="78911752">
    <w:abstractNumId w:val="7"/>
  </w:num>
  <w:num w:numId="32" w16cid:durableId="1166092147">
    <w:abstractNumId w:val="7"/>
  </w:num>
  <w:num w:numId="33" w16cid:durableId="918251141">
    <w:abstractNumId w:val="7"/>
  </w:num>
  <w:num w:numId="34" w16cid:durableId="2048216270">
    <w:abstractNumId w:val="7"/>
  </w:num>
  <w:num w:numId="35" w16cid:durableId="713626714">
    <w:abstractNumId w:val="7"/>
  </w:num>
  <w:num w:numId="36" w16cid:durableId="1568688426">
    <w:abstractNumId w:val="7"/>
  </w:num>
  <w:num w:numId="37" w16cid:durableId="1428964487">
    <w:abstractNumId w:val="9"/>
  </w:num>
  <w:num w:numId="38" w16cid:durableId="1769232440">
    <w:abstractNumId w:val="7"/>
  </w:num>
  <w:num w:numId="39" w16cid:durableId="600383542">
    <w:abstractNumId w:val="7"/>
  </w:num>
  <w:num w:numId="40" w16cid:durableId="688601123">
    <w:abstractNumId w:val="7"/>
  </w:num>
  <w:num w:numId="41" w16cid:durableId="1316685405">
    <w:abstractNumId w:val="7"/>
  </w:num>
  <w:num w:numId="42" w16cid:durableId="1948076137">
    <w:abstractNumId w:val="7"/>
  </w:num>
  <w:num w:numId="43" w16cid:durableId="296035980">
    <w:abstractNumId w:val="11"/>
  </w:num>
  <w:num w:numId="44" w16cid:durableId="649288236">
    <w:abstractNumId w:val="7"/>
  </w:num>
  <w:num w:numId="45" w16cid:durableId="1974866508">
    <w:abstractNumId w:val="7"/>
  </w:num>
  <w:num w:numId="46" w16cid:durableId="1020007049">
    <w:abstractNumId w:val="7"/>
  </w:num>
  <w:num w:numId="47" w16cid:durableId="1133713003">
    <w:abstractNumId w:val="7"/>
  </w:num>
  <w:num w:numId="48" w16cid:durableId="351496909">
    <w:abstractNumId w:val="7"/>
  </w:num>
  <w:num w:numId="49" w16cid:durableId="628976247">
    <w:abstractNumId w:val="7"/>
  </w:num>
  <w:num w:numId="50" w16cid:durableId="458761845">
    <w:abstractNumId w:val="7"/>
  </w:num>
  <w:num w:numId="51" w16cid:durableId="1277520118">
    <w:abstractNumId w:val="7"/>
  </w:num>
  <w:num w:numId="52" w16cid:durableId="1129974573">
    <w:abstractNumId w:val="7"/>
  </w:num>
  <w:num w:numId="53" w16cid:durableId="393312064">
    <w:abstractNumId w:val="7"/>
  </w:num>
  <w:num w:numId="54" w16cid:durableId="272053133">
    <w:abstractNumId w:val="7"/>
  </w:num>
  <w:num w:numId="55" w16cid:durableId="1473330278">
    <w:abstractNumId w:val="7"/>
  </w:num>
  <w:num w:numId="56" w16cid:durableId="726951149">
    <w:abstractNumId w:val="7"/>
  </w:num>
  <w:num w:numId="57" w16cid:durableId="1540556201">
    <w:abstractNumId w:val="7"/>
  </w:num>
  <w:num w:numId="58" w16cid:durableId="2072927458">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0493"/>
    <w:rsid w:val="000016A4"/>
    <w:rsid w:val="000019DB"/>
    <w:rsid w:val="00001E77"/>
    <w:rsid w:val="000047CC"/>
    <w:rsid w:val="000049E6"/>
    <w:rsid w:val="000120FD"/>
    <w:rsid w:val="00014585"/>
    <w:rsid w:val="000160B3"/>
    <w:rsid w:val="00021831"/>
    <w:rsid w:val="00022EEE"/>
    <w:rsid w:val="0002505D"/>
    <w:rsid w:val="00025714"/>
    <w:rsid w:val="00025B58"/>
    <w:rsid w:val="00025D79"/>
    <w:rsid w:val="00036209"/>
    <w:rsid w:val="000378F8"/>
    <w:rsid w:val="00040A95"/>
    <w:rsid w:val="00043D56"/>
    <w:rsid w:val="00044267"/>
    <w:rsid w:val="00047E58"/>
    <w:rsid w:val="00055E4E"/>
    <w:rsid w:val="00060699"/>
    <w:rsid w:val="00062DE1"/>
    <w:rsid w:val="00063C08"/>
    <w:rsid w:val="00071620"/>
    <w:rsid w:val="000720B4"/>
    <w:rsid w:val="00073D20"/>
    <w:rsid w:val="000755E1"/>
    <w:rsid w:val="00077250"/>
    <w:rsid w:val="00080573"/>
    <w:rsid w:val="000828BD"/>
    <w:rsid w:val="00082E25"/>
    <w:rsid w:val="00085541"/>
    <w:rsid w:val="00093063"/>
    <w:rsid w:val="00094044"/>
    <w:rsid w:val="000A0D6F"/>
    <w:rsid w:val="000A34CE"/>
    <w:rsid w:val="000A4009"/>
    <w:rsid w:val="000B085E"/>
    <w:rsid w:val="000B6E85"/>
    <w:rsid w:val="000B7936"/>
    <w:rsid w:val="000C65E4"/>
    <w:rsid w:val="000C7101"/>
    <w:rsid w:val="000C71A6"/>
    <w:rsid w:val="000D26B6"/>
    <w:rsid w:val="000D3A97"/>
    <w:rsid w:val="000E01E2"/>
    <w:rsid w:val="000E280C"/>
    <w:rsid w:val="000E3D21"/>
    <w:rsid w:val="000F0390"/>
    <w:rsid w:val="000F2316"/>
    <w:rsid w:val="000F2A0B"/>
    <w:rsid w:val="000F2DE5"/>
    <w:rsid w:val="000F3231"/>
    <w:rsid w:val="000F67D7"/>
    <w:rsid w:val="000F7DA9"/>
    <w:rsid w:val="0010035A"/>
    <w:rsid w:val="001003F7"/>
    <w:rsid w:val="001025E7"/>
    <w:rsid w:val="0010601A"/>
    <w:rsid w:val="001064D8"/>
    <w:rsid w:val="00106A9C"/>
    <w:rsid w:val="00106B72"/>
    <w:rsid w:val="00115677"/>
    <w:rsid w:val="00116981"/>
    <w:rsid w:val="0011750D"/>
    <w:rsid w:val="001177E3"/>
    <w:rsid w:val="00126B4A"/>
    <w:rsid w:val="00127EC0"/>
    <w:rsid w:val="00132FFC"/>
    <w:rsid w:val="00140FDB"/>
    <w:rsid w:val="001412DE"/>
    <w:rsid w:val="00144A4D"/>
    <w:rsid w:val="00151351"/>
    <w:rsid w:val="00152BFF"/>
    <w:rsid w:val="00152E75"/>
    <w:rsid w:val="00153841"/>
    <w:rsid w:val="0016024C"/>
    <w:rsid w:val="00163C95"/>
    <w:rsid w:val="00166254"/>
    <w:rsid w:val="0017201E"/>
    <w:rsid w:val="00172F2A"/>
    <w:rsid w:val="00173766"/>
    <w:rsid w:val="00173794"/>
    <w:rsid w:val="00174B39"/>
    <w:rsid w:val="00181413"/>
    <w:rsid w:val="0018349D"/>
    <w:rsid w:val="00186BC0"/>
    <w:rsid w:val="0018723A"/>
    <w:rsid w:val="001877E4"/>
    <w:rsid w:val="001943EE"/>
    <w:rsid w:val="001A431C"/>
    <w:rsid w:val="001A4D1B"/>
    <w:rsid w:val="001B2136"/>
    <w:rsid w:val="001C1805"/>
    <w:rsid w:val="001C580F"/>
    <w:rsid w:val="001C5BA7"/>
    <w:rsid w:val="001C7CD5"/>
    <w:rsid w:val="001D00B5"/>
    <w:rsid w:val="001D1625"/>
    <w:rsid w:val="001D1F1C"/>
    <w:rsid w:val="001D3B29"/>
    <w:rsid w:val="001D5E33"/>
    <w:rsid w:val="001D6AF6"/>
    <w:rsid w:val="001E0DC0"/>
    <w:rsid w:val="001E4EEB"/>
    <w:rsid w:val="001E567F"/>
    <w:rsid w:val="001E6026"/>
    <w:rsid w:val="001E6983"/>
    <w:rsid w:val="001E6E4E"/>
    <w:rsid w:val="001E7A39"/>
    <w:rsid w:val="001F1482"/>
    <w:rsid w:val="001F3696"/>
    <w:rsid w:val="001F37CA"/>
    <w:rsid w:val="00201C4A"/>
    <w:rsid w:val="00202772"/>
    <w:rsid w:val="00204B37"/>
    <w:rsid w:val="0020681E"/>
    <w:rsid w:val="00207B60"/>
    <w:rsid w:val="00207C22"/>
    <w:rsid w:val="00207CF7"/>
    <w:rsid w:val="002105E4"/>
    <w:rsid w:val="00210B53"/>
    <w:rsid w:val="002114DB"/>
    <w:rsid w:val="00211692"/>
    <w:rsid w:val="00220E0E"/>
    <w:rsid w:val="00221342"/>
    <w:rsid w:val="002238D3"/>
    <w:rsid w:val="002248D5"/>
    <w:rsid w:val="00225720"/>
    <w:rsid w:val="00230A22"/>
    <w:rsid w:val="00230E76"/>
    <w:rsid w:val="00231A26"/>
    <w:rsid w:val="0023491D"/>
    <w:rsid w:val="00237E43"/>
    <w:rsid w:val="00242C15"/>
    <w:rsid w:val="00245B51"/>
    <w:rsid w:val="00245CEC"/>
    <w:rsid w:val="00250F85"/>
    <w:rsid w:val="00257554"/>
    <w:rsid w:val="00257EC5"/>
    <w:rsid w:val="002708BA"/>
    <w:rsid w:val="002713E2"/>
    <w:rsid w:val="0027198B"/>
    <w:rsid w:val="00286B1A"/>
    <w:rsid w:val="00286C0C"/>
    <w:rsid w:val="00290D5F"/>
    <w:rsid w:val="0029254A"/>
    <w:rsid w:val="002938F2"/>
    <w:rsid w:val="002A6C7B"/>
    <w:rsid w:val="002C2BE2"/>
    <w:rsid w:val="002C409A"/>
    <w:rsid w:val="002C471A"/>
    <w:rsid w:val="002C5280"/>
    <w:rsid w:val="002C696D"/>
    <w:rsid w:val="002D396D"/>
    <w:rsid w:val="002D3F0C"/>
    <w:rsid w:val="002D56C4"/>
    <w:rsid w:val="002D5F6F"/>
    <w:rsid w:val="002D646A"/>
    <w:rsid w:val="002E033B"/>
    <w:rsid w:val="002E251A"/>
    <w:rsid w:val="002E63C4"/>
    <w:rsid w:val="002E70F7"/>
    <w:rsid w:val="002F0CEB"/>
    <w:rsid w:val="002F4AC2"/>
    <w:rsid w:val="002F56DF"/>
    <w:rsid w:val="00306029"/>
    <w:rsid w:val="00307B6A"/>
    <w:rsid w:val="00310896"/>
    <w:rsid w:val="00317589"/>
    <w:rsid w:val="003224D4"/>
    <w:rsid w:val="00325A64"/>
    <w:rsid w:val="0032652E"/>
    <w:rsid w:val="00330A4A"/>
    <w:rsid w:val="00330E4B"/>
    <w:rsid w:val="00332F0D"/>
    <w:rsid w:val="003333C5"/>
    <w:rsid w:val="003344AD"/>
    <w:rsid w:val="0033751E"/>
    <w:rsid w:val="00340C1C"/>
    <w:rsid w:val="0034366F"/>
    <w:rsid w:val="00343B9A"/>
    <w:rsid w:val="003528F8"/>
    <w:rsid w:val="00356028"/>
    <w:rsid w:val="0035648A"/>
    <w:rsid w:val="00360448"/>
    <w:rsid w:val="00362F33"/>
    <w:rsid w:val="00363995"/>
    <w:rsid w:val="003645FB"/>
    <w:rsid w:val="00364FE2"/>
    <w:rsid w:val="00365B63"/>
    <w:rsid w:val="00367457"/>
    <w:rsid w:val="003717B3"/>
    <w:rsid w:val="00373A1F"/>
    <w:rsid w:val="003741F2"/>
    <w:rsid w:val="003800BE"/>
    <w:rsid w:val="00386E70"/>
    <w:rsid w:val="00390D1E"/>
    <w:rsid w:val="00393B3B"/>
    <w:rsid w:val="00393E4A"/>
    <w:rsid w:val="0039446E"/>
    <w:rsid w:val="003A62FD"/>
    <w:rsid w:val="003A6499"/>
    <w:rsid w:val="003A76B2"/>
    <w:rsid w:val="003B0AA4"/>
    <w:rsid w:val="003B3D2B"/>
    <w:rsid w:val="003B7008"/>
    <w:rsid w:val="003C07DB"/>
    <w:rsid w:val="003C1F1E"/>
    <w:rsid w:val="003C7065"/>
    <w:rsid w:val="003D5F76"/>
    <w:rsid w:val="003E2EB5"/>
    <w:rsid w:val="003E307B"/>
    <w:rsid w:val="003F0748"/>
    <w:rsid w:val="003F1020"/>
    <w:rsid w:val="003F48C9"/>
    <w:rsid w:val="003F5969"/>
    <w:rsid w:val="003F5A7C"/>
    <w:rsid w:val="00400B40"/>
    <w:rsid w:val="00401392"/>
    <w:rsid w:val="0040480C"/>
    <w:rsid w:val="00407521"/>
    <w:rsid w:val="004108B6"/>
    <w:rsid w:val="004122E1"/>
    <w:rsid w:val="00412375"/>
    <w:rsid w:val="00412E23"/>
    <w:rsid w:val="00413779"/>
    <w:rsid w:val="0041482A"/>
    <w:rsid w:val="00415083"/>
    <w:rsid w:val="00416402"/>
    <w:rsid w:val="00421C1A"/>
    <w:rsid w:val="00421F68"/>
    <w:rsid w:val="0042454D"/>
    <w:rsid w:val="00427C49"/>
    <w:rsid w:val="0043363C"/>
    <w:rsid w:val="004343A2"/>
    <w:rsid w:val="00434773"/>
    <w:rsid w:val="00444F36"/>
    <w:rsid w:val="004454D1"/>
    <w:rsid w:val="004466FD"/>
    <w:rsid w:val="00447C66"/>
    <w:rsid w:val="00450878"/>
    <w:rsid w:val="004561EB"/>
    <w:rsid w:val="004573F3"/>
    <w:rsid w:val="00461F11"/>
    <w:rsid w:val="004625D3"/>
    <w:rsid w:val="0046335F"/>
    <w:rsid w:val="00464BF9"/>
    <w:rsid w:val="00466DB9"/>
    <w:rsid w:val="00471B34"/>
    <w:rsid w:val="004732EB"/>
    <w:rsid w:val="00474673"/>
    <w:rsid w:val="0048044D"/>
    <w:rsid w:val="00483688"/>
    <w:rsid w:val="00483713"/>
    <w:rsid w:val="00485750"/>
    <w:rsid w:val="004874AA"/>
    <w:rsid w:val="00495026"/>
    <w:rsid w:val="00497653"/>
    <w:rsid w:val="004979B2"/>
    <w:rsid w:val="00497ED6"/>
    <w:rsid w:val="004B0DA9"/>
    <w:rsid w:val="004B35D6"/>
    <w:rsid w:val="004B4634"/>
    <w:rsid w:val="004C3078"/>
    <w:rsid w:val="004C4E70"/>
    <w:rsid w:val="004C7581"/>
    <w:rsid w:val="004D21FE"/>
    <w:rsid w:val="004D2E26"/>
    <w:rsid w:val="004D6129"/>
    <w:rsid w:val="004D638C"/>
    <w:rsid w:val="004D71CF"/>
    <w:rsid w:val="004D7B49"/>
    <w:rsid w:val="004E056C"/>
    <w:rsid w:val="004E2817"/>
    <w:rsid w:val="004E67DA"/>
    <w:rsid w:val="004F2AA7"/>
    <w:rsid w:val="004F2B78"/>
    <w:rsid w:val="004F47D3"/>
    <w:rsid w:val="004F4B7F"/>
    <w:rsid w:val="004F5E0C"/>
    <w:rsid w:val="004F6F62"/>
    <w:rsid w:val="005016FB"/>
    <w:rsid w:val="00506B71"/>
    <w:rsid w:val="005076A1"/>
    <w:rsid w:val="00510789"/>
    <w:rsid w:val="00511D17"/>
    <w:rsid w:val="00514489"/>
    <w:rsid w:val="0051699F"/>
    <w:rsid w:val="00516B27"/>
    <w:rsid w:val="00517D40"/>
    <w:rsid w:val="0053372C"/>
    <w:rsid w:val="00534C39"/>
    <w:rsid w:val="00535B35"/>
    <w:rsid w:val="0053627B"/>
    <w:rsid w:val="005414A1"/>
    <w:rsid w:val="00541DDE"/>
    <w:rsid w:val="00542EBC"/>
    <w:rsid w:val="00543C77"/>
    <w:rsid w:val="00545E05"/>
    <w:rsid w:val="00551A96"/>
    <w:rsid w:val="00562AC6"/>
    <w:rsid w:val="00563135"/>
    <w:rsid w:val="00563F21"/>
    <w:rsid w:val="00565963"/>
    <w:rsid w:val="00570814"/>
    <w:rsid w:val="00570B94"/>
    <w:rsid w:val="0057220E"/>
    <w:rsid w:val="0057393D"/>
    <w:rsid w:val="00576D07"/>
    <w:rsid w:val="00577998"/>
    <w:rsid w:val="0058114E"/>
    <w:rsid w:val="00586181"/>
    <w:rsid w:val="00590C94"/>
    <w:rsid w:val="00590D0A"/>
    <w:rsid w:val="00593CED"/>
    <w:rsid w:val="005A051C"/>
    <w:rsid w:val="005A206E"/>
    <w:rsid w:val="005A2353"/>
    <w:rsid w:val="005A4CC5"/>
    <w:rsid w:val="005A55DD"/>
    <w:rsid w:val="005B35BA"/>
    <w:rsid w:val="005B35E7"/>
    <w:rsid w:val="005B39F8"/>
    <w:rsid w:val="005B5A10"/>
    <w:rsid w:val="005B6861"/>
    <w:rsid w:val="005B6D05"/>
    <w:rsid w:val="005C0660"/>
    <w:rsid w:val="005C4497"/>
    <w:rsid w:val="005C53B8"/>
    <w:rsid w:val="005C6D88"/>
    <w:rsid w:val="005C7C08"/>
    <w:rsid w:val="005D22F5"/>
    <w:rsid w:val="005D2C95"/>
    <w:rsid w:val="005D684E"/>
    <w:rsid w:val="005E38E4"/>
    <w:rsid w:val="005E4F7B"/>
    <w:rsid w:val="005F37CE"/>
    <w:rsid w:val="005F53BE"/>
    <w:rsid w:val="00601DD6"/>
    <w:rsid w:val="006038E1"/>
    <w:rsid w:val="00603F71"/>
    <w:rsid w:val="006040F0"/>
    <w:rsid w:val="00611878"/>
    <w:rsid w:val="006208A4"/>
    <w:rsid w:val="006208B1"/>
    <w:rsid w:val="006212D8"/>
    <w:rsid w:val="00622839"/>
    <w:rsid w:val="00622BC4"/>
    <w:rsid w:val="0062548E"/>
    <w:rsid w:val="0062740D"/>
    <w:rsid w:val="00630762"/>
    <w:rsid w:val="00630DCD"/>
    <w:rsid w:val="00632149"/>
    <w:rsid w:val="006359E7"/>
    <w:rsid w:val="00636760"/>
    <w:rsid w:val="00636873"/>
    <w:rsid w:val="0063783A"/>
    <w:rsid w:val="00642BA2"/>
    <w:rsid w:val="00644244"/>
    <w:rsid w:val="00645358"/>
    <w:rsid w:val="00647978"/>
    <w:rsid w:val="006515C9"/>
    <w:rsid w:val="00652318"/>
    <w:rsid w:val="00652743"/>
    <w:rsid w:val="0065638E"/>
    <w:rsid w:val="006606C4"/>
    <w:rsid w:val="006619C4"/>
    <w:rsid w:val="00662174"/>
    <w:rsid w:val="0067005F"/>
    <w:rsid w:val="00674F41"/>
    <w:rsid w:val="00675FDF"/>
    <w:rsid w:val="00677A85"/>
    <w:rsid w:val="0069023A"/>
    <w:rsid w:val="00690F4E"/>
    <w:rsid w:val="00693A25"/>
    <w:rsid w:val="006953CB"/>
    <w:rsid w:val="006A0B0E"/>
    <w:rsid w:val="006A0D86"/>
    <w:rsid w:val="006A1384"/>
    <w:rsid w:val="006A15F8"/>
    <w:rsid w:val="006A48B5"/>
    <w:rsid w:val="006A6064"/>
    <w:rsid w:val="006A69AE"/>
    <w:rsid w:val="006B116B"/>
    <w:rsid w:val="006C0911"/>
    <w:rsid w:val="006C23A1"/>
    <w:rsid w:val="006C243C"/>
    <w:rsid w:val="006C5644"/>
    <w:rsid w:val="006C6A70"/>
    <w:rsid w:val="006D1825"/>
    <w:rsid w:val="006D46FB"/>
    <w:rsid w:val="006E053C"/>
    <w:rsid w:val="006E12C8"/>
    <w:rsid w:val="006E1BBB"/>
    <w:rsid w:val="006E2651"/>
    <w:rsid w:val="006E5175"/>
    <w:rsid w:val="006F09FA"/>
    <w:rsid w:val="006F7F05"/>
    <w:rsid w:val="00706842"/>
    <w:rsid w:val="00713246"/>
    <w:rsid w:val="0071340C"/>
    <w:rsid w:val="00715AA3"/>
    <w:rsid w:val="007205EA"/>
    <w:rsid w:val="00732555"/>
    <w:rsid w:val="007367DE"/>
    <w:rsid w:val="00736CFE"/>
    <w:rsid w:val="00743D6C"/>
    <w:rsid w:val="00744200"/>
    <w:rsid w:val="00744293"/>
    <w:rsid w:val="00744CCA"/>
    <w:rsid w:val="00746204"/>
    <w:rsid w:val="0074674D"/>
    <w:rsid w:val="00747715"/>
    <w:rsid w:val="00750138"/>
    <w:rsid w:val="00753DA3"/>
    <w:rsid w:val="007577C7"/>
    <w:rsid w:val="0075788A"/>
    <w:rsid w:val="00764F50"/>
    <w:rsid w:val="007659DB"/>
    <w:rsid w:val="00770A92"/>
    <w:rsid w:val="00774A47"/>
    <w:rsid w:val="0077716A"/>
    <w:rsid w:val="00781B8B"/>
    <w:rsid w:val="00782AE2"/>
    <w:rsid w:val="00790474"/>
    <w:rsid w:val="00790C65"/>
    <w:rsid w:val="00790CEB"/>
    <w:rsid w:val="00795991"/>
    <w:rsid w:val="007A00A8"/>
    <w:rsid w:val="007A3FB5"/>
    <w:rsid w:val="007A5BAD"/>
    <w:rsid w:val="007A7D45"/>
    <w:rsid w:val="007B12DC"/>
    <w:rsid w:val="007B2E99"/>
    <w:rsid w:val="007B338F"/>
    <w:rsid w:val="007B36EA"/>
    <w:rsid w:val="007B376A"/>
    <w:rsid w:val="007B5137"/>
    <w:rsid w:val="007B67D2"/>
    <w:rsid w:val="007B7B18"/>
    <w:rsid w:val="007C1B00"/>
    <w:rsid w:val="007C56DC"/>
    <w:rsid w:val="007C6754"/>
    <w:rsid w:val="007D0695"/>
    <w:rsid w:val="007D1256"/>
    <w:rsid w:val="007D13D9"/>
    <w:rsid w:val="007D2B49"/>
    <w:rsid w:val="007D31CE"/>
    <w:rsid w:val="007D3B22"/>
    <w:rsid w:val="007D4C8A"/>
    <w:rsid w:val="007D5BB7"/>
    <w:rsid w:val="007D7DBF"/>
    <w:rsid w:val="007E0621"/>
    <w:rsid w:val="007E3DA8"/>
    <w:rsid w:val="007E4E37"/>
    <w:rsid w:val="007F3697"/>
    <w:rsid w:val="007F3D62"/>
    <w:rsid w:val="007F42CB"/>
    <w:rsid w:val="007F4B07"/>
    <w:rsid w:val="007F59B9"/>
    <w:rsid w:val="007F77FD"/>
    <w:rsid w:val="00806CB9"/>
    <w:rsid w:val="008079AA"/>
    <w:rsid w:val="00810D5A"/>
    <w:rsid w:val="0081257B"/>
    <w:rsid w:val="00815CD6"/>
    <w:rsid w:val="00823154"/>
    <w:rsid w:val="00825829"/>
    <w:rsid w:val="00830638"/>
    <w:rsid w:val="008310C1"/>
    <w:rsid w:val="0083488D"/>
    <w:rsid w:val="0083492D"/>
    <w:rsid w:val="00837E4A"/>
    <w:rsid w:val="008466C3"/>
    <w:rsid w:val="00846AC1"/>
    <w:rsid w:val="0084717C"/>
    <w:rsid w:val="00851458"/>
    <w:rsid w:val="0085252E"/>
    <w:rsid w:val="00855419"/>
    <w:rsid w:val="00861A47"/>
    <w:rsid w:val="0086318D"/>
    <w:rsid w:val="00863370"/>
    <w:rsid w:val="00863F53"/>
    <w:rsid w:val="00865DD4"/>
    <w:rsid w:val="008707FF"/>
    <w:rsid w:val="00870852"/>
    <w:rsid w:val="0087179A"/>
    <w:rsid w:val="008724E5"/>
    <w:rsid w:val="008744F4"/>
    <w:rsid w:val="00874EE6"/>
    <w:rsid w:val="008757B8"/>
    <w:rsid w:val="00875C32"/>
    <w:rsid w:val="00880503"/>
    <w:rsid w:val="00880CB1"/>
    <w:rsid w:val="008824C0"/>
    <w:rsid w:val="008917FA"/>
    <w:rsid w:val="00893A52"/>
    <w:rsid w:val="008A6209"/>
    <w:rsid w:val="008B41B1"/>
    <w:rsid w:val="008C0F28"/>
    <w:rsid w:val="008C28BB"/>
    <w:rsid w:val="008C2F90"/>
    <w:rsid w:val="008C49C6"/>
    <w:rsid w:val="008C5307"/>
    <w:rsid w:val="008D29AD"/>
    <w:rsid w:val="008D3BF7"/>
    <w:rsid w:val="008D53B0"/>
    <w:rsid w:val="008D5FF5"/>
    <w:rsid w:val="008D7B22"/>
    <w:rsid w:val="008E0C29"/>
    <w:rsid w:val="008E3BEB"/>
    <w:rsid w:val="008E55E5"/>
    <w:rsid w:val="008E6C76"/>
    <w:rsid w:val="008E7750"/>
    <w:rsid w:val="008E7DC6"/>
    <w:rsid w:val="008E7FA3"/>
    <w:rsid w:val="008F153C"/>
    <w:rsid w:val="008F16C6"/>
    <w:rsid w:val="008F34A1"/>
    <w:rsid w:val="008F4E38"/>
    <w:rsid w:val="008F7B13"/>
    <w:rsid w:val="009001CE"/>
    <w:rsid w:val="00907479"/>
    <w:rsid w:val="00911A07"/>
    <w:rsid w:val="009121CE"/>
    <w:rsid w:val="009127D8"/>
    <w:rsid w:val="00913379"/>
    <w:rsid w:val="00914F8B"/>
    <w:rsid w:val="00915631"/>
    <w:rsid w:val="009167BA"/>
    <w:rsid w:val="00921F65"/>
    <w:rsid w:val="00924B63"/>
    <w:rsid w:val="00925D2E"/>
    <w:rsid w:val="00925E8A"/>
    <w:rsid w:val="00926156"/>
    <w:rsid w:val="00927289"/>
    <w:rsid w:val="0093081B"/>
    <w:rsid w:val="00936A1B"/>
    <w:rsid w:val="00941C6A"/>
    <w:rsid w:val="00942054"/>
    <w:rsid w:val="00945DE1"/>
    <w:rsid w:val="009465CF"/>
    <w:rsid w:val="00947F42"/>
    <w:rsid w:val="0095252B"/>
    <w:rsid w:val="009529A3"/>
    <w:rsid w:val="00952BED"/>
    <w:rsid w:val="00955199"/>
    <w:rsid w:val="00956DFD"/>
    <w:rsid w:val="00962F23"/>
    <w:rsid w:val="00966D45"/>
    <w:rsid w:val="00967CE4"/>
    <w:rsid w:val="009725C0"/>
    <w:rsid w:val="0097349C"/>
    <w:rsid w:val="0097466A"/>
    <w:rsid w:val="0097480B"/>
    <w:rsid w:val="00974A61"/>
    <w:rsid w:val="0097749C"/>
    <w:rsid w:val="00982AE3"/>
    <w:rsid w:val="00987086"/>
    <w:rsid w:val="009A3E97"/>
    <w:rsid w:val="009B175E"/>
    <w:rsid w:val="009B4A6C"/>
    <w:rsid w:val="009B55AC"/>
    <w:rsid w:val="009C7063"/>
    <w:rsid w:val="009C7D48"/>
    <w:rsid w:val="009D10BA"/>
    <w:rsid w:val="009D4547"/>
    <w:rsid w:val="009D5E38"/>
    <w:rsid w:val="009D7BCF"/>
    <w:rsid w:val="009F1659"/>
    <w:rsid w:val="009F20E7"/>
    <w:rsid w:val="009F34A4"/>
    <w:rsid w:val="009F3988"/>
    <w:rsid w:val="009F61A8"/>
    <w:rsid w:val="00A06D9E"/>
    <w:rsid w:val="00A141C5"/>
    <w:rsid w:val="00A150C7"/>
    <w:rsid w:val="00A22E7E"/>
    <w:rsid w:val="00A306BE"/>
    <w:rsid w:val="00A328AA"/>
    <w:rsid w:val="00A32A0E"/>
    <w:rsid w:val="00A337BF"/>
    <w:rsid w:val="00A35B1F"/>
    <w:rsid w:val="00A375F3"/>
    <w:rsid w:val="00A50E04"/>
    <w:rsid w:val="00A519A2"/>
    <w:rsid w:val="00A55A2F"/>
    <w:rsid w:val="00A56E74"/>
    <w:rsid w:val="00A70883"/>
    <w:rsid w:val="00A71481"/>
    <w:rsid w:val="00A71DAE"/>
    <w:rsid w:val="00A77AEB"/>
    <w:rsid w:val="00A84174"/>
    <w:rsid w:val="00A86042"/>
    <w:rsid w:val="00A905B4"/>
    <w:rsid w:val="00A976A7"/>
    <w:rsid w:val="00AA1633"/>
    <w:rsid w:val="00AA444A"/>
    <w:rsid w:val="00AA7556"/>
    <w:rsid w:val="00AB1528"/>
    <w:rsid w:val="00AB424A"/>
    <w:rsid w:val="00AB7A48"/>
    <w:rsid w:val="00AC098C"/>
    <w:rsid w:val="00AC268B"/>
    <w:rsid w:val="00AC5753"/>
    <w:rsid w:val="00AC69E7"/>
    <w:rsid w:val="00AE0E59"/>
    <w:rsid w:val="00AE1B18"/>
    <w:rsid w:val="00AE2243"/>
    <w:rsid w:val="00AE59F7"/>
    <w:rsid w:val="00AE6BC1"/>
    <w:rsid w:val="00AF12D0"/>
    <w:rsid w:val="00AF1760"/>
    <w:rsid w:val="00AF18EA"/>
    <w:rsid w:val="00AF1C32"/>
    <w:rsid w:val="00AF222D"/>
    <w:rsid w:val="00AF2AB6"/>
    <w:rsid w:val="00AF2D08"/>
    <w:rsid w:val="00AF5F45"/>
    <w:rsid w:val="00B03687"/>
    <w:rsid w:val="00B11AE3"/>
    <w:rsid w:val="00B13952"/>
    <w:rsid w:val="00B200D7"/>
    <w:rsid w:val="00B21562"/>
    <w:rsid w:val="00B250FB"/>
    <w:rsid w:val="00B25DFA"/>
    <w:rsid w:val="00B315F7"/>
    <w:rsid w:val="00B356B4"/>
    <w:rsid w:val="00B40DDD"/>
    <w:rsid w:val="00B4216E"/>
    <w:rsid w:val="00B46D2E"/>
    <w:rsid w:val="00B47010"/>
    <w:rsid w:val="00B506AF"/>
    <w:rsid w:val="00B50FAF"/>
    <w:rsid w:val="00B513A4"/>
    <w:rsid w:val="00B549AD"/>
    <w:rsid w:val="00B57CE5"/>
    <w:rsid w:val="00B6167A"/>
    <w:rsid w:val="00B65A3E"/>
    <w:rsid w:val="00B6687B"/>
    <w:rsid w:val="00B66B8E"/>
    <w:rsid w:val="00B75005"/>
    <w:rsid w:val="00B806B6"/>
    <w:rsid w:val="00B82CBF"/>
    <w:rsid w:val="00B918D5"/>
    <w:rsid w:val="00B93BA7"/>
    <w:rsid w:val="00B973B5"/>
    <w:rsid w:val="00BA1929"/>
    <w:rsid w:val="00BA1979"/>
    <w:rsid w:val="00BA3140"/>
    <w:rsid w:val="00BA3BA1"/>
    <w:rsid w:val="00BA5F93"/>
    <w:rsid w:val="00BA6100"/>
    <w:rsid w:val="00BB4603"/>
    <w:rsid w:val="00BB5407"/>
    <w:rsid w:val="00BB737E"/>
    <w:rsid w:val="00BB7696"/>
    <w:rsid w:val="00BC1DD4"/>
    <w:rsid w:val="00BC49CC"/>
    <w:rsid w:val="00BC4FEE"/>
    <w:rsid w:val="00BC6177"/>
    <w:rsid w:val="00BC7948"/>
    <w:rsid w:val="00BD0137"/>
    <w:rsid w:val="00BD28FB"/>
    <w:rsid w:val="00BD59BD"/>
    <w:rsid w:val="00BE0815"/>
    <w:rsid w:val="00BE37F2"/>
    <w:rsid w:val="00BE39C3"/>
    <w:rsid w:val="00BE3DBD"/>
    <w:rsid w:val="00BE4805"/>
    <w:rsid w:val="00BE5B24"/>
    <w:rsid w:val="00BF09AC"/>
    <w:rsid w:val="00BF09DF"/>
    <w:rsid w:val="00BF4EB3"/>
    <w:rsid w:val="00BF5DD4"/>
    <w:rsid w:val="00C0309B"/>
    <w:rsid w:val="00C11AB2"/>
    <w:rsid w:val="00C1651E"/>
    <w:rsid w:val="00C31156"/>
    <w:rsid w:val="00C335F1"/>
    <w:rsid w:val="00C3447C"/>
    <w:rsid w:val="00C35DC9"/>
    <w:rsid w:val="00C373E1"/>
    <w:rsid w:val="00C37ADE"/>
    <w:rsid w:val="00C44E63"/>
    <w:rsid w:val="00C4550D"/>
    <w:rsid w:val="00C47A7A"/>
    <w:rsid w:val="00C5304F"/>
    <w:rsid w:val="00C54CCF"/>
    <w:rsid w:val="00C54EC4"/>
    <w:rsid w:val="00C57F92"/>
    <w:rsid w:val="00C60314"/>
    <w:rsid w:val="00C6353C"/>
    <w:rsid w:val="00C6478B"/>
    <w:rsid w:val="00C65379"/>
    <w:rsid w:val="00C70EFC"/>
    <w:rsid w:val="00C7301C"/>
    <w:rsid w:val="00C748D8"/>
    <w:rsid w:val="00C75295"/>
    <w:rsid w:val="00C75E42"/>
    <w:rsid w:val="00C76CFA"/>
    <w:rsid w:val="00C86AB5"/>
    <w:rsid w:val="00C91644"/>
    <w:rsid w:val="00C92C97"/>
    <w:rsid w:val="00C94877"/>
    <w:rsid w:val="00C95838"/>
    <w:rsid w:val="00C95C87"/>
    <w:rsid w:val="00C96E9A"/>
    <w:rsid w:val="00CA1BCA"/>
    <w:rsid w:val="00CA329D"/>
    <w:rsid w:val="00CA3D3A"/>
    <w:rsid w:val="00CA608E"/>
    <w:rsid w:val="00CA775F"/>
    <w:rsid w:val="00CB0610"/>
    <w:rsid w:val="00CB0F37"/>
    <w:rsid w:val="00CB1B5A"/>
    <w:rsid w:val="00CB37F0"/>
    <w:rsid w:val="00CB53C4"/>
    <w:rsid w:val="00CB7477"/>
    <w:rsid w:val="00CC2B50"/>
    <w:rsid w:val="00CC2BC6"/>
    <w:rsid w:val="00CC6E3E"/>
    <w:rsid w:val="00CC7F39"/>
    <w:rsid w:val="00CD117E"/>
    <w:rsid w:val="00CD2919"/>
    <w:rsid w:val="00CD37C9"/>
    <w:rsid w:val="00CD4F89"/>
    <w:rsid w:val="00CD5C16"/>
    <w:rsid w:val="00CD60E7"/>
    <w:rsid w:val="00CD69DC"/>
    <w:rsid w:val="00CE2586"/>
    <w:rsid w:val="00CE2C5E"/>
    <w:rsid w:val="00CE4D40"/>
    <w:rsid w:val="00CE5A57"/>
    <w:rsid w:val="00CF423A"/>
    <w:rsid w:val="00CF4CB1"/>
    <w:rsid w:val="00CF68E3"/>
    <w:rsid w:val="00CF6B9B"/>
    <w:rsid w:val="00D05000"/>
    <w:rsid w:val="00D17A84"/>
    <w:rsid w:val="00D20301"/>
    <w:rsid w:val="00D265F3"/>
    <w:rsid w:val="00D27988"/>
    <w:rsid w:val="00D302AD"/>
    <w:rsid w:val="00D359BF"/>
    <w:rsid w:val="00D35F17"/>
    <w:rsid w:val="00D404B7"/>
    <w:rsid w:val="00D45C4B"/>
    <w:rsid w:val="00D4612A"/>
    <w:rsid w:val="00D46EBD"/>
    <w:rsid w:val="00D47685"/>
    <w:rsid w:val="00D50BB2"/>
    <w:rsid w:val="00D61835"/>
    <w:rsid w:val="00D62345"/>
    <w:rsid w:val="00D6241A"/>
    <w:rsid w:val="00D6274B"/>
    <w:rsid w:val="00D62F3B"/>
    <w:rsid w:val="00D67EAF"/>
    <w:rsid w:val="00D7450F"/>
    <w:rsid w:val="00D809E5"/>
    <w:rsid w:val="00D80EF2"/>
    <w:rsid w:val="00D816FB"/>
    <w:rsid w:val="00D81948"/>
    <w:rsid w:val="00D81A09"/>
    <w:rsid w:val="00D83A87"/>
    <w:rsid w:val="00D83D37"/>
    <w:rsid w:val="00D84392"/>
    <w:rsid w:val="00D86E1C"/>
    <w:rsid w:val="00D9211F"/>
    <w:rsid w:val="00D92F46"/>
    <w:rsid w:val="00D9501F"/>
    <w:rsid w:val="00D97642"/>
    <w:rsid w:val="00DA1F43"/>
    <w:rsid w:val="00DA5D19"/>
    <w:rsid w:val="00DB02E9"/>
    <w:rsid w:val="00DB11E7"/>
    <w:rsid w:val="00DB24F0"/>
    <w:rsid w:val="00DB257E"/>
    <w:rsid w:val="00DB50D5"/>
    <w:rsid w:val="00DB71FE"/>
    <w:rsid w:val="00DC579D"/>
    <w:rsid w:val="00DC793C"/>
    <w:rsid w:val="00DD196F"/>
    <w:rsid w:val="00DD52EE"/>
    <w:rsid w:val="00DD5652"/>
    <w:rsid w:val="00DE16E4"/>
    <w:rsid w:val="00DE2BB3"/>
    <w:rsid w:val="00DE41B6"/>
    <w:rsid w:val="00DE42A3"/>
    <w:rsid w:val="00DE4316"/>
    <w:rsid w:val="00DF0FD2"/>
    <w:rsid w:val="00DF1B41"/>
    <w:rsid w:val="00DF2F2B"/>
    <w:rsid w:val="00DF3DA3"/>
    <w:rsid w:val="00DF3FB7"/>
    <w:rsid w:val="00DF5209"/>
    <w:rsid w:val="00E01D92"/>
    <w:rsid w:val="00E03C1C"/>
    <w:rsid w:val="00E06A00"/>
    <w:rsid w:val="00E11989"/>
    <w:rsid w:val="00E12D0F"/>
    <w:rsid w:val="00E1329C"/>
    <w:rsid w:val="00E13A4B"/>
    <w:rsid w:val="00E14322"/>
    <w:rsid w:val="00E16477"/>
    <w:rsid w:val="00E21DD0"/>
    <w:rsid w:val="00E22B99"/>
    <w:rsid w:val="00E244F2"/>
    <w:rsid w:val="00E24C45"/>
    <w:rsid w:val="00E253BD"/>
    <w:rsid w:val="00E25791"/>
    <w:rsid w:val="00E258D9"/>
    <w:rsid w:val="00E26E9D"/>
    <w:rsid w:val="00E33432"/>
    <w:rsid w:val="00E3489B"/>
    <w:rsid w:val="00E3509F"/>
    <w:rsid w:val="00E40A50"/>
    <w:rsid w:val="00E41D8D"/>
    <w:rsid w:val="00E425D9"/>
    <w:rsid w:val="00E431DB"/>
    <w:rsid w:val="00E439CA"/>
    <w:rsid w:val="00E47181"/>
    <w:rsid w:val="00E5219B"/>
    <w:rsid w:val="00E525A2"/>
    <w:rsid w:val="00E526E7"/>
    <w:rsid w:val="00E55441"/>
    <w:rsid w:val="00E6404B"/>
    <w:rsid w:val="00E655E6"/>
    <w:rsid w:val="00E66A40"/>
    <w:rsid w:val="00E66F72"/>
    <w:rsid w:val="00E72ADA"/>
    <w:rsid w:val="00E72B36"/>
    <w:rsid w:val="00E75684"/>
    <w:rsid w:val="00E83023"/>
    <w:rsid w:val="00E84D66"/>
    <w:rsid w:val="00E927C4"/>
    <w:rsid w:val="00E93F6E"/>
    <w:rsid w:val="00E95DD2"/>
    <w:rsid w:val="00EA198F"/>
    <w:rsid w:val="00EA1BCF"/>
    <w:rsid w:val="00EA1C60"/>
    <w:rsid w:val="00EA6BED"/>
    <w:rsid w:val="00EB0D7F"/>
    <w:rsid w:val="00EB2220"/>
    <w:rsid w:val="00EB5F42"/>
    <w:rsid w:val="00EB75BF"/>
    <w:rsid w:val="00EB7AF9"/>
    <w:rsid w:val="00EC09B7"/>
    <w:rsid w:val="00EC1CE2"/>
    <w:rsid w:val="00ED2D07"/>
    <w:rsid w:val="00EE3048"/>
    <w:rsid w:val="00EE63C4"/>
    <w:rsid w:val="00EE788E"/>
    <w:rsid w:val="00EF0BCB"/>
    <w:rsid w:val="00EF0E74"/>
    <w:rsid w:val="00EF219E"/>
    <w:rsid w:val="00EF23A1"/>
    <w:rsid w:val="00EF3A9F"/>
    <w:rsid w:val="00EF3B14"/>
    <w:rsid w:val="00EF6D74"/>
    <w:rsid w:val="00EF7C59"/>
    <w:rsid w:val="00F00E8A"/>
    <w:rsid w:val="00F039C0"/>
    <w:rsid w:val="00F12556"/>
    <w:rsid w:val="00F13D37"/>
    <w:rsid w:val="00F228E9"/>
    <w:rsid w:val="00F3025E"/>
    <w:rsid w:val="00F3118C"/>
    <w:rsid w:val="00F315D0"/>
    <w:rsid w:val="00F327DA"/>
    <w:rsid w:val="00F33650"/>
    <w:rsid w:val="00F368F6"/>
    <w:rsid w:val="00F473CB"/>
    <w:rsid w:val="00F47E0D"/>
    <w:rsid w:val="00F50245"/>
    <w:rsid w:val="00F57AD6"/>
    <w:rsid w:val="00F60C42"/>
    <w:rsid w:val="00F63DDA"/>
    <w:rsid w:val="00F70858"/>
    <w:rsid w:val="00F725E2"/>
    <w:rsid w:val="00F7327C"/>
    <w:rsid w:val="00F7397F"/>
    <w:rsid w:val="00F748D8"/>
    <w:rsid w:val="00F7535F"/>
    <w:rsid w:val="00F75949"/>
    <w:rsid w:val="00F76939"/>
    <w:rsid w:val="00F77B74"/>
    <w:rsid w:val="00F845E6"/>
    <w:rsid w:val="00F9165A"/>
    <w:rsid w:val="00F941F0"/>
    <w:rsid w:val="00F953B0"/>
    <w:rsid w:val="00F956AF"/>
    <w:rsid w:val="00FA0D65"/>
    <w:rsid w:val="00FA3037"/>
    <w:rsid w:val="00FA308A"/>
    <w:rsid w:val="00FA311E"/>
    <w:rsid w:val="00FA4A71"/>
    <w:rsid w:val="00FA5A38"/>
    <w:rsid w:val="00FA5EED"/>
    <w:rsid w:val="00FB394B"/>
    <w:rsid w:val="00FB4D6D"/>
    <w:rsid w:val="00FB5E96"/>
    <w:rsid w:val="00FC1A3A"/>
    <w:rsid w:val="00FC229E"/>
    <w:rsid w:val="00FC422C"/>
    <w:rsid w:val="00FC4E4A"/>
    <w:rsid w:val="00FD056A"/>
    <w:rsid w:val="00FD1941"/>
    <w:rsid w:val="00FD3235"/>
    <w:rsid w:val="00FD54BE"/>
    <w:rsid w:val="00FD57D3"/>
    <w:rsid w:val="00FD5F85"/>
    <w:rsid w:val="00FE2565"/>
    <w:rsid w:val="00FE41A9"/>
    <w:rsid w:val="00FE6DAE"/>
    <w:rsid w:val="00FF0F80"/>
    <w:rsid w:val="00FF1DC4"/>
    <w:rsid w:val="00FF268D"/>
    <w:rsid w:val="00FF2B1D"/>
    <w:rsid w:val="00FF792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
    <w:qFormat/>
    <w:rsid w:val="004C75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40FDB"/>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816FB"/>
    <w:rPr>
      <w:color w:val="0000FF" w:themeColor="hyperlink"/>
      <w:u w:val="single"/>
    </w:rPr>
  </w:style>
  <w:style w:type="character" w:styleId="FollowedHyperlink">
    <w:name w:val="FollowedHyperlink"/>
    <w:basedOn w:val="DefaultParagraphFont"/>
    <w:semiHidden/>
    <w:unhideWhenUsed/>
    <w:rsid w:val="00C335F1"/>
    <w:rPr>
      <w:color w:val="800080" w:themeColor="followedHyperlink"/>
      <w:u w:val="single"/>
    </w:rPr>
  </w:style>
  <w:style w:type="character" w:styleId="UnresolvedMention">
    <w:name w:val="Unresolved Mention"/>
    <w:basedOn w:val="DefaultParagraphFont"/>
    <w:uiPriority w:val="99"/>
    <w:semiHidden/>
    <w:unhideWhenUsed/>
    <w:rsid w:val="00EA6BED"/>
    <w:rPr>
      <w:color w:val="605E5C"/>
      <w:shd w:val="clear" w:color="auto" w:fill="E1DFDD"/>
    </w:rPr>
  </w:style>
  <w:style w:type="paragraph" w:styleId="ListParagraph">
    <w:name w:val="List Paragraph"/>
    <w:basedOn w:val="Normal"/>
    <w:uiPriority w:val="34"/>
    <w:qFormat/>
    <w:rsid w:val="007B36EA"/>
    <w:pPr>
      <w:spacing w:after="160" w:line="278" w:lineRule="auto"/>
      <w:ind w:left="720"/>
      <w:contextualSpacing/>
    </w:pPr>
    <w:rPr>
      <w:rFonts w:asciiTheme="minorHAnsi" w:eastAsiaTheme="minorEastAsia" w:hAnsiTheme="minorHAnsi" w:cstheme="minorBidi"/>
      <w:kern w:val="2"/>
      <w:sz w:val="24"/>
      <w:lang w:val="fr-FR" w:eastAsia="zh-CN"/>
      <w14:ligatures w14:val="standardContextual"/>
    </w:rPr>
  </w:style>
  <w:style w:type="character" w:customStyle="1" w:styleId="Heading1Char">
    <w:name w:val="Heading 1 Char"/>
    <w:basedOn w:val="DefaultParagraphFont"/>
    <w:link w:val="Heading1"/>
    <w:rsid w:val="004C7581"/>
    <w:rPr>
      <w:rFonts w:asciiTheme="majorHAnsi" w:eastAsiaTheme="majorEastAsia" w:hAnsiTheme="majorHAnsi" w:cstheme="majorBidi"/>
      <w:color w:val="365F91" w:themeColor="accent1" w:themeShade="BF"/>
      <w:sz w:val="32"/>
      <w:szCs w:val="32"/>
      <w:lang w:val="en-GB"/>
    </w:rPr>
  </w:style>
  <w:style w:type="paragraph" w:styleId="Revision">
    <w:name w:val="Revision"/>
    <w:hidden/>
    <w:semiHidden/>
    <w:rsid w:val="00F47E0D"/>
    <w:rPr>
      <w:rFonts w:ascii="Times New Roman" w:eastAsia="Times New Roman" w:hAnsi="Times New Roman"/>
      <w:sz w:val="22"/>
      <w:szCs w:val="24"/>
      <w:lang w:val="en-GB"/>
    </w:rPr>
  </w:style>
  <w:style w:type="paragraph" w:styleId="NormalWeb">
    <w:name w:val="Normal (Web)"/>
    <w:basedOn w:val="Normal"/>
    <w:uiPriority w:val="99"/>
    <w:semiHidden/>
    <w:unhideWhenUsed/>
    <w:rsid w:val="00DF3FB7"/>
    <w:pPr>
      <w:spacing w:before="100" w:beforeAutospacing="1" w:after="100" w:afterAutospacing="1"/>
    </w:pPr>
    <w:rPr>
      <w:sz w:val="24"/>
      <w:lang w:eastAsia="en-GB"/>
    </w:rPr>
  </w:style>
  <w:style w:type="character" w:styleId="Strong">
    <w:name w:val="Strong"/>
    <w:basedOn w:val="DefaultParagraphFont"/>
    <w:uiPriority w:val="22"/>
    <w:qFormat/>
    <w:rsid w:val="00DF3FB7"/>
    <w:rPr>
      <w:b/>
      <w:bCs/>
    </w:rPr>
  </w:style>
  <w:style w:type="paragraph" w:styleId="FootnoteText">
    <w:name w:val="footnote text"/>
    <w:basedOn w:val="Normal"/>
    <w:link w:val="FootnoteTextChar"/>
    <w:semiHidden/>
    <w:unhideWhenUsed/>
    <w:rsid w:val="00EF3A9F"/>
    <w:pPr>
      <w:spacing w:after="0"/>
    </w:pPr>
    <w:rPr>
      <w:sz w:val="20"/>
      <w:szCs w:val="20"/>
    </w:rPr>
  </w:style>
  <w:style w:type="character" w:customStyle="1" w:styleId="FootnoteTextChar">
    <w:name w:val="Footnote Text Char"/>
    <w:basedOn w:val="DefaultParagraphFont"/>
    <w:link w:val="FootnoteText"/>
    <w:semiHidden/>
    <w:rsid w:val="00EF3A9F"/>
    <w:rPr>
      <w:rFonts w:ascii="Times New Roman" w:eastAsia="Times New Roman" w:hAnsi="Times New Roman"/>
      <w:lang w:val="en-GB"/>
    </w:rPr>
  </w:style>
  <w:style w:type="character" w:styleId="FootnoteReference">
    <w:name w:val="footnote reference"/>
    <w:basedOn w:val="DefaultParagraphFont"/>
    <w:semiHidden/>
    <w:unhideWhenUsed/>
    <w:rsid w:val="00EF3A9F"/>
    <w:rPr>
      <w:vertAlign w:val="superscript"/>
    </w:rPr>
  </w:style>
  <w:style w:type="character" w:customStyle="1" w:styleId="Heading3Char">
    <w:name w:val="Heading 3 Char"/>
    <w:basedOn w:val="DefaultParagraphFont"/>
    <w:link w:val="Heading3"/>
    <w:semiHidden/>
    <w:rsid w:val="00140FDB"/>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19">
      <w:bodyDiv w:val="1"/>
      <w:marLeft w:val="0"/>
      <w:marRight w:val="0"/>
      <w:marTop w:val="0"/>
      <w:marBottom w:val="0"/>
      <w:divBdr>
        <w:top w:val="none" w:sz="0" w:space="0" w:color="auto"/>
        <w:left w:val="none" w:sz="0" w:space="0" w:color="auto"/>
        <w:bottom w:val="none" w:sz="0" w:space="0" w:color="auto"/>
        <w:right w:val="none" w:sz="0" w:space="0" w:color="auto"/>
      </w:divBdr>
    </w:div>
    <w:div w:id="35280451">
      <w:bodyDiv w:val="1"/>
      <w:marLeft w:val="0"/>
      <w:marRight w:val="0"/>
      <w:marTop w:val="0"/>
      <w:marBottom w:val="0"/>
      <w:divBdr>
        <w:top w:val="none" w:sz="0" w:space="0" w:color="auto"/>
        <w:left w:val="none" w:sz="0" w:space="0" w:color="auto"/>
        <w:bottom w:val="none" w:sz="0" w:space="0" w:color="auto"/>
        <w:right w:val="none" w:sz="0" w:space="0" w:color="auto"/>
      </w:divBdr>
    </w:div>
    <w:div w:id="56366408">
      <w:bodyDiv w:val="1"/>
      <w:marLeft w:val="0"/>
      <w:marRight w:val="0"/>
      <w:marTop w:val="0"/>
      <w:marBottom w:val="0"/>
      <w:divBdr>
        <w:top w:val="none" w:sz="0" w:space="0" w:color="auto"/>
        <w:left w:val="none" w:sz="0" w:space="0" w:color="auto"/>
        <w:bottom w:val="none" w:sz="0" w:space="0" w:color="auto"/>
        <w:right w:val="none" w:sz="0" w:space="0" w:color="auto"/>
      </w:divBdr>
    </w:div>
    <w:div w:id="129788900">
      <w:bodyDiv w:val="1"/>
      <w:marLeft w:val="0"/>
      <w:marRight w:val="0"/>
      <w:marTop w:val="0"/>
      <w:marBottom w:val="0"/>
      <w:divBdr>
        <w:top w:val="none" w:sz="0" w:space="0" w:color="auto"/>
        <w:left w:val="none" w:sz="0" w:space="0" w:color="auto"/>
        <w:bottom w:val="none" w:sz="0" w:space="0" w:color="auto"/>
        <w:right w:val="none" w:sz="0" w:space="0" w:color="auto"/>
      </w:divBdr>
    </w:div>
    <w:div w:id="147987308">
      <w:bodyDiv w:val="1"/>
      <w:marLeft w:val="0"/>
      <w:marRight w:val="0"/>
      <w:marTop w:val="0"/>
      <w:marBottom w:val="0"/>
      <w:divBdr>
        <w:top w:val="none" w:sz="0" w:space="0" w:color="auto"/>
        <w:left w:val="none" w:sz="0" w:space="0" w:color="auto"/>
        <w:bottom w:val="none" w:sz="0" w:space="0" w:color="auto"/>
        <w:right w:val="none" w:sz="0" w:space="0" w:color="auto"/>
      </w:divBdr>
    </w:div>
    <w:div w:id="186140392">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83552841">
      <w:bodyDiv w:val="1"/>
      <w:marLeft w:val="0"/>
      <w:marRight w:val="0"/>
      <w:marTop w:val="0"/>
      <w:marBottom w:val="0"/>
      <w:divBdr>
        <w:top w:val="none" w:sz="0" w:space="0" w:color="auto"/>
        <w:left w:val="none" w:sz="0" w:space="0" w:color="auto"/>
        <w:bottom w:val="none" w:sz="0" w:space="0" w:color="auto"/>
        <w:right w:val="none" w:sz="0" w:space="0" w:color="auto"/>
      </w:divBdr>
    </w:div>
    <w:div w:id="691104831">
      <w:bodyDiv w:val="1"/>
      <w:marLeft w:val="0"/>
      <w:marRight w:val="0"/>
      <w:marTop w:val="0"/>
      <w:marBottom w:val="0"/>
      <w:divBdr>
        <w:top w:val="none" w:sz="0" w:space="0" w:color="auto"/>
        <w:left w:val="none" w:sz="0" w:space="0" w:color="auto"/>
        <w:bottom w:val="none" w:sz="0" w:space="0" w:color="auto"/>
        <w:right w:val="none" w:sz="0" w:space="0" w:color="auto"/>
      </w:divBdr>
    </w:div>
    <w:div w:id="692463475">
      <w:bodyDiv w:val="1"/>
      <w:marLeft w:val="0"/>
      <w:marRight w:val="0"/>
      <w:marTop w:val="0"/>
      <w:marBottom w:val="0"/>
      <w:divBdr>
        <w:top w:val="none" w:sz="0" w:space="0" w:color="auto"/>
        <w:left w:val="none" w:sz="0" w:space="0" w:color="auto"/>
        <w:bottom w:val="none" w:sz="0" w:space="0" w:color="auto"/>
        <w:right w:val="none" w:sz="0" w:space="0" w:color="auto"/>
      </w:divBdr>
    </w:div>
    <w:div w:id="706033040">
      <w:bodyDiv w:val="1"/>
      <w:marLeft w:val="0"/>
      <w:marRight w:val="0"/>
      <w:marTop w:val="0"/>
      <w:marBottom w:val="0"/>
      <w:divBdr>
        <w:top w:val="none" w:sz="0" w:space="0" w:color="auto"/>
        <w:left w:val="none" w:sz="0" w:space="0" w:color="auto"/>
        <w:bottom w:val="none" w:sz="0" w:space="0" w:color="auto"/>
        <w:right w:val="none" w:sz="0" w:space="0" w:color="auto"/>
      </w:divBdr>
    </w:div>
    <w:div w:id="719285342">
      <w:bodyDiv w:val="1"/>
      <w:marLeft w:val="0"/>
      <w:marRight w:val="0"/>
      <w:marTop w:val="0"/>
      <w:marBottom w:val="0"/>
      <w:divBdr>
        <w:top w:val="none" w:sz="0" w:space="0" w:color="auto"/>
        <w:left w:val="none" w:sz="0" w:space="0" w:color="auto"/>
        <w:bottom w:val="none" w:sz="0" w:space="0" w:color="auto"/>
        <w:right w:val="none" w:sz="0" w:space="0" w:color="auto"/>
      </w:divBdr>
    </w:div>
    <w:div w:id="749501055">
      <w:bodyDiv w:val="1"/>
      <w:marLeft w:val="0"/>
      <w:marRight w:val="0"/>
      <w:marTop w:val="0"/>
      <w:marBottom w:val="0"/>
      <w:divBdr>
        <w:top w:val="none" w:sz="0" w:space="0" w:color="auto"/>
        <w:left w:val="none" w:sz="0" w:space="0" w:color="auto"/>
        <w:bottom w:val="none" w:sz="0" w:space="0" w:color="auto"/>
        <w:right w:val="none" w:sz="0" w:space="0" w:color="auto"/>
      </w:divBdr>
    </w:div>
    <w:div w:id="881408507">
      <w:bodyDiv w:val="1"/>
      <w:marLeft w:val="0"/>
      <w:marRight w:val="0"/>
      <w:marTop w:val="0"/>
      <w:marBottom w:val="0"/>
      <w:divBdr>
        <w:top w:val="none" w:sz="0" w:space="0" w:color="auto"/>
        <w:left w:val="none" w:sz="0" w:space="0" w:color="auto"/>
        <w:bottom w:val="none" w:sz="0" w:space="0" w:color="auto"/>
        <w:right w:val="none" w:sz="0" w:space="0" w:color="auto"/>
      </w:divBdr>
    </w:div>
    <w:div w:id="979845720">
      <w:bodyDiv w:val="1"/>
      <w:marLeft w:val="0"/>
      <w:marRight w:val="0"/>
      <w:marTop w:val="0"/>
      <w:marBottom w:val="0"/>
      <w:divBdr>
        <w:top w:val="none" w:sz="0" w:space="0" w:color="auto"/>
        <w:left w:val="none" w:sz="0" w:space="0" w:color="auto"/>
        <w:bottom w:val="none" w:sz="0" w:space="0" w:color="auto"/>
        <w:right w:val="none" w:sz="0" w:space="0" w:color="auto"/>
      </w:divBdr>
    </w:div>
    <w:div w:id="1102647539">
      <w:bodyDiv w:val="1"/>
      <w:marLeft w:val="0"/>
      <w:marRight w:val="0"/>
      <w:marTop w:val="0"/>
      <w:marBottom w:val="0"/>
      <w:divBdr>
        <w:top w:val="none" w:sz="0" w:space="0" w:color="auto"/>
        <w:left w:val="none" w:sz="0" w:space="0" w:color="auto"/>
        <w:bottom w:val="none" w:sz="0" w:space="0" w:color="auto"/>
        <w:right w:val="none" w:sz="0" w:space="0" w:color="auto"/>
      </w:divBdr>
    </w:div>
    <w:div w:id="1205484855">
      <w:bodyDiv w:val="1"/>
      <w:marLeft w:val="0"/>
      <w:marRight w:val="0"/>
      <w:marTop w:val="0"/>
      <w:marBottom w:val="0"/>
      <w:divBdr>
        <w:top w:val="none" w:sz="0" w:space="0" w:color="auto"/>
        <w:left w:val="none" w:sz="0" w:space="0" w:color="auto"/>
        <w:bottom w:val="none" w:sz="0" w:space="0" w:color="auto"/>
        <w:right w:val="none" w:sz="0" w:space="0" w:color="auto"/>
      </w:divBdr>
    </w:div>
    <w:div w:id="1293057548">
      <w:bodyDiv w:val="1"/>
      <w:marLeft w:val="0"/>
      <w:marRight w:val="0"/>
      <w:marTop w:val="0"/>
      <w:marBottom w:val="0"/>
      <w:divBdr>
        <w:top w:val="none" w:sz="0" w:space="0" w:color="auto"/>
        <w:left w:val="none" w:sz="0" w:space="0" w:color="auto"/>
        <w:bottom w:val="none" w:sz="0" w:space="0" w:color="auto"/>
        <w:right w:val="none" w:sz="0" w:space="0" w:color="auto"/>
      </w:divBdr>
    </w:div>
    <w:div w:id="1298951346">
      <w:bodyDiv w:val="1"/>
      <w:marLeft w:val="0"/>
      <w:marRight w:val="0"/>
      <w:marTop w:val="0"/>
      <w:marBottom w:val="0"/>
      <w:divBdr>
        <w:top w:val="none" w:sz="0" w:space="0" w:color="auto"/>
        <w:left w:val="none" w:sz="0" w:space="0" w:color="auto"/>
        <w:bottom w:val="none" w:sz="0" w:space="0" w:color="auto"/>
        <w:right w:val="none" w:sz="0" w:space="0" w:color="auto"/>
      </w:divBdr>
    </w:div>
    <w:div w:id="1358198233">
      <w:bodyDiv w:val="1"/>
      <w:marLeft w:val="0"/>
      <w:marRight w:val="0"/>
      <w:marTop w:val="0"/>
      <w:marBottom w:val="0"/>
      <w:divBdr>
        <w:top w:val="none" w:sz="0" w:space="0" w:color="auto"/>
        <w:left w:val="none" w:sz="0" w:space="0" w:color="auto"/>
        <w:bottom w:val="none" w:sz="0" w:space="0" w:color="auto"/>
        <w:right w:val="none" w:sz="0" w:space="0" w:color="auto"/>
      </w:divBdr>
    </w:div>
    <w:div w:id="1400664812">
      <w:bodyDiv w:val="1"/>
      <w:marLeft w:val="0"/>
      <w:marRight w:val="0"/>
      <w:marTop w:val="0"/>
      <w:marBottom w:val="0"/>
      <w:divBdr>
        <w:top w:val="none" w:sz="0" w:space="0" w:color="auto"/>
        <w:left w:val="none" w:sz="0" w:space="0" w:color="auto"/>
        <w:bottom w:val="none" w:sz="0" w:space="0" w:color="auto"/>
        <w:right w:val="none" w:sz="0" w:space="0" w:color="auto"/>
      </w:divBdr>
    </w:div>
    <w:div w:id="1463842832">
      <w:bodyDiv w:val="1"/>
      <w:marLeft w:val="0"/>
      <w:marRight w:val="0"/>
      <w:marTop w:val="0"/>
      <w:marBottom w:val="0"/>
      <w:divBdr>
        <w:top w:val="none" w:sz="0" w:space="0" w:color="auto"/>
        <w:left w:val="none" w:sz="0" w:space="0" w:color="auto"/>
        <w:bottom w:val="none" w:sz="0" w:space="0" w:color="auto"/>
        <w:right w:val="none" w:sz="0" w:space="0" w:color="auto"/>
      </w:divBdr>
    </w:div>
    <w:div w:id="1525826696">
      <w:bodyDiv w:val="1"/>
      <w:marLeft w:val="0"/>
      <w:marRight w:val="0"/>
      <w:marTop w:val="0"/>
      <w:marBottom w:val="0"/>
      <w:divBdr>
        <w:top w:val="none" w:sz="0" w:space="0" w:color="auto"/>
        <w:left w:val="none" w:sz="0" w:space="0" w:color="auto"/>
        <w:bottom w:val="none" w:sz="0" w:space="0" w:color="auto"/>
        <w:right w:val="none" w:sz="0" w:space="0" w:color="auto"/>
      </w:divBdr>
    </w:div>
    <w:div w:id="1633091789">
      <w:bodyDiv w:val="1"/>
      <w:marLeft w:val="0"/>
      <w:marRight w:val="0"/>
      <w:marTop w:val="0"/>
      <w:marBottom w:val="0"/>
      <w:divBdr>
        <w:top w:val="none" w:sz="0" w:space="0" w:color="auto"/>
        <w:left w:val="none" w:sz="0" w:space="0" w:color="auto"/>
        <w:bottom w:val="none" w:sz="0" w:space="0" w:color="auto"/>
        <w:right w:val="none" w:sz="0" w:space="0" w:color="auto"/>
      </w:divBdr>
    </w:div>
    <w:div w:id="1655256186">
      <w:bodyDiv w:val="1"/>
      <w:marLeft w:val="0"/>
      <w:marRight w:val="0"/>
      <w:marTop w:val="0"/>
      <w:marBottom w:val="0"/>
      <w:divBdr>
        <w:top w:val="none" w:sz="0" w:space="0" w:color="auto"/>
        <w:left w:val="none" w:sz="0" w:space="0" w:color="auto"/>
        <w:bottom w:val="none" w:sz="0" w:space="0" w:color="auto"/>
        <w:right w:val="none" w:sz="0" w:space="0" w:color="auto"/>
      </w:divBdr>
    </w:div>
    <w:div w:id="1792091237">
      <w:bodyDiv w:val="1"/>
      <w:marLeft w:val="0"/>
      <w:marRight w:val="0"/>
      <w:marTop w:val="0"/>
      <w:marBottom w:val="0"/>
      <w:divBdr>
        <w:top w:val="none" w:sz="0" w:space="0" w:color="auto"/>
        <w:left w:val="none" w:sz="0" w:space="0" w:color="auto"/>
        <w:bottom w:val="none" w:sz="0" w:space="0" w:color="auto"/>
        <w:right w:val="none" w:sz="0" w:space="0" w:color="auto"/>
      </w:divBdr>
    </w:div>
    <w:div w:id="1798522821">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5672266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3367013">
      <w:bodyDiv w:val="1"/>
      <w:marLeft w:val="0"/>
      <w:marRight w:val="0"/>
      <w:marTop w:val="0"/>
      <w:marBottom w:val="0"/>
      <w:divBdr>
        <w:top w:val="none" w:sz="0" w:space="0" w:color="auto"/>
        <w:left w:val="none" w:sz="0" w:space="0" w:color="auto"/>
        <w:bottom w:val="none" w:sz="0" w:space="0" w:color="auto"/>
        <w:right w:val="none" w:sz="0" w:space="0" w:color="auto"/>
      </w:divBdr>
    </w:div>
    <w:div w:id="20018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6.COM/12" TargetMode="External"/><Relationship Id="rId13" Type="http://schemas.openxmlformats.org/officeDocument/2006/relationships/hyperlink" Target="https://ich.unesco.org/en/projects/strengthening-capacities-at-the-national-and-local-levels-for-the-safeguarding-of-intangible-cultural-heritage-in-the-united-republic-of-tanzania-and-contributing-to-sustainable-development-00481?projectID=00481" TargetMode="External"/><Relationship Id="rId18" Type="http://schemas.openxmlformats.org/officeDocument/2006/relationships/hyperlink" Target="https://ich.unesco.org/en/projects/support-of-the-development-and-implementation-of-capacity-building-activities-for-safeguarding-intangible-cultural-heritage-in-conflict-related-situations-including-situations-of-forced-displacement-00474?projectID=004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doc/src/LHE-25-20.COM-13_EN.docx" TargetMode="External"/><Relationship Id="rId7" Type="http://schemas.openxmlformats.org/officeDocument/2006/relationships/endnotes" Target="endnotes.xml"/><Relationship Id="rId12" Type="http://schemas.openxmlformats.org/officeDocument/2006/relationships/hyperlink" Target="https://ich.unesco.org/en/projects/strengthening-capacities-for-preparing-nomination-files-for-the-lists-of-the-2003-convention-in-small-island-and-developing-states-sids-in-the-caribbean-00502" TargetMode="External"/><Relationship Id="rId17" Type="http://schemas.openxmlformats.org/officeDocument/2006/relationships/hyperlink" Target="https://ich.unesco.org/en/projects/strengthening-capacities-for-safeguarding-intangible-cultural-heritage-in-disaster-contexts-00458?projectID=0045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projects/strengthening-national-capacities-for-safeguarding-intangible-cultural-heritage-and-contributing-to-sustainable-development-in-kenya-00480?projectID=00480" TargetMode="External"/><Relationship Id="rId20" Type="http://schemas.openxmlformats.org/officeDocument/2006/relationships/hyperlink" Target="https://ich.unesco.org/doc/src/LHE-25-20.COM-6.c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projects/practical-handbook-on-periodic-reporting-with-a-self-learning-tool-on-the-overall-results-framework-for-the-implementation-of-the-convention-for-the-safeguarding-of-the-intangible-cultural-heritage-00484?projectID=0048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projects/strengthening-capacities-at-the-national-and-local-levels-for-the-safeguarding-of-intangible-cultural-heritage-in-dominica-00477?projectID=00477" TargetMode="External"/><Relationship Id="rId23" Type="http://schemas.openxmlformats.org/officeDocument/2006/relationships/header" Target="header2.xml"/><Relationship Id="rId10" Type="http://schemas.openxmlformats.org/officeDocument/2006/relationships/hyperlink" Target="https://ich.unesco.org/doc/src/LHE-25-20.COM-13_EN.docx" TargetMode="External"/><Relationship Id="rId19" Type="http://schemas.openxmlformats.org/officeDocument/2006/relationships/hyperlink" Target="https://capacity-building.ich.unesco.org/login/index.php" TargetMode="External"/><Relationship Id="rId4" Type="http://schemas.openxmlformats.org/officeDocument/2006/relationships/settings" Target="settings.xml"/><Relationship Id="rId9" Type="http://schemas.openxmlformats.org/officeDocument/2006/relationships/hyperlink" Target="https://ich.unesco.org/doc/src/LHE-21-16.COM-12-EN.docx" TargetMode="External"/><Relationship Id="rId14" Type="http://schemas.openxmlformats.org/officeDocument/2006/relationships/hyperlink" Target="https://ich.unesco.org/en/projects/capacity-building-for-safeguarding-intangible-cultural-heritage-and-contributing-to-sustainable-development-00475?projectID=00475"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capacity-building-materials" TargetMode="External"/><Relationship Id="rId2" Type="http://schemas.openxmlformats.org/officeDocument/2006/relationships/hyperlink" Target="https://ich.unesco.org/en/capacity-building-materials" TargetMode="External"/><Relationship Id="rId1" Type="http://schemas.openxmlformats.org/officeDocument/2006/relationships/hyperlink" Target="https://ich.unesco.org/doc/src/LHE-21-16.COM-12-EN.docx" TargetMode="External"/><Relationship Id="rId5" Type="http://schemas.openxmlformats.org/officeDocument/2006/relationships/hyperlink" Target="https://ich.unesco.org/en/capacity-building-materials" TargetMode="External"/><Relationship Id="rId4" Type="http://schemas.openxmlformats.org/officeDocument/2006/relationships/hyperlink" Target="https://ich.unesco.org/en/capacity-building-material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4</TotalTime>
  <Pages>5</Pages>
  <Words>2546</Words>
  <Characters>14006</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6</cp:revision>
  <cp:lastPrinted>2025-11-21T18:30:00Z</cp:lastPrinted>
  <dcterms:created xsi:type="dcterms:W3CDTF">2025-11-25T16:59:00Z</dcterms:created>
  <dcterms:modified xsi:type="dcterms:W3CDTF">2025-11-28T18:18:00Z</dcterms:modified>
</cp:coreProperties>
</file>