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3B896E31" w:rsidR="00BC3420" w:rsidRPr="00503070" w:rsidRDefault="00BC3420" w:rsidP="124305AE">
      <w:pPr>
        <w:spacing w:before="1440"/>
        <w:jc w:val="center"/>
        <w:rPr>
          <w:rFonts w:ascii="Arial" w:hAnsi="Arial" w:cs="Arial"/>
          <w:b/>
          <w:bCs/>
          <w:sz w:val="22"/>
          <w:szCs w:val="22"/>
        </w:rPr>
      </w:pPr>
      <w:r w:rsidRPr="00503070">
        <w:rPr>
          <w:rFonts w:ascii="Arial" w:hAnsi="Arial" w:cs="Arial"/>
          <w:b/>
          <w:bCs/>
          <w:sz w:val="22"/>
          <w:szCs w:val="22"/>
        </w:rPr>
        <w:t>CONVENTION POUR LA SAUVEGARDE DU</w:t>
      </w:r>
      <w:r w:rsidRPr="00503070">
        <w:br/>
      </w:r>
      <w:r w:rsidRPr="00503070">
        <w:rPr>
          <w:rFonts w:ascii="Arial" w:hAnsi="Arial" w:cs="Arial"/>
          <w:b/>
          <w:bCs/>
          <w:sz w:val="22"/>
          <w:szCs w:val="22"/>
        </w:rPr>
        <w:t>PATRIMOINE CULTUREL IMMATÉRIEL</w:t>
      </w:r>
    </w:p>
    <w:p w14:paraId="2F1AD104" w14:textId="77777777" w:rsidR="00BC3420" w:rsidRPr="00503070" w:rsidRDefault="00BC3420" w:rsidP="00BC3420">
      <w:pPr>
        <w:spacing w:before="1200"/>
        <w:jc w:val="center"/>
        <w:rPr>
          <w:rFonts w:ascii="Arial" w:hAnsi="Arial" w:cs="Arial"/>
          <w:b/>
          <w:sz w:val="22"/>
          <w:szCs w:val="22"/>
        </w:rPr>
      </w:pPr>
      <w:r w:rsidRPr="00503070">
        <w:rPr>
          <w:rFonts w:ascii="Arial" w:hAnsi="Arial" w:cs="Arial"/>
          <w:b/>
          <w:sz w:val="22"/>
          <w:szCs w:val="22"/>
        </w:rPr>
        <w:t>COMITÉ INTERGOUVERNEMENTAL DE SAUVEGARDE</w:t>
      </w:r>
      <w:r w:rsidRPr="00503070">
        <w:rPr>
          <w:rFonts w:ascii="Arial" w:hAnsi="Arial" w:cs="Arial"/>
          <w:b/>
          <w:sz w:val="22"/>
          <w:szCs w:val="22"/>
        </w:rPr>
        <w:br/>
        <w:t>DU PATRIMOINE CULTUREL IMMATÉRIEL</w:t>
      </w:r>
    </w:p>
    <w:p w14:paraId="32D15B6C" w14:textId="453CFCF5" w:rsidR="00BC3420" w:rsidRPr="00503070" w:rsidRDefault="00787CC3" w:rsidP="00F4581D">
      <w:pPr>
        <w:spacing w:before="840"/>
        <w:jc w:val="center"/>
        <w:rPr>
          <w:rFonts w:ascii="Arial" w:hAnsi="Arial" w:cs="Arial"/>
          <w:b/>
          <w:sz w:val="22"/>
          <w:szCs w:val="22"/>
        </w:rPr>
      </w:pPr>
      <w:r w:rsidRPr="00503070">
        <w:rPr>
          <w:rFonts w:ascii="Arial" w:hAnsi="Arial" w:cs="Arial"/>
          <w:b/>
          <w:sz w:val="22"/>
          <w:szCs w:val="22"/>
        </w:rPr>
        <w:t>Vingtième</w:t>
      </w:r>
      <w:r w:rsidR="00F4581D" w:rsidRPr="00503070">
        <w:rPr>
          <w:rFonts w:ascii="Arial" w:hAnsi="Arial" w:cs="Arial"/>
          <w:b/>
          <w:sz w:val="22"/>
          <w:szCs w:val="22"/>
        </w:rPr>
        <w:t xml:space="preserve"> </w:t>
      </w:r>
      <w:r w:rsidR="00BC3420" w:rsidRPr="00503070">
        <w:rPr>
          <w:rFonts w:ascii="Arial" w:hAnsi="Arial" w:cs="Arial"/>
          <w:b/>
          <w:sz w:val="22"/>
          <w:szCs w:val="22"/>
        </w:rPr>
        <w:t>session</w:t>
      </w:r>
    </w:p>
    <w:p w14:paraId="7EBE7B2D" w14:textId="77777777" w:rsidR="00F2668B" w:rsidRPr="00503070" w:rsidRDefault="00F2668B" w:rsidP="00F2668B">
      <w:pPr>
        <w:jc w:val="center"/>
        <w:rPr>
          <w:rFonts w:ascii="Arial" w:hAnsi="Arial"/>
          <w:b/>
          <w:sz w:val="22"/>
        </w:rPr>
      </w:pPr>
      <w:r w:rsidRPr="00503070">
        <w:rPr>
          <w:rFonts w:ascii="Arial" w:hAnsi="Arial"/>
          <w:b/>
          <w:sz w:val="22"/>
        </w:rPr>
        <w:t>New Delhi, République de l’Inde</w:t>
      </w:r>
    </w:p>
    <w:p w14:paraId="2860DD1A" w14:textId="7AA90586" w:rsidR="00E53C10" w:rsidRPr="00503070" w:rsidRDefault="00F2668B" w:rsidP="00E53C10">
      <w:pPr>
        <w:jc w:val="center"/>
        <w:rPr>
          <w:rFonts w:ascii="Arial" w:hAnsi="Arial"/>
          <w:b/>
          <w:sz w:val="22"/>
        </w:rPr>
      </w:pPr>
      <w:r w:rsidRPr="007C16AD">
        <w:rPr>
          <w:rFonts w:ascii="Arial" w:hAnsi="Arial"/>
          <w:b/>
          <w:sz w:val="22"/>
        </w:rPr>
        <w:t>8</w:t>
      </w:r>
      <w:r w:rsidR="00171986" w:rsidRPr="007C16AD">
        <w:rPr>
          <w:rFonts w:ascii="Arial" w:hAnsi="Arial"/>
          <w:b/>
          <w:sz w:val="22"/>
        </w:rPr>
        <w:t xml:space="preserve"> </w:t>
      </w:r>
      <w:r w:rsidRPr="007C16AD">
        <w:rPr>
          <w:rFonts w:ascii="Arial" w:hAnsi="Arial"/>
          <w:b/>
          <w:sz w:val="22"/>
        </w:rPr>
        <w:t>-</w:t>
      </w:r>
      <w:r w:rsidR="00F4581D" w:rsidRPr="007C16AD">
        <w:rPr>
          <w:rFonts w:ascii="Arial" w:hAnsi="Arial"/>
          <w:b/>
          <w:sz w:val="22"/>
        </w:rPr>
        <w:t xml:space="preserve"> </w:t>
      </w:r>
      <w:r w:rsidRPr="007C16AD">
        <w:rPr>
          <w:rFonts w:ascii="Arial" w:hAnsi="Arial"/>
          <w:b/>
          <w:sz w:val="22"/>
        </w:rPr>
        <w:t>1</w:t>
      </w:r>
      <w:r w:rsidR="009F1897" w:rsidRPr="007C16AD">
        <w:rPr>
          <w:rFonts w:ascii="Arial" w:hAnsi="Arial"/>
          <w:b/>
          <w:sz w:val="22"/>
        </w:rPr>
        <w:t>2</w:t>
      </w:r>
      <w:r w:rsidR="00152033" w:rsidRPr="00503070">
        <w:rPr>
          <w:rFonts w:ascii="Arial" w:hAnsi="Arial"/>
          <w:b/>
          <w:sz w:val="22"/>
        </w:rPr>
        <w:t xml:space="preserve"> </w:t>
      </w:r>
      <w:r w:rsidR="00F4581D" w:rsidRPr="00503070">
        <w:rPr>
          <w:rFonts w:ascii="Arial" w:hAnsi="Arial"/>
          <w:b/>
          <w:sz w:val="22"/>
        </w:rPr>
        <w:t>décembre</w:t>
      </w:r>
      <w:r w:rsidR="003B15E9" w:rsidRPr="00503070">
        <w:rPr>
          <w:rFonts w:ascii="Arial" w:hAnsi="Arial"/>
          <w:b/>
          <w:sz w:val="22"/>
        </w:rPr>
        <w:t xml:space="preserve"> </w:t>
      </w:r>
      <w:r w:rsidR="00F4581D" w:rsidRPr="00503070">
        <w:rPr>
          <w:rFonts w:ascii="Arial" w:hAnsi="Arial"/>
          <w:b/>
          <w:sz w:val="22"/>
        </w:rPr>
        <w:t>202</w:t>
      </w:r>
      <w:r w:rsidRPr="00503070">
        <w:rPr>
          <w:rFonts w:ascii="Arial" w:hAnsi="Arial"/>
          <w:b/>
          <w:sz w:val="22"/>
        </w:rPr>
        <w:t>5</w:t>
      </w:r>
    </w:p>
    <w:p w14:paraId="671A7D57" w14:textId="5217374D" w:rsidR="00E53C10" w:rsidRPr="00503070" w:rsidRDefault="00E53C10" w:rsidP="00E53C10">
      <w:pPr>
        <w:pStyle w:val="Sansinterligne2"/>
        <w:spacing w:before="1200"/>
        <w:jc w:val="center"/>
        <w:rPr>
          <w:rFonts w:ascii="Arial" w:hAnsi="Arial" w:cs="Arial"/>
          <w:b/>
          <w:sz w:val="22"/>
          <w:szCs w:val="22"/>
          <w:u w:val="single"/>
        </w:rPr>
      </w:pPr>
      <w:r w:rsidRPr="00503070">
        <w:rPr>
          <w:rFonts w:ascii="Arial" w:hAnsi="Arial" w:cs="Arial"/>
          <w:b/>
          <w:sz w:val="22"/>
          <w:szCs w:val="22"/>
          <w:u w:val="single"/>
        </w:rPr>
        <w:t>DÉCISIONS</w:t>
      </w:r>
    </w:p>
    <w:p w14:paraId="5072A522" w14:textId="77777777" w:rsidR="009B5302" w:rsidRPr="00503070" w:rsidRDefault="00BC3420" w:rsidP="00414F67">
      <w:pPr>
        <w:pStyle w:val="COMTitleDecision"/>
      </w:pPr>
      <w:r w:rsidRPr="00503070">
        <w:br w:type="page"/>
      </w:r>
    </w:p>
    <w:p w14:paraId="447F4B90" w14:textId="4DBF051B" w:rsidR="00E53C10" w:rsidRPr="00503070" w:rsidRDefault="00E53C10" w:rsidP="00414F67">
      <w:pPr>
        <w:pStyle w:val="COMTitleDecision"/>
      </w:pPr>
      <w:r w:rsidRPr="00503070">
        <w:lastRenderedPageBreak/>
        <w:t xml:space="preserve">DÉCISION </w:t>
      </w:r>
      <w:r w:rsidR="00F736D9" w:rsidRPr="00503070">
        <w:t>20</w:t>
      </w:r>
      <w:r w:rsidRPr="00503070">
        <w:t xml:space="preserve">.COM </w:t>
      </w:r>
      <w:r w:rsidR="00F736D9" w:rsidRPr="00503070">
        <w:t>2</w:t>
      </w:r>
    </w:p>
    <w:p w14:paraId="6282A4FC" w14:textId="77777777" w:rsidR="00E53C10" w:rsidRPr="00503070" w:rsidRDefault="00E53C10" w:rsidP="00E53C10">
      <w:pPr>
        <w:pStyle w:val="COMPreambulaDecisions"/>
        <w:ind w:left="0"/>
      </w:pPr>
      <w:r w:rsidRPr="00503070">
        <w:t>Le Comité,</w:t>
      </w:r>
    </w:p>
    <w:p w14:paraId="490030F0" w14:textId="6437ABB6" w:rsidR="00E53C10" w:rsidRPr="00503070" w:rsidRDefault="00E53C10" w:rsidP="004576CC">
      <w:pPr>
        <w:pStyle w:val="COMParaDecision"/>
        <w:numPr>
          <w:ilvl w:val="0"/>
          <w:numId w:val="4"/>
        </w:numPr>
        <w:ind w:left="567" w:hanging="567"/>
        <w:rPr>
          <w:rFonts w:eastAsia="SimSun"/>
        </w:rPr>
      </w:pPr>
      <w:r w:rsidRPr="00503070">
        <w:rPr>
          <w:rFonts w:eastAsia="SimSun"/>
        </w:rPr>
        <w:t xml:space="preserve">Ayant examiné </w:t>
      </w:r>
      <w:r w:rsidRPr="00503070">
        <w:rPr>
          <w:rFonts w:eastAsia="SimSun"/>
          <w:u w:val="none"/>
        </w:rPr>
        <w:t>le</w:t>
      </w:r>
      <w:r w:rsidR="00D14AE1" w:rsidRPr="00503070">
        <w:rPr>
          <w:u w:val="none"/>
        </w:rPr>
        <w:t xml:space="preserve"> document </w:t>
      </w:r>
      <w:hyperlink r:id="rId10" w:history="1">
        <w:r w:rsidR="00D14AE1" w:rsidRPr="00503070">
          <w:rPr>
            <w:rStyle w:val="Hyperlink"/>
          </w:rPr>
          <w:t>LHE/25/20.COM/2</w:t>
        </w:r>
      </w:hyperlink>
      <w:r w:rsidR="00D14AE1" w:rsidRPr="00503070">
        <w:rPr>
          <w:u w:val="none"/>
        </w:rPr>
        <w:t>,</w:t>
      </w:r>
    </w:p>
    <w:p w14:paraId="1EBC5F88" w14:textId="77777777" w:rsidR="00A251EC" w:rsidRPr="00503070" w:rsidRDefault="00A251EC" w:rsidP="004576CC">
      <w:pPr>
        <w:pStyle w:val="COMParaDecision"/>
        <w:numPr>
          <w:ilvl w:val="0"/>
          <w:numId w:val="4"/>
        </w:numPr>
        <w:ind w:left="567" w:hanging="567"/>
        <w:rPr>
          <w:u w:val="none"/>
        </w:rPr>
      </w:pPr>
      <w:r w:rsidRPr="00503070">
        <w:rPr>
          <w:rFonts w:eastAsia="SimSun"/>
        </w:rPr>
        <w:t>Adopte</w:t>
      </w:r>
      <w:r w:rsidRPr="00503070">
        <w:rPr>
          <w:u w:val="none"/>
        </w:rPr>
        <w:t xml:space="preserve"> l’ordre du jour de sa vingtième session (New Delhi, République de l’Inde, 8 – 13 décembre 2025) comme suit :</w:t>
      </w:r>
    </w:p>
    <w:p w14:paraId="3BA9A405" w14:textId="77777777" w:rsidR="00A251EC" w:rsidRPr="00503070" w:rsidRDefault="00A251EC" w:rsidP="00BE4154">
      <w:pPr>
        <w:pStyle w:val="COMPreambulaDecisions"/>
        <w:spacing w:before="240"/>
        <w:ind w:left="0"/>
        <w:rPr>
          <w:rFonts w:eastAsia="SimSun"/>
          <w:b/>
          <w:lang w:val="en-GB"/>
        </w:rPr>
      </w:pPr>
      <w:r w:rsidRPr="00503070">
        <w:rPr>
          <w:b/>
          <w:bCs/>
        </w:rPr>
        <w:t xml:space="preserve">Ordre du </w:t>
      </w:r>
      <w:r w:rsidRPr="00503070">
        <w:rPr>
          <w:b/>
          <w:bCs/>
        </w:rPr>
        <w:t>jour</w:t>
      </w:r>
    </w:p>
    <w:p w14:paraId="760635D2" w14:textId="2D447A31" w:rsidR="00A251EC" w:rsidRPr="00503070" w:rsidRDefault="00A251EC" w:rsidP="001E17AF">
      <w:pPr>
        <w:pStyle w:val="COMParaDecision"/>
        <w:numPr>
          <w:ilvl w:val="0"/>
          <w:numId w:val="22"/>
        </w:numPr>
        <w:spacing w:after="160"/>
        <w:ind w:left="567" w:hanging="567"/>
        <w:jc w:val="left"/>
        <w:rPr>
          <w:u w:val="none"/>
        </w:rPr>
      </w:pPr>
      <w:r w:rsidRPr="00503070">
        <w:rPr>
          <w:u w:val="none"/>
        </w:rPr>
        <w:t>Ouverture</w:t>
      </w:r>
    </w:p>
    <w:p w14:paraId="674BA99B" w14:textId="3710704F" w:rsidR="00A251EC" w:rsidRPr="00503070" w:rsidRDefault="00A251EC" w:rsidP="001E17AF">
      <w:pPr>
        <w:pStyle w:val="COMParaDecision"/>
        <w:numPr>
          <w:ilvl w:val="0"/>
          <w:numId w:val="22"/>
        </w:numPr>
        <w:spacing w:after="160"/>
        <w:ind w:left="567" w:hanging="567"/>
        <w:jc w:val="left"/>
        <w:rPr>
          <w:u w:val="none"/>
        </w:rPr>
      </w:pPr>
      <w:r w:rsidRPr="00503070">
        <w:rPr>
          <w:u w:val="none"/>
        </w:rPr>
        <w:t>Adoption de l’ordre du jour</w:t>
      </w:r>
    </w:p>
    <w:p w14:paraId="5CB683F0" w14:textId="0CB15D9F" w:rsidR="00A251EC" w:rsidRPr="00503070" w:rsidRDefault="00A251EC" w:rsidP="001E17AF">
      <w:pPr>
        <w:pStyle w:val="COMParaDecision"/>
        <w:numPr>
          <w:ilvl w:val="0"/>
          <w:numId w:val="22"/>
        </w:numPr>
        <w:spacing w:after="160"/>
        <w:ind w:left="567" w:hanging="567"/>
        <w:jc w:val="left"/>
        <w:rPr>
          <w:u w:val="none"/>
        </w:rPr>
      </w:pPr>
      <w:r w:rsidRPr="00503070">
        <w:rPr>
          <w:u w:val="none"/>
        </w:rPr>
        <w:t>Observateurs</w:t>
      </w:r>
    </w:p>
    <w:p w14:paraId="60F065DA" w14:textId="77777777" w:rsidR="00A251EC" w:rsidRPr="00503070" w:rsidRDefault="00A251EC" w:rsidP="001E17AF">
      <w:pPr>
        <w:pStyle w:val="COMParaDecision"/>
        <w:numPr>
          <w:ilvl w:val="0"/>
          <w:numId w:val="22"/>
        </w:numPr>
        <w:spacing w:after="160"/>
        <w:ind w:left="567" w:hanging="567"/>
        <w:jc w:val="left"/>
        <w:rPr>
          <w:u w:val="none"/>
        </w:rPr>
      </w:pPr>
      <w:r w:rsidRPr="00503070">
        <w:rPr>
          <w:u w:val="none"/>
        </w:rPr>
        <w:t>Adoption du compte-rendu de la dix-neuvième session du Comité</w:t>
      </w:r>
    </w:p>
    <w:p w14:paraId="018049F8" w14:textId="77777777" w:rsidR="00A251EC" w:rsidRPr="00503070" w:rsidRDefault="00A251EC" w:rsidP="001E17AF">
      <w:pPr>
        <w:pStyle w:val="COMParaDecision"/>
        <w:numPr>
          <w:ilvl w:val="0"/>
          <w:numId w:val="22"/>
        </w:numPr>
        <w:spacing w:after="160"/>
        <w:ind w:left="567" w:hanging="567"/>
        <w:rPr>
          <w:u w:val="none"/>
        </w:rPr>
      </w:pPr>
      <w:r w:rsidRPr="00503070">
        <w:rPr>
          <w:u w:val="none"/>
        </w:rPr>
        <w:t>Rapport du Secrétariat sur ses activités (de janvier 2024 à juin 2025)</w:t>
      </w:r>
    </w:p>
    <w:p w14:paraId="31A2668B" w14:textId="77777777" w:rsidR="00A251EC" w:rsidRPr="00503070" w:rsidRDefault="00A251EC" w:rsidP="001E17AF">
      <w:pPr>
        <w:pStyle w:val="COMParaDecision"/>
        <w:numPr>
          <w:ilvl w:val="0"/>
          <w:numId w:val="22"/>
        </w:numPr>
        <w:spacing w:after="160"/>
        <w:ind w:left="567" w:hanging="567"/>
        <w:rPr>
          <w:u w:val="none"/>
        </w:rPr>
      </w:pPr>
      <w:r w:rsidRPr="00503070">
        <w:rPr>
          <w:u w:val="none"/>
        </w:rPr>
        <w:t>Rapports périodiques</w:t>
      </w:r>
    </w:p>
    <w:p w14:paraId="3E44A5DC" w14:textId="77777777" w:rsidR="00A251EC" w:rsidRPr="00503070" w:rsidRDefault="00A251EC" w:rsidP="001E17AF">
      <w:pPr>
        <w:pStyle w:val="COMParaDecision"/>
        <w:numPr>
          <w:ilvl w:val="1"/>
          <w:numId w:val="22"/>
        </w:numPr>
        <w:spacing w:after="160"/>
        <w:ind w:left="1134" w:hanging="567"/>
        <w:rPr>
          <w:u w:val="none"/>
        </w:rPr>
      </w:pPr>
      <w:r w:rsidRPr="00503070">
        <w:rPr>
          <w:u w:val="none"/>
        </w:rPr>
        <w:t xml:space="preserve">Examen </w:t>
      </w:r>
      <w:r w:rsidRPr="00503070">
        <w:rPr>
          <w:u w:val="none"/>
        </w:rPr>
        <w:t>des rapports des États parties sur l’état actuel des éléments inscrits sur la Liste du patrimoine culturel immatériel nécessitant une sauvegarde urgente</w:t>
      </w:r>
    </w:p>
    <w:p w14:paraId="6A9BB336" w14:textId="77777777" w:rsidR="00A251EC" w:rsidRPr="00503070" w:rsidRDefault="00A251EC" w:rsidP="001E17AF">
      <w:pPr>
        <w:pStyle w:val="COMParaDecision"/>
        <w:numPr>
          <w:ilvl w:val="1"/>
          <w:numId w:val="22"/>
        </w:numPr>
        <w:spacing w:after="160"/>
        <w:ind w:left="1134" w:hanging="567"/>
        <w:rPr>
          <w:u w:val="none"/>
        </w:rPr>
      </w:pPr>
      <w:r w:rsidRPr="00503070">
        <w:rPr>
          <w:u w:val="none"/>
        </w:rPr>
        <w:t>Examen des rapports du cycle régional de rapports périodiques sur la mise en œuvre de la Convention et sur l’état actuel des éléments inscrits sur la Liste représentative du patrimoine culturel immatériel de l’humanité des États parties en Asie et dans le Pacifique</w:t>
      </w:r>
    </w:p>
    <w:p w14:paraId="72370F4E" w14:textId="77777777" w:rsidR="00A251EC" w:rsidRPr="00503070" w:rsidRDefault="00A251EC" w:rsidP="001E17AF">
      <w:pPr>
        <w:pStyle w:val="COMParaDecision"/>
        <w:numPr>
          <w:ilvl w:val="1"/>
          <w:numId w:val="22"/>
        </w:numPr>
        <w:spacing w:after="160"/>
        <w:ind w:left="1134" w:hanging="567"/>
        <w:rPr>
          <w:u w:val="none"/>
        </w:rPr>
      </w:pPr>
      <w:r w:rsidRPr="00503070">
        <w:rPr>
          <w:u w:val="none"/>
        </w:rPr>
        <w:t>Point sur les cycles régionaux de rapports périodiques de la Convention et proposition d’amendements connexes aux Directives opérationnelles</w:t>
      </w:r>
    </w:p>
    <w:p w14:paraId="45532ABB" w14:textId="77777777" w:rsidR="00A251EC" w:rsidRPr="00503070" w:rsidRDefault="00A251EC" w:rsidP="001E17AF">
      <w:pPr>
        <w:pStyle w:val="COMParaDecision"/>
        <w:numPr>
          <w:ilvl w:val="0"/>
          <w:numId w:val="22"/>
        </w:numPr>
        <w:spacing w:after="160"/>
        <w:ind w:left="567" w:hanging="567"/>
        <w:rPr>
          <w:u w:val="none"/>
        </w:rPr>
      </w:pPr>
      <w:r w:rsidRPr="00503070">
        <w:rPr>
          <w:u w:val="none"/>
        </w:rPr>
        <w:t>Rapport de l’Organe d’évaluation sur ses travaux en 2025</w:t>
      </w:r>
    </w:p>
    <w:p w14:paraId="229B2A77" w14:textId="77777777" w:rsidR="00A251EC" w:rsidRPr="00503070" w:rsidRDefault="00A251EC" w:rsidP="001E17AF">
      <w:pPr>
        <w:pStyle w:val="COMParaDecision"/>
        <w:numPr>
          <w:ilvl w:val="1"/>
          <w:numId w:val="22"/>
        </w:numPr>
        <w:spacing w:after="160"/>
        <w:ind w:left="1134" w:hanging="567"/>
        <w:rPr>
          <w:u w:val="none"/>
        </w:rPr>
      </w:pPr>
      <w:r w:rsidRPr="00503070">
        <w:rPr>
          <w:u w:val="none"/>
        </w:rPr>
        <w:t>Examen des candidatures pour inscription sur la Liste du patrimoine culturel immatériel nécessitant une sauvegarde urgente</w:t>
      </w:r>
    </w:p>
    <w:p w14:paraId="35B8EB9A" w14:textId="77777777" w:rsidR="00A251EC" w:rsidRPr="00503070" w:rsidRDefault="00A251EC" w:rsidP="001E17AF">
      <w:pPr>
        <w:pStyle w:val="COMParaDecision"/>
        <w:numPr>
          <w:ilvl w:val="1"/>
          <w:numId w:val="22"/>
        </w:numPr>
        <w:spacing w:after="160"/>
        <w:ind w:left="1134" w:hanging="567"/>
        <w:rPr>
          <w:u w:val="none"/>
        </w:rPr>
      </w:pPr>
      <w:r w:rsidRPr="00503070">
        <w:rPr>
          <w:u w:val="none"/>
        </w:rPr>
        <w:t>Examen des candidatures pour inscription sur la Liste représentative du patrimoine culturel immatériel de l’humanité</w:t>
      </w:r>
    </w:p>
    <w:p w14:paraId="12333AA8" w14:textId="77777777" w:rsidR="00A251EC" w:rsidRPr="00503070" w:rsidRDefault="00A251EC" w:rsidP="001E17AF">
      <w:pPr>
        <w:pStyle w:val="COMParaDecision"/>
        <w:numPr>
          <w:ilvl w:val="1"/>
          <w:numId w:val="22"/>
        </w:numPr>
        <w:spacing w:after="160"/>
        <w:ind w:left="1134" w:hanging="567"/>
        <w:rPr>
          <w:u w:val="none"/>
        </w:rPr>
      </w:pPr>
      <w:r w:rsidRPr="00503070">
        <w:rPr>
          <w:u w:val="none"/>
        </w:rPr>
        <w:t>Examen des demandes de transfert d’éléments d’une liste à l’autre</w:t>
      </w:r>
    </w:p>
    <w:p w14:paraId="525DEBFD" w14:textId="77777777" w:rsidR="00A251EC" w:rsidRPr="00503070" w:rsidRDefault="00A251EC" w:rsidP="001E17AF">
      <w:pPr>
        <w:pStyle w:val="COMParaDecision"/>
        <w:numPr>
          <w:ilvl w:val="1"/>
          <w:numId w:val="22"/>
        </w:numPr>
        <w:spacing w:after="160"/>
        <w:ind w:left="1134" w:hanging="567"/>
        <w:rPr>
          <w:u w:val="none"/>
        </w:rPr>
      </w:pPr>
      <w:r w:rsidRPr="00503070">
        <w:rPr>
          <w:u w:val="none"/>
        </w:rPr>
        <w:t>Examen des propositions au Registre de bonnes pratiques de sauvegarde</w:t>
      </w:r>
    </w:p>
    <w:p w14:paraId="78332226" w14:textId="77777777" w:rsidR="00A251EC" w:rsidRPr="00503070" w:rsidRDefault="00A251EC" w:rsidP="001E17AF">
      <w:pPr>
        <w:pStyle w:val="COMParaDecision"/>
        <w:numPr>
          <w:ilvl w:val="0"/>
          <w:numId w:val="22"/>
        </w:numPr>
        <w:spacing w:after="160"/>
        <w:ind w:left="567" w:hanging="567"/>
        <w:rPr>
          <w:u w:val="none"/>
        </w:rPr>
      </w:pPr>
      <w:r w:rsidRPr="00503070">
        <w:rPr>
          <w:u w:val="none"/>
        </w:rPr>
        <w:t>Traitement des dossiers pour les mécanismes d’inscription sur les listes de la Convention</w:t>
      </w:r>
    </w:p>
    <w:p w14:paraId="5CB1F274" w14:textId="77777777" w:rsidR="00A251EC" w:rsidRPr="00503070" w:rsidRDefault="00A251EC" w:rsidP="001E17AF">
      <w:pPr>
        <w:pStyle w:val="COMParaDecision"/>
        <w:numPr>
          <w:ilvl w:val="0"/>
          <w:numId w:val="22"/>
        </w:numPr>
        <w:spacing w:after="160"/>
        <w:ind w:left="567" w:hanging="567"/>
        <w:rPr>
          <w:u w:val="none"/>
        </w:rPr>
      </w:pPr>
      <w:r w:rsidRPr="00503070">
        <w:rPr>
          <w:u w:val="none"/>
        </w:rPr>
        <w:t>Suivi des éléments inscrits sur les listes de la Convention</w:t>
      </w:r>
    </w:p>
    <w:p w14:paraId="31AF46A6" w14:textId="77777777" w:rsidR="00A251EC" w:rsidRPr="00503070" w:rsidRDefault="00A251EC" w:rsidP="001E17AF">
      <w:pPr>
        <w:pStyle w:val="COMParaDecision"/>
        <w:numPr>
          <w:ilvl w:val="0"/>
          <w:numId w:val="22"/>
        </w:numPr>
        <w:spacing w:after="160"/>
        <w:ind w:left="567" w:hanging="567"/>
        <w:jc w:val="left"/>
        <w:rPr>
          <w:u w:val="none"/>
        </w:rPr>
      </w:pPr>
      <w:r w:rsidRPr="00503070">
        <w:rPr>
          <w:u w:val="none"/>
        </w:rPr>
        <w:t xml:space="preserve">Rapport sur l’assistance internationale du Fonds du patrimoine culturel immatériel </w:t>
      </w:r>
    </w:p>
    <w:p w14:paraId="2C362779" w14:textId="77777777" w:rsidR="00A251EC" w:rsidRPr="00503070" w:rsidRDefault="00A251EC" w:rsidP="001E17AF">
      <w:pPr>
        <w:pStyle w:val="COMParaDecision"/>
        <w:numPr>
          <w:ilvl w:val="0"/>
          <w:numId w:val="22"/>
        </w:numPr>
        <w:spacing w:after="160"/>
        <w:ind w:left="567" w:hanging="567"/>
        <w:rPr>
          <w:u w:val="none"/>
        </w:rPr>
      </w:pPr>
      <w:r w:rsidRPr="00503070">
        <w:rPr>
          <w:u w:val="none"/>
        </w:rPr>
        <w:t>Mise en œuvre plus large de l’article 18 de la Convention</w:t>
      </w:r>
    </w:p>
    <w:p w14:paraId="34950647" w14:textId="77777777" w:rsidR="00A251EC" w:rsidRPr="00503070" w:rsidRDefault="00A251EC" w:rsidP="001E17AF">
      <w:pPr>
        <w:pStyle w:val="COMParaDecision"/>
        <w:numPr>
          <w:ilvl w:val="0"/>
          <w:numId w:val="22"/>
        </w:numPr>
        <w:spacing w:after="160"/>
        <w:ind w:left="567" w:hanging="567"/>
        <w:rPr>
          <w:u w:val="none"/>
        </w:rPr>
      </w:pPr>
      <w:r w:rsidRPr="00503070">
        <w:rPr>
          <w:u w:val="none"/>
        </w:rPr>
        <w:t>Initiatives thématiques sur le patrimoine vivant et le développement durable</w:t>
      </w:r>
    </w:p>
    <w:p w14:paraId="541EA9E8" w14:textId="77777777" w:rsidR="00A251EC" w:rsidRPr="00503070" w:rsidRDefault="00A251EC" w:rsidP="001E17AF">
      <w:pPr>
        <w:pStyle w:val="COMParaDecision"/>
        <w:numPr>
          <w:ilvl w:val="0"/>
          <w:numId w:val="22"/>
        </w:numPr>
        <w:spacing w:after="160"/>
        <w:ind w:left="567" w:hanging="567"/>
        <w:rPr>
          <w:u w:val="none"/>
        </w:rPr>
      </w:pPr>
      <w:r w:rsidRPr="00503070">
        <w:rPr>
          <w:u w:val="none"/>
        </w:rPr>
        <w:t>Fonds du patrimoine culturel immatériel : contributions volontaires supplémentaires et autres questions</w:t>
      </w:r>
    </w:p>
    <w:p w14:paraId="37691A80" w14:textId="77777777" w:rsidR="00A251EC" w:rsidRPr="00503070" w:rsidRDefault="00A251EC" w:rsidP="001E17AF">
      <w:pPr>
        <w:pStyle w:val="COMParaDecision"/>
        <w:numPr>
          <w:ilvl w:val="0"/>
          <w:numId w:val="22"/>
        </w:numPr>
        <w:spacing w:after="160"/>
        <w:ind w:left="567" w:hanging="567"/>
        <w:rPr>
          <w:u w:val="none"/>
        </w:rPr>
      </w:pPr>
      <w:r w:rsidRPr="00503070">
        <w:rPr>
          <w:u w:val="none"/>
        </w:rPr>
        <w:t>Projet de plan pour l’utilisation des ressources du Fonds du patrimoine culturel immatériel en 2026 et 2027</w:t>
      </w:r>
    </w:p>
    <w:p w14:paraId="562A6595" w14:textId="77777777" w:rsidR="00A251EC" w:rsidRPr="00503070" w:rsidRDefault="00A251EC" w:rsidP="001E17AF">
      <w:pPr>
        <w:pStyle w:val="COMParaDecision"/>
        <w:numPr>
          <w:ilvl w:val="0"/>
          <w:numId w:val="22"/>
        </w:numPr>
        <w:spacing w:after="160"/>
        <w:ind w:left="567" w:hanging="567"/>
        <w:rPr>
          <w:u w:val="none"/>
        </w:rPr>
      </w:pPr>
      <w:r w:rsidRPr="00503070">
        <w:rPr>
          <w:u w:val="none"/>
        </w:rPr>
        <w:t>Rapport du forum des organisations non gouvernementales</w:t>
      </w:r>
    </w:p>
    <w:p w14:paraId="3387F11A" w14:textId="77777777" w:rsidR="00A251EC" w:rsidRPr="00503070" w:rsidRDefault="00A251EC" w:rsidP="001E17AF">
      <w:pPr>
        <w:pStyle w:val="COMParaDecision"/>
        <w:numPr>
          <w:ilvl w:val="0"/>
          <w:numId w:val="22"/>
        </w:numPr>
        <w:spacing w:after="160"/>
        <w:ind w:left="567" w:hanging="567"/>
        <w:rPr>
          <w:u w:val="none"/>
        </w:rPr>
      </w:pPr>
      <w:r w:rsidRPr="00503070">
        <w:rPr>
          <w:u w:val="none"/>
        </w:rPr>
        <w:t>Accréditation de nouvelles organisations non gouvernementales et réexamen des organisations non gouvernementales accréditées</w:t>
      </w:r>
    </w:p>
    <w:p w14:paraId="01394279" w14:textId="77777777" w:rsidR="00A251EC" w:rsidRPr="00503070" w:rsidRDefault="00A251EC" w:rsidP="001E17AF">
      <w:pPr>
        <w:pStyle w:val="COMParaDecision"/>
        <w:numPr>
          <w:ilvl w:val="0"/>
          <w:numId w:val="22"/>
        </w:numPr>
        <w:spacing w:after="160"/>
        <w:ind w:left="567" w:hanging="567"/>
        <w:rPr>
          <w:u w:val="none"/>
        </w:rPr>
      </w:pPr>
      <w:r w:rsidRPr="00503070">
        <w:rPr>
          <w:u w:val="none"/>
        </w:rPr>
        <w:lastRenderedPageBreak/>
        <w:t>Établissement de l’Organe d’évaluation pour le cycle 2026</w:t>
      </w:r>
    </w:p>
    <w:p w14:paraId="0CB7CF23" w14:textId="77777777" w:rsidR="00A251EC" w:rsidRPr="00503070" w:rsidRDefault="00A251EC" w:rsidP="001E17AF">
      <w:pPr>
        <w:pStyle w:val="COMParaDecision"/>
        <w:numPr>
          <w:ilvl w:val="0"/>
          <w:numId w:val="22"/>
        </w:numPr>
        <w:spacing w:after="160"/>
        <w:ind w:left="567" w:hanging="567"/>
        <w:rPr>
          <w:u w:val="none"/>
        </w:rPr>
      </w:pPr>
      <w:r w:rsidRPr="00503070">
        <w:rPr>
          <w:u w:val="none"/>
        </w:rPr>
        <w:t>Date et lieu de la vingt-et-unième session du Comité</w:t>
      </w:r>
    </w:p>
    <w:p w14:paraId="02922785" w14:textId="77777777" w:rsidR="00A251EC" w:rsidRPr="00503070" w:rsidRDefault="00A251EC" w:rsidP="001E17AF">
      <w:pPr>
        <w:pStyle w:val="COMParaDecision"/>
        <w:numPr>
          <w:ilvl w:val="0"/>
          <w:numId w:val="22"/>
        </w:numPr>
        <w:spacing w:after="160"/>
        <w:ind w:left="567" w:hanging="567"/>
        <w:rPr>
          <w:u w:val="none"/>
        </w:rPr>
      </w:pPr>
      <w:r w:rsidRPr="00503070">
        <w:rPr>
          <w:u w:val="none"/>
        </w:rPr>
        <w:t>Élection des membres du Bureau de la vingt-et-unième session du Comité</w:t>
      </w:r>
    </w:p>
    <w:p w14:paraId="3C02C1F7" w14:textId="77777777" w:rsidR="00A251EC" w:rsidRPr="00503070" w:rsidRDefault="00A251EC" w:rsidP="001E17AF">
      <w:pPr>
        <w:pStyle w:val="COMParaDecision"/>
        <w:numPr>
          <w:ilvl w:val="0"/>
          <w:numId w:val="22"/>
        </w:numPr>
        <w:spacing w:after="160"/>
        <w:ind w:left="567" w:hanging="567"/>
        <w:rPr>
          <w:u w:val="none"/>
        </w:rPr>
      </w:pPr>
      <w:r w:rsidRPr="00503070">
        <w:rPr>
          <w:u w:val="none"/>
        </w:rPr>
        <w:t xml:space="preserve">Rapport du Comité à l’Assemblée générale sur ses activités (de janvier 2024 à décembre 2025) </w:t>
      </w:r>
    </w:p>
    <w:p w14:paraId="50D7FC1B" w14:textId="77777777" w:rsidR="00A251EC" w:rsidRPr="00503070" w:rsidRDefault="00A251EC" w:rsidP="001E17AF">
      <w:pPr>
        <w:pStyle w:val="COMParaDecision"/>
        <w:numPr>
          <w:ilvl w:val="0"/>
          <w:numId w:val="22"/>
        </w:numPr>
        <w:spacing w:after="160"/>
        <w:ind w:left="567" w:hanging="567"/>
        <w:rPr>
          <w:u w:val="none"/>
        </w:rPr>
      </w:pPr>
      <w:r w:rsidRPr="00503070">
        <w:rPr>
          <w:u w:val="none"/>
        </w:rPr>
        <w:t>Questions diverses</w:t>
      </w:r>
    </w:p>
    <w:p w14:paraId="08EF8907" w14:textId="77777777" w:rsidR="00A251EC" w:rsidRPr="00503070" w:rsidRDefault="00A251EC" w:rsidP="001E17AF">
      <w:pPr>
        <w:pStyle w:val="COMParaDecision"/>
        <w:numPr>
          <w:ilvl w:val="0"/>
          <w:numId w:val="22"/>
        </w:numPr>
        <w:spacing w:after="160"/>
        <w:ind w:left="567" w:hanging="567"/>
        <w:rPr>
          <w:u w:val="none"/>
        </w:rPr>
      </w:pPr>
      <w:r w:rsidRPr="00503070">
        <w:rPr>
          <w:u w:val="none"/>
        </w:rPr>
        <w:t>Adoption de la liste des décisions</w:t>
      </w:r>
    </w:p>
    <w:p w14:paraId="686896A0" w14:textId="77777777" w:rsidR="00A251EC" w:rsidRPr="00503070" w:rsidRDefault="00A251EC" w:rsidP="001E17AF">
      <w:pPr>
        <w:pStyle w:val="COMParaDecision"/>
        <w:numPr>
          <w:ilvl w:val="0"/>
          <w:numId w:val="22"/>
        </w:numPr>
        <w:spacing w:after="160"/>
        <w:ind w:left="567" w:hanging="567"/>
        <w:jc w:val="left"/>
        <w:rPr>
          <w:u w:val="none"/>
        </w:rPr>
      </w:pPr>
      <w:r w:rsidRPr="00503070">
        <w:rPr>
          <w:u w:val="none"/>
        </w:rPr>
        <w:t>Clôture</w:t>
      </w:r>
    </w:p>
    <w:p w14:paraId="34F064EF" w14:textId="6563B712" w:rsidR="00EF3A10" w:rsidRPr="00503070" w:rsidRDefault="00EF3A10" w:rsidP="00414F67">
      <w:pPr>
        <w:pStyle w:val="COMTitleDecision"/>
      </w:pPr>
      <w:r w:rsidRPr="00503070">
        <w:t xml:space="preserve">DÉCISION </w:t>
      </w:r>
      <w:r w:rsidR="00DE5AE1" w:rsidRPr="00503070">
        <w:t>20</w:t>
      </w:r>
      <w:r w:rsidRPr="00503070">
        <w:t xml:space="preserve">.COM </w:t>
      </w:r>
      <w:r w:rsidR="00DE5AE1" w:rsidRPr="00503070">
        <w:t>3</w:t>
      </w:r>
    </w:p>
    <w:p w14:paraId="055CFB98" w14:textId="77777777" w:rsidR="00EF3A10" w:rsidRPr="00503070" w:rsidRDefault="00EF3A10" w:rsidP="00EF3A10">
      <w:pPr>
        <w:pStyle w:val="BODYTEXT"/>
        <w:keepNext/>
        <w:tabs>
          <w:tab w:val="clear" w:pos="709"/>
          <w:tab w:val="clear" w:pos="1418"/>
        </w:tabs>
        <w:spacing w:before="0"/>
        <w:rPr>
          <w:lang w:val="fr-FR"/>
        </w:rPr>
      </w:pPr>
      <w:r w:rsidRPr="00503070">
        <w:rPr>
          <w:lang w:val="fr-FR"/>
        </w:rPr>
        <w:t>Le Comité,</w:t>
      </w:r>
    </w:p>
    <w:p w14:paraId="1612B31D" w14:textId="7BB37B4A" w:rsidR="00721F36" w:rsidRPr="00503070" w:rsidRDefault="009601B0" w:rsidP="009601B0">
      <w:pPr>
        <w:pStyle w:val="COMParaDecision"/>
        <w:numPr>
          <w:ilvl w:val="0"/>
          <w:numId w:val="2"/>
        </w:numPr>
        <w:ind w:left="567" w:hanging="567"/>
      </w:pPr>
      <w:r w:rsidRPr="00503070">
        <w:t>Ayant examiné</w:t>
      </w:r>
      <w:r w:rsidRPr="00503070">
        <w:rPr>
          <w:u w:val="none"/>
        </w:rPr>
        <w:t xml:space="preserve"> le document </w:t>
      </w:r>
      <w:hyperlink r:id="rId11" w:history="1">
        <w:r w:rsidRPr="00503070">
          <w:rPr>
            <w:rStyle w:val="Hyperlink"/>
          </w:rPr>
          <w:t>LHE/25/20.COM/3</w:t>
        </w:r>
      </w:hyperlink>
      <w:r w:rsidR="006F66E9" w:rsidRPr="007148F6">
        <w:rPr>
          <w:u w:val="none"/>
        </w:rPr>
        <w:t>,</w:t>
      </w:r>
    </w:p>
    <w:p w14:paraId="67A85610" w14:textId="77777777" w:rsidR="009601B0" w:rsidRPr="00503070" w:rsidRDefault="009601B0" w:rsidP="009601B0">
      <w:pPr>
        <w:pStyle w:val="COMParaDecision"/>
        <w:numPr>
          <w:ilvl w:val="0"/>
          <w:numId w:val="2"/>
        </w:numPr>
        <w:ind w:left="567" w:hanging="567"/>
      </w:pPr>
      <w:r w:rsidRPr="00503070">
        <w:t>Rappelant</w:t>
      </w:r>
      <w:r w:rsidRPr="00503070">
        <w:rPr>
          <w:u w:val="none"/>
        </w:rPr>
        <w:t xml:space="preserve"> les articles 8.1, 8.2 et 8.3 du Règlement intérieur du Comité,</w:t>
      </w:r>
    </w:p>
    <w:p w14:paraId="3FFA855F" w14:textId="77777777" w:rsidR="009601B0" w:rsidRPr="00503070" w:rsidRDefault="009601B0" w:rsidP="009601B0">
      <w:pPr>
        <w:pStyle w:val="COMParaDecision"/>
        <w:numPr>
          <w:ilvl w:val="0"/>
          <w:numId w:val="2"/>
        </w:numPr>
        <w:ind w:left="567" w:hanging="567"/>
      </w:pPr>
      <w:r w:rsidRPr="00503070">
        <w:t>Rappelant en outre</w:t>
      </w:r>
      <w:r w:rsidRPr="00503070">
        <w:rPr>
          <w:u w:val="none"/>
        </w:rPr>
        <w:t xml:space="preserve"> ses décisions </w:t>
      </w:r>
      <w:hyperlink r:id="rId12" w:history="1">
        <w:r w:rsidRPr="00503070">
          <w:rPr>
            <w:rStyle w:val="Hyperlink"/>
          </w:rPr>
          <w:t>18.COM 3</w:t>
        </w:r>
      </w:hyperlink>
      <w:r w:rsidRPr="00503070">
        <w:rPr>
          <w:u w:val="none"/>
        </w:rPr>
        <w:t xml:space="preserve"> et </w:t>
      </w:r>
      <w:hyperlink r:id="rId13" w:history="1">
        <w:r w:rsidRPr="00503070">
          <w:rPr>
            <w:rStyle w:val="Hyperlink"/>
          </w:rPr>
          <w:t>19.COM 3</w:t>
        </w:r>
      </w:hyperlink>
      <w:r w:rsidRPr="00503070">
        <w:rPr>
          <w:u w:val="none"/>
        </w:rPr>
        <w:t>,</w:t>
      </w:r>
    </w:p>
    <w:p w14:paraId="08DB5406" w14:textId="77777777" w:rsidR="009601B0" w:rsidRPr="00503070" w:rsidRDefault="009601B0" w:rsidP="009601B0">
      <w:pPr>
        <w:pStyle w:val="COMParaDecision"/>
        <w:numPr>
          <w:ilvl w:val="0"/>
          <w:numId w:val="2"/>
        </w:numPr>
        <w:ind w:left="567" w:hanging="567"/>
        <w:rPr>
          <w:u w:val="none"/>
        </w:rPr>
      </w:pPr>
      <w:r w:rsidRPr="00503070">
        <w:t>Prend note</w:t>
      </w:r>
      <w:r w:rsidRPr="00503070">
        <w:rPr>
          <w:u w:val="none"/>
        </w:rPr>
        <w:t xml:space="preserve"> des observateurs suivants, autorisés à participer à sa vingtième session, conformément aux décisions susmentionnées :</w:t>
      </w:r>
    </w:p>
    <w:p w14:paraId="61331ABB" w14:textId="77777777" w:rsidR="009601B0" w:rsidRPr="00503070" w:rsidRDefault="009601B0" w:rsidP="001E17AF">
      <w:pPr>
        <w:pStyle w:val="COMParaDecision"/>
        <w:numPr>
          <w:ilvl w:val="1"/>
          <w:numId w:val="23"/>
        </w:numPr>
        <w:ind w:left="1134" w:hanging="567"/>
        <w:rPr>
          <w:u w:val="none"/>
        </w:rPr>
      </w:pPr>
      <w:r w:rsidRPr="00503070">
        <w:rPr>
          <w:u w:val="none"/>
        </w:rPr>
        <w:t>Le Centre international d’études pour la conservation et la restauration des biens culturels (ICCROM) ;</w:t>
      </w:r>
    </w:p>
    <w:p w14:paraId="00956CC0" w14:textId="77777777" w:rsidR="009601B0" w:rsidRPr="00503070" w:rsidRDefault="009601B0" w:rsidP="001E17AF">
      <w:pPr>
        <w:pStyle w:val="COMParaDecision"/>
        <w:numPr>
          <w:ilvl w:val="1"/>
          <w:numId w:val="23"/>
        </w:numPr>
        <w:ind w:left="1134" w:hanging="567"/>
        <w:rPr>
          <w:u w:val="none"/>
        </w:rPr>
      </w:pPr>
      <w:r w:rsidRPr="00503070">
        <w:rPr>
          <w:u w:val="none"/>
        </w:rPr>
        <w:t>L'Organisation arabe pour l’éducation, la culture et les sciences (ALECSO).</w:t>
      </w:r>
    </w:p>
    <w:p w14:paraId="6FF87AD3" w14:textId="3375E8A9" w:rsidR="00CB3A3F" w:rsidRPr="00503070" w:rsidRDefault="00CB3A3F" w:rsidP="00CB3A3F">
      <w:pPr>
        <w:pStyle w:val="COMTitleDecision"/>
      </w:pPr>
      <w:r w:rsidRPr="00503070">
        <w:t xml:space="preserve">DÉCISION 20.COM </w:t>
      </w:r>
      <w:r w:rsidR="002979DA" w:rsidRPr="00503070">
        <w:t>4</w:t>
      </w:r>
    </w:p>
    <w:p w14:paraId="2A8CF38E" w14:textId="77777777" w:rsidR="00CB3A3F" w:rsidRPr="00503070" w:rsidRDefault="00CB3A3F" w:rsidP="00CB3A3F">
      <w:pPr>
        <w:pStyle w:val="BODYTEXT"/>
        <w:keepNext/>
        <w:tabs>
          <w:tab w:val="clear" w:pos="709"/>
          <w:tab w:val="clear" w:pos="1418"/>
        </w:tabs>
        <w:spacing w:before="0"/>
        <w:rPr>
          <w:lang w:val="fr-FR"/>
        </w:rPr>
      </w:pPr>
      <w:r w:rsidRPr="00503070">
        <w:rPr>
          <w:lang w:val="fr-FR"/>
        </w:rPr>
        <w:t>Le Comité,</w:t>
      </w:r>
    </w:p>
    <w:p w14:paraId="7C684EA5" w14:textId="54C098D1" w:rsidR="00CB3A3F" w:rsidRPr="00503070" w:rsidRDefault="00CB3A3F" w:rsidP="001E17AF">
      <w:pPr>
        <w:pStyle w:val="BODYTEXT"/>
        <w:numPr>
          <w:ilvl w:val="0"/>
          <w:numId w:val="24"/>
        </w:numPr>
        <w:tabs>
          <w:tab w:val="clear" w:pos="709"/>
          <w:tab w:val="clear" w:pos="1418"/>
          <w:tab w:val="left" w:pos="1134"/>
        </w:tabs>
        <w:spacing w:before="0"/>
        <w:ind w:left="567" w:hanging="567"/>
        <w:rPr>
          <w:u w:val="single"/>
          <w:lang w:val="fr-FR"/>
        </w:rPr>
      </w:pPr>
      <w:r w:rsidRPr="00503070">
        <w:rPr>
          <w:u w:val="single"/>
          <w:lang w:val="fr-FR"/>
        </w:rPr>
        <w:t>Ayant</w:t>
      </w:r>
      <w:r w:rsidRPr="00503070">
        <w:rPr>
          <w:lang w:val="fr-FR"/>
        </w:rPr>
        <w:t xml:space="preserve"> examiné le document </w:t>
      </w:r>
      <w:hyperlink r:id="rId14" w:history="1">
        <w:r w:rsidRPr="00503070">
          <w:rPr>
            <w:rStyle w:val="Hyperlink"/>
            <w:lang w:val="fr-FR"/>
          </w:rPr>
          <w:t>LHE/25/20.COM/</w:t>
        </w:r>
        <w:r w:rsidR="00E11110" w:rsidRPr="00503070">
          <w:rPr>
            <w:rStyle w:val="Hyperlink"/>
            <w:lang w:val="fr-FR"/>
          </w:rPr>
          <w:t>4</w:t>
        </w:r>
      </w:hyperlink>
      <w:r w:rsidR="006F66E9" w:rsidRPr="00503070">
        <w:rPr>
          <w:lang w:val="fr-FR"/>
        </w:rPr>
        <w:t>,</w:t>
      </w:r>
    </w:p>
    <w:p w14:paraId="52266DCE" w14:textId="77777777" w:rsidR="00074CE4" w:rsidRPr="00503070" w:rsidRDefault="00074CE4" w:rsidP="001E17AF">
      <w:pPr>
        <w:pStyle w:val="BODYTEXT"/>
        <w:numPr>
          <w:ilvl w:val="0"/>
          <w:numId w:val="24"/>
        </w:numPr>
        <w:tabs>
          <w:tab w:val="clear" w:pos="709"/>
          <w:tab w:val="clear" w:pos="1418"/>
          <w:tab w:val="left" w:pos="1134"/>
        </w:tabs>
        <w:spacing w:before="0"/>
        <w:ind w:left="567" w:hanging="567"/>
        <w:rPr>
          <w:snapToGrid w:val="0"/>
          <w:color w:val="000000" w:themeColor="text1"/>
          <w:lang w:val="fr-FR"/>
        </w:rPr>
      </w:pPr>
      <w:r w:rsidRPr="00503070">
        <w:rPr>
          <w:u w:val="single"/>
          <w:lang w:val="fr-FR"/>
        </w:rPr>
        <w:t>Adopte</w:t>
      </w:r>
      <w:r w:rsidRPr="00503070">
        <w:rPr>
          <w:lang w:val="fr-FR"/>
        </w:rPr>
        <w:t xml:space="preserve"> le </w:t>
      </w:r>
      <w:r w:rsidRPr="00503070">
        <w:rPr>
          <w:rFonts w:eastAsia="Times New Roman"/>
          <w:lang w:val="fr-FR"/>
        </w:rPr>
        <w:t>compte-rendu de la dix</w:t>
      </w:r>
      <w:r w:rsidRPr="00503070">
        <w:rPr>
          <w:rFonts w:eastAsia="Times New Roman"/>
          <w:lang w:val="fr-FR"/>
        </w:rPr>
        <w:noBreakHyphen/>
        <w:t>neuvième session du Comité présenté dans ce document.</w:t>
      </w:r>
    </w:p>
    <w:p w14:paraId="546A39C5" w14:textId="77777777" w:rsidR="001903CA" w:rsidRPr="00503070" w:rsidRDefault="001903CA" w:rsidP="001903CA">
      <w:pPr>
        <w:pStyle w:val="COMTitleDecision"/>
      </w:pPr>
      <w:r w:rsidRPr="00503070">
        <w:t>DÉCISION 20.COM 5</w:t>
      </w:r>
    </w:p>
    <w:p w14:paraId="0A371E26" w14:textId="77777777" w:rsidR="001903CA" w:rsidRPr="00503070" w:rsidRDefault="001903CA" w:rsidP="001903CA">
      <w:pPr>
        <w:pStyle w:val="COMPreambulaDecisions"/>
        <w:ind w:left="0"/>
      </w:pPr>
      <w:r w:rsidRPr="00503070">
        <w:t>Le Comité,</w:t>
      </w:r>
    </w:p>
    <w:p w14:paraId="7F8C5AA3" w14:textId="7DD75FDE" w:rsidR="001903CA" w:rsidRPr="00503070" w:rsidRDefault="001903CA" w:rsidP="001E17AF">
      <w:pPr>
        <w:pStyle w:val="COMParaDecision"/>
        <w:numPr>
          <w:ilvl w:val="0"/>
          <w:numId w:val="25"/>
        </w:numPr>
        <w:ind w:left="567" w:hanging="567"/>
      </w:pPr>
      <w:r w:rsidRPr="00503070">
        <w:rPr>
          <w:rFonts w:eastAsia="SimSun"/>
        </w:rPr>
        <w:t>Ayant</w:t>
      </w:r>
      <w:r w:rsidRPr="00503070">
        <w:t xml:space="preserve"> examiné</w:t>
      </w:r>
      <w:r w:rsidRPr="00503070">
        <w:rPr>
          <w:u w:val="none"/>
        </w:rPr>
        <w:t xml:space="preserve"> le document </w:t>
      </w:r>
      <w:hyperlink r:id="rId15" w:history="1">
        <w:r w:rsidRPr="00503070">
          <w:rPr>
            <w:rStyle w:val="Hyperlink"/>
          </w:rPr>
          <w:t>LHE/25/20.COM/5</w:t>
        </w:r>
      </w:hyperlink>
      <w:r w:rsidRPr="00503070">
        <w:rPr>
          <w:u w:val="none"/>
        </w:rPr>
        <w:t xml:space="preserve"> et son anne</w:t>
      </w:r>
      <w:r w:rsidRPr="00503070">
        <w:rPr>
          <w:u w:val="none"/>
        </w:rPr>
        <w:t>xe</w:t>
      </w:r>
      <w:r w:rsidR="000F5E0D">
        <w:rPr>
          <w:u w:val="none"/>
        </w:rPr>
        <w:t>,</w:t>
      </w:r>
    </w:p>
    <w:p w14:paraId="467E2051" w14:textId="01ED4F12" w:rsidR="001903CA" w:rsidRPr="00503070" w:rsidRDefault="001903CA" w:rsidP="001E17AF">
      <w:pPr>
        <w:pStyle w:val="COMParaDecision"/>
        <w:numPr>
          <w:ilvl w:val="0"/>
          <w:numId w:val="25"/>
        </w:numPr>
        <w:ind w:left="567" w:hanging="567"/>
      </w:pPr>
      <w:r w:rsidRPr="00503070">
        <w:rPr>
          <w:rFonts w:eastAsia="SimSun"/>
        </w:rPr>
        <w:t>Reconnaît</w:t>
      </w:r>
      <w:r w:rsidRPr="00503070">
        <w:rPr>
          <w:u w:val="none"/>
        </w:rPr>
        <w:t xml:space="preserve"> la gestion efficace des mécanismes de coopération internationale de la Convention, notamment le système d’inscription sur les listes, les rapports périodiques, l’assistance internationale et l’accréditation des organisations non gouvernementales,</w:t>
      </w:r>
      <w:r w:rsidR="00F421DF" w:rsidRPr="00503070">
        <w:rPr>
          <w:u w:val="none"/>
        </w:rPr>
        <w:t xml:space="preserve"> </w:t>
      </w:r>
      <w:r w:rsidR="00477BFB" w:rsidRPr="00503070">
        <w:t>encourage</w:t>
      </w:r>
      <w:r w:rsidR="00477BFB" w:rsidRPr="00503070">
        <w:rPr>
          <w:u w:val="none"/>
        </w:rPr>
        <w:t xml:space="preserve"> le Secrétariat à poursuivre ses efforts actuels afin de continuer à veiller au</w:t>
      </w:r>
      <w:r w:rsidR="001752A3" w:rsidRPr="00503070">
        <w:rPr>
          <w:u w:val="none"/>
        </w:rPr>
        <w:t xml:space="preserve"> </w:t>
      </w:r>
      <w:r w:rsidR="00477BFB" w:rsidRPr="00503070">
        <w:rPr>
          <w:u w:val="none"/>
        </w:rPr>
        <w:t xml:space="preserve">respect des dispositions de la Convention, de ses Directives opérationnelles, et </w:t>
      </w:r>
      <w:r w:rsidR="000643C5" w:rsidRPr="00503070">
        <w:rPr>
          <w:u w:val="none"/>
        </w:rPr>
        <w:t>d</w:t>
      </w:r>
      <w:r w:rsidR="00DA717C" w:rsidRPr="00503070">
        <w:rPr>
          <w:u w:val="none"/>
        </w:rPr>
        <w:t xml:space="preserve">es </w:t>
      </w:r>
      <w:r w:rsidR="00477BFB" w:rsidRPr="00503070">
        <w:rPr>
          <w:u w:val="none"/>
        </w:rPr>
        <w:t>autres décisions pertinentes de l’Assemblée générale et du Comité</w:t>
      </w:r>
      <w:r w:rsidR="002C532D" w:rsidRPr="00503070">
        <w:rPr>
          <w:u w:val="none"/>
        </w:rPr>
        <w:t>,</w:t>
      </w:r>
      <w:r w:rsidR="002E0175" w:rsidRPr="00503070">
        <w:rPr>
          <w:u w:val="none"/>
        </w:rPr>
        <w:t xml:space="preserve"> </w:t>
      </w:r>
      <w:r w:rsidRPr="00503070">
        <w:rPr>
          <w:u w:val="none"/>
        </w:rPr>
        <w:t xml:space="preserve">et </w:t>
      </w:r>
      <w:r w:rsidRPr="00503070">
        <w:t>note avec satisfaction</w:t>
      </w:r>
      <w:r w:rsidRPr="00503070">
        <w:rPr>
          <w:u w:val="none"/>
        </w:rPr>
        <w:t xml:space="preserve"> que ces mécanismes sont de plus en plus liés entre eux, favorisant un environnement cohérent et propice aux activités de sauvegarde à tous les niveaux ;</w:t>
      </w:r>
    </w:p>
    <w:p w14:paraId="6FAA9C10" w14:textId="77777777" w:rsidR="001903CA" w:rsidRPr="00503070" w:rsidRDefault="001903CA" w:rsidP="001E17AF">
      <w:pPr>
        <w:pStyle w:val="COMParaDecision"/>
        <w:numPr>
          <w:ilvl w:val="0"/>
          <w:numId w:val="25"/>
        </w:numPr>
        <w:ind w:left="567" w:hanging="567"/>
      </w:pPr>
      <w:r w:rsidRPr="00503070">
        <w:rPr>
          <w:rFonts w:eastAsia="SimSun"/>
        </w:rPr>
        <w:t>Salue</w:t>
      </w:r>
      <w:r w:rsidRPr="00503070">
        <w:rPr>
          <w:u w:val="none"/>
        </w:rPr>
        <w:t xml:space="preserve"> les efforts soutenus du Secrétariat pour poursuivre le développement de la Convention en réponse à des questions d’importance mondiale, tout en restant attentif aux besoins et aux aspirations des communautés du monde entier, et </w:t>
      </w:r>
      <w:r w:rsidRPr="00503070">
        <w:t>reconnaît</w:t>
      </w:r>
      <w:r w:rsidRPr="00503070">
        <w:rPr>
          <w:u w:val="none"/>
        </w:rPr>
        <w:t xml:space="preserve"> les progrès continus dans l’avancement des initiatives thématiques de la Convention et la réflexion sur une mise en œuvre plus large de l’article 18 ;</w:t>
      </w:r>
    </w:p>
    <w:p w14:paraId="7F320D71" w14:textId="5E660187" w:rsidR="001903CA" w:rsidRPr="00503070" w:rsidRDefault="001903CA" w:rsidP="001E17AF">
      <w:pPr>
        <w:pStyle w:val="COMParaDecision"/>
        <w:numPr>
          <w:ilvl w:val="0"/>
          <w:numId w:val="25"/>
        </w:numPr>
        <w:ind w:left="567" w:hanging="567"/>
      </w:pPr>
      <w:r w:rsidRPr="00503070">
        <w:rPr>
          <w:rFonts w:eastAsia="SimSun"/>
        </w:rPr>
        <w:lastRenderedPageBreak/>
        <w:t>Encourage</w:t>
      </w:r>
      <w:r w:rsidRPr="00503070">
        <w:rPr>
          <w:u w:val="none"/>
        </w:rPr>
        <w:t xml:space="preserve"> le Secrétariat à élargir davantage le champ de ses interventions, dans les limites des ressources disponibles, afin de traiter les questions globales et émergentes et d’explorer les synergies avec d’autres conventions culturelles</w:t>
      </w:r>
      <w:r w:rsidR="002C532D" w:rsidRPr="00503070">
        <w:rPr>
          <w:u w:val="none"/>
        </w:rPr>
        <w:t>,</w:t>
      </w:r>
      <w:r w:rsidR="00A90375" w:rsidRPr="00503070">
        <w:rPr>
          <w:u w:val="none"/>
        </w:rPr>
        <w:t xml:space="preserve"> </w:t>
      </w:r>
      <w:r w:rsidRPr="00503070">
        <w:rPr>
          <w:u w:val="none"/>
        </w:rPr>
        <w:t xml:space="preserve">les programmes de l’UNESCO, </w:t>
      </w:r>
      <w:r w:rsidR="002C532D" w:rsidRPr="00503070">
        <w:rPr>
          <w:u w:val="none"/>
        </w:rPr>
        <w:t>et d’autres organisations internationales</w:t>
      </w:r>
      <w:r w:rsidR="00414B65" w:rsidRPr="00503070">
        <w:rPr>
          <w:u w:val="none"/>
        </w:rPr>
        <w:t xml:space="preserve">, </w:t>
      </w:r>
      <w:r w:rsidRPr="00503070">
        <w:rPr>
          <w:u w:val="none"/>
        </w:rPr>
        <w:t>en particulier en affinant l’approche de la Convention l’approche de la Convention en matière de diversité biologique et de liens entre nature et culture ;</w:t>
      </w:r>
    </w:p>
    <w:p w14:paraId="3E3A9D2A" w14:textId="77777777" w:rsidR="001903CA" w:rsidRPr="00503070" w:rsidRDefault="001903CA" w:rsidP="001E17AF">
      <w:pPr>
        <w:pStyle w:val="COMParaDecision"/>
        <w:numPr>
          <w:ilvl w:val="0"/>
          <w:numId w:val="25"/>
        </w:numPr>
        <w:ind w:left="567" w:hanging="567"/>
      </w:pPr>
      <w:r w:rsidRPr="00503070">
        <w:t xml:space="preserve">Se </w:t>
      </w:r>
      <w:r w:rsidRPr="00503070">
        <w:rPr>
          <w:rFonts w:eastAsia="SimSun"/>
        </w:rPr>
        <w:t>félicite</w:t>
      </w:r>
      <w:r w:rsidRPr="00503070">
        <w:rPr>
          <w:u w:val="none"/>
        </w:rPr>
        <w:t xml:space="preserve"> de la mise en œuvre positive a) de la première priorité de financement, notamment le lancement de la plateforme d’apprentissage pour la sauvegarde du patrimoine vivant, le soutien au réseau mondial de facilitateurs et les interventions de renforcement des capacités aux niveaux national et régional, et b) de la deuxième priorité de financement, en particulier l’intégration de l’approche du patrimoine vivant et de l’éducation dans les politiques et les programmes grâce au renforcement des capacités, aux changements pédagogiques et à la collaboration interministérielle ;</w:t>
      </w:r>
    </w:p>
    <w:p w14:paraId="69AC2A80" w14:textId="663AD6DD" w:rsidR="001903CA" w:rsidRPr="00503070" w:rsidRDefault="001903CA" w:rsidP="001E17AF">
      <w:pPr>
        <w:pStyle w:val="COMParaDecision"/>
        <w:numPr>
          <w:ilvl w:val="0"/>
          <w:numId w:val="25"/>
        </w:numPr>
        <w:ind w:left="567" w:hanging="567"/>
      </w:pPr>
      <w:r w:rsidRPr="00503070">
        <w:t>Invite</w:t>
      </w:r>
      <w:r w:rsidRPr="00503070">
        <w:rPr>
          <w:u w:val="none"/>
        </w:rPr>
        <w:t xml:space="preserve"> le Secrétariat à s’appuyer sur les résultats des première et </w:t>
      </w:r>
      <w:proofErr w:type="gramStart"/>
      <w:r w:rsidRPr="00503070">
        <w:rPr>
          <w:u w:val="none"/>
        </w:rPr>
        <w:t>deuxième priorités</w:t>
      </w:r>
      <w:proofErr w:type="gramEnd"/>
      <w:r w:rsidRPr="00503070">
        <w:rPr>
          <w:u w:val="none"/>
        </w:rPr>
        <w:t xml:space="preserve"> de </w:t>
      </w:r>
      <w:r w:rsidRPr="00503070">
        <w:rPr>
          <w:rFonts w:eastAsia="SimSun"/>
        </w:rPr>
        <w:t>financement</w:t>
      </w:r>
      <w:r w:rsidRPr="00503070">
        <w:rPr>
          <w:u w:val="none"/>
        </w:rPr>
        <w:t>, en particulier les progrès réalisés en matière de renforcement des capacités et d’intégration du patrimoine vivant dans l’éducation, et à continuer de consolider les fondements de la Convention grâce à son approche systématique, collaborative et progressive</w:t>
      </w:r>
      <w:r w:rsidR="006940AF" w:rsidRPr="00503070">
        <w:rPr>
          <w:u w:val="none"/>
        </w:rPr>
        <w:t> ;</w:t>
      </w:r>
    </w:p>
    <w:p w14:paraId="5BA81372" w14:textId="337AD1F9" w:rsidR="00BD046A" w:rsidRPr="00503070" w:rsidRDefault="00BD046A" w:rsidP="001E17AF">
      <w:pPr>
        <w:pStyle w:val="COMParaDecision"/>
        <w:numPr>
          <w:ilvl w:val="0"/>
          <w:numId w:val="25"/>
        </w:numPr>
        <w:ind w:left="567" w:hanging="567"/>
        <w:rPr>
          <w:u w:val="none"/>
        </w:rPr>
      </w:pPr>
      <w:r w:rsidRPr="00503070">
        <w:t>Invite</w:t>
      </w:r>
      <w:r w:rsidR="006940AF" w:rsidRPr="00503070">
        <w:t xml:space="preserve"> en outre</w:t>
      </w:r>
      <w:r w:rsidRPr="00503070">
        <w:rPr>
          <w:u w:val="none"/>
        </w:rPr>
        <w:t xml:space="preserve"> le Secrétariat à présenter au Comité</w:t>
      </w:r>
      <w:r w:rsidR="006940AF" w:rsidRPr="00503070">
        <w:rPr>
          <w:u w:val="none"/>
        </w:rPr>
        <w:t>,</w:t>
      </w:r>
      <w:r w:rsidRPr="00503070">
        <w:rPr>
          <w:u w:val="none"/>
        </w:rPr>
        <w:t xml:space="preserve"> lors de sa vingt-et-unième session</w:t>
      </w:r>
      <w:r w:rsidR="006940AF" w:rsidRPr="00503070">
        <w:rPr>
          <w:u w:val="none"/>
        </w:rPr>
        <w:t>,</w:t>
      </w:r>
      <w:r w:rsidRPr="00503070">
        <w:rPr>
          <w:u w:val="none"/>
        </w:rPr>
        <w:t xml:space="preserve"> un rapport qui fait le bilan global de l’utilisation de l’emblème de la Convention et propose </w:t>
      </w:r>
      <w:r w:rsidR="005E40CD" w:rsidRPr="00503070">
        <w:rPr>
          <w:u w:val="none"/>
        </w:rPr>
        <w:t xml:space="preserve">éventuellement </w:t>
      </w:r>
      <w:r w:rsidRPr="00503070">
        <w:rPr>
          <w:u w:val="none"/>
        </w:rPr>
        <w:t>des pistes d’amélioration pour faciliter son utilisation.</w:t>
      </w:r>
    </w:p>
    <w:p w14:paraId="54A133E7" w14:textId="5C5D0460" w:rsidR="00D275BC" w:rsidRPr="00503070" w:rsidRDefault="00D275BC" w:rsidP="00414F67">
      <w:pPr>
        <w:pStyle w:val="COMTitleDecision"/>
      </w:pPr>
      <w:r w:rsidRPr="00503070">
        <w:t xml:space="preserve">DÉCISION </w:t>
      </w:r>
      <w:r w:rsidR="005C070F" w:rsidRPr="00503070">
        <w:t>20</w:t>
      </w:r>
      <w:r w:rsidRPr="00503070">
        <w:t>.COM 6.a</w:t>
      </w:r>
    </w:p>
    <w:p w14:paraId="475109C5" w14:textId="77777777" w:rsidR="00D275BC" w:rsidRPr="00503070" w:rsidRDefault="00D275BC" w:rsidP="00D275BC">
      <w:pPr>
        <w:pStyle w:val="COMPreambulaDecisions"/>
        <w:ind w:left="0"/>
        <w:rPr>
          <w:rFonts w:asciiTheme="minorBidi" w:eastAsia="SimSun" w:hAnsiTheme="minorBidi" w:cstheme="minorBidi"/>
        </w:rPr>
      </w:pPr>
      <w:r w:rsidRPr="00503070">
        <w:rPr>
          <w:rFonts w:asciiTheme="minorBidi" w:hAnsiTheme="minorBidi"/>
        </w:rPr>
        <w:t>Le Comité,</w:t>
      </w:r>
    </w:p>
    <w:p w14:paraId="0AF0B724" w14:textId="3DF03F02" w:rsidR="00D275BC" w:rsidRPr="00503070" w:rsidRDefault="00D275BC" w:rsidP="004576CC">
      <w:pPr>
        <w:pStyle w:val="COMParaDecision"/>
        <w:numPr>
          <w:ilvl w:val="0"/>
          <w:numId w:val="5"/>
        </w:numPr>
        <w:ind w:left="567" w:hanging="567"/>
        <w:rPr>
          <w:u w:val="none"/>
        </w:rPr>
      </w:pPr>
      <w:r w:rsidRPr="00503070">
        <w:t>Ayant examiné</w:t>
      </w:r>
      <w:r w:rsidRPr="00503070">
        <w:rPr>
          <w:u w:val="none"/>
        </w:rPr>
        <w:t xml:space="preserve"> le document </w:t>
      </w:r>
      <w:hyperlink r:id="rId16" w:history="1">
        <w:r w:rsidRPr="00503070">
          <w:rPr>
            <w:rStyle w:val="Hyperlink"/>
          </w:rPr>
          <w:t>LHE/2</w:t>
        </w:r>
        <w:r w:rsidR="00456AE2" w:rsidRPr="00503070">
          <w:rPr>
            <w:rStyle w:val="Hyperlink"/>
          </w:rPr>
          <w:t>5</w:t>
        </w:r>
        <w:r w:rsidRPr="00503070">
          <w:rPr>
            <w:rStyle w:val="Hyperlink"/>
          </w:rPr>
          <w:t>/</w:t>
        </w:r>
        <w:r w:rsidR="00456AE2" w:rsidRPr="00503070">
          <w:rPr>
            <w:rStyle w:val="Hyperlink"/>
          </w:rPr>
          <w:t>20</w:t>
        </w:r>
        <w:r w:rsidRPr="00503070">
          <w:rPr>
            <w:rStyle w:val="Hyperlink"/>
          </w:rPr>
          <w:t>.COM/</w:t>
        </w:r>
        <w:proofErr w:type="gramStart"/>
        <w:r w:rsidRPr="00503070">
          <w:rPr>
            <w:rStyle w:val="Hyperlink"/>
          </w:rPr>
          <w:t>6.a</w:t>
        </w:r>
        <w:proofErr w:type="gramEnd"/>
      </w:hyperlink>
      <w:r w:rsidRPr="00503070">
        <w:rPr>
          <w:u w:val="none"/>
        </w:rPr>
        <w:t>,</w:t>
      </w:r>
    </w:p>
    <w:p w14:paraId="088E123E"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Rappelant</w:t>
      </w:r>
      <w:r w:rsidRPr="00503070">
        <w:rPr>
          <w:b w:val="0"/>
        </w:rPr>
        <w:t xml:space="preserve"> les articles 7, 29 et 30 de la Convention concernant les rapports des États parties et le chapitre V des Directives opérationnelles,</w:t>
      </w:r>
    </w:p>
    <w:p w14:paraId="4D5E9C3B"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Soulignant</w:t>
      </w:r>
      <w:r w:rsidRPr="00503070">
        <w:rPr>
          <w:b w:val="0"/>
        </w:rPr>
        <w:t xml:space="preserve"> l’importance des rapports périodiques sur l’état des éléments inscrits sur la Liste du patrimoine culturel immatériel nécessitant une sauvegarde urgente, qui constituent un outil de suivi essentiel pour les États parties concernés et pour le Comité afin d’évaluer la viabilité des éléments en péril,</w:t>
      </w:r>
    </w:p>
    <w:p w14:paraId="419C56C1"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Remercie</w:t>
      </w:r>
      <w:r w:rsidRPr="00503070">
        <w:rPr>
          <w:b w:val="0"/>
        </w:rPr>
        <w:t xml:space="preserve"> les États parties qui ont soumis leur rapport dans les délais et </w:t>
      </w:r>
      <w:r w:rsidRPr="00503070">
        <w:rPr>
          <w:b w:val="0"/>
          <w:u w:val="single"/>
        </w:rPr>
        <w:t>les prie instamment</w:t>
      </w:r>
      <w:r w:rsidRPr="00503070">
        <w:rPr>
          <w:b w:val="0"/>
        </w:rPr>
        <w:t xml:space="preserve"> de soumettre les rapports en retard afin de permettre au Comité de procéder à une évaluation complète et éclairée de la viabilité actuelle des éléments concernés ;</w:t>
      </w:r>
    </w:p>
    <w:p w14:paraId="25B9035B"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Observe</w:t>
      </w:r>
      <w:r w:rsidRPr="00503070">
        <w:rPr>
          <w:b w:val="0"/>
        </w:rPr>
        <w:t xml:space="preserve"> que les recommandations du Comité formulées dans ses décisions précédentes concernant les rapports sur les éléments inscrits ont été pour la plupart prises en compte et reflétées dans les plans de sauvegarde actualisés, tout en invitant les États à améliorer davantage le référencement lorsque cela est nécessaire de sorte à fournir des informations complètes et actualisées dans les futurs rapports, en évitant les répétitions inutiles du contenu des cycles précédents ;</w:t>
      </w:r>
    </w:p>
    <w:p w14:paraId="45C27A59" w14:textId="03C838D8"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Félicite</w:t>
      </w:r>
      <w:r w:rsidRPr="00503070">
        <w:rPr>
          <w:b w:val="0"/>
        </w:rPr>
        <w:t xml:space="preserve"> les États parties pour l’amélioration de la viabilité des éléments concernés, comme en témoignent : (a) l’engagement accru des jeunes et des femmes dans les efforts de sauvegarde</w:t>
      </w:r>
      <w:r w:rsidR="004B644D" w:rsidRPr="00503070">
        <w:rPr>
          <w:b w:val="0"/>
        </w:rPr>
        <w:t> </w:t>
      </w:r>
      <w:r w:rsidRPr="00503070">
        <w:rPr>
          <w:b w:val="0"/>
        </w:rPr>
        <w:t>; (b) l’amélioration des conditions de travail des détenteurs et des praticiens ; (c) l’augmentation du nombre de praticiens actifs ; (d) le renforcement des processus d’enseignement et d’apprentissage ; et (e) le renforcement et élargissement des collaborations intersectorielles entre les parties prenantes ;</w:t>
      </w:r>
    </w:p>
    <w:p w14:paraId="50DC7C53"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Félicite en outre</w:t>
      </w:r>
      <w:r w:rsidRPr="00503070">
        <w:rPr>
          <w:b w:val="0"/>
        </w:rPr>
        <w:t xml:space="preserve"> les États parties pour l’attention soutenue qu’ils accordent aux approches participatives et inclusives de la sauvegarde, ainsi que pour leur engagement en faveur de la préservation de l’environnement et du développement socio-économique des communautés concernées, conformément aux principes du développement durable ;</w:t>
      </w:r>
    </w:p>
    <w:p w14:paraId="359A6DBF"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lastRenderedPageBreak/>
        <w:t>Reconnaît</w:t>
      </w:r>
      <w:r w:rsidRPr="00503070">
        <w:rPr>
          <w:b w:val="0"/>
        </w:rPr>
        <w:t xml:space="preserve"> que la sauvegarde du patrimoine culturel immatériel peut contribuer de manière significative à l’égalité des genres et à la sensibilité au genre, compte tenu du rôle essentiel et souvent prépondérant joué par les femmes, et </w:t>
      </w:r>
      <w:r w:rsidRPr="00503070">
        <w:rPr>
          <w:b w:val="0"/>
          <w:u w:val="single"/>
        </w:rPr>
        <w:t>encourage</w:t>
      </w:r>
      <w:r w:rsidRPr="00503070">
        <w:rPr>
          <w:b w:val="0"/>
        </w:rPr>
        <w:t xml:space="preserve"> les États parties à redoubler d’efforts pour promouvoir l’égalité des genres et l’inclusion à tous les stades de la sauvegarde, tout en favorisant une compréhension plus large des rôles des genre, au-delà de la participation visible à la mise en œuvre des pratiques du patrimoine vivant ;</w:t>
      </w:r>
    </w:p>
    <w:p w14:paraId="0070F9F4" w14:textId="73728EBD"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Encourage</w:t>
      </w:r>
      <w:r w:rsidR="009B07D1" w:rsidRPr="00503070">
        <w:rPr>
          <w:b w:val="0"/>
          <w:u w:val="single"/>
        </w:rPr>
        <w:t xml:space="preserve"> en outre</w:t>
      </w:r>
      <w:r w:rsidRPr="00503070">
        <w:rPr>
          <w:b w:val="0"/>
        </w:rPr>
        <w:t xml:space="preserve"> la poursuite des efforts visant à mobiliser des ressources et à renforcer les synergies entre les mécanismes de financement publics et privés nationaux, régionaux et internationaux, tout en reconnaissant les contributions pertinentes apportées par le biais du mécanisme d’assistance internationale pour la sauvegarde de nombreux éléments, et </w:t>
      </w:r>
      <w:r w:rsidRPr="00503070">
        <w:rPr>
          <w:b w:val="0"/>
          <w:u w:val="single"/>
        </w:rPr>
        <w:t>prend note</w:t>
      </w:r>
      <w:r w:rsidRPr="00503070">
        <w:rPr>
          <w:b w:val="0"/>
        </w:rPr>
        <w:t xml:space="preserve"> du fait que des stratégies de collecte de fonds coordonnées et diversifiées sont essentielles pour assurer la viabilité et l’efficacité à long terme des plans et des mesures de sauvegarde ;</w:t>
      </w:r>
    </w:p>
    <w:p w14:paraId="0931B6A6"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Exprime sa préoccupation</w:t>
      </w:r>
      <w:r w:rsidRPr="00503070">
        <w:rPr>
          <w:b w:val="0"/>
        </w:rPr>
        <w:t xml:space="preserve"> quant au fait que, dans certains cas, la mise en œuvre des mesures de sauvegarde a été sérieusement entravée ou perturbée par les conséquences de la pandémie de COVID-19 et des conflits armés, </w:t>
      </w:r>
      <w:r w:rsidRPr="00503070">
        <w:rPr>
          <w:b w:val="0"/>
          <w:u w:val="single"/>
        </w:rPr>
        <w:t>reconnaît</w:t>
      </w:r>
      <w:r w:rsidRPr="00503070">
        <w:rPr>
          <w:b w:val="0"/>
        </w:rPr>
        <w:t xml:space="preserve"> les défis considérables auxquels sont confrontés les États parties et les communautés pour assurer la viabilité du patrimoine vivant dans les situations d’urgence, et </w:t>
      </w:r>
      <w:r w:rsidRPr="00503070">
        <w:rPr>
          <w:b w:val="0"/>
          <w:u w:val="single"/>
        </w:rPr>
        <w:t>souligne</w:t>
      </w:r>
      <w:r w:rsidRPr="00503070">
        <w:rPr>
          <w:b w:val="0"/>
        </w:rPr>
        <w:t xml:space="preserve"> l’importance vitale d’une coopération et d’un soutien internationaux soutenus pour permettre les efforts de sauvegarde lorsque les conditions le permettent ;</w:t>
      </w:r>
    </w:p>
    <w:p w14:paraId="5338A9D7"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Rappelle</w:t>
      </w:r>
      <w:r w:rsidRPr="00503070">
        <w:rPr>
          <w:b w:val="0"/>
        </w:rPr>
        <w:t xml:space="preserve"> que les termes utilisés dans les rapports soumis par les États parties n’impliquent l’expression d’aucune opinion de la part du Comité ou de l’UNESCO concernant : (a) le statut juridique de tout pays, territoire, ville ou zone ; (b) le statut juridique de ses autorités ; (c) la délimitation de ses frontières ou limites ; ou (d) des références à des événements historiques spécifiques ;</w:t>
      </w:r>
    </w:p>
    <w:p w14:paraId="3FD8708A" w14:textId="77777777" w:rsidR="005C5548" w:rsidRPr="00503070" w:rsidRDefault="005C5548" w:rsidP="005C5548">
      <w:pPr>
        <w:pStyle w:val="COMTitleDecision"/>
        <w:widowControl w:val="0"/>
        <w:numPr>
          <w:ilvl w:val="0"/>
          <w:numId w:val="5"/>
        </w:numPr>
        <w:tabs>
          <w:tab w:val="clear" w:pos="1134"/>
        </w:tabs>
        <w:spacing w:before="120" w:after="120"/>
        <w:ind w:left="567" w:hanging="567"/>
        <w:jc w:val="both"/>
        <w:outlineLvl w:val="9"/>
        <w:rPr>
          <w:b w:val="0"/>
          <w:bCs/>
        </w:rPr>
      </w:pPr>
      <w:r w:rsidRPr="00503070">
        <w:rPr>
          <w:b w:val="0"/>
          <w:u w:val="single"/>
        </w:rPr>
        <w:t>Demande</w:t>
      </w:r>
      <w:r w:rsidRPr="00503070">
        <w:rPr>
          <w:b w:val="0"/>
        </w:rPr>
        <w:t xml:space="preserve"> au Secrétariat de prendre les mesures appropriées pour s’assurer que les États parties rapporteurs sont dûment informés du calendrier de soumission de leurs prochains rapports, compte tenu de l’évolution vers un système de soumission unique au niveau mondial pour les rapports périodiques, la première échéance étant fixée au 30 juin 2027 ;</w:t>
      </w:r>
    </w:p>
    <w:p w14:paraId="2EBAF04B" w14:textId="6D622E9A" w:rsidR="00D275BC" w:rsidRPr="00503070" w:rsidRDefault="005C5548" w:rsidP="005C5548">
      <w:pPr>
        <w:pStyle w:val="COMParaDecision"/>
        <w:numPr>
          <w:ilvl w:val="0"/>
          <w:numId w:val="5"/>
        </w:numPr>
        <w:ind w:left="567" w:hanging="567"/>
        <w:rPr>
          <w:u w:val="none"/>
        </w:rPr>
      </w:pPr>
      <w:r w:rsidRPr="00503070">
        <w:t>Décide</w:t>
      </w:r>
      <w:r w:rsidRPr="00503070">
        <w:rPr>
          <w:u w:val="none"/>
        </w:rPr>
        <w:t xml:space="preserve"> de soumettre pour examen à l’Assemblée générale, à sa onzième session, un résumé des rapports soumis par les États parties sur l’état actuel des éléments inscrits sur la Liste du patrimoine culturel immatériel nécessitant une sauvegarde urgente, examinés au cours de la présente session</w:t>
      </w:r>
      <w:r w:rsidR="00D275BC" w:rsidRPr="00503070">
        <w:rPr>
          <w:u w:val="none"/>
        </w:rPr>
        <w:t>.</w:t>
      </w:r>
    </w:p>
    <w:p w14:paraId="3049AF2A" w14:textId="31400BBE" w:rsidR="00E05619" w:rsidRPr="00503070" w:rsidRDefault="00E05619" w:rsidP="009F0F7B">
      <w:pPr>
        <w:pStyle w:val="COMTitleDecision"/>
        <w:keepNext/>
        <w:rPr>
          <w:i/>
          <w:iCs/>
        </w:rPr>
      </w:pPr>
      <w:r w:rsidRPr="00503070">
        <w:t xml:space="preserve">DÉCISION </w:t>
      </w:r>
      <w:r w:rsidR="003073F1" w:rsidRPr="00503070">
        <w:t>20</w:t>
      </w:r>
      <w:r w:rsidRPr="00503070">
        <w:t>.COM 6.a.1</w:t>
      </w:r>
    </w:p>
    <w:p w14:paraId="15D1BCAC" w14:textId="77777777" w:rsidR="00E05619" w:rsidRPr="00503070" w:rsidRDefault="00E05619" w:rsidP="00E05619">
      <w:pPr>
        <w:pStyle w:val="COMPreambulaDecisions"/>
        <w:ind w:left="0"/>
      </w:pPr>
      <w:r w:rsidRPr="00503070">
        <w:t>Le Comité,</w:t>
      </w:r>
    </w:p>
    <w:p w14:paraId="2A3FC0DE" w14:textId="0576893A" w:rsidR="00E05619" w:rsidRPr="00503070" w:rsidRDefault="00E05619" w:rsidP="004576CC">
      <w:pPr>
        <w:pStyle w:val="Para"/>
        <w:numPr>
          <w:ilvl w:val="0"/>
          <w:numId w:val="6"/>
        </w:numPr>
        <w:spacing w:after="110"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17" w:history="1">
        <w:r w:rsidR="001A7379" w:rsidRPr="00503070">
          <w:rPr>
            <w:rStyle w:val="Hyperlink"/>
            <w:sz w:val="22"/>
            <w:szCs w:val="22"/>
          </w:rPr>
          <w:t>LHE/25/20.COM/</w:t>
        </w:r>
        <w:proofErr w:type="gramStart"/>
        <w:r w:rsidR="001A7379" w:rsidRPr="00503070">
          <w:rPr>
            <w:rStyle w:val="Hyperlink"/>
            <w:sz w:val="22"/>
            <w:szCs w:val="22"/>
          </w:rPr>
          <w:t>6.a</w:t>
        </w:r>
        <w:proofErr w:type="gramEnd"/>
      </w:hyperlink>
      <w:r w:rsidRPr="00503070">
        <w:rPr>
          <w:rFonts w:cs="Arial"/>
          <w:sz w:val="22"/>
          <w:szCs w:val="22"/>
        </w:rPr>
        <w:t>,</w:t>
      </w:r>
    </w:p>
    <w:p w14:paraId="6D7F55AE" w14:textId="77777777" w:rsidR="0083718B" w:rsidRPr="00503070" w:rsidRDefault="0083718B" w:rsidP="0045502E">
      <w:pPr>
        <w:pStyle w:val="Para"/>
        <w:numPr>
          <w:ilvl w:val="0"/>
          <w:numId w:val="6"/>
        </w:numPr>
        <w:spacing w:after="110" w:line="240" w:lineRule="auto"/>
        <w:ind w:left="567" w:hanging="567"/>
        <w:rPr>
          <w:rFonts w:cs="Arial"/>
          <w:sz w:val="22"/>
          <w:szCs w:val="22"/>
        </w:rPr>
      </w:pPr>
      <w:r w:rsidRPr="00503070">
        <w:rPr>
          <w:sz w:val="22"/>
          <w:u w:val="single"/>
        </w:rPr>
        <w:t>Rappelant</w:t>
      </w:r>
      <w:r w:rsidRPr="00503070">
        <w:rPr>
          <w:sz w:val="22"/>
        </w:rPr>
        <w:t xml:space="preserve"> le chapitre V des Directives opérationnelles et sa </w:t>
      </w:r>
      <w:r w:rsidRPr="00503070">
        <w:rPr>
          <w:rFonts w:cs="Arial"/>
          <w:sz w:val="22"/>
          <w:szCs w:val="22"/>
        </w:rPr>
        <w:t>décision</w:t>
      </w:r>
      <w:r w:rsidRPr="00503070">
        <w:rPr>
          <w:sz w:val="22"/>
        </w:rPr>
        <w:t xml:space="preserve"> </w:t>
      </w:r>
      <w:hyperlink r:id="rId18" w:history="1">
        <w:r w:rsidRPr="00503070">
          <w:rPr>
            <w:rStyle w:val="Hyperlink"/>
            <w:sz w:val="22"/>
          </w:rPr>
          <w:t xml:space="preserve">15.COM </w:t>
        </w:r>
        <w:proofErr w:type="gramStart"/>
        <w:r w:rsidRPr="00503070">
          <w:rPr>
            <w:rStyle w:val="Hyperlink"/>
            <w:sz w:val="22"/>
          </w:rPr>
          <w:t>8.a.</w:t>
        </w:r>
        <w:proofErr w:type="gramEnd"/>
        <w:r w:rsidRPr="00503070">
          <w:rPr>
            <w:rStyle w:val="Hyperlink"/>
            <w:sz w:val="22"/>
          </w:rPr>
          <w:t>1</w:t>
        </w:r>
      </w:hyperlink>
      <w:r w:rsidRPr="00503070">
        <w:rPr>
          <w:sz w:val="22"/>
        </w:rPr>
        <w:t xml:space="preserve">, </w:t>
      </w:r>
    </w:p>
    <w:p w14:paraId="4906ECD8" w14:textId="77777777" w:rsidR="0083718B" w:rsidRPr="00503070" w:rsidRDefault="0083718B" w:rsidP="0045502E">
      <w:pPr>
        <w:pStyle w:val="Para"/>
        <w:numPr>
          <w:ilvl w:val="0"/>
          <w:numId w:val="6"/>
        </w:numPr>
        <w:spacing w:after="110" w:line="240" w:lineRule="auto"/>
        <w:ind w:left="567" w:hanging="567"/>
        <w:rPr>
          <w:rFonts w:cs="Arial"/>
          <w:sz w:val="22"/>
          <w:szCs w:val="22"/>
        </w:rPr>
      </w:pPr>
      <w:r w:rsidRPr="00503070">
        <w:rPr>
          <w:sz w:val="22"/>
          <w:u w:val="single"/>
        </w:rPr>
        <w:t>Remercie</w:t>
      </w:r>
      <w:r w:rsidRPr="00503070">
        <w:rPr>
          <w:sz w:val="22"/>
        </w:rPr>
        <w:t xml:space="preserve"> la Colombie d’avoir soumis, dans les délais, son </w:t>
      </w:r>
      <w:r w:rsidRPr="00503070">
        <w:rPr>
          <w:rFonts w:cs="Arial"/>
          <w:sz w:val="22"/>
          <w:szCs w:val="22"/>
        </w:rPr>
        <w:t>premier</w:t>
      </w:r>
      <w:r w:rsidRPr="00503070">
        <w:rPr>
          <w:sz w:val="22"/>
        </w:rPr>
        <w:t xml:space="preserve"> rapport sur l’état de l’élément « Les connaissances et techniques traditionnelles associées au vernis de Pasto </w:t>
      </w:r>
      <w:proofErr w:type="spellStart"/>
      <w:r w:rsidRPr="00503070">
        <w:rPr>
          <w:sz w:val="22"/>
        </w:rPr>
        <w:t>mopa-mopa</w:t>
      </w:r>
      <w:proofErr w:type="spellEnd"/>
      <w:r w:rsidRPr="00503070">
        <w:rPr>
          <w:sz w:val="22"/>
        </w:rPr>
        <w:t xml:space="preserve"> de Putumayo et </w:t>
      </w:r>
      <w:proofErr w:type="gramStart"/>
      <w:r w:rsidRPr="00503070">
        <w:rPr>
          <w:sz w:val="22"/>
        </w:rPr>
        <w:t>Nariño  »</w:t>
      </w:r>
      <w:proofErr w:type="gramEnd"/>
      <w:r w:rsidRPr="00503070">
        <w:rPr>
          <w:sz w:val="22"/>
        </w:rPr>
        <w:t>, inscrit en 2020 sur la Liste du patrimoine culturel immatériel nécessitant une sauvegarde urgente ;</w:t>
      </w:r>
    </w:p>
    <w:p w14:paraId="29B90565" w14:textId="77777777" w:rsidR="0083718B" w:rsidRPr="00503070" w:rsidRDefault="0083718B" w:rsidP="0045502E">
      <w:pPr>
        <w:pStyle w:val="Para"/>
        <w:numPr>
          <w:ilvl w:val="0"/>
          <w:numId w:val="6"/>
        </w:numPr>
        <w:spacing w:after="110" w:line="240" w:lineRule="auto"/>
        <w:ind w:left="567" w:hanging="567"/>
        <w:rPr>
          <w:rFonts w:cs="Arial"/>
          <w:sz w:val="22"/>
          <w:szCs w:val="22"/>
        </w:rPr>
      </w:pPr>
      <w:r w:rsidRPr="00503070">
        <w:rPr>
          <w:rFonts w:cs="Arial"/>
          <w:sz w:val="22"/>
          <w:szCs w:val="22"/>
          <w:u w:val="single"/>
        </w:rPr>
        <w:t>Prend</w:t>
      </w:r>
      <w:r w:rsidRPr="00503070">
        <w:rPr>
          <w:sz w:val="22"/>
          <w:u w:val="single"/>
        </w:rPr>
        <w:t xml:space="preserve"> note</w:t>
      </w:r>
      <w:r w:rsidRPr="00503070">
        <w:rPr>
          <w:sz w:val="22"/>
        </w:rPr>
        <w:t xml:space="preserve"> des efforts entrepris par l’État partie pour sauvegarder l’élément, notamment en améliorant sa transmission par le biais d’initiatives de renforcement des capacités et de programmes de formation nouvellement établis, en améliorant les conditions de travail des praticiens et des détenteurs, en augmentant la participation des praticiens hommes et femmes (accompagnée d’une diversification de leurs rôles), en faisant progresser les activités de recherche et de documentation, en sensibilisant le public à l’élément, et en renforçant sa visibilité et sa viabilité globale ;</w:t>
      </w:r>
    </w:p>
    <w:p w14:paraId="3A10AEE3" w14:textId="77777777" w:rsidR="0083718B" w:rsidRPr="00503070" w:rsidRDefault="0083718B" w:rsidP="0045502E">
      <w:pPr>
        <w:pStyle w:val="Para"/>
        <w:numPr>
          <w:ilvl w:val="0"/>
          <w:numId w:val="6"/>
        </w:numPr>
        <w:spacing w:after="110" w:line="240" w:lineRule="auto"/>
        <w:ind w:left="567" w:hanging="567"/>
        <w:rPr>
          <w:rFonts w:cs="Arial"/>
          <w:sz w:val="22"/>
          <w:szCs w:val="22"/>
        </w:rPr>
      </w:pPr>
      <w:r w:rsidRPr="00503070">
        <w:rPr>
          <w:rFonts w:cs="Arial"/>
          <w:sz w:val="22"/>
          <w:szCs w:val="22"/>
          <w:u w:val="single"/>
        </w:rPr>
        <w:lastRenderedPageBreak/>
        <w:t>Prend</w:t>
      </w:r>
      <w:r w:rsidRPr="00503070">
        <w:rPr>
          <w:sz w:val="22"/>
          <w:u w:val="single"/>
        </w:rPr>
        <w:t xml:space="preserve"> en outre note</w:t>
      </w:r>
      <w:r w:rsidRPr="00503070">
        <w:rPr>
          <w:sz w:val="22"/>
        </w:rPr>
        <w:t xml:space="preserve"> de la forte participation communautaire rapportée, ainsi que de l’engagement actif des femmes dans la sauvegarde, l’innovation et les rôles de direction, renforçant ainsi la transmission des connaissances et promouvant l’égalité des genres ;</w:t>
      </w:r>
    </w:p>
    <w:p w14:paraId="2D1200F9" w14:textId="77777777" w:rsidR="0083718B" w:rsidRPr="00503070" w:rsidRDefault="0083718B" w:rsidP="0045502E">
      <w:pPr>
        <w:pStyle w:val="Para"/>
        <w:numPr>
          <w:ilvl w:val="0"/>
          <w:numId w:val="6"/>
        </w:numPr>
        <w:spacing w:after="110" w:line="240" w:lineRule="auto"/>
        <w:ind w:left="567" w:hanging="567"/>
        <w:rPr>
          <w:rFonts w:cs="Arial"/>
          <w:sz w:val="22"/>
          <w:szCs w:val="22"/>
        </w:rPr>
      </w:pPr>
      <w:r w:rsidRPr="00503070">
        <w:rPr>
          <w:rFonts w:cs="Arial"/>
          <w:sz w:val="22"/>
          <w:szCs w:val="22"/>
          <w:u w:val="single"/>
        </w:rPr>
        <w:t>Encourage</w:t>
      </w:r>
      <w:r w:rsidRPr="00503070">
        <w:rPr>
          <w:sz w:val="22"/>
        </w:rPr>
        <w:t xml:space="preserve"> l’État partie à poursuivre ses efforts pour protéger, cultiver et gérer durablement les ressources naturelles associées à l’élément, à soutenir les praticiens et les détenteurs dans leur engagement en faveur de pratiques durables, de la préservation de la biodiversité et de la sauvegarde de leur patrimoine vivant (y compris en améliorant leurs moyens de subsistance et leurs conditions de travail), et à soutenir l’engagement de diverses entités gouvernementales et non gouvernementales dans l’amélioration de la viabilité de l’élément ;</w:t>
      </w:r>
    </w:p>
    <w:p w14:paraId="0D0BB1AF" w14:textId="62F4B0A8" w:rsidR="00D86A3D" w:rsidRPr="00503070" w:rsidRDefault="0083718B" w:rsidP="00680C26">
      <w:pPr>
        <w:pStyle w:val="Para"/>
        <w:numPr>
          <w:ilvl w:val="0"/>
          <w:numId w:val="6"/>
        </w:numPr>
        <w:spacing w:after="110" w:line="240" w:lineRule="auto"/>
        <w:ind w:left="567" w:hanging="567"/>
        <w:rPr>
          <w:rFonts w:cs="Arial"/>
          <w:sz w:val="22"/>
          <w:szCs w:val="22"/>
          <w:u w:val="single"/>
        </w:rPr>
      </w:pPr>
      <w:r w:rsidRPr="00503070">
        <w:rPr>
          <w:rFonts w:cs="Arial"/>
          <w:sz w:val="22"/>
          <w:szCs w:val="22"/>
          <w:u w:val="single"/>
        </w:rPr>
        <w:t>Prend</w:t>
      </w:r>
      <w:r w:rsidRPr="00503070">
        <w:rPr>
          <w:sz w:val="22"/>
          <w:u w:val="single"/>
        </w:rPr>
        <w:t xml:space="preserve"> note</w:t>
      </w:r>
      <w:r w:rsidRPr="00503070">
        <w:rPr>
          <w:sz w:val="22"/>
        </w:rPr>
        <w:t xml:space="preserve"> de l’expansion prévue du marché, de l’élaboration d’un plan de tourisme durable et d’autres activités commerciales visant à améliorer la viabilité économique de la pratique, et </w:t>
      </w:r>
      <w:r w:rsidRPr="00503070">
        <w:rPr>
          <w:sz w:val="22"/>
          <w:u w:val="single"/>
        </w:rPr>
        <w:t>rappelle</w:t>
      </w:r>
      <w:r w:rsidRPr="00503070">
        <w:rPr>
          <w:sz w:val="22"/>
        </w:rPr>
        <w:t xml:space="preserve"> l’importance d’évaluer l’impact potentiel de ces mesures et d’empêcher la décontextualisation et la commercialisation excessive de l’élément</w:t>
      </w:r>
      <w:r w:rsidR="00D86A3D" w:rsidRPr="00503070">
        <w:rPr>
          <w:sz w:val="22"/>
        </w:rPr>
        <w:t>.</w:t>
      </w:r>
    </w:p>
    <w:p w14:paraId="73E41EB8" w14:textId="0656DA64" w:rsidR="00FF2148" w:rsidRPr="00503070" w:rsidRDefault="00FF2148" w:rsidP="00414F67">
      <w:pPr>
        <w:pStyle w:val="COMTitleDecision"/>
        <w:rPr>
          <w:i/>
          <w:iCs/>
        </w:rPr>
      </w:pPr>
      <w:r w:rsidRPr="00503070">
        <w:t xml:space="preserve">DÉCISION </w:t>
      </w:r>
      <w:r w:rsidR="005461F8" w:rsidRPr="00503070">
        <w:t>20</w:t>
      </w:r>
      <w:r w:rsidRPr="00503070">
        <w:t>.COM 6.a.2</w:t>
      </w:r>
    </w:p>
    <w:p w14:paraId="117B6FE8" w14:textId="77777777" w:rsidR="00FF2148" w:rsidRPr="00503070" w:rsidRDefault="00FF2148" w:rsidP="00FF2148">
      <w:pPr>
        <w:pStyle w:val="COMPreambulaDecisions"/>
        <w:ind w:left="0"/>
      </w:pPr>
      <w:r w:rsidRPr="00503070">
        <w:t>Le Comité,</w:t>
      </w:r>
    </w:p>
    <w:p w14:paraId="4780E2E2" w14:textId="5BB80171" w:rsidR="00FF2148" w:rsidRPr="00503070" w:rsidRDefault="00FF2148" w:rsidP="004576CC">
      <w:pPr>
        <w:pStyle w:val="Para"/>
        <w:numPr>
          <w:ilvl w:val="0"/>
          <w:numId w:val="7"/>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19" w:history="1">
        <w:r w:rsidR="001C47E9" w:rsidRPr="00503070">
          <w:rPr>
            <w:rStyle w:val="Hyperlink"/>
            <w:sz w:val="22"/>
            <w:szCs w:val="22"/>
          </w:rPr>
          <w:t>LHE/25/20.COM/</w:t>
        </w:r>
        <w:proofErr w:type="gramStart"/>
        <w:r w:rsidR="001C47E9" w:rsidRPr="00503070">
          <w:rPr>
            <w:rStyle w:val="Hyperlink"/>
            <w:sz w:val="22"/>
            <w:szCs w:val="22"/>
          </w:rPr>
          <w:t>6.a</w:t>
        </w:r>
        <w:proofErr w:type="gramEnd"/>
      </w:hyperlink>
      <w:r w:rsidR="001C47E9" w:rsidRPr="00503070">
        <w:rPr>
          <w:rFonts w:cs="Arial"/>
          <w:sz w:val="22"/>
          <w:szCs w:val="22"/>
        </w:rPr>
        <w:t>,</w:t>
      </w:r>
    </w:p>
    <w:p w14:paraId="6E4EBEB4" w14:textId="77777777" w:rsidR="00AB56D3" w:rsidRPr="00503070" w:rsidRDefault="00AB56D3" w:rsidP="00AB56D3">
      <w:pPr>
        <w:pStyle w:val="Para"/>
        <w:numPr>
          <w:ilvl w:val="0"/>
          <w:numId w:val="7"/>
        </w:numPr>
        <w:tabs>
          <w:tab w:val="left" w:pos="1134"/>
        </w:tabs>
        <w:spacing w:line="240" w:lineRule="auto"/>
        <w:ind w:left="567" w:hanging="567"/>
        <w:rPr>
          <w:rFonts w:cs="Arial"/>
          <w:sz w:val="22"/>
          <w:szCs w:val="22"/>
        </w:rPr>
      </w:pPr>
      <w:r w:rsidRPr="00503070">
        <w:rPr>
          <w:sz w:val="22"/>
          <w:u w:val="single"/>
        </w:rPr>
        <w:t>Rappelant</w:t>
      </w:r>
      <w:r w:rsidRPr="00503070">
        <w:rPr>
          <w:sz w:val="22"/>
        </w:rPr>
        <w:t xml:space="preserve"> le chapitre V des Directives opérationnelles et ses décisions </w:t>
      </w:r>
      <w:hyperlink r:id="rId20" w:history="1">
        <w:r w:rsidRPr="00503070">
          <w:rPr>
            <w:rStyle w:val="Hyperlink"/>
            <w:sz w:val="22"/>
          </w:rPr>
          <w:t xml:space="preserve">15.COM </w:t>
        </w:r>
        <w:proofErr w:type="gramStart"/>
        <w:r w:rsidRPr="00503070">
          <w:rPr>
            <w:rStyle w:val="Hyperlink"/>
            <w:sz w:val="22"/>
          </w:rPr>
          <w:t>8.a.</w:t>
        </w:r>
        <w:proofErr w:type="gramEnd"/>
        <w:r w:rsidRPr="00503070">
          <w:rPr>
            <w:rStyle w:val="Hyperlink"/>
            <w:sz w:val="22"/>
          </w:rPr>
          <w:t>4</w:t>
        </w:r>
      </w:hyperlink>
      <w:r w:rsidRPr="00503070">
        <w:rPr>
          <w:sz w:val="22"/>
        </w:rPr>
        <w:t xml:space="preserve"> et </w:t>
      </w:r>
      <w:hyperlink r:id="rId21" w:history="1">
        <w:r w:rsidRPr="00503070">
          <w:rPr>
            <w:rStyle w:val="Hyperlink"/>
            <w:sz w:val="22"/>
          </w:rPr>
          <w:t>18.COM 21</w:t>
        </w:r>
      </w:hyperlink>
      <w:r w:rsidRPr="00503070">
        <w:rPr>
          <w:sz w:val="22"/>
        </w:rPr>
        <w:t xml:space="preserve">, </w:t>
      </w:r>
    </w:p>
    <w:p w14:paraId="5DF6F52D" w14:textId="77777777" w:rsidR="00AB56D3" w:rsidRPr="00503070" w:rsidRDefault="00AB56D3" w:rsidP="00AB56D3">
      <w:pPr>
        <w:pStyle w:val="Para"/>
        <w:numPr>
          <w:ilvl w:val="0"/>
          <w:numId w:val="7"/>
        </w:numPr>
        <w:tabs>
          <w:tab w:val="left" w:pos="1134"/>
        </w:tabs>
        <w:spacing w:line="240" w:lineRule="auto"/>
        <w:ind w:left="567" w:hanging="567"/>
        <w:rPr>
          <w:rFonts w:cs="Arial"/>
          <w:sz w:val="22"/>
          <w:szCs w:val="22"/>
        </w:rPr>
      </w:pPr>
      <w:r w:rsidRPr="00503070">
        <w:rPr>
          <w:sz w:val="22"/>
          <w:u w:val="single"/>
        </w:rPr>
        <w:t>Remercie</w:t>
      </w:r>
      <w:r w:rsidRPr="00503070">
        <w:rPr>
          <w:sz w:val="22"/>
        </w:rPr>
        <w:t xml:space="preserve"> la Namibie d’avoir soumis, dans les délais, son troisième rapport sur l’état de l’élément « Les connaissances et les savoir-faire musicaux ancestraux d’</w:t>
      </w:r>
      <w:proofErr w:type="spellStart"/>
      <w:r w:rsidRPr="00503070">
        <w:rPr>
          <w:sz w:val="22"/>
        </w:rPr>
        <w:t>Aboxan</w:t>
      </w:r>
      <w:proofErr w:type="spellEnd"/>
      <w:r w:rsidRPr="00503070">
        <w:rPr>
          <w:sz w:val="22"/>
        </w:rPr>
        <w:t xml:space="preserve"> </w:t>
      </w:r>
      <w:proofErr w:type="spellStart"/>
      <w:r w:rsidRPr="00503070">
        <w:rPr>
          <w:sz w:val="22"/>
        </w:rPr>
        <w:t>Musik</w:t>
      </w:r>
      <w:proofErr w:type="spellEnd"/>
      <w:r w:rsidRPr="00503070">
        <w:rPr>
          <w:sz w:val="22"/>
        </w:rPr>
        <w:t xml:space="preserve"> </w:t>
      </w:r>
      <w:proofErr w:type="spellStart"/>
      <w:r w:rsidRPr="00503070">
        <w:rPr>
          <w:sz w:val="22"/>
        </w:rPr>
        <w:t>ǀŌb</w:t>
      </w:r>
      <w:proofErr w:type="spellEnd"/>
      <w:r w:rsidRPr="00503070">
        <w:rPr>
          <w:sz w:val="22"/>
        </w:rPr>
        <w:t xml:space="preserve"> </w:t>
      </w:r>
      <w:proofErr w:type="spellStart"/>
      <w:r w:rsidRPr="00503070">
        <w:rPr>
          <w:sz w:val="22"/>
        </w:rPr>
        <w:t>ǂÂns</w:t>
      </w:r>
      <w:proofErr w:type="spellEnd"/>
      <w:r w:rsidRPr="00503070">
        <w:rPr>
          <w:sz w:val="22"/>
        </w:rPr>
        <w:t xml:space="preserve"> </w:t>
      </w:r>
      <w:proofErr w:type="spellStart"/>
      <w:r w:rsidRPr="00503070">
        <w:rPr>
          <w:sz w:val="22"/>
        </w:rPr>
        <w:t>tsî</w:t>
      </w:r>
      <w:proofErr w:type="spellEnd"/>
      <w:r w:rsidRPr="00503070">
        <w:rPr>
          <w:sz w:val="22"/>
        </w:rPr>
        <w:t xml:space="preserve"> </w:t>
      </w:r>
      <w:proofErr w:type="spellStart"/>
      <w:r w:rsidRPr="00503070">
        <w:rPr>
          <w:sz w:val="22"/>
        </w:rPr>
        <w:t>ǁKhasigu</w:t>
      </w:r>
      <w:proofErr w:type="spellEnd"/>
      <w:r w:rsidRPr="00503070">
        <w:rPr>
          <w:sz w:val="22"/>
        </w:rPr>
        <w:t> », inscrit en 2020 sur la Liste du patrimoine culturel immatériel nécessitant une sauvegarde urgente ;</w:t>
      </w:r>
    </w:p>
    <w:p w14:paraId="6628ADDD" w14:textId="77777777" w:rsidR="00AB56D3" w:rsidRPr="00503070" w:rsidRDefault="00AB56D3" w:rsidP="00AB56D3">
      <w:pPr>
        <w:pStyle w:val="Para"/>
        <w:numPr>
          <w:ilvl w:val="0"/>
          <w:numId w:val="7"/>
        </w:numPr>
        <w:tabs>
          <w:tab w:val="left" w:pos="1134"/>
        </w:tabs>
        <w:spacing w:line="240" w:lineRule="auto"/>
        <w:ind w:left="567" w:hanging="567"/>
        <w:rPr>
          <w:rFonts w:cs="Arial"/>
          <w:sz w:val="22"/>
          <w:szCs w:val="22"/>
        </w:rPr>
      </w:pPr>
      <w:r w:rsidRPr="00503070">
        <w:rPr>
          <w:sz w:val="22"/>
          <w:u w:val="single"/>
        </w:rPr>
        <w:t>Prend note</w:t>
      </w:r>
      <w:r w:rsidRPr="00503070">
        <w:rPr>
          <w:sz w:val="22"/>
        </w:rPr>
        <w:t xml:space="preserve"> de la forte participation de la communauté aux efforts de sauvegarde entrepris par l’État partie, en particulier dans l’amélioration de la visibilité de l’élément par des activités de sensibilisation, et des mesures visant à renforcer la transmission intergénérationnelle des connaissances et des compétences, notamment par la fourniture d’instruments de musique et la mise en œuvre de programmes non formels d’enseignement de la musique ;</w:t>
      </w:r>
    </w:p>
    <w:p w14:paraId="41A2F46A" w14:textId="77777777" w:rsidR="00AB56D3" w:rsidRPr="00503070" w:rsidRDefault="00AB56D3" w:rsidP="00AB56D3">
      <w:pPr>
        <w:pStyle w:val="Para"/>
        <w:numPr>
          <w:ilvl w:val="0"/>
          <w:numId w:val="7"/>
        </w:numPr>
        <w:tabs>
          <w:tab w:val="left" w:pos="1134"/>
        </w:tabs>
        <w:spacing w:line="240" w:lineRule="auto"/>
        <w:ind w:left="567" w:hanging="567"/>
        <w:rPr>
          <w:rFonts w:cs="Arial"/>
          <w:sz w:val="22"/>
          <w:szCs w:val="22"/>
        </w:rPr>
      </w:pPr>
      <w:r w:rsidRPr="00503070">
        <w:rPr>
          <w:sz w:val="22"/>
          <w:u w:val="single"/>
        </w:rPr>
        <w:t>Encourage</w:t>
      </w:r>
      <w:r w:rsidRPr="00503070">
        <w:rPr>
          <w:sz w:val="22"/>
        </w:rPr>
        <w:t xml:space="preserve"> l’État partie à s’appuyer sur les efforts de sauvegarde positifs déjà accomplis en renforçant l’inventaire communautaire et en assurant la pleine participation des communautés, groupes et individus concernés, tout en fournissant des informations plus détaillées sur ces processus et leurs résultats dans le prochain rapport périodique ;</w:t>
      </w:r>
    </w:p>
    <w:p w14:paraId="12D77275" w14:textId="711A14C7" w:rsidR="00AB56D3" w:rsidRPr="00503070" w:rsidRDefault="00AB56D3" w:rsidP="00AB56D3">
      <w:pPr>
        <w:pStyle w:val="Para"/>
        <w:numPr>
          <w:ilvl w:val="0"/>
          <w:numId w:val="7"/>
        </w:numPr>
        <w:spacing w:line="240" w:lineRule="auto"/>
        <w:ind w:left="567" w:hanging="567"/>
        <w:rPr>
          <w:rFonts w:cs="Arial"/>
          <w:sz w:val="22"/>
          <w:szCs w:val="22"/>
          <w:u w:val="single"/>
        </w:rPr>
      </w:pPr>
      <w:r w:rsidRPr="00503070">
        <w:rPr>
          <w:sz w:val="22"/>
          <w:u w:val="single"/>
        </w:rPr>
        <w:t>Encourage en outre</w:t>
      </w:r>
      <w:r w:rsidRPr="00503070">
        <w:rPr>
          <w:sz w:val="22"/>
        </w:rPr>
        <w:t xml:space="preserve"> l’État partie à poursuivre ses efforts de collecte de fonds et à renforcer les synergies entre les sources de financement nationales, régionales et internationales, y compris les contributions publiques, privées et communautaires, afin d’assurer la viabilité à long terme des mesures de sauvegarde</w:t>
      </w:r>
      <w:r w:rsidR="00DA36FC" w:rsidRPr="00503070">
        <w:rPr>
          <w:sz w:val="22"/>
        </w:rPr>
        <w:t>.</w:t>
      </w:r>
    </w:p>
    <w:p w14:paraId="51A5560D" w14:textId="3FA28142" w:rsidR="0016667F" w:rsidRPr="00503070" w:rsidRDefault="0016667F" w:rsidP="0026244C">
      <w:pPr>
        <w:pStyle w:val="COMTitleDecision"/>
        <w:keepNext/>
        <w:rPr>
          <w:i/>
          <w:iCs/>
        </w:rPr>
      </w:pPr>
      <w:r w:rsidRPr="00503070">
        <w:t xml:space="preserve">DÉCISION </w:t>
      </w:r>
      <w:r w:rsidR="005461F8" w:rsidRPr="00503070">
        <w:t>20</w:t>
      </w:r>
      <w:r w:rsidRPr="00503070">
        <w:t>.COM 6.a.3</w:t>
      </w:r>
    </w:p>
    <w:p w14:paraId="4EE30C0F" w14:textId="77777777" w:rsidR="0016667F" w:rsidRPr="00503070" w:rsidRDefault="0016667F" w:rsidP="0016667F">
      <w:pPr>
        <w:pStyle w:val="COMPreambulaDecisions"/>
        <w:ind w:left="0"/>
      </w:pPr>
      <w:r w:rsidRPr="00503070">
        <w:t>Le Comité,</w:t>
      </w:r>
    </w:p>
    <w:p w14:paraId="77528565" w14:textId="466530B3" w:rsidR="0016667F" w:rsidRPr="00503070" w:rsidRDefault="0016667F" w:rsidP="004576CC">
      <w:pPr>
        <w:pStyle w:val="Para"/>
        <w:numPr>
          <w:ilvl w:val="0"/>
          <w:numId w:val="8"/>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22" w:history="1">
        <w:r w:rsidR="003B6025" w:rsidRPr="00503070">
          <w:rPr>
            <w:rStyle w:val="Hyperlink"/>
            <w:sz w:val="22"/>
            <w:szCs w:val="22"/>
          </w:rPr>
          <w:t>LHE/25/20.COM/</w:t>
        </w:r>
        <w:proofErr w:type="gramStart"/>
        <w:r w:rsidR="003B6025" w:rsidRPr="00503070">
          <w:rPr>
            <w:rStyle w:val="Hyperlink"/>
            <w:sz w:val="22"/>
            <w:szCs w:val="22"/>
          </w:rPr>
          <w:t>6.a</w:t>
        </w:r>
        <w:proofErr w:type="gramEnd"/>
      </w:hyperlink>
      <w:r w:rsidRPr="00503070">
        <w:rPr>
          <w:rFonts w:cs="Arial"/>
          <w:sz w:val="22"/>
          <w:szCs w:val="22"/>
        </w:rPr>
        <w:t>,</w:t>
      </w:r>
    </w:p>
    <w:p w14:paraId="2E2131DF" w14:textId="77777777" w:rsidR="000B20B1" w:rsidRPr="00503070" w:rsidRDefault="000B20B1" w:rsidP="00CB3D6F">
      <w:pPr>
        <w:pStyle w:val="Para"/>
        <w:numPr>
          <w:ilvl w:val="0"/>
          <w:numId w:val="8"/>
        </w:numPr>
        <w:spacing w:line="240" w:lineRule="auto"/>
        <w:ind w:left="567" w:hanging="567"/>
        <w:rPr>
          <w:rFonts w:cs="Arial"/>
          <w:sz w:val="22"/>
          <w:szCs w:val="22"/>
        </w:rPr>
      </w:pPr>
      <w:r w:rsidRPr="00503070">
        <w:rPr>
          <w:rFonts w:cs="Arial"/>
          <w:sz w:val="22"/>
          <w:szCs w:val="22"/>
          <w:u w:val="single"/>
        </w:rPr>
        <w:t>Rappelant</w:t>
      </w:r>
      <w:r w:rsidRPr="00503070">
        <w:rPr>
          <w:sz w:val="22"/>
        </w:rPr>
        <w:t xml:space="preserve"> le chapitre V des Directives opérationnelles et ses décisions </w:t>
      </w:r>
      <w:hyperlink r:id="rId23" w:history="1">
        <w:r w:rsidRPr="00503070">
          <w:rPr>
            <w:rStyle w:val="Hyperlink"/>
            <w:color w:val="1107FB"/>
            <w:sz w:val="22"/>
          </w:rPr>
          <w:t xml:space="preserve">11.COM </w:t>
        </w:r>
        <w:proofErr w:type="gramStart"/>
        <w:r w:rsidRPr="00503070">
          <w:rPr>
            <w:rStyle w:val="Hyperlink"/>
            <w:color w:val="1107FB"/>
            <w:sz w:val="22"/>
          </w:rPr>
          <w:t>10.a.</w:t>
        </w:r>
        <w:proofErr w:type="gramEnd"/>
        <w:r w:rsidRPr="00503070">
          <w:rPr>
            <w:rStyle w:val="Hyperlink"/>
            <w:color w:val="1107FB"/>
            <w:sz w:val="22"/>
          </w:rPr>
          <w:t>6</w:t>
        </w:r>
      </w:hyperlink>
      <w:r w:rsidRPr="00503070">
        <w:rPr>
          <w:sz w:val="22"/>
        </w:rPr>
        <w:t xml:space="preserve"> et </w:t>
      </w:r>
      <w:hyperlink r:id="rId24" w:history="1">
        <w:r w:rsidRPr="00503070">
          <w:rPr>
            <w:rStyle w:val="Hyperlink"/>
            <w:sz w:val="22"/>
          </w:rPr>
          <w:t xml:space="preserve">16.COM </w:t>
        </w:r>
        <w:proofErr w:type="gramStart"/>
        <w:r w:rsidRPr="00503070">
          <w:rPr>
            <w:rStyle w:val="Hyperlink"/>
            <w:sz w:val="22"/>
          </w:rPr>
          <w:t>7.a.</w:t>
        </w:r>
        <w:proofErr w:type="gramEnd"/>
        <w:r w:rsidRPr="00503070">
          <w:rPr>
            <w:rStyle w:val="Hyperlink"/>
            <w:sz w:val="22"/>
          </w:rPr>
          <w:t>1</w:t>
        </w:r>
      </w:hyperlink>
      <w:r w:rsidRPr="00503070">
        <w:rPr>
          <w:sz w:val="22"/>
        </w:rPr>
        <w:t xml:space="preserve">, </w:t>
      </w:r>
    </w:p>
    <w:p w14:paraId="4A830AF5" w14:textId="77777777" w:rsidR="000B20B1" w:rsidRPr="00503070" w:rsidRDefault="000B20B1" w:rsidP="00CB3D6F">
      <w:pPr>
        <w:pStyle w:val="Para"/>
        <w:numPr>
          <w:ilvl w:val="0"/>
          <w:numId w:val="8"/>
        </w:numPr>
        <w:spacing w:line="240" w:lineRule="auto"/>
        <w:ind w:left="567" w:hanging="567"/>
        <w:rPr>
          <w:rFonts w:eastAsia="Times New Roman" w:cs="Arial"/>
          <w:color w:val="000000"/>
          <w:sz w:val="22"/>
          <w:szCs w:val="22"/>
        </w:rPr>
      </w:pPr>
      <w:r w:rsidRPr="00503070">
        <w:rPr>
          <w:rFonts w:cs="Arial"/>
          <w:sz w:val="22"/>
          <w:szCs w:val="22"/>
          <w:u w:val="single"/>
        </w:rPr>
        <w:t>Remercie</w:t>
      </w:r>
      <w:r w:rsidRPr="00503070">
        <w:rPr>
          <w:color w:val="000000"/>
          <w:sz w:val="22"/>
        </w:rPr>
        <w:t xml:space="preserve"> le Cambodge d’avoir soumis, dans les délais, son deuxième rapport sur l’état de l’élément « Le </w:t>
      </w:r>
      <w:proofErr w:type="spellStart"/>
      <w:r w:rsidRPr="00503070">
        <w:rPr>
          <w:color w:val="000000"/>
          <w:sz w:val="22"/>
        </w:rPr>
        <w:t>chapei</w:t>
      </w:r>
      <w:proofErr w:type="spellEnd"/>
      <w:r w:rsidRPr="00503070">
        <w:rPr>
          <w:color w:val="000000"/>
          <w:sz w:val="22"/>
        </w:rPr>
        <w:t xml:space="preserve"> Dang </w:t>
      </w:r>
      <w:proofErr w:type="spellStart"/>
      <w:r w:rsidRPr="00503070">
        <w:rPr>
          <w:color w:val="000000"/>
          <w:sz w:val="22"/>
        </w:rPr>
        <w:t>Veng</w:t>
      </w:r>
      <w:proofErr w:type="spellEnd"/>
      <w:r w:rsidRPr="00503070">
        <w:rPr>
          <w:color w:val="000000"/>
          <w:sz w:val="22"/>
        </w:rPr>
        <w:t> », inscrit en 2016 sur la Liste du patrimoine culturel immatériel nécessitant une sauvegarde urgente ;</w:t>
      </w:r>
    </w:p>
    <w:p w14:paraId="204835C4" w14:textId="77777777" w:rsidR="000B20B1" w:rsidRPr="00503070" w:rsidRDefault="000B20B1" w:rsidP="00CB3D6F">
      <w:pPr>
        <w:pStyle w:val="Para"/>
        <w:numPr>
          <w:ilvl w:val="0"/>
          <w:numId w:val="8"/>
        </w:numPr>
        <w:spacing w:line="240" w:lineRule="auto"/>
        <w:ind w:left="567" w:hanging="567"/>
        <w:rPr>
          <w:rFonts w:eastAsia="Times New Roman" w:cs="Arial"/>
          <w:color w:val="000000"/>
          <w:sz w:val="22"/>
          <w:szCs w:val="22"/>
        </w:rPr>
      </w:pPr>
      <w:r w:rsidRPr="00503070">
        <w:rPr>
          <w:rFonts w:cs="Arial"/>
          <w:sz w:val="22"/>
          <w:szCs w:val="22"/>
          <w:u w:val="single"/>
        </w:rPr>
        <w:t>Prend</w:t>
      </w:r>
      <w:r w:rsidRPr="00503070">
        <w:rPr>
          <w:color w:val="000000"/>
          <w:sz w:val="22"/>
          <w:u w:val="single"/>
        </w:rPr>
        <w:t xml:space="preserve"> note</w:t>
      </w:r>
      <w:r w:rsidRPr="00503070">
        <w:rPr>
          <w:color w:val="000000"/>
          <w:sz w:val="22"/>
        </w:rPr>
        <w:t xml:space="preserve"> des efforts déployés par le Cambodge pour sauvegarder l’élément, notamment la documentation en cours le concernant, le renforcement de la transmission via l’éducation et la formation formelles et non formelles, la reconnaissance des maîtres </w:t>
      </w:r>
      <w:proofErr w:type="spellStart"/>
      <w:r w:rsidRPr="00503070">
        <w:rPr>
          <w:color w:val="000000"/>
          <w:sz w:val="22"/>
        </w:rPr>
        <w:t>chapei</w:t>
      </w:r>
      <w:proofErr w:type="spellEnd"/>
      <w:r w:rsidRPr="00503070">
        <w:rPr>
          <w:color w:val="000000"/>
          <w:sz w:val="22"/>
        </w:rPr>
        <w:t xml:space="preserve"> et le soutien aux </w:t>
      </w:r>
      <w:r w:rsidRPr="00503070">
        <w:rPr>
          <w:color w:val="000000"/>
          <w:sz w:val="22"/>
        </w:rPr>
        <w:lastRenderedPageBreak/>
        <w:t>artistes émergents, ainsi que la visibilité et la sensibilisation accrues de cette tradition musicale grâce à des spectacles, à l’innovation artistique et à sa diffusion dans les médias ;</w:t>
      </w:r>
    </w:p>
    <w:p w14:paraId="0D43751A" w14:textId="77777777" w:rsidR="000B20B1" w:rsidRPr="00503070" w:rsidRDefault="000B20B1" w:rsidP="00CB3D6F">
      <w:pPr>
        <w:pStyle w:val="Para"/>
        <w:numPr>
          <w:ilvl w:val="0"/>
          <w:numId w:val="8"/>
        </w:numPr>
        <w:spacing w:line="240" w:lineRule="auto"/>
        <w:ind w:left="567" w:hanging="567"/>
        <w:rPr>
          <w:color w:val="000000"/>
          <w:sz w:val="22"/>
        </w:rPr>
      </w:pPr>
      <w:r w:rsidRPr="00503070">
        <w:rPr>
          <w:rFonts w:cs="Arial"/>
          <w:sz w:val="22"/>
          <w:szCs w:val="22"/>
          <w:u w:val="single"/>
        </w:rPr>
        <w:t>Encourage</w:t>
      </w:r>
      <w:r w:rsidRPr="00503070">
        <w:rPr>
          <w:color w:val="000000"/>
          <w:sz w:val="22"/>
        </w:rPr>
        <w:t xml:space="preserve"> l’État partie à poursuivre ses efforts pour renforcer la transmission par la formation et l’éducation sur le </w:t>
      </w:r>
      <w:proofErr w:type="spellStart"/>
      <w:r w:rsidRPr="00503070">
        <w:rPr>
          <w:color w:val="000000"/>
          <w:sz w:val="22"/>
        </w:rPr>
        <w:t>chapei</w:t>
      </w:r>
      <w:proofErr w:type="spellEnd"/>
      <w:r w:rsidRPr="00503070">
        <w:rPr>
          <w:color w:val="000000"/>
          <w:sz w:val="22"/>
        </w:rPr>
        <w:t xml:space="preserve">, de sorte à préserver tous les aspects de l’élément, y compris les connaissances et les compétences liées à la fabrication d’instruments </w:t>
      </w:r>
      <w:proofErr w:type="spellStart"/>
      <w:r w:rsidRPr="00503070">
        <w:rPr>
          <w:color w:val="000000"/>
          <w:sz w:val="22"/>
        </w:rPr>
        <w:t>chapei</w:t>
      </w:r>
      <w:proofErr w:type="spellEnd"/>
      <w:r w:rsidRPr="00503070">
        <w:rPr>
          <w:color w:val="000000"/>
          <w:sz w:val="22"/>
        </w:rPr>
        <w:t>, ainsi que pour continuer à impliquer les membres de la communauté, les organisations et les autres parties prenantes dans la planification, la mise en œuvre et le suivi des activités de sauvegarde ;</w:t>
      </w:r>
    </w:p>
    <w:p w14:paraId="6FF01233" w14:textId="77777777" w:rsidR="000B20B1" w:rsidRPr="00503070" w:rsidRDefault="000B20B1" w:rsidP="00CB3D6F">
      <w:pPr>
        <w:pStyle w:val="Para"/>
        <w:numPr>
          <w:ilvl w:val="0"/>
          <w:numId w:val="8"/>
        </w:numPr>
        <w:spacing w:line="240" w:lineRule="auto"/>
        <w:ind w:left="567" w:hanging="567"/>
        <w:rPr>
          <w:rFonts w:eastAsia="Times New Roman" w:cs="Arial"/>
          <w:color w:val="000000"/>
          <w:sz w:val="22"/>
          <w:szCs w:val="22"/>
        </w:rPr>
      </w:pPr>
      <w:r w:rsidRPr="00503070">
        <w:rPr>
          <w:rFonts w:cs="Arial"/>
          <w:sz w:val="22"/>
          <w:szCs w:val="22"/>
          <w:u w:val="single"/>
        </w:rPr>
        <w:t>Encourage</w:t>
      </w:r>
      <w:r w:rsidRPr="00503070">
        <w:rPr>
          <w:color w:val="000000"/>
          <w:sz w:val="22"/>
          <w:u w:val="single"/>
        </w:rPr>
        <w:t xml:space="preserve"> en outre</w:t>
      </w:r>
      <w:r w:rsidRPr="00503070">
        <w:rPr>
          <w:color w:val="000000"/>
          <w:sz w:val="22"/>
        </w:rPr>
        <w:t xml:space="preserve"> l’État partie à trouver des moyens novateurs pour inciter les jeunes générations à apprendre et à pratiquer l’élément, tout en s’attaquant au risque de décontextualisation.</w:t>
      </w:r>
    </w:p>
    <w:p w14:paraId="0AB68F05" w14:textId="0B9438B8" w:rsidR="0033528B" w:rsidRPr="00503070" w:rsidRDefault="0033528B" w:rsidP="00414F67">
      <w:pPr>
        <w:pStyle w:val="COMTitleDecision"/>
        <w:rPr>
          <w:i/>
          <w:iCs/>
        </w:rPr>
      </w:pPr>
      <w:r w:rsidRPr="00503070">
        <w:t xml:space="preserve">DÉCISION </w:t>
      </w:r>
      <w:r w:rsidR="00C60E3A" w:rsidRPr="00503070">
        <w:t>20</w:t>
      </w:r>
      <w:r w:rsidRPr="00503070">
        <w:t>.COM 6.a.4</w:t>
      </w:r>
    </w:p>
    <w:p w14:paraId="1899705F" w14:textId="77777777" w:rsidR="0033528B" w:rsidRPr="00503070" w:rsidRDefault="0033528B" w:rsidP="00B51E16">
      <w:pPr>
        <w:pStyle w:val="COMPreambulaDecisions"/>
        <w:ind w:left="0"/>
      </w:pPr>
      <w:r w:rsidRPr="00503070">
        <w:t>Le Comité,</w:t>
      </w:r>
    </w:p>
    <w:p w14:paraId="5178BB86" w14:textId="617EAA90" w:rsidR="0033528B" w:rsidRPr="00503070" w:rsidRDefault="0033528B" w:rsidP="004576CC">
      <w:pPr>
        <w:pStyle w:val="Para"/>
        <w:numPr>
          <w:ilvl w:val="0"/>
          <w:numId w:val="10"/>
        </w:numPr>
        <w:spacing w:line="240" w:lineRule="auto"/>
        <w:ind w:left="567" w:hanging="567"/>
        <w:rPr>
          <w:rFonts w:cs="Arial"/>
          <w:sz w:val="22"/>
          <w:szCs w:val="22"/>
          <w:u w:val="single"/>
        </w:rPr>
      </w:pPr>
      <w:r w:rsidRPr="00503070">
        <w:rPr>
          <w:rFonts w:cs="Arial"/>
          <w:sz w:val="22"/>
          <w:szCs w:val="22"/>
          <w:u w:val="single"/>
        </w:rPr>
        <w:t xml:space="preserve">Ayant examiné </w:t>
      </w:r>
      <w:r w:rsidRPr="00503070">
        <w:rPr>
          <w:rFonts w:cs="Arial"/>
          <w:sz w:val="22"/>
          <w:szCs w:val="22"/>
        </w:rPr>
        <w:t xml:space="preserve">le document </w:t>
      </w:r>
      <w:hyperlink r:id="rId25" w:history="1">
        <w:r w:rsidR="00C60E3A" w:rsidRPr="00503070">
          <w:rPr>
            <w:rStyle w:val="Hyperlink"/>
            <w:sz w:val="22"/>
            <w:szCs w:val="22"/>
          </w:rPr>
          <w:t>LHE/25/20.COM/</w:t>
        </w:r>
        <w:proofErr w:type="gramStart"/>
        <w:r w:rsidR="00C60E3A" w:rsidRPr="00503070">
          <w:rPr>
            <w:rStyle w:val="Hyperlink"/>
            <w:sz w:val="22"/>
            <w:szCs w:val="22"/>
          </w:rPr>
          <w:t>6.a</w:t>
        </w:r>
        <w:proofErr w:type="gramEnd"/>
      </w:hyperlink>
      <w:r w:rsidR="00C60E3A" w:rsidRPr="00503070">
        <w:rPr>
          <w:rFonts w:cs="Arial"/>
          <w:sz w:val="22"/>
          <w:szCs w:val="22"/>
        </w:rPr>
        <w:t>,</w:t>
      </w:r>
    </w:p>
    <w:p w14:paraId="78B8D81D" w14:textId="77777777" w:rsidR="00C7594B" w:rsidRPr="00503070" w:rsidRDefault="00C7594B" w:rsidP="00C7594B">
      <w:pPr>
        <w:pStyle w:val="Para"/>
        <w:numPr>
          <w:ilvl w:val="0"/>
          <w:numId w:val="10"/>
        </w:numPr>
        <w:spacing w:line="240" w:lineRule="auto"/>
        <w:ind w:left="567" w:hanging="567"/>
        <w:rPr>
          <w:rFonts w:cs="Arial"/>
          <w:sz w:val="22"/>
          <w:szCs w:val="22"/>
        </w:rPr>
      </w:pPr>
      <w:r w:rsidRPr="00503070">
        <w:rPr>
          <w:rFonts w:cs="Arial"/>
          <w:sz w:val="22"/>
          <w:szCs w:val="22"/>
          <w:u w:val="single"/>
        </w:rPr>
        <w:t>Rappelant</w:t>
      </w:r>
      <w:r w:rsidRPr="00503070">
        <w:rPr>
          <w:sz w:val="22"/>
          <w:szCs w:val="22"/>
        </w:rPr>
        <w:t xml:space="preserve"> le chapitre V des Directives opérationnelles et ses décisions </w:t>
      </w:r>
      <w:hyperlink r:id="rId26" w:history="1">
        <w:r w:rsidRPr="00503070">
          <w:rPr>
            <w:rStyle w:val="Hyperlink"/>
            <w:sz w:val="22"/>
            <w:szCs w:val="22"/>
          </w:rPr>
          <w:t xml:space="preserve">15.COM </w:t>
        </w:r>
        <w:proofErr w:type="gramStart"/>
        <w:r w:rsidRPr="00503070">
          <w:rPr>
            <w:rStyle w:val="Hyperlink"/>
            <w:sz w:val="22"/>
            <w:szCs w:val="22"/>
          </w:rPr>
          <w:t>8.a.</w:t>
        </w:r>
        <w:proofErr w:type="gramEnd"/>
        <w:r w:rsidRPr="00503070">
          <w:rPr>
            <w:rStyle w:val="Hyperlink"/>
            <w:sz w:val="22"/>
            <w:szCs w:val="22"/>
          </w:rPr>
          <w:t>3</w:t>
        </w:r>
      </w:hyperlink>
      <w:r w:rsidRPr="00503070">
        <w:rPr>
          <w:sz w:val="22"/>
          <w:szCs w:val="22"/>
        </w:rPr>
        <w:t xml:space="preserve"> et </w:t>
      </w:r>
      <w:hyperlink r:id="rId27" w:history="1">
        <w:r w:rsidRPr="00503070">
          <w:rPr>
            <w:rStyle w:val="Hyperlink"/>
            <w:sz w:val="22"/>
            <w:szCs w:val="22"/>
          </w:rPr>
          <w:t xml:space="preserve">18.COM </w:t>
        </w:r>
        <w:proofErr w:type="gramStart"/>
        <w:r w:rsidRPr="00503070">
          <w:rPr>
            <w:rStyle w:val="Hyperlink"/>
            <w:sz w:val="22"/>
            <w:szCs w:val="22"/>
          </w:rPr>
          <w:t>7.a.</w:t>
        </w:r>
        <w:proofErr w:type="gramEnd"/>
        <w:r w:rsidRPr="00503070">
          <w:rPr>
            <w:rStyle w:val="Hyperlink"/>
            <w:sz w:val="22"/>
            <w:szCs w:val="22"/>
          </w:rPr>
          <w:t>5</w:t>
        </w:r>
      </w:hyperlink>
      <w:r w:rsidRPr="00503070">
        <w:rPr>
          <w:sz w:val="22"/>
          <w:szCs w:val="22"/>
        </w:rPr>
        <w:t>,</w:t>
      </w:r>
    </w:p>
    <w:p w14:paraId="222B399C" w14:textId="77777777" w:rsidR="00DF10C3" w:rsidRPr="00503070" w:rsidRDefault="00DF10C3" w:rsidP="00C1180C">
      <w:pPr>
        <w:pStyle w:val="Para"/>
        <w:numPr>
          <w:ilvl w:val="0"/>
          <w:numId w:val="10"/>
        </w:numPr>
        <w:spacing w:line="240" w:lineRule="auto"/>
        <w:ind w:left="567" w:hanging="567"/>
        <w:rPr>
          <w:rFonts w:cs="Arial"/>
          <w:sz w:val="22"/>
          <w:szCs w:val="22"/>
        </w:rPr>
      </w:pPr>
      <w:r w:rsidRPr="00503070">
        <w:rPr>
          <w:rFonts w:cs="Arial"/>
          <w:sz w:val="22"/>
          <w:szCs w:val="22"/>
          <w:u w:val="single"/>
        </w:rPr>
        <w:t>Remercie</w:t>
      </w:r>
      <w:r w:rsidRPr="00503070">
        <w:rPr>
          <w:sz w:val="22"/>
          <w:szCs w:val="22"/>
        </w:rPr>
        <w:t xml:space="preserve"> l’Égypte d’avoir soumis, dans les délais, son deuxième rapport </w:t>
      </w:r>
      <w:bookmarkStart w:id="0" w:name="_Hlk200957571"/>
      <w:r w:rsidRPr="00503070">
        <w:rPr>
          <w:sz w:val="22"/>
          <w:szCs w:val="22"/>
        </w:rPr>
        <w:t>biennal</w:t>
      </w:r>
      <w:bookmarkEnd w:id="0"/>
      <w:r w:rsidRPr="00503070">
        <w:rPr>
          <w:sz w:val="22"/>
          <w:szCs w:val="22"/>
        </w:rPr>
        <w:t xml:space="preserve"> sur l’état de l’élément « </w:t>
      </w:r>
      <w:r w:rsidRPr="00503070">
        <w:rPr>
          <w:color w:val="000000"/>
          <w:sz w:val="22"/>
          <w:szCs w:val="22"/>
        </w:rPr>
        <w:t>Le tissage à la main en Haute-Égypte (</w:t>
      </w:r>
      <w:proofErr w:type="spellStart"/>
      <w:r w:rsidRPr="00503070">
        <w:rPr>
          <w:color w:val="000000"/>
          <w:sz w:val="22"/>
          <w:szCs w:val="22"/>
        </w:rPr>
        <w:t>Sa’eed</w:t>
      </w:r>
      <w:proofErr w:type="spellEnd"/>
      <w:r w:rsidRPr="00503070">
        <w:rPr>
          <w:color w:val="000000"/>
          <w:sz w:val="22"/>
          <w:szCs w:val="22"/>
        </w:rPr>
        <w:t>)</w:t>
      </w:r>
      <w:r w:rsidRPr="00503070">
        <w:rPr>
          <w:sz w:val="22"/>
          <w:szCs w:val="22"/>
        </w:rPr>
        <w:t> », inscrit en 2020 sur la Liste du patrimoine culturel immatériel nécessitant une sauvegarde urgente ;</w:t>
      </w:r>
    </w:p>
    <w:p w14:paraId="6F4DD283" w14:textId="110C36AF" w:rsidR="00DF10C3" w:rsidRPr="00503070" w:rsidRDefault="00DF10C3" w:rsidP="00C1180C">
      <w:pPr>
        <w:pStyle w:val="Para"/>
        <w:numPr>
          <w:ilvl w:val="0"/>
          <w:numId w:val="10"/>
        </w:numPr>
        <w:spacing w:line="240" w:lineRule="auto"/>
        <w:ind w:left="567" w:hanging="567"/>
        <w:rPr>
          <w:rFonts w:cs="Arial"/>
          <w:sz w:val="22"/>
          <w:szCs w:val="22"/>
        </w:rPr>
      </w:pPr>
      <w:r w:rsidRPr="00503070">
        <w:rPr>
          <w:rFonts w:cs="Arial"/>
          <w:sz w:val="22"/>
          <w:szCs w:val="22"/>
          <w:u w:val="single"/>
        </w:rPr>
        <w:t>Prend</w:t>
      </w:r>
      <w:r w:rsidRPr="00503070">
        <w:rPr>
          <w:sz w:val="22"/>
          <w:szCs w:val="22"/>
          <w:u w:val="single"/>
        </w:rPr>
        <w:t xml:space="preserve"> note</w:t>
      </w:r>
      <w:r w:rsidRPr="00503070">
        <w:rPr>
          <w:sz w:val="22"/>
          <w:szCs w:val="22"/>
        </w:rPr>
        <w:t xml:space="preserve"> des efforts entrepris par l’État partie pour sauvegarder l’élément, notamment en améliorant sa visibilité lors des foires et expositions annuelles, en sensibilisant la population par le biais de l’éducation formelle et en transmettant des connaissances et des compétences par le biais d’une formation non formelle ciblant les jeunes générations ;</w:t>
      </w:r>
    </w:p>
    <w:p w14:paraId="1791D850" w14:textId="77777777" w:rsidR="00DF10C3" w:rsidRPr="00503070" w:rsidRDefault="00DF10C3" w:rsidP="00C1180C">
      <w:pPr>
        <w:pStyle w:val="Para"/>
        <w:numPr>
          <w:ilvl w:val="0"/>
          <w:numId w:val="10"/>
        </w:numPr>
        <w:spacing w:line="240" w:lineRule="auto"/>
        <w:ind w:left="567" w:hanging="567"/>
        <w:rPr>
          <w:rFonts w:cs="Arial"/>
          <w:sz w:val="22"/>
          <w:szCs w:val="22"/>
        </w:rPr>
      </w:pPr>
      <w:r w:rsidRPr="00503070">
        <w:rPr>
          <w:rFonts w:cs="Arial"/>
          <w:sz w:val="22"/>
          <w:szCs w:val="22"/>
          <w:u w:val="single"/>
        </w:rPr>
        <w:t>Félicite</w:t>
      </w:r>
      <w:r w:rsidRPr="00503070">
        <w:rPr>
          <w:sz w:val="22"/>
          <w:szCs w:val="22"/>
        </w:rPr>
        <w:t xml:space="preserve"> l’État partie pour le maintien et le développement d’un solide réseau de parties prenantes gouvernementales et non gouvernementales, ainsi que pour l’adoption d’approches participatives dans la préparation du rapport périodique et du plan de sauvegarde actualisé ;</w:t>
      </w:r>
    </w:p>
    <w:p w14:paraId="51243E1E" w14:textId="77777777" w:rsidR="00DF10C3" w:rsidRPr="00503070" w:rsidRDefault="00DF10C3" w:rsidP="00C1180C">
      <w:pPr>
        <w:pStyle w:val="Para"/>
        <w:numPr>
          <w:ilvl w:val="0"/>
          <w:numId w:val="10"/>
        </w:numPr>
        <w:spacing w:line="240" w:lineRule="auto"/>
        <w:ind w:left="567" w:hanging="567"/>
        <w:rPr>
          <w:rFonts w:cs="Arial"/>
          <w:sz w:val="22"/>
          <w:szCs w:val="22"/>
        </w:rPr>
      </w:pPr>
      <w:r w:rsidRPr="00503070">
        <w:rPr>
          <w:rFonts w:cs="Arial"/>
          <w:sz w:val="22"/>
          <w:szCs w:val="22"/>
          <w:u w:val="single"/>
        </w:rPr>
        <w:t>Encourage</w:t>
      </w:r>
      <w:r w:rsidRPr="00503070">
        <w:rPr>
          <w:sz w:val="22"/>
          <w:szCs w:val="22"/>
          <w:u w:val="single"/>
        </w:rPr>
        <w:t xml:space="preserve"> en outre</w:t>
      </w:r>
      <w:r w:rsidRPr="00503070">
        <w:rPr>
          <w:sz w:val="22"/>
          <w:szCs w:val="22"/>
        </w:rPr>
        <w:t xml:space="preserve"> l’État partie à poursuivre les projets de documentation et de recherche, ainsi qu’à continuer à développer sa stratégie de sauvegarde en précisant les mesures, les processus, les interventions et les méthodes d’évaluation, y compris les efforts visant à comprendre les changements dans la popularité de l’élément et sa distribution dans les zones géographiques et les groupes sociaux ;</w:t>
      </w:r>
    </w:p>
    <w:p w14:paraId="2CBA0E06" w14:textId="1C9A9385" w:rsidR="00C7594B" w:rsidRPr="00503070" w:rsidRDefault="00DF10C3" w:rsidP="00C1180C">
      <w:pPr>
        <w:pStyle w:val="Para"/>
        <w:numPr>
          <w:ilvl w:val="0"/>
          <w:numId w:val="10"/>
        </w:numPr>
        <w:spacing w:line="240" w:lineRule="auto"/>
        <w:ind w:left="567" w:hanging="567"/>
        <w:rPr>
          <w:rFonts w:cs="Arial"/>
          <w:sz w:val="22"/>
          <w:szCs w:val="22"/>
          <w:u w:val="single"/>
        </w:rPr>
      </w:pPr>
      <w:r w:rsidRPr="00503070">
        <w:rPr>
          <w:rFonts w:cs="Arial"/>
          <w:sz w:val="22"/>
          <w:szCs w:val="22"/>
          <w:u w:val="single"/>
        </w:rPr>
        <w:t>Invite</w:t>
      </w:r>
      <w:r w:rsidRPr="00503070">
        <w:rPr>
          <w:sz w:val="22"/>
          <w:szCs w:val="22"/>
        </w:rPr>
        <w:t xml:space="preserve"> l’État partie à identifier et à traiter les obstacles structurels affectant la viabilité de l’élément, à améliorer la viabilité financière du plan de sauvegarde, à développer la promotion et la mise en réseau au-delà des activités de présentation, à poursuivre les programmes de formation et à formuler des résultats attendus avec des indicateurs pertinents pour évaluer l’impact et l’efficacité des actions de sauvegarde</w:t>
      </w:r>
      <w:r w:rsidR="00DA36FC" w:rsidRPr="00503070">
        <w:rPr>
          <w:sz w:val="22"/>
          <w:szCs w:val="22"/>
        </w:rPr>
        <w:t>.</w:t>
      </w:r>
    </w:p>
    <w:p w14:paraId="564EF296" w14:textId="063367C2" w:rsidR="001F6554" w:rsidRPr="00503070" w:rsidRDefault="001F6554" w:rsidP="00414F67">
      <w:pPr>
        <w:pStyle w:val="COMTitleDecision"/>
        <w:rPr>
          <w:i/>
        </w:rPr>
      </w:pPr>
      <w:r w:rsidRPr="00503070">
        <w:t>DÉCISION</w:t>
      </w:r>
      <w:r w:rsidR="009D657D" w:rsidRPr="00503070">
        <w:t xml:space="preserve"> 20</w:t>
      </w:r>
      <w:r w:rsidRPr="00503070">
        <w:t>.COM 6.a.5</w:t>
      </w:r>
    </w:p>
    <w:p w14:paraId="2DBD412E" w14:textId="77777777" w:rsidR="001F6554" w:rsidRPr="00503070" w:rsidRDefault="001F6554" w:rsidP="008875AC">
      <w:pPr>
        <w:spacing w:before="120" w:after="120"/>
        <w:jc w:val="both"/>
        <w:rPr>
          <w:rFonts w:ascii="Arial" w:hAnsi="Arial"/>
          <w:bCs/>
          <w:snapToGrid w:val="0"/>
          <w:sz w:val="22"/>
          <w:szCs w:val="22"/>
        </w:rPr>
      </w:pPr>
      <w:r w:rsidRPr="00503070">
        <w:rPr>
          <w:rFonts w:ascii="Arial" w:hAnsi="Arial"/>
          <w:bCs/>
          <w:snapToGrid w:val="0"/>
          <w:sz w:val="22"/>
          <w:szCs w:val="22"/>
        </w:rPr>
        <w:t xml:space="preserve">Le Comité, </w:t>
      </w:r>
    </w:p>
    <w:p w14:paraId="507A4FA3" w14:textId="46EFAB4E" w:rsidR="001F6554" w:rsidRPr="00503070" w:rsidRDefault="001F6554" w:rsidP="004576CC">
      <w:pPr>
        <w:pStyle w:val="Para"/>
        <w:numPr>
          <w:ilvl w:val="0"/>
          <w:numId w:val="11"/>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w:t>
      </w:r>
      <w:r w:rsidR="009D657D" w:rsidRPr="00503070">
        <w:rPr>
          <w:rFonts w:cs="Arial"/>
          <w:sz w:val="22"/>
          <w:szCs w:val="22"/>
        </w:rPr>
        <w:t xml:space="preserve"> </w:t>
      </w:r>
      <w:hyperlink r:id="rId28" w:history="1">
        <w:r w:rsidR="009D657D" w:rsidRPr="00503070">
          <w:rPr>
            <w:rStyle w:val="Hyperlink"/>
            <w:sz w:val="22"/>
            <w:szCs w:val="22"/>
          </w:rPr>
          <w:t>LHE/25/20.COM/</w:t>
        </w:r>
        <w:proofErr w:type="gramStart"/>
        <w:r w:rsidR="009D657D" w:rsidRPr="00503070">
          <w:rPr>
            <w:rStyle w:val="Hyperlink"/>
            <w:sz w:val="22"/>
            <w:szCs w:val="22"/>
          </w:rPr>
          <w:t>6.a</w:t>
        </w:r>
        <w:proofErr w:type="gramEnd"/>
      </w:hyperlink>
      <w:r w:rsidR="00A60FD6" w:rsidRPr="00503070">
        <w:rPr>
          <w:sz w:val="22"/>
          <w:szCs w:val="22"/>
        </w:rPr>
        <w:t>,</w:t>
      </w:r>
    </w:p>
    <w:p w14:paraId="344328C9" w14:textId="74364997" w:rsidR="009D657D" w:rsidRPr="00503070" w:rsidRDefault="009D657D" w:rsidP="009D657D">
      <w:pPr>
        <w:pStyle w:val="Para"/>
        <w:numPr>
          <w:ilvl w:val="0"/>
          <w:numId w:val="11"/>
        </w:numPr>
        <w:spacing w:line="240" w:lineRule="auto"/>
        <w:ind w:left="567" w:hanging="567"/>
        <w:rPr>
          <w:rFonts w:cs="Arial"/>
          <w:sz w:val="22"/>
          <w:szCs w:val="22"/>
        </w:rPr>
      </w:pPr>
      <w:r w:rsidRPr="00503070">
        <w:rPr>
          <w:rFonts w:cs="Arial"/>
          <w:sz w:val="22"/>
          <w:szCs w:val="22"/>
          <w:u w:val="single"/>
        </w:rPr>
        <w:t>Rappelant</w:t>
      </w:r>
      <w:r w:rsidRPr="00503070">
        <w:rPr>
          <w:sz w:val="22"/>
        </w:rPr>
        <w:t xml:space="preserve"> le chapitre V des Directives opérationnelles et ses décisions </w:t>
      </w:r>
      <w:hyperlink r:id="rId29" w:history="1">
        <w:r w:rsidRPr="00503070">
          <w:rPr>
            <w:rStyle w:val="Hyperlink"/>
            <w:sz w:val="22"/>
          </w:rPr>
          <w:t xml:space="preserve">11.COM </w:t>
        </w:r>
        <w:proofErr w:type="gramStart"/>
        <w:r w:rsidRPr="00503070">
          <w:rPr>
            <w:rStyle w:val="Hyperlink"/>
            <w:sz w:val="22"/>
          </w:rPr>
          <w:t>10.a.</w:t>
        </w:r>
        <w:proofErr w:type="gramEnd"/>
        <w:r w:rsidRPr="00503070">
          <w:rPr>
            <w:rStyle w:val="Hyperlink"/>
            <w:sz w:val="22"/>
          </w:rPr>
          <w:t>3</w:t>
        </w:r>
      </w:hyperlink>
      <w:r w:rsidR="00692EFA" w:rsidRPr="00503070">
        <w:t xml:space="preserve"> </w:t>
      </w:r>
      <w:r w:rsidRPr="00503070">
        <w:rPr>
          <w:sz w:val="22"/>
        </w:rPr>
        <w:t xml:space="preserve">et </w:t>
      </w:r>
      <w:hyperlink r:id="rId30" w:history="1">
        <w:r w:rsidRPr="00503070">
          <w:rPr>
            <w:rStyle w:val="Hyperlink"/>
            <w:sz w:val="22"/>
          </w:rPr>
          <w:t xml:space="preserve">16.COM </w:t>
        </w:r>
        <w:proofErr w:type="gramStart"/>
        <w:r w:rsidRPr="00503070">
          <w:rPr>
            <w:rStyle w:val="Hyperlink"/>
            <w:sz w:val="22"/>
          </w:rPr>
          <w:t>7.a.</w:t>
        </w:r>
        <w:proofErr w:type="gramEnd"/>
        <w:r w:rsidRPr="00503070">
          <w:rPr>
            <w:rStyle w:val="Hyperlink"/>
            <w:sz w:val="22"/>
          </w:rPr>
          <w:t>4</w:t>
        </w:r>
      </w:hyperlink>
      <w:r w:rsidRPr="00503070">
        <w:rPr>
          <w:sz w:val="22"/>
        </w:rPr>
        <w:t>,</w:t>
      </w:r>
    </w:p>
    <w:p w14:paraId="0F8085CF" w14:textId="77777777" w:rsidR="009D657D" w:rsidRPr="00503070" w:rsidRDefault="009D657D" w:rsidP="009D657D">
      <w:pPr>
        <w:pStyle w:val="Para"/>
        <w:numPr>
          <w:ilvl w:val="0"/>
          <w:numId w:val="11"/>
        </w:numPr>
        <w:spacing w:line="240" w:lineRule="auto"/>
        <w:ind w:left="567" w:hanging="567"/>
        <w:rPr>
          <w:rFonts w:cs="Arial"/>
          <w:sz w:val="22"/>
          <w:szCs w:val="22"/>
        </w:rPr>
      </w:pPr>
      <w:r w:rsidRPr="00503070">
        <w:rPr>
          <w:rFonts w:cs="Arial"/>
          <w:sz w:val="22"/>
          <w:szCs w:val="22"/>
          <w:u w:val="single"/>
        </w:rPr>
        <w:t>Remercie</w:t>
      </w:r>
      <w:r w:rsidRPr="00503070">
        <w:rPr>
          <w:sz w:val="22"/>
        </w:rPr>
        <w:t xml:space="preserve"> le Portugal d’avoir soumis, dans les délais, son deuxième rapport sur l’état de l’élément « Le processus de fabrication de la poterie noire de </w:t>
      </w:r>
      <w:proofErr w:type="spellStart"/>
      <w:r w:rsidRPr="00503070">
        <w:rPr>
          <w:sz w:val="22"/>
        </w:rPr>
        <w:t>Bisalhães</w:t>
      </w:r>
      <w:proofErr w:type="spellEnd"/>
      <w:r w:rsidRPr="00503070">
        <w:rPr>
          <w:sz w:val="22"/>
        </w:rPr>
        <w:t> », inscrit en 2016 sur la Liste du patrimoine culturel immatériel nécessitant une sauvegarde urgente ;</w:t>
      </w:r>
    </w:p>
    <w:p w14:paraId="509A010F" w14:textId="77777777" w:rsidR="009D657D" w:rsidRPr="00503070" w:rsidRDefault="009D657D" w:rsidP="009D657D">
      <w:pPr>
        <w:pStyle w:val="Para"/>
        <w:numPr>
          <w:ilvl w:val="0"/>
          <w:numId w:val="11"/>
        </w:numPr>
        <w:spacing w:line="240" w:lineRule="auto"/>
        <w:ind w:left="567" w:hanging="567"/>
        <w:rPr>
          <w:rFonts w:cs="Arial"/>
          <w:sz w:val="22"/>
          <w:szCs w:val="22"/>
        </w:rPr>
      </w:pPr>
      <w:r w:rsidRPr="00503070">
        <w:rPr>
          <w:sz w:val="22"/>
          <w:u w:val="single"/>
        </w:rPr>
        <w:t xml:space="preserve">Prend </w:t>
      </w:r>
      <w:r w:rsidRPr="00503070">
        <w:rPr>
          <w:rFonts w:cs="Arial"/>
          <w:sz w:val="22"/>
          <w:szCs w:val="22"/>
          <w:u w:val="single"/>
        </w:rPr>
        <w:t>note</w:t>
      </w:r>
      <w:r w:rsidRPr="00503070">
        <w:rPr>
          <w:sz w:val="22"/>
        </w:rPr>
        <w:t xml:space="preserve"> de l’engagement de l’État partie pour la sauvegarde de l’élément, notamment par l’évaluation systématique et la mise en œuvre de mesures de sauvegarde, ainsi que</w:t>
      </w:r>
      <w:r w:rsidRPr="00503070">
        <w:rPr>
          <w:i/>
          <w:sz w:val="22"/>
        </w:rPr>
        <w:t xml:space="preserve"> </w:t>
      </w:r>
      <w:r w:rsidRPr="00503070">
        <w:rPr>
          <w:sz w:val="22"/>
        </w:rPr>
        <w:t xml:space="preserve">des efforts </w:t>
      </w:r>
      <w:r w:rsidRPr="00503070">
        <w:rPr>
          <w:sz w:val="22"/>
        </w:rPr>
        <w:lastRenderedPageBreak/>
        <w:t>accomplis pour améliorer la viabilité de l’élément par le renforcement des capacités, les programmes de formation et les activités de sensibilisation et d’éducation, avec l’implication des détenteurs et des parties prenantes locales ;</w:t>
      </w:r>
    </w:p>
    <w:p w14:paraId="3F277264" w14:textId="77777777" w:rsidR="009D657D" w:rsidRPr="00503070" w:rsidRDefault="009D657D" w:rsidP="009D657D">
      <w:pPr>
        <w:pStyle w:val="Para"/>
        <w:numPr>
          <w:ilvl w:val="0"/>
          <w:numId w:val="11"/>
        </w:numPr>
        <w:spacing w:line="240" w:lineRule="auto"/>
        <w:ind w:left="567" w:hanging="567"/>
        <w:rPr>
          <w:rFonts w:cs="Arial"/>
          <w:sz w:val="22"/>
          <w:szCs w:val="22"/>
        </w:rPr>
      </w:pPr>
      <w:r w:rsidRPr="00503070">
        <w:rPr>
          <w:rFonts w:cs="Arial"/>
          <w:sz w:val="22"/>
          <w:szCs w:val="22"/>
          <w:u w:val="single"/>
        </w:rPr>
        <w:t>Prend</w:t>
      </w:r>
      <w:r w:rsidRPr="00503070">
        <w:rPr>
          <w:sz w:val="22"/>
          <w:u w:val="single"/>
        </w:rPr>
        <w:t xml:space="preserve"> également note</w:t>
      </w:r>
      <w:r w:rsidRPr="00503070">
        <w:rPr>
          <w:sz w:val="22"/>
        </w:rPr>
        <w:t xml:space="preserve"> des efforts déployés par les parties prenantes nationales et locales pour promouvoir l’élément au-delà des frontières municipales et régionales, ainsi que des initiatives éducatives destinées aux jeunes générations et aux futurs détenteurs potentiels ;</w:t>
      </w:r>
    </w:p>
    <w:p w14:paraId="675C4D47" w14:textId="77777777" w:rsidR="009D657D" w:rsidRPr="00503070" w:rsidRDefault="009D657D" w:rsidP="009D657D">
      <w:pPr>
        <w:pStyle w:val="Para"/>
        <w:numPr>
          <w:ilvl w:val="0"/>
          <w:numId w:val="11"/>
        </w:numPr>
        <w:spacing w:line="240" w:lineRule="auto"/>
        <w:ind w:left="567" w:hanging="567"/>
        <w:rPr>
          <w:rFonts w:cs="Arial"/>
          <w:sz w:val="22"/>
          <w:szCs w:val="22"/>
        </w:rPr>
      </w:pPr>
      <w:r w:rsidRPr="00503070">
        <w:rPr>
          <w:rFonts w:cs="Arial"/>
          <w:sz w:val="22"/>
          <w:szCs w:val="22"/>
          <w:u w:val="single"/>
        </w:rPr>
        <w:t>Encourage</w:t>
      </w:r>
      <w:r w:rsidRPr="00503070">
        <w:rPr>
          <w:sz w:val="22"/>
        </w:rPr>
        <w:t xml:space="preserve"> l’État partie à continuer d’améliorer les conditions de travail des potiers et à leur garantir l’accès à l’argile et aux autres ressources nécessaires ;</w:t>
      </w:r>
    </w:p>
    <w:p w14:paraId="24FCF36E" w14:textId="5B0D8CA9" w:rsidR="001F6554" w:rsidRPr="00503070" w:rsidRDefault="009D657D" w:rsidP="009D657D">
      <w:pPr>
        <w:pStyle w:val="Para"/>
        <w:numPr>
          <w:ilvl w:val="0"/>
          <w:numId w:val="11"/>
        </w:numPr>
        <w:spacing w:line="240" w:lineRule="auto"/>
        <w:ind w:left="567" w:hanging="567"/>
        <w:rPr>
          <w:rFonts w:cs="Arial"/>
          <w:sz w:val="22"/>
          <w:szCs w:val="22"/>
          <w:u w:val="single"/>
        </w:rPr>
      </w:pPr>
      <w:r w:rsidRPr="00503070">
        <w:rPr>
          <w:sz w:val="22"/>
          <w:u w:val="single"/>
        </w:rPr>
        <w:t>Encourage en outre</w:t>
      </w:r>
      <w:r w:rsidRPr="00503070">
        <w:rPr>
          <w:sz w:val="22"/>
        </w:rPr>
        <w:t xml:space="preserve"> l’État partie à poursuivre ses efforts pour documenter l’élément et revitaliser sa pratique, et à soutenir les initiatives communautaires visant à sauvegarder l’élément, tout en favorisant la prise de conscience de la nature évolutive et dynamique du patrimoine culturel immatériel</w:t>
      </w:r>
      <w:r w:rsidR="001F6554" w:rsidRPr="00503070">
        <w:rPr>
          <w:rFonts w:cs="Arial"/>
          <w:sz w:val="22"/>
          <w:szCs w:val="22"/>
        </w:rPr>
        <w:t>.</w:t>
      </w:r>
    </w:p>
    <w:p w14:paraId="617DDABE" w14:textId="572D8BF8" w:rsidR="001F6554" w:rsidRPr="00503070" w:rsidRDefault="001F6554" w:rsidP="00414F67">
      <w:pPr>
        <w:pStyle w:val="COMTitleDecision"/>
        <w:rPr>
          <w:rFonts w:cs="Arial"/>
          <w:i/>
          <w:iCs/>
        </w:rPr>
      </w:pPr>
      <w:r w:rsidRPr="00503070">
        <w:t>D</w:t>
      </w:r>
      <w:r w:rsidR="00C23655" w:rsidRPr="00503070">
        <w:t>É</w:t>
      </w:r>
      <w:r w:rsidRPr="00503070">
        <w:t>CISION</w:t>
      </w:r>
      <w:r w:rsidR="008F4690" w:rsidRPr="00503070">
        <w:t xml:space="preserve"> 20</w:t>
      </w:r>
      <w:r w:rsidRPr="00503070">
        <w:t>.COM 6.a.6</w:t>
      </w:r>
    </w:p>
    <w:p w14:paraId="343D86BD" w14:textId="77777777" w:rsidR="001F6554" w:rsidRPr="00503070" w:rsidRDefault="001F6554" w:rsidP="008875AC">
      <w:pPr>
        <w:pStyle w:val="COMPreambulaDecisions"/>
        <w:ind w:left="0"/>
      </w:pPr>
      <w:r w:rsidRPr="00503070">
        <w:t>Le Comité,</w:t>
      </w:r>
    </w:p>
    <w:p w14:paraId="3766C0BA" w14:textId="333ECFAB" w:rsidR="001F6554" w:rsidRPr="00503070" w:rsidRDefault="001F6554" w:rsidP="004576CC">
      <w:pPr>
        <w:pStyle w:val="Para"/>
        <w:numPr>
          <w:ilvl w:val="0"/>
          <w:numId w:val="12"/>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31" w:history="1">
        <w:r w:rsidR="009B7AAD" w:rsidRPr="00503070">
          <w:rPr>
            <w:rStyle w:val="Hyperlink"/>
            <w:sz w:val="22"/>
            <w:szCs w:val="22"/>
          </w:rPr>
          <w:t>LHE/25/20.COM/</w:t>
        </w:r>
        <w:proofErr w:type="gramStart"/>
        <w:r w:rsidR="009B7AAD" w:rsidRPr="00503070">
          <w:rPr>
            <w:rStyle w:val="Hyperlink"/>
            <w:sz w:val="22"/>
            <w:szCs w:val="22"/>
          </w:rPr>
          <w:t>6.a</w:t>
        </w:r>
        <w:proofErr w:type="gramEnd"/>
      </w:hyperlink>
      <w:r w:rsidR="009B7AAD" w:rsidRPr="00503070">
        <w:rPr>
          <w:sz w:val="22"/>
          <w:szCs w:val="22"/>
        </w:rPr>
        <w:t>,</w:t>
      </w:r>
    </w:p>
    <w:p w14:paraId="513814C3" w14:textId="77777777" w:rsidR="00476B62" w:rsidRPr="00503070" w:rsidRDefault="00476B62" w:rsidP="00476B62">
      <w:pPr>
        <w:pStyle w:val="Para"/>
        <w:numPr>
          <w:ilvl w:val="0"/>
          <w:numId w:val="12"/>
        </w:numPr>
        <w:spacing w:line="240" w:lineRule="auto"/>
        <w:ind w:left="567" w:hanging="567"/>
        <w:rPr>
          <w:rFonts w:cs="Arial"/>
          <w:sz w:val="22"/>
          <w:szCs w:val="22"/>
        </w:rPr>
      </w:pPr>
      <w:r w:rsidRPr="00503070">
        <w:rPr>
          <w:rFonts w:cs="Arial"/>
          <w:sz w:val="22"/>
          <w:szCs w:val="22"/>
          <w:u w:val="single"/>
        </w:rPr>
        <w:t>Rappelant</w:t>
      </w:r>
      <w:r w:rsidRPr="00503070">
        <w:rPr>
          <w:sz w:val="22"/>
        </w:rPr>
        <w:t xml:space="preserve"> le chapitre V des Directives opérationnelles et ses décisions </w:t>
      </w:r>
      <w:hyperlink r:id="rId32" w:history="1">
        <w:r w:rsidRPr="00503070">
          <w:rPr>
            <w:rStyle w:val="Hyperlink"/>
            <w:sz w:val="22"/>
          </w:rPr>
          <w:t xml:space="preserve">11.COM </w:t>
        </w:r>
        <w:proofErr w:type="gramStart"/>
        <w:r w:rsidRPr="00503070">
          <w:rPr>
            <w:rStyle w:val="Hyperlink"/>
            <w:sz w:val="22"/>
          </w:rPr>
          <w:t>10.a.</w:t>
        </w:r>
        <w:proofErr w:type="gramEnd"/>
        <w:r w:rsidRPr="00503070">
          <w:rPr>
            <w:rStyle w:val="Hyperlink"/>
            <w:sz w:val="22"/>
          </w:rPr>
          <w:t>5</w:t>
        </w:r>
      </w:hyperlink>
      <w:r w:rsidRPr="00503070">
        <w:rPr>
          <w:sz w:val="22"/>
        </w:rPr>
        <w:t xml:space="preserve"> et </w:t>
      </w:r>
      <w:hyperlink r:id="rId33" w:history="1">
        <w:r w:rsidRPr="00503070">
          <w:rPr>
            <w:rStyle w:val="Hyperlink"/>
            <w:sz w:val="22"/>
          </w:rPr>
          <w:t xml:space="preserve">16.COM </w:t>
        </w:r>
        <w:proofErr w:type="gramStart"/>
        <w:r w:rsidRPr="00503070">
          <w:rPr>
            <w:rStyle w:val="Hyperlink"/>
            <w:sz w:val="22"/>
          </w:rPr>
          <w:t>7.a.</w:t>
        </w:r>
        <w:proofErr w:type="gramEnd"/>
        <w:r w:rsidRPr="00503070">
          <w:rPr>
            <w:rStyle w:val="Hyperlink"/>
            <w:sz w:val="22"/>
          </w:rPr>
          <w:t>6</w:t>
        </w:r>
      </w:hyperlink>
      <w:r w:rsidRPr="00503070">
        <w:rPr>
          <w:sz w:val="22"/>
        </w:rPr>
        <w:t xml:space="preserve">, </w:t>
      </w:r>
    </w:p>
    <w:p w14:paraId="6F815E2B" w14:textId="77777777" w:rsidR="00476B62" w:rsidRPr="00503070" w:rsidRDefault="00476B62" w:rsidP="00354D3C">
      <w:pPr>
        <w:pStyle w:val="Para"/>
        <w:numPr>
          <w:ilvl w:val="0"/>
          <w:numId w:val="12"/>
        </w:numPr>
        <w:spacing w:line="240" w:lineRule="auto"/>
        <w:ind w:left="567" w:hanging="567"/>
        <w:rPr>
          <w:rFonts w:eastAsia="Times New Roman" w:cs="Arial"/>
          <w:color w:val="000000"/>
          <w:sz w:val="22"/>
          <w:szCs w:val="22"/>
        </w:rPr>
      </w:pPr>
      <w:r w:rsidRPr="00503070">
        <w:rPr>
          <w:color w:val="000000"/>
          <w:sz w:val="22"/>
          <w:u w:val="single"/>
        </w:rPr>
        <w:t>Remercie</w:t>
      </w:r>
      <w:r w:rsidRPr="00503070">
        <w:rPr>
          <w:color w:val="000000"/>
          <w:sz w:val="22"/>
        </w:rPr>
        <w:t xml:space="preserve"> l’Ukraine d’avoir soumis, dans les délais, son deuxième rapport sur l’état de l’élément « Les chants cosaques de la région de Dnipropetrovsk », inscrit en 2016 sur la Liste du patrimoine culturel immatériel nécessitant une sauvegarde urgente ;</w:t>
      </w:r>
    </w:p>
    <w:p w14:paraId="510695F3" w14:textId="77777777" w:rsidR="00476B62" w:rsidRPr="00503070" w:rsidRDefault="00476B62" w:rsidP="00354D3C">
      <w:pPr>
        <w:pStyle w:val="Para"/>
        <w:numPr>
          <w:ilvl w:val="0"/>
          <w:numId w:val="12"/>
        </w:numPr>
        <w:spacing w:line="240" w:lineRule="auto"/>
        <w:ind w:left="567" w:hanging="567"/>
        <w:rPr>
          <w:rFonts w:eastAsia="Times New Roman" w:cs="Arial"/>
          <w:color w:val="000000"/>
          <w:sz w:val="22"/>
          <w:szCs w:val="22"/>
        </w:rPr>
      </w:pPr>
      <w:r w:rsidRPr="00503070">
        <w:rPr>
          <w:color w:val="000000"/>
          <w:sz w:val="22"/>
          <w:u w:val="single"/>
        </w:rPr>
        <w:t>Se félicite</w:t>
      </w:r>
      <w:r w:rsidRPr="00503070">
        <w:rPr>
          <w:color w:val="000000"/>
          <w:sz w:val="22"/>
        </w:rPr>
        <w:t xml:space="preserve"> de l’engagement continu des communautés, des institutions et des autorités locales en faveur de la sauvegarde de l’élément, malgré les difficultés exceptionnelles posées par la guerre en cours, et </w:t>
      </w:r>
      <w:r w:rsidRPr="00503070">
        <w:rPr>
          <w:color w:val="000000"/>
          <w:sz w:val="22"/>
          <w:u w:val="single"/>
        </w:rPr>
        <w:t>reconnaît</w:t>
      </w:r>
      <w:r w:rsidRPr="00503070">
        <w:rPr>
          <w:color w:val="000000"/>
          <w:sz w:val="22"/>
        </w:rPr>
        <w:t xml:space="preserve"> le rôle crucial de l’élément en tant que source de soutien émotionnel et mental, d’identité et de résilience dans le contexte actuel ;</w:t>
      </w:r>
    </w:p>
    <w:p w14:paraId="04B36EB6" w14:textId="77777777" w:rsidR="00476B62" w:rsidRPr="00503070" w:rsidRDefault="00476B62" w:rsidP="00354D3C">
      <w:pPr>
        <w:pStyle w:val="Para"/>
        <w:numPr>
          <w:ilvl w:val="0"/>
          <w:numId w:val="12"/>
        </w:numPr>
        <w:spacing w:line="240" w:lineRule="auto"/>
        <w:ind w:left="567" w:hanging="567"/>
        <w:rPr>
          <w:sz w:val="22"/>
          <w:szCs w:val="22"/>
        </w:rPr>
      </w:pPr>
      <w:r w:rsidRPr="00503070">
        <w:rPr>
          <w:color w:val="000000"/>
          <w:sz w:val="22"/>
          <w:u w:val="single"/>
        </w:rPr>
        <w:t>Prend note avec satisfaction</w:t>
      </w:r>
      <w:r w:rsidRPr="00503070">
        <w:rPr>
          <w:color w:val="000000"/>
          <w:sz w:val="22"/>
        </w:rPr>
        <w:t xml:space="preserve"> des initiatives prises au cours de la période couverte par le rapport, telles que le développement de programmes éducatifs, </w:t>
      </w:r>
      <w:r w:rsidRPr="00503070">
        <w:rPr>
          <w:sz w:val="22"/>
        </w:rPr>
        <w:t>la sensibilisation et la production de documentaires, ainsi que les efforts de transmission au niveau communautaire, qui ont contribué à maintenir la viabilité de l’élément dans des conditions d’urgence ;</w:t>
      </w:r>
    </w:p>
    <w:p w14:paraId="72AAF104" w14:textId="6F779F39" w:rsidR="00476B62" w:rsidRPr="00503070" w:rsidRDefault="00F4284A" w:rsidP="00354D3C">
      <w:pPr>
        <w:pStyle w:val="Para"/>
        <w:numPr>
          <w:ilvl w:val="0"/>
          <w:numId w:val="12"/>
        </w:numPr>
        <w:spacing w:line="240" w:lineRule="auto"/>
        <w:ind w:left="567" w:hanging="567"/>
        <w:rPr>
          <w:sz w:val="22"/>
          <w:szCs w:val="22"/>
        </w:rPr>
      </w:pPr>
      <w:r w:rsidRPr="00503070">
        <w:rPr>
          <w:sz w:val="22"/>
          <w:u w:val="single"/>
        </w:rPr>
        <w:t>P</w:t>
      </w:r>
      <w:r w:rsidR="00476B62" w:rsidRPr="00503070">
        <w:rPr>
          <w:sz w:val="22"/>
          <w:u w:val="single"/>
        </w:rPr>
        <w:t xml:space="preserve">rend </w:t>
      </w:r>
      <w:r w:rsidRPr="00503070">
        <w:rPr>
          <w:sz w:val="22"/>
          <w:u w:val="single"/>
        </w:rPr>
        <w:t>en outre</w:t>
      </w:r>
      <w:r w:rsidR="00476B62" w:rsidRPr="00503070">
        <w:rPr>
          <w:sz w:val="22"/>
          <w:u w:val="single"/>
        </w:rPr>
        <w:t xml:space="preserve"> </w:t>
      </w:r>
      <w:r w:rsidR="00896476" w:rsidRPr="00503070">
        <w:rPr>
          <w:sz w:val="22"/>
          <w:u w:val="single"/>
        </w:rPr>
        <w:t>note</w:t>
      </w:r>
      <w:r w:rsidR="00896476" w:rsidRPr="00503070">
        <w:rPr>
          <w:sz w:val="22"/>
        </w:rPr>
        <w:t xml:space="preserve"> </w:t>
      </w:r>
      <w:r w:rsidR="00476B62" w:rsidRPr="00503070">
        <w:rPr>
          <w:sz w:val="22"/>
        </w:rPr>
        <w:t xml:space="preserve">de la participation active des communautés et des institutions locales à l’élaboration des mesures de sauvegarde et du plan de sauvegarde actualisé, et </w:t>
      </w:r>
      <w:r w:rsidR="00476B62" w:rsidRPr="00503070">
        <w:rPr>
          <w:sz w:val="22"/>
          <w:u w:val="single"/>
        </w:rPr>
        <w:t>souligne</w:t>
      </w:r>
      <w:r w:rsidR="00476B62" w:rsidRPr="00503070">
        <w:rPr>
          <w:sz w:val="22"/>
        </w:rPr>
        <w:t xml:space="preserve"> l’importance de sa flexibilité pour s’adapter à l’évolution des circonstances ;</w:t>
      </w:r>
    </w:p>
    <w:p w14:paraId="22ED096F" w14:textId="77777777" w:rsidR="00476B62" w:rsidRPr="00503070" w:rsidRDefault="00476B62" w:rsidP="00354D3C">
      <w:pPr>
        <w:pStyle w:val="Para"/>
        <w:numPr>
          <w:ilvl w:val="0"/>
          <w:numId w:val="12"/>
        </w:numPr>
        <w:spacing w:line="240" w:lineRule="auto"/>
        <w:ind w:left="567" w:hanging="567"/>
        <w:rPr>
          <w:sz w:val="22"/>
          <w:szCs w:val="22"/>
        </w:rPr>
      </w:pPr>
      <w:r w:rsidRPr="00503070">
        <w:rPr>
          <w:sz w:val="22"/>
          <w:u w:val="single"/>
        </w:rPr>
        <w:t>Exprime sa préoccupation</w:t>
      </w:r>
      <w:r w:rsidRPr="00503070">
        <w:rPr>
          <w:sz w:val="22"/>
        </w:rPr>
        <w:t xml:space="preserve"> quant aux menaces qui continuent de peser sur la viabilité de l’élément, notamment l’âge avancé des détenteurs et l’engagement limité des jeunes, qui a été exacerbé par l’impact négatif de la guerre ;</w:t>
      </w:r>
    </w:p>
    <w:p w14:paraId="7A8FBF36" w14:textId="77777777" w:rsidR="00476B62" w:rsidRPr="00503070" w:rsidRDefault="00476B62" w:rsidP="00354D3C">
      <w:pPr>
        <w:pStyle w:val="Para"/>
        <w:numPr>
          <w:ilvl w:val="0"/>
          <w:numId w:val="12"/>
        </w:numPr>
        <w:spacing w:line="240" w:lineRule="auto"/>
        <w:ind w:left="567" w:hanging="567"/>
        <w:rPr>
          <w:sz w:val="22"/>
          <w:szCs w:val="22"/>
        </w:rPr>
      </w:pPr>
      <w:r w:rsidRPr="00503070">
        <w:rPr>
          <w:sz w:val="22"/>
          <w:u w:val="single"/>
        </w:rPr>
        <w:t>Invite</w:t>
      </w:r>
      <w:r w:rsidRPr="00503070">
        <w:rPr>
          <w:sz w:val="22"/>
        </w:rPr>
        <w:t xml:space="preserve"> l’État partie à poursuivre la mise en œuvre de stratégies de sauvegarde axées sur la jeunesse, en engageant les organisations communautaires dans des efforts de renforcement des capacités et de transmission, et en surveillant la viabilité de l’élément.</w:t>
      </w:r>
    </w:p>
    <w:p w14:paraId="5EEF8D9C" w14:textId="2098D71E" w:rsidR="001F6554" w:rsidRPr="00503070" w:rsidRDefault="001F6554" w:rsidP="00414F67">
      <w:pPr>
        <w:pStyle w:val="COMTitleDecision"/>
        <w:rPr>
          <w:rFonts w:cs="Arial"/>
          <w:i/>
          <w:iCs/>
        </w:rPr>
      </w:pPr>
      <w:r w:rsidRPr="00503070">
        <w:t>DÉCISION</w:t>
      </w:r>
      <w:r w:rsidR="00A76AC5" w:rsidRPr="00503070">
        <w:t xml:space="preserve"> 20</w:t>
      </w:r>
      <w:r w:rsidRPr="00503070">
        <w:t>.COM 6.a.7</w:t>
      </w:r>
    </w:p>
    <w:p w14:paraId="271888CB" w14:textId="62D13551" w:rsidR="001F6554" w:rsidRPr="00503070" w:rsidRDefault="001F6554" w:rsidP="008F65A8">
      <w:pPr>
        <w:pStyle w:val="COMPreambulaDecisions"/>
        <w:ind w:left="0"/>
      </w:pPr>
      <w:r w:rsidRPr="00503070">
        <w:t>Le Comité</w:t>
      </w:r>
      <w:r w:rsidR="00785ED3" w:rsidRPr="00503070">
        <w:t>,</w:t>
      </w:r>
    </w:p>
    <w:p w14:paraId="73449588" w14:textId="2B4CCFA7" w:rsidR="001F6554" w:rsidRPr="00503070" w:rsidRDefault="001F6554" w:rsidP="004576CC">
      <w:pPr>
        <w:pStyle w:val="Para"/>
        <w:numPr>
          <w:ilvl w:val="0"/>
          <w:numId w:val="13"/>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34" w:history="1">
        <w:r w:rsidR="009B7AAD" w:rsidRPr="00503070">
          <w:rPr>
            <w:rStyle w:val="Hyperlink"/>
            <w:sz w:val="22"/>
            <w:szCs w:val="22"/>
          </w:rPr>
          <w:t>LHE/25/20.COM/</w:t>
        </w:r>
        <w:proofErr w:type="gramStart"/>
        <w:r w:rsidR="009B7AAD" w:rsidRPr="00503070">
          <w:rPr>
            <w:rStyle w:val="Hyperlink"/>
            <w:sz w:val="22"/>
            <w:szCs w:val="22"/>
          </w:rPr>
          <w:t>6.a</w:t>
        </w:r>
        <w:proofErr w:type="gramEnd"/>
      </w:hyperlink>
      <w:r w:rsidR="009B7AAD" w:rsidRPr="00503070">
        <w:rPr>
          <w:sz w:val="22"/>
          <w:szCs w:val="22"/>
        </w:rPr>
        <w:t>,</w:t>
      </w:r>
    </w:p>
    <w:p w14:paraId="729B79A9" w14:textId="761AC6BC" w:rsidR="004855C0" w:rsidRPr="00503070" w:rsidRDefault="004855C0" w:rsidP="00C92FE2">
      <w:pPr>
        <w:pStyle w:val="Para"/>
        <w:numPr>
          <w:ilvl w:val="0"/>
          <w:numId w:val="13"/>
        </w:numPr>
        <w:spacing w:line="240" w:lineRule="auto"/>
        <w:ind w:left="567" w:hanging="567"/>
        <w:rPr>
          <w:rFonts w:cs="Arial"/>
          <w:sz w:val="22"/>
          <w:szCs w:val="22"/>
        </w:rPr>
      </w:pPr>
      <w:r w:rsidRPr="00503070">
        <w:rPr>
          <w:rFonts w:cs="Arial"/>
          <w:sz w:val="22"/>
          <w:szCs w:val="22"/>
          <w:u w:val="single"/>
        </w:rPr>
        <w:t>Rappelant</w:t>
      </w:r>
      <w:r w:rsidRPr="00503070">
        <w:rPr>
          <w:sz w:val="22"/>
        </w:rPr>
        <w:t xml:space="preserve"> le chapitre V des Directives opérationnelles et ses décisions </w:t>
      </w:r>
      <w:hyperlink r:id="rId35" w:history="1">
        <w:r w:rsidRPr="00503070">
          <w:rPr>
            <w:rStyle w:val="Hyperlink"/>
            <w:sz w:val="22"/>
          </w:rPr>
          <w:t>7.COM</w:t>
        </w:r>
        <w:r w:rsidR="0085648B" w:rsidRPr="00503070">
          <w:rPr>
            <w:rStyle w:val="Hyperlink"/>
            <w:sz w:val="22"/>
          </w:rPr>
          <w:t xml:space="preserve"> </w:t>
        </w:r>
        <w:r w:rsidRPr="00503070">
          <w:rPr>
            <w:rStyle w:val="Hyperlink"/>
            <w:sz w:val="22"/>
          </w:rPr>
          <w:t>8</w:t>
        </w:r>
        <w:r w:rsidR="0085648B" w:rsidRPr="00503070">
          <w:rPr>
            <w:rStyle w:val="Hyperlink"/>
            <w:sz w:val="22"/>
          </w:rPr>
          <w:t>.</w:t>
        </w:r>
        <w:r w:rsidRPr="00503070">
          <w:rPr>
            <w:rStyle w:val="Hyperlink"/>
            <w:sz w:val="22"/>
          </w:rPr>
          <w:t>1</w:t>
        </w:r>
      </w:hyperlink>
      <w:r w:rsidRPr="00503070">
        <w:rPr>
          <w:sz w:val="22"/>
        </w:rPr>
        <w:t xml:space="preserve">, </w:t>
      </w:r>
      <w:hyperlink r:id="rId36" w:history="1">
        <w:r w:rsidRPr="00503070">
          <w:rPr>
            <w:rStyle w:val="Hyperlink"/>
            <w:sz w:val="22"/>
          </w:rPr>
          <w:t xml:space="preserve">12.COM </w:t>
        </w:r>
        <w:r w:rsidR="0085648B" w:rsidRPr="00503070">
          <w:rPr>
            <w:rStyle w:val="Hyperlink"/>
            <w:sz w:val="22"/>
          </w:rPr>
          <w:t> </w:t>
        </w:r>
        <w:proofErr w:type="gramStart"/>
        <w:r w:rsidRPr="00503070">
          <w:rPr>
            <w:rStyle w:val="Hyperlink"/>
            <w:sz w:val="22"/>
          </w:rPr>
          <w:t>8.c.</w:t>
        </w:r>
        <w:proofErr w:type="gramEnd"/>
        <w:r w:rsidRPr="00503070">
          <w:rPr>
            <w:rStyle w:val="Hyperlink"/>
            <w:sz w:val="22"/>
          </w:rPr>
          <w:t>1</w:t>
        </w:r>
      </w:hyperlink>
      <w:r w:rsidRPr="00503070">
        <w:rPr>
          <w:sz w:val="22"/>
        </w:rPr>
        <w:t xml:space="preserve">, et </w:t>
      </w:r>
      <w:hyperlink r:id="rId37" w:history="1">
        <w:r w:rsidRPr="00503070">
          <w:rPr>
            <w:rStyle w:val="Hyperlink"/>
            <w:sz w:val="22"/>
          </w:rPr>
          <w:t xml:space="preserve">16.COM </w:t>
        </w:r>
        <w:proofErr w:type="gramStart"/>
        <w:r w:rsidRPr="00503070">
          <w:rPr>
            <w:rStyle w:val="Hyperlink"/>
            <w:sz w:val="22"/>
          </w:rPr>
          <w:t>7.a.</w:t>
        </w:r>
        <w:proofErr w:type="gramEnd"/>
        <w:r w:rsidRPr="00503070">
          <w:rPr>
            <w:rStyle w:val="Hyperlink"/>
            <w:sz w:val="22"/>
          </w:rPr>
          <w:t>7</w:t>
        </w:r>
      </w:hyperlink>
      <w:r w:rsidRPr="00503070">
        <w:rPr>
          <w:sz w:val="22"/>
        </w:rPr>
        <w:t>,</w:t>
      </w:r>
    </w:p>
    <w:p w14:paraId="51973BEF" w14:textId="77777777" w:rsidR="004855C0" w:rsidRPr="00503070" w:rsidRDefault="004855C0" w:rsidP="00C92FE2">
      <w:pPr>
        <w:pStyle w:val="Para"/>
        <w:numPr>
          <w:ilvl w:val="0"/>
          <w:numId w:val="13"/>
        </w:numPr>
        <w:spacing w:line="240" w:lineRule="auto"/>
        <w:ind w:left="567" w:hanging="567"/>
        <w:rPr>
          <w:sz w:val="22"/>
          <w:szCs w:val="22"/>
        </w:rPr>
      </w:pPr>
      <w:r w:rsidRPr="00503070">
        <w:rPr>
          <w:rFonts w:cs="Arial"/>
          <w:sz w:val="22"/>
          <w:szCs w:val="22"/>
          <w:u w:val="single"/>
        </w:rPr>
        <w:t>Remercie</w:t>
      </w:r>
      <w:r w:rsidRPr="00503070">
        <w:rPr>
          <w:sz w:val="22"/>
        </w:rPr>
        <w:t xml:space="preserve"> le Botswana d’avoir soumis, dans les délais, son troisième rapport sur l’état de l’élément « Le savoir-faire de la poterie en terre cuite dans le district de </w:t>
      </w:r>
      <w:proofErr w:type="spellStart"/>
      <w:r w:rsidRPr="00503070">
        <w:rPr>
          <w:sz w:val="22"/>
        </w:rPr>
        <w:t>Kgatleng</w:t>
      </w:r>
      <w:proofErr w:type="spellEnd"/>
      <w:r w:rsidRPr="00503070">
        <w:rPr>
          <w:sz w:val="22"/>
        </w:rPr>
        <w:t xml:space="preserve"> au </w:t>
      </w:r>
      <w:r w:rsidRPr="00503070">
        <w:rPr>
          <w:sz w:val="22"/>
        </w:rPr>
        <w:lastRenderedPageBreak/>
        <w:t>Botswana », inscrit en 2012 sur la Liste du patrimoine culturel immatériel nécessitant une sauvegarde urgente ;</w:t>
      </w:r>
    </w:p>
    <w:p w14:paraId="31E31D43" w14:textId="4A7E5C64" w:rsidR="004855C0" w:rsidRPr="00503070" w:rsidRDefault="004855C0" w:rsidP="00C92FE2">
      <w:pPr>
        <w:pStyle w:val="Para"/>
        <w:numPr>
          <w:ilvl w:val="0"/>
          <w:numId w:val="13"/>
        </w:numPr>
        <w:spacing w:line="240" w:lineRule="auto"/>
        <w:ind w:left="567" w:hanging="567"/>
        <w:rPr>
          <w:sz w:val="22"/>
          <w:szCs w:val="22"/>
        </w:rPr>
      </w:pPr>
      <w:r w:rsidRPr="00503070">
        <w:rPr>
          <w:rFonts w:cs="Arial"/>
          <w:sz w:val="22"/>
          <w:szCs w:val="22"/>
          <w:u w:val="single"/>
        </w:rPr>
        <w:t>Prend</w:t>
      </w:r>
      <w:r w:rsidRPr="00503070">
        <w:rPr>
          <w:sz w:val="22"/>
          <w:u w:val="single"/>
        </w:rPr>
        <w:t xml:space="preserve"> note</w:t>
      </w:r>
      <w:r w:rsidRPr="00503070">
        <w:rPr>
          <w:sz w:val="22"/>
        </w:rPr>
        <w:t xml:space="preserve"> des efforts continus du Botswana pour sauvegarder l’élément, en particulier grâce au renforcement des réseaux de parties prenantes, à une approche participative impliquant les maîtres potiers et les établissements d’enseignement dans le cadre d’un apprentissage structuré et d’une formation des jeunes, ainsi qu’à son engagement en faveur d’une sauvegarde inclusive, dirigée par la communauté, et d’une coopération interdistrict ;</w:t>
      </w:r>
    </w:p>
    <w:p w14:paraId="70E65A38" w14:textId="6C15BD92" w:rsidR="004855C0" w:rsidRPr="00503070" w:rsidRDefault="004855C0" w:rsidP="00C92FE2">
      <w:pPr>
        <w:pStyle w:val="Para"/>
        <w:numPr>
          <w:ilvl w:val="0"/>
          <w:numId w:val="13"/>
        </w:numPr>
        <w:spacing w:line="240" w:lineRule="auto"/>
        <w:ind w:left="567" w:hanging="567"/>
        <w:rPr>
          <w:sz w:val="22"/>
          <w:szCs w:val="22"/>
        </w:rPr>
      </w:pPr>
      <w:r w:rsidRPr="00503070">
        <w:rPr>
          <w:rFonts w:cs="Arial"/>
          <w:sz w:val="22"/>
          <w:szCs w:val="22"/>
          <w:u w:val="single"/>
        </w:rPr>
        <w:t>Invite</w:t>
      </w:r>
      <w:r w:rsidRPr="00503070">
        <w:rPr>
          <w:sz w:val="22"/>
        </w:rPr>
        <w:t xml:space="preserve"> l’État partie à continuer à renforcer les capacités des principales parties prenantes et à soutenir la sauvegarde participative, et </w:t>
      </w:r>
      <w:r w:rsidRPr="00503070">
        <w:rPr>
          <w:sz w:val="22"/>
          <w:u w:val="single"/>
        </w:rPr>
        <w:t>encourage</w:t>
      </w:r>
      <w:r w:rsidRPr="00503070">
        <w:rPr>
          <w:sz w:val="22"/>
        </w:rPr>
        <w:t xml:space="preserve"> l’évaluation des conditions de pratique, l’amélioration de l’accès aux ressources naturelles et le suivi des conditions de vie des détenteurs et des facteurs de migration, ainsi que l’évaluation régulière des résultats de la sauvegarde ;</w:t>
      </w:r>
    </w:p>
    <w:p w14:paraId="5020101A" w14:textId="2E90A7FB" w:rsidR="004855C0" w:rsidRPr="00503070" w:rsidRDefault="004855C0" w:rsidP="00C92FE2">
      <w:pPr>
        <w:pStyle w:val="Para"/>
        <w:numPr>
          <w:ilvl w:val="0"/>
          <w:numId w:val="13"/>
        </w:numPr>
        <w:spacing w:line="240" w:lineRule="auto"/>
        <w:ind w:left="567" w:hanging="567"/>
        <w:rPr>
          <w:sz w:val="22"/>
          <w:szCs w:val="22"/>
        </w:rPr>
      </w:pPr>
      <w:r w:rsidRPr="00503070">
        <w:rPr>
          <w:rFonts w:cs="Arial"/>
          <w:sz w:val="22"/>
          <w:szCs w:val="22"/>
          <w:u w:val="single"/>
        </w:rPr>
        <w:t>Encourage</w:t>
      </w:r>
      <w:r w:rsidR="009C1F5C" w:rsidRPr="00503070">
        <w:rPr>
          <w:rFonts w:cs="Arial"/>
          <w:sz w:val="22"/>
          <w:szCs w:val="22"/>
          <w:u w:val="single"/>
        </w:rPr>
        <w:t xml:space="preserve"> en outre</w:t>
      </w:r>
      <w:r w:rsidRPr="00503070">
        <w:rPr>
          <w:sz w:val="22"/>
        </w:rPr>
        <w:t xml:space="preserve"> l’État partie à soutenir la recherche et la documentation sur l’élément, en mettant l’accent sur les systèmes de connaissances et de croyances, y compris l’évolution des tabous et les nouvelles dynamiques religieuses, afin d’assurer la viabilité continue de l’élément</w:t>
      </w:r>
      <w:r w:rsidR="009C1F5C" w:rsidRPr="00503070">
        <w:rPr>
          <w:sz w:val="22"/>
        </w:rPr>
        <w:t> </w:t>
      </w:r>
      <w:r w:rsidRPr="00503070">
        <w:rPr>
          <w:sz w:val="22"/>
        </w:rPr>
        <w:t>;</w:t>
      </w:r>
    </w:p>
    <w:p w14:paraId="0F16A3ED" w14:textId="0B0DE2D4" w:rsidR="004855C0" w:rsidRPr="00503070" w:rsidRDefault="004855C0">
      <w:pPr>
        <w:pStyle w:val="Para"/>
        <w:numPr>
          <w:ilvl w:val="0"/>
          <w:numId w:val="13"/>
        </w:numPr>
        <w:spacing w:line="240" w:lineRule="auto"/>
        <w:ind w:left="567" w:hanging="567"/>
        <w:rPr>
          <w:rFonts w:cs="Arial"/>
          <w:sz w:val="22"/>
          <w:szCs w:val="22"/>
          <w:u w:val="single"/>
        </w:rPr>
      </w:pPr>
      <w:r w:rsidRPr="00503070">
        <w:rPr>
          <w:rFonts w:cs="Arial"/>
          <w:sz w:val="22"/>
          <w:szCs w:val="22"/>
          <w:u w:val="single"/>
        </w:rPr>
        <w:t>Invite</w:t>
      </w:r>
      <w:r w:rsidRPr="00503070">
        <w:rPr>
          <w:sz w:val="22"/>
          <w:u w:val="single"/>
        </w:rPr>
        <w:t xml:space="preserve"> en outre</w:t>
      </w:r>
      <w:r w:rsidRPr="00503070">
        <w:rPr>
          <w:sz w:val="22"/>
        </w:rPr>
        <w:t xml:space="preserve"> l’État partie à poursuivre une collecte de fonds suffisante et diversifiée pour que les praticiens bénéficient directement des activités économiques basées sur le patrimoine, et à soutenir la création d’un réseau national de potiers.</w:t>
      </w:r>
    </w:p>
    <w:p w14:paraId="23D3E7BD" w14:textId="1C5FC1C1" w:rsidR="001F6554" w:rsidRPr="00503070" w:rsidRDefault="001F6554" w:rsidP="00414F67">
      <w:pPr>
        <w:pStyle w:val="COMTitleDecision"/>
        <w:rPr>
          <w:rFonts w:cs="Arial"/>
          <w:i/>
          <w:iCs/>
        </w:rPr>
      </w:pPr>
      <w:r w:rsidRPr="00503070">
        <w:t xml:space="preserve">DÉCISION </w:t>
      </w:r>
      <w:r w:rsidR="00654274" w:rsidRPr="00503070">
        <w:t>20</w:t>
      </w:r>
      <w:r w:rsidRPr="00503070">
        <w:t>.COM 6.a.8</w:t>
      </w:r>
    </w:p>
    <w:p w14:paraId="136E066B" w14:textId="77777777" w:rsidR="001F6554" w:rsidRPr="00503070" w:rsidRDefault="001F6554" w:rsidP="008F65A8">
      <w:pPr>
        <w:pStyle w:val="COMPreambulaDecisions"/>
        <w:ind w:left="0"/>
      </w:pPr>
      <w:r w:rsidRPr="00503070">
        <w:t>Le Comité,</w:t>
      </w:r>
    </w:p>
    <w:p w14:paraId="7EF8F8A8" w14:textId="35DE165B" w:rsidR="001F6554" w:rsidRPr="00503070" w:rsidRDefault="001F6554" w:rsidP="004576CC">
      <w:pPr>
        <w:pStyle w:val="Para"/>
        <w:numPr>
          <w:ilvl w:val="0"/>
          <w:numId w:val="14"/>
        </w:numPr>
        <w:spacing w:line="240" w:lineRule="auto"/>
        <w:ind w:left="567" w:hanging="567"/>
        <w:rPr>
          <w:rFonts w:cs="Arial"/>
          <w:sz w:val="22"/>
          <w:szCs w:val="22"/>
          <w:u w:val="single"/>
        </w:rPr>
      </w:pPr>
      <w:r w:rsidRPr="00503070">
        <w:rPr>
          <w:rFonts w:cs="Arial"/>
          <w:sz w:val="22"/>
          <w:szCs w:val="22"/>
          <w:u w:val="single"/>
        </w:rPr>
        <w:t>Ayant examiné</w:t>
      </w:r>
      <w:r w:rsidRPr="00503070">
        <w:rPr>
          <w:rFonts w:cs="Arial"/>
          <w:sz w:val="22"/>
          <w:szCs w:val="22"/>
        </w:rPr>
        <w:t xml:space="preserve"> le document </w:t>
      </w:r>
      <w:hyperlink r:id="rId38" w:history="1">
        <w:r w:rsidR="009B7AAD" w:rsidRPr="00503070">
          <w:rPr>
            <w:rStyle w:val="Hyperlink"/>
            <w:sz w:val="22"/>
            <w:szCs w:val="22"/>
          </w:rPr>
          <w:t>LHE/25/20.COM/</w:t>
        </w:r>
        <w:proofErr w:type="gramStart"/>
        <w:r w:rsidR="009B7AAD" w:rsidRPr="00503070">
          <w:rPr>
            <w:rStyle w:val="Hyperlink"/>
            <w:sz w:val="22"/>
            <w:szCs w:val="22"/>
          </w:rPr>
          <w:t>6.a</w:t>
        </w:r>
        <w:proofErr w:type="gramEnd"/>
      </w:hyperlink>
      <w:r w:rsidR="009B7AAD" w:rsidRPr="00503070">
        <w:rPr>
          <w:sz w:val="22"/>
          <w:szCs w:val="22"/>
        </w:rPr>
        <w:t>,</w:t>
      </w:r>
    </w:p>
    <w:p w14:paraId="2FA82A65" w14:textId="39523A74" w:rsidR="0093015A" w:rsidRPr="00503070" w:rsidRDefault="0093015A" w:rsidP="002205A5">
      <w:pPr>
        <w:pStyle w:val="Para"/>
        <w:numPr>
          <w:ilvl w:val="0"/>
          <w:numId w:val="14"/>
        </w:numPr>
        <w:spacing w:line="240" w:lineRule="auto"/>
        <w:ind w:left="567" w:hanging="567"/>
        <w:rPr>
          <w:rFonts w:cs="Arial"/>
          <w:sz w:val="22"/>
          <w:szCs w:val="22"/>
        </w:rPr>
      </w:pPr>
      <w:r w:rsidRPr="00503070">
        <w:rPr>
          <w:rFonts w:cs="Arial"/>
          <w:sz w:val="22"/>
          <w:szCs w:val="22"/>
          <w:u w:val="single"/>
        </w:rPr>
        <w:t>Rappelant</w:t>
      </w:r>
      <w:r w:rsidRPr="00503070">
        <w:rPr>
          <w:sz w:val="22"/>
        </w:rPr>
        <w:t xml:space="preserve"> le chapitre V des Directives opérationnelles et ses décisions </w:t>
      </w:r>
      <w:hyperlink r:id="rId39" w:history="1">
        <w:r w:rsidRPr="00503070">
          <w:rPr>
            <w:rStyle w:val="Hyperlink"/>
            <w:sz w:val="22"/>
          </w:rPr>
          <w:t>7.COM 8</w:t>
        </w:r>
        <w:r w:rsidR="00893F20" w:rsidRPr="00503070">
          <w:rPr>
            <w:rStyle w:val="Hyperlink"/>
            <w:sz w:val="22"/>
          </w:rPr>
          <w:t>.</w:t>
        </w:r>
        <w:r w:rsidRPr="00503070">
          <w:rPr>
            <w:rStyle w:val="Hyperlink"/>
            <w:sz w:val="22"/>
          </w:rPr>
          <w:t>3</w:t>
        </w:r>
      </w:hyperlink>
      <w:r w:rsidRPr="00503070">
        <w:rPr>
          <w:sz w:val="22"/>
        </w:rPr>
        <w:t xml:space="preserve">, </w:t>
      </w:r>
      <w:hyperlink r:id="rId40" w:history="1">
        <w:r w:rsidRPr="00503070">
          <w:rPr>
            <w:rStyle w:val="Hyperlink"/>
            <w:sz w:val="22"/>
          </w:rPr>
          <w:t>12.COM</w:t>
        </w:r>
        <w:r w:rsidR="00893F20" w:rsidRPr="00503070">
          <w:rPr>
            <w:rStyle w:val="Hyperlink"/>
            <w:sz w:val="22"/>
          </w:rPr>
          <w:t> </w:t>
        </w:r>
        <w:proofErr w:type="gramStart"/>
        <w:r w:rsidRPr="00503070">
          <w:rPr>
            <w:rStyle w:val="Hyperlink"/>
            <w:sz w:val="22"/>
          </w:rPr>
          <w:t>8.c.</w:t>
        </w:r>
        <w:proofErr w:type="gramEnd"/>
        <w:r w:rsidRPr="00503070">
          <w:rPr>
            <w:rStyle w:val="Hyperlink"/>
            <w:sz w:val="22"/>
          </w:rPr>
          <w:t>10</w:t>
        </w:r>
      </w:hyperlink>
      <w:r w:rsidRPr="00503070">
        <w:rPr>
          <w:sz w:val="22"/>
        </w:rPr>
        <w:t xml:space="preserve"> et </w:t>
      </w:r>
      <w:hyperlink r:id="rId41" w:history="1">
        <w:r w:rsidRPr="00503070">
          <w:rPr>
            <w:rStyle w:val="Hyperlink"/>
            <w:sz w:val="22"/>
          </w:rPr>
          <w:t xml:space="preserve">16.COM </w:t>
        </w:r>
        <w:proofErr w:type="gramStart"/>
        <w:r w:rsidRPr="00503070">
          <w:rPr>
            <w:rStyle w:val="Hyperlink"/>
            <w:sz w:val="22"/>
          </w:rPr>
          <w:t>7.a.</w:t>
        </w:r>
        <w:proofErr w:type="gramEnd"/>
        <w:r w:rsidRPr="00503070">
          <w:rPr>
            <w:rStyle w:val="Hyperlink"/>
            <w:sz w:val="22"/>
          </w:rPr>
          <w:t>15</w:t>
        </w:r>
      </w:hyperlink>
      <w:r w:rsidRPr="00503070">
        <w:rPr>
          <w:sz w:val="22"/>
        </w:rPr>
        <w:t>,</w:t>
      </w:r>
    </w:p>
    <w:p w14:paraId="616F2414" w14:textId="77777777" w:rsidR="0093015A" w:rsidRPr="00503070" w:rsidRDefault="0093015A" w:rsidP="002205A5">
      <w:pPr>
        <w:pStyle w:val="Para"/>
        <w:numPr>
          <w:ilvl w:val="0"/>
          <w:numId w:val="14"/>
        </w:numPr>
        <w:spacing w:line="240" w:lineRule="auto"/>
        <w:ind w:left="567" w:hanging="567"/>
        <w:rPr>
          <w:rFonts w:cs="Arial"/>
          <w:sz w:val="22"/>
          <w:szCs w:val="22"/>
        </w:rPr>
      </w:pPr>
      <w:r w:rsidRPr="00503070">
        <w:rPr>
          <w:rFonts w:cs="Arial"/>
          <w:sz w:val="22"/>
          <w:szCs w:val="22"/>
          <w:u w:val="single"/>
        </w:rPr>
        <w:t>Remercie</w:t>
      </w:r>
      <w:r w:rsidRPr="00503070">
        <w:rPr>
          <w:sz w:val="22"/>
        </w:rPr>
        <w:t xml:space="preserve"> l’Indonésie d’avoir soumis, dans les délais, son troisième rapport sur l’état de l’élément « Le </w:t>
      </w:r>
      <w:proofErr w:type="spellStart"/>
      <w:r w:rsidRPr="00503070">
        <w:rPr>
          <w:sz w:val="22"/>
        </w:rPr>
        <w:t>noken</w:t>
      </w:r>
      <w:proofErr w:type="spellEnd"/>
      <w:r w:rsidRPr="00503070">
        <w:rPr>
          <w:sz w:val="22"/>
        </w:rPr>
        <w:t>, sac multifonctionnel noué ou tissé, artisanat du peuple de Papouasie », inscrit en 2012 sur la Liste du patrimoine culturel immatériel nécessitant une sauvegarde urgente ;</w:t>
      </w:r>
    </w:p>
    <w:p w14:paraId="7FC806BA" w14:textId="77777777" w:rsidR="0093015A" w:rsidRPr="00503070" w:rsidRDefault="0093015A" w:rsidP="002205A5">
      <w:pPr>
        <w:pStyle w:val="Para"/>
        <w:numPr>
          <w:ilvl w:val="0"/>
          <w:numId w:val="14"/>
        </w:numPr>
        <w:spacing w:line="240" w:lineRule="auto"/>
        <w:ind w:left="567" w:hanging="567"/>
        <w:rPr>
          <w:rFonts w:cs="Arial"/>
          <w:sz w:val="22"/>
          <w:szCs w:val="22"/>
        </w:rPr>
      </w:pPr>
      <w:r w:rsidRPr="00503070">
        <w:rPr>
          <w:rFonts w:cs="Arial"/>
          <w:sz w:val="22"/>
          <w:szCs w:val="22"/>
          <w:u w:val="single"/>
        </w:rPr>
        <w:t>Prend</w:t>
      </w:r>
      <w:r w:rsidRPr="00503070">
        <w:rPr>
          <w:sz w:val="22"/>
          <w:u w:val="single"/>
        </w:rPr>
        <w:t xml:space="preserve"> note</w:t>
      </w:r>
      <w:r w:rsidRPr="00503070">
        <w:rPr>
          <w:sz w:val="22"/>
        </w:rPr>
        <w:t xml:space="preserve"> des efforts continus déployés pour sauvegarder l’élément, notamment en renforçant sa valeur économique et en élargissant les possibilités économiques créatives pour les praticiens, en particulier les femmes, en renforçant l’engagement de la communauté dans l’éducation et la formation ainsi qu’en promouvant la biodiversité et les connaissances traditionnelles grâce au développement de l’Arboretum de plantes du </w:t>
      </w:r>
      <w:proofErr w:type="spellStart"/>
      <w:r w:rsidRPr="00503070">
        <w:rPr>
          <w:sz w:val="22"/>
        </w:rPr>
        <w:t>noken</w:t>
      </w:r>
      <w:proofErr w:type="spellEnd"/>
      <w:r w:rsidRPr="00503070">
        <w:rPr>
          <w:sz w:val="22"/>
        </w:rPr>
        <w:t xml:space="preserve"> de Papouasie et aux initiatives de conservation qui y sont liées ;</w:t>
      </w:r>
    </w:p>
    <w:p w14:paraId="37B70A40" w14:textId="756C5854" w:rsidR="0093015A" w:rsidRPr="00503070" w:rsidRDefault="00EB76D9" w:rsidP="002205A5">
      <w:pPr>
        <w:pStyle w:val="Para"/>
        <w:numPr>
          <w:ilvl w:val="0"/>
          <w:numId w:val="14"/>
        </w:numPr>
        <w:spacing w:line="240" w:lineRule="auto"/>
        <w:ind w:left="567" w:hanging="567"/>
      </w:pPr>
      <w:r w:rsidRPr="00503070">
        <w:rPr>
          <w:sz w:val="22"/>
          <w:u w:val="single"/>
        </w:rPr>
        <w:t>P</w:t>
      </w:r>
      <w:r w:rsidR="0093015A" w:rsidRPr="00503070">
        <w:rPr>
          <w:sz w:val="22"/>
          <w:u w:val="single"/>
        </w:rPr>
        <w:t xml:space="preserve">rend </w:t>
      </w:r>
      <w:r w:rsidRPr="00503070">
        <w:rPr>
          <w:sz w:val="22"/>
          <w:u w:val="single"/>
        </w:rPr>
        <w:t xml:space="preserve">en outre </w:t>
      </w:r>
      <w:r w:rsidR="0093015A" w:rsidRPr="00503070">
        <w:rPr>
          <w:sz w:val="22"/>
          <w:u w:val="single"/>
        </w:rPr>
        <w:t>note</w:t>
      </w:r>
      <w:r w:rsidR="0093015A" w:rsidRPr="00503070">
        <w:rPr>
          <w:sz w:val="22"/>
        </w:rPr>
        <w:t xml:space="preserve"> de l’impact des efforts intensifs de commercialisation concernant l’élément et rappelle l’importance de surveiller l’impact de cette commercialisation afin d’éviter toute décontextualisation ;</w:t>
      </w:r>
    </w:p>
    <w:p w14:paraId="04111CAF" w14:textId="77777777" w:rsidR="0093015A" w:rsidRPr="00503070" w:rsidRDefault="0093015A" w:rsidP="002205A5">
      <w:pPr>
        <w:pStyle w:val="Para"/>
        <w:numPr>
          <w:ilvl w:val="0"/>
          <w:numId w:val="14"/>
        </w:numPr>
        <w:spacing w:line="240" w:lineRule="auto"/>
        <w:ind w:left="567" w:hanging="567"/>
        <w:rPr>
          <w:rFonts w:cs="Arial"/>
          <w:sz w:val="22"/>
          <w:szCs w:val="22"/>
        </w:rPr>
      </w:pPr>
      <w:r w:rsidRPr="00503070">
        <w:rPr>
          <w:sz w:val="22"/>
          <w:u w:val="single"/>
        </w:rPr>
        <w:t>Reconnaît</w:t>
      </w:r>
      <w:r w:rsidRPr="00503070">
        <w:rPr>
          <w:sz w:val="22"/>
        </w:rPr>
        <w:t xml:space="preserve"> la coopération forte entre les praticiens, les communautés locales, les organisations gouvernementales et non gouvernementales, les institutions éducatives et culturelles et le secteur privé pour la sauvegarde de l’élément ;</w:t>
      </w:r>
    </w:p>
    <w:p w14:paraId="1F861A7A" w14:textId="77777777" w:rsidR="0093015A" w:rsidRPr="00503070" w:rsidRDefault="0093015A" w:rsidP="002205A5">
      <w:pPr>
        <w:pStyle w:val="Para"/>
        <w:numPr>
          <w:ilvl w:val="0"/>
          <w:numId w:val="14"/>
        </w:numPr>
        <w:spacing w:line="240" w:lineRule="auto"/>
        <w:ind w:left="567" w:hanging="567"/>
        <w:rPr>
          <w:rFonts w:cs="Arial"/>
          <w:sz w:val="22"/>
          <w:szCs w:val="22"/>
        </w:rPr>
      </w:pPr>
      <w:r w:rsidRPr="00503070">
        <w:rPr>
          <w:sz w:val="22"/>
          <w:u w:val="single"/>
        </w:rPr>
        <w:t>Encourage</w:t>
      </w:r>
      <w:r w:rsidRPr="00503070">
        <w:rPr>
          <w:sz w:val="22"/>
        </w:rPr>
        <w:t xml:space="preserve"> l’État partie à poursuivre ses efforts de sensibilisation à l’importance culturelle du </w:t>
      </w:r>
      <w:proofErr w:type="spellStart"/>
      <w:r w:rsidRPr="00503070">
        <w:rPr>
          <w:sz w:val="22"/>
        </w:rPr>
        <w:t>noken</w:t>
      </w:r>
      <w:proofErr w:type="spellEnd"/>
      <w:r w:rsidRPr="00503070">
        <w:rPr>
          <w:sz w:val="22"/>
        </w:rPr>
        <w:t>, à mener des recherches et des inventaires exhaustifs, à renforcer les capacités des praticiens et des autres parties prenantes, ainsi qu’à garantir un accès durable aux matières premières ;</w:t>
      </w:r>
    </w:p>
    <w:p w14:paraId="4B4524ED" w14:textId="76B276EF" w:rsidR="001F6554" w:rsidRPr="00503070" w:rsidRDefault="0093015A" w:rsidP="002205A5">
      <w:pPr>
        <w:pStyle w:val="Para"/>
        <w:numPr>
          <w:ilvl w:val="0"/>
          <w:numId w:val="14"/>
        </w:numPr>
        <w:spacing w:line="240" w:lineRule="auto"/>
        <w:ind w:left="567" w:hanging="567"/>
        <w:rPr>
          <w:rFonts w:cs="Arial"/>
          <w:sz w:val="22"/>
          <w:szCs w:val="22"/>
          <w:u w:val="single"/>
        </w:rPr>
      </w:pPr>
      <w:r w:rsidRPr="00503070">
        <w:rPr>
          <w:sz w:val="22"/>
          <w:u w:val="single"/>
        </w:rPr>
        <w:t>Encourage en outre</w:t>
      </w:r>
      <w:r w:rsidRPr="00503070">
        <w:rPr>
          <w:sz w:val="22"/>
        </w:rPr>
        <w:t xml:space="preserve"> l’État partie à créer un centre d’apprentissage et une pépinière de plantes du </w:t>
      </w:r>
      <w:proofErr w:type="spellStart"/>
      <w:r w:rsidRPr="00503070">
        <w:rPr>
          <w:sz w:val="22"/>
        </w:rPr>
        <w:t>noken</w:t>
      </w:r>
      <w:proofErr w:type="spellEnd"/>
      <w:r w:rsidRPr="00503070">
        <w:rPr>
          <w:sz w:val="22"/>
        </w:rPr>
        <w:t xml:space="preserve"> ainsi qu’à promouvoir ces initiatives en tant que modèles d’utilisation durable des ressources pour sauvegarder l’élément, à reconnaître les praticiens dévoués par le biais d’un </w:t>
      </w:r>
      <w:r w:rsidRPr="00503070">
        <w:rPr>
          <w:sz w:val="22"/>
        </w:rPr>
        <w:lastRenderedPageBreak/>
        <w:t>programme d’appréciation officiel, et à développer et affiner une politique et un cadre juridique pour la sauvegarde de l’élément</w:t>
      </w:r>
      <w:r w:rsidR="001F6554" w:rsidRPr="00503070">
        <w:rPr>
          <w:rFonts w:cs="Arial"/>
          <w:sz w:val="22"/>
          <w:szCs w:val="22"/>
        </w:rPr>
        <w:t>.</w:t>
      </w:r>
    </w:p>
    <w:p w14:paraId="4E5B253F" w14:textId="77777777" w:rsidR="004864D1" w:rsidRPr="00503070" w:rsidRDefault="004864D1" w:rsidP="004864D1">
      <w:pPr>
        <w:pStyle w:val="COMTitleDecision"/>
        <w:keepNext/>
      </w:pPr>
      <w:r w:rsidRPr="00503070">
        <w:t>DÉCISION 20.COM 6.b</w:t>
      </w:r>
    </w:p>
    <w:p w14:paraId="19B0B7D5" w14:textId="77777777" w:rsidR="004864D1" w:rsidRPr="00503070" w:rsidRDefault="004864D1" w:rsidP="004864D1">
      <w:pPr>
        <w:pStyle w:val="COMPreambulaDecisions"/>
        <w:ind w:left="0"/>
        <w:rPr>
          <w:rFonts w:eastAsia="SimSun"/>
        </w:rPr>
      </w:pPr>
      <w:r w:rsidRPr="00503070">
        <w:t>Le Comité,</w:t>
      </w:r>
    </w:p>
    <w:p w14:paraId="2B8926F8" w14:textId="77777777" w:rsidR="004864D1" w:rsidRPr="00503070" w:rsidRDefault="004864D1" w:rsidP="001E17AF">
      <w:pPr>
        <w:pStyle w:val="COMParaDecision"/>
        <w:numPr>
          <w:ilvl w:val="0"/>
          <w:numId w:val="26"/>
        </w:numPr>
        <w:ind w:left="567" w:hanging="567"/>
      </w:pPr>
      <w:r w:rsidRPr="00503070">
        <w:t>Ayant examiné</w:t>
      </w:r>
      <w:r w:rsidRPr="00503070">
        <w:rPr>
          <w:u w:val="none"/>
        </w:rPr>
        <w:t xml:space="preserve"> le document </w:t>
      </w:r>
      <w:hyperlink r:id="rId42" w:history="1">
        <w:r w:rsidRPr="00503070">
          <w:rPr>
            <w:rStyle w:val="Hyperlink"/>
            <w:rFonts w:eastAsia="SimSun"/>
          </w:rPr>
          <w:t>LHE/25/20.COM/</w:t>
        </w:r>
        <w:proofErr w:type="gramStart"/>
        <w:r w:rsidRPr="00503070">
          <w:rPr>
            <w:rStyle w:val="Hyperlink"/>
            <w:rFonts w:eastAsia="SimSun"/>
          </w:rPr>
          <w:t>6.b</w:t>
        </w:r>
        <w:proofErr w:type="gramEnd"/>
      </w:hyperlink>
      <w:r w:rsidRPr="00503070">
        <w:t xml:space="preserve"> </w:t>
      </w:r>
      <w:r w:rsidRPr="00503070">
        <w:rPr>
          <w:u w:val="none"/>
        </w:rPr>
        <w:t>et ses annexes,</w:t>
      </w:r>
    </w:p>
    <w:p w14:paraId="47A8C199" w14:textId="7871BD5E" w:rsidR="004864D1" w:rsidRPr="00503070" w:rsidRDefault="004864D1" w:rsidP="001E17AF">
      <w:pPr>
        <w:pStyle w:val="COMParaDecision"/>
        <w:numPr>
          <w:ilvl w:val="0"/>
          <w:numId w:val="26"/>
        </w:numPr>
        <w:ind w:left="567" w:hanging="567"/>
      </w:pPr>
      <w:r w:rsidRPr="00503070">
        <w:t>Rappelant</w:t>
      </w:r>
      <w:r w:rsidRPr="00503070">
        <w:rPr>
          <w:u w:val="none"/>
        </w:rPr>
        <w:t xml:space="preserve"> les articles 7, 29 et 30 de la Convention concernant les rapports des États parties, et le chapitre</w:t>
      </w:r>
      <w:r w:rsidR="00F01717" w:rsidRPr="00503070">
        <w:rPr>
          <w:u w:val="none"/>
        </w:rPr>
        <w:t xml:space="preserve"> </w:t>
      </w:r>
      <w:r w:rsidRPr="00503070">
        <w:rPr>
          <w:u w:val="none"/>
        </w:rPr>
        <w:t>V des Directives opérationnelles,</w:t>
      </w:r>
    </w:p>
    <w:p w14:paraId="3017EBB1" w14:textId="5525E18C" w:rsidR="004864D1" w:rsidRPr="00503070" w:rsidRDefault="004864D1" w:rsidP="001E17AF">
      <w:pPr>
        <w:pStyle w:val="COMParaDecision"/>
        <w:numPr>
          <w:ilvl w:val="0"/>
          <w:numId w:val="26"/>
        </w:numPr>
        <w:ind w:left="567" w:hanging="567"/>
      </w:pPr>
      <w:r w:rsidRPr="00503070">
        <w:t>Rappelant en outre</w:t>
      </w:r>
      <w:r w:rsidRPr="00503070">
        <w:rPr>
          <w:u w:val="none"/>
        </w:rPr>
        <w:t xml:space="preserve"> la Résolution </w:t>
      </w:r>
      <w:hyperlink r:id="rId43" w:history="1">
        <w:r w:rsidRPr="00503070">
          <w:rPr>
            <w:rStyle w:val="Hyperlink"/>
          </w:rPr>
          <w:t>7.GA 10</w:t>
        </w:r>
      </w:hyperlink>
      <w:r w:rsidRPr="00503070">
        <w:rPr>
          <w:u w:val="none"/>
        </w:rPr>
        <w:t xml:space="preserve"> ainsi que les décisions</w:t>
      </w:r>
      <w:r w:rsidR="00F01717" w:rsidRPr="00503070">
        <w:rPr>
          <w:u w:val="none"/>
        </w:rPr>
        <w:t xml:space="preserve"> </w:t>
      </w:r>
      <w:hyperlink r:id="rId44" w:history="1">
        <w:r w:rsidRPr="00503070">
          <w:rPr>
            <w:rStyle w:val="Hyperlink"/>
          </w:rPr>
          <w:t>13.COM 8</w:t>
        </w:r>
      </w:hyperlink>
      <w:r w:rsidRPr="00503070">
        <w:rPr>
          <w:u w:val="none"/>
        </w:rPr>
        <w:t xml:space="preserve"> et</w:t>
      </w:r>
      <w:r w:rsidR="00F01717" w:rsidRPr="00503070">
        <w:rPr>
          <w:u w:val="none"/>
        </w:rPr>
        <w:t xml:space="preserve"> </w:t>
      </w:r>
      <w:hyperlink r:id="rId45" w:history="1">
        <w:r w:rsidRPr="00503070">
          <w:rPr>
            <w:rStyle w:val="Hyperlink"/>
          </w:rPr>
          <w:t>14.COM 8</w:t>
        </w:r>
      </w:hyperlink>
      <w:r w:rsidRPr="00503070">
        <w:rPr>
          <w:u w:val="none"/>
        </w:rPr>
        <w:t>,</w:t>
      </w:r>
    </w:p>
    <w:p w14:paraId="20B9A85D" w14:textId="77777777" w:rsidR="004864D1" w:rsidRPr="00503070" w:rsidRDefault="004864D1" w:rsidP="001E17AF">
      <w:pPr>
        <w:pStyle w:val="COMParaDecision"/>
        <w:numPr>
          <w:ilvl w:val="0"/>
          <w:numId w:val="26"/>
        </w:numPr>
        <w:ind w:left="567" w:hanging="567"/>
      </w:pPr>
      <w:r w:rsidRPr="00503070">
        <w:t>Félicite</w:t>
      </w:r>
      <w:r w:rsidRPr="00503070">
        <w:rPr>
          <w:u w:val="none"/>
        </w:rPr>
        <w:t xml:space="preserve"> les trente-huit États parties d’Asie et du Pacifique qui ont soumis leurs rapports pour le cycle de 2025 et </w:t>
      </w:r>
      <w:r w:rsidRPr="00503070">
        <w:t>salue</w:t>
      </w:r>
      <w:r w:rsidRPr="00503070">
        <w:rPr>
          <w:u w:val="none"/>
        </w:rPr>
        <w:t xml:space="preserve"> les efforts qu’ils ont déployés pour mener à bien l’exercice de soumission des rapports périodiques ;</w:t>
      </w:r>
    </w:p>
    <w:p w14:paraId="0D7CC112" w14:textId="77777777" w:rsidR="004864D1" w:rsidRPr="00503070" w:rsidRDefault="004864D1" w:rsidP="001E17AF">
      <w:pPr>
        <w:pStyle w:val="COMParaDecision"/>
        <w:numPr>
          <w:ilvl w:val="0"/>
          <w:numId w:val="26"/>
        </w:numPr>
        <w:ind w:left="567" w:hanging="567"/>
      </w:pPr>
      <w:r w:rsidRPr="00503070">
        <w:t>Exprime ses remerciements</w:t>
      </w:r>
      <w:r w:rsidRPr="00503070">
        <w:rPr>
          <w:u w:val="none"/>
        </w:rPr>
        <w:t xml:space="preserve"> au Secrétariat pour avoir assuré une mise en œuvre efficace de l’exercice de soumission des rapports périodiques pour la cinquième année consécutive en apportant un soutien concret et complet aux États parties concernés pour la soumission de leurs rapports par le biais d’activités de renforcement des capacités et d’un suivi continu ;</w:t>
      </w:r>
    </w:p>
    <w:p w14:paraId="06077562" w14:textId="77777777" w:rsidR="004864D1" w:rsidRPr="00503070" w:rsidRDefault="004864D1" w:rsidP="001E17AF">
      <w:pPr>
        <w:pStyle w:val="COMParaDecision"/>
        <w:numPr>
          <w:ilvl w:val="0"/>
          <w:numId w:val="26"/>
        </w:numPr>
        <w:ind w:left="567" w:hanging="567"/>
        <w:rPr>
          <w:u w:val="none"/>
        </w:rPr>
      </w:pPr>
      <w:r w:rsidRPr="00503070">
        <w:t>Salue en outre</w:t>
      </w:r>
      <w:r w:rsidRPr="00503070">
        <w:rPr>
          <w:u w:val="none"/>
        </w:rPr>
        <w:t xml:space="preserve"> le Centre international de formation sur le patrimoine culturel immatériel dans la région Asie-Pacifique (CRIHAP) pour son soutien généreux, et le Centre international d’information et de travail en réseau sur le patrimoine culturel immatériel dans la région Asie-Pacifique (ICHCAP) pour la mise en œuvre d’activités pertinentes de renforcement des capacités et de suivi ;</w:t>
      </w:r>
    </w:p>
    <w:p w14:paraId="672ED9A9" w14:textId="77777777" w:rsidR="004864D1" w:rsidRPr="00503070" w:rsidRDefault="004864D1" w:rsidP="001E17AF">
      <w:pPr>
        <w:pStyle w:val="COMParaDecision"/>
        <w:numPr>
          <w:ilvl w:val="0"/>
          <w:numId w:val="26"/>
        </w:numPr>
        <w:ind w:left="567" w:hanging="567"/>
      </w:pPr>
      <w:r w:rsidRPr="00503070">
        <w:t>Reconnaît</w:t>
      </w:r>
      <w:r w:rsidRPr="00503070">
        <w:rPr>
          <w:u w:val="none"/>
        </w:rPr>
        <w:t xml:space="preserve"> l’analyse quantitative et qualitative menée pour les rapports de l’Asie et du Pacifique, et </w:t>
      </w:r>
      <w:r w:rsidRPr="00503070">
        <w:t>accueille favorablement</w:t>
      </w:r>
      <w:r w:rsidRPr="00503070">
        <w:rPr>
          <w:u w:val="none"/>
        </w:rPr>
        <w:t xml:space="preserve"> les principales conclusions du résumé analytique des rapports, telles que présentées dans les annexes du document LHE/25/20.COM/</w:t>
      </w:r>
      <w:proofErr w:type="gramStart"/>
      <w:r w:rsidRPr="00503070">
        <w:rPr>
          <w:u w:val="none"/>
        </w:rPr>
        <w:t>6.b</w:t>
      </w:r>
      <w:proofErr w:type="gramEnd"/>
      <w:r w:rsidRPr="00503070">
        <w:rPr>
          <w:u w:val="none"/>
        </w:rPr>
        <w:t> ;</w:t>
      </w:r>
    </w:p>
    <w:p w14:paraId="0B6116EB" w14:textId="77777777" w:rsidR="004864D1" w:rsidRPr="00503070" w:rsidRDefault="004864D1" w:rsidP="001E17AF">
      <w:pPr>
        <w:pStyle w:val="COMParaDecision"/>
        <w:numPr>
          <w:ilvl w:val="0"/>
          <w:numId w:val="26"/>
        </w:numPr>
        <w:ind w:left="567" w:hanging="567"/>
      </w:pPr>
      <w:r w:rsidRPr="00503070">
        <w:t>Prend note avec intérêt</w:t>
      </w:r>
      <w:r w:rsidRPr="00503070">
        <w:rPr>
          <w:u w:val="none"/>
        </w:rPr>
        <w:t xml:space="preserve"> des tendances communes, des défis, des opportunités et des domaines prioritaires liés au patrimoine culturel immatériel tels que signalés par les États parties, ainsi que des différentes approches et méthodologies de sauvegarde qu’ils ont adoptées pour mettre en œuvre la Convention, et </w:t>
      </w:r>
      <w:r w:rsidRPr="00503070">
        <w:t>attend avec intérêt</w:t>
      </w:r>
      <w:r w:rsidRPr="00503070">
        <w:rPr>
          <w:u w:val="none"/>
        </w:rPr>
        <w:t xml:space="preserve"> une analyse plus détaillée des rapports, qui sera présentée à la vingt-et-unième session du Comité en 2026 ;</w:t>
      </w:r>
    </w:p>
    <w:p w14:paraId="26B8E5C7" w14:textId="77777777" w:rsidR="004864D1" w:rsidRPr="00503070" w:rsidRDefault="004864D1" w:rsidP="001E17AF">
      <w:pPr>
        <w:pStyle w:val="COMParaDecision"/>
        <w:numPr>
          <w:ilvl w:val="0"/>
          <w:numId w:val="26"/>
        </w:numPr>
        <w:ind w:left="567" w:hanging="567"/>
        <w:rPr>
          <w:u w:val="none"/>
        </w:rPr>
      </w:pPr>
      <w:r w:rsidRPr="00503070">
        <w:t>Rappelle</w:t>
      </w:r>
      <w:r w:rsidRPr="00503070">
        <w:rPr>
          <w:u w:val="none"/>
        </w:rPr>
        <w:t xml:space="preserve"> que les désignations employées dans les rapports présentés par les États parties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 ;</w:t>
      </w:r>
    </w:p>
    <w:p w14:paraId="1E53C3CF" w14:textId="77777777" w:rsidR="004864D1" w:rsidRPr="00503070" w:rsidRDefault="004864D1" w:rsidP="001E17AF">
      <w:pPr>
        <w:pStyle w:val="COMParaDecision"/>
        <w:numPr>
          <w:ilvl w:val="0"/>
          <w:numId w:val="26"/>
        </w:numPr>
        <w:ind w:left="567" w:hanging="567"/>
      </w:pPr>
      <w:r w:rsidRPr="00503070">
        <w:t>Décide</w:t>
      </w:r>
      <w:r w:rsidRPr="00503070">
        <w:rPr>
          <w:u w:val="none"/>
        </w:rPr>
        <w:t xml:space="preserve"> de soumettre à l’Assemblée générale, lors de sa onzième session, un résumé des rapports des États parties sur la mise en œuvre de la Convention et sur l’état actuel des éléments inscrits sur la Liste représentative du patrimoine culturel immatériel de l’humanité examinée au cours de la présente session conformément à l’article 30 de la Convention.</w:t>
      </w:r>
    </w:p>
    <w:p w14:paraId="0E8B9EBD" w14:textId="77777777" w:rsidR="004864D1" w:rsidRPr="00503070" w:rsidRDefault="004864D1" w:rsidP="004864D1">
      <w:pPr>
        <w:pStyle w:val="COMTitleDecision"/>
      </w:pPr>
      <w:r w:rsidRPr="00503070">
        <w:t>DECISION 20.COM 6.c</w:t>
      </w:r>
    </w:p>
    <w:p w14:paraId="1D557787" w14:textId="6F972EC8" w:rsidR="004864D1" w:rsidRPr="00503070" w:rsidRDefault="004864D1" w:rsidP="004864D1">
      <w:pPr>
        <w:pStyle w:val="COMPreambulaDecisions"/>
        <w:ind w:hanging="567"/>
        <w:rPr>
          <w:rFonts w:eastAsia="SimSun"/>
        </w:rPr>
      </w:pPr>
      <w:r w:rsidRPr="00503070">
        <w:t>Le Comité</w:t>
      </w:r>
      <w:r w:rsidR="00F838A6">
        <w:t>,</w:t>
      </w:r>
    </w:p>
    <w:p w14:paraId="72D738BA" w14:textId="77777777" w:rsidR="004864D1" w:rsidRPr="00503070" w:rsidRDefault="004864D1" w:rsidP="001E17AF">
      <w:pPr>
        <w:pStyle w:val="COMParaDecision"/>
        <w:numPr>
          <w:ilvl w:val="0"/>
          <w:numId w:val="27"/>
        </w:numPr>
        <w:ind w:left="567" w:hanging="567"/>
      </w:pPr>
      <w:r w:rsidRPr="00503070">
        <w:t>Ayant examiné</w:t>
      </w:r>
      <w:r w:rsidRPr="00503070">
        <w:rPr>
          <w:u w:val="none"/>
        </w:rPr>
        <w:t xml:space="preserve"> le document </w:t>
      </w:r>
      <w:hyperlink r:id="rId46" w:history="1">
        <w:r w:rsidRPr="00503070">
          <w:rPr>
            <w:rStyle w:val="Hyperlink"/>
          </w:rPr>
          <w:t>LHE/25/20.COM/6.c</w:t>
        </w:r>
      </w:hyperlink>
      <w:r w:rsidRPr="00503070">
        <w:rPr>
          <w:u w:val="none"/>
        </w:rPr>
        <w:t xml:space="preserve"> et ses annexes,</w:t>
      </w:r>
    </w:p>
    <w:p w14:paraId="45A82ABC" w14:textId="77777777" w:rsidR="004864D1" w:rsidRPr="00503070" w:rsidRDefault="004864D1" w:rsidP="001E17AF">
      <w:pPr>
        <w:pStyle w:val="COMParaDecision"/>
        <w:numPr>
          <w:ilvl w:val="0"/>
          <w:numId w:val="27"/>
        </w:numPr>
        <w:ind w:left="567" w:hanging="567"/>
      </w:pPr>
      <w:r w:rsidRPr="00503070">
        <w:t>Rappelant</w:t>
      </w:r>
      <w:r w:rsidRPr="00503070">
        <w:rPr>
          <w:u w:val="none"/>
        </w:rPr>
        <w:t xml:space="preserve"> les Résolutions </w:t>
      </w:r>
      <w:hyperlink r:id="rId47" w:history="1">
        <w:r w:rsidRPr="00503070">
          <w:rPr>
            <w:rStyle w:val="Hyperlink"/>
          </w:rPr>
          <w:t>10.GA 5</w:t>
        </w:r>
      </w:hyperlink>
      <w:r w:rsidRPr="00503070">
        <w:rPr>
          <w:u w:val="none"/>
        </w:rPr>
        <w:t xml:space="preserve"> et </w:t>
      </w:r>
      <w:hyperlink r:id="rId48" w:history="1">
        <w:r w:rsidRPr="00503070">
          <w:rPr>
            <w:rStyle w:val="Hyperlink"/>
          </w:rPr>
          <w:t>10.GA 6</w:t>
        </w:r>
      </w:hyperlink>
      <w:r w:rsidRPr="00503070">
        <w:rPr>
          <w:u w:val="none"/>
        </w:rPr>
        <w:t xml:space="preserve">, ainsi que les Décisions </w:t>
      </w:r>
      <w:hyperlink r:id="rId49" w:history="1">
        <w:r w:rsidRPr="00503070">
          <w:rPr>
            <w:rStyle w:val="Hyperlink"/>
          </w:rPr>
          <w:t>18.COM 7.c</w:t>
        </w:r>
      </w:hyperlink>
      <w:r w:rsidRPr="00503070">
        <w:rPr>
          <w:u w:val="none"/>
        </w:rPr>
        <w:t xml:space="preserve"> et </w:t>
      </w:r>
      <w:hyperlink r:id="rId50" w:history="1">
        <w:r w:rsidRPr="00503070">
          <w:rPr>
            <w:rStyle w:val="Hyperlink"/>
          </w:rPr>
          <w:t>19.COM 6.c</w:t>
        </w:r>
      </w:hyperlink>
      <w:r w:rsidRPr="00503070">
        <w:rPr>
          <w:u w:val="none"/>
        </w:rPr>
        <w:t>,</w:t>
      </w:r>
    </w:p>
    <w:p w14:paraId="5F7C4F2D" w14:textId="12405758" w:rsidR="004864D1" w:rsidRPr="00503070" w:rsidRDefault="004864D1" w:rsidP="001E17AF">
      <w:pPr>
        <w:pStyle w:val="COMParaDecision"/>
        <w:numPr>
          <w:ilvl w:val="0"/>
          <w:numId w:val="27"/>
        </w:numPr>
        <w:ind w:left="567" w:hanging="567"/>
        <w:rPr>
          <w:u w:val="none"/>
        </w:rPr>
      </w:pPr>
      <w:r w:rsidRPr="00503070">
        <w:t>Rappelant en outre</w:t>
      </w:r>
      <w:r w:rsidRPr="00503070">
        <w:rPr>
          <w:u w:val="none"/>
        </w:rPr>
        <w:t xml:space="preserve"> les Décisions </w:t>
      </w:r>
      <w:hyperlink r:id="rId51" w:anchor="%5B%7B%22num%22%3A58%2C%22gen%22%3A0%7D%2C%7B%22name%22%3A%22XYZ%22%7D%2C54%2C226%2C0%5D" w:history="1">
        <w:r w:rsidRPr="00503070">
          <w:rPr>
            <w:rStyle w:val="Hyperlink"/>
          </w:rPr>
          <w:t>219 EX/Décision 11</w:t>
        </w:r>
      </w:hyperlink>
      <w:r w:rsidRPr="00503070">
        <w:rPr>
          <w:u w:val="none"/>
        </w:rPr>
        <w:t xml:space="preserve"> et </w:t>
      </w:r>
      <w:hyperlink r:id="rId52" w:anchor="%5B%7B%22num%22%3A64%2C%22gen%22%3A0%7D%2C%7B%22name%22%3A%22XYZ%22%7D%2C54%2C771%2C0%5D" w:history="1">
        <w:r w:rsidRPr="00503070">
          <w:rPr>
            <w:rStyle w:val="Hyperlink"/>
          </w:rPr>
          <w:t>219 EX/Décision 13</w:t>
        </w:r>
      </w:hyperlink>
      <w:r w:rsidRPr="00503070">
        <w:rPr>
          <w:u w:val="none"/>
        </w:rPr>
        <w:t xml:space="preserve"> du Conseil exécutif de l’UNESCO et la Déclaration MONDIACULT 2022, ainsi que l’</w:t>
      </w:r>
      <w:hyperlink r:id="rId53" w:history="1">
        <w:r w:rsidRPr="00503070">
          <w:rPr>
            <w:rStyle w:val="Hyperlink"/>
          </w:rPr>
          <w:t>évaluation par IOS</w:t>
        </w:r>
      </w:hyperlink>
      <w:r w:rsidRPr="00503070">
        <w:rPr>
          <w:u w:val="none"/>
        </w:rPr>
        <w:t xml:space="preserve"> en </w:t>
      </w:r>
      <w:r w:rsidRPr="00503070">
        <w:rPr>
          <w:u w:val="none"/>
        </w:rPr>
        <w:lastRenderedPageBreak/>
        <w:t>2024 des rapports périodiques de l’UNESCO sur les conventions et recommandations relevant du Secteur de la culture,</w:t>
      </w:r>
    </w:p>
    <w:p w14:paraId="3EF66C3B" w14:textId="77777777" w:rsidR="004864D1" w:rsidRPr="00503070" w:rsidRDefault="004864D1" w:rsidP="004864D1">
      <w:pPr>
        <w:pStyle w:val="COMParaDecision"/>
        <w:keepNext/>
        <w:ind w:left="567" w:hanging="567"/>
        <w:rPr>
          <w:b/>
          <w:bCs/>
          <w:u w:val="none"/>
        </w:rPr>
      </w:pPr>
      <w:r w:rsidRPr="00503070">
        <w:rPr>
          <w:b/>
          <w:u w:val="none"/>
        </w:rPr>
        <w:t>Cycle régional en cours de soumission de rapports</w:t>
      </w:r>
    </w:p>
    <w:p w14:paraId="0EA2E914" w14:textId="77777777" w:rsidR="004864D1" w:rsidRPr="00503070" w:rsidRDefault="004864D1" w:rsidP="001E17AF">
      <w:pPr>
        <w:pStyle w:val="COMParaDecision"/>
        <w:keepNext/>
        <w:numPr>
          <w:ilvl w:val="0"/>
          <w:numId w:val="27"/>
        </w:numPr>
        <w:ind w:left="567" w:hanging="567"/>
      </w:pPr>
      <w:r w:rsidRPr="00503070">
        <w:t xml:space="preserve">Se félicite </w:t>
      </w:r>
      <w:r w:rsidRPr="00503070">
        <w:rPr>
          <w:u w:val="none"/>
        </w:rPr>
        <w:t xml:space="preserve">de l’efficacité du système de rapports périodiques, qui a augmenté de manière significative les taux de soumission à travers les régions, et </w:t>
      </w:r>
      <w:r w:rsidRPr="00503070">
        <w:t>apprécie</w:t>
      </w:r>
      <w:r w:rsidRPr="00503070">
        <w:rPr>
          <w:u w:val="none"/>
        </w:rPr>
        <w:t xml:space="preserve"> l’engagement, y compris les contributions financières, de toutes les parties prenantes impliquées dans le soutien au processus des rapports périodiques ;</w:t>
      </w:r>
    </w:p>
    <w:p w14:paraId="1AD46F59" w14:textId="77777777" w:rsidR="004864D1" w:rsidRPr="00503070" w:rsidRDefault="004864D1" w:rsidP="001E17AF">
      <w:pPr>
        <w:pStyle w:val="COMParaDecision"/>
        <w:numPr>
          <w:ilvl w:val="0"/>
          <w:numId w:val="27"/>
        </w:numPr>
        <w:ind w:left="567" w:hanging="567"/>
        <w:rPr>
          <w:u w:val="none"/>
        </w:rPr>
      </w:pPr>
      <w:r w:rsidRPr="00503070">
        <w:t>Reconnaît</w:t>
      </w:r>
      <w:r w:rsidRPr="00503070">
        <w:rPr>
          <w:u w:val="none"/>
        </w:rPr>
        <w:t xml:space="preserve"> le travail du Secrétariat qui fournit un soutien pertinent aux États parties dans le cadre de leur processus de rapport périodique par le biais d’activités de renforcement des capacités et de suivi continu ;</w:t>
      </w:r>
    </w:p>
    <w:p w14:paraId="62C05CF5" w14:textId="77777777" w:rsidR="004864D1" w:rsidRPr="00503070" w:rsidRDefault="004864D1" w:rsidP="001E17AF">
      <w:pPr>
        <w:pStyle w:val="COMParaDecision"/>
        <w:numPr>
          <w:ilvl w:val="0"/>
          <w:numId w:val="27"/>
        </w:numPr>
        <w:ind w:left="567" w:hanging="567"/>
        <w:rPr>
          <w:u w:val="none"/>
        </w:rPr>
      </w:pPr>
      <w:r w:rsidRPr="00503070">
        <w:t>Prend note avec intérêt</w:t>
      </w:r>
      <w:r w:rsidRPr="00503070">
        <w:rPr>
          <w:u w:val="none"/>
        </w:rPr>
        <w:t xml:space="preserve"> du « Rapport analytique du premier cycle des rapports périodiques sur la mise en œuvre de la Convention et sur l’état actuel des éléments inscrits sur la Liste représentative du patrimoine culturel immatériel de l’humanité par les États parties en Afrique » tel qu’il figure dans le document </w:t>
      </w:r>
      <w:hyperlink r:id="rId54" w:history="1">
        <w:r w:rsidRPr="00503070">
          <w:rPr>
            <w:rStyle w:val="Hyperlink"/>
          </w:rPr>
          <w:t>LHE/25/20.COM/INF.6.c</w:t>
        </w:r>
      </w:hyperlink>
      <w:r w:rsidRPr="00503070">
        <w:rPr>
          <w:u w:val="none"/>
        </w:rPr>
        <w:t xml:space="preserve">, et </w:t>
      </w:r>
      <w:r w:rsidRPr="00503070">
        <w:t>se félicite</w:t>
      </w:r>
      <w:r w:rsidRPr="00503070">
        <w:rPr>
          <w:u w:val="none"/>
        </w:rPr>
        <w:t xml:space="preserve"> des principales conclusions mises en évidence dans le rapport, des informations détaillées sur la mesure dans laquelle les États parties ayant soumis un rapport ont atteint les indicateurs de base, et des objectifs fixés pour le prochain cycle de rapport ;</w:t>
      </w:r>
    </w:p>
    <w:p w14:paraId="08BB029E" w14:textId="77777777" w:rsidR="004864D1" w:rsidRPr="00503070" w:rsidRDefault="004864D1" w:rsidP="001E17AF">
      <w:pPr>
        <w:pStyle w:val="COMParaDecision"/>
        <w:numPr>
          <w:ilvl w:val="0"/>
          <w:numId w:val="27"/>
        </w:numPr>
        <w:ind w:left="567" w:hanging="567"/>
      </w:pPr>
      <w:r w:rsidRPr="00503070">
        <w:t>Prend note</w:t>
      </w:r>
      <w:r w:rsidRPr="00503070">
        <w:rPr>
          <w:u w:val="none"/>
        </w:rPr>
        <w:t xml:space="preserve"> des résultats préliminaires des consultations régionales sur les rapports périodiques organisées par le Secrétariat en préparation de l’année de réflexion en 2026 ;</w:t>
      </w:r>
    </w:p>
    <w:p w14:paraId="09601230" w14:textId="77777777" w:rsidR="004864D1" w:rsidRPr="00503070" w:rsidRDefault="004864D1" w:rsidP="001E17AF">
      <w:pPr>
        <w:pStyle w:val="COMParaDecision"/>
        <w:numPr>
          <w:ilvl w:val="0"/>
          <w:numId w:val="27"/>
        </w:numPr>
        <w:ind w:left="567" w:hanging="567"/>
      </w:pPr>
      <w:r w:rsidRPr="00503070">
        <w:t xml:space="preserve">Demande </w:t>
      </w:r>
      <w:r w:rsidRPr="00503070">
        <w:rPr>
          <w:u w:val="none"/>
        </w:rPr>
        <w:t>que le Secrétariat organise les activités appropriées dans le cadre de l’année de réflexion en 2026 et fasse un rapport, pour examen par la vingt et unième session du Comité, sur les résultats de cette réflexion en ce qui concerne : (a) les enseignements tirés du premier cycle régional de rapports périodiques ; (b) les améliorations futures pour renforcer les rapports périodiques, y compris la simplification des formulaires de rapport ; et (c) la pertinence d’inclure le Registre des bonnes pratiques de sauvegarde dans le système de rapport ;</w:t>
      </w:r>
    </w:p>
    <w:p w14:paraId="45A6640C" w14:textId="77777777" w:rsidR="004864D1" w:rsidRPr="00503070" w:rsidRDefault="004864D1" w:rsidP="00424FD2">
      <w:pPr>
        <w:pStyle w:val="COMParaDecision"/>
      </w:pPr>
      <w:r w:rsidRPr="00503070">
        <w:rPr>
          <w:b/>
          <w:u w:val="none"/>
        </w:rPr>
        <w:t>Rationalisation des mécanismes de rapports périodiques et proposition d’amendements aux Directives opérationnelles</w:t>
      </w:r>
    </w:p>
    <w:p w14:paraId="1B590B6F" w14:textId="77777777" w:rsidR="004864D1" w:rsidRPr="00503070" w:rsidRDefault="004864D1" w:rsidP="001E17AF">
      <w:pPr>
        <w:pStyle w:val="COMParaDecision"/>
        <w:numPr>
          <w:ilvl w:val="0"/>
          <w:numId w:val="27"/>
        </w:numPr>
        <w:ind w:left="567" w:hanging="567"/>
      </w:pPr>
      <w:r w:rsidRPr="00503070">
        <w:t xml:space="preserve">Confirme </w:t>
      </w:r>
      <w:proofErr w:type="spellStart"/>
      <w:r w:rsidRPr="00503070">
        <w:t>que</w:t>
      </w:r>
      <w:r w:rsidRPr="00503070">
        <w:rPr>
          <w:vanish/>
        </w:rPr>
        <w:t xml:space="preserve"> </w:t>
      </w:r>
      <w:r w:rsidRPr="00503070">
        <w:rPr>
          <w:u w:val="none"/>
        </w:rPr>
        <w:t>les</w:t>
      </w:r>
      <w:proofErr w:type="spellEnd"/>
      <w:r w:rsidRPr="00503070">
        <w:rPr>
          <w:u w:val="none"/>
        </w:rPr>
        <w:t xml:space="preserve"> rapports des États parties sur la mise en œuvre de la Convention, les rapports des États parties sur les éléments inscrits sur la Liste du patrimoine culturel immatériel nécessitant une sauvegarde urgente, et les rapports des États non parties à la Convention sur les éléments inscrits sur la Liste représentative du patrimoine culturel immatériel de l’humanité, seront soumis à la date unique de soumission à l’échelle mondiale du 30 juin 2027 et tous les quatre ans par la suite ;</w:t>
      </w:r>
    </w:p>
    <w:p w14:paraId="42186A74" w14:textId="77777777" w:rsidR="004864D1" w:rsidRPr="00503070" w:rsidRDefault="004864D1" w:rsidP="001E17AF">
      <w:pPr>
        <w:pStyle w:val="COMParaDecision"/>
        <w:numPr>
          <w:ilvl w:val="0"/>
          <w:numId w:val="27"/>
        </w:numPr>
        <w:ind w:left="567" w:hanging="567"/>
      </w:pPr>
      <w:r w:rsidRPr="00503070">
        <w:t>Recommande</w:t>
      </w:r>
      <w:r w:rsidRPr="00503070">
        <w:rPr>
          <w:u w:val="none"/>
        </w:rPr>
        <w:t xml:space="preserve"> que la onzième session de l’Assemblée générale approuve les amendements aux Directives opérationnelles pour la mise en œuvre de la Convention, tels qu’annexés à la présente décision, de sorte à soutenir l’avancée vers le système de soumission unique à l’échelle mondiale des rapports périodiques ;</w:t>
      </w:r>
    </w:p>
    <w:p w14:paraId="3DB8C8C5" w14:textId="77777777" w:rsidR="004864D1" w:rsidRPr="00503070" w:rsidRDefault="004864D1" w:rsidP="001E17AF">
      <w:pPr>
        <w:pStyle w:val="COMParaDecision"/>
        <w:numPr>
          <w:ilvl w:val="0"/>
          <w:numId w:val="27"/>
        </w:numPr>
        <w:ind w:left="567" w:hanging="567"/>
        <w:rPr>
          <w:color w:val="000000" w:themeColor="text1"/>
          <w:u w:val="none"/>
        </w:rPr>
      </w:pPr>
      <w:r w:rsidRPr="00503070">
        <w:rPr>
          <w:color w:val="000000" w:themeColor="text1"/>
        </w:rPr>
        <w:t>Demande</w:t>
      </w:r>
      <w:r w:rsidRPr="00503070">
        <w:rPr>
          <w:color w:val="000000" w:themeColor="text1"/>
          <w:u w:val="none"/>
        </w:rPr>
        <w:t xml:space="preserve"> que le Secrétariat informe, en temps opportun, tous les États parties et non parties à la Convention de la date limite du 30 juin 2027 pour la soumission de leurs rapports périodiques concernant la mise en œuvre de la Convention de 2003 et le statut des éléments inscrits sur la Liste représentative du patrimoine culturel immatériel de l’humanité, ainsi que sur le statut des éléments inscrits sur la Liste du patrimoine culturel immatériel nécessitant une sauvegarde urgente ;</w:t>
      </w:r>
    </w:p>
    <w:p w14:paraId="74FB053B" w14:textId="686D3997" w:rsidR="004864D1" w:rsidRPr="00503070" w:rsidRDefault="004864D1" w:rsidP="001E17AF">
      <w:pPr>
        <w:pStyle w:val="COMParaDecision"/>
        <w:numPr>
          <w:ilvl w:val="0"/>
          <w:numId w:val="27"/>
        </w:numPr>
        <w:ind w:left="567" w:hanging="567"/>
        <w:rPr>
          <w:color w:val="000000" w:themeColor="text1"/>
          <w:u w:val="none"/>
        </w:rPr>
      </w:pPr>
      <w:r w:rsidRPr="00503070">
        <w:t>Demande</w:t>
      </w:r>
      <w:r w:rsidR="00666ADF" w:rsidRPr="00503070">
        <w:t xml:space="preserve"> en outre</w:t>
      </w:r>
      <w:r w:rsidRPr="00503070">
        <w:rPr>
          <w:u w:val="none"/>
        </w:rPr>
        <w:t xml:space="preserve"> que le Secrétariat fasse un rapport sur la rationalisation des mécanismes de rapports périodiques de la Convention pour examen par le Comité lors de sa vingt-et-unième session ;</w:t>
      </w:r>
    </w:p>
    <w:p w14:paraId="5D049634" w14:textId="77777777" w:rsidR="004864D1" w:rsidRPr="00503070" w:rsidRDefault="004864D1" w:rsidP="001E17AF">
      <w:pPr>
        <w:pStyle w:val="COMParaDecision"/>
        <w:numPr>
          <w:ilvl w:val="0"/>
          <w:numId w:val="27"/>
        </w:numPr>
        <w:ind w:left="567" w:hanging="567"/>
        <w:rPr>
          <w:u w:val="none"/>
        </w:rPr>
      </w:pPr>
      <w:r w:rsidRPr="00503070">
        <w:t>Invite</w:t>
      </w:r>
      <w:r w:rsidRPr="00503070">
        <w:rPr>
          <w:u w:val="none"/>
        </w:rPr>
        <w:t xml:space="preserve"> le Secrétariat à planifier et à mettre en œuvre des activités ciblées et appropriées de renforcement des capacités pour soutenir les rapports périodiques dans le cadre du système de soumission unique à l’échelle mondiale, dans le contexte du programme mondial existant </w:t>
      </w:r>
      <w:r w:rsidRPr="00503070">
        <w:rPr>
          <w:u w:val="none"/>
        </w:rPr>
        <w:lastRenderedPageBreak/>
        <w:t>de renforcement des capacités de la Convention et sous réserve de la disponibilité de ressources financières ;</w:t>
      </w:r>
    </w:p>
    <w:p w14:paraId="140326C7" w14:textId="5C5B1778" w:rsidR="004864D1" w:rsidRPr="007148F6" w:rsidRDefault="004864D1" w:rsidP="001E17AF">
      <w:pPr>
        <w:pStyle w:val="COMParaDecision"/>
        <w:numPr>
          <w:ilvl w:val="0"/>
          <w:numId w:val="27"/>
        </w:numPr>
        <w:ind w:left="567" w:hanging="567"/>
        <w:rPr>
          <w:u w:val="none"/>
        </w:rPr>
      </w:pPr>
      <w:r w:rsidRPr="00503070">
        <w:t>Invite en outre</w:t>
      </w:r>
      <w:r w:rsidRPr="00503070">
        <w:rPr>
          <w:u w:val="none"/>
        </w:rPr>
        <w:t xml:space="preserve"> les États parties, les centres de catégorie 2 actifs dans le domaine du patrimoine culturel immatériel et les autres parties prenantes à soutenir financièrement la mise en œuvre du prochain cycle de rapports périodiques dans le cadre du système de soumission unique à l’échelle mondiale par le biais de la modalité de leur choix</w:t>
      </w:r>
      <w:r w:rsidR="00F71611" w:rsidRPr="00503070">
        <w:rPr>
          <w:u w:val="none"/>
        </w:rPr>
        <w:t>.</w:t>
      </w:r>
    </w:p>
    <w:p w14:paraId="0F81FC35" w14:textId="22F9809C" w:rsidR="00B6151A" w:rsidRPr="007C679A" w:rsidRDefault="00B6151A" w:rsidP="007E2AC7">
      <w:pPr>
        <w:pStyle w:val="COMParaDecision"/>
        <w:spacing w:after="0"/>
        <w:ind w:left="567"/>
        <w:jc w:val="center"/>
        <w:rPr>
          <w:b/>
          <w:bCs/>
          <w:u w:val="none"/>
        </w:rPr>
      </w:pPr>
      <w:r w:rsidRPr="007C679A">
        <w:rPr>
          <w:b/>
          <w:bCs/>
          <w:u w:val="none"/>
        </w:rPr>
        <w:t>ANNEXE</w:t>
      </w:r>
      <w:r w:rsidR="0047181F" w:rsidRPr="007C679A">
        <w:rPr>
          <w:b/>
          <w:bCs/>
          <w:u w:val="none"/>
        </w:rPr>
        <w:br/>
      </w:r>
      <w:r w:rsidRPr="007C679A">
        <w:rPr>
          <w:b/>
          <w:bCs/>
          <w:u w:val="none"/>
        </w:rPr>
        <w:t>Proposition d’amendements des Directives opérationnelles</w:t>
      </w:r>
    </w:p>
    <w:p w14:paraId="010BC81C" w14:textId="58D54EE1" w:rsidR="0047181F" w:rsidRPr="00CC14EF" w:rsidRDefault="0047181F" w:rsidP="007C679A">
      <w:pPr>
        <w:pStyle w:val="COMParaDecision"/>
        <w:ind w:left="567"/>
        <w:jc w:val="center"/>
      </w:pPr>
      <w:r w:rsidRPr="00615ECA">
        <w:rPr>
          <w:b/>
          <w:bCs/>
          <w:sz w:val="20"/>
          <w:szCs w:val="20"/>
        </w:rPr>
        <w:t>Note</w:t>
      </w:r>
      <w:r w:rsidRPr="007C679A">
        <w:rPr>
          <w:sz w:val="18"/>
          <w:szCs w:val="18"/>
        </w:rPr>
        <w:t> </w:t>
      </w:r>
      <w:r w:rsidRPr="00FA3CD4">
        <w:rPr>
          <w:sz w:val="20"/>
          <w:szCs w:val="20"/>
        </w:rPr>
        <w:t xml:space="preserve">: </w:t>
      </w:r>
      <w:r w:rsidR="00DD1011" w:rsidRPr="00DD1011">
        <w:rPr>
          <w:bCs/>
          <w:sz w:val="20"/>
          <w:szCs w:val="20"/>
        </w:rPr>
        <w:t xml:space="preserve">Les parties </w:t>
      </w:r>
      <w:r w:rsidRPr="00DD1011">
        <w:rPr>
          <w:bCs/>
          <w:sz w:val="20"/>
          <w:szCs w:val="20"/>
        </w:rPr>
        <w:t>surligné</w:t>
      </w:r>
      <w:r w:rsidR="00DD1011">
        <w:rPr>
          <w:bCs/>
          <w:sz w:val="20"/>
          <w:szCs w:val="20"/>
        </w:rPr>
        <w:t>es</w:t>
      </w:r>
      <w:r w:rsidRPr="00DD1011">
        <w:rPr>
          <w:bCs/>
          <w:sz w:val="20"/>
          <w:szCs w:val="20"/>
        </w:rPr>
        <w:t xml:space="preserve"> en gris </w:t>
      </w:r>
      <w:r w:rsidR="0074412F">
        <w:rPr>
          <w:bCs/>
          <w:sz w:val="20"/>
          <w:szCs w:val="20"/>
        </w:rPr>
        <w:t xml:space="preserve">correspondent aux </w:t>
      </w:r>
      <w:r w:rsidRPr="00DD1011">
        <w:rPr>
          <w:bCs/>
          <w:sz w:val="20"/>
          <w:szCs w:val="20"/>
        </w:rPr>
        <w:t xml:space="preserve">révisions proposées aux </w:t>
      </w:r>
      <w:r w:rsidR="000F1B6F">
        <w:rPr>
          <w:bCs/>
          <w:sz w:val="20"/>
          <w:szCs w:val="20"/>
        </w:rPr>
        <w:br/>
      </w:r>
      <w:r w:rsidRPr="00DD1011">
        <w:rPr>
          <w:bCs/>
          <w:sz w:val="20"/>
          <w:szCs w:val="20"/>
        </w:rPr>
        <w:t>Directives opérationnelle</w:t>
      </w:r>
      <w:r w:rsidR="002F417F" w:rsidRPr="00DD1011">
        <w:rPr>
          <w:bCs/>
          <w:sz w:val="20"/>
          <w:szCs w:val="20"/>
        </w:rPr>
        <w:t xml:space="preserve">s </w:t>
      </w:r>
      <w:r w:rsidR="000F1B6F">
        <w:rPr>
          <w:bCs/>
          <w:sz w:val="20"/>
          <w:szCs w:val="20"/>
        </w:rPr>
        <w:t xml:space="preserve">visées par </w:t>
      </w:r>
      <w:r w:rsidR="009F722B" w:rsidRPr="00DD1011">
        <w:rPr>
          <w:bCs/>
          <w:sz w:val="20"/>
          <w:szCs w:val="20"/>
        </w:rPr>
        <w:t>la décision 20.COM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6"/>
        <w:gridCol w:w="8502"/>
      </w:tblGrid>
      <w:tr w:rsidR="00B6151A" w:rsidRPr="00BD7E1D" w14:paraId="340DDC4E" w14:textId="77777777" w:rsidTr="002C366E">
        <w:trPr>
          <w:cantSplit/>
        </w:trPr>
        <w:tc>
          <w:tcPr>
            <w:tcW w:w="308" w:type="pct"/>
          </w:tcPr>
          <w:p w14:paraId="08B54590" w14:textId="77777777" w:rsidR="00B6151A" w:rsidRPr="00BD7E1D" w:rsidRDefault="00B6151A" w:rsidP="002C366E">
            <w:pPr>
              <w:spacing w:before="120" w:after="120"/>
              <w:jc w:val="both"/>
              <w:rPr>
                <w:rFonts w:ascii="Arial" w:hAnsi="Arial" w:cs="Arial"/>
                <w:b/>
                <w:bCs/>
                <w:sz w:val="22"/>
                <w:szCs w:val="22"/>
              </w:rPr>
            </w:pPr>
            <w:r w:rsidRPr="00BD7E1D">
              <w:rPr>
                <w:rFonts w:ascii="Arial" w:hAnsi="Arial"/>
                <w:b/>
                <w:sz w:val="22"/>
              </w:rPr>
              <w:t>I.7</w:t>
            </w:r>
          </w:p>
        </w:tc>
        <w:tc>
          <w:tcPr>
            <w:tcW w:w="2325" w:type="pct"/>
          </w:tcPr>
          <w:p w14:paraId="2D3A63A8"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360A0E1E" w14:textId="77777777" w:rsidTr="002C366E">
        <w:trPr>
          <w:cantSplit/>
        </w:trPr>
        <w:tc>
          <w:tcPr>
            <w:tcW w:w="308" w:type="pct"/>
          </w:tcPr>
          <w:p w14:paraId="12C95FA0"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20.2</w:t>
            </w:r>
          </w:p>
        </w:tc>
        <w:tc>
          <w:tcPr>
            <w:tcW w:w="2325" w:type="pct"/>
          </w:tcPr>
          <w:p w14:paraId="526634F2"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5400BDD3" w14:textId="77777777" w:rsidTr="002C366E">
        <w:trPr>
          <w:cantSplit/>
        </w:trPr>
        <w:tc>
          <w:tcPr>
            <w:tcW w:w="308" w:type="pct"/>
          </w:tcPr>
          <w:p w14:paraId="3ACC6572" w14:textId="77777777" w:rsidR="00B6151A" w:rsidRPr="00BD7E1D" w:rsidRDefault="00B6151A" w:rsidP="002C366E">
            <w:pPr>
              <w:spacing w:before="120" w:after="120"/>
              <w:jc w:val="both"/>
              <w:rPr>
                <w:rFonts w:ascii="Arial" w:hAnsi="Arial" w:cs="Arial"/>
                <w:b/>
                <w:bCs/>
                <w:sz w:val="22"/>
                <w:szCs w:val="22"/>
              </w:rPr>
            </w:pPr>
            <w:r w:rsidRPr="00BD7E1D">
              <w:rPr>
                <w:rFonts w:ascii="Arial" w:hAnsi="Arial"/>
                <w:b/>
                <w:sz w:val="22"/>
              </w:rPr>
              <w:t>I.15</w:t>
            </w:r>
          </w:p>
        </w:tc>
        <w:tc>
          <w:tcPr>
            <w:tcW w:w="2325" w:type="pct"/>
          </w:tcPr>
          <w:p w14:paraId="4E5CAA5E" w14:textId="77777777" w:rsidR="00B6151A" w:rsidRPr="00BD7E1D" w:rsidRDefault="00B6151A" w:rsidP="007148F6">
            <w:pPr>
              <w:keepNext/>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33B43D8B" w14:textId="77777777" w:rsidTr="002C366E">
        <w:trPr>
          <w:cantSplit/>
        </w:trPr>
        <w:tc>
          <w:tcPr>
            <w:tcW w:w="308" w:type="pct"/>
          </w:tcPr>
          <w:p w14:paraId="3B7F3426"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54</w:t>
            </w:r>
          </w:p>
        </w:tc>
        <w:tc>
          <w:tcPr>
            <w:tcW w:w="2325"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525"/>
              <w:gridCol w:w="6587"/>
            </w:tblGrid>
            <w:tr w:rsidR="00B6151A" w:rsidRPr="00BD7E1D" w14:paraId="09E7558E" w14:textId="77777777" w:rsidTr="00776AAC">
              <w:trPr>
                <w:cantSplit/>
              </w:trPr>
              <w:tc>
                <w:tcPr>
                  <w:tcW w:w="1525" w:type="dxa"/>
                  <w:shd w:val="clear" w:color="auto" w:fill="FFFFFF" w:themeFill="background1"/>
                </w:tcPr>
                <w:p w14:paraId="1A00703F" w14:textId="77777777" w:rsidR="00B6151A" w:rsidRPr="00BD7E1D" w:rsidRDefault="00B6151A" w:rsidP="002C366E">
                  <w:pPr>
                    <w:spacing w:before="60" w:after="60"/>
                    <w:jc w:val="right"/>
                    <w:rPr>
                      <w:rFonts w:ascii="Arial" w:hAnsi="Arial" w:cs="Arial"/>
                      <w:sz w:val="22"/>
                      <w:szCs w:val="22"/>
                    </w:rPr>
                  </w:pPr>
                  <w:r w:rsidRPr="00BD7E1D">
                    <w:rPr>
                      <w:rFonts w:ascii="Arial" w:hAnsi="Arial"/>
                      <w:sz w:val="22"/>
                    </w:rPr>
                    <w:t>Phase 1 :</w:t>
                  </w:r>
                </w:p>
              </w:tc>
              <w:tc>
                <w:tcPr>
                  <w:tcW w:w="6587" w:type="dxa"/>
                  <w:shd w:val="clear" w:color="auto" w:fill="FFFFFF" w:themeFill="background1"/>
                </w:tcPr>
                <w:p w14:paraId="1DDEDD95" w14:textId="77777777" w:rsidR="00B6151A" w:rsidRPr="00BD7E1D" w:rsidRDefault="00B6151A" w:rsidP="002C366E">
                  <w:pPr>
                    <w:spacing w:before="60" w:after="60"/>
                    <w:jc w:val="both"/>
                    <w:rPr>
                      <w:rFonts w:ascii="Arial" w:hAnsi="Arial" w:cs="Arial"/>
                      <w:sz w:val="22"/>
                      <w:szCs w:val="22"/>
                    </w:rPr>
                  </w:pPr>
                  <w:r w:rsidRPr="00BD7E1D">
                    <w:rPr>
                      <w:rFonts w:ascii="Arial" w:hAnsi="Arial"/>
                      <w:sz w:val="22"/>
                    </w:rPr>
                    <w:t xml:space="preserve">Aucun </w:t>
                  </w:r>
                  <w:r>
                    <w:rPr>
                      <w:rFonts w:ascii="Arial" w:hAnsi="Arial"/>
                      <w:sz w:val="22"/>
                    </w:rPr>
                    <w:t>changement.</w:t>
                  </w:r>
                </w:p>
              </w:tc>
            </w:tr>
            <w:tr w:rsidR="00B6151A" w:rsidRPr="00BD7E1D" w14:paraId="65F300BE" w14:textId="77777777" w:rsidTr="00776AAC">
              <w:trPr>
                <w:cantSplit/>
              </w:trPr>
              <w:tc>
                <w:tcPr>
                  <w:tcW w:w="1525" w:type="dxa"/>
                  <w:shd w:val="clear" w:color="auto" w:fill="FFFFFF" w:themeFill="background1"/>
                </w:tcPr>
                <w:p w14:paraId="0AC9D373" w14:textId="77777777" w:rsidR="00B6151A" w:rsidRPr="00BD7E1D" w:rsidRDefault="00B6151A" w:rsidP="002C366E">
                  <w:pPr>
                    <w:spacing w:before="60" w:after="60"/>
                    <w:jc w:val="right"/>
                    <w:rPr>
                      <w:rFonts w:ascii="Arial" w:hAnsi="Arial" w:cs="Arial"/>
                      <w:sz w:val="22"/>
                      <w:szCs w:val="22"/>
                    </w:rPr>
                  </w:pPr>
                  <w:r w:rsidRPr="00BD7E1D">
                    <w:rPr>
                      <w:rFonts w:ascii="Arial" w:hAnsi="Arial"/>
                      <w:sz w:val="22"/>
                    </w:rPr>
                    <w:t>31 mars</w:t>
                  </w:r>
                </w:p>
                <w:p w14:paraId="7BC1925A" w14:textId="77777777" w:rsidR="00B6151A" w:rsidRPr="00BD7E1D" w:rsidRDefault="00B6151A" w:rsidP="002C366E">
                  <w:pPr>
                    <w:spacing w:before="60" w:after="60"/>
                    <w:jc w:val="right"/>
                    <w:rPr>
                      <w:rFonts w:ascii="Arial" w:hAnsi="Arial" w:cs="Arial"/>
                      <w:sz w:val="22"/>
                      <w:szCs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0</w:t>
                  </w:r>
                </w:p>
              </w:tc>
              <w:tc>
                <w:tcPr>
                  <w:tcW w:w="6587" w:type="dxa"/>
                  <w:shd w:val="clear" w:color="auto" w:fill="FFFFFF" w:themeFill="background1"/>
                </w:tcPr>
                <w:p w14:paraId="4C189402" w14:textId="77777777" w:rsidR="00B6151A" w:rsidRPr="00BD7E1D" w:rsidRDefault="00B6151A" w:rsidP="002C366E">
                  <w:pPr>
                    <w:spacing w:before="60" w:after="60"/>
                    <w:jc w:val="both"/>
                    <w:rPr>
                      <w:rFonts w:ascii="Arial" w:hAnsi="Arial" w:cs="Arial"/>
                      <w:sz w:val="22"/>
                      <w:szCs w:val="22"/>
                    </w:rPr>
                  </w:pPr>
                  <w:r w:rsidRPr="00BD7E1D">
                    <w:rPr>
                      <w:rFonts w:ascii="Arial" w:hAnsi="Arial"/>
                      <w:sz w:val="22"/>
                    </w:rPr>
                    <w:t xml:space="preserve">Aucun </w:t>
                  </w:r>
                  <w:r>
                    <w:rPr>
                      <w:rFonts w:ascii="Arial" w:hAnsi="Arial"/>
                      <w:sz w:val="22"/>
                    </w:rPr>
                    <w:t>changement.</w:t>
                  </w:r>
                </w:p>
              </w:tc>
            </w:tr>
            <w:tr w:rsidR="00B6151A" w:rsidRPr="00BD7E1D" w14:paraId="749F2B4C" w14:textId="77777777" w:rsidTr="00776AAC">
              <w:trPr>
                <w:cantSplit/>
              </w:trPr>
              <w:tc>
                <w:tcPr>
                  <w:tcW w:w="1525" w:type="dxa"/>
                  <w:shd w:val="clear" w:color="auto" w:fill="FFFFFF" w:themeFill="background1"/>
                </w:tcPr>
                <w:p w14:paraId="36706811" w14:textId="77777777" w:rsidR="00B6151A" w:rsidRPr="00BD7E1D" w:rsidRDefault="00B6151A" w:rsidP="002C366E">
                  <w:pPr>
                    <w:spacing w:before="60" w:after="60"/>
                    <w:jc w:val="right"/>
                    <w:rPr>
                      <w:rFonts w:ascii="Arial" w:hAnsi="Arial" w:cs="Arial"/>
                      <w:strike/>
                      <w:sz w:val="22"/>
                      <w:szCs w:val="22"/>
                    </w:rPr>
                  </w:pPr>
                  <w:r w:rsidRPr="00BD7E1D">
                    <w:rPr>
                      <w:rFonts w:ascii="Arial" w:hAnsi="Arial"/>
                      <w:strike/>
                      <w:sz w:val="22"/>
                    </w:rPr>
                    <w:t>15 décembre</w:t>
                  </w:r>
                </w:p>
                <w:p w14:paraId="1155355C" w14:textId="77777777" w:rsidR="00B6151A" w:rsidRPr="00BD7E1D" w:rsidRDefault="00B6151A" w:rsidP="002C366E">
                  <w:pPr>
                    <w:spacing w:before="60" w:after="60"/>
                    <w:jc w:val="right"/>
                    <w:rPr>
                      <w:rFonts w:ascii="Arial" w:hAnsi="Arial" w:cs="Arial"/>
                      <w:sz w:val="22"/>
                      <w:szCs w:val="22"/>
                    </w:rPr>
                  </w:pPr>
                  <w:r w:rsidRPr="00BD7E1D">
                    <w:rPr>
                      <w:rFonts w:ascii="Arial" w:hAnsi="Arial"/>
                      <w:strike/>
                      <w:sz w:val="22"/>
                    </w:rPr>
                    <w:t>Année 0</w:t>
                  </w:r>
                </w:p>
              </w:tc>
              <w:tc>
                <w:tcPr>
                  <w:tcW w:w="6587" w:type="dxa"/>
                  <w:shd w:val="clear" w:color="auto" w:fill="FFFFFF" w:themeFill="background1"/>
                </w:tcPr>
                <w:p w14:paraId="0CECD474" w14:textId="77777777" w:rsidR="00B6151A" w:rsidRPr="00BD7E1D" w:rsidRDefault="00B6151A" w:rsidP="002C366E">
                  <w:pPr>
                    <w:spacing w:before="60" w:after="60"/>
                    <w:jc w:val="both"/>
                    <w:rPr>
                      <w:rFonts w:ascii="Arial" w:hAnsi="Arial" w:cs="Arial"/>
                      <w:strike/>
                      <w:sz w:val="22"/>
                      <w:szCs w:val="22"/>
                    </w:rPr>
                  </w:pPr>
                  <w:r w:rsidRPr="00BD7E1D">
                    <w:rPr>
                      <w:rFonts w:ascii="Arial" w:hAnsi="Arial"/>
                      <w:strike/>
                      <w:sz w:val="22"/>
                    </w:rPr>
                    <w:t xml:space="preserve">Date limite pour la soumission des demandes de transfert de la Liste du patrimoine culturel immatériel nécessitant une sauvegarde urgente </w:t>
                  </w:r>
                  <w:r>
                    <w:rPr>
                      <w:rFonts w:ascii="Arial" w:hAnsi="Arial"/>
                      <w:strike/>
                      <w:sz w:val="22"/>
                    </w:rPr>
                    <w:t>à</w:t>
                  </w:r>
                  <w:r w:rsidRPr="00BD7E1D">
                    <w:rPr>
                      <w:rFonts w:ascii="Arial" w:hAnsi="Arial"/>
                      <w:strike/>
                      <w:sz w:val="22"/>
                    </w:rPr>
                    <w:t xml:space="preserve"> la Liste représentative du patrimoine culturel immatériel de l</w:t>
                  </w:r>
                  <w:r>
                    <w:rPr>
                      <w:rFonts w:ascii="Arial" w:hAnsi="Arial"/>
                      <w:strike/>
                      <w:sz w:val="22"/>
                    </w:rPr>
                    <w:t>’</w:t>
                  </w:r>
                  <w:r w:rsidRPr="00BD7E1D">
                    <w:rPr>
                      <w:rFonts w:ascii="Arial" w:hAnsi="Arial"/>
                      <w:strike/>
                      <w:sz w:val="22"/>
                    </w:rPr>
                    <w:t>humanité.</w:t>
                  </w:r>
                </w:p>
              </w:tc>
            </w:tr>
            <w:tr w:rsidR="00B6151A" w:rsidRPr="00BD7E1D" w14:paraId="251A298E" w14:textId="77777777" w:rsidTr="00776AAC">
              <w:trPr>
                <w:cantSplit/>
              </w:trPr>
              <w:tc>
                <w:tcPr>
                  <w:tcW w:w="1525" w:type="dxa"/>
                  <w:shd w:val="clear" w:color="auto" w:fill="FFFFFF" w:themeFill="background1"/>
                </w:tcPr>
                <w:p w14:paraId="194CF58D" w14:textId="77777777" w:rsidR="00B6151A" w:rsidRPr="00BD7E1D" w:rsidRDefault="00B6151A" w:rsidP="002C366E">
                  <w:pPr>
                    <w:spacing w:before="60" w:after="60"/>
                    <w:jc w:val="right"/>
                    <w:rPr>
                      <w:rFonts w:ascii="Arial" w:hAnsi="Arial" w:cs="Arial"/>
                      <w:sz w:val="22"/>
                      <w:szCs w:val="22"/>
                    </w:rPr>
                  </w:pPr>
                  <w:r w:rsidRPr="00BD7E1D">
                    <w:rPr>
                      <w:rFonts w:ascii="Arial" w:hAnsi="Arial"/>
                      <w:sz w:val="22"/>
                    </w:rPr>
                    <w:t>31 mars</w:t>
                  </w:r>
                </w:p>
                <w:p w14:paraId="3874EE47" w14:textId="77777777" w:rsidR="00B6151A" w:rsidRPr="00BD7E1D" w:rsidRDefault="00B6151A" w:rsidP="002C366E">
                  <w:pPr>
                    <w:spacing w:before="60" w:after="60"/>
                    <w:jc w:val="right"/>
                    <w:rPr>
                      <w:rFonts w:ascii="Arial" w:hAnsi="Arial" w:cs="Arial"/>
                      <w:sz w:val="22"/>
                      <w:szCs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1</w:t>
                  </w:r>
                </w:p>
              </w:tc>
              <w:tc>
                <w:tcPr>
                  <w:tcW w:w="6587" w:type="dxa"/>
                  <w:shd w:val="clear" w:color="auto" w:fill="FFFFFF" w:themeFill="background1"/>
                </w:tcPr>
                <w:p w14:paraId="78E5DB47" w14:textId="77777777" w:rsidR="00B6151A" w:rsidRPr="00BD7E1D" w:rsidRDefault="00B6151A" w:rsidP="002C366E">
                  <w:pPr>
                    <w:spacing w:before="60" w:after="60"/>
                    <w:jc w:val="both"/>
                    <w:rPr>
                      <w:rFonts w:ascii="Arial" w:hAnsi="Arial" w:cs="Arial"/>
                      <w:sz w:val="22"/>
                      <w:szCs w:val="22"/>
                    </w:rPr>
                  </w:pPr>
                  <w:r>
                    <w:rPr>
                      <w:rFonts w:ascii="Arial" w:hAnsi="Arial"/>
                      <w:sz w:val="22"/>
                    </w:rPr>
                    <w:t xml:space="preserve">Aucun changement. </w:t>
                  </w:r>
                </w:p>
              </w:tc>
            </w:tr>
            <w:tr w:rsidR="00B6151A" w:rsidRPr="00BD7E1D" w14:paraId="7CBED996" w14:textId="77777777" w:rsidTr="00776AAC">
              <w:trPr>
                <w:cantSplit/>
              </w:trPr>
              <w:tc>
                <w:tcPr>
                  <w:tcW w:w="1525" w:type="dxa"/>
                  <w:shd w:val="clear" w:color="auto" w:fill="FFFFFF" w:themeFill="background1"/>
                </w:tcPr>
                <w:p w14:paraId="77B902AD" w14:textId="77777777" w:rsidR="00B6151A" w:rsidRPr="00BD7E1D" w:rsidRDefault="00B6151A" w:rsidP="002C366E">
                  <w:pPr>
                    <w:spacing w:before="60" w:after="60"/>
                    <w:jc w:val="right"/>
                    <w:rPr>
                      <w:rFonts w:ascii="Arial" w:hAnsi="Arial" w:cs="Arial"/>
                      <w:sz w:val="22"/>
                      <w:szCs w:val="22"/>
                    </w:rPr>
                  </w:pPr>
                  <w:r w:rsidRPr="00BD7E1D">
                    <w:rPr>
                      <w:rFonts w:ascii="Arial" w:hAnsi="Arial"/>
                      <w:sz w:val="22"/>
                    </w:rPr>
                    <w:t>30 juin</w:t>
                  </w:r>
                </w:p>
                <w:p w14:paraId="0FA89BBD" w14:textId="77777777" w:rsidR="00B6151A" w:rsidRPr="00BD7E1D" w:rsidRDefault="00B6151A" w:rsidP="002C366E">
                  <w:pPr>
                    <w:spacing w:before="60" w:after="60"/>
                    <w:jc w:val="right"/>
                    <w:rPr>
                      <w:rFonts w:ascii="Arial" w:hAnsi="Arial"/>
                      <w:sz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1</w:t>
                  </w:r>
                </w:p>
              </w:tc>
              <w:tc>
                <w:tcPr>
                  <w:tcW w:w="6587" w:type="dxa"/>
                  <w:shd w:val="clear" w:color="auto" w:fill="FFFFFF" w:themeFill="background1"/>
                </w:tcPr>
                <w:p w14:paraId="526B62EC" w14:textId="77777777" w:rsidR="00B6151A" w:rsidRDefault="00B6151A" w:rsidP="002C366E">
                  <w:pPr>
                    <w:spacing w:before="60" w:after="60"/>
                    <w:jc w:val="both"/>
                    <w:rPr>
                      <w:rFonts w:ascii="Arial" w:hAnsi="Arial"/>
                      <w:sz w:val="22"/>
                    </w:rPr>
                  </w:pPr>
                  <w:r w:rsidRPr="00BD7E1D">
                    <w:rPr>
                      <w:rFonts w:ascii="Arial" w:hAnsi="Arial"/>
                      <w:b/>
                      <w:sz w:val="22"/>
                      <w:u w:val="single"/>
                    </w:rPr>
                    <w:t xml:space="preserve">Date limite pour la soumission des demandes de transfert de la Liste du patrimoine culturel immatériel nécessitant une sauvegarde urgente </w:t>
                  </w:r>
                  <w:r>
                    <w:rPr>
                      <w:rFonts w:ascii="Arial" w:hAnsi="Arial"/>
                      <w:b/>
                      <w:sz w:val="22"/>
                      <w:u w:val="single"/>
                    </w:rPr>
                    <w:t>à</w:t>
                  </w:r>
                  <w:r w:rsidRPr="00BD7E1D">
                    <w:rPr>
                      <w:rFonts w:ascii="Arial" w:hAnsi="Arial"/>
                      <w:b/>
                      <w:sz w:val="22"/>
                      <w:u w:val="single"/>
                    </w:rPr>
                    <w:t xml:space="preserve"> la Liste représentative du patrimoine culturel immatériel de l</w:t>
                  </w:r>
                  <w:r>
                    <w:rPr>
                      <w:rFonts w:ascii="Arial" w:hAnsi="Arial"/>
                      <w:b/>
                      <w:sz w:val="22"/>
                      <w:u w:val="single"/>
                    </w:rPr>
                    <w:t>’</w:t>
                  </w:r>
                  <w:r w:rsidRPr="00BD7E1D">
                    <w:rPr>
                      <w:rFonts w:ascii="Arial" w:hAnsi="Arial"/>
                      <w:b/>
                      <w:sz w:val="22"/>
                      <w:u w:val="single"/>
                    </w:rPr>
                    <w:t>humanité.</w:t>
                  </w:r>
                </w:p>
              </w:tc>
            </w:tr>
            <w:tr w:rsidR="00B6151A" w:rsidRPr="00BD7E1D" w14:paraId="06E0354A" w14:textId="77777777" w:rsidTr="00776AAC">
              <w:trPr>
                <w:cantSplit/>
              </w:trPr>
              <w:tc>
                <w:tcPr>
                  <w:tcW w:w="1525" w:type="dxa"/>
                  <w:shd w:val="clear" w:color="auto" w:fill="D9D9D9" w:themeFill="background1" w:themeFillShade="D9"/>
                </w:tcPr>
                <w:p w14:paraId="40AE583D" w14:textId="77777777" w:rsidR="00B6151A" w:rsidRPr="00087F9F" w:rsidRDefault="00B6151A" w:rsidP="002C366E">
                  <w:pPr>
                    <w:spacing w:before="60" w:after="60"/>
                    <w:jc w:val="right"/>
                    <w:rPr>
                      <w:rFonts w:ascii="Arial" w:hAnsi="Arial" w:cs="Arial"/>
                      <w:strike/>
                      <w:sz w:val="22"/>
                      <w:szCs w:val="22"/>
                    </w:rPr>
                  </w:pPr>
                  <w:r w:rsidRPr="00087F9F">
                    <w:rPr>
                      <w:rFonts w:ascii="Arial" w:hAnsi="Arial"/>
                      <w:strike/>
                      <w:sz w:val="22"/>
                    </w:rPr>
                    <w:t>30 juin</w:t>
                  </w:r>
                </w:p>
                <w:p w14:paraId="7B7BE2AA" w14:textId="77777777" w:rsidR="00B6151A" w:rsidRDefault="00B6151A" w:rsidP="002C366E">
                  <w:pPr>
                    <w:spacing w:before="60" w:after="60"/>
                    <w:jc w:val="right"/>
                    <w:rPr>
                      <w:rFonts w:ascii="Arial" w:hAnsi="Arial"/>
                      <w:sz w:val="22"/>
                    </w:rPr>
                  </w:pPr>
                  <w:r w:rsidRPr="00087F9F">
                    <w:rPr>
                      <w:rFonts w:ascii="Arial" w:hAnsi="Arial"/>
                      <w:b/>
                      <w:bCs/>
                      <w:sz w:val="22"/>
                      <w:u w:val="single"/>
                    </w:rPr>
                    <w:t>31 août</w:t>
                  </w:r>
                </w:p>
                <w:p w14:paraId="5AB39109" w14:textId="77777777" w:rsidR="00B6151A" w:rsidRPr="00BD7E1D" w:rsidRDefault="00B6151A" w:rsidP="002C366E">
                  <w:pPr>
                    <w:spacing w:before="60" w:after="60"/>
                    <w:jc w:val="right"/>
                    <w:rPr>
                      <w:rFonts w:ascii="Arial" w:hAnsi="Arial" w:cs="Arial"/>
                      <w:sz w:val="22"/>
                      <w:szCs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1</w:t>
                  </w:r>
                </w:p>
              </w:tc>
              <w:tc>
                <w:tcPr>
                  <w:tcW w:w="6587" w:type="dxa"/>
                  <w:shd w:val="clear" w:color="auto" w:fill="D9D9D9" w:themeFill="background1" w:themeFillShade="D9"/>
                </w:tcPr>
                <w:p w14:paraId="35CFFB15" w14:textId="77777777" w:rsidR="00B6151A" w:rsidRPr="00BD7E1D" w:rsidRDefault="00B6151A" w:rsidP="002C366E">
                  <w:pPr>
                    <w:spacing w:before="60" w:after="60"/>
                    <w:jc w:val="both"/>
                    <w:rPr>
                      <w:rFonts w:ascii="Arial" w:hAnsi="Arial" w:cs="Arial"/>
                      <w:sz w:val="22"/>
                      <w:szCs w:val="22"/>
                    </w:rPr>
                  </w:pPr>
                  <w:r w:rsidRPr="00BD7E1D">
                    <w:rPr>
                      <w:rFonts w:ascii="Arial" w:hAnsi="Arial"/>
                      <w:sz w:val="22"/>
                    </w:rPr>
                    <w:t xml:space="preserve">Date limite à laquelle le Secrétariat </w:t>
                  </w:r>
                  <w:r>
                    <w:rPr>
                      <w:rFonts w:ascii="Arial" w:hAnsi="Arial"/>
                      <w:sz w:val="22"/>
                    </w:rPr>
                    <w:t>doit avoir</w:t>
                  </w:r>
                  <w:r w:rsidRPr="00BD7E1D">
                    <w:rPr>
                      <w:rFonts w:ascii="Arial" w:hAnsi="Arial"/>
                      <w:sz w:val="22"/>
                    </w:rPr>
                    <w:t xml:space="preserve"> traité les dossiers, y compris l</w:t>
                  </w:r>
                  <w:r>
                    <w:rPr>
                      <w:rFonts w:ascii="Arial" w:hAnsi="Arial"/>
                      <w:sz w:val="22"/>
                    </w:rPr>
                    <w:t>’</w:t>
                  </w:r>
                  <w:r w:rsidRPr="00BD7E1D">
                    <w:rPr>
                      <w:rFonts w:ascii="Arial" w:hAnsi="Arial"/>
                      <w:sz w:val="22"/>
                    </w:rPr>
                    <w:t>enregistrement et l</w:t>
                  </w:r>
                  <w:r>
                    <w:rPr>
                      <w:rFonts w:ascii="Arial" w:hAnsi="Arial"/>
                      <w:sz w:val="22"/>
                    </w:rPr>
                    <w:t>’</w:t>
                  </w:r>
                  <w:r w:rsidRPr="00BD7E1D">
                    <w:rPr>
                      <w:rFonts w:ascii="Arial" w:hAnsi="Arial"/>
                      <w:sz w:val="22"/>
                    </w:rPr>
                    <w:t>accusé de réception. Si un dossier est incomplet, l</w:t>
                  </w:r>
                  <w:r>
                    <w:rPr>
                      <w:rFonts w:ascii="Arial" w:hAnsi="Arial"/>
                      <w:sz w:val="22"/>
                    </w:rPr>
                    <w:t>’</w:t>
                  </w:r>
                  <w:r w:rsidRPr="00BD7E1D">
                    <w:rPr>
                      <w:rFonts w:ascii="Arial" w:hAnsi="Arial"/>
                      <w:sz w:val="22"/>
                    </w:rPr>
                    <w:t>État partie est invité à le compléter.</w:t>
                  </w:r>
                </w:p>
              </w:tc>
            </w:tr>
            <w:tr w:rsidR="00B6151A" w:rsidRPr="00BD7E1D" w14:paraId="26F3C275" w14:textId="77777777" w:rsidTr="00776AAC">
              <w:trPr>
                <w:cantSplit/>
              </w:trPr>
              <w:tc>
                <w:tcPr>
                  <w:tcW w:w="1525" w:type="dxa"/>
                  <w:shd w:val="clear" w:color="auto" w:fill="D9D9D9" w:themeFill="background1" w:themeFillShade="D9"/>
                </w:tcPr>
                <w:p w14:paraId="6269177F" w14:textId="77777777" w:rsidR="00B6151A" w:rsidRPr="00BD7E1D" w:rsidRDefault="00B6151A" w:rsidP="002C366E">
                  <w:pPr>
                    <w:spacing w:before="60" w:after="60"/>
                    <w:jc w:val="right"/>
                    <w:rPr>
                      <w:rFonts w:ascii="Arial" w:hAnsi="Arial" w:cs="Arial"/>
                      <w:sz w:val="22"/>
                      <w:szCs w:val="22"/>
                    </w:rPr>
                  </w:pPr>
                  <w:r w:rsidRPr="00087F9F">
                    <w:rPr>
                      <w:rFonts w:ascii="Arial" w:hAnsi="Arial"/>
                      <w:strike/>
                      <w:sz w:val="22"/>
                    </w:rPr>
                    <w:t>30</w:t>
                  </w:r>
                  <w:r w:rsidRPr="00BD7E1D">
                    <w:rPr>
                      <w:rFonts w:ascii="Arial" w:hAnsi="Arial"/>
                      <w:sz w:val="22"/>
                    </w:rPr>
                    <w:t xml:space="preserve"> </w:t>
                  </w:r>
                  <w:r w:rsidRPr="00087F9F">
                    <w:rPr>
                      <w:rFonts w:ascii="Arial" w:hAnsi="Arial"/>
                      <w:strike/>
                      <w:sz w:val="22"/>
                    </w:rPr>
                    <w:t>septembre</w:t>
                  </w:r>
                </w:p>
                <w:p w14:paraId="74B74524" w14:textId="77777777" w:rsidR="00B6151A" w:rsidRPr="00087F9F" w:rsidRDefault="00B6151A" w:rsidP="002C366E">
                  <w:pPr>
                    <w:spacing w:before="60" w:after="60"/>
                    <w:jc w:val="right"/>
                    <w:rPr>
                      <w:rFonts w:ascii="Arial" w:hAnsi="Arial"/>
                      <w:b/>
                      <w:bCs/>
                      <w:sz w:val="22"/>
                      <w:u w:val="single"/>
                    </w:rPr>
                  </w:pPr>
                  <w:r w:rsidRPr="00087F9F">
                    <w:rPr>
                      <w:rFonts w:ascii="Arial" w:hAnsi="Arial"/>
                      <w:b/>
                      <w:bCs/>
                      <w:sz w:val="22"/>
                      <w:u w:val="single"/>
                    </w:rPr>
                    <w:t>30 novembre</w:t>
                  </w:r>
                </w:p>
                <w:p w14:paraId="35E46666" w14:textId="77777777" w:rsidR="00B6151A" w:rsidRPr="00BD7E1D" w:rsidRDefault="00B6151A" w:rsidP="002C366E">
                  <w:pPr>
                    <w:spacing w:before="60" w:after="60"/>
                    <w:jc w:val="right"/>
                    <w:rPr>
                      <w:rFonts w:ascii="Arial" w:hAnsi="Arial" w:cs="Arial"/>
                      <w:sz w:val="22"/>
                      <w:szCs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1</w:t>
                  </w:r>
                </w:p>
              </w:tc>
              <w:tc>
                <w:tcPr>
                  <w:tcW w:w="6587" w:type="dxa"/>
                  <w:shd w:val="clear" w:color="auto" w:fill="D9D9D9" w:themeFill="background1" w:themeFillShade="D9"/>
                </w:tcPr>
                <w:p w14:paraId="16391553" w14:textId="77777777" w:rsidR="00B6151A" w:rsidRPr="00BD7E1D" w:rsidRDefault="00B6151A" w:rsidP="002C366E">
                  <w:pPr>
                    <w:spacing w:before="60" w:after="60"/>
                    <w:jc w:val="both"/>
                    <w:rPr>
                      <w:rFonts w:ascii="Arial" w:hAnsi="Arial" w:cs="Arial"/>
                      <w:sz w:val="22"/>
                      <w:szCs w:val="22"/>
                    </w:rPr>
                  </w:pPr>
                  <w:r w:rsidRPr="00BD7E1D">
                    <w:rPr>
                      <w:rFonts w:ascii="Arial" w:hAnsi="Arial"/>
                      <w:sz w:val="22"/>
                    </w:rPr>
                    <w:t xml:space="preserve">Date limite à laquelle les informations manquantes </w:t>
                  </w:r>
                  <w:r>
                    <w:rPr>
                      <w:rFonts w:ascii="Arial" w:hAnsi="Arial"/>
                      <w:sz w:val="22"/>
                    </w:rPr>
                    <w:t>requises</w:t>
                  </w:r>
                  <w:r w:rsidRPr="00BD7E1D">
                    <w:rPr>
                      <w:rFonts w:ascii="Arial" w:hAnsi="Arial"/>
                      <w:sz w:val="22"/>
                    </w:rPr>
                    <w:t xml:space="preserve"> pour compléter le dossier, </w:t>
                  </w:r>
                  <w:r>
                    <w:rPr>
                      <w:rFonts w:ascii="Arial" w:hAnsi="Arial"/>
                      <w:sz w:val="22"/>
                    </w:rPr>
                    <w:t>si nécessaire</w:t>
                  </w:r>
                  <w:r w:rsidRPr="00BD7E1D">
                    <w:rPr>
                      <w:rFonts w:ascii="Arial" w:hAnsi="Arial"/>
                      <w:sz w:val="22"/>
                    </w:rPr>
                    <w:t>, doivent être soumises par l</w:t>
                  </w:r>
                  <w:r>
                    <w:rPr>
                      <w:rFonts w:ascii="Arial" w:hAnsi="Arial"/>
                      <w:sz w:val="22"/>
                    </w:rPr>
                    <w:t>’</w:t>
                  </w:r>
                  <w:r w:rsidRPr="00BD7E1D">
                    <w:rPr>
                      <w:rFonts w:ascii="Arial" w:hAnsi="Arial"/>
                      <w:sz w:val="22"/>
                    </w:rPr>
                    <w:t xml:space="preserve">État partie au Secrétariat. Les dossiers </w:t>
                  </w:r>
                  <w:r>
                    <w:rPr>
                      <w:rFonts w:ascii="Arial" w:hAnsi="Arial"/>
                      <w:sz w:val="22"/>
                    </w:rPr>
                    <w:t xml:space="preserve">restés </w:t>
                  </w:r>
                  <w:r w:rsidRPr="00BD7E1D">
                    <w:rPr>
                      <w:rFonts w:ascii="Arial" w:hAnsi="Arial"/>
                      <w:sz w:val="22"/>
                    </w:rPr>
                    <w:t xml:space="preserve">incomplets sont </w:t>
                  </w:r>
                  <w:r>
                    <w:rPr>
                      <w:rFonts w:ascii="Arial" w:hAnsi="Arial"/>
                      <w:sz w:val="22"/>
                    </w:rPr>
                    <w:t>retournés</w:t>
                  </w:r>
                  <w:r w:rsidRPr="00BD7E1D">
                    <w:rPr>
                      <w:rFonts w:ascii="Arial" w:hAnsi="Arial"/>
                      <w:sz w:val="22"/>
                    </w:rPr>
                    <w:t xml:space="preserve"> aux États parties qui peuvent les compléter pour un </w:t>
                  </w:r>
                  <w:r>
                    <w:rPr>
                      <w:rFonts w:ascii="Arial" w:hAnsi="Arial"/>
                      <w:sz w:val="22"/>
                    </w:rPr>
                    <w:t xml:space="preserve">prochain </w:t>
                  </w:r>
                  <w:r w:rsidRPr="00BD7E1D">
                    <w:rPr>
                      <w:rFonts w:ascii="Arial" w:hAnsi="Arial"/>
                      <w:sz w:val="22"/>
                    </w:rPr>
                    <w:t xml:space="preserve">cycle. </w:t>
                  </w:r>
                  <w:r>
                    <w:rPr>
                      <w:rFonts w:ascii="Arial" w:hAnsi="Arial"/>
                      <w:sz w:val="22"/>
                    </w:rPr>
                    <w:t>L</w:t>
                  </w:r>
                  <w:r w:rsidRPr="00BD7E1D">
                    <w:rPr>
                      <w:rFonts w:ascii="Arial" w:hAnsi="Arial"/>
                      <w:sz w:val="22"/>
                    </w:rPr>
                    <w:t xml:space="preserve">es dossiers révisés par les États soumissionnaires </w:t>
                  </w:r>
                  <w:r>
                    <w:rPr>
                      <w:rFonts w:ascii="Arial" w:hAnsi="Arial"/>
                      <w:sz w:val="22"/>
                    </w:rPr>
                    <w:t xml:space="preserve">et transmis </w:t>
                  </w:r>
                  <w:r w:rsidRPr="00BD7E1D">
                    <w:rPr>
                      <w:rFonts w:ascii="Arial" w:hAnsi="Arial"/>
                      <w:sz w:val="22"/>
                    </w:rPr>
                    <w:t xml:space="preserve">au Secrétariat </w:t>
                  </w:r>
                  <w:proofErr w:type="gramStart"/>
                  <w:r w:rsidRPr="00BD7E1D">
                    <w:rPr>
                      <w:rFonts w:ascii="Arial" w:hAnsi="Arial"/>
                      <w:sz w:val="22"/>
                    </w:rPr>
                    <w:t>suite à</w:t>
                  </w:r>
                  <w:proofErr w:type="gramEnd"/>
                  <w:r w:rsidRPr="00BD7E1D">
                    <w:rPr>
                      <w:rFonts w:ascii="Arial" w:hAnsi="Arial"/>
                      <w:sz w:val="22"/>
                    </w:rPr>
                    <w:t xml:space="preserve"> ses demandes d</w:t>
                  </w:r>
                  <w:r>
                    <w:rPr>
                      <w:rFonts w:ascii="Arial" w:hAnsi="Arial"/>
                      <w:sz w:val="22"/>
                    </w:rPr>
                    <w:t>’</w:t>
                  </w:r>
                  <w:r w:rsidRPr="00BD7E1D">
                    <w:rPr>
                      <w:rFonts w:ascii="Arial" w:hAnsi="Arial"/>
                      <w:sz w:val="22"/>
                    </w:rPr>
                    <w:t xml:space="preserve">informations complémentaires, sont </w:t>
                  </w:r>
                  <w:r>
                    <w:rPr>
                      <w:rFonts w:ascii="Arial" w:hAnsi="Arial"/>
                      <w:sz w:val="22"/>
                    </w:rPr>
                    <w:t>publiés sur le site</w:t>
                  </w:r>
                  <w:r w:rsidRPr="00BD7E1D">
                    <w:rPr>
                      <w:rFonts w:ascii="Arial" w:hAnsi="Arial"/>
                      <w:sz w:val="22"/>
                    </w:rPr>
                    <w:t xml:space="preserve"> et remplacent les dossiers </w:t>
                  </w:r>
                  <w:r>
                    <w:rPr>
                      <w:rFonts w:ascii="Arial" w:hAnsi="Arial"/>
                      <w:sz w:val="22"/>
                    </w:rPr>
                    <w:t>initialement</w:t>
                  </w:r>
                  <w:r w:rsidRPr="00BD7E1D">
                    <w:rPr>
                      <w:rFonts w:ascii="Arial" w:hAnsi="Arial"/>
                      <w:sz w:val="22"/>
                    </w:rPr>
                    <w:t xml:space="preserve"> reçus. Leurs traductions en anglais ou en français sont également </w:t>
                  </w:r>
                  <w:r>
                    <w:rPr>
                      <w:rFonts w:ascii="Arial" w:hAnsi="Arial"/>
                      <w:sz w:val="22"/>
                    </w:rPr>
                    <w:t>publiées sur le site dès qu’elles sont disponibles</w:t>
                  </w:r>
                  <w:r w:rsidRPr="00BD7E1D">
                    <w:rPr>
                      <w:rFonts w:ascii="Arial" w:hAnsi="Arial"/>
                      <w:sz w:val="22"/>
                    </w:rPr>
                    <w:t>.</w:t>
                  </w:r>
                </w:p>
              </w:tc>
            </w:tr>
            <w:tr w:rsidR="00B6151A" w:rsidRPr="00BD7E1D" w14:paraId="0BAF477E" w14:textId="77777777" w:rsidTr="00776AAC">
              <w:trPr>
                <w:cantSplit/>
              </w:trPr>
              <w:tc>
                <w:tcPr>
                  <w:tcW w:w="1525" w:type="dxa"/>
                  <w:shd w:val="clear" w:color="auto" w:fill="FFFFFF" w:themeFill="background1"/>
                </w:tcPr>
                <w:p w14:paraId="7077C9E8" w14:textId="77777777" w:rsidR="00B6151A" w:rsidRPr="00BD7E1D" w:rsidRDefault="00B6151A" w:rsidP="002C366E">
                  <w:pPr>
                    <w:spacing w:before="60" w:after="60"/>
                    <w:jc w:val="right"/>
                    <w:rPr>
                      <w:rFonts w:ascii="Arial" w:hAnsi="Arial" w:cs="Arial"/>
                      <w:sz w:val="22"/>
                      <w:szCs w:val="22"/>
                    </w:rPr>
                  </w:pPr>
                  <w:r w:rsidRPr="00BD7E1D">
                    <w:rPr>
                      <w:rFonts w:ascii="Arial" w:hAnsi="Arial"/>
                      <w:sz w:val="22"/>
                    </w:rPr>
                    <w:t>31 janvier</w:t>
                  </w:r>
                </w:p>
                <w:p w14:paraId="3E89CD75" w14:textId="77777777" w:rsidR="00B6151A" w:rsidRPr="00BD7E1D" w:rsidRDefault="00B6151A" w:rsidP="002C366E">
                  <w:pPr>
                    <w:spacing w:before="60" w:after="60"/>
                    <w:jc w:val="right"/>
                    <w:rPr>
                      <w:rFonts w:ascii="Arial" w:hAnsi="Arial" w:cs="Arial"/>
                      <w:sz w:val="22"/>
                      <w:szCs w:val="22"/>
                    </w:rPr>
                  </w:pPr>
                  <w:proofErr w:type="gramStart"/>
                  <w:r>
                    <w:rPr>
                      <w:rFonts w:ascii="Arial" w:hAnsi="Arial"/>
                      <w:sz w:val="22"/>
                    </w:rPr>
                    <w:t>a</w:t>
                  </w:r>
                  <w:r w:rsidRPr="00BD7E1D">
                    <w:rPr>
                      <w:rFonts w:ascii="Arial" w:hAnsi="Arial"/>
                      <w:sz w:val="22"/>
                    </w:rPr>
                    <w:t>nnée</w:t>
                  </w:r>
                  <w:proofErr w:type="gramEnd"/>
                  <w:r w:rsidRPr="00BD7E1D">
                    <w:rPr>
                      <w:rFonts w:ascii="Arial" w:hAnsi="Arial"/>
                      <w:sz w:val="22"/>
                    </w:rPr>
                    <w:t> 2</w:t>
                  </w:r>
                </w:p>
              </w:tc>
              <w:tc>
                <w:tcPr>
                  <w:tcW w:w="6587" w:type="dxa"/>
                  <w:shd w:val="clear" w:color="auto" w:fill="FFFFFF" w:themeFill="background1"/>
                </w:tcPr>
                <w:p w14:paraId="479BC4DD" w14:textId="77777777" w:rsidR="00B6151A" w:rsidRDefault="00B6151A" w:rsidP="002C366E">
                  <w:pPr>
                    <w:spacing w:before="60" w:after="60"/>
                    <w:jc w:val="both"/>
                    <w:rPr>
                      <w:rFonts w:ascii="Arial" w:hAnsi="Arial"/>
                      <w:sz w:val="22"/>
                    </w:rPr>
                  </w:pPr>
                  <w:r>
                    <w:rPr>
                      <w:rFonts w:ascii="Arial" w:hAnsi="Arial"/>
                      <w:sz w:val="22"/>
                    </w:rPr>
                    <w:t>Aucun changement.</w:t>
                  </w:r>
                </w:p>
                <w:p w14:paraId="3DDC3770" w14:textId="77777777" w:rsidR="00B6151A" w:rsidRPr="00BD7E1D" w:rsidRDefault="00B6151A" w:rsidP="002C366E">
                  <w:pPr>
                    <w:spacing w:before="60" w:after="60"/>
                    <w:jc w:val="both"/>
                    <w:rPr>
                      <w:rFonts w:ascii="Arial" w:hAnsi="Arial" w:cs="Arial"/>
                      <w:sz w:val="22"/>
                      <w:szCs w:val="22"/>
                    </w:rPr>
                  </w:pPr>
                </w:p>
                <w:p w14:paraId="4447A5C5" w14:textId="77777777" w:rsidR="00B6151A" w:rsidRPr="00BD7E1D" w:rsidRDefault="00B6151A" w:rsidP="002C366E">
                  <w:pPr>
                    <w:spacing w:before="60" w:after="60"/>
                    <w:jc w:val="both"/>
                    <w:rPr>
                      <w:rFonts w:ascii="Arial" w:hAnsi="Arial" w:cs="Arial"/>
                      <w:sz w:val="22"/>
                      <w:szCs w:val="22"/>
                    </w:rPr>
                  </w:pPr>
                </w:p>
              </w:tc>
            </w:tr>
          </w:tbl>
          <w:p w14:paraId="5E5666D7" w14:textId="77777777" w:rsidR="00B6151A" w:rsidRPr="00BD7E1D" w:rsidRDefault="00B6151A" w:rsidP="002C366E">
            <w:pPr>
              <w:spacing w:before="120" w:after="120"/>
              <w:jc w:val="both"/>
              <w:rPr>
                <w:rFonts w:ascii="Arial" w:hAnsi="Arial" w:cs="Arial"/>
                <w:sz w:val="22"/>
                <w:szCs w:val="22"/>
              </w:rPr>
            </w:pPr>
          </w:p>
        </w:tc>
      </w:tr>
      <w:tr w:rsidR="00B6151A" w:rsidRPr="00BD7E1D" w14:paraId="54DCAB6B" w14:textId="77777777" w:rsidTr="002C366E">
        <w:trPr>
          <w:cantSplit/>
        </w:trPr>
        <w:tc>
          <w:tcPr>
            <w:tcW w:w="308" w:type="pct"/>
          </w:tcPr>
          <w:p w14:paraId="24A9C581" w14:textId="77777777" w:rsidR="00B6151A" w:rsidRPr="00BD7E1D" w:rsidRDefault="00B6151A" w:rsidP="002C366E">
            <w:pPr>
              <w:spacing w:before="120" w:after="120"/>
              <w:jc w:val="both"/>
              <w:rPr>
                <w:rFonts w:ascii="Arial" w:hAnsi="Arial" w:cs="Arial"/>
                <w:sz w:val="22"/>
                <w:szCs w:val="22"/>
              </w:rPr>
            </w:pPr>
            <w:r w:rsidRPr="00BD7E1D">
              <w:rPr>
                <w:rFonts w:ascii="Arial" w:hAnsi="Arial"/>
                <w:b/>
                <w:sz w:val="22"/>
              </w:rPr>
              <w:t>V.1</w:t>
            </w:r>
          </w:p>
        </w:tc>
        <w:tc>
          <w:tcPr>
            <w:tcW w:w="2325" w:type="pct"/>
          </w:tcPr>
          <w:p w14:paraId="200AAEB2"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6C1D43E3" w14:textId="77777777" w:rsidTr="002C366E">
        <w:trPr>
          <w:cantSplit/>
        </w:trPr>
        <w:tc>
          <w:tcPr>
            <w:tcW w:w="308" w:type="pct"/>
          </w:tcPr>
          <w:p w14:paraId="30A91006" w14:textId="77777777" w:rsidR="00B6151A" w:rsidRPr="00BD7E1D" w:rsidRDefault="00B6151A" w:rsidP="002C366E">
            <w:pPr>
              <w:spacing w:before="120" w:after="120"/>
              <w:ind w:right="175"/>
              <w:jc w:val="both"/>
              <w:rPr>
                <w:rFonts w:ascii="Arial" w:hAnsi="Arial" w:cs="Arial"/>
                <w:sz w:val="22"/>
                <w:szCs w:val="22"/>
              </w:rPr>
            </w:pPr>
            <w:r w:rsidRPr="00BD7E1D">
              <w:rPr>
                <w:rFonts w:ascii="Arial" w:hAnsi="Arial"/>
                <w:sz w:val="22"/>
              </w:rPr>
              <w:lastRenderedPageBreak/>
              <w:t>151.</w:t>
            </w:r>
          </w:p>
        </w:tc>
        <w:tc>
          <w:tcPr>
            <w:tcW w:w="2325" w:type="pct"/>
          </w:tcPr>
          <w:p w14:paraId="60D87C16" w14:textId="77777777" w:rsidR="00B6151A" w:rsidRPr="00BD7E1D" w:rsidRDefault="00B6151A" w:rsidP="002C366E">
            <w:pPr>
              <w:spacing w:before="120" w:after="120"/>
              <w:ind w:right="175"/>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6B16FD7F" w14:textId="77777777" w:rsidTr="002C366E">
        <w:trPr>
          <w:cantSplit/>
        </w:trPr>
        <w:tc>
          <w:tcPr>
            <w:tcW w:w="308" w:type="pct"/>
          </w:tcPr>
          <w:p w14:paraId="39C24AE2" w14:textId="77777777" w:rsidR="00B6151A" w:rsidRPr="00BD7E1D" w:rsidRDefault="00B6151A" w:rsidP="002C366E">
            <w:pPr>
              <w:spacing w:before="120" w:after="120"/>
              <w:jc w:val="both"/>
              <w:rPr>
                <w:rFonts w:ascii="Arial" w:hAnsi="Arial" w:cs="Arial"/>
                <w:color w:val="000000"/>
                <w:sz w:val="22"/>
                <w:szCs w:val="22"/>
              </w:rPr>
            </w:pPr>
            <w:r w:rsidRPr="00BD7E1D">
              <w:rPr>
                <w:rFonts w:ascii="Arial" w:hAnsi="Arial"/>
                <w:sz w:val="22"/>
              </w:rPr>
              <w:t>152.</w:t>
            </w:r>
          </w:p>
        </w:tc>
        <w:tc>
          <w:tcPr>
            <w:tcW w:w="2325" w:type="pct"/>
          </w:tcPr>
          <w:p w14:paraId="6DBF9DD6" w14:textId="77777777" w:rsidR="00B6151A" w:rsidRPr="00BD7E1D" w:rsidRDefault="00B6151A" w:rsidP="002C366E">
            <w:pPr>
              <w:spacing w:before="120" w:after="120"/>
              <w:jc w:val="both"/>
              <w:rPr>
                <w:rFonts w:ascii="Arial" w:hAnsi="Arial" w:cs="Arial"/>
                <w:strike/>
                <w:color w:val="000000"/>
                <w:sz w:val="22"/>
                <w:szCs w:val="22"/>
              </w:rPr>
            </w:pPr>
            <w:r w:rsidRPr="00BD7E1D">
              <w:rPr>
                <w:rFonts w:ascii="Arial" w:hAnsi="Arial"/>
                <w:color w:val="000000"/>
                <w:sz w:val="22"/>
              </w:rPr>
              <w:t>Les États parties soumettent leurs rapports périodiques au Comité</w:t>
            </w:r>
            <w:r>
              <w:rPr>
                <w:rFonts w:ascii="Arial" w:hAnsi="Arial"/>
                <w:color w:val="000000"/>
                <w:sz w:val="22"/>
              </w:rPr>
              <w:t>,</w:t>
            </w:r>
            <w:r w:rsidRPr="00BD7E1D">
              <w:rPr>
                <w:rFonts w:ascii="Arial" w:hAnsi="Arial"/>
                <w:color w:val="000000"/>
                <w:sz w:val="22"/>
              </w:rPr>
              <w:t xml:space="preserve"> </w:t>
            </w:r>
            <w:r>
              <w:rPr>
                <w:rFonts w:ascii="Arial" w:hAnsi="Arial"/>
                <w:color w:val="000000"/>
                <w:sz w:val="22"/>
              </w:rPr>
              <w:t xml:space="preserve">au plus tard </w:t>
            </w:r>
            <w:r w:rsidRPr="00BD7E1D">
              <w:rPr>
                <w:rFonts w:ascii="Arial" w:hAnsi="Arial"/>
                <w:color w:val="000000"/>
                <w:sz w:val="22"/>
              </w:rPr>
              <w:t xml:space="preserve">le </w:t>
            </w:r>
            <w:r w:rsidRPr="00BD7E1D">
              <w:rPr>
                <w:rFonts w:ascii="Arial" w:hAnsi="Arial"/>
                <w:strike/>
                <w:color w:val="000000"/>
                <w:sz w:val="22"/>
              </w:rPr>
              <w:t>15 décembre tous les six ans, selon un</w:t>
            </w:r>
            <w:r>
              <w:rPr>
                <w:rFonts w:ascii="Arial" w:hAnsi="Arial"/>
                <w:strike/>
                <w:color w:val="000000"/>
                <w:sz w:val="22"/>
              </w:rPr>
              <w:t>e</w:t>
            </w:r>
            <w:r w:rsidRPr="00BD7E1D">
              <w:rPr>
                <w:rFonts w:ascii="Arial" w:hAnsi="Arial"/>
                <w:strike/>
                <w:color w:val="000000"/>
                <w:sz w:val="22"/>
              </w:rPr>
              <w:t xml:space="preserve"> rotation </w:t>
            </w:r>
            <w:r>
              <w:rPr>
                <w:rFonts w:ascii="Arial" w:hAnsi="Arial"/>
                <w:strike/>
                <w:color w:val="000000"/>
                <w:sz w:val="22"/>
              </w:rPr>
              <w:t xml:space="preserve">région </w:t>
            </w:r>
            <w:r w:rsidRPr="00BD7E1D">
              <w:rPr>
                <w:rFonts w:ascii="Arial" w:hAnsi="Arial"/>
                <w:strike/>
                <w:color w:val="000000"/>
                <w:sz w:val="22"/>
              </w:rPr>
              <w:t>par région</w:t>
            </w:r>
            <w:r>
              <w:rPr>
                <w:rFonts w:ascii="Arial" w:hAnsi="Arial"/>
                <w:strike/>
                <w:color w:val="000000"/>
                <w:sz w:val="22"/>
              </w:rPr>
              <w:t>.</w:t>
            </w:r>
            <w:r w:rsidRPr="00BD7E1D">
              <w:rPr>
                <w:rFonts w:ascii="Arial" w:hAnsi="Arial"/>
                <w:color w:val="000000"/>
                <w:sz w:val="22"/>
              </w:rPr>
              <w:t xml:space="preserve"> </w:t>
            </w:r>
            <w:r w:rsidRPr="00BD7E1D">
              <w:rPr>
                <w:rFonts w:ascii="Arial" w:hAnsi="Arial"/>
                <w:b/>
                <w:color w:val="000000"/>
                <w:sz w:val="22"/>
                <w:u w:val="single"/>
              </w:rPr>
              <w:t>30 juin</w:t>
            </w:r>
            <w:r>
              <w:rPr>
                <w:rFonts w:ascii="Arial" w:hAnsi="Arial"/>
                <w:b/>
                <w:color w:val="000000"/>
                <w:sz w:val="22"/>
                <w:u w:val="single"/>
              </w:rPr>
              <w:t>,</w:t>
            </w:r>
            <w:r w:rsidRPr="00BD7E1D">
              <w:rPr>
                <w:rFonts w:ascii="Arial" w:hAnsi="Arial"/>
                <w:b/>
                <w:color w:val="000000"/>
                <w:sz w:val="22"/>
                <w:u w:val="single"/>
              </w:rPr>
              <w:t xml:space="preserve"> tous les quatre ans</w:t>
            </w:r>
            <w:r>
              <w:rPr>
                <w:rFonts w:ascii="Arial" w:hAnsi="Arial"/>
                <w:b/>
                <w:color w:val="000000"/>
                <w:sz w:val="22"/>
                <w:u w:val="single"/>
              </w:rPr>
              <w:t>, selon un calendrier établi par le Comité</w:t>
            </w:r>
            <w:r w:rsidRPr="00BD7E1D">
              <w:rPr>
                <w:rFonts w:ascii="Arial" w:hAnsi="Arial"/>
                <w:b/>
                <w:color w:val="000000"/>
                <w:sz w:val="22"/>
                <w:u w:val="single"/>
              </w:rPr>
              <w:t>.</w:t>
            </w:r>
            <w:r w:rsidRPr="00BD7E1D">
              <w:rPr>
                <w:rFonts w:ascii="Arial" w:hAnsi="Arial"/>
                <w:color w:val="000000"/>
                <w:sz w:val="22"/>
              </w:rPr>
              <w:t xml:space="preserve"> </w:t>
            </w:r>
            <w:r w:rsidRPr="00BD7E1D">
              <w:rPr>
                <w:rFonts w:ascii="Arial" w:hAnsi="Arial"/>
                <w:strike/>
                <w:color w:val="000000"/>
                <w:sz w:val="22"/>
              </w:rPr>
              <w:t>L</w:t>
            </w:r>
            <w:r>
              <w:rPr>
                <w:rFonts w:ascii="Arial" w:hAnsi="Arial"/>
                <w:strike/>
                <w:color w:val="000000"/>
                <w:sz w:val="22"/>
              </w:rPr>
              <w:t>’</w:t>
            </w:r>
            <w:r w:rsidRPr="00BD7E1D">
              <w:rPr>
                <w:rFonts w:ascii="Arial" w:hAnsi="Arial"/>
                <w:strike/>
                <w:color w:val="000000"/>
                <w:sz w:val="22"/>
              </w:rPr>
              <w:t>ordre de cette rotation est établi par le Comité au début du cycle de</w:t>
            </w:r>
            <w:r>
              <w:rPr>
                <w:rFonts w:ascii="Arial" w:hAnsi="Arial"/>
                <w:strike/>
                <w:color w:val="000000"/>
                <w:sz w:val="22"/>
              </w:rPr>
              <w:t xml:space="preserve"> soumission des</w:t>
            </w:r>
            <w:r w:rsidRPr="00BD7E1D">
              <w:rPr>
                <w:rFonts w:ascii="Arial" w:hAnsi="Arial"/>
                <w:strike/>
                <w:color w:val="000000"/>
                <w:sz w:val="22"/>
              </w:rPr>
              <w:t xml:space="preserve"> rapport</w:t>
            </w:r>
            <w:r>
              <w:rPr>
                <w:rFonts w:ascii="Arial" w:hAnsi="Arial"/>
                <w:strike/>
                <w:color w:val="000000"/>
                <w:sz w:val="22"/>
              </w:rPr>
              <w:t>s</w:t>
            </w:r>
            <w:r w:rsidRPr="00BD7E1D">
              <w:rPr>
                <w:rFonts w:ascii="Arial" w:hAnsi="Arial"/>
                <w:strike/>
                <w:color w:val="000000"/>
                <w:sz w:val="22"/>
              </w:rPr>
              <w:t xml:space="preserve"> périodique</w:t>
            </w:r>
            <w:r>
              <w:rPr>
                <w:rFonts w:ascii="Arial" w:hAnsi="Arial"/>
                <w:strike/>
                <w:color w:val="000000"/>
                <w:sz w:val="22"/>
              </w:rPr>
              <w:t>s</w:t>
            </w:r>
            <w:r w:rsidRPr="00BD7E1D">
              <w:rPr>
                <w:rFonts w:ascii="Arial" w:hAnsi="Arial"/>
                <w:strike/>
                <w:color w:val="000000"/>
                <w:sz w:val="22"/>
              </w:rPr>
              <w:t xml:space="preserve"> de six ans.</w:t>
            </w:r>
            <w:r w:rsidRPr="00BD7E1D">
              <w:rPr>
                <w:rFonts w:ascii="Arial" w:hAnsi="Arial"/>
                <w:color w:val="000000"/>
                <w:sz w:val="22"/>
              </w:rPr>
              <w:t xml:space="preserve"> Les États parties utilisent le processus de </w:t>
            </w:r>
            <w:r>
              <w:rPr>
                <w:rFonts w:ascii="Arial" w:hAnsi="Arial"/>
                <w:color w:val="000000"/>
                <w:sz w:val="22"/>
              </w:rPr>
              <w:t xml:space="preserve">soumission des </w:t>
            </w:r>
            <w:r w:rsidRPr="00BD7E1D">
              <w:rPr>
                <w:rFonts w:ascii="Arial" w:hAnsi="Arial"/>
                <w:color w:val="000000"/>
                <w:sz w:val="22"/>
              </w:rPr>
              <w:t>rapport</w:t>
            </w:r>
            <w:r>
              <w:rPr>
                <w:rFonts w:ascii="Arial" w:hAnsi="Arial"/>
                <w:color w:val="000000"/>
                <w:sz w:val="22"/>
              </w:rPr>
              <w:t>s</w:t>
            </w:r>
            <w:r w:rsidRPr="00BD7E1D">
              <w:rPr>
                <w:rFonts w:ascii="Arial" w:hAnsi="Arial"/>
                <w:color w:val="000000"/>
                <w:sz w:val="22"/>
              </w:rPr>
              <w:t xml:space="preserve"> périodique</w:t>
            </w:r>
            <w:r>
              <w:rPr>
                <w:rFonts w:ascii="Arial" w:hAnsi="Arial"/>
                <w:color w:val="000000"/>
                <w:sz w:val="22"/>
              </w:rPr>
              <w:t>s</w:t>
            </w:r>
            <w:r w:rsidRPr="00BD7E1D">
              <w:rPr>
                <w:rFonts w:ascii="Arial" w:hAnsi="Arial"/>
                <w:color w:val="000000"/>
                <w:sz w:val="22"/>
              </w:rPr>
              <w:t xml:space="preserve"> pour renforcer les mesures de suivi, ainsi que la coopération </w:t>
            </w:r>
            <w:r>
              <w:rPr>
                <w:rFonts w:ascii="Arial" w:hAnsi="Arial"/>
                <w:color w:val="000000"/>
                <w:sz w:val="22"/>
              </w:rPr>
              <w:t>et les échanges actifs au niveau régional, afin</w:t>
            </w:r>
            <w:r w:rsidRPr="00BD7E1D">
              <w:rPr>
                <w:rFonts w:ascii="Arial" w:hAnsi="Arial"/>
                <w:color w:val="000000"/>
                <w:sz w:val="22"/>
              </w:rPr>
              <w:t xml:space="preserve"> </w:t>
            </w:r>
            <w:r>
              <w:rPr>
                <w:rFonts w:ascii="Arial" w:hAnsi="Arial"/>
                <w:color w:val="000000"/>
                <w:sz w:val="22"/>
              </w:rPr>
              <w:t>d’</w:t>
            </w:r>
            <w:r w:rsidRPr="00BD7E1D">
              <w:rPr>
                <w:rFonts w:ascii="Arial" w:hAnsi="Arial"/>
                <w:color w:val="000000"/>
                <w:sz w:val="22"/>
              </w:rPr>
              <w:t>assurer une sauvegarde efficace du patrimoine culturel immatériel. Le formulaire ICH-10 est utilisé pour ces rapports</w:t>
            </w:r>
            <w:r>
              <w:rPr>
                <w:rFonts w:ascii="Arial" w:hAnsi="Arial"/>
                <w:color w:val="000000"/>
                <w:sz w:val="22"/>
              </w:rPr>
              <w:t>,</w:t>
            </w:r>
            <w:r w:rsidRPr="00BD7E1D">
              <w:rPr>
                <w:rFonts w:ascii="Arial" w:hAnsi="Arial"/>
                <w:color w:val="000000"/>
                <w:sz w:val="22"/>
              </w:rPr>
              <w:t xml:space="preserve"> il peut être rempli en ligne par chaque État partie (</w:t>
            </w:r>
            <w:hyperlink r:id="rId55" w:history="1">
              <w:r w:rsidRPr="00BE2B04">
                <w:rPr>
                  <w:rStyle w:val="Hyperlink"/>
                  <w:rFonts w:ascii="Arial" w:hAnsi="Arial"/>
                  <w:b/>
                  <w:bCs/>
                  <w:sz w:val="22"/>
                </w:rPr>
                <w:t>https://ich.unesco.org</w:t>
              </w:r>
            </w:hyperlink>
            <w:r w:rsidRPr="00BD7E1D">
              <w:rPr>
                <w:rFonts w:ascii="Arial" w:hAnsi="Arial"/>
                <w:color w:val="000000"/>
                <w:sz w:val="22"/>
              </w:rPr>
              <w:t>)</w:t>
            </w:r>
            <w:r>
              <w:rPr>
                <w:rFonts w:ascii="Arial" w:hAnsi="Arial"/>
                <w:color w:val="000000"/>
                <w:sz w:val="22"/>
              </w:rPr>
              <w:t>,</w:t>
            </w:r>
            <w:r w:rsidRPr="00BD7E1D">
              <w:rPr>
                <w:rFonts w:ascii="Arial" w:hAnsi="Arial"/>
                <w:color w:val="000000"/>
                <w:sz w:val="22"/>
              </w:rPr>
              <w:t xml:space="preserve"> et </w:t>
            </w:r>
            <w:r>
              <w:rPr>
                <w:rFonts w:ascii="Arial" w:hAnsi="Arial"/>
                <w:color w:val="000000"/>
                <w:sz w:val="22"/>
              </w:rPr>
              <w:t xml:space="preserve">il </w:t>
            </w:r>
            <w:r w:rsidRPr="00BD7E1D">
              <w:rPr>
                <w:rFonts w:ascii="Arial" w:hAnsi="Arial"/>
                <w:color w:val="000000"/>
                <w:sz w:val="22"/>
              </w:rPr>
              <w:t xml:space="preserve">est révisé par le Secrétariat à intervalles </w:t>
            </w:r>
            <w:r>
              <w:rPr>
                <w:rFonts w:ascii="Arial" w:hAnsi="Arial"/>
                <w:color w:val="000000"/>
                <w:sz w:val="22"/>
              </w:rPr>
              <w:t>appropriés</w:t>
            </w:r>
            <w:r w:rsidRPr="00BD7E1D">
              <w:rPr>
                <w:rFonts w:ascii="Arial" w:hAnsi="Arial"/>
                <w:color w:val="000000"/>
                <w:sz w:val="22"/>
              </w:rPr>
              <w:t>.</w:t>
            </w:r>
          </w:p>
        </w:tc>
      </w:tr>
      <w:tr w:rsidR="00B6151A" w:rsidRPr="00BD7E1D" w14:paraId="548C665E" w14:textId="77777777" w:rsidTr="002C366E">
        <w:trPr>
          <w:cantSplit/>
        </w:trPr>
        <w:tc>
          <w:tcPr>
            <w:tcW w:w="308" w:type="pct"/>
          </w:tcPr>
          <w:p w14:paraId="6C07DA8F" w14:textId="77777777" w:rsidR="00B6151A" w:rsidRPr="00BD7E1D" w:rsidRDefault="00B6151A" w:rsidP="002C366E">
            <w:pPr>
              <w:spacing w:before="120" w:after="120"/>
              <w:ind w:right="175"/>
              <w:jc w:val="both"/>
              <w:rPr>
                <w:rFonts w:ascii="Arial" w:hAnsi="Arial" w:cs="Arial"/>
                <w:sz w:val="22"/>
                <w:szCs w:val="22"/>
              </w:rPr>
            </w:pPr>
            <w:r w:rsidRPr="00BD7E1D">
              <w:rPr>
                <w:rFonts w:ascii="Arial" w:hAnsi="Arial"/>
                <w:sz w:val="22"/>
              </w:rPr>
              <w:t>153.</w:t>
            </w:r>
          </w:p>
        </w:tc>
        <w:tc>
          <w:tcPr>
            <w:tcW w:w="2325" w:type="pct"/>
          </w:tcPr>
          <w:p w14:paraId="04588FAC" w14:textId="77777777" w:rsidR="00B6151A" w:rsidRPr="00BD7E1D" w:rsidRDefault="00B6151A" w:rsidP="002C366E">
            <w:pPr>
              <w:spacing w:before="120" w:after="120"/>
              <w:ind w:right="175"/>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6691FA8F" w14:textId="77777777" w:rsidTr="002C366E">
        <w:trPr>
          <w:cantSplit/>
        </w:trPr>
        <w:tc>
          <w:tcPr>
            <w:tcW w:w="308" w:type="pct"/>
          </w:tcPr>
          <w:p w14:paraId="293FF66C"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154.</w:t>
            </w:r>
          </w:p>
        </w:tc>
        <w:tc>
          <w:tcPr>
            <w:tcW w:w="2325" w:type="pct"/>
          </w:tcPr>
          <w:p w14:paraId="15DD51A6" w14:textId="77777777" w:rsidR="00B6151A" w:rsidRPr="00BD7E1D" w:rsidRDefault="00B6151A" w:rsidP="002C366E">
            <w:pPr>
              <w:spacing w:before="120" w:after="120"/>
              <w:jc w:val="both"/>
              <w:rPr>
                <w:rFonts w:ascii="Arial" w:hAnsi="Arial" w:cs="Arial"/>
                <w:sz w:val="22"/>
                <w:szCs w:val="22"/>
                <w:u w:val="single"/>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5ABD7EAD" w14:textId="77777777" w:rsidTr="002C366E">
        <w:trPr>
          <w:cantSplit/>
        </w:trPr>
        <w:tc>
          <w:tcPr>
            <w:tcW w:w="308" w:type="pct"/>
          </w:tcPr>
          <w:p w14:paraId="09463511"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155.</w:t>
            </w:r>
          </w:p>
        </w:tc>
        <w:tc>
          <w:tcPr>
            <w:tcW w:w="2325" w:type="pct"/>
          </w:tcPr>
          <w:p w14:paraId="656E7CFA"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30E54EF5" w14:textId="77777777" w:rsidTr="002C366E">
        <w:trPr>
          <w:cantSplit/>
        </w:trPr>
        <w:tc>
          <w:tcPr>
            <w:tcW w:w="308" w:type="pct"/>
          </w:tcPr>
          <w:p w14:paraId="32B1965B"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156.</w:t>
            </w:r>
          </w:p>
        </w:tc>
        <w:tc>
          <w:tcPr>
            <w:tcW w:w="2325" w:type="pct"/>
          </w:tcPr>
          <w:p w14:paraId="61E1DCED"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7A342ADF" w14:textId="77777777" w:rsidTr="002C366E">
        <w:trPr>
          <w:cantSplit/>
        </w:trPr>
        <w:tc>
          <w:tcPr>
            <w:tcW w:w="308" w:type="pct"/>
          </w:tcPr>
          <w:p w14:paraId="6812E531"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157.</w:t>
            </w:r>
          </w:p>
        </w:tc>
        <w:tc>
          <w:tcPr>
            <w:tcW w:w="2325" w:type="pct"/>
          </w:tcPr>
          <w:p w14:paraId="37EF80FD"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1E6E4AC7" w14:textId="77777777" w:rsidTr="002C366E">
        <w:trPr>
          <w:cantSplit/>
        </w:trPr>
        <w:tc>
          <w:tcPr>
            <w:tcW w:w="308" w:type="pct"/>
          </w:tcPr>
          <w:p w14:paraId="3E5D995C"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158.</w:t>
            </w:r>
          </w:p>
        </w:tc>
        <w:tc>
          <w:tcPr>
            <w:tcW w:w="2325" w:type="pct"/>
          </w:tcPr>
          <w:p w14:paraId="27D12B13"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33122174" w14:textId="77777777" w:rsidTr="002C366E">
        <w:trPr>
          <w:cantSplit/>
        </w:trPr>
        <w:tc>
          <w:tcPr>
            <w:tcW w:w="308" w:type="pct"/>
          </w:tcPr>
          <w:p w14:paraId="083763BA"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159.</w:t>
            </w:r>
          </w:p>
        </w:tc>
        <w:tc>
          <w:tcPr>
            <w:tcW w:w="2325" w:type="pct"/>
          </w:tcPr>
          <w:p w14:paraId="4FF98939"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Les États parties répondent</w:t>
            </w:r>
            <w:r>
              <w:rPr>
                <w:rFonts w:ascii="Arial" w:hAnsi="Arial"/>
                <w:sz w:val="22"/>
              </w:rPr>
              <w:t>,</w:t>
            </w:r>
            <w:r w:rsidRPr="00BD7E1D">
              <w:rPr>
                <w:rFonts w:ascii="Arial" w:hAnsi="Arial"/>
                <w:sz w:val="22"/>
              </w:rPr>
              <w:t xml:space="preserve"> en temps </w:t>
            </w:r>
            <w:r>
              <w:rPr>
                <w:rFonts w:ascii="Arial" w:hAnsi="Arial"/>
                <w:sz w:val="22"/>
              </w:rPr>
              <w:t xml:space="preserve">utile, </w:t>
            </w:r>
            <w:r w:rsidRPr="00BD7E1D">
              <w:rPr>
                <w:rFonts w:ascii="Arial" w:hAnsi="Arial"/>
                <w:sz w:val="22"/>
              </w:rPr>
              <w:t>aux demandes d</w:t>
            </w:r>
            <w:r>
              <w:rPr>
                <w:rFonts w:ascii="Arial" w:hAnsi="Arial"/>
                <w:sz w:val="22"/>
              </w:rPr>
              <w:t>’</w:t>
            </w:r>
            <w:r w:rsidRPr="00BD7E1D">
              <w:rPr>
                <w:rFonts w:ascii="Arial" w:hAnsi="Arial"/>
                <w:sz w:val="22"/>
              </w:rPr>
              <w:t>informations complémentaires spécifiques qui leur sont adressées par le Comité, si nécessaire et indépendamment du</w:t>
            </w:r>
            <w:r>
              <w:rPr>
                <w:rFonts w:ascii="Arial" w:hAnsi="Arial"/>
                <w:sz w:val="22"/>
              </w:rPr>
              <w:t xml:space="preserve"> </w:t>
            </w:r>
            <w:r w:rsidRPr="005D421C">
              <w:rPr>
                <w:rFonts w:ascii="Arial" w:hAnsi="Arial"/>
                <w:bCs/>
                <w:strike/>
                <w:sz w:val="22"/>
              </w:rPr>
              <w:t xml:space="preserve">cycle </w:t>
            </w:r>
            <w:r w:rsidRPr="00BD7E1D">
              <w:rPr>
                <w:rFonts w:ascii="Arial" w:hAnsi="Arial"/>
                <w:strike/>
                <w:sz w:val="22"/>
              </w:rPr>
              <w:t>régional</w:t>
            </w:r>
            <w:r w:rsidRPr="00BD7E1D">
              <w:rPr>
                <w:rFonts w:ascii="Arial" w:hAnsi="Arial"/>
                <w:sz w:val="22"/>
              </w:rPr>
              <w:t xml:space="preserve"> </w:t>
            </w:r>
            <w:r w:rsidRPr="00695861">
              <w:rPr>
                <w:rFonts w:ascii="Arial" w:hAnsi="Arial"/>
                <w:b/>
                <w:bCs/>
                <w:sz w:val="22"/>
                <w:u w:val="single"/>
              </w:rPr>
              <w:t xml:space="preserve">cycle </w:t>
            </w:r>
            <w:r>
              <w:rPr>
                <w:rFonts w:ascii="Arial" w:hAnsi="Arial"/>
                <w:b/>
                <w:sz w:val="22"/>
                <w:u w:val="single"/>
              </w:rPr>
              <w:t>ordinaire de rapport</w:t>
            </w:r>
            <w:r w:rsidRPr="005D421C">
              <w:rPr>
                <w:rFonts w:ascii="Arial" w:hAnsi="Arial"/>
                <w:bCs/>
                <w:sz w:val="22"/>
              </w:rPr>
              <w:t xml:space="preserve"> </w:t>
            </w:r>
            <w:r>
              <w:rPr>
                <w:rFonts w:ascii="Arial" w:hAnsi="Arial"/>
                <w:sz w:val="22"/>
              </w:rPr>
              <w:t>établi</w:t>
            </w:r>
            <w:r w:rsidRPr="00BD7E1D">
              <w:rPr>
                <w:rFonts w:ascii="Arial" w:hAnsi="Arial"/>
                <w:sz w:val="22"/>
              </w:rPr>
              <w:t xml:space="preserve"> par le Comité, conformément au paragraphe 152 ci-dessus.</w:t>
            </w:r>
            <w:r>
              <w:rPr>
                <w:rFonts w:ascii="Arial" w:hAnsi="Arial"/>
                <w:sz w:val="22"/>
              </w:rPr>
              <w:t xml:space="preserve"> </w:t>
            </w:r>
          </w:p>
        </w:tc>
      </w:tr>
      <w:tr w:rsidR="00B6151A" w:rsidRPr="00BD7E1D" w14:paraId="702F956F" w14:textId="77777777" w:rsidTr="002C366E">
        <w:trPr>
          <w:cantSplit/>
        </w:trPr>
        <w:tc>
          <w:tcPr>
            <w:tcW w:w="308" w:type="pct"/>
          </w:tcPr>
          <w:p w14:paraId="599A3F7F" w14:textId="77777777" w:rsidR="00B6151A" w:rsidRPr="00BD7E1D" w:rsidRDefault="00B6151A" w:rsidP="002C366E">
            <w:pPr>
              <w:spacing w:before="120" w:after="120"/>
              <w:jc w:val="both"/>
              <w:rPr>
                <w:rFonts w:ascii="Arial" w:hAnsi="Arial" w:cs="Arial"/>
                <w:sz w:val="22"/>
                <w:szCs w:val="22"/>
              </w:rPr>
            </w:pPr>
            <w:r w:rsidRPr="00BD7E1D">
              <w:rPr>
                <w:rFonts w:ascii="Arial" w:hAnsi="Arial"/>
                <w:b/>
                <w:sz w:val="22"/>
              </w:rPr>
              <w:t>V.2</w:t>
            </w:r>
          </w:p>
        </w:tc>
        <w:tc>
          <w:tcPr>
            <w:tcW w:w="2325" w:type="pct"/>
          </w:tcPr>
          <w:p w14:paraId="0D82DB9C"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2358A62F" w14:textId="77777777" w:rsidTr="002C366E">
        <w:trPr>
          <w:cantSplit/>
        </w:trPr>
        <w:tc>
          <w:tcPr>
            <w:tcW w:w="308" w:type="pct"/>
          </w:tcPr>
          <w:p w14:paraId="6C84B224"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160.</w:t>
            </w:r>
          </w:p>
        </w:tc>
        <w:tc>
          <w:tcPr>
            <w:tcW w:w="2325" w:type="pct"/>
          </w:tcPr>
          <w:p w14:paraId="39B301CB"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6DDEA243" w14:textId="77777777" w:rsidTr="002C366E">
        <w:trPr>
          <w:cantSplit/>
        </w:trPr>
        <w:tc>
          <w:tcPr>
            <w:tcW w:w="308" w:type="pct"/>
          </w:tcPr>
          <w:p w14:paraId="1AEC1FF5"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161.</w:t>
            </w:r>
          </w:p>
        </w:tc>
        <w:tc>
          <w:tcPr>
            <w:tcW w:w="2325" w:type="pct"/>
          </w:tcPr>
          <w:p w14:paraId="6F92CD66"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Ces rapports s</w:t>
            </w:r>
            <w:r>
              <w:rPr>
                <w:rFonts w:ascii="Arial" w:hAnsi="Arial"/>
                <w:sz w:val="22"/>
              </w:rPr>
              <w:t>ont</w:t>
            </w:r>
            <w:r w:rsidRPr="00BD7E1D">
              <w:rPr>
                <w:rFonts w:ascii="Arial" w:hAnsi="Arial"/>
                <w:sz w:val="22"/>
              </w:rPr>
              <w:t xml:space="preserve"> normalement soumis au Comité</w:t>
            </w:r>
            <w:r>
              <w:rPr>
                <w:rFonts w:ascii="Arial" w:hAnsi="Arial"/>
                <w:sz w:val="22"/>
              </w:rPr>
              <w:t>,</w:t>
            </w:r>
            <w:r w:rsidRPr="00BD7E1D">
              <w:rPr>
                <w:rFonts w:ascii="Arial" w:hAnsi="Arial"/>
                <w:sz w:val="22"/>
              </w:rPr>
              <w:t xml:space="preserve"> au plus tard le </w:t>
            </w:r>
            <w:r w:rsidRPr="00BD7E1D">
              <w:rPr>
                <w:rFonts w:ascii="Arial" w:hAnsi="Arial"/>
                <w:strike/>
                <w:sz w:val="22"/>
              </w:rPr>
              <w:t xml:space="preserve">15 décembre de la quatrième année </w:t>
            </w:r>
            <w:r>
              <w:rPr>
                <w:rFonts w:ascii="Arial" w:hAnsi="Arial"/>
                <w:strike/>
                <w:sz w:val="22"/>
              </w:rPr>
              <w:t>qui suit l’année au cours</w:t>
            </w:r>
            <w:r w:rsidRPr="00BD7E1D">
              <w:rPr>
                <w:rFonts w:ascii="Arial" w:hAnsi="Arial"/>
                <w:strike/>
                <w:sz w:val="22"/>
              </w:rPr>
              <w:t xml:space="preserve"> de laquelle l</w:t>
            </w:r>
            <w:r>
              <w:rPr>
                <w:rFonts w:ascii="Arial" w:hAnsi="Arial"/>
                <w:strike/>
                <w:sz w:val="22"/>
              </w:rPr>
              <w:t>’</w:t>
            </w:r>
            <w:r w:rsidRPr="00BD7E1D">
              <w:rPr>
                <w:rFonts w:ascii="Arial" w:hAnsi="Arial"/>
                <w:strike/>
                <w:sz w:val="22"/>
              </w:rPr>
              <w:t xml:space="preserve">élément a été inscrit, </w:t>
            </w:r>
            <w:r>
              <w:rPr>
                <w:rFonts w:ascii="Arial" w:hAnsi="Arial"/>
                <w:strike/>
                <w:sz w:val="22"/>
              </w:rPr>
              <w:t>et ensuite</w:t>
            </w:r>
            <w:r w:rsidRPr="00BD7E1D">
              <w:rPr>
                <w:rFonts w:ascii="Arial" w:hAnsi="Arial"/>
                <w:strike/>
                <w:sz w:val="22"/>
              </w:rPr>
              <w:t xml:space="preserve"> tous les quatre ans </w:t>
            </w:r>
            <w:r w:rsidRPr="00BD7E1D">
              <w:rPr>
                <w:rFonts w:ascii="Arial" w:hAnsi="Arial"/>
                <w:b/>
                <w:color w:val="000000"/>
                <w:sz w:val="22"/>
                <w:u w:val="single"/>
              </w:rPr>
              <w:t>30 juin</w:t>
            </w:r>
            <w:r>
              <w:rPr>
                <w:rFonts w:ascii="Arial" w:hAnsi="Arial"/>
                <w:b/>
                <w:color w:val="000000"/>
                <w:sz w:val="22"/>
                <w:u w:val="single"/>
              </w:rPr>
              <w:t xml:space="preserve"> tous les quatre ans,</w:t>
            </w:r>
            <w:r w:rsidRPr="00BD7E1D">
              <w:rPr>
                <w:rFonts w:ascii="Arial" w:hAnsi="Arial"/>
                <w:b/>
                <w:color w:val="000000"/>
                <w:sz w:val="22"/>
                <w:u w:val="single"/>
              </w:rPr>
              <w:t xml:space="preserve"> </w:t>
            </w:r>
            <w:r>
              <w:rPr>
                <w:rFonts w:ascii="Arial" w:hAnsi="Arial"/>
                <w:b/>
                <w:color w:val="000000"/>
                <w:sz w:val="22"/>
                <w:u w:val="single"/>
              </w:rPr>
              <w:t>sur la base d’un calendrier établi par le Comité</w:t>
            </w:r>
            <w:r w:rsidRPr="005D421C">
              <w:rPr>
                <w:rFonts w:ascii="Arial" w:hAnsi="Arial"/>
                <w:bCs/>
                <w:color w:val="000000"/>
                <w:sz w:val="22"/>
              </w:rPr>
              <w:t>.</w:t>
            </w:r>
            <w:r w:rsidRPr="00BD7E1D">
              <w:rPr>
                <w:rFonts w:ascii="Arial" w:hAnsi="Arial"/>
                <w:sz w:val="22"/>
              </w:rPr>
              <w:t xml:space="preserve"> Le formulaire ICH-11 </w:t>
            </w:r>
            <w:r>
              <w:rPr>
                <w:rFonts w:ascii="Arial" w:hAnsi="Arial"/>
                <w:sz w:val="22"/>
              </w:rPr>
              <w:t>est</w:t>
            </w:r>
            <w:r w:rsidRPr="00BD7E1D">
              <w:rPr>
                <w:rFonts w:ascii="Arial" w:hAnsi="Arial"/>
                <w:sz w:val="22"/>
              </w:rPr>
              <w:t xml:space="preserve"> utilisé pour ces rapports</w:t>
            </w:r>
            <w:r>
              <w:rPr>
                <w:rFonts w:ascii="Arial" w:hAnsi="Arial"/>
                <w:sz w:val="22"/>
              </w:rPr>
              <w:t>,</w:t>
            </w:r>
            <w:r w:rsidRPr="00BD7E1D">
              <w:rPr>
                <w:rFonts w:ascii="Arial" w:hAnsi="Arial"/>
                <w:sz w:val="22"/>
              </w:rPr>
              <w:t xml:space="preserve"> il </w:t>
            </w:r>
            <w:r w:rsidRPr="00BD7E1D">
              <w:rPr>
                <w:rFonts w:ascii="Arial" w:hAnsi="Arial"/>
                <w:color w:val="000000"/>
                <w:sz w:val="22"/>
              </w:rPr>
              <w:t xml:space="preserve">peut être </w:t>
            </w:r>
            <w:r>
              <w:rPr>
                <w:rFonts w:ascii="Arial" w:hAnsi="Arial"/>
                <w:sz w:val="22"/>
              </w:rPr>
              <w:t>rempli</w:t>
            </w:r>
            <w:r w:rsidRPr="00BD7E1D">
              <w:rPr>
                <w:rFonts w:ascii="Arial" w:hAnsi="Arial"/>
                <w:sz w:val="22"/>
              </w:rPr>
              <w:t xml:space="preserve"> en ligne par chaque État partie (</w:t>
            </w:r>
            <w:hyperlink r:id="rId56" w:history="1">
              <w:r w:rsidRPr="005D421C">
                <w:rPr>
                  <w:rStyle w:val="Hyperlink"/>
                  <w:rFonts w:ascii="Arial" w:hAnsi="Arial"/>
                  <w:b/>
                  <w:bCs/>
                  <w:sz w:val="22"/>
                </w:rPr>
                <w:t>https://ich.unesco.org</w:t>
              </w:r>
            </w:hyperlink>
            <w:r w:rsidRPr="00BD7E1D">
              <w:rPr>
                <w:rFonts w:ascii="Arial" w:hAnsi="Arial"/>
                <w:sz w:val="22"/>
              </w:rPr>
              <w:t>)</w:t>
            </w:r>
            <w:r>
              <w:rPr>
                <w:rFonts w:ascii="Arial" w:hAnsi="Arial"/>
                <w:sz w:val="22"/>
              </w:rPr>
              <w:t>,</w:t>
            </w:r>
            <w:r w:rsidRPr="00BD7E1D">
              <w:rPr>
                <w:rFonts w:ascii="Arial" w:hAnsi="Arial"/>
                <w:sz w:val="22"/>
              </w:rPr>
              <w:t xml:space="preserve"> et </w:t>
            </w:r>
            <w:r>
              <w:rPr>
                <w:rFonts w:ascii="Arial" w:hAnsi="Arial"/>
                <w:sz w:val="22"/>
              </w:rPr>
              <w:t xml:space="preserve">il </w:t>
            </w:r>
            <w:r w:rsidRPr="00BD7E1D">
              <w:rPr>
                <w:rFonts w:ascii="Arial" w:hAnsi="Arial"/>
                <w:sz w:val="22"/>
              </w:rPr>
              <w:t xml:space="preserve">est révisé par le Secrétariat à intervalles </w:t>
            </w:r>
            <w:r>
              <w:rPr>
                <w:rFonts w:ascii="Arial" w:hAnsi="Arial"/>
                <w:sz w:val="22"/>
              </w:rPr>
              <w:t>appropriés</w:t>
            </w:r>
            <w:r w:rsidRPr="00BD7E1D">
              <w:rPr>
                <w:rFonts w:ascii="Arial" w:hAnsi="Arial"/>
                <w:sz w:val="22"/>
              </w:rPr>
              <w:t>. Au moment de l</w:t>
            </w:r>
            <w:r>
              <w:rPr>
                <w:rFonts w:ascii="Arial" w:hAnsi="Arial"/>
                <w:sz w:val="22"/>
              </w:rPr>
              <w:t>’</w:t>
            </w:r>
            <w:r w:rsidRPr="00BD7E1D">
              <w:rPr>
                <w:rFonts w:ascii="Arial" w:hAnsi="Arial"/>
                <w:sz w:val="22"/>
              </w:rPr>
              <w:t>inscription, le Comité peut</w:t>
            </w:r>
            <w:r>
              <w:rPr>
                <w:rFonts w:ascii="Arial" w:hAnsi="Arial"/>
                <w:sz w:val="22"/>
              </w:rPr>
              <w:t>,</w:t>
            </w:r>
            <w:r w:rsidRPr="00BD7E1D">
              <w:rPr>
                <w:rFonts w:ascii="Arial" w:hAnsi="Arial"/>
                <w:sz w:val="22"/>
              </w:rPr>
              <w:t xml:space="preserve"> au cas par cas, </w:t>
            </w:r>
            <w:r>
              <w:rPr>
                <w:rFonts w:ascii="Arial" w:hAnsi="Arial"/>
                <w:sz w:val="22"/>
              </w:rPr>
              <w:t xml:space="preserve">établir </w:t>
            </w:r>
            <w:r w:rsidRPr="00BD7E1D">
              <w:rPr>
                <w:rFonts w:ascii="Arial" w:hAnsi="Arial"/>
                <w:sz w:val="22"/>
              </w:rPr>
              <w:t>un calendrier spécifique pour la présentation des rapports qui prévaudra sur le cycle normal de quatre ans.</w:t>
            </w:r>
          </w:p>
        </w:tc>
      </w:tr>
      <w:tr w:rsidR="00B6151A" w:rsidRPr="00BD7E1D" w14:paraId="3769B02E" w14:textId="77777777" w:rsidTr="002C366E">
        <w:trPr>
          <w:cantSplit/>
        </w:trPr>
        <w:tc>
          <w:tcPr>
            <w:tcW w:w="308" w:type="pct"/>
          </w:tcPr>
          <w:p w14:paraId="1103C6E0"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162.</w:t>
            </w:r>
          </w:p>
        </w:tc>
        <w:tc>
          <w:tcPr>
            <w:tcW w:w="2325" w:type="pct"/>
          </w:tcPr>
          <w:p w14:paraId="58F12D74"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23B7F61C" w14:textId="77777777" w:rsidTr="002C366E">
        <w:trPr>
          <w:cantSplit/>
        </w:trPr>
        <w:tc>
          <w:tcPr>
            <w:tcW w:w="308" w:type="pct"/>
          </w:tcPr>
          <w:p w14:paraId="6C98A3E8"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163.</w:t>
            </w:r>
          </w:p>
        </w:tc>
        <w:tc>
          <w:tcPr>
            <w:tcW w:w="2325" w:type="pct"/>
          </w:tcPr>
          <w:p w14:paraId="36D4FB42"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4F01FCD3" w14:textId="77777777" w:rsidTr="002C366E">
        <w:trPr>
          <w:cantSplit/>
        </w:trPr>
        <w:tc>
          <w:tcPr>
            <w:tcW w:w="308" w:type="pct"/>
          </w:tcPr>
          <w:p w14:paraId="63694F8F"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164.</w:t>
            </w:r>
          </w:p>
        </w:tc>
        <w:tc>
          <w:tcPr>
            <w:tcW w:w="2325" w:type="pct"/>
          </w:tcPr>
          <w:p w14:paraId="5A1E146A"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4BD50BCF" w14:textId="77777777" w:rsidTr="002C366E">
        <w:trPr>
          <w:cantSplit/>
        </w:trPr>
        <w:tc>
          <w:tcPr>
            <w:tcW w:w="308" w:type="pct"/>
          </w:tcPr>
          <w:p w14:paraId="1A4D0E16" w14:textId="77777777" w:rsidR="00B6151A" w:rsidRPr="00BD7E1D" w:rsidRDefault="00B6151A" w:rsidP="002C366E">
            <w:pPr>
              <w:spacing w:before="120" w:after="120"/>
              <w:jc w:val="both"/>
              <w:rPr>
                <w:rFonts w:ascii="Arial" w:hAnsi="Arial" w:cs="Arial"/>
                <w:sz w:val="22"/>
                <w:szCs w:val="22"/>
              </w:rPr>
            </w:pPr>
            <w:r w:rsidRPr="00BD7E1D">
              <w:rPr>
                <w:rFonts w:ascii="Arial" w:hAnsi="Arial"/>
                <w:b/>
                <w:sz w:val="22"/>
              </w:rPr>
              <w:lastRenderedPageBreak/>
              <w:t>V.3</w:t>
            </w:r>
          </w:p>
        </w:tc>
        <w:tc>
          <w:tcPr>
            <w:tcW w:w="2325" w:type="pct"/>
          </w:tcPr>
          <w:p w14:paraId="192216E5"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04BB19AE" w14:textId="77777777" w:rsidTr="002C366E">
        <w:trPr>
          <w:cantSplit/>
        </w:trPr>
        <w:tc>
          <w:tcPr>
            <w:tcW w:w="308" w:type="pct"/>
          </w:tcPr>
          <w:p w14:paraId="4732DC04"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165.</w:t>
            </w:r>
          </w:p>
        </w:tc>
        <w:tc>
          <w:tcPr>
            <w:tcW w:w="2325" w:type="pct"/>
          </w:tcPr>
          <w:p w14:paraId="052F5ACD"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7485CDC9" w14:textId="77777777" w:rsidTr="002C366E">
        <w:trPr>
          <w:cantSplit/>
        </w:trPr>
        <w:tc>
          <w:tcPr>
            <w:tcW w:w="308" w:type="pct"/>
          </w:tcPr>
          <w:p w14:paraId="18D4EC53"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166.</w:t>
            </w:r>
          </w:p>
        </w:tc>
        <w:tc>
          <w:tcPr>
            <w:tcW w:w="2325" w:type="pct"/>
          </w:tcPr>
          <w:p w14:paraId="3B7AE3E6"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Le Secrétariat transmet au Comité</w:t>
            </w:r>
            <w:r>
              <w:rPr>
                <w:rFonts w:ascii="Arial" w:hAnsi="Arial"/>
                <w:sz w:val="22"/>
              </w:rPr>
              <w:t>,</w:t>
            </w:r>
            <w:r w:rsidRPr="00BD7E1D">
              <w:rPr>
                <w:rFonts w:ascii="Arial" w:hAnsi="Arial"/>
                <w:sz w:val="22"/>
              </w:rPr>
              <w:t xml:space="preserve"> quatre semaines avant sa session,</w:t>
            </w:r>
            <w:r>
              <w:rPr>
                <w:rFonts w:ascii="Arial" w:hAnsi="Arial"/>
                <w:sz w:val="22"/>
              </w:rPr>
              <w:t xml:space="preserve"> </w:t>
            </w:r>
            <w:r w:rsidRPr="00BD7E1D">
              <w:rPr>
                <w:rFonts w:ascii="Arial" w:hAnsi="Arial"/>
                <w:sz w:val="22"/>
              </w:rPr>
              <w:t xml:space="preserve">un aperçu de tous les rapports reçus conformément </w:t>
            </w:r>
            <w:r w:rsidRPr="001D540D">
              <w:rPr>
                <w:rFonts w:ascii="Arial" w:hAnsi="Arial"/>
                <w:strike/>
                <w:sz w:val="22"/>
              </w:rPr>
              <w:t>au paragraphe</w:t>
            </w:r>
            <w:r>
              <w:rPr>
                <w:rFonts w:ascii="Arial" w:hAnsi="Arial"/>
                <w:sz w:val="22"/>
              </w:rPr>
              <w:t xml:space="preserve"> </w:t>
            </w:r>
            <w:r w:rsidRPr="001D540D">
              <w:rPr>
                <w:rFonts w:ascii="Arial" w:hAnsi="Arial"/>
                <w:b/>
                <w:bCs/>
                <w:sz w:val="22"/>
                <w:u w:val="single"/>
              </w:rPr>
              <w:t>aux paragraphes</w:t>
            </w:r>
            <w:r w:rsidRPr="00BD7E1D">
              <w:rPr>
                <w:rFonts w:ascii="Arial" w:hAnsi="Arial"/>
                <w:sz w:val="22"/>
              </w:rPr>
              <w:t xml:space="preserve"> 152 </w:t>
            </w:r>
            <w:r w:rsidRPr="00BD7E1D">
              <w:rPr>
                <w:rFonts w:ascii="Arial" w:hAnsi="Arial"/>
                <w:b/>
                <w:sz w:val="22"/>
                <w:u w:val="single"/>
              </w:rPr>
              <w:t xml:space="preserve">et </w:t>
            </w:r>
            <w:r w:rsidRPr="00130CB1">
              <w:rPr>
                <w:rFonts w:ascii="Arial" w:hAnsi="Arial"/>
                <w:b/>
                <w:sz w:val="22"/>
                <w:u w:val="single"/>
              </w:rPr>
              <w:t>161</w:t>
            </w:r>
            <w:r>
              <w:rPr>
                <w:rFonts w:ascii="Arial" w:hAnsi="Arial"/>
                <w:b/>
                <w:sz w:val="22"/>
                <w:u w:val="single"/>
              </w:rPr>
              <w:t>, en conformité avec un calendrier établi par le Comité</w:t>
            </w:r>
            <w:r w:rsidRPr="001D540D">
              <w:rPr>
                <w:rFonts w:ascii="Arial" w:hAnsi="Arial"/>
                <w:bCs/>
                <w:sz w:val="22"/>
              </w:rPr>
              <w:t xml:space="preserve">. </w:t>
            </w:r>
            <w:r>
              <w:rPr>
                <w:rFonts w:ascii="Arial" w:hAnsi="Arial"/>
                <w:sz w:val="22"/>
              </w:rPr>
              <w:t xml:space="preserve">Cet </w:t>
            </w:r>
            <w:r w:rsidRPr="00BD7E1D">
              <w:rPr>
                <w:rFonts w:ascii="Arial" w:hAnsi="Arial"/>
                <w:sz w:val="22"/>
              </w:rPr>
              <w:t xml:space="preserve">aperçu est également mis en ligne pour consultation publique, </w:t>
            </w:r>
            <w:r>
              <w:rPr>
                <w:rFonts w:ascii="Arial" w:hAnsi="Arial"/>
                <w:sz w:val="22"/>
              </w:rPr>
              <w:t>de même</w:t>
            </w:r>
            <w:r w:rsidRPr="00BD7E1D">
              <w:rPr>
                <w:rFonts w:ascii="Arial" w:hAnsi="Arial"/>
                <w:sz w:val="22"/>
              </w:rPr>
              <w:t xml:space="preserve"> que les rapports reçus conformément aux paragraphes 152 et 161, dans la langue dans laquelle ils ont été soumis par les États parties, </w:t>
            </w:r>
            <w:r>
              <w:rPr>
                <w:rFonts w:ascii="Arial" w:hAnsi="Arial"/>
                <w:sz w:val="22"/>
              </w:rPr>
              <w:t>sauf si</w:t>
            </w:r>
            <w:r w:rsidRPr="00BD7E1D">
              <w:rPr>
                <w:rFonts w:ascii="Arial" w:hAnsi="Arial"/>
                <w:sz w:val="22"/>
              </w:rPr>
              <w:t xml:space="preserve"> le Comité en décide autrement dans </w:t>
            </w:r>
            <w:r>
              <w:rPr>
                <w:rFonts w:ascii="Arial" w:hAnsi="Arial"/>
                <w:sz w:val="22"/>
              </w:rPr>
              <w:t>des</w:t>
            </w:r>
            <w:r w:rsidRPr="00BD7E1D">
              <w:rPr>
                <w:rFonts w:ascii="Arial" w:hAnsi="Arial"/>
                <w:sz w:val="22"/>
              </w:rPr>
              <w:t xml:space="preserve"> cas exceptionnels.</w:t>
            </w:r>
            <w:r>
              <w:rPr>
                <w:rFonts w:ascii="Arial" w:hAnsi="Arial"/>
                <w:sz w:val="22"/>
              </w:rPr>
              <w:t xml:space="preserve"> </w:t>
            </w:r>
          </w:p>
        </w:tc>
      </w:tr>
      <w:tr w:rsidR="00B6151A" w:rsidRPr="00BD7E1D" w14:paraId="76145BE9" w14:textId="77777777" w:rsidTr="002C366E">
        <w:trPr>
          <w:cantSplit/>
        </w:trPr>
        <w:tc>
          <w:tcPr>
            <w:tcW w:w="308" w:type="pct"/>
          </w:tcPr>
          <w:p w14:paraId="4C34930D"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167.</w:t>
            </w:r>
          </w:p>
        </w:tc>
        <w:tc>
          <w:tcPr>
            <w:tcW w:w="2325" w:type="pct"/>
          </w:tcPr>
          <w:p w14:paraId="17FA3D74"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034943D8" w14:textId="77777777" w:rsidTr="002C366E">
        <w:trPr>
          <w:cantSplit/>
        </w:trPr>
        <w:tc>
          <w:tcPr>
            <w:tcW w:w="308" w:type="pct"/>
          </w:tcPr>
          <w:p w14:paraId="0616F282" w14:textId="77777777" w:rsidR="00B6151A" w:rsidRPr="00BD7E1D" w:rsidRDefault="00B6151A" w:rsidP="002C366E">
            <w:pPr>
              <w:spacing w:before="120" w:after="120"/>
              <w:jc w:val="both"/>
              <w:rPr>
                <w:rFonts w:ascii="Arial" w:hAnsi="Arial" w:cs="Arial"/>
                <w:sz w:val="22"/>
                <w:szCs w:val="22"/>
              </w:rPr>
            </w:pPr>
            <w:r w:rsidRPr="00BD7E1D">
              <w:rPr>
                <w:rFonts w:ascii="Arial" w:hAnsi="Arial"/>
                <w:b/>
                <w:sz w:val="22"/>
              </w:rPr>
              <w:t>V.4</w:t>
            </w:r>
          </w:p>
        </w:tc>
        <w:tc>
          <w:tcPr>
            <w:tcW w:w="2325" w:type="pct"/>
          </w:tcPr>
          <w:p w14:paraId="39621841"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1A15F071" w14:textId="77777777" w:rsidTr="002C366E">
        <w:trPr>
          <w:cantSplit/>
        </w:trPr>
        <w:tc>
          <w:tcPr>
            <w:tcW w:w="308" w:type="pct"/>
          </w:tcPr>
          <w:p w14:paraId="2CBC5ADC"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168.</w:t>
            </w:r>
          </w:p>
        </w:tc>
        <w:tc>
          <w:tcPr>
            <w:tcW w:w="2325" w:type="pct"/>
          </w:tcPr>
          <w:p w14:paraId="50F675E7" w14:textId="77777777" w:rsidR="00B6151A" w:rsidRPr="00BD7E1D" w:rsidRDefault="00B6151A" w:rsidP="002C366E">
            <w:pPr>
              <w:spacing w:before="120" w:after="120"/>
              <w:jc w:val="both"/>
              <w:rPr>
                <w:rFonts w:ascii="Arial" w:hAnsi="Arial" w:cs="Arial"/>
                <w:sz w:val="22"/>
                <w:szCs w:val="22"/>
              </w:rPr>
            </w:pPr>
            <w:r w:rsidRPr="00BD7E1D">
              <w:rPr>
                <w:rFonts w:ascii="Arial" w:hAnsi="Arial"/>
                <w:sz w:val="22"/>
              </w:rPr>
              <w:t xml:space="preserve">Aucun </w:t>
            </w:r>
            <w:r>
              <w:rPr>
                <w:rFonts w:ascii="Arial" w:hAnsi="Arial"/>
                <w:sz w:val="22"/>
              </w:rPr>
              <w:t>changement</w:t>
            </w:r>
            <w:r w:rsidRPr="00BD7E1D">
              <w:rPr>
                <w:rFonts w:ascii="Arial" w:hAnsi="Arial"/>
                <w:sz w:val="22"/>
              </w:rPr>
              <w:t>.</w:t>
            </w:r>
          </w:p>
        </w:tc>
      </w:tr>
      <w:tr w:rsidR="00B6151A" w:rsidRPr="00BD7E1D" w14:paraId="34C1E0E2" w14:textId="77777777" w:rsidTr="002C366E">
        <w:trPr>
          <w:cantSplit/>
        </w:trPr>
        <w:tc>
          <w:tcPr>
            <w:tcW w:w="308" w:type="pct"/>
          </w:tcPr>
          <w:p w14:paraId="56B5EA81" w14:textId="77777777" w:rsidR="00B6151A" w:rsidRPr="00BD7E1D" w:rsidRDefault="00B6151A" w:rsidP="002C366E">
            <w:pPr>
              <w:jc w:val="both"/>
              <w:rPr>
                <w:rFonts w:ascii="Arial" w:hAnsi="Arial" w:cs="Arial"/>
                <w:sz w:val="22"/>
                <w:szCs w:val="22"/>
              </w:rPr>
            </w:pPr>
            <w:r w:rsidRPr="00BD7E1D">
              <w:rPr>
                <w:rFonts w:ascii="Arial" w:hAnsi="Arial"/>
                <w:sz w:val="22"/>
              </w:rPr>
              <w:t>169.</w:t>
            </w:r>
          </w:p>
        </w:tc>
        <w:tc>
          <w:tcPr>
            <w:tcW w:w="2325" w:type="pct"/>
          </w:tcPr>
          <w:p w14:paraId="1BF22D55" w14:textId="77777777" w:rsidR="00B6151A" w:rsidRPr="00BD7E1D" w:rsidRDefault="00B6151A" w:rsidP="002C366E">
            <w:pPr>
              <w:jc w:val="both"/>
              <w:rPr>
                <w:rFonts w:ascii="Arial" w:hAnsi="Arial" w:cs="Arial"/>
                <w:sz w:val="22"/>
                <w:szCs w:val="22"/>
              </w:rPr>
            </w:pPr>
            <w:r w:rsidRPr="00BD7E1D">
              <w:rPr>
                <w:rFonts w:ascii="Arial" w:hAnsi="Arial"/>
                <w:sz w:val="22"/>
              </w:rPr>
              <w:t xml:space="preserve">Ces rapports sont </w:t>
            </w:r>
            <w:r>
              <w:rPr>
                <w:rFonts w:ascii="Arial" w:hAnsi="Arial"/>
                <w:sz w:val="22"/>
              </w:rPr>
              <w:t>présentés</w:t>
            </w:r>
            <w:r w:rsidRPr="00BD7E1D">
              <w:rPr>
                <w:rFonts w:ascii="Arial" w:hAnsi="Arial"/>
                <w:sz w:val="22"/>
              </w:rPr>
              <w:t xml:space="preserve"> au Comité par les États </w:t>
            </w:r>
            <w:proofErr w:type="gramStart"/>
            <w:r w:rsidRPr="00BD7E1D">
              <w:rPr>
                <w:rFonts w:ascii="Arial" w:hAnsi="Arial"/>
                <w:sz w:val="22"/>
              </w:rPr>
              <w:t>non</w:t>
            </w:r>
            <w:r>
              <w:rPr>
                <w:rFonts w:ascii="Arial" w:hAnsi="Arial"/>
                <w:sz w:val="22"/>
              </w:rPr>
              <w:t xml:space="preserve"> </w:t>
            </w:r>
            <w:r w:rsidRPr="001D540D">
              <w:rPr>
                <w:rFonts w:ascii="Arial" w:hAnsi="Arial"/>
                <w:bCs/>
                <w:sz w:val="22"/>
              </w:rPr>
              <w:t>parties</w:t>
            </w:r>
            <w:proofErr w:type="gramEnd"/>
            <w:r w:rsidRPr="001D540D">
              <w:rPr>
                <w:rFonts w:ascii="Arial" w:hAnsi="Arial"/>
                <w:bCs/>
                <w:sz w:val="22"/>
              </w:rPr>
              <w:t xml:space="preserve"> </w:t>
            </w:r>
            <w:r w:rsidRPr="00BD7E1D">
              <w:rPr>
                <w:rFonts w:ascii="Arial" w:hAnsi="Arial"/>
                <w:sz w:val="22"/>
              </w:rPr>
              <w:t xml:space="preserve">au plus tard le </w:t>
            </w:r>
            <w:r w:rsidRPr="00BD7E1D">
              <w:rPr>
                <w:rFonts w:ascii="Arial" w:hAnsi="Arial"/>
                <w:strike/>
                <w:sz w:val="22"/>
              </w:rPr>
              <w:t xml:space="preserve">15 décembre </w:t>
            </w:r>
            <w:r w:rsidRPr="00E477B0">
              <w:rPr>
                <w:rFonts w:ascii="Arial" w:hAnsi="Arial"/>
                <w:strike/>
                <w:sz w:val="22"/>
              </w:rPr>
              <w:t xml:space="preserve">2014 </w:t>
            </w:r>
            <w:r w:rsidRPr="001D540D">
              <w:rPr>
                <w:rFonts w:ascii="Arial" w:hAnsi="Arial"/>
                <w:strike/>
                <w:sz w:val="22"/>
              </w:rPr>
              <w:t xml:space="preserve">et ensuite tous les </w:t>
            </w:r>
            <w:r w:rsidRPr="00E477B0">
              <w:rPr>
                <w:rFonts w:ascii="Arial" w:hAnsi="Arial"/>
                <w:strike/>
                <w:sz w:val="22"/>
              </w:rPr>
              <w:t>six</w:t>
            </w:r>
            <w:r>
              <w:rPr>
                <w:rFonts w:ascii="Arial" w:hAnsi="Arial"/>
                <w:strike/>
                <w:sz w:val="22"/>
              </w:rPr>
              <w:t xml:space="preserve"> ans</w:t>
            </w:r>
            <w:r w:rsidRPr="00BD7E1D">
              <w:rPr>
                <w:rFonts w:ascii="Arial" w:hAnsi="Arial"/>
                <w:sz w:val="22"/>
              </w:rPr>
              <w:t xml:space="preserve"> </w:t>
            </w:r>
            <w:r w:rsidRPr="00BD7E1D">
              <w:rPr>
                <w:rFonts w:ascii="Arial" w:hAnsi="Arial"/>
                <w:b/>
                <w:color w:val="000000"/>
                <w:sz w:val="22"/>
                <w:u w:val="single"/>
              </w:rPr>
              <w:t xml:space="preserve">30 </w:t>
            </w:r>
            <w:r w:rsidRPr="00E477B0">
              <w:rPr>
                <w:rFonts w:ascii="Arial" w:hAnsi="Arial"/>
                <w:b/>
                <w:color w:val="000000"/>
                <w:sz w:val="22"/>
                <w:u w:val="single"/>
              </w:rPr>
              <w:t>juin</w:t>
            </w:r>
            <w:r w:rsidRPr="001D540D">
              <w:rPr>
                <w:rFonts w:ascii="Arial" w:hAnsi="Arial"/>
                <w:b/>
                <w:sz w:val="22"/>
                <w:u w:val="single"/>
              </w:rPr>
              <w:t xml:space="preserve"> tous les quatre</w:t>
            </w:r>
            <w:r w:rsidRPr="001D540D">
              <w:rPr>
                <w:rFonts w:ascii="Arial" w:hAnsi="Arial"/>
                <w:b/>
                <w:bCs/>
                <w:sz w:val="22"/>
                <w:u w:val="single"/>
              </w:rPr>
              <w:t xml:space="preserve"> ans</w:t>
            </w:r>
            <w:r>
              <w:rPr>
                <w:rFonts w:ascii="Arial" w:hAnsi="Arial"/>
                <w:b/>
                <w:bCs/>
                <w:sz w:val="22"/>
                <w:u w:val="single"/>
              </w:rPr>
              <w:t>,</w:t>
            </w:r>
            <w:r w:rsidRPr="001D540D">
              <w:rPr>
                <w:rFonts w:ascii="Arial" w:hAnsi="Arial"/>
                <w:b/>
                <w:bCs/>
                <w:sz w:val="22"/>
                <w:u w:val="single"/>
              </w:rPr>
              <w:t xml:space="preserve"> sur la base d’un calendrier établi par le Comité</w:t>
            </w:r>
            <w:r w:rsidRPr="00BD7E1D">
              <w:rPr>
                <w:rFonts w:ascii="Arial" w:hAnsi="Arial"/>
                <w:sz w:val="22"/>
              </w:rPr>
              <w:t>. Le formulaire ICH-10 est utilisé pour ces rapports</w:t>
            </w:r>
            <w:r>
              <w:rPr>
                <w:rFonts w:ascii="Arial" w:hAnsi="Arial"/>
                <w:sz w:val="22"/>
              </w:rPr>
              <w:t>,</w:t>
            </w:r>
            <w:r w:rsidRPr="00BD7E1D">
              <w:rPr>
                <w:rFonts w:ascii="Arial" w:hAnsi="Arial"/>
                <w:sz w:val="22"/>
              </w:rPr>
              <w:t xml:space="preserve"> il peut être rempli en ligne par chaque État concerné (</w:t>
            </w:r>
            <w:hyperlink r:id="rId57" w:history="1">
              <w:r w:rsidRPr="001D540D">
                <w:rPr>
                  <w:rStyle w:val="Hyperlink"/>
                  <w:rFonts w:ascii="Arial" w:hAnsi="Arial"/>
                  <w:b/>
                  <w:bCs/>
                  <w:sz w:val="22"/>
                </w:rPr>
                <w:t>https://ich.unesco.org</w:t>
              </w:r>
            </w:hyperlink>
            <w:r w:rsidRPr="00BD7E1D">
              <w:rPr>
                <w:rFonts w:ascii="Arial" w:hAnsi="Arial"/>
                <w:sz w:val="22"/>
              </w:rPr>
              <w:t>)</w:t>
            </w:r>
            <w:r>
              <w:rPr>
                <w:rFonts w:ascii="Arial" w:hAnsi="Arial"/>
                <w:sz w:val="22"/>
              </w:rPr>
              <w:t>,</w:t>
            </w:r>
            <w:r w:rsidRPr="00BD7E1D">
              <w:rPr>
                <w:rFonts w:ascii="Arial" w:hAnsi="Arial"/>
                <w:sz w:val="22"/>
              </w:rPr>
              <w:t xml:space="preserve"> et </w:t>
            </w:r>
            <w:r>
              <w:rPr>
                <w:rFonts w:ascii="Arial" w:hAnsi="Arial"/>
                <w:sz w:val="22"/>
              </w:rPr>
              <w:t xml:space="preserve">il </w:t>
            </w:r>
            <w:r w:rsidRPr="00BD7E1D">
              <w:rPr>
                <w:rFonts w:ascii="Arial" w:hAnsi="Arial"/>
                <w:sz w:val="22"/>
              </w:rPr>
              <w:t xml:space="preserve">est révisé par le </w:t>
            </w:r>
            <w:r>
              <w:rPr>
                <w:rFonts w:ascii="Arial" w:hAnsi="Arial"/>
                <w:sz w:val="22"/>
              </w:rPr>
              <w:t>S</w:t>
            </w:r>
            <w:r w:rsidRPr="00BD7E1D">
              <w:rPr>
                <w:rFonts w:ascii="Arial" w:hAnsi="Arial"/>
                <w:sz w:val="22"/>
              </w:rPr>
              <w:t xml:space="preserve">ecrétariat à intervalles </w:t>
            </w:r>
            <w:r>
              <w:rPr>
                <w:rFonts w:ascii="Arial" w:hAnsi="Arial"/>
                <w:sz w:val="22"/>
              </w:rPr>
              <w:t>appropriés</w:t>
            </w:r>
            <w:r w:rsidRPr="00BD7E1D">
              <w:rPr>
                <w:rFonts w:ascii="Arial" w:hAnsi="Arial"/>
                <w:sz w:val="22"/>
              </w:rPr>
              <w:t>.</w:t>
            </w:r>
          </w:p>
        </w:tc>
      </w:tr>
    </w:tbl>
    <w:p w14:paraId="5DB7B3DF" w14:textId="77777777" w:rsidR="00C7599B" w:rsidRPr="00503070" w:rsidRDefault="00C7599B" w:rsidP="00C7599B">
      <w:pPr>
        <w:pStyle w:val="COMTitleDecision"/>
      </w:pPr>
      <w:r w:rsidRPr="00503070">
        <w:t>DÉCISION 20.COM 7</w:t>
      </w:r>
    </w:p>
    <w:p w14:paraId="6B7C5284" w14:textId="77777777" w:rsidR="00C7599B" w:rsidRPr="00503070" w:rsidRDefault="00C7599B" w:rsidP="00C7599B">
      <w:pPr>
        <w:keepNext/>
        <w:keepLines/>
        <w:spacing w:after="120"/>
        <w:jc w:val="both"/>
        <w:rPr>
          <w:rFonts w:asciiTheme="minorBidi" w:hAnsiTheme="minorBidi" w:cstheme="minorBidi"/>
          <w:sz w:val="22"/>
          <w:szCs w:val="22"/>
        </w:rPr>
      </w:pPr>
      <w:r w:rsidRPr="00503070">
        <w:rPr>
          <w:rFonts w:asciiTheme="minorBidi" w:hAnsiTheme="minorBidi" w:cstheme="minorBidi"/>
          <w:sz w:val="22"/>
          <w:szCs w:val="22"/>
        </w:rPr>
        <w:t>Le Comité,</w:t>
      </w:r>
    </w:p>
    <w:p w14:paraId="1B76905C"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le chapitre I des Directives opérationnelles, ainsi que les résultats de la réflexion globale sur les mécanismes d’inscription sur les listes tels que présentés dans le document </w:t>
      </w:r>
      <w:hyperlink r:id="rId58" w:history="1">
        <w:r w:rsidRPr="00503070">
          <w:rPr>
            <w:rStyle w:val="Hyperlink"/>
            <w:rFonts w:ascii="Arial" w:hAnsi="Arial" w:cs="Arial"/>
            <w:sz w:val="22"/>
            <w:szCs w:val="22"/>
          </w:rPr>
          <w:t>LHE/24/19.COM/7</w:t>
        </w:r>
      </w:hyperlink>
      <w:r w:rsidRPr="00503070">
        <w:rPr>
          <w:rFonts w:ascii="Arial" w:hAnsi="Arial" w:cs="Arial"/>
          <w:sz w:val="22"/>
          <w:szCs w:val="22"/>
        </w:rPr>
        <w:t>,</w:t>
      </w:r>
    </w:p>
    <w:p w14:paraId="2E8CDD62"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Ayant examiné</w:t>
      </w:r>
      <w:r w:rsidRPr="00503070">
        <w:rPr>
          <w:rFonts w:ascii="Arial" w:hAnsi="Arial" w:cs="Arial"/>
          <w:sz w:val="22"/>
          <w:szCs w:val="22"/>
        </w:rPr>
        <w:t xml:space="preserve"> les documents </w:t>
      </w:r>
      <w:hyperlink r:id="rId59" w:history="1">
        <w:r w:rsidRPr="00503070">
          <w:rPr>
            <w:rStyle w:val="Hyperlink"/>
            <w:rFonts w:ascii="Arial" w:hAnsi="Arial" w:cs="Arial"/>
            <w:sz w:val="22"/>
            <w:szCs w:val="22"/>
          </w:rPr>
          <w:t>LHE/25/20.COM/7</w:t>
        </w:r>
      </w:hyperlink>
      <w:r w:rsidRPr="00503070">
        <w:rPr>
          <w:rFonts w:ascii="Arial" w:hAnsi="Arial" w:cs="Arial"/>
          <w:sz w:val="22"/>
          <w:szCs w:val="22"/>
        </w:rPr>
        <w:t xml:space="preserve">, </w:t>
      </w:r>
      <w:hyperlink r:id="rId60" w:history="1">
        <w:r w:rsidRPr="00503070">
          <w:rPr>
            <w:rStyle w:val="Hyperlink"/>
            <w:rFonts w:ascii="Arial" w:hAnsi="Arial" w:cs="Arial"/>
            <w:sz w:val="22"/>
            <w:szCs w:val="22"/>
          </w:rPr>
          <w:t>LHE/25/20.COM/7.a</w:t>
        </w:r>
      </w:hyperlink>
      <w:r w:rsidRPr="00503070">
        <w:rPr>
          <w:rFonts w:ascii="Arial" w:hAnsi="Arial" w:cs="Arial"/>
          <w:sz w:val="22"/>
          <w:szCs w:val="22"/>
        </w:rPr>
        <w:t xml:space="preserve">, </w:t>
      </w:r>
      <w:hyperlink r:id="rId61" w:history="1">
        <w:r w:rsidRPr="00503070">
          <w:rPr>
            <w:rStyle w:val="Hyperlink"/>
            <w:rFonts w:ascii="Arial" w:hAnsi="Arial" w:cs="Arial"/>
            <w:sz w:val="22"/>
            <w:szCs w:val="22"/>
          </w:rPr>
          <w:t>LHE/25/20.COM/7.b </w:t>
        </w:r>
        <w:proofErr w:type="spellStart"/>
        <w:r w:rsidRPr="00503070">
          <w:rPr>
            <w:rStyle w:val="Hyperlink"/>
            <w:rFonts w:ascii="Arial" w:hAnsi="Arial" w:cs="Arial"/>
            <w:sz w:val="22"/>
            <w:szCs w:val="22"/>
          </w:rPr>
          <w:t>Add</w:t>
        </w:r>
        <w:proofErr w:type="spellEnd"/>
      </w:hyperlink>
      <w:r w:rsidRPr="00503070">
        <w:rPr>
          <w:rFonts w:ascii="Arial" w:hAnsi="Arial" w:cs="Arial"/>
          <w:sz w:val="22"/>
          <w:szCs w:val="22"/>
        </w:rPr>
        <w:t xml:space="preserve">., </w:t>
      </w:r>
      <w:hyperlink r:id="rId62" w:history="1">
        <w:r w:rsidRPr="00503070">
          <w:rPr>
            <w:rStyle w:val="Hyperlink"/>
            <w:rFonts w:ascii="Arial" w:hAnsi="Arial" w:cs="Arial"/>
            <w:sz w:val="22"/>
            <w:szCs w:val="22"/>
          </w:rPr>
          <w:t>LHE/25/20.COM/7.c</w:t>
        </w:r>
      </w:hyperlink>
      <w:r w:rsidRPr="00503070">
        <w:rPr>
          <w:rFonts w:ascii="Arial" w:hAnsi="Arial" w:cs="Arial"/>
          <w:sz w:val="22"/>
          <w:szCs w:val="22"/>
        </w:rPr>
        <w:t xml:space="preserve"> et </w:t>
      </w:r>
      <w:hyperlink r:id="rId63" w:history="1">
        <w:r w:rsidRPr="00503070">
          <w:rPr>
            <w:rStyle w:val="Hyperlink"/>
            <w:rFonts w:ascii="Arial" w:hAnsi="Arial" w:cs="Arial"/>
            <w:sz w:val="22"/>
            <w:szCs w:val="22"/>
          </w:rPr>
          <w:t>LHE/25/20.COM/7.d</w:t>
        </w:r>
      </w:hyperlink>
      <w:r w:rsidRPr="00503070">
        <w:rPr>
          <w:rFonts w:ascii="Arial" w:hAnsi="Arial" w:cs="Arial"/>
          <w:sz w:val="22"/>
          <w:szCs w:val="22"/>
        </w:rPr>
        <w:t>, ainsi que les dossiers soumis par les États parties respectifs,</w:t>
      </w:r>
    </w:p>
    <w:p w14:paraId="6D15C8C6"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Exprime sa satisfaction</w:t>
      </w:r>
      <w:r w:rsidRPr="00503070">
        <w:rPr>
          <w:rFonts w:ascii="Arial" w:hAnsi="Arial" w:cs="Arial"/>
          <w:sz w:val="22"/>
          <w:szCs w:val="22"/>
        </w:rPr>
        <w:t xml:space="preserve"> quant au travail de l’Organe d’évaluation, </w:t>
      </w:r>
      <w:r w:rsidRPr="00503070">
        <w:rPr>
          <w:rFonts w:ascii="Arial" w:hAnsi="Arial" w:cs="Arial"/>
          <w:sz w:val="22"/>
          <w:szCs w:val="22"/>
          <w:u w:val="single"/>
        </w:rPr>
        <w:t>remercie</w:t>
      </w:r>
      <w:r w:rsidRPr="00503070">
        <w:rPr>
          <w:rFonts w:ascii="Arial" w:hAnsi="Arial" w:cs="Arial"/>
          <w:sz w:val="22"/>
          <w:szCs w:val="22"/>
        </w:rPr>
        <w:t xml:space="preserve"> ses membres pour la pertinence du présent rapport et pour leurs efforts visant à poursuivre la mise en œuvre des résultats de la réflexion globale sur les mécanismes d’inscription sur les listes, et </w:t>
      </w:r>
      <w:r w:rsidRPr="00503070">
        <w:rPr>
          <w:rFonts w:ascii="Arial" w:hAnsi="Arial" w:cs="Arial"/>
          <w:sz w:val="22"/>
          <w:szCs w:val="22"/>
          <w:u w:val="single"/>
        </w:rPr>
        <w:t>apprécie</w:t>
      </w:r>
      <w:r w:rsidRPr="00503070">
        <w:rPr>
          <w:rFonts w:ascii="Arial" w:hAnsi="Arial" w:cs="Arial"/>
          <w:sz w:val="22"/>
          <w:szCs w:val="22"/>
        </w:rPr>
        <w:t xml:space="preserve"> l’assistance apportée par le Secrétariat pour faciliter le travail de l’Organe d’évaluation ;</w:t>
      </w:r>
    </w:p>
    <w:p w14:paraId="77C43B67"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qui ont soumis des candidatures pour la première fois ou qui ont présenté des candidatures qui pourraient servir de bons exemples pour de futures candidatures, et </w:t>
      </w:r>
      <w:r w:rsidRPr="00503070">
        <w:rPr>
          <w:rFonts w:ascii="Arial" w:hAnsi="Arial" w:cs="Arial"/>
          <w:sz w:val="22"/>
          <w:szCs w:val="22"/>
          <w:u w:val="single"/>
        </w:rPr>
        <w:t>note avec satisfaction</w:t>
      </w:r>
      <w:r w:rsidRPr="00503070">
        <w:rPr>
          <w:rFonts w:ascii="Arial" w:hAnsi="Arial" w:cs="Arial"/>
          <w:sz w:val="22"/>
          <w:szCs w:val="22"/>
        </w:rPr>
        <w:t xml:space="preserve"> l’amélioration globale de la qualité des dossiers ;</w:t>
      </w:r>
    </w:p>
    <w:p w14:paraId="3E27D8C7"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les candidatures traitées dans le cadre du cycle 2025 représentent une répartition géographique équilibrée, démontrant les capacités et l’engagement accrus des États parties et des communautés de toutes les régions ;</w:t>
      </w:r>
    </w:p>
    <w:p w14:paraId="19B41599"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Prend note en outre</w:t>
      </w:r>
      <w:r w:rsidRPr="00503070">
        <w:rPr>
          <w:rFonts w:ascii="Arial" w:hAnsi="Arial" w:cs="Arial"/>
          <w:sz w:val="22"/>
          <w:szCs w:val="22"/>
        </w:rPr>
        <w:t xml:space="preserve"> du nombre élevé de candidatures à la Liste du patrimoine culturel immatériel nécessitant une sauvegarde urgente examinées au cours de ce cycle, et </w:t>
      </w:r>
      <w:r w:rsidRPr="00503070">
        <w:rPr>
          <w:rFonts w:ascii="Arial" w:hAnsi="Arial" w:cs="Arial"/>
          <w:sz w:val="22"/>
          <w:szCs w:val="22"/>
          <w:u w:val="single"/>
        </w:rPr>
        <w:t>encourage</w:t>
      </w:r>
      <w:r w:rsidRPr="00503070">
        <w:rPr>
          <w:rFonts w:ascii="Arial" w:hAnsi="Arial" w:cs="Arial"/>
          <w:sz w:val="22"/>
          <w:szCs w:val="22"/>
        </w:rPr>
        <w:t xml:space="preserve"> les États parties à poursuivre leurs efforts pour renforcer la viabilité du patrimoine culturel immatériel dont la viabilité est menacée ;</w:t>
      </w:r>
    </w:p>
    <w:p w14:paraId="2CAD571D"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Rappelle</w:t>
      </w:r>
      <w:r w:rsidRPr="00503070">
        <w:rPr>
          <w:rFonts w:ascii="Arial" w:hAnsi="Arial" w:cs="Arial"/>
          <w:sz w:val="22"/>
          <w:szCs w:val="22"/>
        </w:rPr>
        <w:t xml:space="preserve"> que les désignations employées dans les textes et documents présentés par les États parties soumissionnaires n’impliquent l’expression d’aucune opinion de la part du Comité </w:t>
      </w:r>
      <w:r w:rsidRPr="00503070">
        <w:rPr>
          <w:rFonts w:ascii="Arial" w:hAnsi="Arial" w:cs="Arial"/>
          <w:sz w:val="22"/>
          <w:szCs w:val="22"/>
        </w:rPr>
        <w:lastRenderedPageBreak/>
        <w:t>ou de l’UNESCO concernant a) le statut juridique de tout pays, territoire, ville ou zone, b) le statut juridique de ses autorités, c) la délimitation de ses frontières ou limites, ou d) des références à des événements historiques spécifiques ;</w:t>
      </w:r>
    </w:p>
    <w:p w14:paraId="10F3C6C9" w14:textId="77777777" w:rsidR="00C7599B" w:rsidRPr="00503070" w:rsidRDefault="00C7599B" w:rsidP="00C7599B">
      <w:pPr>
        <w:spacing w:after="120"/>
        <w:jc w:val="both"/>
        <w:rPr>
          <w:rFonts w:ascii="Arial" w:hAnsi="Arial" w:cs="Arial"/>
          <w:b/>
          <w:bCs/>
          <w:sz w:val="22"/>
          <w:szCs w:val="22"/>
        </w:rPr>
      </w:pPr>
      <w:r w:rsidRPr="00503070">
        <w:rPr>
          <w:rFonts w:ascii="Arial" w:hAnsi="Arial" w:cs="Arial"/>
          <w:b/>
          <w:bCs/>
          <w:sz w:val="22"/>
          <w:szCs w:val="22"/>
        </w:rPr>
        <w:t>Méthodes de travail</w:t>
      </w:r>
    </w:p>
    <w:p w14:paraId="731DB8ED"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Prend également note</w:t>
      </w:r>
      <w:r w:rsidRPr="00503070">
        <w:rPr>
          <w:rFonts w:ascii="Arial" w:hAnsi="Arial" w:cs="Arial"/>
          <w:sz w:val="22"/>
          <w:szCs w:val="22"/>
        </w:rPr>
        <w:t xml:space="preserve"> de l’expérience acquise par l’Organe d’évaluation dans l’examen des dossiers au cours de ce deuxième cycle suivant la réflexion globale sur les mécanismes d’inscription sur les listes, et </w:t>
      </w:r>
      <w:r w:rsidRPr="00503070">
        <w:rPr>
          <w:rFonts w:ascii="Arial" w:hAnsi="Arial" w:cs="Arial"/>
          <w:sz w:val="22"/>
          <w:szCs w:val="22"/>
          <w:u w:val="single"/>
        </w:rPr>
        <w:t>réaffirme</w:t>
      </w:r>
      <w:r w:rsidRPr="00503070">
        <w:rPr>
          <w:rFonts w:ascii="Arial" w:hAnsi="Arial" w:cs="Arial"/>
          <w:sz w:val="22"/>
          <w:szCs w:val="22"/>
        </w:rPr>
        <w:t xml:space="preserve"> la nécessité de continuer à effectuer le suivi de l’augmentation de la charge de travail de l’Organe d’évaluation, du Comité et du Secrétariat, en particulier en ce qui concerne les candidatures multinationales et les dossiers traités en dehors du plafond annuel ;</w:t>
      </w:r>
    </w:p>
    <w:p w14:paraId="564C46DF"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Exprime son appréciation continue</w:t>
      </w:r>
      <w:r w:rsidRPr="00503070">
        <w:rPr>
          <w:rFonts w:ascii="Arial" w:hAnsi="Arial" w:cs="Arial"/>
          <w:sz w:val="22"/>
          <w:szCs w:val="22"/>
        </w:rPr>
        <w:t xml:space="preserve"> pour les efforts de l’Organe d’évaluation dans l’utilisation </w:t>
      </w:r>
      <w:proofErr w:type="gramStart"/>
      <w:r w:rsidRPr="00503070">
        <w:rPr>
          <w:rFonts w:ascii="Arial" w:hAnsi="Arial" w:cs="Arial"/>
          <w:sz w:val="22"/>
          <w:szCs w:val="22"/>
        </w:rPr>
        <w:t>la plus large possible</w:t>
      </w:r>
      <w:proofErr w:type="gramEnd"/>
      <w:r w:rsidRPr="00503070">
        <w:rPr>
          <w:rFonts w:ascii="Arial" w:hAnsi="Arial" w:cs="Arial"/>
          <w:sz w:val="22"/>
          <w:szCs w:val="22"/>
        </w:rPr>
        <w:t xml:space="preserve"> du processus de dialogue, contribuant ainsi à atteindre un meilleur équilibre géographique dans les mécanismes d’inscription sur les listes de la Convention, et </w:t>
      </w:r>
      <w:r w:rsidRPr="00503070">
        <w:rPr>
          <w:rFonts w:ascii="Arial" w:hAnsi="Arial" w:cs="Arial"/>
          <w:sz w:val="22"/>
          <w:szCs w:val="22"/>
          <w:u w:val="single"/>
        </w:rPr>
        <w:t>encourage</w:t>
      </w:r>
      <w:r w:rsidRPr="00503070">
        <w:rPr>
          <w:rFonts w:ascii="Arial" w:hAnsi="Arial" w:cs="Arial"/>
          <w:sz w:val="22"/>
          <w:szCs w:val="22"/>
        </w:rPr>
        <w:t xml:space="preserve"> l’Organe d’évaluation à poursuivre cette approche ;</w:t>
      </w:r>
    </w:p>
    <w:p w14:paraId="4747ACB5"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Se félicite</w:t>
      </w:r>
      <w:r w:rsidRPr="00503070">
        <w:rPr>
          <w:rFonts w:ascii="Arial" w:hAnsi="Arial" w:cs="Arial"/>
          <w:sz w:val="22"/>
          <w:szCs w:val="22"/>
        </w:rPr>
        <w:t xml:space="preserve"> des progrès accomplis dans la mise en œuvre de la possibilité de transférer des éléments inscrits d’une liste à l’autre et de l’inclusion simultanée de l’expérience de sauvegarde correspondante dans le Registre de bonnes pratiques de sauvegarde au sens du paragraphe 39.3 des Directives opérationnelles, comme moyen complémentaire d’enrichir la sélection des approches de sauvegarde réussies et d’accroître la visibilité du Registre et son interconnexion avec les listes de la Convention, et </w:t>
      </w:r>
      <w:r w:rsidRPr="00503070">
        <w:rPr>
          <w:rFonts w:ascii="Arial" w:hAnsi="Arial" w:cs="Arial"/>
          <w:sz w:val="22"/>
          <w:szCs w:val="22"/>
          <w:u w:val="single"/>
        </w:rPr>
        <w:t>recommande</w:t>
      </w:r>
      <w:r w:rsidRPr="00503070">
        <w:rPr>
          <w:rFonts w:ascii="Arial" w:hAnsi="Arial" w:cs="Arial"/>
          <w:sz w:val="22"/>
          <w:szCs w:val="22"/>
        </w:rPr>
        <w:t xml:space="preserve"> son articulation avec la plateforme en ligne développée pour une mise en œuvre plus large de l’article 18 de la Convention ; </w:t>
      </w:r>
    </w:p>
    <w:p w14:paraId="23B97179" w14:textId="77777777" w:rsidR="00C7599B" w:rsidRPr="00503070" w:rsidRDefault="00C7599B" w:rsidP="00C7599B">
      <w:pPr>
        <w:spacing w:after="120"/>
        <w:jc w:val="both"/>
        <w:rPr>
          <w:rFonts w:ascii="Arial" w:hAnsi="Arial" w:cs="Arial"/>
          <w:b/>
          <w:bCs/>
          <w:sz w:val="22"/>
          <w:szCs w:val="22"/>
        </w:rPr>
      </w:pPr>
      <w:r w:rsidRPr="00503070">
        <w:rPr>
          <w:rFonts w:ascii="Arial" w:hAnsi="Arial" w:cs="Arial"/>
          <w:b/>
          <w:bCs/>
          <w:sz w:val="22"/>
          <w:szCs w:val="22"/>
        </w:rPr>
        <w:t>Questions thématiques</w:t>
      </w:r>
    </w:p>
    <w:p w14:paraId="1C430102"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Apprécie</w:t>
      </w:r>
      <w:r w:rsidRPr="00503070">
        <w:rPr>
          <w:rFonts w:ascii="Arial" w:hAnsi="Arial" w:cs="Arial"/>
          <w:sz w:val="22"/>
          <w:szCs w:val="22"/>
        </w:rPr>
        <w:t xml:space="preserve"> les efforts des États parties pour tirer pleinement parti des résultats de la réflexion globale sur les mécanismes d’inscription sur les listes, en particulier pour mettre en avant les voix des communautés à travers une diversité de formats écrits et audiovisuels, et démontrer l’importance du patrimoine vivant à travers sa contribution au développement durable ;</w:t>
      </w:r>
    </w:p>
    <w:p w14:paraId="518A593B"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Rappelle</w:t>
      </w:r>
      <w:r w:rsidRPr="00503070">
        <w:rPr>
          <w:rFonts w:ascii="Arial" w:hAnsi="Arial" w:cs="Arial"/>
          <w:sz w:val="22"/>
          <w:szCs w:val="22"/>
        </w:rPr>
        <w:t xml:space="preserve"> aux États parties que les candidatures aux mécanismes d’inscription sur les listes de la Convention s’adressent à un public mondial et qu’il convient d’apporter le plus grand soin à leur préparation, y compris en ce qui concerne le nom et la description des éléments et les matériels audiovisuels, afin d’éviter de provoquer tout malentendu entre les communautés, de s’abstenir de toute déclaration pouvant suggérer des revendications de propriété exclusive et de veiller à ce que les sensibilités d’autrui soient dûment respectées au niveau international ;</w:t>
      </w:r>
    </w:p>
    <w:p w14:paraId="438E0C6B" w14:textId="77777777" w:rsidR="00C7599B" w:rsidRPr="00503070" w:rsidRDefault="00C7599B" w:rsidP="001E17AF">
      <w:pPr>
        <w:pStyle w:val="ListParagraph"/>
        <w:numPr>
          <w:ilvl w:val="0"/>
          <w:numId w:val="28"/>
        </w:numPr>
        <w:spacing w:after="120"/>
        <w:ind w:left="567" w:hanging="567"/>
        <w:contextualSpacing w:val="0"/>
        <w:jc w:val="both"/>
        <w:rPr>
          <w:rFonts w:ascii="Arial" w:hAnsi="Arial" w:cs="Arial"/>
          <w:sz w:val="22"/>
          <w:szCs w:val="22"/>
        </w:rPr>
      </w:pPr>
      <w:r w:rsidRPr="00503070">
        <w:rPr>
          <w:rFonts w:ascii="Arial" w:hAnsi="Arial" w:cs="Arial"/>
          <w:sz w:val="22"/>
          <w:szCs w:val="22"/>
          <w:u w:val="single"/>
        </w:rPr>
        <w:t>Souligne</w:t>
      </w:r>
      <w:r w:rsidRPr="00503070">
        <w:rPr>
          <w:rFonts w:ascii="Arial" w:hAnsi="Arial" w:cs="Arial"/>
          <w:sz w:val="22"/>
          <w:szCs w:val="22"/>
        </w:rPr>
        <w:t xml:space="preserve"> le dévouement des communautés et la diversité des compétences techniques dans la « pratique faite à la main » d’un grand nombre d’éléments proposés dans les dossiers du cycle actuel, en particulier les éléments du patrimoine vivant liés aux instruments de musique, aux arts du spectacle, aux traditions alimentaires et aux célébrations festives dans un sens inclusif de convivialité, tout en appréciant l’analyse d’indexation entreprise pour comprendre les thèmes qui peuvent caractériser le cycle 2025.</w:t>
      </w:r>
    </w:p>
    <w:p w14:paraId="0F0B69E5" w14:textId="575E42B9" w:rsidR="0015777E" w:rsidRPr="00503070" w:rsidRDefault="0015777E" w:rsidP="0015777E">
      <w:pPr>
        <w:pStyle w:val="COMTitleDecision"/>
      </w:pPr>
      <w:bookmarkStart w:id="1" w:name="PROJET_DE_DÉCISION_19COM_7a1"/>
      <w:r w:rsidRPr="00503070">
        <w:t>DÉCISION 19.COM 7.a.1</w:t>
      </w:r>
    </w:p>
    <w:bookmarkEnd w:id="1"/>
    <w:p w14:paraId="43EA31FC" w14:textId="77777777" w:rsidR="0015777E" w:rsidRPr="00503070" w:rsidRDefault="0015777E" w:rsidP="0015777E">
      <w:pPr>
        <w:tabs>
          <w:tab w:val="left" w:pos="567"/>
          <w:tab w:val="left" w:pos="1134"/>
          <w:tab w:val="left" w:pos="1701"/>
          <w:tab w:val="left" w:pos="2268"/>
        </w:tabs>
        <w:spacing w:before="120" w:after="120"/>
        <w:jc w:val="both"/>
        <w:rPr>
          <w:rFonts w:asciiTheme="minorBidi" w:eastAsia="SimSun" w:hAnsiTheme="minorBidi" w:cstheme="minorBidi"/>
          <w:sz w:val="22"/>
          <w:szCs w:val="22"/>
          <w:lang w:eastAsia="zh-CN"/>
        </w:rPr>
      </w:pPr>
      <w:r w:rsidRPr="00503070">
        <w:rPr>
          <w:rFonts w:asciiTheme="minorBidi" w:eastAsia="SimSun" w:hAnsiTheme="minorBidi" w:cstheme="minorBidi"/>
          <w:sz w:val="22"/>
          <w:szCs w:val="22"/>
          <w:lang w:eastAsia="zh-CN"/>
        </w:rPr>
        <w:t>Le Comité</w:t>
      </w:r>
    </w:p>
    <w:p w14:paraId="0A8C6871" w14:textId="77777777" w:rsidR="0015777E" w:rsidRPr="00503070" w:rsidRDefault="0015777E" w:rsidP="0015777E">
      <w:pPr>
        <w:numPr>
          <w:ilvl w:val="0"/>
          <w:numId w:val="1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Viet Nam a proposé la candidature de </w:t>
      </w:r>
      <w:r w:rsidRPr="00503070">
        <w:rPr>
          <w:rFonts w:ascii="Arial" w:hAnsi="Arial" w:cs="Arial"/>
          <w:b/>
          <w:sz w:val="22"/>
          <w:szCs w:val="22"/>
        </w:rPr>
        <w:t xml:space="preserve">l’artisanat de la gravure sur bois traditionnelle de </w:t>
      </w:r>
      <w:proofErr w:type="spellStart"/>
      <w:r w:rsidRPr="00503070">
        <w:rPr>
          <w:rFonts w:ascii="Arial" w:hAnsi="Arial" w:cs="Arial"/>
          <w:b/>
          <w:sz w:val="22"/>
          <w:szCs w:val="22"/>
        </w:rPr>
        <w:t>Đông</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Hồ</w:t>
      </w:r>
      <w:proofErr w:type="spellEnd"/>
      <w:r w:rsidRPr="00503070">
        <w:rPr>
          <w:rFonts w:ascii="Arial" w:hAnsi="Arial" w:cs="Arial"/>
          <w:sz w:val="22"/>
          <w:szCs w:val="22"/>
        </w:rPr>
        <w:t xml:space="preserve"> (n° 01737) pour inscription sur la Liste du patrimoine culturel immatériel nécessitant une sauvegarde urgente :</w:t>
      </w:r>
    </w:p>
    <w:p w14:paraId="478F6D00"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gravure sur bois traditionnelle de </w:t>
      </w:r>
      <w:proofErr w:type="spellStart"/>
      <w:r w:rsidRPr="00503070">
        <w:rPr>
          <w:rFonts w:ascii="Arial" w:hAnsi="Arial" w:cs="Arial"/>
          <w:sz w:val="22"/>
          <w:szCs w:val="22"/>
        </w:rPr>
        <w:t>Đông</w:t>
      </w:r>
      <w:proofErr w:type="spellEnd"/>
      <w:r w:rsidRPr="00503070">
        <w:rPr>
          <w:rFonts w:ascii="Arial" w:hAnsi="Arial" w:cs="Arial"/>
          <w:sz w:val="22"/>
          <w:szCs w:val="22"/>
        </w:rPr>
        <w:t xml:space="preserve"> </w:t>
      </w:r>
      <w:proofErr w:type="spellStart"/>
      <w:r w:rsidRPr="00503070">
        <w:rPr>
          <w:rFonts w:ascii="Arial" w:hAnsi="Arial" w:cs="Arial"/>
          <w:sz w:val="22"/>
          <w:szCs w:val="22"/>
        </w:rPr>
        <w:t>Hồ</w:t>
      </w:r>
      <w:proofErr w:type="spellEnd"/>
      <w:r w:rsidRPr="00503070">
        <w:rPr>
          <w:rFonts w:ascii="Arial" w:hAnsi="Arial" w:cs="Arial"/>
          <w:sz w:val="22"/>
          <w:szCs w:val="22"/>
        </w:rPr>
        <w:t xml:space="preserve"> est une pratique consistant à créer des impressions colorées à l’aide de blocs de bois sculptés, observée dans un village faisant partie de la province de </w:t>
      </w:r>
      <w:proofErr w:type="spellStart"/>
      <w:r w:rsidRPr="00503070">
        <w:rPr>
          <w:rFonts w:ascii="Arial" w:hAnsi="Arial" w:cs="Arial"/>
          <w:sz w:val="22"/>
          <w:szCs w:val="22"/>
        </w:rPr>
        <w:t>Bắc</w:t>
      </w:r>
      <w:proofErr w:type="spellEnd"/>
      <w:r w:rsidRPr="00503070">
        <w:rPr>
          <w:rFonts w:ascii="Arial" w:hAnsi="Arial" w:cs="Arial"/>
          <w:sz w:val="22"/>
          <w:szCs w:val="22"/>
        </w:rPr>
        <w:t xml:space="preserve"> Ninh. Les thèmes de ces impressions sont souvent liés au culte, à l’histoire, à la vie quotidienne ou aux paysages. L’ensemble du processus est réalisé à la main : le dessin du motif à l’encre sur un papier spécial, la gravure de l’image sur les blocs de </w:t>
      </w:r>
      <w:r w:rsidRPr="00503070">
        <w:rPr>
          <w:rFonts w:ascii="Arial" w:hAnsi="Arial" w:cs="Arial"/>
          <w:sz w:val="22"/>
          <w:szCs w:val="22"/>
        </w:rPr>
        <w:lastRenderedPageBreak/>
        <w:t xml:space="preserve">bois, la préparation de pigments naturels et l’impression sur un papier enduit de poudre de coquille Saint-Jacques. Les couleurs sont appliquées dans un ordre précis, la dernière étape consistant à ajouter les contours noirs pour compléter l’image. </w:t>
      </w:r>
    </w:p>
    <w:p w14:paraId="64556A72" w14:textId="77777777" w:rsidR="0015777E" w:rsidRPr="00503070" w:rsidRDefault="0015777E" w:rsidP="0015777E">
      <w:pPr>
        <w:keepNext/>
        <w:numPr>
          <w:ilvl w:val="0"/>
          <w:numId w:val="15"/>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3BE18243"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L’artisanat de la gravure sur bois traditionnelle de </w:t>
      </w:r>
      <w:proofErr w:type="spellStart"/>
      <w:r w:rsidRPr="00503070">
        <w:rPr>
          <w:rFonts w:ascii="Arial" w:hAnsi="Arial" w:cs="Arial"/>
          <w:color w:val="000000" w:themeColor="text1"/>
          <w:sz w:val="22"/>
          <w:szCs w:val="22"/>
        </w:rPr>
        <w:t>Đông</w:t>
      </w:r>
      <w:proofErr w:type="spellEnd"/>
      <w:r w:rsidRPr="00503070">
        <w:rPr>
          <w:rFonts w:ascii="Arial" w:hAnsi="Arial" w:cs="Arial"/>
          <w:color w:val="000000" w:themeColor="text1"/>
          <w:sz w:val="22"/>
          <w:szCs w:val="22"/>
        </w:rPr>
        <w:t xml:space="preserve"> </w:t>
      </w:r>
      <w:proofErr w:type="spellStart"/>
      <w:r w:rsidRPr="00503070">
        <w:rPr>
          <w:rFonts w:ascii="Arial" w:hAnsi="Arial" w:cs="Arial"/>
          <w:color w:val="000000" w:themeColor="text1"/>
          <w:sz w:val="22"/>
          <w:szCs w:val="22"/>
        </w:rPr>
        <w:t>Hồ</w:t>
      </w:r>
      <w:proofErr w:type="spellEnd"/>
      <w:r w:rsidRPr="00503070">
        <w:rPr>
          <w:rFonts w:ascii="Arial" w:hAnsi="Arial" w:cs="Arial"/>
          <w:color w:val="000000" w:themeColor="text1"/>
          <w:sz w:val="22"/>
          <w:szCs w:val="22"/>
        </w:rPr>
        <w:t xml:space="preserve"> est étroitement lié à d’importants festivals, notamment ceux du Nouvel An lunaire et de la Fête de la mi-automne, ainsi qu’à divers rituels en l’honneur des ancêtres et des divinités. Cette tradition est aujourd’hui perpétuée par un petit nombre de familles, qui transmettent les connaissances et les compétences correspondantes au sein de leur foyer et aux apprentis par le biais d’une formation pratique et d’un mentorat étroit. Certaines parties du processus, telles que la conception des images et la sculpture des blocs, nécessitent une formation dédiée et requièrent de nombreuses années d’apprentissage pour être maîtrisées. Les blocs de bois utilisés pour l’impression sont de précieux héritages familiaux qui se transmettent de génération en génération.</w:t>
      </w:r>
    </w:p>
    <w:p w14:paraId="554F1EE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 xml:space="preserve">Le nombre de praticiens qualifiés a fortement diminué (selon le dossier de candidature, seuls quelques foyers sauvegardent cet élément) en raison du manque d’intérêt des jeunes générations, des difficultés à maintenir les moyens de subsistance des artisans et de la diminution de l’utilisation des gravures sur bois lors des fêtes traditionnelles. Le nombre de personnes qualifiées et engagées qui exercent la gravure </w:t>
      </w:r>
      <w:proofErr w:type="spellStart"/>
      <w:r w:rsidRPr="00503070">
        <w:rPr>
          <w:rFonts w:ascii="Arial" w:hAnsi="Arial" w:cs="Arial"/>
          <w:color w:val="000000" w:themeColor="text1"/>
          <w:sz w:val="22"/>
          <w:szCs w:val="22"/>
        </w:rPr>
        <w:t>Đông</w:t>
      </w:r>
      <w:proofErr w:type="spellEnd"/>
      <w:r w:rsidRPr="00503070">
        <w:rPr>
          <w:rFonts w:ascii="Arial" w:hAnsi="Arial" w:cs="Arial"/>
          <w:color w:val="000000" w:themeColor="text1"/>
          <w:sz w:val="22"/>
          <w:szCs w:val="22"/>
        </w:rPr>
        <w:t xml:space="preserve"> </w:t>
      </w:r>
      <w:proofErr w:type="spellStart"/>
      <w:r w:rsidRPr="00503070">
        <w:rPr>
          <w:rFonts w:ascii="Arial" w:hAnsi="Arial" w:cs="Arial"/>
          <w:color w:val="000000" w:themeColor="text1"/>
          <w:sz w:val="22"/>
          <w:szCs w:val="22"/>
        </w:rPr>
        <w:t>Hồ</w:t>
      </w:r>
      <w:proofErr w:type="spellEnd"/>
      <w:r w:rsidRPr="00503070">
        <w:rPr>
          <w:rFonts w:ascii="Arial" w:hAnsi="Arial" w:cs="Arial"/>
          <w:color w:val="000000" w:themeColor="text1"/>
          <w:sz w:val="22"/>
          <w:szCs w:val="22"/>
        </w:rPr>
        <w:t xml:space="preserve"> comme moyen de subsistance est devenu trop faible pour assurer la transmission et la production de cet élément, ce qui nécessite une sauvegarde urgente.</w:t>
      </w:r>
    </w:p>
    <w:p w14:paraId="57625B17"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Le plan de sauvegarde définit sept objectifs, notamment des cours de formation professionnelle, la réalisation d’inventaires, l’innovation dans la conception des produits, la diversification des marchés, l’amélioration de l’accès aux matières premières et la fourniture d’équipements de protection. Les activités proposées sont réalisables, cohérentes avec les objectifs et durables. Elles placent également les communautés au centre.</w:t>
      </w:r>
    </w:p>
    <w:p w14:paraId="734D57E5"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shd w:val="clear" w:color="auto" w:fill="FFFFFF"/>
        </w:rPr>
        <w:tab/>
        <w:t xml:space="preserve">Le dossier témoigne d’une forte </w:t>
      </w:r>
      <w:r w:rsidRPr="00503070">
        <w:rPr>
          <w:rFonts w:ascii="Arial" w:hAnsi="Arial" w:cs="Arial"/>
          <w:color w:val="000000" w:themeColor="text1"/>
          <w:sz w:val="22"/>
          <w:szCs w:val="22"/>
        </w:rPr>
        <w:t>implication de la communauté, y compris des familles d’artisans, tout au long du processus de candidature, notamment par le biais d’activités d’inventaire et d’événements publics.</w:t>
      </w:r>
    </w:p>
    <w:p w14:paraId="7931E486" w14:textId="77777777" w:rsidR="0015777E" w:rsidRPr="00503070" w:rsidRDefault="0015777E" w:rsidP="0015777E">
      <w:pPr>
        <w:tabs>
          <w:tab w:val="left" w:pos="1701"/>
          <w:tab w:val="left" w:pos="2268"/>
        </w:tabs>
        <w:spacing w:before="120" w:after="120"/>
        <w:ind w:left="1134" w:hanging="567"/>
        <w:jc w:val="both"/>
        <w:rPr>
          <w:rFonts w:ascii="Arial" w:hAnsi="Arial" w:cs="Arial"/>
          <w:color w:val="000000" w:themeColor="text1"/>
          <w:sz w:val="22"/>
          <w:szCs w:val="22"/>
        </w:rPr>
      </w:pPr>
      <w:r w:rsidRPr="00503070">
        <w:rPr>
          <w:rFonts w:ascii="Arial" w:hAnsi="Arial" w:cs="Arial"/>
          <w:sz w:val="22"/>
          <w:szCs w:val="22"/>
        </w:rPr>
        <w:t>U.5 :</w:t>
      </w:r>
      <w:r w:rsidRPr="00503070">
        <w:rPr>
          <w:rFonts w:ascii="Arial" w:hAnsi="Arial" w:cs="Arial"/>
          <w:sz w:val="22"/>
          <w:szCs w:val="22"/>
        </w:rPr>
        <w:tab/>
      </w:r>
      <w:r w:rsidRPr="00503070">
        <w:rPr>
          <w:rFonts w:ascii="Arial" w:hAnsi="Arial" w:cs="Arial"/>
          <w:color w:val="000000" w:themeColor="text1"/>
          <w:sz w:val="22"/>
          <w:szCs w:val="22"/>
        </w:rPr>
        <w:t xml:space="preserve">L’élément a été inclus en 2012 dans l’inventaire national du patrimoine culturel immatériel, géré par le </w:t>
      </w:r>
      <w:proofErr w:type="gramStart"/>
      <w:r w:rsidRPr="00503070">
        <w:rPr>
          <w:rFonts w:ascii="Arial" w:hAnsi="Arial" w:cs="Arial"/>
          <w:color w:val="000000" w:themeColor="text1"/>
          <w:sz w:val="22"/>
          <w:szCs w:val="22"/>
        </w:rPr>
        <w:t>Ministère de la culture</w:t>
      </w:r>
      <w:proofErr w:type="gramEnd"/>
      <w:r w:rsidRPr="00503070">
        <w:rPr>
          <w:rFonts w:ascii="Arial" w:hAnsi="Arial" w:cs="Arial"/>
          <w:color w:val="000000" w:themeColor="text1"/>
          <w:sz w:val="22"/>
          <w:szCs w:val="22"/>
        </w:rPr>
        <w:t>, des sports et du tourisme. L’élément a en outre été ajouté en 2015 à l’inventaire du patrimoine culturel immatériel, géré par l’Institut national vietnamien de la culture et des études artistiques. Les deux inventaires sont régulièrement mis à jour et le processus d’inventaire implique des communautés.</w:t>
      </w:r>
    </w:p>
    <w:p w14:paraId="0A18DE19" w14:textId="77777777" w:rsidR="0015777E" w:rsidRPr="00503070" w:rsidRDefault="0015777E" w:rsidP="0015777E">
      <w:pPr>
        <w:numPr>
          <w:ilvl w:val="0"/>
          <w:numId w:val="15"/>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l’artisanat de la gravure sur bois traditionnelle de </w:t>
      </w:r>
      <w:proofErr w:type="spellStart"/>
      <w:r w:rsidRPr="00503070">
        <w:rPr>
          <w:rFonts w:ascii="Arial" w:hAnsi="Arial" w:cs="Arial"/>
          <w:b/>
          <w:sz w:val="22"/>
          <w:szCs w:val="22"/>
        </w:rPr>
        <w:t>Đông</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Hồ</w:t>
      </w:r>
      <w:proofErr w:type="spellEnd"/>
      <w:r w:rsidRPr="00503070">
        <w:rPr>
          <w:rFonts w:ascii="Arial" w:hAnsi="Arial" w:cs="Arial"/>
          <w:sz w:val="22"/>
          <w:szCs w:val="22"/>
        </w:rPr>
        <w:t xml:space="preserve"> sur la Liste du patrimoine culturel immatériel nécessitant une sauvegarde urgente ;</w:t>
      </w:r>
    </w:p>
    <w:p w14:paraId="770D0A78" w14:textId="77777777" w:rsidR="0015777E" w:rsidRPr="00503070" w:rsidRDefault="0015777E" w:rsidP="0015777E">
      <w:pPr>
        <w:numPr>
          <w:ilvl w:val="0"/>
          <w:numId w:val="15"/>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Note</w:t>
      </w:r>
      <w:r w:rsidRPr="00503070">
        <w:rPr>
          <w:rFonts w:ascii="Arial" w:hAnsi="Arial" w:cs="Arial"/>
          <w:bCs/>
          <w:sz w:val="22"/>
          <w:szCs w:val="22"/>
        </w:rPr>
        <w:t xml:space="preserve"> que les matériaux utilisés pour produire les gravures </w:t>
      </w:r>
      <w:proofErr w:type="spellStart"/>
      <w:r w:rsidRPr="00503070">
        <w:rPr>
          <w:rFonts w:ascii="Arial" w:hAnsi="Arial" w:cs="Arial"/>
          <w:bCs/>
          <w:sz w:val="22"/>
          <w:szCs w:val="22"/>
        </w:rPr>
        <w:t>Đông</w:t>
      </w:r>
      <w:proofErr w:type="spellEnd"/>
      <w:r w:rsidRPr="00503070">
        <w:rPr>
          <w:rFonts w:ascii="Arial" w:hAnsi="Arial" w:cs="Arial"/>
          <w:bCs/>
          <w:sz w:val="22"/>
          <w:szCs w:val="22"/>
        </w:rPr>
        <w:t xml:space="preserve"> </w:t>
      </w:r>
      <w:proofErr w:type="spellStart"/>
      <w:r w:rsidRPr="00503070">
        <w:rPr>
          <w:rFonts w:ascii="Arial" w:hAnsi="Arial" w:cs="Arial"/>
          <w:bCs/>
          <w:sz w:val="22"/>
          <w:szCs w:val="22"/>
        </w:rPr>
        <w:t>Hồ</w:t>
      </w:r>
      <w:proofErr w:type="spellEnd"/>
      <w:r w:rsidRPr="00503070">
        <w:rPr>
          <w:rFonts w:ascii="Arial" w:hAnsi="Arial" w:cs="Arial"/>
          <w:bCs/>
          <w:sz w:val="22"/>
          <w:szCs w:val="22"/>
        </w:rPr>
        <w:t xml:space="preserve"> sont naturels et respectueux de l’environnement, et </w:t>
      </w: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mettre en avant cet aspect positif dans le cadre de ses efforts de sauvegarde ;</w:t>
      </w:r>
    </w:p>
    <w:p w14:paraId="4A578FEF" w14:textId="77777777" w:rsidR="0015777E" w:rsidRPr="00503070" w:rsidRDefault="0015777E" w:rsidP="0015777E">
      <w:pPr>
        <w:numPr>
          <w:ilvl w:val="0"/>
          <w:numId w:val="15"/>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envisager d’intégrer l’élément dans le système éducatif, tant formel que non formel, afin d’inciter les jeunes générations à apprendre l’importance de sa sauvegarde.</w:t>
      </w:r>
    </w:p>
    <w:p w14:paraId="1C39A4DC" w14:textId="77777777" w:rsidR="0015777E" w:rsidRPr="00503070" w:rsidRDefault="0015777E" w:rsidP="00711558">
      <w:pPr>
        <w:pStyle w:val="COMTitleDecision"/>
        <w:keepNext/>
      </w:pPr>
      <w:r w:rsidRPr="00503070">
        <w:lastRenderedPageBreak/>
        <w:t>DÉCISION 20.COM 7.a.2</w:t>
      </w:r>
    </w:p>
    <w:p w14:paraId="6A764803"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6B58EDA" w14:textId="77777777" w:rsidR="0015777E" w:rsidRPr="00503070" w:rsidRDefault="0015777E" w:rsidP="001E17AF">
      <w:pPr>
        <w:numPr>
          <w:ilvl w:val="0"/>
          <w:numId w:val="29"/>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Kenya a proposé la candidature de </w:t>
      </w:r>
      <w:r w:rsidRPr="00503070">
        <w:rPr>
          <w:rFonts w:ascii="Arial" w:hAnsi="Arial" w:cs="Arial"/>
          <w:b/>
          <w:sz w:val="22"/>
          <w:szCs w:val="22"/>
        </w:rPr>
        <w:t xml:space="preserve">la danse spirituelle </w:t>
      </w:r>
      <w:proofErr w:type="spellStart"/>
      <w:r w:rsidRPr="00503070">
        <w:rPr>
          <w:rFonts w:ascii="Arial" w:hAnsi="Arial" w:cs="Arial"/>
          <w:b/>
          <w:sz w:val="22"/>
          <w:szCs w:val="22"/>
        </w:rPr>
        <w:t>mwazindika</w:t>
      </w:r>
      <w:proofErr w:type="spellEnd"/>
      <w:r w:rsidRPr="00503070">
        <w:rPr>
          <w:rFonts w:ascii="Arial" w:hAnsi="Arial" w:cs="Arial"/>
          <w:b/>
          <w:sz w:val="22"/>
          <w:szCs w:val="22"/>
        </w:rPr>
        <w:t xml:space="preserve"> de la communauté </w:t>
      </w:r>
      <w:proofErr w:type="spellStart"/>
      <w:r w:rsidRPr="00503070">
        <w:rPr>
          <w:rFonts w:ascii="Arial" w:hAnsi="Arial" w:cs="Arial"/>
          <w:b/>
          <w:sz w:val="22"/>
          <w:szCs w:val="22"/>
        </w:rPr>
        <w:t>Daida</w:t>
      </w:r>
      <w:proofErr w:type="spellEnd"/>
      <w:r w:rsidRPr="00503070">
        <w:rPr>
          <w:rFonts w:ascii="Arial" w:hAnsi="Arial" w:cs="Arial"/>
          <w:b/>
          <w:sz w:val="22"/>
          <w:szCs w:val="22"/>
        </w:rPr>
        <w:t xml:space="preserve"> du Kenya</w:t>
      </w:r>
      <w:r w:rsidRPr="00503070">
        <w:rPr>
          <w:rFonts w:ascii="Arial" w:hAnsi="Arial" w:cs="Arial"/>
          <w:sz w:val="22"/>
          <w:szCs w:val="22"/>
        </w:rPr>
        <w:t xml:space="preserve"> (n° 02297) pour inscription sur la Liste du patrimoine culturel immatériel nécessitant une sauvegarde urgente :</w:t>
      </w:r>
    </w:p>
    <w:p w14:paraId="0E363364"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danse spirituelle </w:t>
      </w:r>
      <w:proofErr w:type="spellStart"/>
      <w:r w:rsidRPr="00503070">
        <w:rPr>
          <w:rFonts w:ascii="Arial" w:hAnsi="Arial" w:cs="Arial"/>
          <w:sz w:val="22"/>
          <w:szCs w:val="22"/>
        </w:rPr>
        <w:t>mwazindika</w:t>
      </w:r>
      <w:proofErr w:type="spellEnd"/>
      <w:r w:rsidRPr="00503070">
        <w:rPr>
          <w:rFonts w:ascii="Arial" w:hAnsi="Arial" w:cs="Arial"/>
          <w:sz w:val="22"/>
          <w:szCs w:val="22"/>
        </w:rPr>
        <w:t xml:space="preserve"> est une pratique traditionnelle utilisée pour promouvoir le bien-être individuel et commun dans la communauté </w:t>
      </w:r>
      <w:proofErr w:type="spellStart"/>
      <w:r w:rsidRPr="00503070">
        <w:rPr>
          <w:rFonts w:ascii="Arial" w:hAnsi="Arial" w:cs="Arial"/>
          <w:sz w:val="22"/>
          <w:szCs w:val="22"/>
        </w:rPr>
        <w:t>Daida</w:t>
      </w:r>
      <w:proofErr w:type="spellEnd"/>
      <w:r w:rsidRPr="00503070">
        <w:rPr>
          <w:rFonts w:ascii="Arial" w:hAnsi="Arial" w:cs="Arial"/>
          <w:sz w:val="22"/>
          <w:szCs w:val="22"/>
        </w:rPr>
        <w:t xml:space="preserve">. Elle combine la danse, la musique, les rituels et les contes, et est exécutée lors d’événements importants tels que les rites de passage, les récoltes, les couronnements et les périodes de crise comme les sécheresses ou les inondations. Son but est d’apporter la guérison, la protection et l’équilibre spirituel. La pratique commence par un rituel appelé « </w:t>
      </w:r>
      <w:proofErr w:type="spellStart"/>
      <w:r w:rsidRPr="00503070">
        <w:rPr>
          <w:rFonts w:ascii="Arial" w:hAnsi="Arial" w:cs="Arial"/>
          <w:sz w:val="22"/>
          <w:szCs w:val="22"/>
        </w:rPr>
        <w:t>Kahua</w:t>
      </w:r>
      <w:proofErr w:type="spellEnd"/>
      <w:r w:rsidRPr="00503070">
        <w:rPr>
          <w:rFonts w:ascii="Arial" w:hAnsi="Arial" w:cs="Arial"/>
          <w:sz w:val="22"/>
          <w:szCs w:val="22"/>
        </w:rPr>
        <w:t xml:space="preserve"> », au cours duquel douze anciens et jeunes gravissent une colline sacrée pour informer leurs ancêtres d’un prochain événement </w:t>
      </w:r>
      <w:proofErr w:type="spellStart"/>
      <w:r w:rsidRPr="00503070">
        <w:rPr>
          <w:rFonts w:ascii="Arial" w:hAnsi="Arial" w:cs="Arial"/>
          <w:sz w:val="22"/>
          <w:szCs w:val="22"/>
        </w:rPr>
        <w:t>mwazindika</w:t>
      </w:r>
      <w:proofErr w:type="spellEnd"/>
      <w:r w:rsidRPr="00503070">
        <w:rPr>
          <w:rFonts w:ascii="Arial" w:hAnsi="Arial" w:cs="Arial"/>
          <w:sz w:val="22"/>
          <w:szCs w:val="22"/>
        </w:rPr>
        <w:t xml:space="preserve">. Des tambours sont fabriqués à partir d’un arbre sacré et des herbes de purification sont préparées. Une boisson traditionnelle faite de miel et de sucre de canne est offerte en guise de libation aux ancêtres. </w:t>
      </w:r>
    </w:p>
    <w:p w14:paraId="505E2FE9" w14:textId="77777777" w:rsidR="0015777E" w:rsidRPr="00503070" w:rsidRDefault="0015777E" w:rsidP="001E17AF">
      <w:pPr>
        <w:keepNext/>
        <w:numPr>
          <w:ilvl w:val="0"/>
          <w:numId w:val="29"/>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4860DA68"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La danse se caractérise par des tambours rythmiques, des chants et des mouvements qui peuvent conduire les participants à des états de transe, souvent utilisés pour exprimer ou révéler leur situation. La danse est principalement exécutée par les femmes, tandis que les hommes dirigent les tambours et les rituels. Les connaissances et compétences correspondantes sont transmises de manière informelle par le biais d’un enseignement familial et de la communauté, de spectacles réguliers et de festivals. Cet élément est considéré comme favorisant le bien-être physique, mental et spirituel. Il est également considéré comme un moyen de renforcer la solidarité sociale et de conjurer les catastrophes et les malheurs.</w:t>
      </w:r>
    </w:p>
    <w:p w14:paraId="46A79CA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L’intérêt pour cet élément a diminué en raison des influences modernes, les jeunes s’installant dans des zones situées en dehors de leur communauté et les dirigeants étant de moins en moins sensibilisés. En outre, la rareté des matières premières et les activités minières non réglementées, telles que mentionnées dans le dossier de candidature, menacent la continuité de la pratique.</w:t>
      </w:r>
    </w:p>
    <w:p w14:paraId="27326AF9"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La candidature a été préparée en consultation avec la communauté des praticiens et détenteurs du rituel. Des réunions, des ateliers, des visites techniques et des consultations ont été organisés, aboutissant à l’expression du consentement libre, préalable et éclairé de la communauté.</w:t>
      </w:r>
    </w:p>
    <w:p w14:paraId="543E88EE"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 xml:space="preserve">Cet élément a été ajouté à l’inventaire national des éléments du patrimoine culturel immatériel des communautés kenyanes en 2021. L’inventaire est géré par le Département national de la culture, des arts et du patrimoine du </w:t>
      </w:r>
      <w:proofErr w:type="gramStart"/>
      <w:r w:rsidRPr="00503070">
        <w:rPr>
          <w:rFonts w:ascii="Arial" w:hAnsi="Arial" w:cs="Arial"/>
          <w:color w:val="000000" w:themeColor="text1"/>
          <w:sz w:val="22"/>
          <w:szCs w:val="22"/>
        </w:rPr>
        <w:t>Ministère de l’égalité</w:t>
      </w:r>
      <w:proofErr w:type="gramEnd"/>
      <w:r w:rsidRPr="00503070">
        <w:rPr>
          <w:rFonts w:ascii="Arial" w:hAnsi="Arial" w:cs="Arial"/>
          <w:color w:val="000000" w:themeColor="text1"/>
          <w:sz w:val="22"/>
          <w:szCs w:val="22"/>
        </w:rPr>
        <w:t xml:space="preserve"> des genres, de la culture, des arts et du patrimoine. Après sa création en 2009, les dernières mises à jour importantes de l’inventaire ont été effectuées en 2020, selon le rapport périodique soumis en 2023. Ce même rapport précise également que des ateliers de renforcement des capacités ont été organisés afin de garantir que le processus d’inventaire implique les communautés concernées par les éléments qui y sont inclus.</w:t>
      </w:r>
    </w:p>
    <w:p w14:paraId="7E17EE52" w14:textId="77777777" w:rsidR="0015777E" w:rsidRPr="00503070" w:rsidRDefault="0015777E" w:rsidP="001E17AF">
      <w:pPr>
        <w:pStyle w:val="ListParagraph"/>
        <w:numPr>
          <w:ilvl w:val="0"/>
          <w:numId w:val="30"/>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du patrimoine culturel immatériel nécessitant une sauvegarde urgente :</w:t>
      </w:r>
    </w:p>
    <w:p w14:paraId="771EB426" w14:textId="77777777" w:rsidR="0015777E" w:rsidRPr="00503070" w:rsidRDefault="0015777E" w:rsidP="006C4002">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U.3 :</w:t>
      </w:r>
      <w:r w:rsidRPr="00503070">
        <w:rPr>
          <w:rFonts w:ascii="Arial" w:hAnsi="Arial" w:cs="Arial"/>
          <w:sz w:val="22"/>
          <w:szCs w:val="22"/>
        </w:rPr>
        <w:tab/>
        <w:t xml:space="preserve">Le plan de sauvegarde implique des parties prenantes à plusieurs niveaux, notamment à celui de l’État, des ONG, des institutions de recherche et de documentation, des </w:t>
      </w:r>
      <w:r w:rsidRPr="00503070">
        <w:rPr>
          <w:rFonts w:ascii="Arial" w:hAnsi="Arial" w:cs="Arial"/>
          <w:sz w:val="22"/>
          <w:szCs w:val="22"/>
        </w:rPr>
        <w:lastRenderedPageBreak/>
        <w:t>autorités locales et des communautés. Les responsabilités sont identifiées pour chacune de ces parties et les activités proposées correspondent aux objectifs, au calendrier et au budget du plan de sauvegarde. Les modalités de participation des communautés à la planification du plan de sauvegarde proposé sont claires.</w:t>
      </w:r>
    </w:p>
    <w:p w14:paraId="6FF21973" w14:textId="77777777" w:rsidR="0015777E" w:rsidRPr="00503070" w:rsidRDefault="0015777E" w:rsidP="001E17AF">
      <w:pPr>
        <w:numPr>
          <w:ilvl w:val="0"/>
          <w:numId w:val="3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danse spirituelle </w:t>
      </w:r>
      <w:proofErr w:type="spellStart"/>
      <w:r w:rsidRPr="00503070">
        <w:rPr>
          <w:rFonts w:ascii="Arial" w:hAnsi="Arial" w:cs="Arial"/>
          <w:b/>
          <w:sz w:val="22"/>
          <w:szCs w:val="22"/>
        </w:rPr>
        <w:t>mwazindika</w:t>
      </w:r>
      <w:proofErr w:type="spellEnd"/>
      <w:r w:rsidRPr="00503070">
        <w:rPr>
          <w:rFonts w:ascii="Arial" w:hAnsi="Arial" w:cs="Arial"/>
          <w:b/>
          <w:sz w:val="22"/>
          <w:szCs w:val="22"/>
        </w:rPr>
        <w:t xml:space="preserve"> de la communauté </w:t>
      </w:r>
      <w:proofErr w:type="spellStart"/>
      <w:r w:rsidRPr="00503070">
        <w:rPr>
          <w:rFonts w:ascii="Arial" w:hAnsi="Arial" w:cs="Arial"/>
          <w:b/>
          <w:sz w:val="22"/>
          <w:szCs w:val="22"/>
        </w:rPr>
        <w:t>Daida</w:t>
      </w:r>
      <w:proofErr w:type="spellEnd"/>
      <w:r w:rsidRPr="00503070">
        <w:rPr>
          <w:rFonts w:ascii="Arial" w:hAnsi="Arial" w:cs="Arial"/>
          <w:b/>
          <w:sz w:val="22"/>
          <w:szCs w:val="22"/>
        </w:rPr>
        <w:t xml:space="preserve"> du Kenya</w:t>
      </w:r>
      <w:r w:rsidRPr="00503070">
        <w:rPr>
          <w:rFonts w:ascii="Arial" w:hAnsi="Arial" w:cs="Arial"/>
          <w:sz w:val="22"/>
          <w:szCs w:val="22"/>
        </w:rPr>
        <w:t xml:space="preserve"> sur la Liste du patrimoine culturel immatériel nécessitant une sauvegarde urgente ;</w:t>
      </w:r>
    </w:p>
    <w:p w14:paraId="35C75686" w14:textId="77777777" w:rsidR="0015777E" w:rsidRPr="00503070" w:rsidRDefault="0015777E" w:rsidP="001E17AF">
      <w:pPr>
        <w:numPr>
          <w:ilvl w:val="0"/>
          <w:numId w:val="3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affiner le processus d’inventaire afin d’établir une périodicité régulière pour sa mise à jour, tout en veillant à la participation des communautés lors de la mise à jour de l’entrée afin de tenir compte de la viabilité de l’élément et de tout changement dans les besoins de sauvegarde.</w:t>
      </w:r>
    </w:p>
    <w:p w14:paraId="3B4F355C" w14:textId="77777777" w:rsidR="0015777E" w:rsidRPr="00503070" w:rsidRDefault="0015777E" w:rsidP="00F57031">
      <w:pPr>
        <w:pStyle w:val="COMTitleDecision"/>
        <w:keepNext/>
      </w:pPr>
      <w:r w:rsidRPr="00503070">
        <w:t>DÉCISION 20.COM 7.a.3</w:t>
      </w:r>
    </w:p>
    <w:p w14:paraId="68BEECBA"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F8C8165" w14:textId="77777777" w:rsidR="0015777E" w:rsidRPr="00503070" w:rsidRDefault="0015777E" w:rsidP="001E17AF">
      <w:pPr>
        <w:numPr>
          <w:ilvl w:val="0"/>
          <w:numId w:val="3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Pakistan a proposé la candidature du </w:t>
      </w:r>
      <w:proofErr w:type="spellStart"/>
      <w:r w:rsidRPr="00503070">
        <w:rPr>
          <w:rFonts w:ascii="Arial" w:hAnsi="Arial" w:cs="Arial"/>
          <w:b/>
          <w:sz w:val="22"/>
          <w:szCs w:val="22"/>
        </w:rPr>
        <w:t>boreendo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bhorindo</w:t>
      </w:r>
      <w:proofErr w:type="spellEnd"/>
      <w:r w:rsidRPr="00503070">
        <w:rPr>
          <w:rFonts w:ascii="Arial" w:hAnsi="Arial" w:cs="Arial"/>
          <w:b/>
          <w:sz w:val="22"/>
          <w:szCs w:val="22"/>
        </w:rPr>
        <w:t> : un ancien instrument de musique traditionnel en voie de disparition, ses mélodies, connaissances et savoir-faire</w:t>
      </w:r>
      <w:r w:rsidRPr="00503070">
        <w:rPr>
          <w:rFonts w:ascii="Arial" w:hAnsi="Arial" w:cs="Arial"/>
          <w:sz w:val="22"/>
          <w:szCs w:val="22"/>
        </w:rPr>
        <w:t xml:space="preserve"> (n° 02328) pour inscription sur la Liste du patrimoine culturel immatériel nécessitant une sauvegarde urgente :</w:t>
      </w:r>
    </w:p>
    <w:p w14:paraId="4C4CFA20" w14:textId="77777777" w:rsidR="0015777E" w:rsidRPr="00503070" w:rsidRDefault="0015777E" w:rsidP="0015777E">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boreendo</w:t>
      </w:r>
      <w:proofErr w:type="spellEnd"/>
      <w:r w:rsidRPr="00503070">
        <w:rPr>
          <w:rFonts w:ascii="Arial" w:hAnsi="Arial" w:cs="Arial"/>
          <w:sz w:val="22"/>
          <w:szCs w:val="22"/>
        </w:rPr>
        <w:t xml:space="preserve">, ou </w:t>
      </w:r>
      <w:proofErr w:type="spellStart"/>
      <w:r w:rsidRPr="00503070">
        <w:rPr>
          <w:rFonts w:ascii="Arial" w:hAnsi="Arial" w:cs="Arial"/>
          <w:sz w:val="22"/>
          <w:szCs w:val="22"/>
        </w:rPr>
        <w:t>bhorindo</w:t>
      </w:r>
      <w:proofErr w:type="spellEnd"/>
      <w:r w:rsidRPr="00503070">
        <w:rPr>
          <w:rFonts w:ascii="Arial" w:hAnsi="Arial" w:cs="Arial"/>
          <w:sz w:val="22"/>
          <w:szCs w:val="22"/>
        </w:rPr>
        <w:t xml:space="preserve">, est un instrument de musique traditionnel profondément ancré dans la vie du village et dans la nature dans la communauté </w:t>
      </w:r>
      <w:proofErr w:type="spellStart"/>
      <w:r w:rsidRPr="00503070">
        <w:rPr>
          <w:rFonts w:ascii="Arial" w:hAnsi="Arial" w:cs="Arial"/>
          <w:sz w:val="22"/>
          <w:szCs w:val="22"/>
        </w:rPr>
        <w:t>Thari</w:t>
      </w:r>
      <w:proofErr w:type="spellEnd"/>
      <w:r w:rsidRPr="00503070">
        <w:rPr>
          <w:rFonts w:ascii="Arial" w:hAnsi="Arial" w:cs="Arial"/>
          <w:sz w:val="22"/>
          <w:szCs w:val="22"/>
        </w:rPr>
        <w:t xml:space="preserve">. Il a une forme creuse et sphérique avec des trous sonores et il est fait d’argile séchée au soleil et cuite dans un four. Il est joué par les hommes, tandis que les femmes décorent l’instrument à l’aide de peinture à l’argile. Le </w:t>
      </w:r>
      <w:proofErr w:type="spellStart"/>
      <w:r w:rsidRPr="00503070">
        <w:rPr>
          <w:rFonts w:ascii="Arial" w:hAnsi="Arial" w:cs="Arial"/>
          <w:sz w:val="22"/>
          <w:szCs w:val="22"/>
        </w:rPr>
        <w:t>boreendo</w:t>
      </w:r>
      <w:proofErr w:type="spellEnd"/>
      <w:r w:rsidRPr="00503070">
        <w:rPr>
          <w:rFonts w:ascii="Arial" w:hAnsi="Arial" w:cs="Arial"/>
          <w:sz w:val="22"/>
          <w:szCs w:val="22"/>
        </w:rPr>
        <w:t xml:space="preserve"> produit un son lorsqu’on y souffle de l’air, et sa tonalité peut être ajustée en inclinant l’embouchure. Sa taille influe sur sa sonorité, et des modifications récentes ont permis d’ajouter des trous supplémentaires afin d’élargir sa gamme musicale. </w:t>
      </w:r>
    </w:p>
    <w:p w14:paraId="40246FF9" w14:textId="77777777" w:rsidR="0015777E" w:rsidRPr="00503070" w:rsidRDefault="0015777E" w:rsidP="001E17AF">
      <w:pPr>
        <w:keepNext/>
        <w:numPr>
          <w:ilvl w:val="0"/>
          <w:numId w:val="31"/>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50E86ED6"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Le </w:t>
      </w:r>
      <w:proofErr w:type="spellStart"/>
      <w:r w:rsidRPr="00503070">
        <w:rPr>
          <w:rFonts w:ascii="Arial" w:hAnsi="Arial" w:cs="Arial"/>
          <w:color w:val="000000" w:themeColor="text1"/>
          <w:sz w:val="22"/>
          <w:szCs w:val="22"/>
        </w:rPr>
        <w:t>boreendo</w:t>
      </w:r>
      <w:proofErr w:type="spellEnd"/>
      <w:r w:rsidRPr="00503070">
        <w:rPr>
          <w:rFonts w:ascii="Arial" w:hAnsi="Arial" w:cs="Arial"/>
          <w:color w:val="000000" w:themeColor="text1"/>
          <w:sz w:val="22"/>
          <w:szCs w:val="22"/>
        </w:rPr>
        <w:t xml:space="preserve"> est principalement joué lors des feux de joie hivernaux, des mariages et des festivals. Les connaissances et le savoir-faire qui lui sont associés étaient traditionnellement transmis au sein de certaines familles par l’apprentissage pratique. Une partie de cet enseignement est aujourd’hui dispensée dans les écoles de village, lors de conférences, de festivals culturels et par le biais des médias en ligne. Instrument à la fois musical et symbolique, le </w:t>
      </w:r>
      <w:proofErr w:type="spellStart"/>
      <w:r w:rsidRPr="00503070">
        <w:rPr>
          <w:rFonts w:ascii="Arial" w:hAnsi="Arial" w:cs="Arial"/>
          <w:color w:val="000000" w:themeColor="text1"/>
          <w:sz w:val="22"/>
          <w:szCs w:val="22"/>
        </w:rPr>
        <w:t>boreendo</w:t>
      </w:r>
      <w:proofErr w:type="spellEnd"/>
      <w:r w:rsidRPr="00503070">
        <w:rPr>
          <w:rFonts w:ascii="Arial" w:hAnsi="Arial" w:cs="Arial"/>
          <w:color w:val="000000" w:themeColor="text1"/>
          <w:sz w:val="22"/>
          <w:szCs w:val="22"/>
        </w:rPr>
        <w:t xml:space="preserve"> encourage la participation de la communauté et contribue à préserver les traditions locales et le lien avec la nature.</w:t>
      </w:r>
    </w:p>
    <w:p w14:paraId="7FF0D73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Il ne restera plus qu’un seul détenteur dans l’art de la fabrication de l’instrument, et de moins en moins de jeunes apprennent à en jouer en raison d’opportunités de revenus limitées et d’un manque d’intérêt, mettant la tradition en péril imminent et sérieux. La pratique est également menacée par la mondialisation, l’évolution des tendances sociales et le manque de sensibilisation, entre autres.</w:t>
      </w:r>
    </w:p>
    <w:p w14:paraId="557E34A6"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 xml:space="preserve">Le plan de sauvegarde comprend six objectifs liés à la promotion, à la diffusion et au renforcement des pratiques culturelles associées à l’élément, ainsi qu’au renforcement des capacités de l’État partie soumissionnaire en matière de sauvegarde du patrimoine culturel immatériel. Les mesures visant à atteindre chaque objectif sont planifiées selon un calendrier réalisable qui tient compte de la participation de la communauté. </w:t>
      </w:r>
    </w:p>
    <w:p w14:paraId="65B696F3"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La candidature a été initiée par les membres des communautés eux-mêmes et développée avec la large participation de divers acteurs concernés par l’élément, notamment des artisans, des maîtres, des organisations non gouvernementales et des groupes de jeunes, des dirigeants de la communauté et des autorités publiques.</w:t>
      </w:r>
    </w:p>
    <w:p w14:paraId="28C9CF88"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 xml:space="preserve">L’élément a été ajouté à l’inventaire provincial du patrimoine culturel immatériel dans le Sindh, Pakistan en 2022. L’inventaire est géré par le Département de la culture, du </w:t>
      </w:r>
      <w:r w:rsidRPr="00503070">
        <w:rPr>
          <w:rFonts w:ascii="Arial" w:hAnsi="Arial" w:cs="Arial"/>
          <w:color w:val="000000" w:themeColor="text1"/>
          <w:sz w:val="22"/>
          <w:szCs w:val="22"/>
        </w:rPr>
        <w:lastRenderedPageBreak/>
        <w:t>tourisme, des antiquités et des archives du gouvernement provincial du Sindh, en collaboration avec la Division nationale du patrimoine et de la culture du gouvernement fédéral du Pakistan. L’élaboration de l’inventaire a bénéficié d’une formation sur l’inventaire basé sur les communautés, dispensée en 2022.</w:t>
      </w:r>
    </w:p>
    <w:p w14:paraId="612B536B" w14:textId="77777777" w:rsidR="0015777E" w:rsidRPr="00503070" w:rsidRDefault="0015777E" w:rsidP="001E17AF">
      <w:pPr>
        <w:numPr>
          <w:ilvl w:val="0"/>
          <w:numId w:val="3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w:t>
      </w:r>
      <w:proofErr w:type="spellStart"/>
      <w:r w:rsidRPr="00503070">
        <w:rPr>
          <w:rFonts w:ascii="Arial" w:hAnsi="Arial" w:cs="Arial"/>
          <w:b/>
          <w:sz w:val="22"/>
          <w:szCs w:val="22"/>
        </w:rPr>
        <w:t>boreendo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bhorindo</w:t>
      </w:r>
      <w:proofErr w:type="spellEnd"/>
      <w:r w:rsidRPr="00503070">
        <w:rPr>
          <w:rFonts w:ascii="Arial" w:hAnsi="Arial" w:cs="Arial"/>
          <w:b/>
          <w:sz w:val="22"/>
          <w:szCs w:val="22"/>
        </w:rPr>
        <w:t> : un ancien instrument de musique traditionnel en voie de disparition, ses mélodies, connaissances et savoir-faire</w:t>
      </w:r>
      <w:r w:rsidRPr="00503070">
        <w:rPr>
          <w:rFonts w:ascii="Arial" w:hAnsi="Arial" w:cs="Arial"/>
          <w:sz w:val="22"/>
          <w:szCs w:val="22"/>
        </w:rPr>
        <w:t xml:space="preserve"> sur la Liste du patrimoine culturel immatériel nécessitant une sauvegarde urgente ;</w:t>
      </w:r>
    </w:p>
    <w:p w14:paraId="562C26DB" w14:textId="77777777" w:rsidR="0015777E" w:rsidRPr="00503070" w:rsidRDefault="0015777E" w:rsidP="001E17AF">
      <w:pPr>
        <w:numPr>
          <w:ilvl w:val="0"/>
          <w:numId w:val="3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garantir la participation de la communauté à toutes les étapes de la sauvegarde (lancement, activités, suivi), à mettre l’accent en particulier sur les mesures éducatives dans la sauvegarde de l’élément, et à encourager les autres membres de la communauté et les jeunes générations à prendre conscience de l’importance de l’élément.</w:t>
      </w:r>
    </w:p>
    <w:p w14:paraId="76DB8A7A" w14:textId="77777777" w:rsidR="0015777E" w:rsidRPr="00503070" w:rsidRDefault="0015777E" w:rsidP="00F57031">
      <w:pPr>
        <w:pStyle w:val="COMTitleDecision"/>
        <w:keepNext/>
      </w:pPr>
      <w:r w:rsidRPr="00503070">
        <w:t>DÉCISION 20.COM 7.a.4</w:t>
      </w:r>
    </w:p>
    <w:p w14:paraId="5F5C723D"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8977B2D" w14:textId="77777777" w:rsidR="0015777E" w:rsidRPr="00503070" w:rsidRDefault="0015777E" w:rsidP="001E17AF">
      <w:pPr>
        <w:numPr>
          <w:ilvl w:val="0"/>
          <w:numId w:val="3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Panama a proposé la candidature des</w:t>
      </w:r>
      <w:r w:rsidRPr="00503070">
        <w:rPr>
          <w:rFonts w:ascii="Arial" w:hAnsi="Arial" w:cs="Arial"/>
          <w:b/>
          <w:sz w:val="22"/>
          <w:szCs w:val="22"/>
        </w:rPr>
        <w:t xml:space="preserve"> processus de construction de la maison </w:t>
      </w:r>
      <w:proofErr w:type="spellStart"/>
      <w:r w:rsidRPr="00503070">
        <w:rPr>
          <w:rFonts w:ascii="Arial" w:hAnsi="Arial" w:cs="Arial"/>
          <w:b/>
          <w:sz w:val="22"/>
          <w:szCs w:val="22"/>
        </w:rPr>
        <w:t>quincha</w:t>
      </w:r>
      <w:proofErr w:type="spellEnd"/>
      <w:r w:rsidRPr="00503070">
        <w:rPr>
          <w:rFonts w:ascii="Arial" w:hAnsi="Arial" w:cs="Arial"/>
          <w:b/>
          <w:sz w:val="22"/>
          <w:szCs w:val="22"/>
        </w:rPr>
        <w:t xml:space="preserve"> et de la </w:t>
      </w:r>
      <w:proofErr w:type="spellStart"/>
      <w:r w:rsidRPr="00503070">
        <w:rPr>
          <w:rFonts w:ascii="Arial" w:hAnsi="Arial" w:cs="Arial"/>
          <w:b/>
          <w:sz w:val="22"/>
          <w:szCs w:val="22"/>
        </w:rPr>
        <w:t>junta</w:t>
      </w:r>
      <w:proofErr w:type="spellEnd"/>
      <w:r w:rsidRPr="00503070">
        <w:rPr>
          <w:rFonts w:ascii="Arial" w:hAnsi="Arial" w:cs="Arial"/>
          <w:b/>
          <w:sz w:val="22"/>
          <w:szCs w:val="22"/>
        </w:rPr>
        <w:t xml:space="preserve"> de embarre/embarra</w:t>
      </w:r>
      <w:r w:rsidRPr="00503070">
        <w:rPr>
          <w:rFonts w:ascii="Arial" w:hAnsi="Arial" w:cs="Arial"/>
          <w:sz w:val="22"/>
          <w:szCs w:val="22"/>
        </w:rPr>
        <w:t xml:space="preserve"> (n° 02300) pour inscription sur la Liste du patrimoine culturel immatériel nécessitant une sauvegarde urgente :</w:t>
      </w:r>
    </w:p>
    <w:p w14:paraId="665D7890" w14:textId="77777777" w:rsidR="0015777E" w:rsidRPr="00503070" w:rsidRDefault="0015777E" w:rsidP="0015777E">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construction de maisons en terre ou en argile, connues sous le nom de maisons </w:t>
      </w:r>
      <w:proofErr w:type="spellStart"/>
      <w:r w:rsidRPr="00503070">
        <w:rPr>
          <w:rFonts w:ascii="Arial" w:hAnsi="Arial" w:cs="Arial"/>
          <w:sz w:val="22"/>
          <w:szCs w:val="22"/>
        </w:rPr>
        <w:t>quincha</w:t>
      </w:r>
      <w:proofErr w:type="spellEnd"/>
      <w:r w:rsidRPr="00503070">
        <w:rPr>
          <w:rFonts w:ascii="Arial" w:hAnsi="Arial" w:cs="Arial"/>
          <w:sz w:val="22"/>
          <w:szCs w:val="22"/>
        </w:rPr>
        <w:t xml:space="preserve">, est une pratique de construction traditionnelle que l’on trouve couramment dans les zones rurales et semi-urbaines dans de nombreuses parties du Panama. Ces maisons sont construites à partir d’un mélange de terre argileuse, de foin et de fibres naturelles, ainsi que de bois et de plantes pour soutenir la structure. Ce processus de construction, appelé </w:t>
      </w:r>
      <w:proofErr w:type="spellStart"/>
      <w:r w:rsidRPr="00503070">
        <w:rPr>
          <w:rFonts w:ascii="Arial" w:hAnsi="Arial" w:cs="Arial"/>
          <w:sz w:val="22"/>
          <w:szCs w:val="22"/>
        </w:rPr>
        <w:t>junta</w:t>
      </w:r>
      <w:proofErr w:type="spellEnd"/>
      <w:r w:rsidRPr="00503070">
        <w:rPr>
          <w:rFonts w:ascii="Arial" w:hAnsi="Arial" w:cs="Arial"/>
          <w:sz w:val="22"/>
          <w:szCs w:val="22"/>
        </w:rPr>
        <w:t xml:space="preserve"> de embarre, exige une connaissance approfondie des matériaux locaux et de l’environnement, ainsi que des savoir-faire en matière de mélange, de façonnage et d’assemblage des composants. </w:t>
      </w:r>
    </w:p>
    <w:p w14:paraId="2AE71909" w14:textId="77777777" w:rsidR="0015777E" w:rsidRPr="00503070" w:rsidRDefault="0015777E" w:rsidP="001E17AF">
      <w:pPr>
        <w:keepNext/>
        <w:numPr>
          <w:ilvl w:val="0"/>
          <w:numId w:val="32"/>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7EB8373F"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Les techniques de construction des maisons </w:t>
      </w:r>
      <w:proofErr w:type="spellStart"/>
      <w:r w:rsidRPr="00503070">
        <w:rPr>
          <w:rFonts w:ascii="Arial" w:hAnsi="Arial" w:cs="Arial"/>
          <w:color w:val="000000" w:themeColor="text1"/>
          <w:sz w:val="22"/>
          <w:szCs w:val="22"/>
        </w:rPr>
        <w:t>quincha</w:t>
      </w:r>
      <w:proofErr w:type="spellEnd"/>
      <w:r w:rsidRPr="00503070">
        <w:rPr>
          <w:rFonts w:ascii="Arial" w:hAnsi="Arial" w:cs="Arial"/>
          <w:color w:val="000000" w:themeColor="text1"/>
          <w:sz w:val="22"/>
          <w:szCs w:val="22"/>
        </w:rPr>
        <w:t xml:space="preserve"> sont transmises de manière informelle, notamment lors d’événements de la communauté appelés « réunions de boue », au cours desquels des personnes de tous âges se réunissent pour apprendre, s’entraider et faire la fête. Les participants apprennent à préparer le mélange d’argile, à l’appliquer sur les murs et à construire la structure. Cette pratique renforce les valeurs telles que le travail d’équipe, la coopération et le soutien mutuel. Elle implique plusieurs rôles, depuis les maîtres d’œuvre chargés de concevoir la structure, jusqu’aux autres participants qui aident à préparer l’argile, à fabriquer des briques ou des tuiles et à organiser le travail. Les chants, la nourriture et la musique traditionnels font souvent partie de ces efforts de la communauté, transformant le processus de construction en un événement social et culturel.</w:t>
      </w:r>
    </w:p>
    <w:p w14:paraId="7C2C68F0"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Sous-estimée d’un point de vue économique et ignorée en termes de sécurité sociale, cette pratique culturelle est menacée. De nombreux détenteurs de la tradition sont d’un âge avancé et certains ont besoin d’un autre emploi pour subvenir à leurs besoins. En outre, il y a un manque d’intérêt chez les jeunes générations pour l’apprentissage des techniques de construction en raison des difficultés qu’elles rencontrent pour assurer leur subsistance grâce à cet élément.</w:t>
      </w:r>
    </w:p>
    <w:p w14:paraId="4EC2C589"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Le processus de candidature a impliqué des dirigeants locaux, des universités, des universitaires, des gestionnaires culturels, des détenteurs et des communautés. Le dossier fournit suffisamment d’informations sur le consentement de la communauté. Des ateliers, des réunions et des consultations en ligne ont été organisés pour recueillir des données, le consentement et le soutien à la candidature.</w:t>
      </w:r>
    </w:p>
    <w:p w14:paraId="2120E679" w14:textId="77777777" w:rsidR="0015777E" w:rsidRPr="00503070" w:rsidRDefault="0015777E" w:rsidP="0015777E">
      <w:pPr>
        <w:keepLines/>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U.5 :</w:t>
      </w:r>
      <w:r w:rsidRPr="00503070">
        <w:rPr>
          <w:rFonts w:ascii="Arial" w:hAnsi="Arial" w:cs="Arial"/>
          <w:color w:val="000000" w:themeColor="text1"/>
          <w:sz w:val="22"/>
          <w:szCs w:val="22"/>
        </w:rPr>
        <w:tab/>
        <w:t xml:space="preserve">L’élément est inclus dans l’inventaire du patrimoine culturel immatériel du Panama, qui a été élaboré entre 2018 et 2024. Cet inventaire est géré par le Département du patrimoine culturel immatériel du </w:t>
      </w:r>
      <w:proofErr w:type="gramStart"/>
      <w:r w:rsidRPr="00503070">
        <w:rPr>
          <w:rFonts w:ascii="Arial" w:hAnsi="Arial" w:cs="Arial"/>
          <w:color w:val="000000" w:themeColor="text1"/>
          <w:sz w:val="22"/>
          <w:szCs w:val="22"/>
        </w:rPr>
        <w:t>Ministère de la culture</w:t>
      </w:r>
      <w:proofErr w:type="gramEnd"/>
      <w:r w:rsidRPr="00503070">
        <w:rPr>
          <w:rFonts w:ascii="Arial" w:hAnsi="Arial" w:cs="Arial"/>
          <w:color w:val="000000" w:themeColor="text1"/>
          <w:sz w:val="22"/>
          <w:szCs w:val="22"/>
        </w:rPr>
        <w:t>, et est mis à jour tous les deux ans.</w:t>
      </w:r>
    </w:p>
    <w:p w14:paraId="0636714C" w14:textId="77777777" w:rsidR="0015777E" w:rsidRPr="00503070" w:rsidRDefault="0015777E" w:rsidP="001E17AF">
      <w:pPr>
        <w:pStyle w:val="ListParagraph"/>
        <w:numPr>
          <w:ilvl w:val="0"/>
          <w:numId w:val="33"/>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du patrimoine culturel immatériel nécessitant une sauvegarde urgente :</w:t>
      </w:r>
    </w:p>
    <w:p w14:paraId="71A53311" w14:textId="77777777" w:rsidR="0015777E" w:rsidRPr="00503070" w:rsidRDefault="0015777E" w:rsidP="00063CD5">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U.3 :</w:t>
      </w:r>
      <w:r w:rsidRPr="00503070">
        <w:rPr>
          <w:rFonts w:ascii="Arial" w:hAnsi="Arial" w:cs="Arial"/>
          <w:sz w:val="22"/>
          <w:szCs w:val="22"/>
        </w:rPr>
        <w:tab/>
        <w:t xml:space="preserve">Le plan de sauvegarde réunit des entités municipales et des communautés qui visent à promouvoir le développement culturel, éducatif et social, avec la validation d’études </w:t>
      </w:r>
      <w:r w:rsidRPr="00503070">
        <w:rPr>
          <w:rFonts w:ascii="Arial" w:hAnsi="Arial" w:cs="Arial"/>
          <w:color w:val="000000" w:themeColor="text1"/>
          <w:sz w:val="22"/>
          <w:szCs w:val="22"/>
        </w:rPr>
        <w:t>techniques</w:t>
      </w:r>
      <w:r w:rsidRPr="00503070">
        <w:rPr>
          <w:rFonts w:ascii="Arial" w:hAnsi="Arial" w:cs="Arial"/>
          <w:sz w:val="22"/>
          <w:szCs w:val="22"/>
        </w:rPr>
        <w:t xml:space="preserve">, afin d’assurer la protection et la transmission des connaissances traditionnelles. Les mesures proposées visent à assurer aux détenteurs des conditions de vie décentes afin qu’ils puissent se consacrer à l’enseignement des jeunes intéressés à chaque étape de la construction des maisons </w:t>
      </w:r>
      <w:proofErr w:type="spellStart"/>
      <w:r w:rsidRPr="00503070">
        <w:rPr>
          <w:rFonts w:ascii="Arial" w:hAnsi="Arial" w:cs="Arial"/>
          <w:sz w:val="22"/>
          <w:szCs w:val="22"/>
        </w:rPr>
        <w:t>quincha</w:t>
      </w:r>
      <w:proofErr w:type="spellEnd"/>
      <w:r w:rsidRPr="00503070">
        <w:rPr>
          <w:rFonts w:ascii="Arial" w:hAnsi="Arial" w:cs="Arial"/>
          <w:sz w:val="22"/>
          <w:szCs w:val="22"/>
        </w:rPr>
        <w:t>. Le plan est détaillé en termes d’activités, de responsabilités des diverses parties prenantes, de budget et de calendrier.</w:t>
      </w:r>
    </w:p>
    <w:p w14:paraId="69A517CC" w14:textId="77777777" w:rsidR="0015777E" w:rsidRPr="00503070" w:rsidRDefault="0015777E" w:rsidP="001E17AF">
      <w:pPr>
        <w:numPr>
          <w:ilvl w:val="0"/>
          <w:numId w:val="33"/>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les processus de construction de la maison </w:t>
      </w:r>
      <w:proofErr w:type="spellStart"/>
      <w:r w:rsidRPr="00503070">
        <w:rPr>
          <w:rFonts w:ascii="Arial" w:hAnsi="Arial" w:cs="Arial"/>
          <w:b/>
          <w:sz w:val="22"/>
          <w:szCs w:val="22"/>
        </w:rPr>
        <w:t>quincha</w:t>
      </w:r>
      <w:proofErr w:type="spellEnd"/>
      <w:r w:rsidRPr="00503070">
        <w:rPr>
          <w:rFonts w:ascii="Arial" w:hAnsi="Arial" w:cs="Arial"/>
          <w:b/>
          <w:sz w:val="22"/>
          <w:szCs w:val="22"/>
        </w:rPr>
        <w:t xml:space="preserve"> et de la </w:t>
      </w:r>
      <w:proofErr w:type="spellStart"/>
      <w:r w:rsidRPr="00503070">
        <w:rPr>
          <w:rFonts w:ascii="Arial" w:hAnsi="Arial" w:cs="Arial"/>
          <w:b/>
          <w:sz w:val="22"/>
          <w:szCs w:val="22"/>
        </w:rPr>
        <w:t>junta</w:t>
      </w:r>
      <w:proofErr w:type="spellEnd"/>
      <w:r w:rsidRPr="00503070">
        <w:rPr>
          <w:rFonts w:ascii="Arial" w:hAnsi="Arial" w:cs="Arial"/>
          <w:b/>
          <w:sz w:val="22"/>
          <w:szCs w:val="22"/>
        </w:rPr>
        <w:t xml:space="preserve"> de embarre/embarra</w:t>
      </w:r>
      <w:r w:rsidRPr="00503070">
        <w:rPr>
          <w:rFonts w:ascii="Arial" w:hAnsi="Arial" w:cs="Arial"/>
          <w:sz w:val="22"/>
          <w:szCs w:val="22"/>
        </w:rPr>
        <w:t xml:space="preserve"> sur la Liste du patrimoine culturel immatériel nécessitant une sauvegarde urgente.</w:t>
      </w:r>
    </w:p>
    <w:p w14:paraId="7D8EDA6D" w14:textId="265DE811" w:rsidR="0015777E" w:rsidRPr="00503070" w:rsidRDefault="0015777E" w:rsidP="001E17AF">
      <w:pPr>
        <w:numPr>
          <w:ilvl w:val="0"/>
          <w:numId w:val="33"/>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Encourage</w:t>
      </w:r>
      <w:r w:rsidRPr="00503070">
        <w:rPr>
          <w:rFonts w:ascii="Arial" w:hAnsi="Arial" w:cs="Arial"/>
          <w:sz w:val="22"/>
          <w:szCs w:val="22"/>
        </w:rPr>
        <w:t xml:space="preserve"> l’État partie soumissionnaire à garantir la participation des communautés à toutes les étapes de la sauvegarde (lancement, activités, suivi) et à les impliquer dans la construction de ces maisons peu coûteuses et respectueuses de l’environnement, en cherchant à revitaliser le marché pour ce type de maisons ; l’État partie soumissionnaire est invité à veiller à ce que les activités orientées sur le tourisme ne deviennent pas l’aspect dominant de la mise en œuvre du plan de sauvegarde.</w:t>
      </w:r>
    </w:p>
    <w:p w14:paraId="6C5E8852" w14:textId="77777777" w:rsidR="0015777E" w:rsidRPr="00503070" w:rsidRDefault="0015777E" w:rsidP="00F57031">
      <w:pPr>
        <w:pStyle w:val="COMTitleDecision"/>
        <w:keepNext/>
      </w:pPr>
      <w:r w:rsidRPr="00503070">
        <w:t>DÉCISION 20.COM 7.a.5</w:t>
      </w:r>
    </w:p>
    <w:p w14:paraId="01A0B465"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D352AE3" w14:textId="77777777" w:rsidR="0015777E" w:rsidRPr="00503070" w:rsidRDefault="0015777E" w:rsidP="001E17AF">
      <w:pPr>
        <w:numPr>
          <w:ilvl w:val="0"/>
          <w:numId w:val="34"/>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Paraguay a proposé la candidature de </w:t>
      </w:r>
      <w:r w:rsidRPr="00503070">
        <w:rPr>
          <w:rFonts w:ascii="Arial" w:hAnsi="Arial" w:cs="Arial"/>
          <w:b/>
          <w:sz w:val="22"/>
          <w:szCs w:val="22"/>
        </w:rPr>
        <w:t xml:space="preserve">l’art </w:t>
      </w:r>
      <w:proofErr w:type="spellStart"/>
      <w:r w:rsidRPr="00503070">
        <w:rPr>
          <w:rFonts w:ascii="Arial" w:hAnsi="Arial" w:cs="Arial"/>
          <w:b/>
          <w:sz w:val="22"/>
          <w:szCs w:val="22"/>
        </w:rPr>
        <w:t>ñai’ũpo</w:t>
      </w:r>
      <w:proofErr w:type="spellEnd"/>
      <w:r w:rsidRPr="00503070">
        <w:rPr>
          <w:rFonts w:ascii="Arial" w:hAnsi="Arial" w:cs="Arial"/>
          <w:b/>
          <w:sz w:val="22"/>
          <w:szCs w:val="22"/>
        </w:rPr>
        <w:t>, un artisanat ancestral de la céramique</w:t>
      </w:r>
      <w:r w:rsidRPr="00503070">
        <w:rPr>
          <w:rFonts w:ascii="Arial" w:hAnsi="Arial" w:cs="Arial"/>
          <w:sz w:val="22"/>
          <w:szCs w:val="22"/>
        </w:rPr>
        <w:t xml:space="preserve"> (n° 02159) pour inscription sur la Liste du patrimoine culturel immatériel nécessitant une sauvegarde urgente :</w:t>
      </w:r>
    </w:p>
    <w:p w14:paraId="4BBAEFAD"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ñai’ũpo</w:t>
      </w:r>
      <w:proofErr w:type="spellEnd"/>
      <w:r w:rsidRPr="00503070">
        <w:rPr>
          <w:rFonts w:ascii="Arial" w:hAnsi="Arial" w:cs="Arial"/>
          <w:sz w:val="22"/>
          <w:szCs w:val="22"/>
        </w:rPr>
        <w:t xml:space="preserve"> est un artisanat traditionnel de la céramique qui consiste à fabriquer à la main des ustensiles noirâtres de cuisine et de table en utilisant des matériaux naturels et des techniques transmises de génération en génération. Pratiqué par des communautés organisées en associations de potiers à </w:t>
      </w:r>
      <w:proofErr w:type="spellStart"/>
      <w:r w:rsidRPr="00503070">
        <w:rPr>
          <w:rFonts w:ascii="Arial" w:hAnsi="Arial" w:cs="Arial"/>
          <w:sz w:val="22"/>
          <w:szCs w:val="22"/>
        </w:rPr>
        <w:t>Itá</w:t>
      </w:r>
      <w:proofErr w:type="spellEnd"/>
      <w:r w:rsidRPr="00503070">
        <w:rPr>
          <w:rFonts w:ascii="Arial" w:hAnsi="Arial" w:cs="Arial"/>
          <w:sz w:val="22"/>
          <w:szCs w:val="22"/>
        </w:rPr>
        <w:t xml:space="preserve">, </w:t>
      </w:r>
      <w:proofErr w:type="spellStart"/>
      <w:r w:rsidRPr="00503070">
        <w:rPr>
          <w:rFonts w:ascii="Arial" w:hAnsi="Arial" w:cs="Arial"/>
          <w:sz w:val="22"/>
          <w:szCs w:val="22"/>
        </w:rPr>
        <w:t>Tobatí</w:t>
      </w:r>
      <w:proofErr w:type="spellEnd"/>
      <w:r w:rsidRPr="00503070">
        <w:rPr>
          <w:rFonts w:ascii="Arial" w:hAnsi="Arial" w:cs="Arial"/>
          <w:sz w:val="22"/>
          <w:szCs w:val="22"/>
        </w:rPr>
        <w:t xml:space="preserve"> et </w:t>
      </w:r>
      <w:proofErr w:type="spellStart"/>
      <w:r w:rsidRPr="00503070">
        <w:rPr>
          <w:rFonts w:ascii="Arial" w:hAnsi="Arial" w:cs="Arial"/>
          <w:sz w:val="22"/>
          <w:szCs w:val="22"/>
        </w:rPr>
        <w:t>Yaguarón</w:t>
      </w:r>
      <w:proofErr w:type="spellEnd"/>
      <w:r w:rsidRPr="00503070">
        <w:rPr>
          <w:rFonts w:ascii="Arial" w:hAnsi="Arial" w:cs="Arial"/>
          <w:sz w:val="22"/>
          <w:szCs w:val="22"/>
        </w:rPr>
        <w:t xml:space="preserve">, le processus est à la fois pratique et culturel, rassemblant des savoir-faire, des liens de la communauté et des expressions identitaires. Il commence par la collecte d’argile sauvage dans les marais proches, une tâche qui exige une connaissance approfondie des matériaux et de l’environnement. La poussière de brique est ensuite malaxée dans l’argile. La poterie est façonnée selon la méthode du « colombin », où les rouleaux d’argile sont empilés et lissés à la main à l’aide d’un outil spécial appelé « </w:t>
      </w:r>
      <w:proofErr w:type="spellStart"/>
      <w:r w:rsidRPr="00503070">
        <w:rPr>
          <w:rFonts w:ascii="Arial" w:hAnsi="Arial" w:cs="Arial"/>
          <w:sz w:val="22"/>
          <w:szCs w:val="22"/>
        </w:rPr>
        <w:t>tacuara</w:t>
      </w:r>
      <w:proofErr w:type="spellEnd"/>
      <w:r w:rsidRPr="00503070">
        <w:rPr>
          <w:rFonts w:ascii="Arial" w:hAnsi="Arial" w:cs="Arial"/>
          <w:sz w:val="22"/>
          <w:szCs w:val="22"/>
        </w:rPr>
        <w:t xml:space="preserve"> ». Les pièces sont ensuite décorées avec de la peinture naturelle, polies et cuites dans des fours à bois pendant plusieurs heures. </w:t>
      </w:r>
    </w:p>
    <w:p w14:paraId="5D89A171" w14:textId="77777777" w:rsidR="0015777E" w:rsidRPr="00503070" w:rsidRDefault="0015777E" w:rsidP="001E17AF">
      <w:pPr>
        <w:keepNext/>
        <w:numPr>
          <w:ilvl w:val="0"/>
          <w:numId w:val="34"/>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04034944"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L’artisanat de la céramique est essentiellement dirigé par des femmes, les plus âgées transmettant les connaissances et les compétences à leurs filles ou à leurs apprentis par la pratique et des conseils oraux dans la langue guaranie. L’outil « </w:t>
      </w:r>
      <w:proofErr w:type="spellStart"/>
      <w:r w:rsidRPr="00503070">
        <w:rPr>
          <w:rFonts w:ascii="Arial" w:hAnsi="Arial" w:cs="Arial"/>
          <w:color w:val="000000" w:themeColor="text1"/>
          <w:sz w:val="22"/>
          <w:szCs w:val="22"/>
        </w:rPr>
        <w:t>tacuara</w:t>
      </w:r>
      <w:proofErr w:type="spellEnd"/>
      <w:r w:rsidRPr="00503070">
        <w:rPr>
          <w:rFonts w:ascii="Arial" w:hAnsi="Arial" w:cs="Arial"/>
          <w:color w:val="000000" w:themeColor="text1"/>
          <w:sz w:val="22"/>
          <w:szCs w:val="22"/>
        </w:rPr>
        <w:t xml:space="preserve"> », qui est transmis de maître à apprenti, symbolise le processus de transmission du savoir. Le </w:t>
      </w:r>
      <w:proofErr w:type="spellStart"/>
      <w:r w:rsidRPr="00503070">
        <w:rPr>
          <w:rFonts w:ascii="Arial" w:hAnsi="Arial" w:cs="Arial"/>
          <w:color w:val="000000" w:themeColor="text1"/>
          <w:sz w:val="22"/>
          <w:szCs w:val="22"/>
        </w:rPr>
        <w:t>ñai’ũpo</w:t>
      </w:r>
      <w:proofErr w:type="spellEnd"/>
      <w:r w:rsidRPr="00503070">
        <w:rPr>
          <w:rFonts w:ascii="Arial" w:hAnsi="Arial" w:cs="Arial"/>
          <w:color w:val="000000" w:themeColor="text1"/>
          <w:sz w:val="22"/>
          <w:szCs w:val="22"/>
        </w:rPr>
        <w:t xml:space="preserve"> contribue également à préserver les traditions et les outils culinaires, tout en soulignant le rôle important que jouent les femmes dans leurs communautés. Les </w:t>
      </w:r>
      <w:r w:rsidRPr="00503070">
        <w:rPr>
          <w:rFonts w:ascii="Arial" w:hAnsi="Arial" w:cs="Arial"/>
          <w:color w:val="000000" w:themeColor="text1"/>
          <w:sz w:val="22"/>
          <w:szCs w:val="22"/>
        </w:rPr>
        <w:lastRenderedPageBreak/>
        <w:t>hommes apportent souvent leur soutien en rassemblant les matériaux et en transportant les produits finis.</w:t>
      </w:r>
    </w:p>
    <w:p w14:paraId="0D1E67AF"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Les difficultés à assurer l’approvisionnement en matières premières et les revenus limités associés à la pratique ont un impact sur sa viabilité. Il ne reste qu’un petit nombre de maîtres céramistes, et les jeunes préfèrent chercher des possibilités d’études et d’emploi en dehors de leurs villes. Par conséquent, la transmission intergénérationnelle des connaissances traditionnelles associées à cette pratique est gravement menacée.</w:t>
      </w:r>
    </w:p>
    <w:p w14:paraId="627C5DF8"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Le plan de sauvegarde se concentre sur deux objectifs principaux : (a) assurer la transmission intergénérationnelle de l’élément pour garantir sa viabilité continue ; et (b) garantir l’accès aux matières premières. Le plan de sauvegarde est basé sur un cadre juridique et administratif bien établi et implique la participation effective de la communauté à la formulation et à la mise en œuvre des actions proposées.</w:t>
      </w:r>
    </w:p>
    <w:p w14:paraId="582DD22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La candidature est née de l’intérêt de la communauté des détenteurs et a été développée dans le cadre d’un effort conjoint des institutions publiques, des ONG et de la communauté elle-même, sur la base d’un dialogue continu et d’un processus durable pour la recherche, l’élaboration du dossier technique et le plan de sauvegarde.</w:t>
      </w:r>
    </w:p>
    <w:p w14:paraId="70E4F571" w14:textId="77777777" w:rsidR="0015777E" w:rsidRPr="00503070" w:rsidRDefault="0015777E" w:rsidP="001E17AF">
      <w:pPr>
        <w:pStyle w:val="ListParagraph"/>
        <w:numPr>
          <w:ilvl w:val="0"/>
          <w:numId w:val="35"/>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du patrimoine culturel immatériel nécessitant une sauvegarde urgente :</w:t>
      </w:r>
    </w:p>
    <w:p w14:paraId="1AA8DBE0" w14:textId="77777777" w:rsidR="0015777E" w:rsidRPr="00503070" w:rsidRDefault="0015777E" w:rsidP="0015777E">
      <w:pPr>
        <w:pStyle w:val="ListParagraph"/>
        <w:spacing w:before="120" w:after="120"/>
        <w:ind w:left="1134" w:hanging="567"/>
        <w:jc w:val="both"/>
        <w:rPr>
          <w:rFonts w:ascii="Arial" w:hAnsi="Arial" w:cs="Arial"/>
          <w:bCs/>
          <w:sz w:val="22"/>
          <w:szCs w:val="22"/>
        </w:rPr>
      </w:pPr>
      <w:r w:rsidRPr="00503070">
        <w:rPr>
          <w:rFonts w:ascii="Arial" w:hAnsi="Arial" w:cs="Arial"/>
          <w:sz w:val="22"/>
          <w:szCs w:val="22"/>
        </w:rPr>
        <w:t>U.5 :</w:t>
      </w:r>
      <w:r w:rsidRPr="00503070">
        <w:rPr>
          <w:rFonts w:ascii="Arial" w:hAnsi="Arial" w:cs="Arial"/>
          <w:sz w:val="22"/>
          <w:szCs w:val="22"/>
        </w:rPr>
        <w:tab/>
        <w:t>L’élément a été inscrit au registre des biens du patrimoine culturel national en 2021. Le Secrétariat national de la culture, par l’intermédiaire du Bureau général du patrimoine culturel, est responsable de la tenue et de la mise à jour régulière de l’inventaire afin de refléter l’état actuel de l’art. L’implication de la communauté dans le processus d’inventaire est évidente, avec des contributions significatives de la part des artisans locaux et des institutions nationales.</w:t>
      </w:r>
    </w:p>
    <w:p w14:paraId="5B07E289" w14:textId="77777777" w:rsidR="0015777E" w:rsidRPr="00503070" w:rsidRDefault="0015777E" w:rsidP="001E17AF">
      <w:pPr>
        <w:numPr>
          <w:ilvl w:val="0"/>
          <w:numId w:val="35"/>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l’art </w:t>
      </w:r>
      <w:proofErr w:type="spellStart"/>
      <w:r w:rsidRPr="00503070">
        <w:rPr>
          <w:rFonts w:ascii="Arial" w:hAnsi="Arial" w:cs="Arial"/>
          <w:b/>
          <w:sz w:val="22"/>
          <w:szCs w:val="22"/>
        </w:rPr>
        <w:t>ñai’ũpo</w:t>
      </w:r>
      <w:proofErr w:type="spellEnd"/>
      <w:r w:rsidRPr="00503070">
        <w:rPr>
          <w:rFonts w:ascii="Arial" w:hAnsi="Arial" w:cs="Arial"/>
          <w:b/>
          <w:sz w:val="22"/>
          <w:szCs w:val="22"/>
        </w:rPr>
        <w:t>, un artisanat ancestral de la céramique</w:t>
      </w:r>
      <w:r w:rsidRPr="00503070">
        <w:rPr>
          <w:rFonts w:ascii="Arial" w:hAnsi="Arial" w:cs="Arial"/>
          <w:sz w:val="22"/>
          <w:szCs w:val="22"/>
        </w:rPr>
        <w:t xml:space="preserve"> sur la Liste du patrimoine culturel immatériel nécessitant une sauvegarde urgente ;</w:t>
      </w:r>
    </w:p>
    <w:p w14:paraId="588A8A85" w14:textId="77777777" w:rsidR="0015777E" w:rsidRPr="00503070" w:rsidRDefault="0015777E" w:rsidP="001E17AF">
      <w:pPr>
        <w:numPr>
          <w:ilvl w:val="0"/>
          <w:numId w:val="35"/>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garantir la participation de la communauté à toutes les étapes de la sauvegarde (lancement, activités, suivi).</w:t>
      </w:r>
    </w:p>
    <w:p w14:paraId="55F0E79B" w14:textId="77777777" w:rsidR="0015777E" w:rsidRPr="00503070" w:rsidRDefault="0015777E" w:rsidP="00987A37">
      <w:pPr>
        <w:pStyle w:val="COMTitleDecision"/>
        <w:keepNext/>
      </w:pPr>
      <w:r w:rsidRPr="00503070">
        <w:t>DÉCISION 20.COM 7.a.6</w:t>
      </w:r>
    </w:p>
    <w:p w14:paraId="15F2169A"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359DE00" w14:textId="77777777" w:rsidR="0015777E" w:rsidRPr="00503070" w:rsidRDefault="0015777E" w:rsidP="001E17AF">
      <w:pPr>
        <w:numPr>
          <w:ilvl w:val="0"/>
          <w:numId w:val="36"/>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les Philippines ont proposé la candidature de </w:t>
      </w:r>
      <w:r w:rsidRPr="00503070">
        <w:rPr>
          <w:rFonts w:ascii="Arial" w:hAnsi="Arial" w:cs="Arial"/>
          <w:b/>
          <w:sz w:val="22"/>
          <w:szCs w:val="22"/>
        </w:rPr>
        <w:t>la pratique de fabrication de l’</w:t>
      </w:r>
      <w:proofErr w:type="spellStart"/>
      <w:r w:rsidRPr="00503070">
        <w:rPr>
          <w:rFonts w:ascii="Arial" w:hAnsi="Arial" w:cs="Arial"/>
          <w:b/>
          <w:sz w:val="22"/>
          <w:szCs w:val="22"/>
        </w:rPr>
        <w:t>asin</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tibuok</w:t>
      </w:r>
      <w:proofErr w:type="spellEnd"/>
      <w:r w:rsidRPr="00503070">
        <w:rPr>
          <w:rFonts w:ascii="Arial" w:hAnsi="Arial" w:cs="Arial"/>
          <w:b/>
          <w:sz w:val="22"/>
          <w:szCs w:val="22"/>
        </w:rPr>
        <w:t xml:space="preserve">, le sel de mer artisanal des </w:t>
      </w:r>
      <w:proofErr w:type="spellStart"/>
      <w:r w:rsidRPr="00503070">
        <w:rPr>
          <w:rFonts w:ascii="Arial" w:hAnsi="Arial" w:cs="Arial"/>
          <w:b/>
          <w:sz w:val="22"/>
          <w:szCs w:val="22"/>
        </w:rPr>
        <w:t>Boholano</w:t>
      </w:r>
      <w:proofErr w:type="spellEnd"/>
      <w:r w:rsidRPr="00503070">
        <w:rPr>
          <w:rFonts w:ascii="Arial" w:hAnsi="Arial" w:cs="Arial"/>
          <w:b/>
          <w:sz w:val="22"/>
          <w:szCs w:val="22"/>
        </w:rPr>
        <w:t xml:space="preserve"> de l’île de Bohol aux Philippines</w:t>
      </w:r>
      <w:r w:rsidRPr="00503070">
        <w:rPr>
          <w:rFonts w:ascii="Arial" w:hAnsi="Arial" w:cs="Arial"/>
          <w:sz w:val="22"/>
          <w:szCs w:val="22"/>
        </w:rPr>
        <w:t xml:space="preserve"> (n° 02316) pour inscription sur la Liste du patrimoine culturel immatériel nécessitant une sauvegarde urgente :</w:t>
      </w:r>
    </w:p>
    <w:p w14:paraId="29A6677D"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L’</w:t>
      </w:r>
      <w:proofErr w:type="spellStart"/>
      <w:r w:rsidRPr="00503070">
        <w:rPr>
          <w:rFonts w:ascii="Arial" w:hAnsi="Arial" w:cs="Arial"/>
          <w:sz w:val="22"/>
          <w:szCs w:val="22"/>
        </w:rPr>
        <w:t>asin</w:t>
      </w:r>
      <w:proofErr w:type="spellEnd"/>
      <w:r w:rsidRPr="00503070">
        <w:rPr>
          <w:rFonts w:ascii="Arial" w:hAnsi="Arial" w:cs="Arial"/>
          <w:sz w:val="22"/>
          <w:szCs w:val="22"/>
        </w:rPr>
        <w:t xml:space="preserve"> </w:t>
      </w:r>
      <w:proofErr w:type="spellStart"/>
      <w:r w:rsidRPr="00503070">
        <w:rPr>
          <w:rFonts w:ascii="Arial" w:hAnsi="Arial" w:cs="Arial"/>
          <w:sz w:val="22"/>
          <w:szCs w:val="22"/>
        </w:rPr>
        <w:t>tibuok</w:t>
      </w:r>
      <w:proofErr w:type="spellEnd"/>
      <w:r w:rsidRPr="00503070">
        <w:rPr>
          <w:rFonts w:ascii="Arial" w:hAnsi="Arial" w:cs="Arial"/>
          <w:sz w:val="22"/>
          <w:szCs w:val="22"/>
        </w:rPr>
        <w:t xml:space="preserve">, ou sel entier, est un type de sel de mer traditionnel fabriqué selon un processus long et minutieux chez les </w:t>
      </w:r>
      <w:proofErr w:type="spellStart"/>
      <w:r w:rsidRPr="00503070">
        <w:rPr>
          <w:rFonts w:ascii="Arial" w:hAnsi="Arial" w:cs="Arial"/>
          <w:sz w:val="22"/>
          <w:szCs w:val="22"/>
        </w:rPr>
        <w:t>Boholano</w:t>
      </w:r>
      <w:proofErr w:type="spellEnd"/>
      <w:r w:rsidRPr="00503070">
        <w:rPr>
          <w:rFonts w:ascii="Arial" w:hAnsi="Arial" w:cs="Arial"/>
          <w:sz w:val="22"/>
          <w:szCs w:val="22"/>
        </w:rPr>
        <w:t xml:space="preserve"> de l’île de Bohol. Le produit final ressemble à un œuf blanc dans une coquille brune. Il est fabriqué à la main à l’aide de matériaux naturels et de techniques traditionnelles transmises de génération en génération. Le processus de fabrication du sel commence par la collecte des coques de noix de coco, qui sont trempées dans l’eau de mer pendant des mois. Ces enveloppes sont ensuite séchées, brûlées et mélangées à de l’eau de mer pour créer de la saumure. La saumure est bouillie dans des pots en argile jusqu’à ce que le sel soit formé. Le sel est ensuite refroidi et collecté. La fabrication de l’</w:t>
      </w:r>
      <w:proofErr w:type="spellStart"/>
      <w:r w:rsidRPr="00503070">
        <w:rPr>
          <w:rFonts w:ascii="Arial" w:hAnsi="Arial" w:cs="Arial"/>
          <w:sz w:val="22"/>
          <w:szCs w:val="22"/>
        </w:rPr>
        <w:t>asin</w:t>
      </w:r>
      <w:proofErr w:type="spellEnd"/>
      <w:r w:rsidRPr="00503070">
        <w:rPr>
          <w:rFonts w:ascii="Arial" w:hAnsi="Arial" w:cs="Arial"/>
          <w:sz w:val="22"/>
          <w:szCs w:val="22"/>
        </w:rPr>
        <w:t xml:space="preserve"> </w:t>
      </w:r>
      <w:proofErr w:type="spellStart"/>
      <w:r w:rsidRPr="00503070">
        <w:rPr>
          <w:rFonts w:ascii="Arial" w:hAnsi="Arial" w:cs="Arial"/>
          <w:sz w:val="22"/>
          <w:szCs w:val="22"/>
        </w:rPr>
        <w:t>tibuok</w:t>
      </w:r>
      <w:proofErr w:type="spellEnd"/>
      <w:r w:rsidRPr="00503070">
        <w:rPr>
          <w:rFonts w:ascii="Arial" w:hAnsi="Arial" w:cs="Arial"/>
          <w:sz w:val="22"/>
          <w:szCs w:val="22"/>
        </w:rPr>
        <w:t xml:space="preserve"> est un processus physiquement exigeant qui est généralement effectué par les hommes, bien que les femmes y participent également, en particulier pour la cuisine, le nettoyage et la fabrication des pots. </w:t>
      </w:r>
    </w:p>
    <w:p w14:paraId="6FDCF6CE" w14:textId="77777777" w:rsidR="0015777E" w:rsidRPr="00503070" w:rsidRDefault="0015777E" w:rsidP="001E17AF">
      <w:pPr>
        <w:keepNext/>
        <w:numPr>
          <w:ilvl w:val="0"/>
          <w:numId w:val="36"/>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0AF53938"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La pratique de la fabrication du sel de mer artisanal</w:t>
      </w:r>
      <w:r w:rsidRPr="00503070">
        <w:rPr>
          <w:rFonts w:ascii="Arial" w:hAnsi="Arial" w:cs="Arial"/>
          <w:b/>
          <w:color w:val="000000" w:themeColor="text1"/>
          <w:sz w:val="22"/>
          <w:szCs w:val="22"/>
        </w:rPr>
        <w:t xml:space="preserve"> </w:t>
      </w:r>
      <w:r w:rsidRPr="00503070">
        <w:rPr>
          <w:rFonts w:ascii="Arial" w:hAnsi="Arial" w:cs="Arial"/>
          <w:color w:val="000000" w:themeColor="text1"/>
          <w:sz w:val="22"/>
          <w:szCs w:val="22"/>
        </w:rPr>
        <w:t xml:space="preserve">est généralement une activité familiale et le savoir-faire est transmis par le biais d’un apprentissage pratique, </w:t>
      </w:r>
      <w:proofErr w:type="gramStart"/>
      <w:r w:rsidRPr="00503070">
        <w:rPr>
          <w:rFonts w:ascii="Arial" w:hAnsi="Arial" w:cs="Arial"/>
          <w:color w:val="000000" w:themeColor="text1"/>
          <w:sz w:val="22"/>
          <w:szCs w:val="22"/>
        </w:rPr>
        <w:t>les enfants observant</w:t>
      </w:r>
      <w:proofErr w:type="gramEnd"/>
      <w:r w:rsidRPr="00503070">
        <w:rPr>
          <w:rFonts w:ascii="Arial" w:hAnsi="Arial" w:cs="Arial"/>
          <w:color w:val="000000" w:themeColor="text1"/>
          <w:sz w:val="22"/>
          <w:szCs w:val="22"/>
        </w:rPr>
        <w:t xml:space="preserve"> et aidant leurs parents. Des groupes de la communauté ont récemment entrepris de contribuer à la documentation et à la protection de cette pratique. Pour les communautés praticiennes, l’</w:t>
      </w:r>
      <w:proofErr w:type="spellStart"/>
      <w:r w:rsidRPr="00503070">
        <w:rPr>
          <w:rFonts w:ascii="Arial" w:hAnsi="Arial" w:cs="Arial"/>
          <w:color w:val="000000" w:themeColor="text1"/>
          <w:sz w:val="22"/>
          <w:szCs w:val="22"/>
        </w:rPr>
        <w:t>asin</w:t>
      </w:r>
      <w:proofErr w:type="spellEnd"/>
      <w:r w:rsidRPr="00503070">
        <w:rPr>
          <w:rFonts w:ascii="Arial" w:hAnsi="Arial" w:cs="Arial"/>
          <w:color w:val="000000" w:themeColor="text1"/>
          <w:sz w:val="22"/>
          <w:szCs w:val="22"/>
        </w:rPr>
        <w:t xml:space="preserve"> </w:t>
      </w:r>
      <w:proofErr w:type="spellStart"/>
      <w:r w:rsidRPr="00503070">
        <w:rPr>
          <w:rFonts w:ascii="Arial" w:hAnsi="Arial" w:cs="Arial"/>
          <w:color w:val="000000" w:themeColor="text1"/>
          <w:sz w:val="22"/>
          <w:szCs w:val="22"/>
        </w:rPr>
        <w:t>tibuok</w:t>
      </w:r>
      <w:proofErr w:type="spellEnd"/>
      <w:r w:rsidRPr="00503070">
        <w:rPr>
          <w:rFonts w:ascii="Arial" w:hAnsi="Arial" w:cs="Arial"/>
          <w:color w:val="000000" w:themeColor="text1"/>
          <w:sz w:val="22"/>
          <w:szCs w:val="22"/>
        </w:rPr>
        <w:t xml:space="preserve"> est un élément clé de la vie quotidienne et des traditions alimentaires. Il contribue aux revenus et joue un rôle central dans les rassemblements et les célébrations.</w:t>
      </w:r>
    </w:p>
    <w:p w14:paraId="7CA0E0E6"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La viabilité de la pratique est affectée par le manque d’intérêt des jeunes générations dans un contexte plus large de l’exode rural, ainsi que par les menaces environnementales (principalement le changement climatique) qui pèsent sur les zones de production de sel.</w:t>
      </w:r>
    </w:p>
    <w:p w14:paraId="42E0C34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Le plan de sauvegarde est réalisable et répond à quatre objectifs essentiels : (a) l’engagement de la communauté ; (b) la protection de l’environnement ; (c) la revitalisation de la transmission intergénérationnelle ; et (d) le renforcement de la durabilité économique. Le dossier accorde une attention particulière à l’implication des membres de la communauté à chaque étape de la sauvegarde.</w:t>
      </w:r>
    </w:p>
    <w:p w14:paraId="43B1429B"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Le processus de candidature a débuté en 2023 par des consultations et des réunions approfondies entre les détenteurs, les cultivateurs de saules, les potiers, les associations locales et les organisations culturelles. La candidature a été préparée avec le plein soutien et le consentement de la communauté et des individus intéressés, illustrant la façon dont l’élément est menacé et la raison pour laquelle il a besoin d’une sauvegarde urgente.</w:t>
      </w:r>
    </w:p>
    <w:p w14:paraId="025501CA"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L’élément a été inclus dans la cartographie culturelle de la municipalité d’</w:t>
      </w:r>
      <w:proofErr w:type="spellStart"/>
      <w:r w:rsidRPr="00503070">
        <w:rPr>
          <w:rFonts w:ascii="Arial" w:hAnsi="Arial" w:cs="Arial"/>
          <w:color w:val="000000" w:themeColor="text1"/>
          <w:sz w:val="22"/>
          <w:szCs w:val="22"/>
        </w:rPr>
        <w:t>Alburquerque</w:t>
      </w:r>
      <w:proofErr w:type="spellEnd"/>
      <w:r w:rsidRPr="00503070">
        <w:rPr>
          <w:rFonts w:ascii="Arial" w:hAnsi="Arial" w:cs="Arial"/>
          <w:color w:val="000000" w:themeColor="text1"/>
          <w:sz w:val="22"/>
          <w:szCs w:val="22"/>
        </w:rPr>
        <w:t xml:space="preserve"> en 2018 et dans l’inventaire du patrimoine culturel immatériel des Philippines en 2024. Le rôle des communautés dans le processus d’inventaire est clair.</w:t>
      </w:r>
    </w:p>
    <w:p w14:paraId="12324ED2" w14:textId="77777777" w:rsidR="0015777E" w:rsidRPr="00503070" w:rsidRDefault="0015777E" w:rsidP="001E17AF">
      <w:pPr>
        <w:numPr>
          <w:ilvl w:val="0"/>
          <w:numId w:val="36"/>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pratique de fabrication de l’</w:t>
      </w:r>
      <w:proofErr w:type="spellStart"/>
      <w:r w:rsidRPr="00503070">
        <w:rPr>
          <w:rFonts w:ascii="Arial" w:hAnsi="Arial" w:cs="Arial"/>
          <w:b/>
          <w:sz w:val="22"/>
          <w:szCs w:val="22"/>
        </w:rPr>
        <w:t>asin</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tibuok</w:t>
      </w:r>
      <w:proofErr w:type="spellEnd"/>
      <w:r w:rsidRPr="00503070">
        <w:rPr>
          <w:rFonts w:ascii="Arial" w:hAnsi="Arial" w:cs="Arial"/>
          <w:b/>
          <w:sz w:val="22"/>
          <w:szCs w:val="22"/>
        </w:rPr>
        <w:t xml:space="preserve">, le sel de mer artisanal des </w:t>
      </w:r>
      <w:proofErr w:type="spellStart"/>
      <w:r w:rsidRPr="00503070">
        <w:rPr>
          <w:rFonts w:ascii="Arial" w:hAnsi="Arial" w:cs="Arial"/>
          <w:b/>
          <w:sz w:val="22"/>
          <w:szCs w:val="22"/>
        </w:rPr>
        <w:t>Boholano</w:t>
      </w:r>
      <w:proofErr w:type="spellEnd"/>
      <w:r w:rsidRPr="00503070">
        <w:rPr>
          <w:rFonts w:ascii="Arial" w:hAnsi="Arial" w:cs="Arial"/>
          <w:b/>
          <w:sz w:val="22"/>
          <w:szCs w:val="22"/>
        </w:rPr>
        <w:t xml:space="preserve"> de l’île de Bohol aux Philippines</w:t>
      </w:r>
      <w:r w:rsidRPr="00503070">
        <w:rPr>
          <w:rFonts w:ascii="Arial" w:hAnsi="Arial" w:cs="Arial"/>
          <w:sz w:val="22"/>
          <w:szCs w:val="22"/>
        </w:rPr>
        <w:t xml:space="preserve"> sur la Liste du patrimoine culturel immatériel nécessitant une sauvegarde urgente ;</w:t>
      </w:r>
    </w:p>
    <w:p w14:paraId="2F0676C1" w14:textId="77777777" w:rsidR="0015777E" w:rsidRPr="00503070" w:rsidRDefault="0015777E" w:rsidP="001E17AF">
      <w:pPr>
        <w:numPr>
          <w:ilvl w:val="0"/>
          <w:numId w:val="36"/>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garantir la participation de la communauté à toutes les étapes de la sauvegarde (lancement, activités, suivi) et à encourager les jeunes générations à prendre conscience de l’importance de l’élément afin d’assurer sa transmission de génération en génération.</w:t>
      </w:r>
    </w:p>
    <w:p w14:paraId="260697E4" w14:textId="77777777" w:rsidR="0015777E" w:rsidRPr="00503070" w:rsidRDefault="0015777E" w:rsidP="00F57031">
      <w:pPr>
        <w:pStyle w:val="COMTitleDecision"/>
        <w:keepNext/>
      </w:pPr>
      <w:r w:rsidRPr="00503070">
        <w:t>DÉCISION 20.COM 7.a.7</w:t>
      </w:r>
    </w:p>
    <w:p w14:paraId="65FDCE22"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4D9D30E" w14:textId="77777777" w:rsidR="0015777E" w:rsidRPr="00503070" w:rsidRDefault="0015777E" w:rsidP="001E17AF">
      <w:pPr>
        <w:numPr>
          <w:ilvl w:val="0"/>
          <w:numId w:val="3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Portugal a proposé la candidature du</w:t>
      </w:r>
      <w:r w:rsidRPr="00503070">
        <w:rPr>
          <w:rFonts w:ascii="Arial" w:hAnsi="Arial" w:cs="Arial"/>
          <w:b/>
          <w:sz w:val="22"/>
          <w:szCs w:val="22"/>
        </w:rPr>
        <w:t xml:space="preserve"> bateau </w:t>
      </w:r>
      <w:proofErr w:type="spellStart"/>
      <w:r w:rsidRPr="00503070">
        <w:rPr>
          <w:rFonts w:ascii="Arial" w:hAnsi="Arial" w:cs="Arial"/>
          <w:b/>
          <w:sz w:val="22"/>
          <w:szCs w:val="22"/>
        </w:rPr>
        <w:t>moliceiro</w:t>
      </w:r>
      <w:proofErr w:type="spellEnd"/>
      <w:r w:rsidRPr="00503070">
        <w:rPr>
          <w:rFonts w:ascii="Arial" w:hAnsi="Arial" w:cs="Arial"/>
          <w:b/>
          <w:sz w:val="22"/>
          <w:szCs w:val="22"/>
        </w:rPr>
        <w:t> : un art de la charpenterie navale de la région d’Aveiro</w:t>
      </w:r>
      <w:r w:rsidRPr="00503070">
        <w:rPr>
          <w:rFonts w:ascii="Arial" w:hAnsi="Arial" w:cs="Arial"/>
          <w:sz w:val="22"/>
          <w:szCs w:val="22"/>
        </w:rPr>
        <w:t xml:space="preserve"> (n° 02332) pour inscription sur la Liste du patrimoine culturel immatériel nécessitant une sauvegarde urgente :</w:t>
      </w:r>
    </w:p>
    <w:p w14:paraId="43829EB8"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bateau </w:t>
      </w:r>
      <w:proofErr w:type="spellStart"/>
      <w:r w:rsidRPr="00503070">
        <w:rPr>
          <w:rFonts w:ascii="Arial" w:hAnsi="Arial" w:cs="Arial"/>
          <w:sz w:val="22"/>
          <w:szCs w:val="22"/>
        </w:rPr>
        <w:t>moliceiro</w:t>
      </w:r>
      <w:proofErr w:type="spellEnd"/>
      <w:r w:rsidRPr="00503070">
        <w:rPr>
          <w:rFonts w:ascii="Arial" w:hAnsi="Arial" w:cs="Arial"/>
          <w:sz w:val="22"/>
          <w:szCs w:val="22"/>
        </w:rPr>
        <w:t xml:space="preserve"> est une embarcation traditionnelle en bois conçue à l’origine pour la récolte des plantes aquatiques, une activité économique importante pour la communauté praticienne. Construits en bois de pin, ces bateaux suivent des techniques de construction navale ancestrales transmises de génération en génération. Les constructeurs de bateaux utilisent un outil spécial appelé « </w:t>
      </w:r>
      <w:proofErr w:type="spellStart"/>
      <w:r w:rsidRPr="00503070">
        <w:rPr>
          <w:rFonts w:ascii="Arial" w:hAnsi="Arial" w:cs="Arial"/>
          <w:sz w:val="22"/>
          <w:szCs w:val="22"/>
        </w:rPr>
        <w:t>pau</w:t>
      </w:r>
      <w:proofErr w:type="spellEnd"/>
      <w:r w:rsidRPr="00503070">
        <w:rPr>
          <w:rFonts w:ascii="Arial" w:hAnsi="Arial" w:cs="Arial"/>
          <w:sz w:val="22"/>
          <w:szCs w:val="22"/>
        </w:rPr>
        <w:t>-de-</w:t>
      </w:r>
      <w:proofErr w:type="spellStart"/>
      <w:r w:rsidRPr="00503070">
        <w:rPr>
          <w:rFonts w:ascii="Arial" w:hAnsi="Arial" w:cs="Arial"/>
          <w:sz w:val="22"/>
          <w:szCs w:val="22"/>
        </w:rPr>
        <w:t>pontos</w:t>
      </w:r>
      <w:proofErr w:type="spellEnd"/>
      <w:r w:rsidRPr="00503070">
        <w:rPr>
          <w:rFonts w:ascii="Arial" w:hAnsi="Arial" w:cs="Arial"/>
          <w:sz w:val="22"/>
          <w:szCs w:val="22"/>
        </w:rPr>
        <w:t xml:space="preserve"> » pour garantir des mesures de construction précises. Chaque bateau </w:t>
      </w:r>
      <w:proofErr w:type="spellStart"/>
      <w:r w:rsidRPr="00503070">
        <w:rPr>
          <w:rFonts w:ascii="Arial" w:hAnsi="Arial" w:cs="Arial"/>
          <w:sz w:val="22"/>
          <w:szCs w:val="22"/>
        </w:rPr>
        <w:t>moliceiro</w:t>
      </w:r>
      <w:proofErr w:type="spellEnd"/>
      <w:r w:rsidRPr="00503070">
        <w:rPr>
          <w:rFonts w:ascii="Arial" w:hAnsi="Arial" w:cs="Arial"/>
          <w:sz w:val="22"/>
          <w:szCs w:val="22"/>
        </w:rPr>
        <w:t xml:space="preserve"> est également décoré de quatre panneaux peints comportant des dessins et des légendes qui véhiculent souvent un message humoristique ou significatif. Aujourd’hui, les bateaux </w:t>
      </w:r>
      <w:proofErr w:type="spellStart"/>
      <w:r w:rsidRPr="00503070">
        <w:rPr>
          <w:rFonts w:ascii="Arial" w:hAnsi="Arial" w:cs="Arial"/>
          <w:sz w:val="22"/>
          <w:szCs w:val="22"/>
        </w:rPr>
        <w:t>moliceiro</w:t>
      </w:r>
      <w:proofErr w:type="spellEnd"/>
      <w:r w:rsidRPr="00503070">
        <w:rPr>
          <w:rFonts w:ascii="Arial" w:hAnsi="Arial" w:cs="Arial"/>
          <w:sz w:val="22"/>
          <w:szCs w:val="22"/>
        </w:rPr>
        <w:t xml:space="preserve"> sont principalement utilisés pour des promenades pittoresques le long des voies navigables. </w:t>
      </w:r>
    </w:p>
    <w:p w14:paraId="050FE27F" w14:textId="77777777" w:rsidR="0015777E" w:rsidRPr="00503070" w:rsidRDefault="0015777E" w:rsidP="001E17AF">
      <w:pPr>
        <w:pStyle w:val="ListParagraph"/>
        <w:numPr>
          <w:ilvl w:val="0"/>
          <w:numId w:val="37"/>
        </w:numPr>
        <w:ind w:left="567" w:hanging="567"/>
        <w:contextualSpacing w:val="0"/>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4D70D9F5"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Les constructeurs de bateaux travaillent principalement seuls, même s’ils reçoivent parfois l’aide de membres de leur famille, d’apprentis ou d’autres propriétaires de bateaux. Une fois le bateau construit, les peintres y apportent les touches finales, notamment les panneaux décoratifs et l’emblème du constructeur naval. La connaissance de la construction des bateaux </w:t>
      </w:r>
      <w:proofErr w:type="spellStart"/>
      <w:r w:rsidRPr="00503070">
        <w:rPr>
          <w:rFonts w:ascii="Arial" w:hAnsi="Arial" w:cs="Arial"/>
          <w:color w:val="000000" w:themeColor="text1"/>
          <w:sz w:val="22"/>
          <w:szCs w:val="22"/>
        </w:rPr>
        <w:t>moliceiro</w:t>
      </w:r>
      <w:proofErr w:type="spellEnd"/>
      <w:r w:rsidRPr="00503070">
        <w:rPr>
          <w:rFonts w:ascii="Arial" w:hAnsi="Arial" w:cs="Arial"/>
          <w:color w:val="000000" w:themeColor="text1"/>
          <w:sz w:val="22"/>
          <w:szCs w:val="22"/>
        </w:rPr>
        <w:t xml:space="preserve"> est transmise par voie orale au sein des familles et des chantiers navals. Ces dernières années, des cours professionnels ont été créés pour enseigner le métier, mais aucun des participants à ces cours n’est actuellement en activité. Les espaces culturels et les événements tels que les régates de </w:t>
      </w:r>
      <w:proofErr w:type="spellStart"/>
      <w:r w:rsidRPr="00503070">
        <w:rPr>
          <w:rFonts w:ascii="Arial" w:hAnsi="Arial" w:cs="Arial"/>
          <w:color w:val="000000" w:themeColor="text1"/>
          <w:sz w:val="22"/>
          <w:szCs w:val="22"/>
        </w:rPr>
        <w:t>moliceiro</w:t>
      </w:r>
      <w:proofErr w:type="spellEnd"/>
      <w:r w:rsidRPr="00503070">
        <w:rPr>
          <w:rFonts w:ascii="Arial" w:hAnsi="Arial" w:cs="Arial"/>
          <w:color w:val="000000" w:themeColor="text1"/>
          <w:sz w:val="22"/>
          <w:szCs w:val="22"/>
        </w:rPr>
        <w:t xml:space="preserve"> et les concours de panneaux contribuent à maintenir l’importance culturelle du bateau, en encourageant la fierté et l’unité de la communauté.</w:t>
      </w:r>
    </w:p>
    <w:p w14:paraId="7D667234"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Malgré les efforts récents visant à faciliter le processus d’octroi de licences pour ces bateaux et à rendre l’élément plus accessible financièrement, le nombre de praticiens n’a pas augmenté en proportion. Seuls cinq maîtres constructeurs de bateaux – dont quatre sont âgés de plus de 60 ans – et un maître peintre sont encore en activité. Dans ce contexte, l’absence de successeurs présente un risque élevé d’extinction dans un futur proche.</w:t>
      </w:r>
    </w:p>
    <w:p w14:paraId="5E382BC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 xml:space="preserve">Le plan de sauvegarde est fortement axé sur la promotion et la transmission du savoir-faire traditionnel dans la communauté locale et dans les écoles. Il prévoit également une coopération avec des projets de recherche et de développement du tourisme durable. Cinq lignes d’action sont proposées, selon un calendrier réalisable et compatible avec l’implication des détenteurs et des autres professionnels. </w:t>
      </w:r>
    </w:p>
    <w:p w14:paraId="2BF53B81"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 xml:space="preserve">Les travaux préparatoires à la présentation de la candidature ont commencé en 2019, avec des études sur l’histoire et la caractérisation des processus associés à la construction et à la décoration du bateau </w:t>
      </w:r>
      <w:proofErr w:type="spellStart"/>
      <w:r w:rsidRPr="00503070">
        <w:rPr>
          <w:rFonts w:ascii="Arial" w:hAnsi="Arial" w:cs="Arial"/>
          <w:color w:val="000000" w:themeColor="text1"/>
          <w:sz w:val="22"/>
          <w:szCs w:val="22"/>
        </w:rPr>
        <w:t>moliceiro</w:t>
      </w:r>
      <w:proofErr w:type="spellEnd"/>
      <w:r w:rsidRPr="00503070">
        <w:rPr>
          <w:rFonts w:ascii="Arial" w:hAnsi="Arial" w:cs="Arial"/>
          <w:color w:val="000000" w:themeColor="text1"/>
          <w:sz w:val="22"/>
          <w:szCs w:val="22"/>
        </w:rPr>
        <w:t>. Depuis lors, des recherches intensives ont été menées et ont abouti à une documentation importante sur l’élément. En outre, des réunions ont été organisées dans onze municipalités. À la suite d’un processus de consultation et d’engagement, la candidature a reçu un soutien important.</w:t>
      </w:r>
    </w:p>
    <w:p w14:paraId="79F88A25"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 xml:space="preserve">L’élément a été inclus dans l’inventaire national du patrimoine culturel immatériel en 2022. L’inventaire est géré par la Direction générale du patrimoine culturel du </w:t>
      </w:r>
      <w:proofErr w:type="gramStart"/>
      <w:r w:rsidRPr="00503070">
        <w:rPr>
          <w:rFonts w:ascii="Arial" w:hAnsi="Arial" w:cs="Arial"/>
          <w:color w:val="000000" w:themeColor="text1"/>
          <w:sz w:val="22"/>
          <w:szCs w:val="22"/>
        </w:rPr>
        <w:t>Ministère de la culture</w:t>
      </w:r>
      <w:proofErr w:type="gramEnd"/>
      <w:r w:rsidRPr="00503070">
        <w:rPr>
          <w:rFonts w:ascii="Arial" w:hAnsi="Arial" w:cs="Arial"/>
          <w:color w:val="000000" w:themeColor="text1"/>
          <w:sz w:val="22"/>
          <w:szCs w:val="22"/>
        </w:rPr>
        <w:t xml:space="preserve"> et fait l’objet d’une révision ordinaire tous les dix ans. Des examens supplémentaires sont possibles au cours de cette période, chaque fois que des changements pertinents sont connus.</w:t>
      </w:r>
    </w:p>
    <w:p w14:paraId="4ED895D1" w14:textId="77777777" w:rsidR="0015777E" w:rsidRPr="00503070" w:rsidRDefault="0015777E" w:rsidP="001E17AF">
      <w:pPr>
        <w:numPr>
          <w:ilvl w:val="0"/>
          <w:numId w:val="37"/>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bateau </w:t>
      </w:r>
      <w:proofErr w:type="spellStart"/>
      <w:r w:rsidRPr="00503070">
        <w:rPr>
          <w:rFonts w:ascii="Arial" w:hAnsi="Arial" w:cs="Arial"/>
          <w:b/>
          <w:sz w:val="22"/>
          <w:szCs w:val="22"/>
        </w:rPr>
        <w:t>moliceiro</w:t>
      </w:r>
      <w:proofErr w:type="spellEnd"/>
      <w:r w:rsidRPr="00503070">
        <w:rPr>
          <w:rFonts w:ascii="Arial" w:hAnsi="Arial" w:cs="Arial"/>
          <w:b/>
          <w:sz w:val="22"/>
          <w:szCs w:val="22"/>
        </w:rPr>
        <w:t> : un art de la charpenterie navale de la région d’Aveiro</w:t>
      </w:r>
      <w:r w:rsidRPr="00503070">
        <w:rPr>
          <w:rFonts w:ascii="Arial" w:hAnsi="Arial" w:cs="Arial"/>
          <w:sz w:val="22"/>
          <w:szCs w:val="22"/>
        </w:rPr>
        <w:t xml:space="preserve"> sur la Liste du patrimoine culturel immatériel nécessitant une sauvegarde urgente ;</w:t>
      </w:r>
    </w:p>
    <w:p w14:paraId="65F84DD0" w14:textId="77777777" w:rsidR="0015777E" w:rsidRPr="00503070" w:rsidRDefault="0015777E" w:rsidP="001E17AF">
      <w:pPr>
        <w:numPr>
          <w:ilvl w:val="0"/>
          <w:numId w:val="37"/>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s’assurer que les activités de type muséal ne deviennent pas l’aspect dominant de la mise en œuvre du plan de sauvegarde, par rapport à la sauvegarde et à la perpétuation du patrimoine vivant, et à mettre l’accent principal sur les mesures éducatives afin de transmettre d’urgence les techniques de construction d’une génération à l’autre.</w:t>
      </w:r>
    </w:p>
    <w:p w14:paraId="01CE0B12" w14:textId="77777777" w:rsidR="0015777E" w:rsidRPr="00503070" w:rsidRDefault="0015777E" w:rsidP="0015777E">
      <w:pPr>
        <w:pStyle w:val="COMTitleDecision"/>
      </w:pPr>
      <w:r w:rsidRPr="00503070">
        <w:t>DÉCISION 20.COM 7.a.8</w:t>
      </w:r>
    </w:p>
    <w:p w14:paraId="588B513C"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3B83E44" w14:textId="77777777" w:rsidR="0015777E" w:rsidRPr="00503070" w:rsidRDefault="0015777E" w:rsidP="001E17AF">
      <w:pPr>
        <w:numPr>
          <w:ilvl w:val="0"/>
          <w:numId w:val="3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l’Ouzbékistan a proposé la candidature de </w:t>
      </w:r>
      <w:r w:rsidRPr="00503070">
        <w:rPr>
          <w:rFonts w:ascii="Arial" w:hAnsi="Arial" w:cs="Arial"/>
          <w:b/>
          <w:sz w:val="22"/>
          <w:szCs w:val="22"/>
        </w:rPr>
        <w:t xml:space="preserve">l’art de fabriquer et de jouer du </w:t>
      </w:r>
      <w:proofErr w:type="spellStart"/>
      <w:r w:rsidRPr="00503070">
        <w:rPr>
          <w:rFonts w:ascii="Arial" w:hAnsi="Arial" w:cs="Arial"/>
          <w:b/>
          <w:sz w:val="22"/>
          <w:szCs w:val="22"/>
        </w:rPr>
        <w:t>kobyz</w:t>
      </w:r>
      <w:proofErr w:type="spellEnd"/>
      <w:r w:rsidRPr="00503070">
        <w:rPr>
          <w:rFonts w:ascii="Arial" w:hAnsi="Arial" w:cs="Arial"/>
          <w:sz w:val="22"/>
          <w:szCs w:val="22"/>
        </w:rPr>
        <w:t xml:space="preserve"> (n° 02329) pour inscription sur la Liste du patrimoine culturel immatériel nécessitant une sauvegarde urgente :</w:t>
      </w:r>
    </w:p>
    <w:p w14:paraId="7E39B4E1"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kobyz</w:t>
      </w:r>
      <w:proofErr w:type="spellEnd"/>
      <w:r w:rsidRPr="00503070">
        <w:rPr>
          <w:rFonts w:ascii="Arial" w:hAnsi="Arial" w:cs="Arial"/>
          <w:sz w:val="22"/>
          <w:szCs w:val="22"/>
        </w:rPr>
        <w:t xml:space="preserve">, fabriqué et joué dans la République du </w:t>
      </w:r>
      <w:proofErr w:type="spellStart"/>
      <w:r w:rsidRPr="00503070">
        <w:rPr>
          <w:rFonts w:ascii="Arial" w:hAnsi="Arial" w:cs="Arial"/>
          <w:sz w:val="22"/>
          <w:szCs w:val="22"/>
        </w:rPr>
        <w:t>Karakalpakstan</w:t>
      </w:r>
      <w:proofErr w:type="spellEnd"/>
      <w:r w:rsidRPr="00503070">
        <w:rPr>
          <w:rFonts w:ascii="Arial" w:hAnsi="Arial" w:cs="Arial"/>
          <w:sz w:val="22"/>
          <w:szCs w:val="22"/>
        </w:rPr>
        <w:t xml:space="preserve">, une région autonome d’Ouzbékistan, est un instrument à cordes traditionnel qui a une forme d’arc et comporte deux </w:t>
      </w:r>
      <w:r w:rsidRPr="00503070">
        <w:rPr>
          <w:rFonts w:ascii="Arial" w:hAnsi="Arial" w:cs="Arial"/>
          <w:sz w:val="22"/>
          <w:szCs w:val="22"/>
        </w:rPr>
        <w:lastRenderedPageBreak/>
        <w:t xml:space="preserve">cordes en crin de cheval. Le corps est recouvert de cuir et présente des décorations détaillées, fabriquées à l’aide de bois locaux tels que le mûrier ou l’abricotier. Un arc spécial, également fabriqué en crin de cheval, est utilisé pour jouer de l’instrument. Le </w:t>
      </w:r>
      <w:proofErr w:type="spellStart"/>
      <w:r w:rsidRPr="00503070">
        <w:rPr>
          <w:rFonts w:ascii="Arial" w:hAnsi="Arial" w:cs="Arial"/>
          <w:sz w:val="22"/>
          <w:szCs w:val="22"/>
        </w:rPr>
        <w:t>kobyz</w:t>
      </w:r>
      <w:proofErr w:type="spellEnd"/>
      <w:r w:rsidRPr="00503070">
        <w:rPr>
          <w:rFonts w:ascii="Arial" w:hAnsi="Arial" w:cs="Arial"/>
          <w:sz w:val="22"/>
          <w:szCs w:val="22"/>
        </w:rPr>
        <w:t xml:space="preserve"> est conçu pour être portable, ce qui le rend facile à transporter lors de longs voyages, reflétant ainsi ses liens avec le mode de vie nomade. Il est joué par des conteurs appelés « </w:t>
      </w:r>
      <w:proofErr w:type="spellStart"/>
      <w:r w:rsidRPr="00503070">
        <w:rPr>
          <w:rFonts w:ascii="Arial" w:hAnsi="Arial" w:cs="Arial"/>
          <w:sz w:val="22"/>
          <w:szCs w:val="22"/>
        </w:rPr>
        <w:t>zhyrau</w:t>
      </w:r>
      <w:proofErr w:type="spellEnd"/>
      <w:r w:rsidRPr="00503070">
        <w:rPr>
          <w:rFonts w:ascii="Arial" w:hAnsi="Arial" w:cs="Arial"/>
          <w:sz w:val="22"/>
          <w:szCs w:val="22"/>
        </w:rPr>
        <w:t xml:space="preserve"> », principalement des hommes, qui interprètent des récits épiques en recourant à un style particulier de chant guttural. </w:t>
      </w:r>
    </w:p>
    <w:p w14:paraId="06DD1773" w14:textId="77777777" w:rsidR="0015777E" w:rsidRPr="00503070" w:rsidRDefault="0015777E" w:rsidP="001E17AF">
      <w:pPr>
        <w:keepNext/>
        <w:numPr>
          <w:ilvl w:val="0"/>
          <w:numId w:val="38"/>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6AD9460E"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 xml:space="preserve"> Le </w:t>
      </w:r>
      <w:proofErr w:type="spellStart"/>
      <w:r w:rsidRPr="00503070">
        <w:rPr>
          <w:rFonts w:ascii="Arial" w:hAnsi="Arial" w:cs="Arial"/>
          <w:color w:val="000000" w:themeColor="text1"/>
          <w:sz w:val="22"/>
          <w:szCs w:val="22"/>
        </w:rPr>
        <w:t>kobyz</w:t>
      </w:r>
      <w:proofErr w:type="spellEnd"/>
      <w:r w:rsidRPr="00503070">
        <w:rPr>
          <w:rFonts w:ascii="Arial" w:hAnsi="Arial" w:cs="Arial"/>
          <w:color w:val="000000" w:themeColor="text1"/>
          <w:sz w:val="22"/>
          <w:szCs w:val="22"/>
        </w:rPr>
        <w:t xml:space="preserve"> est utilisé lors de rituels, de mariages, de festivals et de rassemblements de la communauté. Il est transmis de manière informelle et formelle. À la maison, les enfants apprennent souvent de leurs parents. Dans la tradition maître-apprenti, les étudiants apprennent directement auprès de fabricants d’instruments et d’interprètes qualifiés, souvent en petits groupes ou dans le cadre de leçons individuelles. Ces méthodes sont parfois soutenues par des événements culturels, des ateliers et des enregistrements. Le </w:t>
      </w:r>
      <w:proofErr w:type="spellStart"/>
      <w:r w:rsidRPr="00503070">
        <w:rPr>
          <w:rFonts w:ascii="Arial" w:hAnsi="Arial" w:cs="Arial"/>
          <w:color w:val="000000" w:themeColor="text1"/>
          <w:sz w:val="22"/>
          <w:szCs w:val="22"/>
        </w:rPr>
        <w:t>kobyz</w:t>
      </w:r>
      <w:proofErr w:type="spellEnd"/>
      <w:r w:rsidRPr="00503070">
        <w:rPr>
          <w:rFonts w:ascii="Arial" w:hAnsi="Arial" w:cs="Arial"/>
          <w:color w:val="000000" w:themeColor="text1"/>
          <w:sz w:val="22"/>
          <w:szCs w:val="22"/>
        </w:rPr>
        <w:t xml:space="preserve"> contribue à la cohésion, à l’unité ainsi qu’au partage du patrimoine entre les communautés concernées.</w:t>
      </w:r>
    </w:p>
    <w:p w14:paraId="2C617887"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 xml:space="preserve"> L’élément est menacé par divers facteurs internes et externes, notamment une baisse d’intérêt, une réduction du transfert de connaissances et de compétences, une disponibilité limitée de programmes de formation formels, l’urbanisation et la dégradation de l’habitat. Les ressources, le financement et l’infrastructure limités pour la promotion et la préservation de l’élément augmentent également sa vulnérabilité.</w:t>
      </w:r>
    </w:p>
    <w:p w14:paraId="3259AD2F" w14:textId="77777777" w:rsidR="0015777E" w:rsidRPr="00503070" w:rsidRDefault="0015777E" w:rsidP="0015777E">
      <w:pPr>
        <w:tabs>
          <w:tab w:val="left" w:pos="1701"/>
          <w:tab w:val="left" w:pos="2268"/>
        </w:tabs>
        <w:spacing w:before="120" w:after="120"/>
        <w:ind w:left="1134" w:hanging="567"/>
        <w:jc w:val="both"/>
        <w:rPr>
          <w:rFonts w:ascii="Arial" w:hAnsi="Arial" w:cs="Arial"/>
          <w:color w:val="000000" w:themeColor="text1"/>
          <w:sz w:val="22"/>
          <w:szCs w:val="22"/>
        </w:rPr>
      </w:pPr>
      <w:r w:rsidRPr="00503070">
        <w:rPr>
          <w:rFonts w:ascii="Arial" w:hAnsi="Arial" w:cs="Arial"/>
          <w:sz w:val="22"/>
          <w:szCs w:val="22"/>
        </w:rPr>
        <w:t>U.3 :</w:t>
      </w:r>
      <w:r w:rsidRPr="00503070">
        <w:rPr>
          <w:rFonts w:ascii="Arial" w:hAnsi="Arial" w:cs="Arial"/>
          <w:color w:val="000000" w:themeColor="text1"/>
          <w:sz w:val="22"/>
          <w:szCs w:val="22"/>
        </w:rPr>
        <w:t xml:space="preserve"> Le plan de sauvegarde met en avant : (a) la documentation de l’élément ; (b) le développement de programmes de formation ; (c) la sensibilisation des communautés locales ; (d) la collaboration avec des organismes gouvernementaux et non gouvernementaux ; et (e) le renforcement de la participation des communautés locales. L’État partie a fait preuve d’un engagement clair en faveur de la sauvegarde de l’élément, avec des objectifs clairs et des activités réalisables. </w:t>
      </w:r>
    </w:p>
    <w:p w14:paraId="3555AB42" w14:textId="77777777" w:rsidR="0015777E" w:rsidRPr="00503070" w:rsidRDefault="0015777E" w:rsidP="0015777E">
      <w:pPr>
        <w:tabs>
          <w:tab w:val="left" w:pos="1701"/>
          <w:tab w:val="left" w:pos="2268"/>
        </w:tabs>
        <w:spacing w:before="120" w:after="120"/>
        <w:ind w:left="1134" w:hanging="567"/>
        <w:jc w:val="both"/>
        <w:rPr>
          <w:rFonts w:ascii="Arial" w:hAnsi="Arial" w:cs="Arial"/>
          <w:color w:val="000000" w:themeColor="text1"/>
          <w:sz w:val="22"/>
          <w:szCs w:val="22"/>
        </w:rPr>
      </w:pPr>
      <w:r w:rsidRPr="00503070">
        <w:rPr>
          <w:rFonts w:ascii="Arial" w:hAnsi="Arial" w:cs="Arial"/>
          <w:color w:val="000000" w:themeColor="text1"/>
          <w:sz w:val="22"/>
          <w:szCs w:val="22"/>
        </w:rPr>
        <w:t>U.4 : Avec le soutien du gouvernement, un large éventail d’activités a été développé tout au long du processus de candidature, impliquant une large participation des détenteurs et des communautés auxquelles ils appartiennent.</w:t>
      </w:r>
    </w:p>
    <w:p w14:paraId="3297CBE2"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color w:val="000000" w:themeColor="text1"/>
          <w:sz w:val="22"/>
          <w:szCs w:val="22"/>
        </w:rPr>
        <w:t xml:space="preserve">U.5 : L’élément a été inclus en 2021 dans la liste nationale et locale de la République du </w:t>
      </w:r>
      <w:proofErr w:type="spellStart"/>
      <w:r w:rsidRPr="00503070">
        <w:rPr>
          <w:rFonts w:ascii="Arial" w:hAnsi="Arial" w:cs="Arial"/>
          <w:color w:val="000000" w:themeColor="text1"/>
          <w:sz w:val="22"/>
          <w:szCs w:val="22"/>
        </w:rPr>
        <w:t>Karakalpakstan</w:t>
      </w:r>
      <w:proofErr w:type="spellEnd"/>
      <w:r w:rsidRPr="00503070">
        <w:rPr>
          <w:rFonts w:ascii="Arial" w:hAnsi="Arial" w:cs="Arial"/>
          <w:color w:val="000000" w:themeColor="text1"/>
          <w:sz w:val="22"/>
          <w:szCs w:val="22"/>
        </w:rPr>
        <w:t xml:space="preserve">. La liste est gérée par le </w:t>
      </w:r>
      <w:proofErr w:type="gramStart"/>
      <w:r w:rsidRPr="00503070">
        <w:rPr>
          <w:rFonts w:ascii="Arial" w:hAnsi="Arial" w:cs="Arial"/>
          <w:color w:val="000000" w:themeColor="text1"/>
          <w:sz w:val="22"/>
          <w:szCs w:val="22"/>
        </w:rPr>
        <w:t>Ministère de la culture</w:t>
      </w:r>
      <w:proofErr w:type="gramEnd"/>
      <w:r w:rsidRPr="00503070">
        <w:rPr>
          <w:rFonts w:ascii="Arial" w:hAnsi="Arial" w:cs="Arial"/>
          <w:color w:val="000000" w:themeColor="text1"/>
          <w:sz w:val="22"/>
          <w:szCs w:val="22"/>
        </w:rPr>
        <w:t xml:space="preserve"> de la République du </w:t>
      </w:r>
      <w:proofErr w:type="spellStart"/>
      <w:r w:rsidRPr="00503070">
        <w:rPr>
          <w:rFonts w:ascii="Arial" w:hAnsi="Arial" w:cs="Arial"/>
          <w:color w:val="000000" w:themeColor="text1"/>
          <w:sz w:val="22"/>
          <w:szCs w:val="22"/>
        </w:rPr>
        <w:t>Karakalpakstan</w:t>
      </w:r>
      <w:proofErr w:type="spellEnd"/>
      <w:r w:rsidRPr="00503070">
        <w:rPr>
          <w:rFonts w:ascii="Arial" w:hAnsi="Arial" w:cs="Arial"/>
          <w:color w:val="000000" w:themeColor="text1"/>
          <w:sz w:val="22"/>
          <w:szCs w:val="22"/>
        </w:rPr>
        <w:t xml:space="preserve"> en Ouzbékistan et est mise à jour tous les deux ans.</w:t>
      </w:r>
    </w:p>
    <w:p w14:paraId="04756CD4" w14:textId="77777777" w:rsidR="0015777E" w:rsidRPr="00503070" w:rsidRDefault="0015777E" w:rsidP="001E17AF">
      <w:pPr>
        <w:numPr>
          <w:ilvl w:val="0"/>
          <w:numId w:val="38"/>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l’art de fabriquer et de jouer du </w:t>
      </w:r>
      <w:proofErr w:type="spellStart"/>
      <w:r w:rsidRPr="00503070">
        <w:rPr>
          <w:rFonts w:ascii="Arial" w:hAnsi="Arial" w:cs="Arial"/>
          <w:b/>
          <w:sz w:val="22"/>
          <w:szCs w:val="22"/>
        </w:rPr>
        <w:t>kobyz</w:t>
      </w:r>
      <w:proofErr w:type="spellEnd"/>
      <w:r w:rsidRPr="00503070">
        <w:rPr>
          <w:rFonts w:ascii="Arial" w:hAnsi="Arial" w:cs="Arial"/>
          <w:sz w:val="22"/>
          <w:szCs w:val="22"/>
        </w:rPr>
        <w:t xml:space="preserve"> sur la Liste du patrimoine culturel immatériel nécessitant une sauvegarde urgente ;</w:t>
      </w:r>
    </w:p>
    <w:p w14:paraId="27DCBEAF" w14:textId="59BECDE7" w:rsidR="0015777E" w:rsidRPr="00503070" w:rsidRDefault="0015777E" w:rsidP="001E17AF">
      <w:pPr>
        <w:numPr>
          <w:ilvl w:val="0"/>
          <w:numId w:val="38"/>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soumissionnaire à veiller à ce que, par l’application de mesures de sauvegarde, l’élément soit adapté ou intégré à la nouvelle réalité socioculturelle et économique contemporaine</w:t>
      </w:r>
      <w:r w:rsidR="003F0572" w:rsidRPr="00503070">
        <w:rPr>
          <w:rFonts w:ascii="Arial" w:hAnsi="Arial" w:cs="Arial"/>
          <w:bCs/>
          <w:sz w:val="22"/>
          <w:szCs w:val="22"/>
        </w:rPr>
        <w:t>,</w:t>
      </w:r>
      <w:r w:rsidRPr="00503070">
        <w:rPr>
          <w:rFonts w:ascii="Arial" w:hAnsi="Arial" w:cs="Arial"/>
          <w:bCs/>
          <w:sz w:val="22"/>
          <w:szCs w:val="22"/>
        </w:rPr>
        <w:t xml:space="preserve"> afin de revitaliser l’art de fabriquer et de jouer du </w:t>
      </w:r>
      <w:proofErr w:type="spellStart"/>
      <w:r w:rsidRPr="00503070">
        <w:rPr>
          <w:rFonts w:ascii="Arial" w:hAnsi="Arial" w:cs="Arial"/>
          <w:bCs/>
          <w:sz w:val="22"/>
          <w:szCs w:val="22"/>
        </w:rPr>
        <w:t>kobyz</w:t>
      </w:r>
      <w:proofErr w:type="spellEnd"/>
      <w:r w:rsidRPr="00503070">
        <w:rPr>
          <w:rFonts w:ascii="Arial" w:hAnsi="Arial" w:cs="Arial"/>
          <w:bCs/>
          <w:sz w:val="22"/>
          <w:szCs w:val="22"/>
        </w:rPr>
        <w:t>, en mettant l’accent principal sur les mesures éducatives pour préserver d’urgence les techniques de jeu de cet instrument</w:t>
      </w:r>
      <w:r w:rsidR="006B47A8" w:rsidRPr="00503070">
        <w:rPr>
          <w:rFonts w:ascii="Arial" w:hAnsi="Arial" w:cs="Arial"/>
          <w:bCs/>
          <w:sz w:val="22"/>
          <w:szCs w:val="22"/>
        </w:rPr>
        <w:t>,</w:t>
      </w:r>
      <w:r w:rsidRPr="00503070">
        <w:rPr>
          <w:rFonts w:ascii="Arial" w:hAnsi="Arial" w:cs="Arial"/>
          <w:bCs/>
          <w:sz w:val="22"/>
          <w:szCs w:val="22"/>
        </w:rPr>
        <w:t xml:space="preserve"> et</w:t>
      </w:r>
      <w:r w:rsidR="00063CD5" w:rsidRPr="00503070">
        <w:rPr>
          <w:rFonts w:ascii="Arial" w:hAnsi="Arial" w:cs="Arial"/>
          <w:bCs/>
          <w:sz w:val="22"/>
          <w:szCs w:val="22"/>
        </w:rPr>
        <w:t xml:space="preserve"> assurer leur transmission d’une génération à la suivante</w:t>
      </w:r>
      <w:r w:rsidRPr="00503070">
        <w:rPr>
          <w:rFonts w:ascii="Arial" w:hAnsi="Arial" w:cs="Arial"/>
          <w:bCs/>
          <w:sz w:val="22"/>
          <w:szCs w:val="22"/>
        </w:rPr>
        <w:t>.</w:t>
      </w:r>
    </w:p>
    <w:p w14:paraId="5A8C05DB" w14:textId="77777777" w:rsidR="0015777E" w:rsidRPr="00503070" w:rsidRDefault="0015777E" w:rsidP="0015777E">
      <w:pPr>
        <w:pStyle w:val="COMTitleDecision"/>
      </w:pPr>
      <w:r w:rsidRPr="00503070">
        <w:t>DÉCISION 20.COM 7.a.9</w:t>
      </w:r>
    </w:p>
    <w:p w14:paraId="48C98AEF"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6E3CDA2" w14:textId="77777777" w:rsidR="0015777E" w:rsidRPr="00503070" w:rsidRDefault="0015777E" w:rsidP="001E17AF">
      <w:pPr>
        <w:numPr>
          <w:ilvl w:val="0"/>
          <w:numId w:val="39"/>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l’Albanie a proposé la candidature de </w:t>
      </w:r>
      <w:r w:rsidRPr="00503070">
        <w:rPr>
          <w:rFonts w:ascii="Arial" w:hAnsi="Arial" w:cs="Arial"/>
          <w:b/>
          <w:sz w:val="22"/>
          <w:szCs w:val="22"/>
        </w:rPr>
        <w:t xml:space="preserve">l’art de jouer, chanter et fabriquer la </w:t>
      </w:r>
      <w:proofErr w:type="spellStart"/>
      <w:r w:rsidRPr="00503070">
        <w:rPr>
          <w:rFonts w:ascii="Arial" w:hAnsi="Arial" w:cs="Arial"/>
          <w:b/>
          <w:sz w:val="22"/>
          <w:szCs w:val="22"/>
        </w:rPr>
        <w:t>lahuta</w:t>
      </w:r>
      <w:proofErr w:type="spellEnd"/>
      <w:r w:rsidRPr="00503070">
        <w:rPr>
          <w:rFonts w:ascii="Arial" w:hAnsi="Arial" w:cs="Arial"/>
          <w:sz w:val="22"/>
          <w:szCs w:val="22"/>
        </w:rPr>
        <w:t xml:space="preserve"> (n° 02310) pour inscription sur la Liste du patrimoine culturel immatériel nécessitant une sauvegarde urgente :</w:t>
      </w:r>
    </w:p>
    <w:p w14:paraId="1C54C5C0"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w:t>
      </w:r>
      <w:proofErr w:type="spellStart"/>
      <w:r w:rsidRPr="00503070">
        <w:rPr>
          <w:rFonts w:ascii="Arial" w:hAnsi="Arial" w:cs="Arial"/>
          <w:sz w:val="22"/>
          <w:szCs w:val="22"/>
        </w:rPr>
        <w:t>lahuta</w:t>
      </w:r>
      <w:proofErr w:type="spellEnd"/>
      <w:r w:rsidRPr="00503070">
        <w:rPr>
          <w:rFonts w:ascii="Arial" w:hAnsi="Arial" w:cs="Arial"/>
          <w:sz w:val="22"/>
          <w:szCs w:val="22"/>
        </w:rPr>
        <w:t xml:space="preserve"> est un instrument monocorde en bois, composé d’une caisse de résonance recouverte de cuir et d’un manche sculpté, qui est fabriqué, chanté et joué par des </w:t>
      </w:r>
      <w:r w:rsidRPr="00503070">
        <w:rPr>
          <w:rFonts w:ascii="Arial" w:hAnsi="Arial" w:cs="Arial"/>
          <w:sz w:val="22"/>
          <w:szCs w:val="22"/>
        </w:rPr>
        <w:lastRenderedPageBreak/>
        <w:t xml:space="preserve">communautés rurales du nord et du nord-ouest de l’Albanie. L’instrument est fabriqué à la main à partir de bois tels que l’érable ou le noyer, ses cordes étant autrefois en crin de cheval et aujourd’hui le plus souvent en nylon. Il est pratiqué au sein des familles et des groupes de la communauté, ainsi que lors d’occasions spéciales, telles que les mariages et les festivals. Les artistes jouent généralement en chantant, racontant des histoires qui reflètent des légendes importantes, des événements historiques ou des expériences personnelles. Bien qu’il soit traditionnellement joué par des hommes, il est aujourd’hui également pratiqué par des femmes. </w:t>
      </w:r>
    </w:p>
    <w:p w14:paraId="7B332100" w14:textId="77777777" w:rsidR="0015777E" w:rsidRPr="00503070" w:rsidRDefault="0015777E" w:rsidP="001E17AF">
      <w:pPr>
        <w:keepNext/>
        <w:numPr>
          <w:ilvl w:val="0"/>
          <w:numId w:val="39"/>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7385FD6D"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La pratique est transmise principalement par l’observation et la participation dans des contextes familiaux ou de la communauté. Des leçons individuelles et des cours saisonniers aident également des jeunes des zones urbaines de prendre part à cette tradition. Des festivals nationaux et locaux soutiennent sa visibilité, et les réseaux sociaux jouent désormais un rôle dans l’inspiration de nouveaux praticiens. La </w:t>
      </w:r>
      <w:proofErr w:type="spellStart"/>
      <w:r w:rsidRPr="00503070">
        <w:rPr>
          <w:rFonts w:ascii="Arial" w:hAnsi="Arial" w:cs="Arial"/>
          <w:color w:val="000000" w:themeColor="text1"/>
          <w:sz w:val="22"/>
          <w:szCs w:val="22"/>
        </w:rPr>
        <w:t>lahuta</w:t>
      </w:r>
      <w:proofErr w:type="spellEnd"/>
      <w:r w:rsidRPr="00503070">
        <w:rPr>
          <w:rFonts w:ascii="Arial" w:hAnsi="Arial" w:cs="Arial"/>
          <w:color w:val="000000" w:themeColor="text1"/>
          <w:sz w:val="22"/>
          <w:szCs w:val="22"/>
        </w:rPr>
        <w:t xml:space="preserve"> contribue à la préservation de la mémoire collective et des valeurs sociales. Alors qu’elle se concentrait autrefois sur les légendes locales, la pratique inclut désormais des histoires personnelles, permettant ainsi à la tradition d’évoluer. Ce mélange d’ancien et de nouveau permet à la pratique de rester pertinente.</w:t>
      </w:r>
    </w:p>
    <w:p w14:paraId="76582552"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La tradition est aujourd’hui menacée par la diminution du nombre de praticiens actifs, dont la plupart sont âgés, associée au désengagement des jeunes et à l’absence de mécanismes de transmission formels. L’intervention politique dans les pratiques culturelles pendant une période d’environ quarante ans, tel que décrit dans le dossier de candidature, a également eu un impact négatif sur cet élément, compromettant son rôle dans le renforcement des valeurs culturelles et de la mémoire collective.</w:t>
      </w:r>
    </w:p>
    <w:p w14:paraId="2E9CBC31"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 xml:space="preserve">Le plan de sauvegarde prévoit le renforcement des capacités, le développement d’activités de documentation et d’inventaire, des programmes éducatifs, des actions de sensibilisation et la création d’un cadre organisationnel durable et d’une structure de soutien pérenne, afin d’assurer la capacité à long terme de la communauté à sauvegarder la </w:t>
      </w:r>
      <w:proofErr w:type="spellStart"/>
      <w:r w:rsidRPr="00503070">
        <w:rPr>
          <w:rFonts w:ascii="Arial" w:hAnsi="Arial" w:cs="Arial"/>
          <w:color w:val="000000" w:themeColor="text1"/>
          <w:sz w:val="22"/>
          <w:szCs w:val="22"/>
        </w:rPr>
        <w:t>lahuta</w:t>
      </w:r>
      <w:proofErr w:type="spellEnd"/>
      <w:r w:rsidRPr="00503070">
        <w:rPr>
          <w:rFonts w:ascii="Arial" w:hAnsi="Arial" w:cs="Arial"/>
          <w:color w:val="000000" w:themeColor="text1"/>
          <w:sz w:val="22"/>
          <w:szCs w:val="22"/>
        </w:rPr>
        <w:t xml:space="preserve">. </w:t>
      </w:r>
    </w:p>
    <w:p w14:paraId="4DEC71F3"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La participation et le consentement de la communauté sont bien documentés dans cette candidature, qui a impliqué des recherches, des ateliers et des consultations avec les praticiens, les membres de la communauté et les associations qui soutiennent l’élément.</w:t>
      </w:r>
    </w:p>
    <w:p w14:paraId="02DC626E"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 xml:space="preserve">L’élément a été inclus dans l’inventaire de l’Institut national pour l’enregistrement du patrimoine culturel en 2017. L’inventaire est géré par le </w:t>
      </w:r>
      <w:proofErr w:type="gramStart"/>
      <w:r w:rsidRPr="00503070">
        <w:rPr>
          <w:rFonts w:ascii="Arial" w:hAnsi="Arial" w:cs="Arial"/>
          <w:color w:val="000000" w:themeColor="text1"/>
          <w:sz w:val="22"/>
          <w:szCs w:val="22"/>
        </w:rPr>
        <w:t>Ministère de l’économie</w:t>
      </w:r>
      <w:proofErr w:type="gramEnd"/>
      <w:r w:rsidRPr="00503070">
        <w:rPr>
          <w:rFonts w:ascii="Arial" w:hAnsi="Arial" w:cs="Arial"/>
          <w:color w:val="000000" w:themeColor="text1"/>
          <w:sz w:val="22"/>
          <w:szCs w:val="22"/>
        </w:rPr>
        <w:t>, de la culture et de l’innovation d’Albanie et a été mis à jour en 2023 et en 2024.</w:t>
      </w:r>
    </w:p>
    <w:p w14:paraId="5BB8BFB2" w14:textId="77777777"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l’art de jouer, chanter et fabriquer la </w:t>
      </w:r>
      <w:proofErr w:type="spellStart"/>
      <w:r w:rsidRPr="00503070">
        <w:rPr>
          <w:rFonts w:ascii="Arial" w:hAnsi="Arial" w:cs="Arial"/>
          <w:b/>
          <w:sz w:val="22"/>
          <w:szCs w:val="22"/>
        </w:rPr>
        <w:t>lahuta</w:t>
      </w:r>
      <w:proofErr w:type="spellEnd"/>
      <w:r w:rsidRPr="00503070">
        <w:rPr>
          <w:rFonts w:ascii="Arial" w:hAnsi="Arial" w:cs="Arial"/>
          <w:sz w:val="22"/>
          <w:szCs w:val="22"/>
        </w:rPr>
        <w:t xml:space="preserve"> sur la Liste du patrimoine culturel immatériel nécessitant une sauvegarde urgente ;</w:t>
      </w:r>
    </w:p>
    <w:p w14:paraId="599EF02C" w14:textId="29FCC274"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Encourage</w:t>
      </w:r>
      <w:r w:rsidR="00592758" w:rsidRPr="00503070">
        <w:rPr>
          <w:rFonts w:ascii="Arial" w:hAnsi="Arial" w:cs="Arial"/>
          <w:sz w:val="22"/>
          <w:szCs w:val="22"/>
        </w:rPr>
        <w:t xml:space="preserve"> </w:t>
      </w:r>
      <w:r w:rsidRPr="00503070">
        <w:rPr>
          <w:rFonts w:ascii="Arial" w:hAnsi="Arial" w:cs="Arial"/>
          <w:sz w:val="22"/>
          <w:szCs w:val="22"/>
        </w:rPr>
        <w:t xml:space="preserve">l’État partie soumissionnaire à mettre l’accent en particulier sur les mesures éducatives visant à sauvegarder d’urgence les techniques de l’art de jouer, de chanter et de fabriquer la </w:t>
      </w:r>
      <w:proofErr w:type="spellStart"/>
      <w:r w:rsidRPr="00503070">
        <w:rPr>
          <w:rFonts w:ascii="Arial" w:hAnsi="Arial" w:cs="Arial"/>
          <w:sz w:val="22"/>
          <w:szCs w:val="22"/>
        </w:rPr>
        <w:t>lahuta</w:t>
      </w:r>
      <w:proofErr w:type="spellEnd"/>
      <w:r w:rsidRPr="00503070">
        <w:rPr>
          <w:rFonts w:ascii="Arial" w:hAnsi="Arial" w:cs="Arial"/>
          <w:sz w:val="22"/>
          <w:szCs w:val="22"/>
        </w:rPr>
        <w:t>, et à assurer ainsi la transmission de cet élément d’une génération à l’autre ;</w:t>
      </w:r>
    </w:p>
    <w:p w14:paraId="4170B707" w14:textId="77777777" w:rsidR="0015777E" w:rsidRPr="00503070" w:rsidRDefault="0015777E" w:rsidP="001E17AF">
      <w:pPr>
        <w:numPr>
          <w:ilvl w:val="0"/>
          <w:numId w:val="39"/>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Prend note en outre</w:t>
      </w:r>
      <w:r w:rsidRPr="00503070">
        <w:rPr>
          <w:rFonts w:ascii="Arial" w:hAnsi="Arial" w:cs="Arial"/>
          <w:sz w:val="22"/>
          <w:szCs w:val="22"/>
        </w:rPr>
        <w:t xml:space="preserve"> que l’Albanie a demandé une assistance internationale du Fonds du patrimoine culturel immatériel d’un montant de 154 846 dollars des États-Unis pour la mise en œuvre du plan de sauvegarde </w:t>
      </w:r>
      <w:r w:rsidRPr="00503070">
        <w:rPr>
          <w:rFonts w:ascii="Arial" w:hAnsi="Arial" w:cs="Arial"/>
          <w:b/>
          <w:sz w:val="22"/>
          <w:szCs w:val="22"/>
        </w:rPr>
        <w:t xml:space="preserve">Développer des capacités durables pour sauvegarder l’art de jouer, chanter et fabriquer la </w:t>
      </w:r>
      <w:proofErr w:type="spellStart"/>
      <w:r w:rsidRPr="00503070">
        <w:rPr>
          <w:rFonts w:ascii="Arial" w:hAnsi="Arial" w:cs="Arial"/>
          <w:b/>
          <w:sz w:val="22"/>
          <w:szCs w:val="22"/>
        </w:rPr>
        <w:t>lahuta</w:t>
      </w:r>
      <w:proofErr w:type="spellEnd"/>
      <w:r w:rsidRPr="00503070">
        <w:rPr>
          <w:rFonts w:ascii="Arial" w:hAnsi="Arial" w:cs="Arial"/>
          <w:sz w:val="22"/>
          <w:szCs w:val="22"/>
        </w:rPr>
        <w:t xml:space="preserve"> (n° 02311) :</w:t>
      </w:r>
    </w:p>
    <w:p w14:paraId="1C2A68BA" w14:textId="77777777" w:rsidR="0015777E" w:rsidRPr="00503070" w:rsidRDefault="0015777E" w:rsidP="0015777E">
      <w:pPr>
        <w:tabs>
          <w:tab w:val="left" w:pos="1134"/>
          <w:tab w:val="left" w:pos="1701"/>
          <w:tab w:val="left" w:pos="2268"/>
        </w:tabs>
        <w:spacing w:before="120" w:after="120"/>
        <w:ind w:left="567"/>
        <w:jc w:val="both"/>
        <w:rPr>
          <w:rFonts w:ascii="Arial" w:hAnsi="Arial" w:cs="Arial"/>
          <w:bCs/>
          <w:sz w:val="22"/>
          <w:szCs w:val="22"/>
        </w:rPr>
      </w:pPr>
      <w:r w:rsidRPr="00503070">
        <w:rPr>
          <w:rFonts w:ascii="Arial" w:hAnsi="Arial" w:cs="Arial"/>
          <w:sz w:val="22"/>
          <w:szCs w:val="22"/>
        </w:rPr>
        <w:t xml:space="preserve">Mis en œuvre par le </w:t>
      </w:r>
      <w:proofErr w:type="gramStart"/>
      <w:r w:rsidRPr="00503070">
        <w:rPr>
          <w:rFonts w:ascii="Arial" w:hAnsi="Arial" w:cs="Arial"/>
          <w:sz w:val="22"/>
          <w:szCs w:val="22"/>
        </w:rPr>
        <w:t>Ministère de l’économie</w:t>
      </w:r>
      <w:proofErr w:type="gramEnd"/>
      <w:r w:rsidRPr="00503070">
        <w:rPr>
          <w:rFonts w:ascii="Arial" w:hAnsi="Arial" w:cs="Arial"/>
          <w:sz w:val="22"/>
          <w:szCs w:val="22"/>
        </w:rPr>
        <w:t xml:space="preserve">, de la culture et de l’innovation d’Albanie, en partenariat avec l’ONG </w:t>
      </w:r>
      <w:proofErr w:type="spellStart"/>
      <w:r w:rsidRPr="00503070">
        <w:rPr>
          <w:rFonts w:ascii="Arial" w:hAnsi="Arial" w:cs="Arial"/>
          <w:sz w:val="22"/>
          <w:szCs w:val="22"/>
        </w:rPr>
        <w:t>Fondazione</w:t>
      </w:r>
      <w:proofErr w:type="spellEnd"/>
      <w:r w:rsidRPr="00503070">
        <w:rPr>
          <w:rFonts w:ascii="Arial" w:hAnsi="Arial" w:cs="Arial"/>
          <w:sz w:val="22"/>
          <w:szCs w:val="22"/>
        </w:rPr>
        <w:t xml:space="preserve"> Arte, ce projet de trente-six mois vise à sauvegarder la pratique menacée de jouer, chanter et fabriquer la </w:t>
      </w:r>
      <w:proofErr w:type="spellStart"/>
      <w:r w:rsidRPr="00503070">
        <w:rPr>
          <w:rFonts w:ascii="Arial" w:hAnsi="Arial" w:cs="Arial"/>
          <w:sz w:val="22"/>
          <w:szCs w:val="22"/>
        </w:rPr>
        <w:t>lahuta</w:t>
      </w:r>
      <w:proofErr w:type="spellEnd"/>
      <w:r w:rsidRPr="00503070">
        <w:rPr>
          <w:rFonts w:ascii="Arial" w:hAnsi="Arial" w:cs="Arial"/>
          <w:sz w:val="22"/>
          <w:szCs w:val="22"/>
        </w:rPr>
        <w:t xml:space="preserve">, un instrument monocorde en bois. Le projet comporte des activités de documentation, d’inventaire, de cartographie culturelle, de formation et de sensibilisation. Ces activités seront menées principalement dans les </w:t>
      </w:r>
      <w:r w:rsidRPr="00503070">
        <w:rPr>
          <w:rFonts w:ascii="Arial" w:hAnsi="Arial" w:cs="Arial"/>
          <w:sz w:val="22"/>
          <w:szCs w:val="22"/>
        </w:rPr>
        <w:lastRenderedPageBreak/>
        <w:t xml:space="preserve">communautés rurales du nord et du nord-ouest de l’Albanie, dans des zones à faible revenu avec une émigration des jeunes et une agriculture à petite échelle. Les activités se concentreront sur la mise en place d’une structure de soutien participative visant à coordonner les efforts de sauvegarde par l’intermédiaire d’un centre culturel et d’un comité de pilotage dédiés. Le projet comprendra également le renforcement des capacités des communautés concernées et le développement de ressources, d’ateliers et de politiques visant à renforcer la transmission de l’élément. D’autres activités comprennent : (a) le développement de programmes d’enseignement pour les jeunes, incluant des opportunités d’enseignement génératrices de revenus pour les praticiens ; (b) développement de manuels sur le jeu, le chant et l’artisanat de la </w:t>
      </w:r>
      <w:proofErr w:type="spellStart"/>
      <w:r w:rsidRPr="00503070">
        <w:rPr>
          <w:rFonts w:ascii="Arial" w:hAnsi="Arial" w:cs="Arial"/>
          <w:sz w:val="22"/>
          <w:szCs w:val="22"/>
        </w:rPr>
        <w:t>lahuta</w:t>
      </w:r>
      <w:proofErr w:type="spellEnd"/>
      <w:r w:rsidRPr="00503070">
        <w:rPr>
          <w:rFonts w:ascii="Arial" w:hAnsi="Arial" w:cs="Arial"/>
          <w:sz w:val="22"/>
          <w:szCs w:val="22"/>
        </w:rPr>
        <w:t xml:space="preserve"> ; et (c) la création d’un site Internet et de plateformes sur les réseaux sociaux afin d’organiser des spectacles et de sensibiliser à l’élément. Ce projet devrait faciliter l’engagement des communautés dans la sauvegarde du patrimoine vivant en leur fournissant les compétences ainsi que les outils nécessaires pour communiquer, sensibiliser à leur patrimoine culturel immatériel et contribuer aux mesures de sauvegarde.</w:t>
      </w:r>
    </w:p>
    <w:p w14:paraId="2200719A" w14:textId="77777777"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la demande satisfait aux critères d’octroi de l’assistance internationale énoncés aux paragraphes 10 et 12 des Directives opérationnelles comme suit :</w:t>
      </w:r>
    </w:p>
    <w:p w14:paraId="0612E61C" w14:textId="77777777" w:rsidR="0015777E" w:rsidRPr="00503070" w:rsidRDefault="0015777E" w:rsidP="0015777E">
      <w:pPr>
        <w:pStyle w:val="Style1"/>
        <w:tabs>
          <w:tab w:val="clear" w:pos="1134"/>
        </w:tabs>
        <w:ind w:left="1134" w:hanging="567"/>
        <w:rPr>
          <w:color w:val="000000" w:themeColor="text1"/>
          <w:lang w:val="fr-FR"/>
        </w:rPr>
      </w:pPr>
      <w:r w:rsidRPr="00503070">
        <w:rPr>
          <w:lang w:val="fr-FR"/>
        </w:rPr>
        <w:t>A.1 :</w:t>
      </w:r>
      <w:r w:rsidRPr="00503070">
        <w:rPr>
          <w:color w:val="000000" w:themeColor="text1"/>
          <w:lang w:val="fr-FR"/>
        </w:rPr>
        <w:tab/>
        <w:t>La demande a été élaborée avec la participation active des communautés concernées. Des praticiens de tous âges et de tous genres ont contribué à la conception des activités proposées et participeront à leur mise en œuvre ainsi qu’à leur évaluation. Il convient de noter l’accent mis sur l’égalité genres afin de garantir une sauvegarde équitable et inclusive.</w:t>
      </w:r>
    </w:p>
    <w:p w14:paraId="1E126663"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A.2 :</w:t>
      </w:r>
      <w:r w:rsidRPr="00503070">
        <w:rPr>
          <w:color w:val="000000" w:themeColor="text1"/>
          <w:lang w:val="fr-FR"/>
        </w:rPr>
        <w:tab/>
        <w:t>Les informations fournies dans le budget sont détaillées, justifiées et cohérentes avec les activités proposées.</w:t>
      </w:r>
    </w:p>
    <w:p w14:paraId="42EEAFDE"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A.3 :</w:t>
      </w:r>
      <w:r w:rsidRPr="00503070">
        <w:rPr>
          <w:color w:val="000000" w:themeColor="text1"/>
          <w:lang w:val="fr-FR"/>
        </w:rPr>
        <w:tab/>
        <w:t>Les activités incluses dans la demande d’assistance sont réalisables, abordées de manière satisfaisante et alignées avec la structure et le calendrier global du projet.</w:t>
      </w:r>
    </w:p>
    <w:p w14:paraId="59DDB190"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A.4 :</w:t>
      </w:r>
      <w:r w:rsidRPr="00503070">
        <w:rPr>
          <w:color w:val="000000" w:themeColor="text1"/>
          <w:lang w:val="fr-FR"/>
        </w:rPr>
        <w:tab/>
        <w:t>Les résultats et les impacts du projet sont raisonnablement estimés et peuvent assurer une durabilité à long terme, car l’implication institutionnelle et la participation de la communauté peuvent les rendre viables au-delà du financement initial.</w:t>
      </w:r>
    </w:p>
    <w:p w14:paraId="28F1B9F4"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A.5 :</w:t>
      </w:r>
      <w:r w:rsidRPr="00503070">
        <w:rPr>
          <w:color w:val="000000" w:themeColor="text1"/>
          <w:lang w:val="fr-FR"/>
        </w:rPr>
        <w:tab/>
        <w:t>La ventilation du budget distingue clairement le montant demandé au Fonds du patrimoine culturel immatériel et la contribution de l’État partie. Bien qu’un faible pourcentage du budget soit fourni par l’État partie, il existe un engagement fort à fournir un soutien en nature pour la mise en œuvre du projet.</w:t>
      </w:r>
    </w:p>
    <w:p w14:paraId="5C779AE8"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A.6 :</w:t>
      </w:r>
      <w:r w:rsidRPr="00503070">
        <w:rPr>
          <w:color w:val="000000" w:themeColor="text1"/>
          <w:lang w:val="fr-FR"/>
        </w:rPr>
        <w:tab/>
        <w:t>Le renforcement des capacités est au cœur du projet, qui privilégie les approches pratiques permettant aux membres de la communauté d’apprendre par la pratique. Le projet renforcera également les institutions locales en partageant des outils, des méthodes et des expériences pratiques.</w:t>
      </w:r>
    </w:p>
    <w:p w14:paraId="737EAB3E"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 xml:space="preserve">A.7 : L’État partie a bénéficié de l’assistance internationale du Fonds du patrimoine culturel immatériel pour trois projets achevés : (a) « Inventaire de la polyphonie iso-folklorique albanaise » (24 500 dollars des États-Unis, mars 2011 – mars 2012) ; (b) assistance préparatoire (Registre des bonnes pratiques de sauvegarde) pour le projet « Le Festival folklorique national de </w:t>
      </w:r>
      <w:proofErr w:type="spellStart"/>
      <w:r w:rsidRPr="00503070">
        <w:rPr>
          <w:color w:val="000000" w:themeColor="text1"/>
          <w:lang w:val="fr-FR"/>
        </w:rPr>
        <w:t>Gjirokastra</w:t>
      </w:r>
      <w:proofErr w:type="spellEnd"/>
      <w:r w:rsidRPr="00503070">
        <w:rPr>
          <w:color w:val="000000" w:themeColor="text1"/>
          <w:lang w:val="fr-FR"/>
        </w:rPr>
        <w:t xml:space="preserve"> (</w:t>
      </w:r>
      <w:proofErr w:type="spellStart"/>
      <w:r w:rsidRPr="00503070">
        <w:rPr>
          <w:color w:val="000000" w:themeColor="text1"/>
          <w:lang w:val="fr-FR"/>
        </w:rPr>
        <w:t>NFFoGj</w:t>
      </w:r>
      <w:proofErr w:type="spellEnd"/>
      <w:r w:rsidRPr="00503070">
        <w:rPr>
          <w:color w:val="000000" w:themeColor="text1"/>
          <w:lang w:val="fr-FR"/>
        </w:rPr>
        <w:t xml:space="preserve">), 50 ans de meilleures pratiques de sauvegarde du patrimoine immatériel albanais » (9 800 dollars des États-Unis, novembre 2018 – avril 2019) ; (c) « La réalisation, avec la participation des communautés, d’un inventaire du PCI en Albanie en vue de le sauvegarder et le transmettre aux générations futures » (213 260 dollars des États-Unis, février 2020 – octobre 2022) ; ainsi que (d) la mise en œuvre en cours du plan de sauvegarde pour « La </w:t>
      </w:r>
      <w:proofErr w:type="spellStart"/>
      <w:r w:rsidRPr="00503070">
        <w:rPr>
          <w:color w:val="000000" w:themeColor="text1"/>
          <w:lang w:val="fr-FR"/>
        </w:rPr>
        <w:t>Xhubleta</w:t>
      </w:r>
      <w:proofErr w:type="spellEnd"/>
      <w:r w:rsidRPr="00503070">
        <w:rPr>
          <w:color w:val="000000" w:themeColor="text1"/>
          <w:lang w:val="fr-FR"/>
        </w:rPr>
        <w:t>, savoir-faire, artisanat et formes d’utilisation » (91 092 dollars des États-Unis, décembre 2023 – décembre 2025). Les travaux stipulés dans les contrats relatifs à ces projets ont été et sont réalisés conformément aux règlements de l’UNESCO.</w:t>
      </w:r>
    </w:p>
    <w:p w14:paraId="5D7C581E" w14:textId="77777777" w:rsidR="0015777E" w:rsidRPr="00503070" w:rsidRDefault="0015777E" w:rsidP="0015777E">
      <w:pPr>
        <w:tabs>
          <w:tab w:val="left" w:pos="1701"/>
          <w:tab w:val="left" w:pos="2268"/>
        </w:tabs>
        <w:spacing w:before="120" w:after="120"/>
        <w:ind w:left="567"/>
        <w:jc w:val="both"/>
        <w:rPr>
          <w:rFonts w:ascii="Arial" w:hAnsi="Arial" w:cs="Arial"/>
          <w:color w:val="000000" w:themeColor="text1"/>
          <w:sz w:val="22"/>
          <w:szCs w:val="22"/>
        </w:rPr>
      </w:pPr>
      <w:r w:rsidRPr="00503070">
        <w:rPr>
          <w:rFonts w:ascii="Arial" w:hAnsi="Arial" w:cs="Arial"/>
          <w:color w:val="000000" w:themeColor="text1"/>
          <w:sz w:val="22"/>
          <w:szCs w:val="22"/>
        </w:rPr>
        <w:t xml:space="preserve">Paragraphe 10 (a) : Le projet fait état d’un cadre de coordination solide qui garantit que toutes les parties prenantes travaillent ensemble à la sauvegarde de la tradition de la </w:t>
      </w:r>
      <w:proofErr w:type="spellStart"/>
      <w:r w:rsidRPr="00503070">
        <w:rPr>
          <w:rFonts w:ascii="Arial" w:hAnsi="Arial" w:cs="Arial"/>
          <w:color w:val="000000" w:themeColor="text1"/>
          <w:sz w:val="22"/>
          <w:szCs w:val="22"/>
        </w:rPr>
        <w:t>lahuta</w:t>
      </w:r>
      <w:proofErr w:type="spellEnd"/>
      <w:r w:rsidRPr="00503070">
        <w:rPr>
          <w:rFonts w:ascii="Arial" w:hAnsi="Arial" w:cs="Arial"/>
          <w:color w:val="000000" w:themeColor="text1"/>
          <w:sz w:val="22"/>
          <w:szCs w:val="22"/>
        </w:rPr>
        <w:t xml:space="preserve">. Une </w:t>
      </w:r>
      <w:r w:rsidRPr="00503070">
        <w:rPr>
          <w:rFonts w:ascii="Arial" w:hAnsi="Arial" w:cs="Arial"/>
          <w:color w:val="000000" w:themeColor="text1"/>
          <w:sz w:val="22"/>
          <w:szCs w:val="22"/>
        </w:rPr>
        <w:lastRenderedPageBreak/>
        <w:t>répartition claire des responsabilités renforcera l’efficacité et garantira l’implication des communautés dans les actions planifiées.</w:t>
      </w:r>
    </w:p>
    <w:p w14:paraId="064D54A3" w14:textId="77777777" w:rsidR="0015777E" w:rsidRPr="00503070" w:rsidRDefault="0015777E" w:rsidP="0015777E">
      <w:pPr>
        <w:pStyle w:val="Style1"/>
        <w:ind w:left="567"/>
        <w:rPr>
          <w:lang w:val="fr-FR"/>
        </w:rPr>
      </w:pPr>
      <w:r w:rsidRPr="00503070">
        <w:rPr>
          <w:color w:val="000000" w:themeColor="text1"/>
          <w:lang w:val="fr-FR"/>
        </w:rPr>
        <w:t>Paragraphe 10 (b) : Le projet présente un fort potentiel pour la multiplication de ses effets grâce à son modèle de sauvegarde basé sur la communauté, qui propose le renforcement des capacités des jeunes, et des partenariats nationaux et régionaux. Ses résultats sont susceptibles de favoriser la durabilité à long terme de la préservation du patrimoine culturel immatériel, tout en inspirant d’autres communautés et organisations.</w:t>
      </w:r>
    </w:p>
    <w:p w14:paraId="5FB4AD9B" w14:textId="77777777"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d’approuver</w:t>
      </w:r>
      <w:r w:rsidRPr="00503070">
        <w:rPr>
          <w:rFonts w:ascii="Arial" w:hAnsi="Arial" w:cs="Arial"/>
          <w:sz w:val="22"/>
          <w:szCs w:val="22"/>
        </w:rPr>
        <w:t xml:space="preserve"> la demande d’assistance internationale de l’Albanie pour la mise en œuvre du plan de sauvegarde </w:t>
      </w:r>
      <w:r w:rsidRPr="00503070">
        <w:rPr>
          <w:rFonts w:ascii="Arial" w:hAnsi="Arial" w:cs="Arial"/>
          <w:b/>
          <w:sz w:val="22"/>
          <w:szCs w:val="22"/>
        </w:rPr>
        <w:t xml:space="preserve">Développer des capacités durables pour sauvegarder l’art de jouer, chanter et fabriquer la </w:t>
      </w:r>
      <w:proofErr w:type="spellStart"/>
      <w:r w:rsidRPr="00503070">
        <w:rPr>
          <w:rFonts w:ascii="Arial" w:hAnsi="Arial" w:cs="Arial"/>
          <w:b/>
          <w:sz w:val="22"/>
          <w:szCs w:val="22"/>
        </w:rPr>
        <w:t>lahuta</w:t>
      </w:r>
      <w:proofErr w:type="spellEnd"/>
      <w:r w:rsidRPr="00503070">
        <w:rPr>
          <w:rFonts w:ascii="Arial" w:hAnsi="Arial" w:cs="Arial"/>
          <w:sz w:val="22"/>
          <w:szCs w:val="22"/>
        </w:rPr>
        <w:t xml:space="preserve"> et </w:t>
      </w:r>
      <w:r w:rsidRPr="00503070">
        <w:rPr>
          <w:rFonts w:ascii="Arial" w:hAnsi="Arial" w:cs="Arial"/>
          <w:sz w:val="22"/>
          <w:szCs w:val="22"/>
          <w:u w:val="single"/>
        </w:rPr>
        <w:t>accorde</w:t>
      </w:r>
      <w:r w:rsidRPr="00503070">
        <w:rPr>
          <w:rFonts w:ascii="Arial" w:hAnsi="Arial" w:cs="Arial"/>
          <w:sz w:val="22"/>
          <w:szCs w:val="22"/>
        </w:rPr>
        <w:t xml:space="preserve"> le montant de 154 846 dollars des États-Unis à l’État partie à cette fin ;</w:t>
      </w:r>
    </w:p>
    <w:p w14:paraId="3174FC96" w14:textId="77777777"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Demande</w:t>
      </w:r>
      <w:r w:rsidRPr="00503070">
        <w:rPr>
          <w:rFonts w:ascii="Arial" w:hAnsi="Arial" w:cs="Arial"/>
          <w:sz w:val="22"/>
          <w:szCs w:val="22"/>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p>
    <w:p w14:paraId="700AC1D5" w14:textId="77777777" w:rsidR="0015777E" w:rsidRPr="00503070" w:rsidRDefault="0015777E" w:rsidP="001E17AF">
      <w:pPr>
        <w:numPr>
          <w:ilvl w:val="0"/>
          <w:numId w:val="39"/>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Invite</w:t>
      </w:r>
      <w:r w:rsidRPr="00503070">
        <w:rPr>
          <w:rFonts w:ascii="Arial" w:hAnsi="Arial" w:cs="Arial"/>
          <w:sz w:val="22"/>
          <w:szCs w:val="22"/>
        </w:rPr>
        <w:t xml:space="preserve"> l’État partie demandeur à utiliser le formulaire ICH-04-Rapport pour rendre compte de l’utilisation de l’assistance accordée.</w:t>
      </w:r>
    </w:p>
    <w:p w14:paraId="67BB032F" w14:textId="77777777" w:rsidR="0015777E" w:rsidRPr="00503070" w:rsidRDefault="0015777E" w:rsidP="00F57031">
      <w:pPr>
        <w:pStyle w:val="COMTitleDecision"/>
        <w:keepNext/>
      </w:pPr>
      <w:r w:rsidRPr="00503070">
        <w:t>DÉCISION 20.COM 7.a.10</w:t>
      </w:r>
    </w:p>
    <w:p w14:paraId="0C761731" w14:textId="77777777" w:rsidR="0015777E" w:rsidRPr="00503070" w:rsidRDefault="0015777E" w:rsidP="00E703BD">
      <w:pPr>
        <w:pStyle w:val="NoSpacing"/>
        <w:keepNext/>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964629B" w14:textId="77777777" w:rsidR="0015777E" w:rsidRPr="00503070" w:rsidRDefault="0015777E" w:rsidP="001E17AF">
      <w:pPr>
        <w:numPr>
          <w:ilvl w:val="0"/>
          <w:numId w:val="4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Barbade a proposé la candidature des</w:t>
      </w:r>
      <w:r w:rsidRPr="00503070">
        <w:rPr>
          <w:rFonts w:ascii="Arial" w:hAnsi="Arial" w:cs="Arial"/>
          <w:b/>
          <w:sz w:val="22"/>
          <w:szCs w:val="22"/>
        </w:rPr>
        <w:t xml:space="preserve"> traditions sociales et culturelles associées aux </w:t>
      </w:r>
      <w:proofErr w:type="spellStart"/>
      <w:r w:rsidRPr="00503070">
        <w:rPr>
          <w:rFonts w:ascii="Arial" w:hAnsi="Arial" w:cs="Arial"/>
          <w:b/>
          <w:sz w:val="22"/>
          <w:szCs w:val="22"/>
        </w:rPr>
        <w:t>landships</w:t>
      </w:r>
      <w:proofErr w:type="spellEnd"/>
      <w:r w:rsidRPr="00503070">
        <w:rPr>
          <w:rFonts w:ascii="Arial" w:hAnsi="Arial" w:cs="Arial"/>
          <w:b/>
          <w:sz w:val="22"/>
          <w:szCs w:val="22"/>
        </w:rPr>
        <w:t xml:space="preserve"> à la Barbade</w:t>
      </w:r>
      <w:r w:rsidRPr="00503070">
        <w:rPr>
          <w:rFonts w:ascii="Arial" w:hAnsi="Arial" w:cs="Arial"/>
          <w:sz w:val="22"/>
          <w:szCs w:val="22"/>
        </w:rPr>
        <w:t xml:space="preserve"> (n° 02307) pour inscription sur la Liste du patrimoine culturel immatériel nécessitant une sauvegarde urgente :</w:t>
      </w:r>
    </w:p>
    <w:p w14:paraId="0B27A9CE"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sont des groupes culturels basés sur la communauté connus pour leur structure sociale, leurs spectacles ainsi que leurs traditions communes. Ils sont organisés comme des navires de guerre, leurs membres ayant des grades tels que « Lord High </w:t>
      </w:r>
      <w:proofErr w:type="spellStart"/>
      <w:r w:rsidRPr="00503070">
        <w:rPr>
          <w:rFonts w:ascii="Arial" w:hAnsi="Arial" w:cs="Arial"/>
          <w:sz w:val="22"/>
          <w:szCs w:val="22"/>
        </w:rPr>
        <w:t>Admiral</w:t>
      </w:r>
      <w:proofErr w:type="spellEnd"/>
      <w:r w:rsidRPr="00503070">
        <w:rPr>
          <w:rFonts w:ascii="Arial" w:hAnsi="Arial" w:cs="Arial"/>
          <w:sz w:val="22"/>
          <w:szCs w:val="22"/>
        </w:rPr>
        <w:t xml:space="preserve"> » (Grand Amiral), « Commander » (Commandant) et « Kit </w:t>
      </w:r>
      <w:proofErr w:type="spellStart"/>
      <w:r w:rsidRPr="00503070">
        <w:rPr>
          <w:rFonts w:ascii="Arial" w:hAnsi="Arial" w:cs="Arial"/>
          <w:sz w:val="22"/>
          <w:szCs w:val="22"/>
        </w:rPr>
        <w:t>Inspector</w:t>
      </w:r>
      <w:proofErr w:type="spellEnd"/>
      <w:r w:rsidRPr="00503070">
        <w:rPr>
          <w:rFonts w:ascii="Arial" w:hAnsi="Arial" w:cs="Arial"/>
          <w:sz w:val="22"/>
          <w:szCs w:val="22"/>
        </w:rPr>
        <w:t xml:space="preserve"> » (Inspecteur de l’équipement). Ces membres utilisent des termes nautiques avec des significations locales, afin de refléter les défis et les réalisations de la vie. Les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se rencontrent à un endroit appelé « Dock », où ils organisent des réunions connues sous le nom de « Dock </w:t>
      </w:r>
      <w:proofErr w:type="spellStart"/>
      <w:r w:rsidRPr="00503070">
        <w:rPr>
          <w:rFonts w:ascii="Arial" w:hAnsi="Arial" w:cs="Arial"/>
          <w:sz w:val="22"/>
          <w:szCs w:val="22"/>
        </w:rPr>
        <w:t>Nights</w:t>
      </w:r>
      <w:proofErr w:type="spellEnd"/>
      <w:r w:rsidRPr="00503070">
        <w:rPr>
          <w:rFonts w:ascii="Arial" w:hAnsi="Arial" w:cs="Arial"/>
          <w:sz w:val="22"/>
          <w:szCs w:val="22"/>
        </w:rPr>
        <w:t xml:space="preserve"> », afin de favoriser les interactions sociales et le partage des traditions. Les représentations qu’ils donnent lors de ces rassemblements sont un mélange d’exercices navals et d’éléments culturels africains, accompagnés de musique et de danses. </w:t>
      </w:r>
    </w:p>
    <w:p w14:paraId="0BAA00FB" w14:textId="77777777" w:rsidR="0015777E" w:rsidRPr="00503070" w:rsidRDefault="0015777E" w:rsidP="001E17AF">
      <w:pPr>
        <w:keepNext/>
        <w:numPr>
          <w:ilvl w:val="0"/>
          <w:numId w:val="41"/>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13F4590E"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L’une des principales pratiques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est le « susu », qui consiste à mettre en commun les ressources pour soutenir financièrement les membres en cas de maladie, de chômage ou de funérailles. La pratique est transmise par la participation, l’observation et la narration orale, en particulier lors de réunions et d’événements. Les écoles et groupes de la communauté contribuent également à la formation et aux activités de sensibilisation. Symbole de la résilience de la communauté, les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favorisent l’entraide mutuelle et le sentiment d’appartenance. Ils favorisent également la fierté de la communauté, la cohésion sociale et l’apprentissage intergénérationnel.</w:t>
      </w:r>
    </w:p>
    <w:p w14:paraId="20092696"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 xml:space="preserve">Cette pratique est actuellement menacée en raison de la diminution constante du nombre de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et du nombre de membres, due notamment aux interruptions de la transmission et à l’accès accru aux services sociaux et bancaires formalisés, entre autres. Malgré ces difficultés, les membres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et les entités apparentées ont manifesté un regain d’intérêt pour la revitalisation des traditions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w:t>
      </w:r>
    </w:p>
    <w:p w14:paraId="1A19FA52"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U.3 :</w:t>
      </w:r>
      <w:r w:rsidRPr="00503070">
        <w:rPr>
          <w:rFonts w:ascii="Arial" w:hAnsi="Arial" w:cs="Arial"/>
          <w:color w:val="000000" w:themeColor="text1"/>
          <w:sz w:val="22"/>
          <w:szCs w:val="22"/>
        </w:rPr>
        <w:tab/>
        <w:t xml:space="preserve">Le plan de sauvegarde définit trois objectifs généraux : (a) la sensibilisation de la population à l’importance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et de leurs pratiques ; (b) l’augmentation des opportunités de pratique et de transmission de l’élément ; et (c) le renforcement des capacités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Les activités proposées pour atteindre ces objectifs sont pertinentes et placent les communautés au centre. </w:t>
      </w:r>
    </w:p>
    <w:p w14:paraId="71A4ED9C"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 xml:space="preserve">Les membres des </w:t>
      </w:r>
      <w:proofErr w:type="spellStart"/>
      <w:r w:rsidRPr="00503070">
        <w:rPr>
          <w:rFonts w:ascii="Arial" w:hAnsi="Arial" w:cs="Arial"/>
          <w:color w:val="000000" w:themeColor="text1"/>
          <w:sz w:val="22"/>
          <w:szCs w:val="22"/>
        </w:rPr>
        <w:t>landships</w:t>
      </w:r>
      <w:proofErr w:type="spellEnd"/>
      <w:r w:rsidRPr="00503070">
        <w:rPr>
          <w:rFonts w:ascii="Arial" w:hAnsi="Arial" w:cs="Arial"/>
          <w:color w:val="000000" w:themeColor="text1"/>
          <w:sz w:val="22"/>
          <w:szCs w:val="22"/>
        </w:rPr>
        <w:t xml:space="preserve"> et les parties prenantes concernées ont été activement impliqués dans toutes les étapes du processus de candidature, y compris une consultation nationale organisée en 2023. Le plan de sauvegarde et les documents qui composent le dossier ont été préparés avec la participation active et le consensus des communautés concernées.</w:t>
      </w:r>
    </w:p>
    <w:p w14:paraId="5F3C60FF"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L’élément a été inclus dans l’inventaire du patrimoine culturel immatériel de la Barbade en 2022. Cet inventaire est géré par la Division de la culture du cabinet de la Première ministre et est régulièrement mis à jour.</w:t>
      </w:r>
    </w:p>
    <w:p w14:paraId="2A62030F"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les traditions sociales et culturelles associées aux </w:t>
      </w:r>
      <w:proofErr w:type="spellStart"/>
      <w:r w:rsidRPr="00503070">
        <w:rPr>
          <w:rFonts w:ascii="Arial" w:hAnsi="Arial" w:cs="Arial"/>
          <w:b/>
          <w:sz w:val="22"/>
          <w:szCs w:val="22"/>
        </w:rPr>
        <w:t>landships</w:t>
      </w:r>
      <w:proofErr w:type="spellEnd"/>
      <w:r w:rsidRPr="00503070">
        <w:rPr>
          <w:rFonts w:ascii="Arial" w:hAnsi="Arial" w:cs="Arial"/>
          <w:b/>
          <w:sz w:val="22"/>
          <w:szCs w:val="22"/>
        </w:rPr>
        <w:t xml:space="preserve"> à la Barbade</w:t>
      </w:r>
      <w:r w:rsidRPr="00503070">
        <w:rPr>
          <w:rFonts w:ascii="Arial" w:hAnsi="Arial" w:cs="Arial"/>
          <w:sz w:val="22"/>
          <w:szCs w:val="22"/>
        </w:rPr>
        <w:t xml:space="preserve"> sur la Liste du patrimoine culturel immatériel nécessitant une sauvegarde urgente ;</w:t>
      </w:r>
    </w:p>
    <w:p w14:paraId="0D1C29EC"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Encourage</w:t>
      </w:r>
      <w:r w:rsidRPr="00503070">
        <w:rPr>
          <w:rFonts w:ascii="Arial" w:hAnsi="Arial" w:cs="Arial"/>
          <w:sz w:val="22"/>
          <w:szCs w:val="22"/>
        </w:rPr>
        <w:t xml:space="preserve"> l’État partie soumissionnaire à mettre en œuvre un plan de sauvegarde davantage axé sur la menace spécifique et concrète liée à l’élément et la résolution des problèmes, en cherchant à trouver les moyens d’adapter ou d’intégrer l’élément dans la nouvelle réalité socioculturelle et économique contemporaine ;</w:t>
      </w:r>
    </w:p>
    <w:p w14:paraId="0C81038D" w14:textId="77777777" w:rsidR="0015777E" w:rsidRPr="00503070" w:rsidRDefault="0015777E" w:rsidP="001E17AF">
      <w:pPr>
        <w:pStyle w:val="ListParagraph"/>
        <w:numPr>
          <w:ilvl w:val="0"/>
          <w:numId w:val="41"/>
        </w:numPr>
        <w:ind w:left="567" w:hanging="567"/>
        <w:contextualSpacing w:val="0"/>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sa première inscription ;</w:t>
      </w:r>
    </w:p>
    <w:p w14:paraId="4C71F045"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Prend note en outre</w:t>
      </w:r>
      <w:r w:rsidRPr="00503070">
        <w:rPr>
          <w:rFonts w:ascii="Arial" w:hAnsi="Arial" w:cs="Arial"/>
          <w:sz w:val="22"/>
          <w:szCs w:val="22"/>
        </w:rPr>
        <w:t xml:space="preserve"> que la Barbade a demandé une assistance internationale du Fonds du patrimoine culturel immatériel d’un montant de 99 900 dollars des États-Unis pour la mise en œuvre du plan de sauvegarde </w:t>
      </w:r>
      <w:r w:rsidRPr="00503070">
        <w:rPr>
          <w:rFonts w:ascii="Arial" w:hAnsi="Arial" w:cs="Arial"/>
          <w:b/>
          <w:sz w:val="22"/>
          <w:szCs w:val="22"/>
        </w:rPr>
        <w:t xml:space="preserve">Sauvegarder les traditions sociales et culturelles associées aux </w:t>
      </w:r>
      <w:proofErr w:type="spellStart"/>
      <w:r w:rsidRPr="00503070">
        <w:rPr>
          <w:rFonts w:ascii="Arial" w:hAnsi="Arial" w:cs="Arial"/>
          <w:b/>
          <w:sz w:val="22"/>
          <w:szCs w:val="22"/>
        </w:rPr>
        <w:t>landships</w:t>
      </w:r>
      <w:proofErr w:type="spellEnd"/>
      <w:r w:rsidRPr="00503070">
        <w:rPr>
          <w:rFonts w:ascii="Arial" w:hAnsi="Arial" w:cs="Arial"/>
          <w:b/>
          <w:sz w:val="22"/>
          <w:szCs w:val="22"/>
        </w:rPr>
        <w:t xml:space="preserve"> à la Barbade </w:t>
      </w:r>
      <w:r w:rsidRPr="00503070">
        <w:rPr>
          <w:rFonts w:ascii="Arial" w:hAnsi="Arial" w:cs="Arial"/>
          <w:sz w:val="22"/>
          <w:szCs w:val="22"/>
        </w:rPr>
        <w:t>(n° 02308) :</w:t>
      </w:r>
    </w:p>
    <w:p w14:paraId="4A1B5BCF" w14:textId="77777777" w:rsidR="0015777E" w:rsidRPr="00503070" w:rsidRDefault="0015777E" w:rsidP="0015777E">
      <w:pPr>
        <w:tabs>
          <w:tab w:val="left" w:pos="1701"/>
          <w:tab w:val="left" w:pos="2268"/>
        </w:tabs>
        <w:spacing w:before="120" w:after="120"/>
        <w:ind w:left="567"/>
        <w:jc w:val="both"/>
        <w:rPr>
          <w:rFonts w:ascii="Arial" w:hAnsi="Arial" w:cs="Arial"/>
          <w:bCs/>
          <w:sz w:val="22"/>
          <w:szCs w:val="22"/>
        </w:rPr>
      </w:pPr>
      <w:r w:rsidRPr="00503070">
        <w:rPr>
          <w:rFonts w:ascii="Arial" w:hAnsi="Arial" w:cs="Arial"/>
          <w:sz w:val="22"/>
          <w:szCs w:val="22"/>
        </w:rPr>
        <w:t xml:space="preserve">Mis en œuvre par la Division de la culture du cabinet de la Première ministre de la Barbade, ce projet de vingt-quatre mois vise à sensibiliser et à soutenir la transmission des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des groupes culturels de la communauté connus pour leur structure sociale, leurs performances et leurs traditions partagées. Outre le renforcement des capacités des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existants, le projet vise à faire connaître cet élément et à multiplier les occasions de le mettre en pratique. Dans le cadre d’un plan de sauvegarde quadriennal, le projet sera mis en œuvre dans chacune des onze paroisses de la Barbade. Il s’appuiera sur le programme de formation des enseignants en cours de sorte à inclure des parties prenantes au-delà du secteur de l’éducation et étendre la portée des écoles-</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à huit écoles supplémentaires. Il inclura également d’une campagne annuelle visant à sensibiliser le public et à susciter son intérêt pour les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au cours du mois d’octobre. Outre les activités de sensibilisation susmentionnées, le projet contribuera au renforcement des capacités en soutenant la </w:t>
      </w:r>
      <w:proofErr w:type="spellStart"/>
      <w:r w:rsidRPr="00503070">
        <w:rPr>
          <w:rFonts w:ascii="Arial" w:hAnsi="Arial" w:cs="Arial"/>
          <w:sz w:val="22"/>
          <w:szCs w:val="22"/>
        </w:rPr>
        <w:t>Barbados</w:t>
      </w:r>
      <w:proofErr w:type="spellEnd"/>
      <w:r w:rsidRPr="00503070">
        <w:rPr>
          <w:rFonts w:ascii="Arial" w:hAnsi="Arial" w:cs="Arial"/>
          <w:sz w:val="22"/>
          <w:szCs w:val="22"/>
        </w:rPr>
        <w:t xml:space="preserve"> </w:t>
      </w:r>
      <w:proofErr w:type="spellStart"/>
      <w:r w:rsidRPr="00503070">
        <w:rPr>
          <w:rFonts w:ascii="Arial" w:hAnsi="Arial" w:cs="Arial"/>
          <w:sz w:val="22"/>
          <w:szCs w:val="22"/>
        </w:rPr>
        <w:t>Landship</w:t>
      </w:r>
      <w:proofErr w:type="spellEnd"/>
      <w:r w:rsidRPr="00503070">
        <w:rPr>
          <w:rFonts w:ascii="Arial" w:hAnsi="Arial" w:cs="Arial"/>
          <w:sz w:val="22"/>
          <w:szCs w:val="22"/>
        </w:rPr>
        <w:t xml:space="preserve"> Association par le biais d’une aide technique et matérielle, d’ateliers de formation et de la mise en place de cinq communautés de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Ce projet devrait renforcer les capacités des praticiens et des autres parties prenantes à sauvegarder le patrimoine culturel immatériel, tout en donnant à la communauté des </w:t>
      </w:r>
      <w:proofErr w:type="spellStart"/>
      <w:r w:rsidRPr="00503070">
        <w:rPr>
          <w:rFonts w:ascii="Arial" w:hAnsi="Arial" w:cs="Arial"/>
          <w:sz w:val="22"/>
          <w:szCs w:val="22"/>
        </w:rPr>
        <w:t>landships</w:t>
      </w:r>
      <w:proofErr w:type="spellEnd"/>
      <w:r w:rsidRPr="00503070">
        <w:rPr>
          <w:rFonts w:ascii="Arial" w:hAnsi="Arial" w:cs="Arial"/>
          <w:sz w:val="22"/>
          <w:szCs w:val="22"/>
        </w:rPr>
        <w:t xml:space="preserve"> les moyens de mener des initiatives de sauvegarde.</w:t>
      </w:r>
    </w:p>
    <w:p w14:paraId="169DFEC0"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demande satisfait aux critères d’octroi de l’assistance internationale énoncés aux paragraphes 10 et 12 des Directives opérationnelles comme suit :</w:t>
      </w:r>
    </w:p>
    <w:p w14:paraId="4642CA77" w14:textId="77777777" w:rsidR="0015777E" w:rsidRPr="00503070" w:rsidRDefault="0015777E" w:rsidP="0015777E">
      <w:pPr>
        <w:pStyle w:val="Style1"/>
        <w:tabs>
          <w:tab w:val="clear" w:pos="1134"/>
        </w:tabs>
        <w:ind w:left="1134" w:hanging="567"/>
        <w:rPr>
          <w:color w:val="000000" w:themeColor="text1"/>
          <w:lang w:val="fr-FR"/>
        </w:rPr>
      </w:pPr>
      <w:r w:rsidRPr="00503070">
        <w:rPr>
          <w:lang w:val="fr-FR"/>
        </w:rPr>
        <w:t>A.1 :</w:t>
      </w:r>
      <w:r w:rsidRPr="00503070">
        <w:rPr>
          <w:color w:val="000000" w:themeColor="text1"/>
          <w:lang w:val="fr-FR"/>
        </w:rPr>
        <w:tab/>
        <w:t xml:space="preserve">L’engagement de la communauté dans cette initiative a été forte, les </w:t>
      </w:r>
      <w:proofErr w:type="spellStart"/>
      <w:r w:rsidRPr="00503070">
        <w:rPr>
          <w:color w:val="000000" w:themeColor="text1"/>
          <w:lang w:val="fr-FR"/>
        </w:rPr>
        <w:t>landships</w:t>
      </w:r>
      <w:proofErr w:type="spellEnd"/>
      <w:r w:rsidRPr="00503070">
        <w:rPr>
          <w:color w:val="000000" w:themeColor="text1"/>
          <w:lang w:val="fr-FR"/>
        </w:rPr>
        <w:t xml:space="preserve"> participant à l’élaboration des propositions de mesures de sauvegarde. Toutes les mesures ont été conçues en collaboration avec ces groupes et seront mises en œuvre grâce à la pleine participation des praticiens et des détenteurs de connaissances.</w:t>
      </w:r>
    </w:p>
    <w:p w14:paraId="0B5E1259"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A.2 :</w:t>
      </w:r>
      <w:r w:rsidRPr="00503070">
        <w:rPr>
          <w:color w:val="000000" w:themeColor="text1"/>
          <w:lang w:val="fr-FR"/>
        </w:rPr>
        <w:tab/>
        <w:t>Le budget est clairement structuré et aligné avec les activités proposées. En outre, la demande précise les responsabilités concernant la gestion des fonds.</w:t>
      </w:r>
    </w:p>
    <w:p w14:paraId="32F28F03"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lastRenderedPageBreak/>
        <w:t>A.3 :</w:t>
      </w:r>
      <w:r w:rsidRPr="00503070">
        <w:rPr>
          <w:color w:val="000000" w:themeColor="text1"/>
          <w:lang w:val="fr-FR"/>
        </w:rPr>
        <w:tab/>
        <w:t xml:space="preserve">La demande présente un programme complet d’activités basé sur les besoins actuels des communautés de </w:t>
      </w:r>
      <w:proofErr w:type="spellStart"/>
      <w:r w:rsidRPr="00503070">
        <w:rPr>
          <w:color w:val="000000" w:themeColor="text1"/>
          <w:lang w:val="fr-FR"/>
        </w:rPr>
        <w:t>landships</w:t>
      </w:r>
      <w:proofErr w:type="spellEnd"/>
      <w:r w:rsidRPr="00503070">
        <w:rPr>
          <w:color w:val="000000" w:themeColor="text1"/>
          <w:lang w:val="fr-FR"/>
        </w:rPr>
        <w:t xml:space="preserve"> ainsi que sur les leçons tirées des expériences précédentes en matière de sauvegarde. Des mécanismes de coordination et de répartition des responsabilités sont inclus dans la proposition afin d’en garantir la faisabilité.</w:t>
      </w:r>
    </w:p>
    <w:p w14:paraId="1E654626"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A.4 :</w:t>
      </w:r>
      <w:r w:rsidRPr="00503070">
        <w:rPr>
          <w:color w:val="000000" w:themeColor="text1"/>
          <w:lang w:val="fr-FR"/>
        </w:rPr>
        <w:tab/>
        <w:t>Dans le cadre du projet, le renforcement des capacités est le principal moyen d’assurer la sauvegarde de l’élément. L’acquisition de connaissances sur les différents aspects de la gestion du patrimoine culturel devrait permettre aux praticiens d’être mieux armés pour promouvoir et maintenir de manière autonome des mesures de sauvegarde adaptées à leurs besoins.</w:t>
      </w:r>
    </w:p>
    <w:p w14:paraId="2E40F466"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A.5 :</w:t>
      </w:r>
      <w:r w:rsidRPr="00503070">
        <w:rPr>
          <w:color w:val="000000" w:themeColor="text1"/>
          <w:lang w:val="fr-FR"/>
        </w:rPr>
        <w:tab/>
        <w:t>Les coûts du projet sont partagés avec l’État partie, qui couvrira une part importante des dépenses. Ce faisant, l’État partie renforce son engagement à sauvegarder l’élément.</w:t>
      </w:r>
    </w:p>
    <w:p w14:paraId="0CECC9AB"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A.6 :</w:t>
      </w:r>
      <w:r w:rsidRPr="00503070">
        <w:rPr>
          <w:color w:val="000000" w:themeColor="text1"/>
          <w:lang w:val="fr-FR"/>
        </w:rPr>
        <w:tab/>
        <w:t xml:space="preserve">Les principaux objectifs du projet comprennent le renforcement des capacités et l’amélioration des compétences en matière de gestion du patrimoine culturel immatériel, une attention particulière étant accordée aux communautés de </w:t>
      </w:r>
      <w:proofErr w:type="spellStart"/>
      <w:r w:rsidRPr="00503070">
        <w:rPr>
          <w:color w:val="000000" w:themeColor="text1"/>
          <w:lang w:val="fr-FR"/>
        </w:rPr>
        <w:t>landships</w:t>
      </w:r>
      <w:proofErr w:type="spellEnd"/>
      <w:r w:rsidRPr="00503070">
        <w:rPr>
          <w:color w:val="000000" w:themeColor="text1"/>
          <w:lang w:val="fr-FR"/>
        </w:rPr>
        <w:t>. Le projet vise également à renforcer la capacité des institutions partenaires à travailler avec les praticiens, en veillant à ce que la voix de la communauté soit respectée et soutenue au-delà de la durée du projet.</w:t>
      </w:r>
    </w:p>
    <w:p w14:paraId="73016C13" w14:textId="77777777" w:rsidR="0015777E" w:rsidRPr="00503070" w:rsidRDefault="0015777E" w:rsidP="0015777E">
      <w:pPr>
        <w:pStyle w:val="Style1"/>
        <w:tabs>
          <w:tab w:val="clear" w:pos="1134"/>
        </w:tabs>
        <w:ind w:left="1134" w:hanging="567"/>
        <w:rPr>
          <w:lang w:val="fr-FR"/>
        </w:rPr>
      </w:pPr>
      <w:r w:rsidRPr="00503070">
        <w:rPr>
          <w:color w:val="000000" w:themeColor="text1"/>
          <w:lang w:val="fr-FR"/>
        </w:rPr>
        <w:t xml:space="preserve">A.7 : </w:t>
      </w:r>
      <w:r w:rsidRPr="00503070">
        <w:rPr>
          <w:color w:val="000000" w:themeColor="text1"/>
          <w:lang w:val="fr-FR"/>
        </w:rPr>
        <w:tab/>
        <w:t>L’État partie demandeur n’a, à ce jour, pas bénéficié d’une assistance financière du Fonds du patrimoine culturel immatériel de la Convention de 2003 pour la mise en œuvre d’activités dans le domaine du patrimoine culturel immatériel.</w:t>
      </w:r>
    </w:p>
    <w:p w14:paraId="189C15A2" w14:textId="77777777" w:rsidR="0015777E" w:rsidRPr="00503070" w:rsidRDefault="0015777E" w:rsidP="0015777E">
      <w:pPr>
        <w:pStyle w:val="Style1"/>
        <w:tabs>
          <w:tab w:val="clear" w:pos="1134"/>
        </w:tabs>
        <w:ind w:left="567"/>
        <w:rPr>
          <w:lang w:val="fr-FR"/>
        </w:rPr>
      </w:pPr>
      <w:r w:rsidRPr="00503070">
        <w:rPr>
          <w:lang w:val="fr-FR"/>
        </w:rPr>
        <w:t>Paragraphe 10 (a) :</w:t>
      </w:r>
      <w:r w:rsidRPr="00503070">
        <w:rPr>
          <w:color w:val="000000" w:themeColor="text1"/>
          <w:lang w:val="fr-FR"/>
        </w:rPr>
        <w:t xml:space="preserve"> La mise en œuvre du projet nécessite la collaboration de diverses parties prenantes, notamment des praticiens, des experts, des techniciens, des représentants de la société civile et des institutions publiques au niveau national.</w:t>
      </w:r>
    </w:p>
    <w:p w14:paraId="36F69DBA" w14:textId="77777777" w:rsidR="0015777E" w:rsidRPr="00503070" w:rsidRDefault="0015777E" w:rsidP="0015777E">
      <w:pPr>
        <w:pStyle w:val="Style1"/>
        <w:tabs>
          <w:tab w:val="clear" w:pos="1134"/>
        </w:tabs>
        <w:ind w:left="567"/>
        <w:rPr>
          <w:lang w:val="fr-FR"/>
        </w:rPr>
      </w:pPr>
      <w:r w:rsidRPr="00503070">
        <w:rPr>
          <w:lang w:val="fr-FR"/>
        </w:rPr>
        <w:t>Paragraphe 10 (b) : </w:t>
      </w:r>
      <w:r w:rsidRPr="00503070">
        <w:rPr>
          <w:color w:val="000000" w:themeColor="text1"/>
          <w:lang w:val="fr-FR"/>
        </w:rPr>
        <w:t xml:space="preserve">L’assistance fournie est susceptible d’avoir des effets multiplicateurs, entraînant d’autres financements, partenariats et efforts de reproduction. Les activités de renforcement des capacités aideront les </w:t>
      </w:r>
      <w:proofErr w:type="spellStart"/>
      <w:r w:rsidRPr="00503070">
        <w:rPr>
          <w:color w:val="000000" w:themeColor="text1"/>
          <w:lang w:val="fr-FR"/>
        </w:rPr>
        <w:t>landships</w:t>
      </w:r>
      <w:proofErr w:type="spellEnd"/>
      <w:r w:rsidRPr="00503070">
        <w:rPr>
          <w:color w:val="000000" w:themeColor="text1"/>
          <w:lang w:val="fr-FR"/>
        </w:rPr>
        <w:t xml:space="preserve"> à développer leurs propres projets, à préparer des demandes de financement et à mobiliser des ressources. En outre, la sensibilisation peut encourager davantage d’organisations à travailler avec les </w:t>
      </w:r>
      <w:proofErr w:type="spellStart"/>
      <w:r w:rsidRPr="00503070">
        <w:rPr>
          <w:color w:val="000000" w:themeColor="text1"/>
          <w:lang w:val="fr-FR"/>
        </w:rPr>
        <w:t>landships</w:t>
      </w:r>
      <w:proofErr w:type="spellEnd"/>
      <w:r w:rsidRPr="00503070">
        <w:rPr>
          <w:color w:val="000000" w:themeColor="text1"/>
          <w:lang w:val="fr-FR"/>
        </w:rPr>
        <w:t>.</w:t>
      </w:r>
    </w:p>
    <w:p w14:paraId="2E0DB30D"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d’approuver</w:t>
      </w:r>
      <w:r w:rsidRPr="00503070">
        <w:rPr>
          <w:rFonts w:ascii="Arial" w:hAnsi="Arial" w:cs="Arial"/>
          <w:sz w:val="22"/>
          <w:szCs w:val="22"/>
        </w:rPr>
        <w:t xml:space="preserve"> la demande d’assistance internationale de la Barbade pour la mise en œuvre du plan de sauvegarde </w:t>
      </w:r>
      <w:r w:rsidRPr="00503070">
        <w:rPr>
          <w:rFonts w:ascii="Arial" w:hAnsi="Arial" w:cs="Arial"/>
          <w:b/>
          <w:sz w:val="22"/>
          <w:szCs w:val="22"/>
        </w:rPr>
        <w:t xml:space="preserve">Sauvegarder les traditions sociales et culturelles associées aux </w:t>
      </w:r>
      <w:proofErr w:type="spellStart"/>
      <w:r w:rsidRPr="00503070">
        <w:rPr>
          <w:rFonts w:ascii="Arial" w:hAnsi="Arial" w:cs="Arial"/>
          <w:b/>
          <w:sz w:val="22"/>
          <w:szCs w:val="22"/>
        </w:rPr>
        <w:t>landships</w:t>
      </w:r>
      <w:proofErr w:type="spellEnd"/>
      <w:r w:rsidRPr="00503070">
        <w:rPr>
          <w:rFonts w:ascii="Arial" w:hAnsi="Arial" w:cs="Arial"/>
          <w:b/>
          <w:sz w:val="22"/>
          <w:szCs w:val="22"/>
        </w:rPr>
        <w:t xml:space="preserve"> à la Barbade</w:t>
      </w:r>
      <w:r w:rsidRPr="00503070">
        <w:rPr>
          <w:rFonts w:ascii="Arial" w:hAnsi="Arial" w:cs="Arial"/>
          <w:sz w:val="22"/>
          <w:szCs w:val="22"/>
        </w:rPr>
        <w:t xml:space="preserve"> et </w:t>
      </w:r>
      <w:r w:rsidRPr="00503070">
        <w:rPr>
          <w:rFonts w:ascii="Arial" w:hAnsi="Arial" w:cs="Arial"/>
          <w:sz w:val="22"/>
          <w:szCs w:val="22"/>
          <w:u w:val="single"/>
        </w:rPr>
        <w:t>accorde</w:t>
      </w:r>
      <w:r w:rsidRPr="00503070">
        <w:rPr>
          <w:rFonts w:ascii="Arial" w:hAnsi="Arial" w:cs="Arial"/>
          <w:sz w:val="22"/>
          <w:szCs w:val="22"/>
        </w:rPr>
        <w:t xml:space="preserve"> le montant de 99 900 dollars des États-Unis à l’État partie à cette fin ;</w:t>
      </w:r>
    </w:p>
    <w:p w14:paraId="5E9AC254" w14:textId="67AEC63A"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00514BED" w:rsidRPr="00503070">
        <w:rPr>
          <w:rFonts w:ascii="Arial" w:hAnsi="Arial" w:cs="Arial"/>
          <w:bCs/>
          <w:sz w:val="22"/>
          <w:szCs w:val="22"/>
          <w:u w:val="single"/>
        </w:rPr>
        <w:t xml:space="preserve"> en outre</w:t>
      </w:r>
      <w:r w:rsidRPr="00503070">
        <w:rPr>
          <w:rFonts w:ascii="Arial" w:hAnsi="Arial" w:cs="Arial"/>
          <w:bCs/>
          <w:sz w:val="22"/>
          <w:szCs w:val="22"/>
        </w:rPr>
        <w:t xml:space="preserve"> l’État partie demandeur, lors de l’utilisation des fonds, à donner la priorité aux activités qui contribuent directement à la sauvegarde de l’élément, plutôt qu’à l’acquisition de marchandises ;</w:t>
      </w:r>
    </w:p>
    <w:p w14:paraId="721DEABA" w14:textId="77777777" w:rsidR="0015777E" w:rsidRPr="00503070" w:rsidRDefault="0015777E" w:rsidP="001E17AF">
      <w:pPr>
        <w:numPr>
          <w:ilvl w:val="0"/>
          <w:numId w:val="41"/>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Demande</w:t>
      </w:r>
      <w:r w:rsidRPr="00503070">
        <w:rPr>
          <w:rFonts w:ascii="Arial" w:hAnsi="Arial" w:cs="Arial"/>
          <w:sz w:val="22"/>
          <w:szCs w:val="22"/>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p>
    <w:p w14:paraId="00C2D617" w14:textId="77777777" w:rsidR="0015777E" w:rsidRPr="00503070" w:rsidRDefault="0015777E" w:rsidP="001E17AF">
      <w:pPr>
        <w:numPr>
          <w:ilvl w:val="0"/>
          <w:numId w:val="41"/>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Invite</w:t>
      </w:r>
      <w:r w:rsidRPr="00503070">
        <w:rPr>
          <w:rFonts w:ascii="Arial" w:hAnsi="Arial" w:cs="Arial"/>
          <w:sz w:val="22"/>
          <w:szCs w:val="22"/>
        </w:rPr>
        <w:t xml:space="preserve"> l’État partie demandeur à utiliser le formulaire ICH-04-Rapport pour rendre compte de l’utilisation de l’assistance accordée ;</w:t>
      </w:r>
    </w:p>
    <w:p w14:paraId="4D9BCEDA" w14:textId="4EA7240A" w:rsidR="0015777E" w:rsidRPr="00503070" w:rsidRDefault="0015777E" w:rsidP="001E17AF">
      <w:pPr>
        <w:numPr>
          <w:ilvl w:val="0"/>
          <w:numId w:val="41"/>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00615007" w:rsidRPr="00503070">
        <w:rPr>
          <w:rFonts w:ascii="Arial" w:hAnsi="Arial" w:cs="Arial"/>
          <w:bCs/>
          <w:sz w:val="22"/>
          <w:szCs w:val="22"/>
          <w:u w:val="single"/>
        </w:rPr>
        <w:t xml:space="preserve"> également</w:t>
      </w:r>
      <w:r w:rsidRPr="00503070">
        <w:rPr>
          <w:rFonts w:ascii="Arial" w:hAnsi="Arial" w:cs="Arial"/>
          <w:bCs/>
          <w:sz w:val="22"/>
          <w:szCs w:val="22"/>
        </w:rPr>
        <w:t xml:space="preserve"> l’État partie soumissionnaire à suivre les relations claires entre les menaces et les mesures de sauvegarde mises en œuvre afin de réduire l’impact de ces menaces. Par l’application de mesures de sauvegarde, l’élément devrait être adapté ou intégré à la nouvelle réalité socioculturelle et économique contemporaine.</w:t>
      </w:r>
    </w:p>
    <w:p w14:paraId="6D5B5843" w14:textId="77777777" w:rsidR="0015777E" w:rsidRPr="00503070" w:rsidRDefault="0015777E" w:rsidP="00F57031">
      <w:pPr>
        <w:pStyle w:val="COMTitleDecision"/>
        <w:keepNext/>
      </w:pPr>
      <w:r w:rsidRPr="00503070">
        <w:lastRenderedPageBreak/>
        <w:t>DÉCISION 20.COM 7.a.11</w:t>
      </w:r>
    </w:p>
    <w:p w14:paraId="6455EA30" w14:textId="77777777" w:rsidR="0015777E" w:rsidRPr="00503070" w:rsidRDefault="0015777E" w:rsidP="0015777E">
      <w:pPr>
        <w:pStyle w:val="NoSpacing"/>
        <w:keepNext/>
        <w:tabs>
          <w:tab w:val="left" w:pos="567"/>
          <w:tab w:val="left" w:pos="1134"/>
          <w:tab w:val="left" w:pos="1701"/>
          <w:tab w:val="left" w:pos="2268"/>
        </w:tabs>
        <w:spacing w:before="120" w:after="120"/>
        <w:ind w:left="567" w:hanging="567"/>
        <w:jc w:val="both"/>
        <w:rPr>
          <w:rFonts w:ascii="Arial" w:hAnsi="Arial" w:cs="Arial"/>
        </w:rPr>
      </w:pPr>
      <w:r w:rsidRPr="00503070">
        <w:rPr>
          <w:rFonts w:ascii="Arial" w:hAnsi="Arial" w:cs="Arial"/>
        </w:rPr>
        <w:t>Le Comité</w:t>
      </w:r>
    </w:p>
    <w:p w14:paraId="4F062A59" w14:textId="77777777" w:rsidR="0015777E" w:rsidRPr="00503070" w:rsidRDefault="0015777E" w:rsidP="001E17AF">
      <w:pPr>
        <w:numPr>
          <w:ilvl w:val="0"/>
          <w:numId w:val="4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Bélarus a proposé la candidature de </w:t>
      </w:r>
      <w:r w:rsidRPr="00503070">
        <w:rPr>
          <w:rFonts w:ascii="Arial" w:hAnsi="Arial" w:cs="Arial"/>
          <w:b/>
          <w:sz w:val="22"/>
          <w:szCs w:val="22"/>
        </w:rPr>
        <w:t xml:space="preserve">la tradition textile </w:t>
      </w:r>
      <w:proofErr w:type="spellStart"/>
      <w:r w:rsidRPr="00503070">
        <w:rPr>
          <w:rFonts w:ascii="Arial" w:hAnsi="Arial" w:cs="Arial"/>
          <w:b/>
          <w:sz w:val="22"/>
          <w:szCs w:val="22"/>
        </w:rPr>
        <w:t>negliubka</w:t>
      </w:r>
      <w:proofErr w:type="spellEnd"/>
      <w:r w:rsidRPr="00503070">
        <w:rPr>
          <w:rFonts w:ascii="Arial" w:hAnsi="Arial" w:cs="Arial"/>
          <w:b/>
          <w:sz w:val="22"/>
          <w:szCs w:val="22"/>
        </w:rPr>
        <w:t xml:space="preserve"> du district de Vetka dans la région de Gomel</w:t>
      </w:r>
      <w:r w:rsidRPr="00503070">
        <w:rPr>
          <w:rFonts w:ascii="Arial" w:hAnsi="Arial" w:cs="Arial"/>
          <w:sz w:val="22"/>
          <w:szCs w:val="22"/>
        </w:rPr>
        <w:t xml:space="preserve"> (n° 02088) pour inscription sur la Liste du patrimoine culturel immatériel nécessitant une sauvegarde urgente :</w:t>
      </w:r>
    </w:p>
    <w:p w14:paraId="3A937C49" w14:textId="77777777" w:rsidR="0015777E" w:rsidRPr="00503070" w:rsidRDefault="0015777E" w:rsidP="0015777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tradition textile </w:t>
      </w:r>
      <w:proofErr w:type="spellStart"/>
      <w:r w:rsidRPr="00503070">
        <w:rPr>
          <w:rFonts w:ascii="Arial" w:hAnsi="Arial" w:cs="Arial"/>
          <w:sz w:val="22"/>
          <w:szCs w:val="22"/>
        </w:rPr>
        <w:t>negliubka</w:t>
      </w:r>
      <w:proofErr w:type="spellEnd"/>
      <w:r w:rsidRPr="00503070">
        <w:rPr>
          <w:rFonts w:ascii="Arial" w:hAnsi="Arial" w:cs="Arial"/>
          <w:sz w:val="22"/>
          <w:szCs w:val="22"/>
        </w:rPr>
        <w:t xml:space="preserve"> est une pratique de tissage et de broderie observée par une communauté rurale dans la région de Gomel. Elle comprend la création de serviettes et de vêtements tissés à l’aide de diverses techniques telles que le tissage au point de croix et la broderie. Les serviettes </w:t>
      </w:r>
      <w:proofErr w:type="spellStart"/>
      <w:r w:rsidRPr="00503070">
        <w:rPr>
          <w:rFonts w:ascii="Arial" w:hAnsi="Arial" w:cs="Arial"/>
          <w:sz w:val="22"/>
          <w:szCs w:val="22"/>
        </w:rPr>
        <w:t>negliubka</w:t>
      </w:r>
      <w:proofErr w:type="spellEnd"/>
      <w:r w:rsidRPr="00503070">
        <w:rPr>
          <w:rFonts w:ascii="Arial" w:hAnsi="Arial" w:cs="Arial"/>
          <w:sz w:val="22"/>
          <w:szCs w:val="22"/>
        </w:rPr>
        <w:t xml:space="preserve"> sont richement ornées de combinaisons de couleurs complexes, de motifs géométriques et floraux et de franges décoratives, tandis que la tenue traditionnelle se caractérise par une chemise blanche ornée, des tabliers, un châle tissé et des accessoires. Le travail est principalement effectué par des femmes, bien que les hommes puissent également y contribuer. </w:t>
      </w:r>
    </w:p>
    <w:p w14:paraId="4713E232" w14:textId="77777777" w:rsidR="0015777E" w:rsidRPr="00503070" w:rsidRDefault="0015777E" w:rsidP="001E17AF">
      <w:pPr>
        <w:keepNext/>
        <w:numPr>
          <w:ilvl w:val="0"/>
          <w:numId w:val="40"/>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du patrimoine culturel immatériel nécessitant une sauvegarde urgente comme suit :</w:t>
      </w:r>
    </w:p>
    <w:p w14:paraId="60D984A9"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U.1 :</w:t>
      </w:r>
      <w:r w:rsidRPr="00503070">
        <w:rPr>
          <w:rFonts w:ascii="Arial" w:hAnsi="Arial" w:cs="Arial"/>
          <w:color w:val="000000" w:themeColor="text1"/>
          <w:sz w:val="22"/>
          <w:szCs w:val="22"/>
        </w:rPr>
        <w:tab/>
        <w:t xml:space="preserve">Les connaissances et les compétences liées à l’élément sont généralement transmises au sein des familles, en particulier des grands-mères et des mères à leurs filles. La transmission se fait également dans des cadres formels, tels que les centres d’artisanat locaux et les musées, qui organisent des expositions, des ateliers et des formations. La tradition textile </w:t>
      </w:r>
      <w:proofErr w:type="spellStart"/>
      <w:r w:rsidRPr="00503070">
        <w:rPr>
          <w:rFonts w:ascii="Arial" w:hAnsi="Arial" w:cs="Arial"/>
          <w:color w:val="000000" w:themeColor="text1"/>
          <w:sz w:val="22"/>
          <w:szCs w:val="22"/>
        </w:rPr>
        <w:t>negliubka</w:t>
      </w:r>
      <w:proofErr w:type="spellEnd"/>
      <w:r w:rsidRPr="00503070">
        <w:rPr>
          <w:rFonts w:ascii="Arial" w:hAnsi="Arial" w:cs="Arial"/>
          <w:color w:val="000000" w:themeColor="text1"/>
          <w:sz w:val="22"/>
          <w:szCs w:val="22"/>
        </w:rPr>
        <w:t xml:space="preserve"> est un symbole fort de l’identité de la communauté et de la fierté culturelle. Elle contribue à l’économie locale en attirant des visiteurs et en suscitant l’intérêt des institutions culturelles et universitaires.</w:t>
      </w:r>
    </w:p>
    <w:p w14:paraId="13C321D6"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U.2 :</w:t>
      </w:r>
      <w:r w:rsidRPr="00503070">
        <w:rPr>
          <w:rFonts w:ascii="Arial" w:hAnsi="Arial" w:cs="Arial"/>
          <w:color w:val="000000" w:themeColor="text1"/>
          <w:sz w:val="22"/>
          <w:szCs w:val="22"/>
        </w:rPr>
        <w:tab/>
        <w:t>La tradition textile est aujourd’hui menacée par la disponibilité de technologies plus simples et plus rapides, ainsi que par le manque de sensibilisation et de formation du public. Les praticiens vieillissent peu à peu, et ont moins de personnes à qui transmettre leurs connaissances, tandis que les jeunes s’installent de plus en plus dans les villes.</w:t>
      </w:r>
    </w:p>
    <w:p w14:paraId="3FF5CB6F"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U.3 :</w:t>
      </w:r>
      <w:r w:rsidRPr="00503070">
        <w:rPr>
          <w:rFonts w:ascii="Arial" w:hAnsi="Arial" w:cs="Arial"/>
          <w:color w:val="000000" w:themeColor="text1"/>
          <w:sz w:val="22"/>
          <w:szCs w:val="22"/>
        </w:rPr>
        <w:tab/>
        <w:t xml:space="preserve">Le plan de sauvegarde a trois objectifs : (a) la sensibilisation du public, de la communauté et des autres parties prenantes à l’importance de l’élément et au besoin urgent de le sauvegarder ; (b) le soutien à l’émergence d’une nouvelle génération d’artisans au sein de la communauté ; et (c) la description et la documentation d’échantillons et des techniques utilisés dans le processus de tissage traditionnel. </w:t>
      </w:r>
    </w:p>
    <w:p w14:paraId="538A401C"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U.4 :</w:t>
      </w:r>
      <w:r w:rsidRPr="00503070">
        <w:rPr>
          <w:rFonts w:ascii="Arial" w:hAnsi="Arial" w:cs="Arial"/>
          <w:color w:val="000000" w:themeColor="text1"/>
          <w:sz w:val="22"/>
          <w:szCs w:val="22"/>
        </w:rPr>
        <w:tab/>
        <w:t>Les détenteurs de l’élément culturel ont participé au processus de formulation de la demande de candidature et à la production de la documentation pour le dossier de candidature. Ce processus a été lancé en 2021 et a donné lieu à des réunions, des enquêtes sur le terrain et des discussions organisées par un comité exécutif, avec une large participation d’individus, de groupes et de communautés.</w:t>
      </w:r>
    </w:p>
    <w:p w14:paraId="79CA4364" w14:textId="77777777" w:rsidR="0015777E" w:rsidRPr="00503070" w:rsidRDefault="0015777E" w:rsidP="0015777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U.5 :</w:t>
      </w:r>
      <w:r w:rsidRPr="00503070">
        <w:rPr>
          <w:rFonts w:ascii="Arial" w:hAnsi="Arial" w:cs="Arial"/>
          <w:color w:val="000000" w:themeColor="text1"/>
          <w:sz w:val="22"/>
          <w:szCs w:val="22"/>
        </w:rPr>
        <w:tab/>
        <w:t>L’élément a été inclus dans la liste nationale des valeurs historiques et culturelles de la République du Bélarus et dans le registre national du patrimoine culturel immatériel du Bélarus. Des informations sur la mise à jour des inventaires et des détails sur l’implication des communautés dans le processus d’inventaire sont inclus dans le rapport périodique soumis en 2021.</w:t>
      </w:r>
    </w:p>
    <w:p w14:paraId="5F884FA2"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tradition textile </w:t>
      </w:r>
      <w:proofErr w:type="spellStart"/>
      <w:r w:rsidRPr="00503070">
        <w:rPr>
          <w:rFonts w:ascii="Arial" w:hAnsi="Arial" w:cs="Arial"/>
          <w:b/>
          <w:sz w:val="22"/>
          <w:szCs w:val="22"/>
        </w:rPr>
        <w:t>negliubka</w:t>
      </w:r>
      <w:proofErr w:type="spellEnd"/>
      <w:r w:rsidRPr="00503070">
        <w:rPr>
          <w:rFonts w:ascii="Arial" w:hAnsi="Arial" w:cs="Arial"/>
          <w:b/>
          <w:sz w:val="22"/>
          <w:szCs w:val="22"/>
        </w:rPr>
        <w:t xml:space="preserve"> du district de Vetka dans la région de Gomel</w:t>
      </w:r>
      <w:r w:rsidRPr="00503070">
        <w:rPr>
          <w:rFonts w:ascii="Arial" w:hAnsi="Arial" w:cs="Arial"/>
          <w:sz w:val="22"/>
          <w:szCs w:val="22"/>
        </w:rPr>
        <w:t xml:space="preserve"> sur la Liste du patrimoine culturel immatériel nécessitant une sauvegarde urgente ;</w:t>
      </w:r>
    </w:p>
    <w:p w14:paraId="0B63E0E2"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Encourage</w:t>
      </w:r>
      <w:r w:rsidRPr="00503070">
        <w:rPr>
          <w:rFonts w:ascii="Arial" w:hAnsi="Arial" w:cs="Arial"/>
          <w:sz w:val="22"/>
          <w:szCs w:val="22"/>
        </w:rPr>
        <w:t xml:space="preserve"> l’État partie soumissionnaire à mettre en œuvre un plan de sauvegarde, en impliquant les communautés dans sa mise en œuvre et le suivi de ses résultats, davantage axé sur la menace spécifique et concrète liée à l’élément et la résolution des problèmes, en cherchant à trouver les moyens d’adapter ou d’intégrer l’élément dans la nouvelle réalité socioculturelle et économique contemporaine ;</w:t>
      </w:r>
    </w:p>
    <w:p w14:paraId="11B6E837"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Prend note en outre</w:t>
      </w:r>
      <w:r w:rsidRPr="00503070">
        <w:rPr>
          <w:rFonts w:ascii="Arial" w:hAnsi="Arial" w:cs="Arial"/>
          <w:sz w:val="22"/>
          <w:szCs w:val="22"/>
        </w:rPr>
        <w:t xml:space="preserve"> que le Bélarus a demandé une assistance internationale du Fonds du patrimoine culturel immatériel d’un montant de 90 282 dollars des États-Unis pour la mise en œuvre du plan de sauvegarde pour </w:t>
      </w:r>
      <w:r w:rsidRPr="00503070">
        <w:rPr>
          <w:rFonts w:ascii="Arial" w:hAnsi="Arial" w:cs="Arial"/>
          <w:b/>
          <w:sz w:val="22"/>
          <w:szCs w:val="22"/>
        </w:rPr>
        <w:t xml:space="preserve">la tradition textile </w:t>
      </w:r>
      <w:proofErr w:type="spellStart"/>
      <w:r w:rsidRPr="00503070">
        <w:rPr>
          <w:rFonts w:ascii="Arial" w:hAnsi="Arial" w:cs="Arial"/>
          <w:b/>
          <w:sz w:val="22"/>
          <w:szCs w:val="22"/>
        </w:rPr>
        <w:t>negliubka</w:t>
      </w:r>
      <w:proofErr w:type="spellEnd"/>
      <w:r w:rsidRPr="00503070">
        <w:rPr>
          <w:rFonts w:ascii="Arial" w:hAnsi="Arial" w:cs="Arial"/>
          <w:b/>
          <w:sz w:val="22"/>
          <w:szCs w:val="22"/>
        </w:rPr>
        <w:t xml:space="preserve"> du district de Vetka dans la région de Gomel </w:t>
      </w:r>
      <w:r w:rsidRPr="00503070">
        <w:rPr>
          <w:rFonts w:ascii="Arial" w:hAnsi="Arial" w:cs="Arial"/>
          <w:sz w:val="22"/>
          <w:szCs w:val="22"/>
        </w:rPr>
        <w:t>(n° 02342) :</w:t>
      </w:r>
    </w:p>
    <w:p w14:paraId="30F73C9B" w14:textId="77777777" w:rsidR="0015777E" w:rsidRPr="00503070" w:rsidRDefault="0015777E" w:rsidP="0015777E">
      <w:pPr>
        <w:tabs>
          <w:tab w:val="left" w:pos="1701"/>
          <w:tab w:val="left" w:pos="2268"/>
        </w:tabs>
        <w:spacing w:before="120" w:after="120"/>
        <w:ind w:left="567"/>
        <w:jc w:val="both"/>
        <w:rPr>
          <w:rFonts w:ascii="Arial" w:hAnsi="Arial" w:cs="Arial"/>
          <w:bCs/>
          <w:sz w:val="22"/>
          <w:szCs w:val="22"/>
        </w:rPr>
      </w:pPr>
      <w:r w:rsidRPr="00503070">
        <w:rPr>
          <w:rFonts w:ascii="Arial" w:hAnsi="Arial" w:cs="Arial"/>
          <w:sz w:val="22"/>
          <w:szCs w:val="22"/>
        </w:rPr>
        <w:t xml:space="preserve">Mis en œuvre par le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de la République du Bélarus, ce projet de trente-six mois vise à sauvegarder ainsi qu’à faire connaître la tradition textile </w:t>
      </w:r>
      <w:proofErr w:type="spellStart"/>
      <w:r w:rsidRPr="00503070">
        <w:rPr>
          <w:rFonts w:ascii="Arial" w:hAnsi="Arial" w:cs="Arial"/>
          <w:sz w:val="22"/>
          <w:szCs w:val="22"/>
        </w:rPr>
        <w:t>negliubka</w:t>
      </w:r>
      <w:proofErr w:type="spellEnd"/>
      <w:r w:rsidRPr="00503070">
        <w:rPr>
          <w:rFonts w:ascii="Arial" w:hAnsi="Arial" w:cs="Arial"/>
          <w:sz w:val="22"/>
          <w:szCs w:val="22"/>
        </w:rPr>
        <w:t xml:space="preserve">, une pratique traditionnelle de tissage et de broderie observée exclusivement par les femmes. Outre la sensibilisation à la </w:t>
      </w:r>
      <w:proofErr w:type="spellStart"/>
      <w:r w:rsidRPr="00503070">
        <w:rPr>
          <w:rFonts w:ascii="Arial" w:hAnsi="Arial" w:cs="Arial"/>
          <w:sz w:val="22"/>
          <w:szCs w:val="22"/>
        </w:rPr>
        <w:t>negliubka</w:t>
      </w:r>
      <w:proofErr w:type="spellEnd"/>
      <w:r w:rsidRPr="00503070">
        <w:rPr>
          <w:rFonts w:ascii="Arial" w:hAnsi="Arial" w:cs="Arial"/>
          <w:sz w:val="22"/>
          <w:szCs w:val="22"/>
        </w:rPr>
        <w:t xml:space="preserve"> et le renforcement de l’identité régionale, le projet se concentrera sur la diffusion de connaissances pratiques relatives à cet élément. Il sera mis en œuvre dans la région de Gomel et visera à identifier ainsi qu’à soutenir les centres de tissage existants par le biais d’une aide en nature et d’une formation, à créer des possibilités d’apprentissage à distance des techniques traditionnelles de tissage à la main, à mener des recherches sur le terrain et à élaborer une publication sur les différents types de modèles et de techniques de tissage. Le projet comprendra également l’organisation d’un festival et d’un programme de cours d’été, la création d’un centre du patrimoine culturel immatériel et la coordination de séminaires de développement professionnel. En plus de contribuer à la viabilité de la tradition textile </w:t>
      </w:r>
      <w:proofErr w:type="spellStart"/>
      <w:r w:rsidRPr="00503070">
        <w:rPr>
          <w:rFonts w:ascii="Arial" w:hAnsi="Arial" w:cs="Arial"/>
          <w:sz w:val="22"/>
          <w:szCs w:val="22"/>
        </w:rPr>
        <w:t>negliubka</w:t>
      </w:r>
      <w:proofErr w:type="spellEnd"/>
      <w:r w:rsidRPr="00503070">
        <w:rPr>
          <w:rFonts w:ascii="Arial" w:hAnsi="Arial" w:cs="Arial"/>
          <w:sz w:val="22"/>
          <w:szCs w:val="22"/>
        </w:rPr>
        <w:t>, ce projet devrait accroître le potentiel créatif et socio-économique des communautés locales tout en motivant les jeunes à prendre part à cette pratique. Il permettra également d’accroître la popularité de la tradition et de faciliter son intégration dans les systèmes éducatifs formels et informels, tout en attirant l’attention de la communauté internationale et en soutenant le plan de conservation et la stratégie de développement durable de la région.</w:t>
      </w:r>
    </w:p>
    <w:p w14:paraId="17DCC9BF"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demande satisfait aux critères d’octroi de l’assistance internationale énoncés aux paragraphes 10 et 12 des Directives opérationnelles comme suit :</w:t>
      </w:r>
    </w:p>
    <w:p w14:paraId="0C346A26" w14:textId="77777777" w:rsidR="0015777E" w:rsidRPr="00503070" w:rsidRDefault="0015777E" w:rsidP="0015777E">
      <w:pPr>
        <w:pStyle w:val="Style1"/>
        <w:tabs>
          <w:tab w:val="clear" w:pos="1134"/>
        </w:tabs>
        <w:ind w:left="1134" w:hanging="567"/>
        <w:rPr>
          <w:color w:val="000000" w:themeColor="text1"/>
          <w:lang w:val="fr-FR"/>
        </w:rPr>
      </w:pPr>
      <w:r w:rsidRPr="00503070">
        <w:rPr>
          <w:lang w:val="fr-FR"/>
        </w:rPr>
        <w:t>A.3 :</w:t>
      </w:r>
      <w:r w:rsidRPr="00503070">
        <w:rPr>
          <w:color w:val="000000" w:themeColor="text1"/>
          <w:lang w:val="fr-FR"/>
        </w:rPr>
        <w:tab/>
        <w:t xml:space="preserve">Plusieurs activités ont été définies pour atteindre les trois objectifs centraux du projet. Ces activités sont mesurables et réalisables, et se concentrent sur </w:t>
      </w:r>
      <w:proofErr w:type="gramStart"/>
      <w:r w:rsidRPr="00503070">
        <w:rPr>
          <w:color w:val="000000" w:themeColor="text1"/>
          <w:lang w:val="fr-FR"/>
        </w:rPr>
        <w:t>les femmes maîtres</w:t>
      </w:r>
      <w:proofErr w:type="gramEnd"/>
      <w:r w:rsidRPr="00503070">
        <w:rPr>
          <w:color w:val="000000" w:themeColor="text1"/>
          <w:lang w:val="fr-FR"/>
        </w:rPr>
        <w:t xml:space="preserve"> de l’élément. Cette approche augmente les chances d’engagement et de réussite des actions proposées.</w:t>
      </w:r>
    </w:p>
    <w:p w14:paraId="51D8EB67"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A.4 :</w:t>
      </w:r>
      <w:r w:rsidRPr="00503070">
        <w:rPr>
          <w:color w:val="000000" w:themeColor="text1"/>
          <w:lang w:val="fr-FR"/>
        </w:rPr>
        <w:tab/>
        <w:t>Le projet a été conçu de sorte à fournir une base au développement durable des communautés locales et pour soutenir la viabilité de l’élément, en renouvelant l’intérêt pour la production textile artisanale et en promouvant la reconnaissance de l’élément en tant que symbole de l’identité locale au niveau international. Grâce aux activités visant à renforcer les capacités de la société civile et des groupes de parties prenantes, les mesures de sauvegarde devraient se poursuivre de manière indépendante à l’avenir, sans nécessiter d’aide financière extérieure supplémentaire.</w:t>
      </w:r>
    </w:p>
    <w:p w14:paraId="09CB9FB8"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A.5 :</w:t>
      </w:r>
      <w:r w:rsidRPr="00503070">
        <w:rPr>
          <w:color w:val="000000" w:themeColor="text1"/>
          <w:lang w:val="fr-FR"/>
        </w:rPr>
        <w:tab/>
        <w:t>L’État partie demandeur supportera en partie le coût des activités pour lesquelles l’assistance est demandée, dans la limite de ses ressources. Le budget distingue clairement le montant demandé au Fonds du patrimoine culturel immatériel et la contribution de l’État partie.</w:t>
      </w:r>
    </w:p>
    <w:p w14:paraId="63BB0C64"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A.6 :</w:t>
      </w:r>
      <w:r w:rsidRPr="00503070">
        <w:rPr>
          <w:color w:val="000000" w:themeColor="text1"/>
          <w:lang w:val="fr-FR"/>
        </w:rPr>
        <w:tab/>
        <w:t>Une attention particulière est accordée au renforcement des capacités locales et de la motivation des communautés, qui sont essentielles pour la transmission de la pratique aux jeunes générations.</w:t>
      </w:r>
    </w:p>
    <w:p w14:paraId="19D73B29" w14:textId="77777777" w:rsidR="0015777E" w:rsidRPr="00503070" w:rsidRDefault="0015777E" w:rsidP="0015777E">
      <w:pPr>
        <w:pStyle w:val="Style1"/>
        <w:tabs>
          <w:tab w:val="clear" w:pos="1134"/>
        </w:tabs>
        <w:ind w:left="1134" w:hanging="567"/>
        <w:rPr>
          <w:color w:val="000000" w:themeColor="text1"/>
          <w:lang w:val="fr-FR"/>
        </w:rPr>
      </w:pPr>
      <w:r w:rsidRPr="00503070">
        <w:rPr>
          <w:color w:val="000000" w:themeColor="text1"/>
          <w:lang w:val="fr-FR"/>
        </w:rPr>
        <w:t xml:space="preserve">A.7 : L’État partie a bénéficié de l’assistance internationale du Fonds du patrimoine culturel immatériel pour deux projets achevés : (a) « Établissement de l’inventaire national du patrimoine culturel immatériel au Belarus » (133 600 dollars des États-Unis ; décembre 2011 – octobre 2013) et (b) la mise en œuvre du plan de sauvegarde pour « Le rite du printemps de </w:t>
      </w:r>
      <w:proofErr w:type="spellStart"/>
      <w:r w:rsidRPr="00503070">
        <w:rPr>
          <w:color w:val="000000" w:themeColor="text1"/>
          <w:lang w:val="fr-FR"/>
        </w:rPr>
        <w:t>Juraŭski</w:t>
      </w:r>
      <w:proofErr w:type="spellEnd"/>
      <w:r w:rsidRPr="00503070">
        <w:rPr>
          <w:color w:val="000000" w:themeColor="text1"/>
          <w:lang w:val="fr-FR"/>
        </w:rPr>
        <w:t xml:space="preserve"> </w:t>
      </w:r>
      <w:proofErr w:type="spellStart"/>
      <w:r w:rsidRPr="00503070">
        <w:rPr>
          <w:color w:val="000000" w:themeColor="text1"/>
          <w:lang w:val="fr-FR"/>
        </w:rPr>
        <w:t>Karahod</w:t>
      </w:r>
      <w:proofErr w:type="spellEnd"/>
      <w:r w:rsidRPr="00503070">
        <w:rPr>
          <w:color w:val="000000" w:themeColor="text1"/>
          <w:lang w:val="fr-FR"/>
        </w:rPr>
        <w:t xml:space="preserve"> » (87 761 dollars des États-Unis, décembre 2020 – juin 2024). Les travaux stipulés dans les contrats relatifs à ces projets ont été et sont réalisés conformément aux règlementations de l’UNESCO.</w:t>
      </w:r>
    </w:p>
    <w:p w14:paraId="71055DC5" w14:textId="77777777" w:rsidR="0015777E" w:rsidRPr="00503070" w:rsidRDefault="0015777E" w:rsidP="0015777E">
      <w:pPr>
        <w:pStyle w:val="Style1"/>
        <w:tabs>
          <w:tab w:val="clear" w:pos="1134"/>
        </w:tabs>
        <w:ind w:left="567"/>
        <w:rPr>
          <w:lang w:val="fr-FR"/>
        </w:rPr>
      </w:pPr>
      <w:r w:rsidRPr="00503070">
        <w:rPr>
          <w:lang w:val="fr-FR"/>
        </w:rPr>
        <w:lastRenderedPageBreak/>
        <w:t>Paragraphe 10 (a) :</w:t>
      </w:r>
      <w:r w:rsidRPr="00503070">
        <w:rPr>
          <w:color w:val="000000" w:themeColor="text1"/>
          <w:lang w:val="fr-FR"/>
        </w:rPr>
        <w:t xml:space="preserve"> Le projet démontre l’existence d’un cadre de coordination local et national solide pour la sauvegarde de l’élément, avec une implication claire des autorités locales, des institutions culturelles et des membres de la communauté.</w:t>
      </w:r>
    </w:p>
    <w:p w14:paraId="75EB5283" w14:textId="77777777" w:rsidR="0015777E" w:rsidRPr="00503070" w:rsidRDefault="0015777E" w:rsidP="0015777E">
      <w:pPr>
        <w:pStyle w:val="Style1"/>
        <w:tabs>
          <w:tab w:val="clear" w:pos="1134"/>
        </w:tabs>
        <w:ind w:left="567"/>
        <w:rPr>
          <w:lang w:val="fr-FR"/>
        </w:rPr>
      </w:pPr>
      <w:r w:rsidRPr="00503070">
        <w:rPr>
          <w:lang w:val="fr-FR"/>
        </w:rPr>
        <w:t>Paragraphe 10 (b) :</w:t>
      </w:r>
      <w:r w:rsidRPr="00503070">
        <w:rPr>
          <w:color w:val="000000" w:themeColor="text1"/>
          <w:lang w:val="fr-FR"/>
        </w:rPr>
        <w:t xml:space="preserve"> L’assistance fournie peut encourager des contributions techniques ou financières supplémentaires de la part de parties prenantes publiques ou privées, dans la mesure où le projet s’inscrit dans la stratégie de développement régional.</w:t>
      </w:r>
    </w:p>
    <w:p w14:paraId="5FC966D8" w14:textId="77777777" w:rsidR="0015777E" w:rsidRPr="00503070" w:rsidRDefault="0015777E" w:rsidP="001E17AF">
      <w:pPr>
        <w:pStyle w:val="ListParagraph"/>
        <w:numPr>
          <w:ilvl w:val="0"/>
          <w:numId w:val="40"/>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demande répond aux critères suivants d’octroi de l’assistance internationale comme suit :</w:t>
      </w:r>
    </w:p>
    <w:p w14:paraId="4C7B6507" w14:textId="77777777" w:rsidR="0015777E" w:rsidRPr="00503070" w:rsidRDefault="0015777E" w:rsidP="009D41CE">
      <w:pPr>
        <w:pStyle w:val="Style1"/>
        <w:tabs>
          <w:tab w:val="clear" w:pos="1134"/>
        </w:tabs>
        <w:ind w:left="1134" w:hanging="567"/>
        <w:rPr>
          <w:lang w:val="fr-FR"/>
        </w:rPr>
      </w:pPr>
      <w:r w:rsidRPr="00503070">
        <w:rPr>
          <w:lang w:val="fr-FR"/>
        </w:rPr>
        <w:t>A.1 : Le dossier illustre l’implication de la communauté dans le processus de candidature, tels que les organisations locales, les femmes, les jeunes filles et les artisans ayant participé activement à la conception du projet. Les praticiens ont initié le consentement de la communauté, ont contribué à des études expéditionnaires, ont fourni des objets tissés traditionnels pour les collections d’institutions publiques et ont été des consultants réguliers pour des projets et des événements consacrés à l’élément. Bien que l’État partie affirme que les communautés concernées seront impliquées dans le plan de sauvegarde, en organisant des sessions de formation, des festivals et des activités de renforcement des capacités, il n’y a aucune information sur la manière dont elles seront impliquées dans les processus de suivi ou dans l’évaluation des résultats des activités proposées.</w:t>
      </w:r>
    </w:p>
    <w:p w14:paraId="34DFA159" w14:textId="77777777" w:rsidR="0015777E" w:rsidRPr="00503070" w:rsidRDefault="0015777E" w:rsidP="009D41CE">
      <w:pPr>
        <w:pStyle w:val="Style1"/>
        <w:tabs>
          <w:tab w:val="clear" w:pos="1134"/>
        </w:tabs>
        <w:ind w:left="1134" w:hanging="567"/>
        <w:rPr>
          <w:bCs/>
          <w:lang w:val="fr-FR"/>
        </w:rPr>
      </w:pPr>
      <w:r w:rsidRPr="00503070">
        <w:rPr>
          <w:lang w:val="fr-FR"/>
        </w:rPr>
        <w:t>A.2 : Le budget prévu pour le projet de sauvegarde reflète un plan financier clair et cohérent. Il alloue des fonds à des activités clés qui sont essentielles à la réussite du projet, telles que la mise à niveau de l’équipement, l’organisation d’ateliers et la promotion de la tradition par le biais de festivals.</w:t>
      </w:r>
    </w:p>
    <w:p w14:paraId="023DAB14"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d’approuver</w:t>
      </w:r>
      <w:r w:rsidRPr="00503070">
        <w:rPr>
          <w:rFonts w:ascii="Arial" w:hAnsi="Arial" w:cs="Arial"/>
          <w:sz w:val="22"/>
          <w:szCs w:val="22"/>
        </w:rPr>
        <w:t xml:space="preserve"> la demande d’assistance internationale du Bélarus pour la mise en œuvre du plan de sauvegarde pour </w:t>
      </w:r>
      <w:r w:rsidRPr="00503070">
        <w:rPr>
          <w:rFonts w:ascii="Arial" w:hAnsi="Arial" w:cs="Arial"/>
          <w:b/>
          <w:sz w:val="22"/>
          <w:szCs w:val="22"/>
        </w:rPr>
        <w:t xml:space="preserve">la tradition textile </w:t>
      </w:r>
      <w:proofErr w:type="spellStart"/>
      <w:r w:rsidRPr="00503070">
        <w:rPr>
          <w:rFonts w:ascii="Arial" w:hAnsi="Arial" w:cs="Arial"/>
          <w:b/>
          <w:sz w:val="22"/>
          <w:szCs w:val="22"/>
        </w:rPr>
        <w:t>negliubka</w:t>
      </w:r>
      <w:proofErr w:type="spellEnd"/>
      <w:r w:rsidRPr="00503070">
        <w:rPr>
          <w:rFonts w:ascii="Arial" w:hAnsi="Arial" w:cs="Arial"/>
          <w:b/>
          <w:sz w:val="22"/>
          <w:szCs w:val="22"/>
        </w:rPr>
        <w:t xml:space="preserve"> du district de Vetka dans la région de Gomel</w:t>
      </w:r>
      <w:r w:rsidRPr="00503070">
        <w:rPr>
          <w:rFonts w:ascii="Arial" w:hAnsi="Arial" w:cs="Arial"/>
          <w:sz w:val="22"/>
          <w:szCs w:val="22"/>
        </w:rPr>
        <w:t xml:space="preserve"> et </w:t>
      </w:r>
      <w:r w:rsidRPr="00503070">
        <w:rPr>
          <w:rFonts w:ascii="Arial" w:hAnsi="Arial" w:cs="Arial"/>
          <w:sz w:val="22"/>
          <w:szCs w:val="22"/>
          <w:u w:val="single"/>
        </w:rPr>
        <w:t>accorde</w:t>
      </w:r>
      <w:r w:rsidRPr="00503070">
        <w:rPr>
          <w:rFonts w:ascii="Arial" w:hAnsi="Arial" w:cs="Arial"/>
          <w:sz w:val="22"/>
          <w:szCs w:val="22"/>
        </w:rPr>
        <w:t xml:space="preserve"> le montant de 90 282 dollars des États-Unis à l’État partie à cette fin ;</w:t>
      </w:r>
    </w:p>
    <w:p w14:paraId="12D8C648"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Demande</w:t>
      </w:r>
      <w:r w:rsidRPr="00503070">
        <w:rPr>
          <w:rFonts w:ascii="Arial" w:hAnsi="Arial" w:cs="Arial"/>
          <w:sz w:val="22"/>
          <w:szCs w:val="22"/>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p>
    <w:p w14:paraId="213B6B7D"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Invite</w:t>
      </w:r>
      <w:r w:rsidRPr="00503070">
        <w:rPr>
          <w:rFonts w:ascii="Arial" w:hAnsi="Arial" w:cs="Arial"/>
          <w:sz w:val="22"/>
          <w:szCs w:val="22"/>
        </w:rPr>
        <w:t xml:space="preserve"> l’État partie demandeur à utiliser le formulaire ICH-04-Rapport pour rendre compte de l’utilisation de l’assistance accordée ;</w:t>
      </w:r>
    </w:p>
    <w:p w14:paraId="7F974EC8" w14:textId="77777777"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soumissionnaire d’avoir reconnu l’importance de l’engagement des jeunes dans les efforts de sauvegarde ;</w:t>
      </w:r>
    </w:p>
    <w:p w14:paraId="6AB64D95" w14:textId="620E92D0" w:rsidR="0015777E" w:rsidRPr="00503070" w:rsidRDefault="001577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Encourage</w:t>
      </w:r>
      <w:r w:rsidR="009E629E" w:rsidRPr="00503070">
        <w:rPr>
          <w:rFonts w:ascii="Arial" w:hAnsi="Arial" w:cs="Arial"/>
          <w:sz w:val="22"/>
          <w:szCs w:val="22"/>
          <w:u w:val="single"/>
        </w:rPr>
        <w:t xml:space="preserve"> en outre</w:t>
      </w:r>
      <w:r w:rsidRPr="00503070">
        <w:rPr>
          <w:rFonts w:ascii="Arial" w:hAnsi="Arial" w:cs="Arial"/>
          <w:sz w:val="22"/>
          <w:szCs w:val="22"/>
        </w:rPr>
        <w:t xml:space="preserve"> l’État partie soumissionnaire à garantir la participation de la communauté à toutes les étapes de la sauvegarde (lancement, activités, suivi)</w:t>
      </w:r>
      <w:r w:rsidR="009E629E" w:rsidRPr="00503070">
        <w:rPr>
          <w:rFonts w:ascii="Arial" w:hAnsi="Arial" w:cs="Arial"/>
          <w:sz w:val="22"/>
          <w:szCs w:val="22"/>
        </w:rPr>
        <w:t> ;</w:t>
      </w:r>
    </w:p>
    <w:p w14:paraId="28FACE29" w14:textId="77777777" w:rsidR="00D97B7E" w:rsidRPr="00503070" w:rsidRDefault="00D97B7E" w:rsidP="001E17AF">
      <w:pPr>
        <w:numPr>
          <w:ilvl w:val="0"/>
          <w:numId w:val="40"/>
        </w:numPr>
        <w:tabs>
          <w:tab w:val="left" w:pos="567"/>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l’élément peut être partagé par des communautés dans la région et au-delà, et </w:t>
      </w:r>
      <w:r w:rsidRPr="00503070">
        <w:rPr>
          <w:rFonts w:ascii="Arial" w:hAnsi="Arial" w:cs="Arial"/>
          <w:sz w:val="22"/>
          <w:szCs w:val="22"/>
          <w:u w:val="single"/>
        </w:rPr>
        <w:t>réaffirme</w:t>
      </w:r>
      <w:r w:rsidRPr="00503070">
        <w:rPr>
          <w:rFonts w:ascii="Arial" w:hAnsi="Arial" w:cs="Arial"/>
          <w:sz w:val="22"/>
          <w:szCs w:val="22"/>
        </w:rPr>
        <w:t xml:space="preserve"> que l’inscription sur les Listes de la Convention n’implique aucune origine, appropriation exclusive ou propriété intellectuelle du patrimoine culturel immatériel.</w:t>
      </w:r>
    </w:p>
    <w:p w14:paraId="095B3A05" w14:textId="77777777" w:rsidR="00B94C05" w:rsidRPr="00503070" w:rsidRDefault="00B94C05" w:rsidP="00B94C05">
      <w:pPr>
        <w:pStyle w:val="Heading1"/>
      </w:pPr>
      <w:r w:rsidRPr="00503070">
        <w:t>DÉCISION 20.COM 7.b.1</w:t>
      </w:r>
    </w:p>
    <w:p w14:paraId="0BCD78DC"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4A23562" w14:textId="77777777" w:rsidR="00B94C05" w:rsidRPr="00503070" w:rsidRDefault="00B94C05" w:rsidP="001E17AF">
      <w:pPr>
        <w:keepNext/>
        <w:numPr>
          <w:ilvl w:val="0"/>
          <w:numId w:val="10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République bolivarienne du Venezuela a proposé la candidature </w:t>
      </w:r>
      <w:bookmarkStart w:id="2" w:name="_Hlk207209131"/>
      <w:r w:rsidRPr="00503070">
        <w:rPr>
          <w:rFonts w:ascii="Arial" w:hAnsi="Arial" w:cs="Arial"/>
          <w:sz w:val="22"/>
          <w:szCs w:val="22"/>
        </w:rPr>
        <w:t>du</w:t>
      </w:r>
      <w:r w:rsidRPr="00503070">
        <w:rPr>
          <w:rFonts w:ascii="Arial" w:hAnsi="Arial" w:cs="Arial"/>
          <w:b/>
          <w:sz w:val="22"/>
          <w:szCs w:val="22"/>
        </w:rPr>
        <w:t xml:space="preserve"> </w:t>
      </w:r>
      <w:proofErr w:type="spellStart"/>
      <w:r w:rsidRPr="00503070">
        <w:rPr>
          <w:rFonts w:ascii="Arial" w:hAnsi="Arial" w:cs="Arial"/>
          <w:b/>
          <w:sz w:val="22"/>
          <w:szCs w:val="22"/>
        </w:rPr>
        <w:t>joropo</w:t>
      </w:r>
      <w:proofErr w:type="spellEnd"/>
      <w:r w:rsidRPr="00503070">
        <w:rPr>
          <w:rFonts w:ascii="Arial" w:hAnsi="Arial" w:cs="Arial"/>
          <w:b/>
          <w:sz w:val="22"/>
          <w:szCs w:val="22"/>
        </w:rPr>
        <w:t xml:space="preserve"> au Venezuela</w:t>
      </w:r>
      <w:bookmarkEnd w:id="2"/>
      <w:r w:rsidRPr="00503070">
        <w:rPr>
          <w:rFonts w:ascii="Arial" w:hAnsi="Arial" w:cs="Arial"/>
          <w:sz w:val="22"/>
          <w:szCs w:val="22"/>
        </w:rPr>
        <w:t xml:space="preserve"> (n° 02092) pour inscription sur la Liste représentative du patrimoine culturel immatériel de l’humanité :</w:t>
      </w:r>
    </w:p>
    <w:p w14:paraId="3DE6E9E9"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est une tradition festive vivante issue de la rencontre entre les populations autochtones, africaines et européennes. Sa pratique varie en fonction de la région : l’Est, le </w:t>
      </w:r>
      <w:proofErr w:type="spellStart"/>
      <w:r w:rsidRPr="00503070">
        <w:rPr>
          <w:rFonts w:ascii="Arial" w:hAnsi="Arial" w:cs="Arial"/>
          <w:sz w:val="22"/>
          <w:szCs w:val="22"/>
        </w:rPr>
        <w:lastRenderedPageBreak/>
        <w:t>Guayana</w:t>
      </w:r>
      <w:proofErr w:type="spellEnd"/>
      <w:r w:rsidRPr="00503070">
        <w:rPr>
          <w:rFonts w:ascii="Arial" w:hAnsi="Arial" w:cs="Arial"/>
          <w:sz w:val="22"/>
          <w:szCs w:val="22"/>
        </w:rPr>
        <w:t xml:space="preserve">, les Andes, le Centre-ouest, le Centre et les Plaines. Il associe musique, poésie, chant et danse, et fait appel à divers instruments tels que la harpe, le cuatro, les maracas, le violon et l’accordéon. Les chants racontent souvent des histoires d’amour, de nature, d’humour ou de la vie quotidienne. La musique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est jouée tout au long de l’année, de manière spontanée ou lors d’événements planifiés. Elle est fréquente lors des fêtes familiales, des rassemblements publics, ainsi que des festivals religieux ou culturels. Il existe une danse de couple correspondante, dans laquelle un homme et une femme se tiennent à distance, en commençant par une position de valse, et suivent des pas et mouvements spécifiques. </w:t>
      </w:r>
    </w:p>
    <w:p w14:paraId="5EA86C67" w14:textId="77777777" w:rsidR="00B94C05" w:rsidRPr="00503070" w:rsidRDefault="00B94C05" w:rsidP="001E17AF">
      <w:pPr>
        <w:keepNext/>
        <w:numPr>
          <w:ilvl w:val="0"/>
          <w:numId w:val="10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E53A6AC"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fêtes de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peuvent durer plusieurs jours et rassembler des personnes de tous âges. Par endroits, les hommes chantent et jouent des instruments tandis que les femmes dansent, tandis que dans d’autres communautés, tout le monde participe de manière égale. Des artisans tels que des fabricants d’instruments, des compositeurs, des couturiers et des cuisiniers participent également aux festivités. Le savoir-faire du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se transmet principalement par l’enseignement oral, l’observation et l’imitation. Les enfants fréquentent souvent les écoles de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pour y apprendre la musique, la danse, découvrir les vêtements traditionnels et les valeurs liées à la tradition. Source d’identité et de fierté, le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renforce les liens familiaux et de la communauté par le partage des célébrations, de la musique, de la danse et de la nourriture.</w:t>
      </w:r>
    </w:p>
    <w:p w14:paraId="6A2E0CF8"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En tant que pratique inclusive répandue dans de nombreuses familles d’origines ethniques diverses, de langues et de traditions différentes, les fêtes de </w:t>
      </w:r>
      <w:proofErr w:type="spellStart"/>
      <w:r w:rsidRPr="00503070">
        <w:rPr>
          <w:rFonts w:ascii="Arial" w:hAnsi="Arial" w:cs="Arial"/>
          <w:sz w:val="22"/>
          <w:szCs w:val="22"/>
        </w:rPr>
        <w:t>joropo</w:t>
      </w:r>
      <w:proofErr w:type="spellEnd"/>
      <w:r w:rsidRPr="00503070">
        <w:rPr>
          <w:rFonts w:ascii="Arial" w:hAnsi="Arial" w:cs="Arial"/>
          <w:sz w:val="22"/>
          <w:szCs w:val="22"/>
        </w:rPr>
        <w:t xml:space="preserve"> accueillent des personnes de tous les genres et de tous les âges, et elles encouragent la créativité et le développement artistique. À ce titre, l’élément illustre l’importance du patrimoine culturel immatériel en tant que vecteur de dialogue, promouvant la diversité culturelle dans son ensemble.</w:t>
      </w:r>
    </w:p>
    <w:p w14:paraId="03B462EF"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Sur la base d’un processus collectif d’identification des menaces pesant sur la viabilité de l’élément, les détenteurs, les communautés et les institutions gouvernementales concernées ont adopté un ensemble de mesures de sauvegarde structurées autour de cinq lignes d’action : (a) la transmission des valeurs ; (b) la recherche de la communauté et les programmes éducatifs ; (c) le développement organisationnel ; (d) la promotion et la diffusion ; et (e) la formation musicale, littéraire et chorégraphique. Les mesures proposées sont la recherche constante d’un équilibre entre centralisation et décentralisation dans un contexte culturel et géographique complexe.</w:t>
      </w:r>
    </w:p>
    <w:p w14:paraId="3A442053"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 processus de candidature a impliqué une recherche ethnographique et une documentation intensive, ainsi que des ateliers visant à renforcer les capacités en matière de patrimoine culturel immatériel, organisés dans plusieurs régions. Le processus a également consisté à collecter des formulaires d’inscription, à obtenir le consentement libre, préalable et éclairé des communautés, groupes et individus concernés, et à obtenir la validation de la communauté pour la soumission de la candidature.</w:t>
      </w:r>
    </w:p>
    <w:p w14:paraId="6298DE27"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national du patrimoine culturel immatériel du Venezuela en 2019. L’inventaire est géré par l’Institut du patrimoine culturel, lequel dépend du ministère de la Culture, et est actualisé tous les trois ans avec la participation de la communauté.</w:t>
      </w:r>
    </w:p>
    <w:p w14:paraId="1D8F5B62" w14:textId="77777777" w:rsidR="00B94C05" w:rsidRPr="00503070" w:rsidRDefault="00B94C05" w:rsidP="001E17AF">
      <w:pPr>
        <w:numPr>
          <w:ilvl w:val="0"/>
          <w:numId w:val="109"/>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w:t>
      </w:r>
      <w:proofErr w:type="spellStart"/>
      <w:r w:rsidRPr="00503070">
        <w:rPr>
          <w:rFonts w:ascii="Arial" w:hAnsi="Arial" w:cs="Arial"/>
          <w:b/>
          <w:sz w:val="22"/>
          <w:szCs w:val="22"/>
        </w:rPr>
        <w:t>joropo</w:t>
      </w:r>
      <w:proofErr w:type="spellEnd"/>
      <w:r w:rsidRPr="00503070">
        <w:rPr>
          <w:rFonts w:ascii="Arial" w:hAnsi="Arial" w:cs="Arial"/>
          <w:b/>
          <w:sz w:val="22"/>
          <w:szCs w:val="22"/>
        </w:rPr>
        <w:t xml:space="preserve"> au Venezuela </w:t>
      </w:r>
      <w:r w:rsidRPr="00503070">
        <w:rPr>
          <w:rFonts w:ascii="Arial" w:hAnsi="Arial" w:cs="Arial"/>
          <w:sz w:val="22"/>
          <w:szCs w:val="22"/>
        </w:rPr>
        <w:t>sur la Liste représentative du patrimoine culturel immatériel de l’humanité.</w:t>
      </w:r>
    </w:p>
    <w:p w14:paraId="4A202722" w14:textId="77777777" w:rsidR="00115C50" w:rsidRPr="00503070" w:rsidRDefault="00115C50" w:rsidP="00115C50">
      <w:pPr>
        <w:pStyle w:val="Heading1"/>
        <w:rPr>
          <w:bCs/>
        </w:rPr>
      </w:pPr>
      <w:r w:rsidRPr="00503070">
        <w:lastRenderedPageBreak/>
        <w:t>DÉCISION 20.COM 7.b.2</w:t>
      </w:r>
    </w:p>
    <w:p w14:paraId="4E8A298E" w14:textId="77777777" w:rsidR="00115C50" w:rsidRPr="00503070" w:rsidRDefault="00115C50" w:rsidP="00115C50">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568FD23" w14:textId="77777777" w:rsidR="00115C50" w:rsidRPr="00503070" w:rsidRDefault="00115C50" w:rsidP="001E17AF">
      <w:pPr>
        <w:numPr>
          <w:ilvl w:val="0"/>
          <w:numId w:val="42"/>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Yémen a proposé la candidature du</w:t>
      </w:r>
      <w:r w:rsidRPr="00503070">
        <w:rPr>
          <w:rFonts w:ascii="Arial" w:hAnsi="Arial" w:cs="Arial"/>
          <w:b/>
          <w:sz w:val="22"/>
          <w:szCs w:val="22"/>
        </w:rPr>
        <w:t xml:space="preserve"> rassemblement </w:t>
      </w:r>
      <w:proofErr w:type="spellStart"/>
      <w:r w:rsidRPr="00503070">
        <w:rPr>
          <w:rFonts w:ascii="Arial" w:hAnsi="Arial" w:cs="Arial"/>
          <w:b/>
          <w:sz w:val="22"/>
          <w:szCs w:val="22"/>
        </w:rPr>
        <w:t>hadrami</w:t>
      </w:r>
      <w:proofErr w:type="spellEnd"/>
      <w:r w:rsidRPr="00503070">
        <w:rPr>
          <w:rFonts w:ascii="Arial" w:hAnsi="Arial" w:cs="Arial"/>
          <w:b/>
          <w:sz w:val="22"/>
          <w:szCs w:val="22"/>
        </w:rPr>
        <w:t xml:space="preserve"> dan</w:t>
      </w:r>
      <w:r w:rsidRPr="00503070">
        <w:rPr>
          <w:rFonts w:ascii="Arial" w:hAnsi="Arial" w:cs="Arial"/>
          <w:sz w:val="22"/>
          <w:szCs w:val="22"/>
        </w:rPr>
        <w:t xml:space="preserve"> (n° 02232) pour inscription sur la Liste représentative du patrimoine culturel immatériel de l’humanité :</w:t>
      </w:r>
    </w:p>
    <w:p w14:paraId="47C3E54E" w14:textId="77777777" w:rsidR="00115C50" w:rsidRPr="00503070" w:rsidRDefault="00115C50" w:rsidP="00115C50">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Hadrami</w:t>
      </w:r>
      <w:proofErr w:type="spellEnd"/>
      <w:r w:rsidRPr="00503070">
        <w:rPr>
          <w:rFonts w:ascii="Arial" w:hAnsi="Arial" w:cs="Arial"/>
          <w:sz w:val="22"/>
          <w:szCs w:val="22"/>
        </w:rPr>
        <w:t xml:space="preserve"> Dan est une représentation traditionnelle et un rassemblement de la communauté alliant poésie improvisée, musique et danse, et est une pratique répandue dans toute le Gouvernorat de l’Hadramaout. Un rassemblement typique de </w:t>
      </w:r>
      <w:proofErr w:type="spellStart"/>
      <w:r w:rsidRPr="00503070">
        <w:rPr>
          <w:rFonts w:ascii="Arial" w:hAnsi="Arial" w:cs="Arial"/>
          <w:sz w:val="22"/>
          <w:szCs w:val="22"/>
        </w:rPr>
        <w:t>hadrami</w:t>
      </w:r>
      <w:proofErr w:type="spellEnd"/>
      <w:r w:rsidRPr="00503070">
        <w:rPr>
          <w:rFonts w:ascii="Arial" w:hAnsi="Arial" w:cs="Arial"/>
          <w:sz w:val="22"/>
          <w:szCs w:val="22"/>
        </w:rPr>
        <w:t xml:space="preserve"> dan comprend au moins un chanteur et un poète, tandis que le public s’installe en rangées ou en cercles. La représentation débute par le chant rythmique du mot « dan », sur une mélodie choisie. Un poète improvise ensuite un vers qui complète la mélodie. D’autres vers suivent, créés et interprétés par le même poète ou par d’autres participants. Les mélodies, appelées « </w:t>
      </w:r>
      <w:proofErr w:type="spellStart"/>
      <w:r w:rsidRPr="00503070">
        <w:rPr>
          <w:rFonts w:ascii="Arial" w:hAnsi="Arial" w:cs="Arial"/>
          <w:sz w:val="22"/>
          <w:szCs w:val="22"/>
        </w:rPr>
        <w:t>aswat</w:t>
      </w:r>
      <w:proofErr w:type="spellEnd"/>
      <w:r w:rsidRPr="00503070">
        <w:rPr>
          <w:rFonts w:ascii="Arial" w:hAnsi="Arial" w:cs="Arial"/>
          <w:sz w:val="22"/>
          <w:szCs w:val="22"/>
        </w:rPr>
        <w:t xml:space="preserve"> », varient en rythme et en tonalité et peuvent être jouées à l’aide d’instruments traditionnels et modernes tels que les </w:t>
      </w:r>
      <w:proofErr w:type="spellStart"/>
      <w:r w:rsidRPr="00503070">
        <w:rPr>
          <w:rFonts w:ascii="Arial" w:hAnsi="Arial" w:cs="Arial"/>
          <w:sz w:val="22"/>
          <w:szCs w:val="22"/>
        </w:rPr>
        <w:t>ouds</w:t>
      </w:r>
      <w:proofErr w:type="spellEnd"/>
      <w:r w:rsidRPr="00503070">
        <w:rPr>
          <w:rFonts w:ascii="Arial" w:hAnsi="Arial" w:cs="Arial"/>
          <w:sz w:val="22"/>
          <w:szCs w:val="22"/>
        </w:rPr>
        <w:t xml:space="preserve">, les flûtes, les violons et les tambours traditionnels. </w:t>
      </w:r>
    </w:p>
    <w:p w14:paraId="4140C704" w14:textId="77777777" w:rsidR="00115C50" w:rsidRPr="00503070" w:rsidRDefault="00115C50" w:rsidP="001E17AF">
      <w:pPr>
        <w:keepNext/>
        <w:numPr>
          <w:ilvl w:val="0"/>
          <w:numId w:val="42"/>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D1FAA95" w14:textId="77777777" w:rsidR="00115C50" w:rsidRPr="00503070" w:rsidRDefault="00115C50" w:rsidP="00115C50">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Cette pratique culturelle est souvent accompagnée de nourriture et de thé, créant ainsi une atmosphère chaleureuse et communautaire. Elle implique de nombreux rôles, des artistes et auteurs qui enregistrent des paroles, jusqu’aux costumiers, aux préparateurs de thé, aux organisateurs et aux équipes techniques qui soutiennent le rassemblement. L’</w:t>
      </w:r>
      <w:proofErr w:type="spellStart"/>
      <w:r w:rsidRPr="00503070">
        <w:rPr>
          <w:rFonts w:ascii="Arial" w:hAnsi="Arial" w:cs="Arial"/>
          <w:sz w:val="22"/>
          <w:szCs w:val="22"/>
        </w:rPr>
        <w:t>hadrami</w:t>
      </w:r>
      <w:proofErr w:type="spellEnd"/>
      <w:r w:rsidRPr="00503070">
        <w:rPr>
          <w:rFonts w:ascii="Arial" w:hAnsi="Arial" w:cs="Arial"/>
          <w:sz w:val="22"/>
          <w:szCs w:val="22"/>
        </w:rPr>
        <w:t xml:space="preserve"> dan rassemble des personnes de tous âges et de tous genres. La tradition se transmet de manière informelle par les familles et par le biais d’événements de la communauté, ainsi qu’à travers des formations dans les centres culturels et les médias. Outre le fait de constituer une source de revenus pour les praticiens, ces rassemblements favorisent la cohésion sociale, la compréhension mutuelle et le dialogue. </w:t>
      </w:r>
    </w:p>
    <w:p w14:paraId="72E016EE" w14:textId="77777777" w:rsidR="00115C50" w:rsidRPr="00503070" w:rsidRDefault="00115C50" w:rsidP="00115C50">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Cette candidature démontre clairement l’importance de cet élément pour l’instauration et le maintien de la paix et de la cohésion sociale, en facilitant une communication ouverte et la résolution collective des problèmes au niveau communautaire. Elle favorise également les compétences linguistiques et poétiques dans le dialecte arabe local, participant à l’amélioration d’une éducation de qualité et encourageant l’expression artistique des femmes. De plus, les représentations de </w:t>
      </w:r>
      <w:proofErr w:type="spellStart"/>
      <w:r w:rsidRPr="00503070">
        <w:rPr>
          <w:rFonts w:ascii="Arial" w:hAnsi="Arial" w:cs="Arial"/>
          <w:sz w:val="22"/>
          <w:szCs w:val="22"/>
        </w:rPr>
        <w:t>hadrami</w:t>
      </w:r>
      <w:proofErr w:type="spellEnd"/>
      <w:r w:rsidRPr="00503070">
        <w:rPr>
          <w:rFonts w:ascii="Arial" w:hAnsi="Arial" w:cs="Arial"/>
          <w:sz w:val="22"/>
          <w:szCs w:val="22"/>
        </w:rPr>
        <w:t xml:space="preserve"> dan génèrent des opportunités d’emploi pour les artistes et les organisateurs d’événements. L’inscription de cet élément renforcerait la visibilité du patrimoine culturel immatériel et créerait des opportunités de dialogue au sein de la communauté mondiale, en particulier en ce qui concerne la musique et la poésie traditionnelles.</w:t>
      </w:r>
    </w:p>
    <w:p w14:paraId="19DC8B98" w14:textId="77777777" w:rsidR="00115C50" w:rsidRPr="00503070" w:rsidRDefault="00115C50" w:rsidP="00115C50">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La communauté a participé activement au processus d’identification et de définition de l’élément, ainsi qu’à la préparation de son plan de sauvegarde. Les mesures de sauvegarde concernent la transmission des connaissances, l’organisation d’événements et la revitalisation de l’élément. Des activités de recherche, d’inventaire et de documentation sont également prévues.</w:t>
      </w:r>
    </w:p>
    <w:p w14:paraId="3CE405AF" w14:textId="77777777" w:rsidR="00115C50" w:rsidRPr="00503070" w:rsidRDefault="00115C50" w:rsidP="00115C50">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La candidature a été élaborée par la communauté des praticiens d’</w:t>
      </w:r>
      <w:proofErr w:type="spellStart"/>
      <w:r w:rsidRPr="00503070">
        <w:rPr>
          <w:rFonts w:ascii="Arial" w:hAnsi="Arial" w:cs="Arial"/>
          <w:sz w:val="22"/>
          <w:szCs w:val="22"/>
        </w:rPr>
        <w:t>al-dan</w:t>
      </w:r>
      <w:proofErr w:type="spellEnd"/>
      <w:r w:rsidRPr="00503070">
        <w:rPr>
          <w:rFonts w:ascii="Arial" w:hAnsi="Arial" w:cs="Arial"/>
          <w:sz w:val="22"/>
          <w:szCs w:val="22"/>
        </w:rPr>
        <w:t xml:space="preserve"> en 2019 et soutenue par l’État partie les années suivantes. </w:t>
      </w:r>
      <w:proofErr w:type="gramStart"/>
      <w:r w:rsidRPr="00503070">
        <w:rPr>
          <w:rFonts w:ascii="Arial" w:hAnsi="Arial" w:cs="Arial"/>
          <w:sz w:val="22"/>
          <w:szCs w:val="22"/>
        </w:rPr>
        <w:t>Suite à des ateliers</w:t>
      </w:r>
      <w:proofErr w:type="gramEnd"/>
      <w:r w:rsidRPr="00503070">
        <w:rPr>
          <w:rFonts w:ascii="Arial" w:hAnsi="Arial" w:cs="Arial"/>
          <w:sz w:val="22"/>
          <w:szCs w:val="22"/>
        </w:rPr>
        <w:t xml:space="preserve"> et des réunions organisés pour en discuter, un comité a été créé pour coordonner le processus de candidature. Composé de praticiens jeunes et expérimentés, de chercheurs et de personnes exerçant diverses professions, dont trois femmes, ce comité s’est efforcé de garantir l’équité, la diversité et l’inclusion sociale tout au long du processus.</w:t>
      </w:r>
    </w:p>
    <w:p w14:paraId="12BADEA6" w14:textId="77777777" w:rsidR="00115C50" w:rsidRPr="00503070" w:rsidRDefault="00115C50" w:rsidP="00115C50">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la Liste du ministère de l’Information, de la Culture et du Tourisme en 2019, ainsi que dans la Liste de l’inventaire du patrimoine culturel immatériel de la Fondation </w:t>
      </w:r>
      <w:proofErr w:type="spellStart"/>
      <w:r w:rsidRPr="00503070">
        <w:rPr>
          <w:rFonts w:ascii="Arial" w:hAnsi="Arial" w:cs="Arial"/>
          <w:sz w:val="22"/>
          <w:szCs w:val="22"/>
        </w:rPr>
        <w:t>Hadramout</w:t>
      </w:r>
      <w:proofErr w:type="spellEnd"/>
      <w:r w:rsidRPr="00503070">
        <w:rPr>
          <w:rFonts w:ascii="Arial" w:hAnsi="Arial" w:cs="Arial"/>
          <w:sz w:val="22"/>
          <w:szCs w:val="22"/>
        </w:rPr>
        <w:t xml:space="preserve"> pour la Culture en 2022. La communauté des </w:t>
      </w:r>
      <w:r w:rsidRPr="00503070">
        <w:rPr>
          <w:rFonts w:ascii="Arial" w:hAnsi="Arial" w:cs="Arial"/>
          <w:sz w:val="22"/>
          <w:szCs w:val="22"/>
        </w:rPr>
        <w:lastRenderedPageBreak/>
        <w:t>praticiens a participé volontairement et de manière collaborative à l’inventaire et au processus de mise à jour en 2019, 2022 et 2024.</w:t>
      </w:r>
    </w:p>
    <w:p w14:paraId="25FC3224" w14:textId="77777777" w:rsidR="00115C50" w:rsidRPr="00503070" w:rsidRDefault="00115C50" w:rsidP="001E17AF">
      <w:pPr>
        <w:numPr>
          <w:ilvl w:val="0"/>
          <w:numId w:val="42"/>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rassemblement </w:t>
      </w:r>
      <w:proofErr w:type="spellStart"/>
      <w:r w:rsidRPr="00503070">
        <w:rPr>
          <w:rFonts w:ascii="Arial" w:hAnsi="Arial" w:cs="Arial"/>
          <w:b/>
          <w:sz w:val="22"/>
          <w:szCs w:val="22"/>
        </w:rPr>
        <w:t>hadrami</w:t>
      </w:r>
      <w:proofErr w:type="spellEnd"/>
      <w:r w:rsidRPr="00503070">
        <w:rPr>
          <w:rFonts w:ascii="Arial" w:hAnsi="Arial" w:cs="Arial"/>
          <w:b/>
          <w:sz w:val="22"/>
          <w:szCs w:val="22"/>
        </w:rPr>
        <w:t xml:space="preserve"> dan</w:t>
      </w:r>
      <w:r w:rsidRPr="00503070">
        <w:rPr>
          <w:rFonts w:ascii="Arial" w:hAnsi="Arial" w:cs="Arial"/>
          <w:sz w:val="22"/>
          <w:szCs w:val="22"/>
        </w:rPr>
        <w:t xml:space="preserve"> sur la Liste représentative du patrimoine culturel immatériel de l’humanité ;</w:t>
      </w:r>
    </w:p>
    <w:p w14:paraId="571C4C85" w14:textId="77777777" w:rsidR="00115C50" w:rsidRPr="00503070" w:rsidRDefault="00115C50" w:rsidP="001E17AF">
      <w:pPr>
        <w:pStyle w:val="ListParagraph"/>
        <w:numPr>
          <w:ilvl w:val="0"/>
          <w:numId w:val="42"/>
        </w:numPr>
        <w:ind w:left="567" w:hanging="567"/>
        <w:contextualSpacing w:val="0"/>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avoir veillé à la participation des femmes au processus de préparation de la candidature d’un élément dont les expressions publiques sont majoritairement masculines ;</w:t>
      </w:r>
    </w:p>
    <w:p w14:paraId="73B0620E" w14:textId="77777777" w:rsidR="00115C50" w:rsidRPr="00503070" w:rsidRDefault="00115C50" w:rsidP="001E17AF">
      <w:pPr>
        <w:pStyle w:val="ListParagraph"/>
        <w:numPr>
          <w:ilvl w:val="0"/>
          <w:numId w:val="42"/>
        </w:numPr>
        <w:spacing w:before="120" w:after="120"/>
        <w:ind w:left="567" w:hanging="567"/>
        <w:contextualSpacing w:val="0"/>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à rechercher des moyens d’assurer la protection des dimensions communautaires et spirituelles fortes d’</w:t>
      </w:r>
      <w:proofErr w:type="spellStart"/>
      <w:r w:rsidRPr="00503070">
        <w:rPr>
          <w:rFonts w:ascii="Arial" w:hAnsi="Arial" w:cs="Arial"/>
          <w:bCs/>
          <w:sz w:val="22"/>
          <w:szCs w:val="22"/>
        </w:rPr>
        <w:t>al-dan</w:t>
      </w:r>
      <w:proofErr w:type="spellEnd"/>
      <w:r w:rsidRPr="00503070">
        <w:rPr>
          <w:rFonts w:ascii="Arial" w:hAnsi="Arial" w:cs="Arial"/>
          <w:bCs/>
          <w:sz w:val="22"/>
          <w:szCs w:val="22"/>
        </w:rPr>
        <w:t>, en prévenant les risques liés à l’inscription, tels que la surexposition et la marchandisation potentielles de l’élément.</w:t>
      </w:r>
    </w:p>
    <w:p w14:paraId="6FF15DC9" w14:textId="77777777" w:rsidR="00B94C05" w:rsidRPr="00503070" w:rsidRDefault="00B94C05" w:rsidP="00B94C05">
      <w:pPr>
        <w:pStyle w:val="Heading1"/>
        <w:rPr>
          <w:bCs/>
        </w:rPr>
      </w:pPr>
      <w:r w:rsidRPr="00503070">
        <w:t>DÉCISION 20.COM 7.b.3</w:t>
      </w:r>
    </w:p>
    <w:p w14:paraId="19A7E05B"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856D21B" w14:textId="77777777" w:rsidR="00B94C05" w:rsidRPr="00503070" w:rsidRDefault="00B94C05" w:rsidP="001E17AF">
      <w:pPr>
        <w:numPr>
          <w:ilvl w:val="0"/>
          <w:numId w:val="4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l’Afghanistan a proposé la candidature de </w:t>
      </w:r>
      <w:r w:rsidRPr="00503070">
        <w:rPr>
          <w:rFonts w:ascii="Arial" w:hAnsi="Arial" w:cs="Arial"/>
          <w:b/>
          <w:sz w:val="22"/>
          <w:szCs w:val="22"/>
        </w:rPr>
        <w:t xml:space="preserve">l’art de la miniature de style </w:t>
      </w:r>
      <w:proofErr w:type="spellStart"/>
      <w:r w:rsidRPr="00503070">
        <w:rPr>
          <w:rFonts w:ascii="Arial" w:hAnsi="Arial" w:cs="Arial"/>
          <w:b/>
          <w:sz w:val="22"/>
          <w:szCs w:val="22"/>
        </w:rPr>
        <w:t>Behzad</w:t>
      </w:r>
      <w:proofErr w:type="spellEnd"/>
      <w:r w:rsidRPr="00503070">
        <w:rPr>
          <w:rFonts w:ascii="Arial" w:hAnsi="Arial" w:cs="Arial"/>
          <w:sz w:val="22"/>
          <w:szCs w:val="22"/>
        </w:rPr>
        <w:t xml:space="preserve"> (n° 02267) pour inscription sur la Liste représentative du patrimoine culturel immatériel de l’humanité :</w:t>
      </w:r>
    </w:p>
    <w:p w14:paraId="15C747DA"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L’art de la miniature est une forme détaillée et symbolique de peinture de scènes de l’histoire et de la littérature. Sa fonction première est de faire connaître aux communautés concernées des éléments culturels, historiques et littéraires reflétant la connaissance et la sensibilité liées au passé collectif. Certains artistes ont contribué à sa reconnaissance et à sa popularité, leurs œuvres ornant aujourd’hui des musées de renommée mondiale. Par exemple, de nombreux artistes et écoles s’inspirent de la conception et du style de l’œuvre de Kamal </w:t>
      </w:r>
      <w:proofErr w:type="spellStart"/>
      <w:r w:rsidRPr="00503070">
        <w:rPr>
          <w:rFonts w:ascii="Arial" w:hAnsi="Arial" w:cs="Arial"/>
          <w:sz w:val="22"/>
          <w:szCs w:val="22"/>
        </w:rPr>
        <w:t>ud</w:t>
      </w:r>
      <w:proofErr w:type="spellEnd"/>
      <w:r w:rsidRPr="00503070">
        <w:rPr>
          <w:rFonts w:ascii="Arial" w:hAnsi="Arial" w:cs="Arial"/>
          <w:sz w:val="22"/>
          <w:szCs w:val="22"/>
        </w:rPr>
        <w:t xml:space="preserve">-Din </w:t>
      </w:r>
      <w:proofErr w:type="spellStart"/>
      <w:r w:rsidRPr="00503070">
        <w:rPr>
          <w:rFonts w:ascii="Arial" w:hAnsi="Arial" w:cs="Arial"/>
          <w:sz w:val="22"/>
          <w:szCs w:val="22"/>
        </w:rPr>
        <w:t>Behzad</w:t>
      </w:r>
      <w:proofErr w:type="spellEnd"/>
      <w:r w:rsidRPr="00503070">
        <w:rPr>
          <w:rFonts w:ascii="Arial" w:hAnsi="Arial" w:cs="Arial"/>
          <w:sz w:val="22"/>
          <w:szCs w:val="22"/>
        </w:rPr>
        <w:t xml:space="preserve"> et l’utilisent comme modèle principal. </w:t>
      </w:r>
    </w:p>
    <w:p w14:paraId="191C3B35" w14:textId="77777777" w:rsidR="00B94C05" w:rsidRPr="00503070" w:rsidRDefault="00B94C05" w:rsidP="001E17AF">
      <w:pPr>
        <w:keepNext/>
        <w:numPr>
          <w:ilvl w:val="0"/>
          <w:numId w:val="4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 critère d’inscription sur la Liste représentative du patrimoine culturel immatériel de l’humanité comme suit :</w:t>
      </w:r>
    </w:p>
    <w:p w14:paraId="6B181EE4"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Cet élément a été inscrit sur la Liste de l’inventaire national du patrimoine culturel immatériel de l’Afghanistan en 2021. Cette liste a été élaborée en 2010 et mise à jour en 2021 avec la participation des communautés locales, des groupes et des individus, et en étroite collaboration avec les organisations publiques et non gouvernementales.</w:t>
      </w:r>
    </w:p>
    <w:p w14:paraId="17660B57" w14:textId="77777777" w:rsidR="00B94C05" w:rsidRPr="00503070" w:rsidRDefault="00B94C05" w:rsidP="00B50562">
      <w:pPr>
        <w:keepNext/>
        <w:numPr>
          <w:ilvl w:val="0"/>
          <w:numId w:val="43"/>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aux critères suivants d’inscription sur la Liste représentative du patrimoine culturel immatériel de l’humanité :</w:t>
      </w:r>
    </w:p>
    <w:p w14:paraId="40CDBB7B"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En tant que vecteur d’histoires et de sens, cette forme d’art se retrouve non seulement dans les peintures, mais aussi dans l’architecture, comme les minarets et les bâtiments historiques. Il s’agit d’une expression culturelle vivante qui continue d’être pratiquée, reconnue et transmise par plusieurs individus, communautés et institutions. L’art procure un sentiment d’identité et de continuité, aidant à préserver le tissu culturel du peuple afghan tout en contribuant à la cohésion sociale et au respect mutuel. Elle est transmise à la fois de manière formelle et informelle, de nombreux étudiants choisissant chaque année de se former à la peinture miniature, contribuant ainsi à maintenir la tradition en vie. L’art miniature relie les gens à leur passé, à leur patrimoine ainsi qu’à leurs valeurs. En tant que moyen de transmission des connaissances et des valeurs entre générations, il s’agit d’une tradition vivante qui préserve la culture et inspire l’apprentissage. En tant que tel, il aide les communautés à réfléchir à leur histoire commune et contribue à promouvoir un sentiment d’identité et de fierté de la communauté. </w:t>
      </w:r>
    </w:p>
    <w:p w14:paraId="2F9E4456"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Le dossier de candidature met en avant le potentiel de l’art de la miniature de style </w:t>
      </w:r>
      <w:proofErr w:type="spellStart"/>
      <w:r w:rsidRPr="00503070">
        <w:rPr>
          <w:rFonts w:ascii="Arial" w:hAnsi="Arial" w:cs="Arial"/>
          <w:sz w:val="22"/>
          <w:szCs w:val="22"/>
        </w:rPr>
        <w:t>Behzad</w:t>
      </w:r>
      <w:proofErr w:type="spellEnd"/>
      <w:r w:rsidRPr="00503070">
        <w:rPr>
          <w:rFonts w:ascii="Arial" w:hAnsi="Arial" w:cs="Arial"/>
          <w:sz w:val="22"/>
          <w:szCs w:val="22"/>
        </w:rPr>
        <w:t xml:space="preserve"> à contribuer à la visibilité ainsi qu’à la sensibilisation à l’importance du patrimoine culturel immatériel et à encourager le dialogue. Son inscription pourrait protéger l’art des menaces sociales, religieuses et politiques. Elle pourrait également favoriser la </w:t>
      </w:r>
      <w:r w:rsidRPr="00503070">
        <w:rPr>
          <w:rFonts w:ascii="Arial" w:hAnsi="Arial" w:cs="Arial"/>
          <w:sz w:val="22"/>
          <w:szCs w:val="22"/>
        </w:rPr>
        <w:lastRenderedPageBreak/>
        <w:t>croissance économique, améliorer la qualité de l’éducation et promouvoir l’égalité des sexes et l’égalité des droits en encourageant les gouvernements et les communautés internationales à s’engager concrètement en faveur de leur conservation.</w:t>
      </w:r>
    </w:p>
    <w:p w14:paraId="65B06B3C"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Compte tenu des conditions défavorables auxquelles le pays a été confronté pendant des dizaines d’années de guerre, un certain nombre de mesures de sauvegarde ont été mises en place pour promouvoir, protéger et sauvegarder l’élément. Les mesures de sauvegarde proposées comprennent l’introduction de cours d’art, l’organisation d’expositions permanentes, la construction de galeries d’art, l’embellissement des palais gouvernementaux avec de l’art miniature et la publication de livres et d’articles consacrés à cet art. Des informations satisfaisantes sont fournies sur le rôle des communautés dans la planification et la mise en œuvre de ces mesures de sauvegarde.</w:t>
      </w:r>
    </w:p>
    <w:p w14:paraId="3C0ECE64"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L’État partie soumissionnaire a démontré la participation de la communauté au processus de candidature et a fourni des informations détaillées pour chaque communauté concernée à la fois dans le dossier de nomination et dans les documents joints. Le dossier rend également compte des rôles importants joués, à l’heure actuelle, par des individus influents et des historiens qui défendent inlassablement l’art miniature de style </w:t>
      </w:r>
      <w:proofErr w:type="spellStart"/>
      <w:r w:rsidRPr="00503070">
        <w:rPr>
          <w:rFonts w:ascii="Arial" w:hAnsi="Arial" w:cs="Arial"/>
          <w:sz w:val="22"/>
          <w:szCs w:val="22"/>
        </w:rPr>
        <w:t>Behzad</w:t>
      </w:r>
      <w:proofErr w:type="spellEnd"/>
      <w:r w:rsidRPr="00503070">
        <w:rPr>
          <w:rFonts w:ascii="Arial" w:hAnsi="Arial" w:cs="Arial"/>
          <w:sz w:val="22"/>
          <w:szCs w:val="22"/>
        </w:rPr>
        <w:t xml:space="preserve"> ainsi que par les universités et les institutions scientifiques et de recherche. </w:t>
      </w:r>
    </w:p>
    <w:p w14:paraId="1F1093E5" w14:textId="77777777" w:rsidR="00B94C05" w:rsidRPr="00503070" w:rsidRDefault="00B94C05" w:rsidP="00004B4D">
      <w:pPr>
        <w:numPr>
          <w:ilvl w:val="0"/>
          <w:numId w:val="43"/>
        </w:numPr>
        <w:tabs>
          <w:tab w:val="left" w:pos="1701"/>
          <w:tab w:val="left" w:pos="2268"/>
        </w:tabs>
        <w:spacing w:before="120" w:after="120"/>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l’art de la miniature de style </w:t>
      </w:r>
      <w:proofErr w:type="spellStart"/>
      <w:r w:rsidRPr="00503070">
        <w:rPr>
          <w:rFonts w:ascii="Arial" w:hAnsi="Arial" w:cs="Arial"/>
          <w:b/>
          <w:sz w:val="22"/>
          <w:szCs w:val="22"/>
        </w:rPr>
        <w:t>Behzad</w:t>
      </w:r>
      <w:proofErr w:type="spellEnd"/>
      <w:r w:rsidRPr="00503070">
        <w:rPr>
          <w:rFonts w:ascii="Arial" w:hAnsi="Arial" w:cs="Arial"/>
          <w:sz w:val="22"/>
          <w:szCs w:val="22"/>
        </w:rPr>
        <w:t xml:space="preserve"> sur la Liste représentative du patrimoine culturel immatériel de l’humanité ;</w:t>
      </w:r>
    </w:p>
    <w:p w14:paraId="5A066931" w14:textId="77777777" w:rsidR="00B94C05" w:rsidRPr="00503070" w:rsidRDefault="00B94C05" w:rsidP="00004B4D">
      <w:pPr>
        <w:numPr>
          <w:ilvl w:val="0"/>
          <w:numId w:val="43"/>
        </w:numPr>
        <w:tabs>
          <w:tab w:val="left" w:pos="1701"/>
          <w:tab w:val="left" w:pos="2268"/>
        </w:tabs>
        <w:spacing w:before="120" w:after="120"/>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l’Etat partie pour la soumission d’un dossier amélioré </w:t>
      </w:r>
      <w:proofErr w:type="gramStart"/>
      <w:r w:rsidRPr="00503070">
        <w:rPr>
          <w:rFonts w:ascii="Arial" w:hAnsi="Arial" w:cs="Arial"/>
          <w:sz w:val="22"/>
          <w:szCs w:val="22"/>
        </w:rPr>
        <w:t>suite à</w:t>
      </w:r>
      <w:proofErr w:type="gramEnd"/>
      <w:r w:rsidRPr="00503070">
        <w:rPr>
          <w:rFonts w:ascii="Arial" w:hAnsi="Arial" w:cs="Arial"/>
          <w:sz w:val="22"/>
          <w:szCs w:val="22"/>
        </w:rPr>
        <w:t xml:space="preserve"> la décision du Comité de renvoyer le dossier en 2022.</w:t>
      </w:r>
    </w:p>
    <w:p w14:paraId="42FE7510" w14:textId="77777777" w:rsidR="00B94C05" w:rsidRPr="00503070" w:rsidRDefault="00B94C05" w:rsidP="00B94C05">
      <w:pPr>
        <w:pStyle w:val="Heading1"/>
        <w:rPr>
          <w:bCs/>
        </w:rPr>
      </w:pPr>
      <w:r w:rsidRPr="00503070">
        <w:t>DÉCISION 20.COM 7.b.4</w:t>
      </w:r>
    </w:p>
    <w:p w14:paraId="36DDAEBF"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185973F" w14:textId="77777777" w:rsidR="00B94C05" w:rsidRPr="00503070" w:rsidRDefault="00B94C05" w:rsidP="001E17AF">
      <w:pPr>
        <w:numPr>
          <w:ilvl w:val="0"/>
          <w:numId w:val="44"/>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l’Argentine a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cuarteto</w:t>
      </w:r>
      <w:proofErr w:type="spellEnd"/>
      <w:r w:rsidRPr="00503070">
        <w:rPr>
          <w:rFonts w:ascii="Arial" w:hAnsi="Arial" w:cs="Arial"/>
          <w:b/>
          <w:sz w:val="22"/>
          <w:szCs w:val="22"/>
        </w:rPr>
        <w:t> : musique, danse et paroles dans la ville de Córdoba, Argentine</w:t>
      </w:r>
      <w:r w:rsidRPr="00503070">
        <w:rPr>
          <w:rFonts w:ascii="Arial" w:hAnsi="Arial" w:cs="Arial"/>
          <w:sz w:val="22"/>
          <w:szCs w:val="22"/>
        </w:rPr>
        <w:t xml:space="preserve"> (n° 02243) pour inscription sur la Liste représentative du patrimoine culturel immatériel de l’humanité :</w:t>
      </w:r>
    </w:p>
    <w:p w14:paraId="2D083F21"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cuarteto</w:t>
      </w:r>
      <w:proofErr w:type="spellEnd"/>
      <w:r w:rsidRPr="00503070">
        <w:rPr>
          <w:rFonts w:ascii="Arial" w:hAnsi="Arial" w:cs="Arial"/>
          <w:sz w:val="22"/>
          <w:szCs w:val="22"/>
        </w:rPr>
        <w:t xml:space="preserve"> est un genre de musique et de danse entraînant, mêlant les styles musicaux criollo locaux aux influences des immigrants européens. Les premiers orchestres de </w:t>
      </w:r>
      <w:proofErr w:type="spellStart"/>
      <w:r w:rsidRPr="00503070">
        <w:rPr>
          <w:rFonts w:ascii="Arial" w:hAnsi="Arial" w:cs="Arial"/>
          <w:sz w:val="22"/>
          <w:szCs w:val="22"/>
        </w:rPr>
        <w:t>cuarteto</w:t>
      </w:r>
      <w:proofErr w:type="spellEnd"/>
      <w:r w:rsidRPr="00503070">
        <w:rPr>
          <w:rFonts w:ascii="Arial" w:hAnsi="Arial" w:cs="Arial"/>
          <w:sz w:val="22"/>
          <w:szCs w:val="22"/>
        </w:rPr>
        <w:t xml:space="preserve"> étaient composés d’instruments tels que le piano, le violon, l’accordéon et la contrebasse, et étaient dirigés par un chanteur. Au fil du temps, le genre a intégré des rythmes caribéens, des percussions afro-latines et des instruments à vent, devenant ainsi un élément important de la culture locale. Aujourd’hui, le </w:t>
      </w:r>
      <w:proofErr w:type="spellStart"/>
      <w:r w:rsidRPr="00503070">
        <w:rPr>
          <w:rFonts w:ascii="Arial" w:hAnsi="Arial" w:cs="Arial"/>
          <w:sz w:val="22"/>
          <w:szCs w:val="22"/>
        </w:rPr>
        <w:t>cuarteto</w:t>
      </w:r>
      <w:proofErr w:type="spellEnd"/>
      <w:r w:rsidRPr="00503070">
        <w:rPr>
          <w:rFonts w:ascii="Arial" w:hAnsi="Arial" w:cs="Arial"/>
          <w:sz w:val="22"/>
          <w:szCs w:val="22"/>
        </w:rPr>
        <w:t xml:space="preserve"> reste une expression culturelle importante, avec des paroles souvent axées sur la vie quotidienne, l’amour et la joie. Il est populaire lors des « bailes » (manifestations dansantes), où des orchestres de huit musiciens ou plus se produisent et où les personnes dansent en cercles, en suivant un rythme rapide connu sous le nom de « </w:t>
      </w:r>
      <w:proofErr w:type="spellStart"/>
      <w:r w:rsidRPr="00503070">
        <w:rPr>
          <w:rFonts w:ascii="Arial" w:hAnsi="Arial" w:cs="Arial"/>
          <w:sz w:val="22"/>
          <w:szCs w:val="22"/>
        </w:rPr>
        <w:t>tunga</w:t>
      </w:r>
      <w:proofErr w:type="spellEnd"/>
      <w:r w:rsidRPr="00503070">
        <w:rPr>
          <w:rFonts w:ascii="Arial" w:hAnsi="Arial" w:cs="Arial"/>
          <w:sz w:val="22"/>
          <w:szCs w:val="22"/>
        </w:rPr>
        <w:t xml:space="preserve"> ». </w:t>
      </w:r>
    </w:p>
    <w:p w14:paraId="306A968D" w14:textId="77777777" w:rsidR="00B94C05" w:rsidRPr="00503070" w:rsidRDefault="00B94C05" w:rsidP="001E17AF">
      <w:pPr>
        <w:keepNext/>
        <w:numPr>
          <w:ilvl w:val="0"/>
          <w:numId w:val="44"/>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41E7698"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 </w:t>
      </w:r>
      <w:proofErr w:type="spellStart"/>
      <w:r w:rsidRPr="00503070">
        <w:rPr>
          <w:rFonts w:ascii="Arial" w:hAnsi="Arial" w:cs="Arial"/>
          <w:sz w:val="22"/>
          <w:szCs w:val="22"/>
        </w:rPr>
        <w:t>cuarteto</w:t>
      </w:r>
      <w:proofErr w:type="spellEnd"/>
      <w:r w:rsidRPr="00503070">
        <w:rPr>
          <w:rFonts w:ascii="Arial" w:hAnsi="Arial" w:cs="Arial"/>
          <w:sz w:val="22"/>
          <w:szCs w:val="22"/>
        </w:rPr>
        <w:t xml:space="preserve"> est un élément essentiel des rassemblements familiaux, des fêtes et des événements de la communauté, la musique et la danse contribuant à renforcer le sentiment d’unité et d’identité locale. En effet, les musiciens et le public communiquent par des signes de la main qui permettent d’identifier chaque quartier. Traditionnellement transmis au sein des familles et des communautés, le genre est aujourd’hui également enseigné dans les écoles dans le cadre de l’éducation folklorique. Si le </w:t>
      </w:r>
      <w:proofErr w:type="spellStart"/>
      <w:r w:rsidRPr="00503070">
        <w:rPr>
          <w:rFonts w:ascii="Arial" w:hAnsi="Arial" w:cs="Arial"/>
          <w:sz w:val="22"/>
          <w:szCs w:val="22"/>
        </w:rPr>
        <w:t>cuarteto</w:t>
      </w:r>
      <w:proofErr w:type="spellEnd"/>
      <w:r w:rsidRPr="00503070">
        <w:rPr>
          <w:rFonts w:ascii="Arial" w:hAnsi="Arial" w:cs="Arial"/>
          <w:sz w:val="22"/>
          <w:szCs w:val="22"/>
        </w:rPr>
        <w:t xml:space="preserve"> reste populaire dans les communautés ouvrières, il s’est étendu à d’autres groupes sociaux. Moyen d’expression des luttes historiques et sociales, il continue d’offrir un soutien émotionnel et de la joie à ceux qui le portent, y compris dans les moments difficiles.</w:t>
      </w:r>
    </w:p>
    <w:p w14:paraId="1FB850C1"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R.3 :</w:t>
      </w:r>
      <w:r w:rsidRPr="00503070">
        <w:rPr>
          <w:rFonts w:ascii="Arial" w:hAnsi="Arial" w:cs="Arial"/>
          <w:sz w:val="22"/>
          <w:szCs w:val="22"/>
        </w:rPr>
        <w:tab/>
        <w:t>Depuis 2009, diverses mesures ont été continuellement mises en œuvre pour assurer la viabilité et la revitalisation de l’élément. Cela inclut notamment son intégration dans l’éducation formelle dans les écoles maternelles et primaires. Des mesures futures axées sur l’identification et l’archivage, l’éducation et la promotion, et la formation de tous les praticiens dans une perspective de genre sont prévues, et toutes impliquent la participation directe des communautés de détenteurs.</w:t>
      </w:r>
    </w:p>
    <w:p w14:paraId="7CFEC40B"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Le dossier de candidature atteste de la participation continue des praticiens à chaque étape de sa préparation. Ce processus a impliqué une réflexion collaborative et basée sur le dialogue autour de la culture du </w:t>
      </w:r>
      <w:proofErr w:type="spellStart"/>
      <w:r w:rsidRPr="00503070">
        <w:rPr>
          <w:rFonts w:ascii="Arial" w:hAnsi="Arial" w:cs="Arial"/>
          <w:sz w:val="22"/>
          <w:szCs w:val="22"/>
        </w:rPr>
        <w:t>cuarteto</w:t>
      </w:r>
      <w:proofErr w:type="spellEnd"/>
      <w:r w:rsidRPr="00503070">
        <w:rPr>
          <w:rFonts w:ascii="Arial" w:hAnsi="Arial" w:cs="Arial"/>
          <w:sz w:val="22"/>
          <w:szCs w:val="22"/>
        </w:rPr>
        <w:t>, incluant les jeunes, les familles et les femmes, sur des questions telles que le genre, le patrimoine culturel immatériel, la démocratie et l’identité.</w:t>
      </w:r>
    </w:p>
    <w:p w14:paraId="54B3C238" w14:textId="77777777" w:rsidR="00B94C05" w:rsidRPr="00503070" w:rsidRDefault="00B94C05" w:rsidP="00B94C05">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des manifestations du patrimoine culturel immatériel de l’Argentine en 2021. Cet inventaire est géré par l’Agence nationale des biens et lieux culturels du ministère de la Culture et est régulièrement mis à jour.</w:t>
      </w:r>
    </w:p>
    <w:p w14:paraId="0F2ED1A9" w14:textId="77777777" w:rsidR="00B94C05" w:rsidRPr="00503070" w:rsidRDefault="00B94C05" w:rsidP="001E17AF">
      <w:pPr>
        <w:pStyle w:val="ListParagraph"/>
        <w:numPr>
          <w:ilvl w:val="0"/>
          <w:numId w:val="45"/>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122E08C7" w14:textId="77777777" w:rsidR="00B94C05" w:rsidRPr="00503070" w:rsidRDefault="00B94C05" w:rsidP="00B94C05">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L’État partie soumissionnaire indique avec cohérence la manière dont l’inscription de l’élément contribuerait à assurer la visibilité et la prise de conscience de l’importance du patrimoine culturel immatériel aux niveaux local, national et mondial, en promouvant le dialogue interculturel et l’appréciation de la diversité culturelle. Il démontre en outre les contributions de l’élément aux aspects suivants du développement durable : éducation de qualité, égalité des genres, durabilité environnementale, développement économique inclusif, paix et cohésion sociale.</w:t>
      </w:r>
    </w:p>
    <w:p w14:paraId="0B137F9B" w14:textId="77777777" w:rsidR="00B94C05" w:rsidRPr="00503070" w:rsidRDefault="00B94C05" w:rsidP="001E17AF">
      <w:pPr>
        <w:numPr>
          <w:ilvl w:val="0"/>
          <w:numId w:val="45"/>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w:t>
      </w:r>
      <w:r w:rsidRPr="00503070">
        <w:rPr>
          <w:rFonts w:ascii="Arial" w:hAnsi="Arial" w:cs="Arial"/>
          <w:sz w:val="22"/>
          <w:szCs w:val="22"/>
        </w:rPr>
        <w:t xml:space="preserve"> </w:t>
      </w:r>
      <w:proofErr w:type="spellStart"/>
      <w:r w:rsidRPr="00503070">
        <w:rPr>
          <w:rFonts w:ascii="Arial" w:hAnsi="Arial" w:cs="Arial"/>
          <w:b/>
          <w:sz w:val="22"/>
          <w:szCs w:val="22"/>
        </w:rPr>
        <w:t>cuarteto</w:t>
      </w:r>
      <w:proofErr w:type="spellEnd"/>
      <w:r w:rsidRPr="00503070">
        <w:rPr>
          <w:rFonts w:ascii="Arial" w:hAnsi="Arial" w:cs="Arial"/>
          <w:b/>
          <w:sz w:val="22"/>
          <w:szCs w:val="22"/>
        </w:rPr>
        <w:t> : musique, danse et paroles dans la ville de Córdoba, Argentine</w:t>
      </w:r>
      <w:r w:rsidRPr="00503070">
        <w:rPr>
          <w:rFonts w:ascii="Arial" w:hAnsi="Arial" w:cs="Arial"/>
          <w:sz w:val="22"/>
          <w:szCs w:val="22"/>
        </w:rPr>
        <w:t xml:space="preserve"> sur la Liste représentative du patrimoine culturel immatériel de l’humanité ;</w:t>
      </w:r>
    </w:p>
    <w:p w14:paraId="06131176" w14:textId="77777777" w:rsidR="00B94C05" w:rsidRPr="00503070" w:rsidRDefault="00B94C05" w:rsidP="001E17AF">
      <w:pPr>
        <w:pStyle w:val="ListParagraph"/>
        <w:numPr>
          <w:ilvl w:val="0"/>
          <w:numId w:val="45"/>
        </w:numPr>
        <w:ind w:left="567" w:hanging="567"/>
        <w:contextualSpacing w:val="0"/>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d’offrir aux enfants la possibilité de découvrir le patrimoine culturel dès leurs premières années d’éducation.</w:t>
      </w:r>
    </w:p>
    <w:p w14:paraId="24919F88" w14:textId="77777777" w:rsidR="00B94C05" w:rsidRPr="00503070" w:rsidRDefault="00B94C05" w:rsidP="00B94C05">
      <w:pPr>
        <w:pStyle w:val="Heading1"/>
        <w:rPr>
          <w:bCs/>
        </w:rPr>
      </w:pPr>
      <w:r w:rsidRPr="00503070">
        <w:t>DÉCISION 20.COM 7.b.5</w:t>
      </w:r>
    </w:p>
    <w:p w14:paraId="01A1D8B6"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903695A" w14:textId="77777777" w:rsidR="00B94C05" w:rsidRPr="00503070" w:rsidRDefault="00B94C05" w:rsidP="001E17AF">
      <w:pPr>
        <w:numPr>
          <w:ilvl w:val="0"/>
          <w:numId w:val="4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Bangladesh a proposé la candidature de </w:t>
      </w:r>
      <w:r w:rsidRPr="00503070">
        <w:rPr>
          <w:rFonts w:ascii="Arial" w:hAnsi="Arial" w:cs="Arial"/>
          <w:b/>
          <w:sz w:val="22"/>
          <w:szCs w:val="22"/>
        </w:rPr>
        <w:t>l’art traditionnel du tissage de sari de Tangail</w:t>
      </w:r>
      <w:r w:rsidRPr="00503070">
        <w:rPr>
          <w:rFonts w:ascii="Arial" w:hAnsi="Arial" w:cs="Arial"/>
          <w:sz w:val="22"/>
          <w:szCs w:val="22"/>
        </w:rPr>
        <w:t xml:space="preserve"> (n° 02322) pour inscription sur la Liste représentative du patrimoine culturel immatériel de l’humanité :</w:t>
      </w:r>
    </w:p>
    <w:p w14:paraId="52ED741E"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sari est une étoffe traditionnelle tissée à la main caractéristique des communautés </w:t>
      </w:r>
      <w:proofErr w:type="spellStart"/>
      <w:r w:rsidRPr="00503070">
        <w:rPr>
          <w:rFonts w:ascii="Arial" w:hAnsi="Arial" w:cs="Arial"/>
          <w:sz w:val="22"/>
          <w:szCs w:val="22"/>
        </w:rPr>
        <w:t>Basak</w:t>
      </w:r>
      <w:proofErr w:type="spellEnd"/>
      <w:r w:rsidRPr="00503070">
        <w:rPr>
          <w:rFonts w:ascii="Arial" w:hAnsi="Arial" w:cs="Arial"/>
          <w:sz w:val="22"/>
          <w:szCs w:val="22"/>
        </w:rPr>
        <w:t xml:space="preserve"> et </w:t>
      </w:r>
      <w:proofErr w:type="spellStart"/>
      <w:r w:rsidRPr="00503070">
        <w:rPr>
          <w:rFonts w:ascii="Arial" w:hAnsi="Arial" w:cs="Arial"/>
          <w:sz w:val="22"/>
          <w:szCs w:val="22"/>
        </w:rPr>
        <w:t>Jhola</w:t>
      </w:r>
      <w:proofErr w:type="spellEnd"/>
      <w:r w:rsidRPr="00503070">
        <w:rPr>
          <w:rFonts w:ascii="Arial" w:hAnsi="Arial" w:cs="Arial"/>
          <w:sz w:val="22"/>
          <w:szCs w:val="22"/>
        </w:rPr>
        <w:t>, composées respectivement d’hindous et de musulmans. En coton, en soie ou en jute, cette étoffe est réalisée selon une technique spécifique. Les saris de Tangail se caractérisent par leur texture fine, leurs dessins détaillés et leurs motifs locaux, faisant de chaque pièce une œuvre d’art qui reflète les pratiques sociales et culturelles locales. Les saris ont une forte valeur culturelle et sont souvent portés lors des grands festivals, des mariages et de célébrations. Les hommes dirigent généralement le processus de tissage principal, notamment la conception, la teinture du fil et la fabrication du tissu à l’aide du métier à tisser manuel traditionnel. Les femmes aident à fabriquer le fil au moyen d’un rouet traditionnel, à appliquer l’amidon de riz ainsi qu’à apporter les dernières touches. D’autres membres de la famille, y compris des jeunes, aident à préparer le tissu pour la finition.</w:t>
      </w:r>
    </w:p>
    <w:p w14:paraId="7A8C80B5" w14:textId="77777777" w:rsidR="00B94C05" w:rsidRPr="00503070" w:rsidRDefault="00B94C05" w:rsidP="001E17AF">
      <w:pPr>
        <w:keepNext/>
        <w:numPr>
          <w:ilvl w:val="0"/>
          <w:numId w:val="4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B328979"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tisserands célèbrent leur travail à l’occasion de festivals et de cérémonies. Si le sari est le produit le plus connu de l’art du tissage de Tangail, la même méthode de tissage </w:t>
      </w:r>
      <w:r w:rsidRPr="00503070">
        <w:rPr>
          <w:rFonts w:ascii="Arial" w:hAnsi="Arial" w:cs="Arial"/>
          <w:sz w:val="22"/>
          <w:szCs w:val="22"/>
        </w:rPr>
        <w:lastRenderedPageBreak/>
        <w:t>est également utilisée pour fabriquer d’autres types de vêtements. Les connaissances et le savoir-faire associés au tissage traditionnel du sari sont transmis de manière informelle au sein des familles, par l’observation et l’apprentissage pratique, les enfants commençant à apprendre dès leur plus jeune âge. Cette tradition permet non seulement de soutenir les moyens de subsistance locaux, mais elle reflète également une identité culturelle partagée. Symboles de la fierté culturelle et du savoir-faire artisanal, ces saris sont également exposés lors de manifestations nationales et internationales.</w:t>
      </w:r>
    </w:p>
    <w:p w14:paraId="5CD0F28C"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L’État partie soumissionnaire démontre de manière cohérente que la pratique du tissage est inclusive et favorise la coexistence pacifique et créative entre les personnes de genres et de religions différents. La candidature démontre que la laïcité et la paix sont des valeurs fondamentales de la communauté des tisserands, par lesquelles hindous et musulmans coopèrent, travaillant ensemble au même endroit et en cohésion.</w:t>
      </w:r>
    </w:p>
    <w:p w14:paraId="56F5CDFC"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 plan de sauvegarde reflète une approche à multiples facettes et axée sur la communauté. Les mesures proposées visent à relever des défis tels que les coûts de production élevés, l’accès limité au marché et le manque de valorisation. L’un des principaux défis consiste à surmonter la nature fragmentée des mesures de sauvegarde mises en œuvre à ce jour et à trouver des solutions durables pour assurer la continuité de l’élément.</w:t>
      </w:r>
    </w:p>
    <w:p w14:paraId="2EEC1051"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Une équipe composée de membres d’organisations gouvernementales et non gouvernementales, de chercheurs et de représentants des communautés a été chargée de travailler sur le processus de nomination. Les communautés, groupes et individus concernés ont participé à la préparation du dossier de candidature et ont donné leur consentement libre, préalable et éclairé. </w:t>
      </w:r>
    </w:p>
    <w:p w14:paraId="313AD01D"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du patrimoine culturel du Bangladesh en 2024. Cet inventaire a été inauguré en 2022 et est géré par le Musée national du Bangladesh. Le processus de mise à jour de cet inventaire en cours repose sur la participation active des membres de la communauté à des réunions organisées tous les six mois depuis la préparation de l’inventaire. </w:t>
      </w:r>
    </w:p>
    <w:p w14:paraId="384EB676" w14:textId="77777777" w:rsidR="00B94C05" w:rsidRPr="00503070" w:rsidRDefault="00B94C05" w:rsidP="001E17AF">
      <w:pPr>
        <w:numPr>
          <w:ilvl w:val="0"/>
          <w:numId w:val="48"/>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l’art traditionnel du tissage de sari de Tangail</w:t>
      </w:r>
      <w:r w:rsidRPr="00503070">
        <w:rPr>
          <w:rFonts w:ascii="Arial" w:hAnsi="Arial" w:cs="Arial"/>
          <w:sz w:val="22"/>
          <w:szCs w:val="22"/>
        </w:rPr>
        <w:t xml:space="preserve"> sur la Liste représentative du patrimoine culturel immatériel de l’humanité ;</w:t>
      </w:r>
    </w:p>
    <w:p w14:paraId="3EBAA31C" w14:textId="77777777" w:rsidR="00B94C05" w:rsidRPr="00503070" w:rsidRDefault="00B94C05" w:rsidP="001E17AF">
      <w:pPr>
        <w:pStyle w:val="ListParagraph"/>
        <w:numPr>
          <w:ilvl w:val="0"/>
          <w:numId w:val="48"/>
        </w:numPr>
        <w:ind w:left="567" w:hanging="567"/>
        <w:contextualSpacing w:val="0"/>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assurer une forte participation de la communauté à la préparation de la candidature.</w:t>
      </w:r>
    </w:p>
    <w:p w14:paraId="191045A3" w14:textId="77777777" w:rsidR="00B94C05" w:rsidRPr="00503070" w:rsidRDefault="00B94C05" w:rsidP="00B94C05">
      <w:pPr>
        <w:pStyle w:val="Heading1"/>
        <w:rPr>
          <w:bCs/>
        </w:rPr>
      </w:pPr>
      <w:r w:rsidRPr="00503070">
        <w:t>DÉCISION 20.COM 7.b.6</w:t>
      </w:r>
    </w:p>
    <w:p w14:paraId="204C373D"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6EFDB68" w14:textId="77777777" w:rsidR="00B94C05" w:rsidRPr="00503070" w:rsidRDefault="00B94C05" w:rsidP="001E17AF">
      <w:pPr>
        <w:numPr>
          <w:ilvl w:val="0"/>
          <w:numId w:val="4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Belgique a proposé la candidature de </w:t>
      </w:r>
      <w:r w:rsidRPr="00503070">
        <w:rPr>
          <w:rFonts w:ascii="Arial" w:hAnsi="Arial" w:cs="Arial"/>
          <w:b/>
          <w:sz w:val="22"/>
          <w:szCs w:val="22"/>
        </w:rPr>
        <w:t>la tradition de la marionnette à tringle à Bruxelles</w:t>
      </w:r>
      <w:r w:rsidRPr="00503070">
        <w:rPr>
          <w:rFonts w:ascii="Arial" w:hAnsi="Arial" w:cs="Arial"/>
          <w:sz w:val="22"/>
          <w:szCs w:val="22"/>
        </w:rPr>
        <w:t xml:space="preserve"> (n° 02313) pour inscription sur la Liste représentative du patrimoine culturel immatériel de l’humanité :</w:t>
      </w:r>
    </w:p>
    <w:p w14:paraId="5AC0D9C1"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marionnette à tringle est une forme traditionnelle de théâtre héritée des théâtres forains itinérants d’Europe. Les marionnettes sont manipulées à l’aide de tringles métalliques fixées à la tête et au corps. Ces tringles permettent aux marionnettistes de contrôler les mouvements de la marionnette. Cette pratique nécessite le travail d’équipe de six marionnettistes cachés derrière une cabine. Les marionnettistes suivent la voix d’un meneur de jeu, qui incarne tous les personnages en variant les intonations de sa voix. Les pièces, souvent comiques et improvisées en fonction des réactions du public, sont basées sur des histoires de chevalerie, des scènes bibliques et des romans populaires du XIXe siècle. L’utilisation de la langue locale et les références à la culture régionale contribuent à créer un lien fort avec le public. </w:t>
      </w:r>
    </w:p>
    <w:p w14:paraId="336EAB10" w14:textId="77777777" w:rsidR="00B94C05" w:rsidRPr="00503070" w:rsidRDefault="00B94C05" w:rsidP="001E17AF">
      <w:pPr>
        <w:keepNext/>
        <w:numPr>
          <w:ilvl w:val="0"/>
          <w:numId w:val="4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7A55882"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Les rôles des hommes et des femmes dans l’art de la marionnette sont aujourd’hui plus équilibrés, et les hommes et les femmes se partagent aujourd’hui diverses fonctions, des dirigeants aux marionnettistes en passant par les costumiers. Il existe actuellement une trentaine de praticiens de la tradition, dont beaucoup ont été formés dans un théâtre à but non lucratif qui a préservé l’art. La pratique est transmise au sein des théâtres de marionnettes, où les nouveaux apprentis apprennent les techniques de manipulation, de voix et de production. Les spectacles rassemblent des personnes de tous horizons, promouvant la liberté d’expression, la tolérance et l’autodérision.</w:t>
      </w:r>
    </w:p>
    <w:p w14:paraId="5D4148F1"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démontre clairement que cet élément reflète la diversité culturelle et la continuité des pratiques anciennes, favorisant la sensibilisation à l’importance du patrimoine culturel immatériel dans son ensemble. Il encourage notamment la préservation du patrimoine linguistique - plus particulièrement le dialecte bruxellois - et promeut un enseignement de qualité aux niveaux primaire et secondaire. Il est également respectueux de l’environnement, puisqu’il utilise du bois local et des matériaux recyclés.</w:t>
      </w:r>
    </w:p>
    <w:p w14:paraId="2C983DF6"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mesures de sauvegarde de l’élément se concentrent sur : (a) la recherche et la documentation ; (b) le transfert des connaissances aux jeunes générations ; (c) les activités de sensibilisation ; (d) la préservation du dialecte bruxellois, et (e) la promotion du développement durable. Les mesures impliquent la participation de praticiens et le soutien de l’État partie.</w:t>
      </w:r>
    </w:p>
    <w:p w14:paraId="678DDC3C"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La candidature est le fruit d’un long processus de discussion et de renforcement des capacités en matière de gestion du patrimoine culturel immatériel, qui a impliqué la collaboration de praticiens, d’administrateurs et de passionnés du théâtre de marionnettes. La création d’un livre d’or et l’utilisation des médias sociaux ont facilité la communication sur la nomination.</w:t>
      </w:r>
    </w:p>
    <w:p w14:paraId="4846C9C8"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du patrimoine bruxellois en 2018 et dans l’inventaire des chefs-d’œuvre du patrimoine oral et immatériel en 2013. Le premier inventaire est géré par le Département du patrimoine culturel et est régulièrement mis à jour. Le second est géré par l’Administration générale de la culture – Département du patrimoine culturel et mis à jour tous les quatre ans. Les deux inventaires sont établis en collaboration avec les communautés concernées et des experts.</w:t>
      </w:r>
      <w:r w:rsidRPr="00503070" w:rsidDel="00B078AC">
        <w:rPr>
          <w:rFonts w:ascii="Arial" w:hAnsi="Arial" w:cs="Arial"/>
          <w:sz w:val="22"/>
          <w:szCs w:val="22"/>
        </w:rPr>
        <w:t xml:space="preserve"> </w:t>
      </w:r>
    </w:p>
    <w:p w14:paraId="5EB7CB48" w14:textId="77777777" w:rsidR="00B94C05" w:rsidRPr="00503070" w:rsidRDefault="00B94C05" w:rsidP="001E17AF">
      <w:pPr>
        <w:numPr>
          <w:ilvl w:val="0"/>
          <w:numId w:val="47"/>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tradition de la marionnette à tringle à Bruxelles</w:t>
      </w:r>
      <w:r w:rsidRPr="00503070">
        <w:rPr>
          <w:rFonts w:ascii="Arial" w:hAnsi="Arial" w:cs="Arial"/>
          <w:sz w:val="22"/>
          <w:szCs w:val="22"/>
        </w:rPr>
        <w:t xml:space="preserve"> sur la Liste représentative du patrimoine culturel immatériel de l’humanité.</w:t>
      </w:r>
    </w:p>
    <w:p w14:paraId="4BFE69E3" w14:textId="77777777" w:rsidR="00B94C05" w:rsidRPr="00503070" w:rsidRDefault="00B94C05" w:rsidP="00B94C05">
      <w:pPr>
        <w:pStyle w:val="Heading1"/>
        <w:rPr>
          <w:bCs/>
        </w:rPr>
      </w:pPr>
      <w:r w:rsidRPr="00503070">
        <w:t>DÉCISION 20.COM 7.b.7</w:t>
      </w:r>
    </w:p>
    <w:p w14:paraId="7A311668"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48359808" w14:textId="77777777" w:rsidR="00B94C05" w:rsidRPr="00503070" w:rsidRDefault="00B94C05" w:rsidP="001E17AF">
      <w:pPr>
        <w:numPr>
          <w:ilvl w:val="0"/>
          <w:numId w:val="4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Belize a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bram</w:t>
      </w:r>
      <w:proofErr w:type="spellEnd"/>
      <w:r w:rsidRPr="00503070">
        <w:rPr>
          <w:rFonts w:ascii="Arial" w:hAnsi="Arial" w:cs="Arial"/>
          <w:b/>
          <w:sz w:val="22"/>
          <w:szCs w:val="22"/>
        </w:rPr>
        <w:t xml:space="preserve"> de Noël et le </w:t>
      </w:r>
      <w:proofErr w:type="spellStart"/>
      <w:r w:rsidRPr="00503070">
        <w:rPr>
          <w:rFonts w:ascii="Arial" w:hAnsi="Arial" w:cs="Arial"/>
          <w:b/>
          <w:sz w:val="22"/>
          <w:szCs w:val="22"/>
        </w:rPr>
        <w:t>sambai</w:t>
      </w:r>
      <w:proofErr w:type="spellEnd"/>
      <w:r w:rsidRPr="00503070">
        <w:rPr>
          <w:rFonts w:ascii="Arial" w:hAnsi="Arial" w:cs="Arial"/>
          <w:b/>
          <w:sz w:val="22"/>
          <w:szCs w:val="22"/>
        </w:rPr>
        <w:t xml:space="preserve"> de Gales Point </w:t>
      </w:r>
      <w:proofErr w:type="spellStart"/>
      <w:r w:rsidRPr="00503070">
        <w:rPr>
          <w:rFonts w:ascii="Arial" w:hAnsi="Arial" w:cs="Arial"/>
          <w:b/>
          <w:sz w:val="22"/>
          <w:szCs w:val="22"/>
        </w:rPr>
        <w:t>Manatee</w:t>
      </w:r>
      <w:proofErr w:type="spellEnd"/>
      <w:r w:rsidRPr="00503070">
        <w:rPr>
          <w:rFonts w:ascii="Arial" w:hAnsi="Arial" w:cs="Arial"/>
          <w:b/>
          <w:sz w:val="22"/>
          <w:szCs w:val="22"/>
        </w:rPr>
        <w:t xml:space="preserve"> au Belize</w:t>
      </w:r>
      <w:r w:rsidRPr="00503070">
        <w:rPr>
          <w:rFonts w:ascii="Arial" w:hAnsi="Arial" w:cs="Arial"/>
          <w:sz w:val="22"/>
          <w:szCs w:val="22"/>
        </w:rPr>
        <w:t xml:space="preserve"> (n° 02298) pour inscription sur la Liste représentative du patrimoine culturel immatériel de l’humanité :</w:t>
      </w:r>
    </w:p>
    <w:p w14:paraId="4B16354F"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bram</w:t>
      </w:r>
      <w:proofErr w:type="spellEnd"/>
      <w:r w:rsidRPr="00503070">
        <w:rPr>
          <w:rFonts w:ascii="Arial" w:hAnsi="Arial" w:cs="Arial"/>
          <w:sz w:val="22"/>
          <w:szCs w:val="22"/>
        </w:rPr>
        <w:t xml:space="preserve"> de Noël et le </w:t>
      </w:r>
      <w:proofErr w:type="spellStart"/>
      <w:r w:rsidRPr="00503070">
        <w:rPr>
          <w:rFonts w:ascii="Arial" w:hAnsi="Arial" w:cs="Arial"/>
          <w:sz w:val="22"/>
          <w:szCs w:val="22"/>
        </w:rPr>
        <w:t>sambai</w:t>
      </w:r>
      <w:proofErr w:type="spellEnd"/>
      <w:r w:rsidRPr="00503070">
        <w:rPr>
          <w:rFonts w:ascii="Arial" w:hAnsi="Arial" w:cs="Arial"/>
          <w:sz w:val="22"/>
          <w:szCs w:val="22"/>
        </w:rPr>
        <w:t xml:space="preserve"> sont des célébrations culturelles annuelles qui ont lieu les 25 et 26 décembre dans le village de Gales Point </w:t>
      </w:r>
      <w:proofErr w:type="spellStart"/>
      <w:r w:rsidRPr="00503070">
        <w:rPr>
          <w:rFonts w:ascii="Arial" w:hAnsi="Arial" w:cs="Arial"/>
          <w:sz w:val="22"/>
          <w:szCs w:val="22"/>
        </w:rPr>
        <w:t>Manatee</w:t>
      </w:r>
      <w:proofErr w:type="spellEnd"/>
      <w:r w:rsidRPr="00503070">
        <w:rPr>
          <w:rFonts w:ascii="Arial" w:hAnsi="Arial" w:cs="Arial"/>
          <w:sz w:val="22"/>
          <w:szCs w:val="22"/>
        </w:rPr>
        <w:t xml:space="preserve">, situé sur une péninsule à l’intérieur de la lagune sud, sur la côte centrale du Belize. Profondément ancrées dans l’héritage africain, ces festivités favorisent l’unité et le partage d’un sentiment d’identité au sein de la communauté praticienne. Le </w:t>
      </w:r>
      <w:proofErr w:type="spellStart"/>
      <w:r w:rsidRPr="00503070">
        <w:rPr>
          <w:rFonts w:ascii="Arial" w:hAnsi="Arial" w:cs="Arial"/>
          <w:sz w:val="22"/>
          <w:szCs w:val="22"/>
        </w:rPr>
        <w:t>bram</w:t>
      </w:r>
      <w:proofErr w:type="spellEnd"/>
      <w:r w:rsidRPr="00503070">
        <w:rPr>
          <w:rFonts w:ascii="Arial" w:hAnsi="Arial" w:cs="Arial"/>
          <w:sz w:val="22"/>
          <w:szCs w:val="22"/>
        </w:rPr>
        <w:t xml:space="preserve"> commence par les chants et les danses des participants, sur le principe de l’appel et réponse, qui se déplacent de maison en maison, accompagnés par des instruments fabriqués localement, tels que les tambours « </w:t>
      </w:r>
      <w:proofErr w:type="spellStart"/>
      <w:r w:rsidRPr="00503070">
        <w:rPr>
          <w:rFonts w:ascii="Arial" w:hAnsi="Arial" w:cs="Arial"/>
          <w:sz w:val="22"/>
          <w:szCs w:val="22"/>
        </w:rPr>
        <w:t>gumbay</w:t>
      </w:r>
      <w:proofErr w:type="spellEnd"/>
      <w:r w:rsidRPr="00503070">
        <w:rPr>
          <w:rFonts w:ascii="Arial" w:hAnsi="Arial" w:cs="Arial"/>
          <w:sz w:val="22"/>
          <w:szCs w:val="22"/>
        </w:rPr>
        <w:t> » et « </w:t>
      </w:r>
      <w:proofErr w:type="spellStart"/>
      <w:r w:rsidRPr="00503070">
        <w:rPr>
          <w:rFonts w:ascii="Arial" w:hAnsi="Arial" w:cs="Arial"/>
          <w:sz w:val="22"/>
          <w:szCs w:val="22"/>
        </w:rPr>
        <w:t>sambai</w:t>
      </w:r>
      <w:proofErr w:type="spellEnd"/>
      <w:r w:rsidRPr="00503070">
        <w:rPr>
          <w:rFonts w:ascii="Arial" w:hAnsi="Arial" w:cs="Arial"/>
          <w:sz w:val="22"/>
          <w:szCs w:val="22"/>
        </w:rPr>
        <w:t xml:space="preserve"> ». Les hôtes offrent de la nourriture et des boissons pour accueillir les danseurs. La procession de </w:t>
      </w:r>
      <w:proofErr w:type="spellStart"/>
      <w:r w:rsidRPr="00503070">
        <w:rPr>
          <w:rFonts w:ascii="Arial" w:hAnsi="Arial" w:cs="Arial"/>
          <w:sz w:val="22"/>
          <w:szCs w:val="22"/>
        </w:rPr>
        <w:t>bram</w:t>
      </w:r>
      <w:proofErr w:type="spellEnd"/>
      <w:r w:rsidRPr="00503070">
        <w:rPr>
          <w:rFonts w:ascii="Arial" w:hAnsi="Arial" w:cs="Arial"/>
          <w:sz w:val="22"/>
          <w:szCs w:val="22"/>
        </w:rPr>
        <w:t xml:space="preserve"> part de l’extrémité nord de la péninsule le jour de Noël et se termine à l’extrémité sud, en inversant le sens le lendemain de Noël. </w:t>
      </w:r>
    </w:p>
    <w:p w14:paraId="2E07FFB3" w14:textId="77777777" w:rsidR="00B94C05" w:rsidRPr="00503070" w:rsidRDefault="00B94C05" w:rsidP="001E17AF">
      <w:pPr>
        <w:keepNext/>
        <w:numPr>
          <w:ilvl w:val="0"/>
          <w:numId w:val="4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3E9545E"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La danse </w:t>
      </w:r>
      <w:proofErr w:type="spellStart"/>
      <w:r w:rsidRPr="00503070">
        <w:rPr>
          <w:rFonts w:ascii="Arial" w:hAnsi="Arial" w:cs="Arial"/>
          <w:sz w:val="22"/>
          <w:szCs w:val="22"/>
        </w:rPr>
        <w:t>sambai</w:t>
      </w:r>
      <w:proofErr w:type="spellEnd"/>
      <w:r w:rsidRPr="00503070">
        <w:rPr>
          <w:rFonts w:ascii="Arial" w:hAnsi="Arial" w:cs="Arial"/>
          <w:sz w:val="22"/>
          <w:szCs w:val="22"/>
        </w:rPr>
        <w:t>, qui était autrefois associée à la plantation des cultures et à la parade nuptiale, se déroule la nuit, les participants dansant autour d’un feu de joie. Au cours de cet événement, des batteurs et des chanteurs interprètent des chansons traditionnelles et modernes qui traitent de questions sociales. Les festivités se terminent par une danse en cercle qui symbolise la paix et l’unité. Les hommes jouent du tambour et fabriquent des instruments, tandis que les femmes transmettent les chants et les danses, sensibilisant la population à la tradition. Les connaissances et les compétences correspondantes sont transmises principalement par l’observation. Les célébrations renforcent les liens et l’identité culturelle</w:t>
      </w:r>
      <w:r w:rsidRPr="00503070" w:rsidDel="00222FED">
        <w:rPr>
          <w:rFonts w:ascii="Arial" w:hAnsi="Arial" w:cs="Arial"/>
          <w:sz w:val="22"/>
          <w:szCs w:val="22"/>
        </w:rPr>
        <w:t xml:space="preserve"> </w:t>
      </w:r>
      <w:r w:rsidRPr="00503070">
        <w:rPr>
          <w:rFonts w:ascii="Arial" w:hAnsi="Arial" w:cs="Arial"/>
          <w:sz w:val="22"/>
          <w:szCs w:val="22"/>
        </w:rPr>
        <w:t>de la communauté. Elles relient également le passé au présent et contribuent à atténuer les risques liés au développement et à la mondialisation.</w:t>
      </w:r>
    </w:p>
    <w:p w14:paraId="29564190"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La candidature démontre clairement que l’inscription de cet élément contribuerait à assurer la visibilité et la sensibilisation à l’importance du patrimoine culturel immatériel, et à encourager le dialogue dans quatre domaines liés au développement durable : la paix et la cohésion sociale, la durabilité environnementale, l’égalité des genres ainsi qu’une éducation de qualité. De plus, en mettant en valeur l’héritage africain vivant dans les Caraïbes et en Amérique centrale, son inscription pourrait promouvoir le dialogue culturel aux niveaux régional et mondial, en attirant l’attention sur l’importance et la vitalité de la présence créole. </w:t>
      </w:r>
    </w:p>
    <w:p w14:paraId="6D1DF99E"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 xml:space="preserve">La communauté a travaillé avec les institutions gouvernementales pour sauvegarder l’élément par le biais de diverses mesures, notamment des activités de documentation et d’inventaire, le recrutement de praticiens, la transmission de connaissances et la mise à disposition d’un espace pour la sensibilisation et la pratique. Selon le dossier de candidature, les initiatives de sauvegarde en cours incluent un projet financé par l’UNESCO visant à renforcer les capacités de réduction des risques de catastrophe en lien avec la protection du patrimoine culturel immatériel. </w:t>
      </w:r>
    </w:p>
    <w:p w14:paraId="31FE071A"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La communauté a travaillé de manière continue avec les institutions gouvernementales pour réaliser l’inventaire initial de l’élément (2013-2017), la mise à jour de cet inventaire (2023-2024) et la préparation du dossier de candidature. </w:t>
      </w:r>
    </w:p>
    <w:p w14:paraId="79634F14"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inscrit au patrimoine vivant du Belize : Inventaire des célébrations culturelles en 2012 et mis à jour en 2024. La liste est gérée par l’Institut de recherche sociale et culturelle et est mise à jour annuellement ou semestriellement pour la plupart des éléments de l’inventaire. Le processus de mise à jour est mené par le personnel de l’Institut d’études sociales et culturelles, en collaboration avec les communautés et les praticiens.</w:t>
      </w:r>
    </w:p>
    <w:p w14:paraId="71DD9BE9" w14:textId="77777777" w:rsidR="00B94C05" w:rsidRPr="00503070" w:rsidRDefault="00B94C05" w:rsidP="001E17AF">
      <w:pPr>
        <w:numPr>
          <w:ilvl w:val="0"/>
          <w:numId w:val="46"/>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w:t>
      </w:r>
      <w:proofErr w:type="spellStart"/>
      <w:r w:rsidRPr="00503070">
        <w:rPr>
          <w:rFonts w:ascii="Arial" w:hAnsi="Arial" w:cs="Arial"/>
          <w:b/>
          <w:sz w:val="22"/>
          <w:szCs w:val="22"/>
        </w:rPr>
        <w:t>bram</w:t>
      </w:r>
      <w:proofErr w:type="spellEnd"/>
      <w:r w:rsidRPr="00503070">
        <w:rPr>
          <w:rFonts w:ascii="Arial" w:hAnsi="Arial" w:cs="Arial"/>
          <w:b/>
          <w:sz w:val="22"/>
          <w:szCs w:val="22"/>
        </w:rPr>
        <w:t xml:space="preserve"> de Noël et le </w:t>
      </w:r>
      <w:proofErr w:type="spellStart"/>
      <w:r w:rsidRPr="00503070">
        <w:rPr>
          <w:rFonts w:ascii="Arial" w:hAnsi="Arial" w:cs="Arial"/>
          <w:b/>
          <w:sz w:val="22"/>
          <w:szCs w:val="22"/>
        </w:rPr>
        <w:t>sambai</w:t>
      </w:r>
      <w:proofErr w:type="spellEnd"/>
      <w:r w:rsidRPr="00503070">
        <w:rPr>
          <w:rFonts w:ascii="Arial" w:hAnsi="Arial" w:cs="Arial"/>
          <w:b/>
          <w:sz w:val="22"/>
          <w:szCs w:val="22"/>
        </w:rPr>
        <w:t xml:space="preserve"> de Gales Point </w:t>
      </w:r>
      <w:proofErr w:type="spellStart"/>
      <w:r w:rsidRPr="00503070">
        <w:rPr>
          <w:rFonts w:ascii="Arial" w:hAnsi="Arial" w:cs="Arial"/>
          <w:b/>
          <w:sz w:val="22"/>
          <w:szCs w:val="22"/>
        </w:rPr>
        <w:t>Manatee</w:t>
      </w:r>
      <w:proofErr w:type="spellEnd"/>
      <w:r w:rsidRPr="00503070">
        <w:rPr>
          <w:rFonts w:ascii="Arial" w:hAnsi="Arial" w:cs="Arial"/>
          <w:b/>
          <w:sz w:val="22"/>
          <w:szCs w:val="22"/>
        </w:rPr>
        <w:t xml:space="preserve"> au Belize</w:t>
      </w:r>
      <w:r w:rsidRPr="00503070">
        <w:rPr>
          <w:rFonts w:ascii="Arial" w:hAnsi="Arial" w:cs="Arial"/>
          <w:sz w:val="22"/>
          <w:szCs w:val="22"/>
        </w:rPr>
        <w:t xml:space="preserve"> sur la Liste représentative du patrimoine culturel immatériel de l’humanité.</w:t>
      </w:r>
    </w:p>
    <w:p w14:paraId="5DB33E57" w14:textId="77777777" w:rsidR="00B94C05" w:rsidRPr="00503070" w:rsidRDefault="00B94C05" w:rsidP="00B94C05">
      <w:pPr>
        <w:pStyle w:val="Heading1"/>
        <w:rPr>
          <w:bCs/>
        </w:rPr>
      </w:pPr>
      <w:r w:rsidRPr="00503070">
        <w:t>DÉCISION 20.COM 7.b.8</w:t>
      </w:r>
    </w:p>
    <w:p w14:paraId="406B83D2"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7ACDE8F" w14:textId="77777777" w:rsidR="00B94C05" w:rsidRPr="00503070" w:rsidRDefault="00B94C05" w:rsidP="001E17AF">
      <w:pPr>
        <w:numPr>
          <w:ilvl w:val="0"/>
          <w:numId w:val="4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l’État plurinational de Bolivie a proposé la candidature de </w:t>
      </w:r>
      <w:r w:rsidRPr="00503070">
        <w:rPr>
          <w:rFonts w:ascii="Arial" w:hAnsi="Arial" w:cs="Arial"/>
          <w:b/>
          <w:sz w:val="22"/>
          <w:szCs w:val="22"/>
        </w:rPr>
        <w:t>la Fête de la Vierge de Guadalupe, patronne de Sucre</w:t>
      </w:r>
      <w:r w:rsidRPr="00503070">
        <w:rPr>
          <w:rFonts w:ascii="Arial" w:hAnsi="Arial" w:cs="Arial"/>
          <w:sz w:val="22"/>
          <w:szCs w:val="22"/>
        </w:rPr>
        <w:t xml:space="preserve"> (n° 02306) pour inscription sur la Liste représentative du patrimoine culturel immatériel de l’humanité :</w:t>
      </w:r>
    </w:p>
    <w:p w14:paraId="3DE31AE5"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Fête de la Vierge de Guadalupe est un événement religieux et culturel, qui se tient chaque année à Sucre. Cette manifestation honore la Vierge de Guadalupe, considérée par beaucoup comme une protectrice spirituelle. Coordonnée par l’Église catholique et l’Association des groupes folkloriques, cette célébration associe la foi à la musique, à la danse et à l’art traditionnel. Elle commence par le transfert de l’image de la Vierge dans la cathédrale de la </w:t>
      </w:r>
      <w:r w:rsidRPr="00503070">
        <w:rPr>
          <w:rFonts w:ascii="Arial" w:hAnsi="Arial" w:cs="Arial"/>
          <w:sz w:val="22"/>
          <w:szCs w:val="22"/>
        </w:rPr>
        <w:lastRenderedPageBreak/>
        <w:t xml:space="preserve">ville et se poursuit par des prières quotidiennes, des processions aux chandelles, des spectacles musicaux et des célébrations publiques. </w:t>
      </w:r>
    </w:p>
    <w:p w14:paraId="4C8BA246" w14:textId="77777777" w:rsidR="00B94C05" w:rsidRPr="00503070" w:rsidRDefault="00B94C05" w:rsidP="001E17AF">
      <w:pPr>
        <w:keepNext/>
        <w:numPr>
          <w:ilvl w:val="0"/>
          <w:numId w:val="4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23DD4487" w14:textId="77777777" w:rsidR="00B94C05" w:rsidRPr="00503070" w:rsidRDefault="00B94C05" w:rsidP="00B94C05">
      <w:pPr>
        <w:tabs>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R.1 :</w:t>
      </w:r>
      <w:r w:rsidRPr="00503070">
        <w:rPr>
          <w:rFonts w:ascii="Arial" w:hAnsi="Arial" w:cs="Arial"/>
          <w:sz w:val="22"/>
          <w:szCs w:val="22"/>
          <w:shd w:val="clear" w:color="auto" w:fill="FFFFFF"/>
        </w:rPr>
        <w:tab/>
        <w:t>Les principaux événements du festival sont une messe, une procession, une promesse de foi et l’entrée folklorique, où des milliers de danseurs, de musiciens et de chanteurs se produisent. Les chants et prières sont souvent récités dans la langue autochtone, le quechua. Plus de 150 groupes de danse et de nombreuses écoles y participent, vêtus de costumes colorés fabriqués par des artisans locaux. L’orfèvrerie et les vêtements faits main jouent également un rôle important dans les offres et les présentations. Les connaissances et le savoir-faire associés à la fête sont transmis au sein des familles, par le biais de récits et de la participation. Les jeunes apprennent auprès de leurs parents ainsi que dans le cadre de cours de catéchisme, tandis que les écoles contribuent à la transmission de la tradition en faisant participer les élèves à des spectacles culturels. Des danseurs, des musiciens et des artisans contribuent également à maintenir les pratiques vivantes. Cette fête renforce les liens de la communauté tout en encourageant la coopération et la fierté culturelle.</w:t>
      </w:r>
    </w:p>
    <w:p w14:paraId="7A9AB480" w14:textId="77777777" w:rsidR="00B94C05" w:rsidRPr="00503070" w:rsidRDefault="00B94C05" w:rsidP="00B94C05">
      <w:pPr>
        <w:tabs>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shd w:val="clear" w:color="auto" w:fill="FFFFFF"/>
        </w:rPr>
        <w:t>R.3 :</w:t>
      </w:r>
      <w:r w:rsidRPr="00503070">
        <w:rPr>
          <w:rFonts w:ascii="Arial" w:hAnsi="Arial" w:cs="Arial"/>
          <w:sz w:val="22"/>
          <w:szCs w:val="22"/>
          <w:shd w:val="clear" w:color="auto" w:fill="FFFFFF"/>
        </w:rPr>
        <w:tab/>
        <w:t>La formulation des mesures de sauvegarde s’appuie sur un cadre technique, juridique et administratif conçu pour soutenir les actions aux niveaux municipal, départemental et national. Afin de préserver la mémoire collective, les éléments et les objectifs qui font partie du festival, ainsi que les procédures d’inventaire et d’enregistrement des éléments associés, ont été adoptés par les institutions compétentes. Enfin, la diffusion du festival et son intégration dans le système éducatif pour la formation des jeunes contribuent à la sauvegarde de l’élément.</w:t>
      </w:r>
    </w:p>
    <w:p w14:paraId="1C0B7AF4" w14:textId="77777777" w:rsidR="00B94C05" w:rsidRPr="00503070" w:rsidRDefault="00B94C05" w:rsidP="00B94C05">
      <w:pPr>
        <w:tabs>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shd w:val="clear" w:color="auto" w:fill="FFFFFF"/>
        </w:rPr>
        <w:t>R.4 :</w:t>
      </w:r>
      <w:r w:rsidRPr="00503070">
        <w:rPr>
          <w:rFonts w:ascii="Arial" w:hAnsi="Arial" w:cs="Arial"/>
          <w:sz w:val="22"/>
          <w:szCs w:val="22"/>
          <w:shd w:val="clear" w:color="auto" w:fill="FFFFFF"/>
        </w:rPr>
        <w:tab/>
        <w:t>Le dossier de candidature témoigne d’une participation large et active d’un large éventail de représentants de la communauté, de groupes religieux et d’entités gouvernementales locales. Le consentement libre, préalable et éclairé est bien documenté, avec des preuves écrites et orales.</w:t>
      </w:r>
    </w:p>
    <w:p w14:paraId="7F789E34" w14:textId="77777777" w:rsidR="00B94C05" w:rsidRPr="00503070" w:rsidRDefault="00B94C05" w:rsidP="001E17AF">
      <w:pPr>
        <w:pStyle w:val="ListParagraph"/>
        <w:numPr>
          <w:ilvl w:val="0"/>
          <w:numId w:val="50"/>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soumissionnaire dans le cadre du processus de dialogue, la candidature satisfait aux critères suivants d’inscription sur la Liste représentative du patrimoine culturel immatériel de l’humanité :</w:t>
      </w:r>
    </w:p>
    <w:p w14:paraId="515A409A" w14:textId="77777777" w:rsidR="00B94C05" w:rsidRPr="00503070" w:rsidRDefault="00B94C05" w:rsidP="00B94C05">
      <w:pPr>
        <w:tabs>
          <w:tab w:val="left" w:pos="2268"/>
        </w:tabs>
        <w:spacing w:before="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r>
      <w:r w:rsidRPr="00503070">
        <w:rPr>
          <w:rFonts w:ascii="Arial" w:hAnsi="Arial" w:cs="Arial"/>
          <w:sz w:val="22"/>
          <w:szCs w:val="22"/>
          <w:shd w:val="clear" w:color="auto" w:fill="FFFFFF"/>
        </w:rPr>
        <w:t xml:space="preserve">L’État partie soumissionnaire démontre que l’inscription de l’élément assurerait la visibilité et la sensibilisation au patrimoine culturel immatériel, encouragerait le dialogue dans le respect de la diversité culturelle et favoriserait la créativité humaine. </w:t>
      </w:r>
      <w:r w:rsidRPr="00503070">
        <w:rPr>
          <w:rFonts w:ascii="Arial" w:hAnsi="Arial" w:cs="Arial"/>
          <w:sz w:val="22"/>
          <w:szCs w:val="22"/>
        </w:rPr>
        <w:t>En outre, le dossier de candidature démontre largement et de manière affirmative la pertinence de l’élément pour le développement durable, car il favorise la coexistence pacifique, la cohésion sociale de divers groupes, l’égalité des genres et des générations qui est promue par les écoles, ainsi que la production de ressources économiques qui peuvent atteindre divers groupes et acteurs.</w:t>
      </w:r>
    </w:p>
    <w:p w14:paraId="0E6D3CC6" w14:textId="77777777" w:rsidR="00B94C05" w:rsidRPr="00503070" w:rsidRDefault="00B94C05" w:rsidP="00B94C05">
      <w:pPr>
        <w:tabs>
          <w:tab w:val="left" w:pos="2268"/>
        </w:tabs>
        <w:spacing w:before="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est inclus dans l’inventaire du patrimoine culturel immatériel. L’inventaire est géré par le </w:t>
      </w:r>
      <w:proofErr w:type="gramStart"/>
      <w:r w:rsidRPr="00503070">
        <w:rPr>
          <w:rFonts w:ascii="Arial" w:hAnsi="Arial" w:cs="Arial"/>
          <w:sz w:val="22"/>
          <w:szCs w:val="22"/>
        </w:rPr>
        <w:t>Ministère des cultures</w:t>
      </w:r>
      <w:proofErr w:type="gramEnd"/>
      <w:r w:rsidRPr="00503070">
        <w:rPr>
          <w:rFonts w:ascii="Arial" w:hAnsi="Arial" w:cs="Arial"/>
          <w:sz w:val="22"/>
          <w:szCs w:val="22"/>
        </w:rPr>
        <w:t xml:space="preserve">, de la décolonisation et de la </w:t>
      </w:r>
      <w:proofErr w:type="spellStart"/>
      <w:r w:rsidRPr="00503070">
        <w:rPr>
          <w:rFonts w:ascii="Arial" w:hAnsi="Arial" w:cs="Arial"/>
          <w:sz w:val="22"/>
          <w:szCs w:val="22"/>
        </w:rPr>
        <w:t>dépatriarcalisation</w:t>
      </w:r>
      <w:proofErr w:type="spellEnd"/>
      <w:r w:rsidRPr="00503070">
        <w:rPr>
          <w:rFonts w:ascii="Arial" w:hAnsi="Arial" w:cs="Arial"/>
          <w:sz w:val="22"/>
          <w:szCs w:val="22"/>
        </w:rPr>
        <w:t xml:space="preserve">, qui est chargé de son actualisation régulière (la dernière mise à jour ayant eu lieu en 2024), avec la participation des communautés concernées. Il existe également des documents d’inventaire dans les Archives et la Bibliothèque nationales de Bolivie, ainsi que dans la </w:t>
      </w:r>
      <w:proofErr w:type="spellStart"/>
      <w:r w:rsidRPr="00503070">
        <w:rPr>
          <w:rFonts w:ascii="Arial" w:hAnsi="Arial" w:cs="Arial"/>
          <w:sz w:val="22"/>
          <w:szCs w:val="22"/>
        </w:rPr>
        <w:t>Biblioteca</w:t>
      </w:r>
      <w:proofErr w:type="spellEnd"/>
      <w:r w:rsidRPr="00503070">
        <w:rPr>
          <w:rFonts w:ascii="Arial" w:hAnsi="Arial" w:cs="Arial"/>
          <w:sz w:val="22"/>
          <w:szCs w:val="22"/>
        </w:rPr>
        <w:t xml:space="preserve"> de l’archidiocèse de Sucre.</w:t>
      </w:r>
    </w:p>
    <w:p w14:paraId="0FC12FD4" w14:textId="77777777" w:rsidR="00B94C05" w:rsidRPr="00503070" w:rsidRDefault="00B94C05" w:rsidP="001E17AF">
      <w:pPr>
        <w:numPr>
          <w:ilvl w:val="0"/>
          <w:numId w:val="50"/>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Fête de la Vierge de Guadalupe, patronne de Sucre</w:t>
      </w:r>
      <w:r w:rsidRPr="00503070">
        <w:rPr>
          <w:rFonts w:ascii="Arial" w:hAnsi="Arial" w:cs="Arial"/>
          <w:sz w:val="22"/>
          <w:szCs w:val="22"/>
        </w:rPr>
        <w:t xml:space="preserve"> sur la Liste représentative du patrimoine culturel immatériel de l’humanité.</w:t>
      </w:r>
    </w:p>
    <w:p w14:paraId="01549ED4" w14:textId="77777777" w:rsidR="00B94C05" w:rsidRPr="00503070" w:rsidRDefault="00B94C05" w:rsidP="00B94C05">
      <w:pPr>
        <w:pStyle w:val="Heading1"/>
        <w:rPr>
          <w:bCs/>
        </w:rPr>
      </w:pPr>
      <w:r w:rsidRPr="00503070">
        <w:lastRenderedPageBreak/>
        <w:t>DÉCISION 20.COM 7.b.9</w:t>
      </w:r>
    </w:p>
    <w:p w14:paraId="265DD115" w14:textId="77777777" w:rsidR="00B94C05" w:rsidRPr="00503070" w:rsidRDefault="00B94C05" w:rsidP="00B94C05">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82AD098" w14:textId="77777777" w:rsidR="00B94C05" w:rsidRPr="00503070" w:rsidRDefault="00B94C05" w:rsidP="001E17AF">
      <w:pPr>
        <w:numPr>
          <w:ilvl w:val="0"/>
          <w:numId w:val="51"/>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Bulgarie a proposé la candidature des</w:t>
      </w:r>
      <w:r w:rsidRPr="00503070">
        <w:rPr>
          <w:rFonts w:ascii="Arial" w:hAnsi="Arial" w:cs="Arial"/>
          <w:b/>
          <w:sz w:val="22"/>
          <w:szCs w:val="22"/>
        </w:rPr>
        <w:t xml:space="preserve"> cornemuses et la pratique de la cornemuse en Bulgarie : transmission des connaissances et des savoir-faire</w:t>
      </w:r>
      <w:r w:rsidRPr="00503070">
        <w:rPr>
          <w:rFonts w:ascii="Arial" w:hAnsi="Arial" w:cs="Arial"/>
          <w:sz w:val="22"/>
          <w:szCs w:val="22"/>
        </w:rPr>
        <w:t xml:space="preserve"> (n° 02265) pour inscription sur la Liste représentative du patrimoine culturel :</w:t>
      </w:r>
    </w:p>
    <w:p w14:paraId="1D9144E1" w14:textId="77777777" w:rsidR="00B94C05" w:rsidRPr="00503070" w:rsidRDefault="00B94C05" w:rsidP="00B94C05">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cornemuse est un instrument à vent traditionnel composé d’une poche en cuir reliée à un chalumeau (tuyau muni de trous pour les doigts et d’une anche), à un bourdon (tuyau produisant un son continu) et à un bouffoir servant à remplir la poche d’air. Il en existe différents types selon la tessiture : aiguë, moyenne et grave. La cornemuse est jouée lors d’événements sociaux et culturels, notamment lors de danses folkloriques, de repas festifs, de rituels et de rassemblements. Elle peut être jouée seule ou au sein d’un ensemble et est parfois accompagnée de chants. </w:t>
      </w:r>
    </w:p>
    <w:p w14:paraId="690C2BF3" w14:textId="77777777" w:rsidR="00B94C05" w:rsidRPr="00503070" w:rsidRDefault="00B94C05" w:rsidP="001E17AF">
      <w:pPr>
        <w:keepNext/>
        <w:numPr>
          <w:ilvl w:val="0"/>
          <w:numId w:val="51"/>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12FEFCAC"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 savoir-faire relatif à la fabrication et à la pratique de la cornemuse se transmet au sein des familles et des communautés, souvent par l’observation et l’apprentissage à l’oreille. Tandis que cette pratique se transmettait principalement de père en fils, elle s’étend désormais aux femmes et aux filles. Aujourd’hui, l’enseignement de la cornemuse se fait également dans les centres de la communauté, les écoles de musique et les universités. Les chefs de groupe, les enseignants et les artisans qualifiés jouent un rôle clé dans l’enseignement et le maintien de la tradition, et les festivals, concours et rassemblements folkloriques offrent davantage d’occasions de partager et de développer des compétences. Élément clé de la vie quotidienne et de certaines occasions spéciales, la cornemuse relie les gens à leurs racines, renforce l’identité de la communauté et encourage le partage des connaissances et la solidarité par le biais de groupes et de clubs de cornemuse.</w:t>
      </w:r>
    </w:p>
    <w:p w14:paraId="5B2FFB78"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montre comment la musique de cornemuse a un fort impact social en rassemblant les communautés tout en favorisant le respect de leur diversité culturelle. Il démontre également comment l’inscription de cet élément contribuerait à sa visibilité et au développement durable dans trois domaines principaux : une éducation de qualité, dans le contexte de l’éducation formelle et informelle ; un développement économique inclusif, qui se manifeste par la professionnalisation des praticiens et le renforcement du tourisme culturel ; et la durabilité environnementale, puisque les cornemuses sont fabriquées à partir de ressources locales qui ne menacent pas l’environnement naturel. En outre, le dossier de candidature montre que les initiatives de la communauté des joueurs de cornemuse contribuent à la cohésion sociale, à la transmission des connaissances et des compétences et au respect de la diversité culturelle.</w:t>
      </w:r>
    </w:p>
    <w:p w14:paraId="5ACF1225"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La candidature comprend une série de mesures de sauvegarde aux niveaux national et local, mises en œuvre par des communautés de praticiens et par l’État partie. Ces mesures sont axées sur la transmission des connaissances et des compétences traditionnelles, la sensibilisation et la visibilité de l’élément et de son rôle social dans la société, et le soutien à la recherche et à la documentation sur la cornemuse et son artisanat.</w:t>
      </w:r>
    </w:p>
    <w:p w14:paraId="54F7F054"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Sous l’égide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la candidature a été préparée par un groupe de travail composé de divers professionnels, ainsi que par des ensembles de cornemuses, des joueurs de cornemuse individuels et des fabricants de cornemuses. Des artistes individuels et plusieurs communautés de cornemuses, caractérisées par la diversité des genres, des âges, des religions et des professions, ont exprimé leur consentement à la candidature.</w:t>
      </w:r>
    </w:p>
    <w:p w14:paraId="46CBAD04" w14:textId="77777777" w:rsidR="00B94C05" w:rsidRPr="00503070" w:rsidRDefault="00B94C05" w:rsidP="00B94C05">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R.5 :</w:t>
      </w:r>
      <w:r w:rsidRPr="00503070">
        <w:rPr>
          <w:rFonts w:ascii="Arial" w:hAnsi="Arial" w:cs="Arial"/>
          <w:sz w:val="22"/>
          <w:szCs w:val="22"/>
        </w:rPr>
        <w:tab/>
        <w:t xml:space="preserve">L’élément a été inscrit à l’Inventaire national des trésors humains vivants de Bulgarie en 2004, et figure sur la liste représentative du patrimoine culturel immatériel de la République de Bulgarie depuis 2016. Ces inventaires sont gérés et actualisés par le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et bénéficient des contributions des communautés, groupes et organisations non gouvernementales concernés. </w:t>
      </w:r>
    </w:p>
    <w:p w14:paraId="0EB95EE1" w14:textId="77777777" w:rsidR="00B94C05" w:rsidRPr="00503070" w:rsidRDefault="00B94C05" w:rsidP="001E17AF">
      <w:pPr>
        <w:numPr>
          <w:ilvl w:val="0"/>
          <w:numId w:val="51"/>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les cornemuses et la pratique de la cornemuse en Bulgarie : transmission des connaissances et des savoir-faire</w:t>
      </w:r>
      <w:r w:rsidRPr="00503070">
        <w:rPr>
          <w:rFonts w:ascii="Arial" w:hAnsi="Arial" w:cs="Arial"/>
          <w:sz w:val="22"/>
          <w:szCs w:val="22"/>
        </w:rPr>
        <w:t xml:space="preserve"> sur la Liste représentative du patrimoine culturel immatériel de l’humanité ;</w:t>
      </w:r>
    </w:p>
    <w:p w14:paraId="78798AD8" w14:textId="77777777" w:rsidR="00B94C05" w:rsidRPr="00503070" w:rsidRDefault="00B94C05" w:rsidP="001E17AF">
      <w:pPr>
        <w:numPr>
          <w:ilvl w:val="0"/>
          <w:numId w:val="51"/>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Félicite</w:t>
      </w:r>
      <w:r w:rsidRPr="00503070">
        <w:rPr>
          <w:rFonts w:ascii="Arial" w:hAnsi="Arial" w:cs="Arial"/>
          <w:bCs/>
          <w:sz w:val="22"/>
          <w:szCs w:val="22"/>
        </w:rPr>
        <w:t xml:space="preserve"> l’État partie d’avoir reconnu les fabricants et les joueurs de cornemuse dans la préparation du dossier de candidature.</w:t>
      </w:r>
    </w:p>
    <w:p w14:paraId="2BFE21B8" w14:textId="77777777" w:rsidR="00CC1AE8" w:rsidRPr="00503070" w:rsidRDefault="00CC1AE8" w:rsidP="00CC1AE8">
      <w:pPr>
        <w:pStyle w:val="Heading1"/>
        <w:rPr>
          <w:bCs/>
        </w:rPr>
      </w:pPr>
      <w:r w:rsidRPr="00503070">
        <w:t>DÉCISION 20.COM 7.b.10</w:t>
      </w:r>
    </w:p>
    <w:p w14:paraId="4F60565A" w14:textId="77777777" w:rsidR="00CC1AE8" w:rsidRPr="00503070" w:rsidRDefault="00CC1AE8" w:rsidP="00CC1AE8">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DDD919D" w14:textId="77777777" w:rsidR="00CC1AE8" w:rsidRPr="00503070" w:rsidRDefault="00CC1AE8" w:rsidP="001E17AF">
      <w:pPr>
        <w:numPr>
          <w:ilvl w:val="0"/>
          <w:numId w:val="52"/>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Tchad et le Cameroun ont proposé la candidature de </w:t>
      </w:r>
      <w:proofErr w:type="spellStart"/>
      <w:r w:rsidRPr="00503070">
        <w:rPr>
          <w:rFonts w:ascii="Arial" w:hAnsi="Arial" w:cs="Arial"/>
          <w:b/>
          <w:sz w:val="22"/>
          <w:szCs w:val="22"/>
        </w:rPr>
        <w:t>Guruna</w:t>
      </w:r>
      <w:proofErr w:type="spellEnd"/>
      <w:r w:rsidRPr="00503070">
        <w:rPr>
          <w:rFonts w:ascii="Arial" w:hAnsi="Arial" w:cs="Arial"/>
          <w:b/>
          <w:sz w:val="22"/>
          <w:szCs w:val="22"/>
        </w:rPr>
        <w:t>, pratique des retraites pastorale, socioculturelle et artistique autour du bétail chez les Massa</w:t>
      </w:r>
      <w:r w:rsidRPr="00503070">
        <w:rPr>
          <w:rFonts w:ascii="Arial" w:hAnsi="Arial" w:cs="Arial"/>
          <w:sz w:val="22"/>
          <w:szCs w:val="22"/>
        </w:rPr>
        <w:t xml:space="preserve"> (n° 02260) pour inscription sur la Liste représentative du patrimoine culturel immatériel de l’humanité :</w:t>
      </w:r>
    </w:p>
    <w:p w14:paraId="7828027B" w14:textId="77777777" w:rsidR="00CC1AE8" w:rsidRPr="00503070" w:rsidRDefault="00CC1AE8" w:rsidP="00CC1AE8">
      <w:pPr>
        <w:tabs>
          <w:tab w:val="left" w:pos="1701"/>
          <w:tab w:val="left" w:pos="2268"/>
        </w:tabs>
        <w:spacing w:before="120" w:after="120"/>
        <w:ind w:left="567"/>
        <w:jc w:val="both"/>
        <w:rPr>
          <w:rFonts w:ascii="Arial" w:hAnsi="Arial" w:cs="Arial"/>
          <w:sz w:val="22"/>
          <w:szCs w:val="22"/>
        </w:rPr>
      </w:pPr>
      <w:proofErr w:type="spellStart"/>
      <w:r w:rsidRPr="00503070">
        <w:rPr>
          <w:rFonts w:ascii="Arial" w:hAnsi="Arial" w:cs="Arial"/>
          <w:sz w:val="22"/>
          <w:szCs w:val="22"/>
        </w:rPr>
        <w:t>Guruna</w:t>
      </w:r>
      <w:proofErr w:type="spellEnd"/>
      <w:r w:rsidRPr="00503070">
        <w:rPr>
          <w:rFonts w:ascii="Arial" w:hAnsi="Arial" w:cs="Arial"/>
          <w:sz w:val="22"/>
          <w:szCs w:val="22"/>
        </w:rPr>
        <w:t xml:space="preserve"> est une retraite culturelle qui fait office d’école de la vie pour les membres de la communauté Massa, situé des deux côtés de la rivière Logone au Tchad et au Cameroun. Le terme désigne à la fois les participants et la retraite elle-même, qui a lieu une fois par an. Pendant cette période, les jeunes garçons et les hommes se déplacent avec leur bétail vers un camp situé à une certaine distance de leur domicile. Bien que les filles ne passent pas la nuit sur place, elles participent en aidant à la préparation des repas et des décorations. Pendant la retraite, les jeunes apprennent la lutte, la musique, la danse, l’artisanat ainsi que l’histoire et les valeurs de la communauté. </w:t>
      </w:r>
    </w:p>
    <w:p w14:paraId="31F42FB5" w14:textId="77777777" w:rsidR="00CC1AE8" w:rsidRPr="00503070" w:rsidRDefault="00CC1AE8" w:rsidP="001E17AF">
      <w:pPr>
        <w:keepNext/>
        <w:numPr>
          <w:ilvl w:val="0"/>
          <w:numId w:val="52"/>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FD6F284"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Une attention particulière est portée aux techniques traditionnelles d’élevage et aux soins vétérinaires dans le cadre de la relation symbiotique entre les communautés pratiquantes et la vache. Le groupe participe également à des cérémonies rituelles et à des représentations au cours desquelles il démontre ce qu’il a appris. La transmission des connaissances se fait de manière informelle, par l’enseignement oral, l’observation et l’imitation. Les pères, les anciens et les maîtres </w:t>
      </w:r>
      <w:proofErr w:type="spellStart"/>
      <w:r w:rsidRPr="00503070">
        <w:rPr>
          <w:rFonts w:ascii="Arial" w:hAnsi="Arial" w:cs="Arial"/>
          <w:sz w:val="22"/>
          <w:szCs w:val="22"/>
        </w:rPr>
        <w:t>Guruna</w:t>
      </w:r>
      <w:proofErr w:type="spellEnd"/>
      <w:r w:rsidRPr="00503070">
        <w:rPr>
          <w:rFonts w:ascii="Arial" w:hAnsi="Arial" w:cs="Arial"/>
          <w:sz w:val="22"/>
          <w:szCs w:val="22"/>
        </w:rPr>
        <w:t xml:space="preserve"> guident les participants, tandis que les chefs de la communauté procèdent à des rituels importants pour assurer le succès de la retraite. Les filles apprennent la préparation des repas et l’artisanat auprès de femmes plus âgées. Le </w:t>
      </w:r>
      <w:proofErr w:type="spellStart"/>
      <w:r w:rsidRPr="00503070">
        <w:rPr>
          <w:rFonts w:ascii="Arial" w:hAnsi="Arial" w:cs="Arial"/>
          <w:sz w:val="22"/>
          <w:szCs w:val="22"/>
        </w:rPr>
        <w:t>Guruna</w:t>
      </w:r>
      <w:proofErr w:type="spellEnd"/>
      <w:r w:rsidRPr="00503070">
        <w:rPr>
          <w:rFonts w:ascii="Arial" w:hAnsi="Arial" w:cs="Arial"/>
          <w:sz w:val="22"/>
          <w:szCs w:val="22"/>
        </w:rPr>
        <w:t xml:space="preserve"> enseigne le respect des aînés, le travail d’équipe, la discipline et les normes sociales. Il favorise également le développement artistique et physique ainsi que l’identité de la communauté, tout en aidant les jeunes à devenir des membres responsables et actifs de la société.</w:t>
      </w:r>
    </w:p>
    <w:p w14:paraId="7422A1E5"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Les États parties soumissionnaires démontrent que l’inscription de cet élément contribuerait à assurer la visibilité et la sensibilisation à l’importance du patrimoine culturel immatériel et à encourager le dialogue sur les pratiques traditionnelles d’élevage susceptibles de promouvoir la durabilité dans les dimensions sociale, culturelle, économique et environnementale. Le dossier de candidature souligne que, grâce à l’application de techniques traditionnelles d’élevage et de fertilisation des sols, l’élément contribue à la sécurité alimentaire, à la santé et à la durabilité environnementale. Il favorise également la coexistence pacifique et l’égalité des genres, grâce aux rôles complémentaires des hommes et des femmes, qui trouvent également dans cette pratique des possibilités de générer des revenus. La vidéo de consentement de la communauté explique comment chaque aspect est abordé.</w:t>
      </w:r>
    </w:p>
    <w:p w14:paraId="6FA9B66A"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R.3 :</w:t>
      </w:r>
      <w:r w:rsidRPr="00503070">
        <w:rPr>
          <w:rFonts w:ascii="Arial" w:hAnsi="Arial" w:cs="Arial"/>
          <w:sz w:val="22"/>
          <w:szCs w:val="22"/>
        </w:rPr>
        <w:tab/>
        <w:t>Les mesures de sauvegarde sont complètes et bien structurées, reflétant un engagement fort de la part des parties concernées, notamment les communautés Massa, pour assurer la transmission intergénérationnelle de l’élément et sa continuité culturelle.</w:t>
      </w:r>
    </w:p>
    <w:p w14:paraId="5CC7F3D2"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La participation active des communautés Massa - principalement par le biais d’associations locales reconnues - à la préparation de la candidature est remarquable. Ces associations ont organisé des séances de sensibilisation à cet égard dans tous les cantons de Massa. Avec l’appui des techniciens des Ministères chargés de la culture, ils ont obtenu le consentement libre, préalable et éclairé des communautés concernées.</w:t>
      </w:r>
    </w:p>
    <w:p w14:paraId="7DE1AE1B"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inscrit à l’Inventaire spécial du patrimoine culturel immatériel du Tchad ainsi qu’à l’Inventaire général du patrimoine matériel et immatériel du Cameroun en 2024. Les deux inventaires sont gérés par les départements du patrimoine culturel des Ministères responsables de la culture dans l’État partie concerné. Au Cameroun, l’inventaire est mis à jour chaque année. Au Tchad, il sera actualisé tous les trois ans. Les deux processus de mise à jour reposent sur la participation des communautés concernées.</w:t>
      </w:r>
      <w:r w:rsidRPr="00503070" w:rsidDel="00E00CEA">
        <w:rPr>
          <w:rFonts w:ascii="Arial" w:hAnsi="Arial" w:cs="Arial"/>
          <w:sz w:val="22"/>
          <w:szCs w:val="22"/>
        </w:rPr>
        <w:t xml:space="preserve"> </w:t>
      </w:r>
    </w:p>
    <w:p w14:paraId="55E13473" w14:textId="77777777" w:rsidR="00CC1AE8" w:rsidRPr="00503070" w:rsidRDefault="00CC1AE8" w:rsidP="001E17AF">
      <w:pPr>
        <w:numPr>
          <w:ilvl w:val="0"/>
          <w:numId w:val="52"/>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Guruna</w:t>
      </w:r>
      <w:proofErr w:type="spellEnd"/>
      <w:r w:rsidRPr="00503070">
        <w:rPr>
          <w:rFonts w:ascii="Arial" w:hAnsi="Arial" w:cs="Arial"/>
          <w:b/>
          <w:sz w:val="22"/>
          <w:szCs w:val="22"/>
        </w:rPr>
        <w:t>, pratique des retraites pastorale, socioculturelle et artistique autour du bétail chez les Massa</w:t>
      </w:r>
      <w:r w:rsidRPr="00503070">
        <w:rPr>
          <w:rFonts w:ascii="Arial" w:hAnsi="Arial" w:cs="Arial"/>
          <w:sz w:val="22"/>
          <w:szCs w:val="22"/>
        </w:rPr>
        <w:t xml:space="preserve"> sur la Liste représentative du patrimoine culturel immatériel de l’humanité ;</w:t>
      </w:r>
    </w:p>
    <w:p w14:paraId="3BA5F652" w14:textId="77777777" w:rsidR="00CC1AE8" w:rsidRPr="00503070" w:rsidRDefault="00CC1AE8" w:rsidP="00CC1AE8">
      <w:pPr>
        <w:pStyle w:val="Heading1"/>
        <w:rPr>
          <w:bCs/>
        </w:rPr>
      </w:pPr>
      <w:r w:rsidRPr="00503070">
        <w:t>DÉCISION 20.COM 7.b.11</w:t>
      </w:r>
    </w:p>
    <w:p w14:paraId="68E779C2" w14:textId="77777777" w:rsidR="00CC1AE8" w:rsidRPr="00503070" w:rsidRDefault="00CC1AE8" w:rsidP="00CC1AE8">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1336FCBE" w14:textId="77777777" w:rsidR="00CC1AE8" w:rsidRPr="00503070" w:rsidRDefault="00CC1AE8" w:rsidP="001E17AF">
      <w:pPr>
        <w:numPr>
          <w:ilvl w:val="0"/>
          <w:numId w:val="5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Chili a proposé la candidature du</w:t>
      </w:r>
      <w:r w:rsidRPr="00503070">
        <w:rPr>
          <w:rFonts w:ascii="Arial" w:hAnsi="Arial" w:cs="Arial"/>
          <w:b/>
          <w:sz w:val="22"/>
          <w:szCs w:val="22"/>
        </w:rPr>
        <w:t xml:space="preserve"> cirque de tradition familiale au Chili</w:t>
      </w:r>
      <w:r w:rsidRPr="00503070">
        <w:rPr>
          <w:rFonts w:ascii="Arial" w:hAnsi="Arial" w:cs="Arial"/>
          <w:sz w:val="22"/>
          <w:szCs w:val="22"/>
        </w:rPr>
        <w:t xml:space="preserve"> (n° 02271) pour inscription sur la Liste représentative du patrimoine culturel immatériel de l’humanité :</w:t>
      </w:r>
    </w:p>
    <w:p w14:paraId="3F8AC2C4" w14:textId="77777777" w:rsidR="00CC1AE8" w:rsidRPr="00503070" w:rsidRDefault="00CC1AE8" w:rsidP="00CC1AE8">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cirque de tradition familiale est un mode de vie qui associe des traditions et des savoir-faire transmis de génération en génération. Il réunit des familles qui voyagent en caravane, partageant leur art et leur culture partout où elles vont. Pour les détenteurs, la vie au cirque est une vocation, profondément enracinée dans la famille et la communauté. Bien que chaque cirque ait sa propre identité, ses propres rites et cérémonies, les membres partagent un sentiment d’appartenance à une grande famille d’artistes de cirque, unis par des traditions et des célébrations communes. Les artistes de cirque endossent différents rôles tout au long de leur vie : acrobates, clowns, magiciens et maîtres de piste, et jouent souvent plusieurs rôles. </w:t>
      </w:r>
    </w:p>
    <w:p w14:paraId="495EA674" w14:textId="77777777" w:rsidR="00CC1AE8" w:rsidRPr="00503070" w:rsidRDefault="00CC1AE8" w:rsidP="001E17AF">
      <w:pPr>
        <w:keepNext/>
        <w:numPr>
          <w:ilvl w:val="0"/>
          <w:numId w:val="5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4F249465"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Les connaissances et le savoir-faire associés à la vie du cirque sont transmis dès l’enfance, par le biais de traditions orales, de jeux et d’expériences pratiques. Ce processus d’apprentissage permet aux enfants d’acquérir les compétences artistiques nécessaires à l’exécution et au maintien de la culture du cirque. Le cirque de tradition familiale favorise l’unité, la résilience et la solidarité, et soutient souvent les communautés locales par le biais de spectacles caritatifs ou en période de crise. Il constitue un espace accueillant pour des personnes de tous horizons, offrant des possibilités d’expression et de créativité. Cette pratique favorise ainsi le respect de la diversité tout en rendant les arts accessibles à différentes communautés, des grandes villes aux régions reculées.</w:t>
      </w:r>
    </w:p>
    <w:p w14:paraId="495DC1E1"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L’Etat partie soumissionnaire démontre de manière cohérente que cet élément assure la visibilité et la sensibilisation à l’importance du patrimoine culturel immatériel et contribue à plusieurs aspects du développement durable. La vie de la communauté promeut des valeurs telles que le respect mutuel, la solidarité, la fraternité et l’inclusion des personnes de tout âge, genre ou appartenance culturelle. Les personnes LGBTQI+ et les personnes en situation de handicap participent activement au cirque en fonction </w:t>
      </w:r>
      <w:r w:rsidRPr="00503070">
        <w:rPr>
          <w:rFonts w:ascii="Arial" w:hAnsi="Arial" w:cs="Arial"/>
          <w:sz w:val="22"/>
          <w:szCs w:val="22"/>
        </w:rPr>
        <w:lastRenderedPageBreak/>
        <w:t>de leurs capacités et de leurs compétences. En outre, le cirque est une pratique autonome au sein de l’économie familiale, qui génère des emplois et contribue à un développement économique inclusif.</w:t>
      </w:r>
    </w:p>
    <w:p w14:paraId="2CE3B0C0"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Historiquement, la communauté du cirque a joué un rôle décisif dans sa propre préservation et a encouragé le gouvernement à prendre des mesures dans ce sens. Grâce à la création d’un syndicat en 1935, les travailleurs du cirque ont entre autres été impliqués dans les mesures législatives et les politiques publiques concernant les conditions de travail et les droits à l’éducation, à la santé et à la propriété intellectuelle. Dans le cadre de cette candidature, un plan de sauvegarde a été élaboré, axé sur le renforcement des capacités, l’archivage, l’organisation d’expositions de cirque, la formation, la sensibilisation et la promotion. Les mesures incluent les rôles des différentes parties prenantes, y compris les communautés du cirque.</w:t>
      </w:r>
    </w:p>
    <w:p w14:paraId="360091B0"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 processus de candidature a débuté en 2017, à la suite d’une demande des communautés du cirque. Un groupe de travail chargé de préparer le dossier de candidature, comprenant des représentants des cirques, s’est réuni à plusieurs reprises depuis lors. Des sessions d’information sur la Liste représentative ont été organisées dans le cadre des forums traditionnels de la communauté du cirque, afin de faire connaître le processus, de valider les documents et d’obtenir le consentement de la communauté concernée. Le processus de candidature a également été annoncé dans les médias et un appel à lettres de soutien a été lancé, 657 lettres ont ainsi été reçues.</w:t>
      </w:r>
    </w:p>
    <w:p w14:paraId="4EE1E1E8"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inscrit à l’inventaire du patrimoine culturel immatériel lors de la session ordinaire du Conseil national de la Culture, des Arts et du Patrimoine en 2022. La participation de la communauté est l’un des critères d’inclusion d’un élément dans cet inventaire, qui est régulièrement mis à jour (la dernière mise à jour datant de 2020).</w:t>
      </w:r>
    </w:p>
    <w:p w14:paraId="4AA45A5F" w14:textId="77777777" w:rsidR="00CC1AE8" w:rsidRPr="00503070" w:rsidRDefault="00CC1AE8" w:rsidP="001E17AF">
      <w:pPr>
        <w:numPr>
          <w:ilvl w:val="0"/>
          <w:numId w:val="53"/>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cirque de tradition familiale au Chili</w:t>
      </w:r>
      <w:r w:rsidRPr="00503070">
        <w:rPr>
          <w:rFonts w:ascii="Arial" w:hAnsi="Arial" w:cs="Arial"/>
          <w:sz w:val="22"/>
          <w:szCs w:val="22"/>
        </w:rPr>
        <w:t xml:space="preserve"> sur la Liste représentative du patrimoine culturel immatériel de l’humanité.</w:t>
      </w:r>
    </w:p>
    <w:p w14:paraId="1E2BC73B" w14:textId="77777777" w:rsidR="00CC1AE8" w:rsidRPr="00503070" w:rsidRDefault="00CC1AE8" w:rsidP="00CC1AE8">
      <w:pPr>
        <w:pStyle w:val="Heading1"/>
        <w:rPr>
          <w:bCs/>
        </w:rPr>
      </w:pPr>
      <w:r w:rsidRPr="00503070">
        <w:t>DÉCISION 20.COM 7.b.12</w:t>
      </w:r>
    </w:p>
    <w:p w14:paraId="1086D84F" w14:textId="77777777" w:rsidR="00CC1AE8" w:rsidRPr="00503070" w:rsidRDefault="00CC1AE8" w:rsidP="00CC1AE8">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025192E" w14:textId="77777777" w:rsidR="00CC1AE8" w:rsidRPr="00503070" w:rsidRDefault="00CC1AE8" w:rsidP="001E17AF">
      <w:pPr>
        <w:numPr>
          <w:ilvl w:val="0"/>
          <w:numId w:val="54"/>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Cuba a proposé la candidature de </w:t>
      </w:r>
      <w:r w:rsidRPr="00503070">
        <w:rPr>
          <w:rFonts w:ascii="Arial" w:hAnsi="Arial" w:cs="Arial"/>
          <w:b/>
          <w:sz w:val="22"/>
          <w:szCs w:val="22"/>
        </w:rPr>
        <w:t>la pratique du son cubain</w:t>
      </w:r>
      <w:r w:rsidRPr="00503070">
        <w:rPr>
          <w:rFonts w:ascii="Arial" w:hAnsi="Arial" w:cs="Arial"/>
          <w:sz w:val="22"/>
          <w:szCs w:val="22"/>
        </w:rPr>
        <w:t xml:space="preserve"> (n° 02299) pour inscription sur la Liste représentative du patrimoine culturel immatériel de l’humanité :</w:t>
      </w:r>
    </w:p>
    <w:p w14:paraId="4A43C251" w14:textId="77777777" w:rsidR="00CC1AE8" w:rsidRPr="00503070" w:rsidRDefault="00CC1AE8" w:rsidP="00CC1AE8">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son est une pratique traditionnelle de musique et de danse qui mêle le chant, les instruments, le rythme et le mouvement. Il se pratique en duo ou en groupe, mêlant improvisation et motifs structurés. Le son comprend des paroles tirées de la vie quotidienne, transmises oralement, et il réunit des influences musicales africaines et européennes. La danse est étroitement liée à la musique, la basse et les instruments guidant les pas des danseurs. Cette pratique implique différents rôles tels que chanteurs, danseurs, compositeurs, musiciens et fabricants d’instruments. Le chanteur dirige la représentation, improvisant souvent des vers et guidant la danse, tandis que le « </w:t>
      </w:r>
      <w:proofErr w:type="spellStart"/>
      <w:r w:rsidRPr="00503070">
        <w:rPr>
          <w:rFonts w:ascii="Arial" w:hAnsi="Arial" w:cs="Arial"/>
          <w:sz w:val="22"/>
          <w:szCs w:val="22"/>
        </w:rPr>
        <w:t>tres</w:t>
      </w:r>
      <w:proofErr w:type="spellEnd"/>
      <w:r w:rsidRPr="00503070">
        <w:rPr>
          <w:rFonts w:ascii="Arial" w:hAnsi="Arial" w:cs="Arial"/>
          <w:sz w:val="22"/>
          <w:szCs w:val="22"/>
        </w:rPr>
        <w:t xml:space="preserve"> » (instrument à cordes) joue un rôle musical essentiel. </w:t>
      </w:r>
    </w:p>
    <w:p w14:paraId="248277A4" w14:textId="77777777" w:rsidR="00CC1AE8" w:rsidRPr="00503070" w:rsidRDefault="00CC1AE8" w:rsidP="001E17AF">
      <w:pPr>
        <w:keepNext/>
        <w:numPr>
          <w:ilvl w:val="0"/>
          <w:numId w:val="54"/>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C349CBB"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 son peut être dansé librement ou selon une chorégraphie déterminée, l’homme dirigeant souvent le rythme et les pas. Le son est transmis par l’éducation formelle et informelle. Les familles, les rassemblements de la communauté et les orchestres jouent un rôle important dans la transmission des compétences et des traditions aux jeunes générations. Les anciens partagent leurs connaissances et les écoles et les centres culturels intègrent le </w:t>
      </w:r>
      <w:proofErr w:type="spellStart"/>
      <w:r w:rsidRPr="00503070">
        <w:rPr>
          <w:rFonts w:ascii="Arial" w:hAnsi="Arial" w:cs="Arial"/>
          <w:sz w:val="22"/>
          <w:szCs w:val="22"/>
        </w:rPr>
        <w:t>son</w:t>
      </w:r>
      <w:proofErr w:type="spellEnd"/>
      <w:r w:rsidRPr="00503070">
        <w:rPr>
          <w:rFonts w:ascii="Arial" w:hAnsi="Arial" w:cs="Arial"/>
          <w:sz w:val="22"/>
          <w:szCs w:val="22"/>
        </w:rPr>
        <w:t xml:space="preserve"> dans leurs programmes afin d’assurer la survie de la pratique. Le son renforce les liens de la communauté et contribue à la transmission orale de la culture populaire. Il favorise également la créativité, la communication et un sens partagé </w:t>
      </w:r>
      <w:r w:rsidRPr="00503070">
        <w:rPr>
          <w:rFonts w:ascii="Arial" w:hAnsi="Arial" w:cs="Arial"/>
          <w:sz w:val="22"/>
          <w:szCs w:val="22"/>
        </w:rPr>
        <w:lastRenderedPageBreak/>
        <w:t>du patrimoine, de l’appartenance et de l’identité, tant au sein de la communauté qu’à l’extérieur de celle-ci.</w:t>
      </w:r>
    </w:p>
    <w:p w14:paraId="496D76B8"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Cet événement s’enracine dans la culture populaire et s’enrichit de la circulation entre les milieux ruraux et urbains, dans le respect mutuel des sentiments et des savoirs associés à ces différents espaces festifs. Cet élément est présent dans la vie quotidienne et joue un rôle important dans la création d’opportunités économiques pour les artistes et les autres personnes impliquées dans le travail créatif et les spectacles, ainsi que dans la promotion de la cohésion sociale et de la diversité culturelle. L’inscription de l’élément contribuerait à améliorer la visibilité et la prise de conscience de l’importance du patrimoine culturel immatériel </w:t>
      </w:r>
      <w:proofErr w:type="gramStart"/>
      <w:r w:rsidRPr="00503070">
        <w:rPr>
          <w:rFonts w:ascii="Arial" w:hAnsi="Arial" w:cs="Arial"/>
          <w:sz w:val="22"/>
          <w:szCs w:val="22"/>
        </w:rPr>
        <w:t>aux niveaux local</w:t>
      </w:r>
      <w:proofErr w:type="gramEnd"/>
      <w:r w:rsidRPr="00503070">
        <w:rPr>
          <w:rFonts w:ascii="Arial" w:hAnsi="Arial" w:cs="Arial"/>
          <w:sz w:val="22"/>
          <w:szCs w:val="22"/>
        </w:rPr>
        <w:t>, national et international.</w:t>
      </w:r>
    </w:p>
    <w:p w14:paraId="077040F2"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Un plan de sauvegarde a été adopté comme une sorte d’accord entre les parties concernées par la poursuite de la pratique culturelle. Ce plan est basé sur une stratégie de la communauté et comprend des actions à mener à court, moyen et long terme. Ces actions sont clairement formulées et organisées en trois domaines principaux : (a) le renforcement des capacités et la reconnaissance des détenteurs de droits ; (b) l’éducation et la promotion ; et (c) l’identification et la sensibilisation.</w:t>
      </w:r>
    </w:p>
    <w:p w14:paraId="78783E0E"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Le désir d’enregistrer l’élément est venu des communautés de détenteurs. Celles-ci ont également participé activement à toutes les étapes du processus de candidature. Des groupes de travail et des ateliers participatifs ont été organisés </w:t>
      </w:r>
      <w:proofErr w:type="gramStart"/>
      <w:r w:rsidRPr="00503070">
        <w:rPr>
          <w:rFonts w:ascii="Arial" w:hAnsi="Arial" w:cs="Arial"/>
          <w:sz w:val="22"/>
          <w:szCs w:val="22"/>
        </w:rPr>
        <w:t>aux niveaux national</w:t>
      </w:r>
      <w:proofErr w:type="gramEnd"/>
      <w:r w:rsidRPr="00503070">
        <w:rPr>
          <w:rFonts w:ascii="Arial" w:hAnsi="Arial" w:cs="Arial"/>
          <w:sz w:val="22"/>
          <w:szCs w:val="22"/>
        </w:rPr>
        <w:t>, provincial et municipal. Le travail s’est déroulé selon un calendrier établi par les praticiens, qui ont fourni des indications permettant d’identifier correctement la manifestation. En adoptant une attitude proactive jusqu’à l’étape finale de la documentation et de la rédaction du dossier de candidature, ces derniers ont donné de la crédibilité au processus.</w:t>
      </w:r>
    </w:p>
    <w:p w14:paraId="37F19D7E"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de la pratique du son cubain comme élément du patrimoine culturel immatériel de Cuba en 2012. Cet inventaire a été élaboré dans douze provinces du pays, avec une large participation des communautés, dans le cadre d’un processus dynamique et analytique mis en œuvre en cinq étapes. Il a été mis à jour entre 2020 et 2024.</w:t>
      </w:r>
    </w:p>
    <w:p w14:paraId="4B33AEBC" w14:textId="77777777" w:rsidR="00CC1AE8" w:rsidRPr="00503070" w:rsidRDefault="00CC1AE8" w:rsidP="001E17AF">
      <w:pPr>
        <w:numPr>
          <w:ilvl w:val="0"/>
          <w:numId w:val="54"/>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pratique du son cubain</w:t>
      </w:r>
      <w:r w:rsidRPr="00503070">
        <w:rPr>
          <w:rFonts w:ascii="Arial" w:hAnsi="Arial" w:cs="Arial"/>
          <w:sz w:val="22"/>
          <w:szCs w:val="22"/>
        </w:rPr>
        <w:t xml:space="preserve"> sur la Liste représentative du patrimoine culturel immatériel de l’humanité.</w:t>
      </w:r>
    </w:p>
    <w:p w14:paraId="18C33279" w14:textId="77777777" w:rsidR="00CC1AE8" w:rsidRPr="00503070" w:rsidRDefault="00CC1AE8" w:rsidP="00CC1AE8">
      <w:pPr>
        <w:pStyle w:val="Heading1"/>
        <w:rPr>
          <w:bCs/>
        </w:rPr>
      </w:pPr>
      <w:r w:rsidRPr="00503070">
        <w:t>DÉCISION 20.COM 7.b.13</w:t>
      </w:r>
    </w:p>
    <w:p w14:paraId="13740D13" w14:textId="77777777" w:rsidR="00CC1AE8" w:rsidRPr="00503070" w:rsidRDefault="00CC1AE8" w:rsidP="00CC1AE8">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6263F75" w14:textId="77777777" w:rsidR="00CC1AE8" w:rsidRPr="00503070" w:rsidRDefault="00CC1AE8" w:rsidP="001E17AF">
      <w:pPr>
        <w:numPr>
          <w:ilvl w:val="0"/>
          <w:numId w:val="55"/>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Chypre a proposé la candidature du</w:t>
      </w:r>
      <w:r w:rsidRPr="00503070">
        <w:rPr>
          <w:rFonts w:ascii="Arial" w:hAnsi="Arial" w:cs="Arial"/>
          <w:b/>
          <w:sz w:val="22"/>
          <w:szCs w:val="22"/>
        </w:rPr>
        <w:t xml:space="preserve"> vin </w:t>
      </w:r>
      <w:proofErr w:type="spellStart"/>
      <w:r w:rsidRPr="00503070">
        <w:rPr>
          <w:rFonts w:ascii="Arial" w:hAnsi="Arial" w:cs="Arial"/>
          <w:b/>
          <w:sz w:val="22"/>
          <w:szCs w:val="22"/>
        </w:rPr>
        <w:t>commandaria</w:t>
      </w:r>
      <w:proofErr w:type="spellEnd"/>
      <w:r w:rsidRPr="00503070">
        <w:rPr>
          <w:rFonts w:ascii="Arial" w:hAnsi="Arial" w:cs="Arial"/>
          <w:sz w:val="22"/>
          <w:szCs w:val="22"/>
        </w:rPr>
        <w:t xml:space="preserve"> (n° 02288) pour inscription sur la Liste représentative du patrimoine culturel immatériel de l’humanité :</w:t>
      </w:r>
    </w:p>
    <w:p w14:paraId="645D5620" w14:textId="77777777" w:rsidR="00CC1AE8" w:rsidRPr="00503070" w:rsidRDefault="00CC1AE8" w:rsidP="00CC1AE8">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vin </w:t>
      </w:r>
      <w:proofErr w:type="spellStart"/>
      <w:r w:rsidRPr="00503070">
        <w:rPr>
          <w:rFonts w:ascii="Arial" w:hAnsi="Arial" w:cs="Arial"/>
          <w:sz w:val="22"/>
          <w:szCs w:val="22"/>
        </w:rPr>
        <w:t>commandaria</w:t>
      </w:r>
      <w:proofErr w:type="spellEnd"/>
      <w:r w:rsidRPr="00503070">
        <w:rPr>
          <w:rFonts w:ascii="Arial" w:hAnsi="Arial" w:cs="Arial"/>
          <w:sz w:val="22"/>
          <w:szCs w:val="22"/>
        </w:rPr>
        <w:t xml:space="preserve"> est un vin rouge doux traditionnel produit dans un groupement de villages situés sur les pentes méridionales des montagnes </w:t>
      </w:r>
      <w:proofErr w:type="spellStart"/>
      <w:r w:rsidRPr="00503070">
        <w:rPr>
          <w:rFonts w:ascii="Arial" w:hAnsi="Arial" w:cs="Arial"/>
          <w:sz w:val="22"/>
          <w:szCs w:val="22"/>
        </w:rPr>
        <w:t>Troodos</w:t>
      </w:r>
      <w:proofErr w:type="spellEnd"/>
      <w:r w:rsidRPr="00503070">
        <w:rPr>
          <w:rFonts w:ascii="Arial" w:hAnsi="Arial" w:cs="Arial"/>
          <w:sz w:val="22"/>
          <w:szCs w:val="22"/>
        </w:rPr>
        <w:t xml:space="preserve">. Il est profondément enraciné à l’environnement naturel et implique l’utilisation de cépages locaux et de techniques de vinification traditionnelles. Il s’agit notamment de récolter les raisins tard dans la saison, de les sécher au soleil et de faire vieillir le vin dans des fûts de chêne. Des familles, des coopératives et des caves de différentes tailles sont impliquées dans la production du vin </w:t>
      </w:r>
      <w:proofErr w:type="spellStart"/>
      <w:r w:rsidRPr="00503070">
        <w:rPr>
          <w:rFonts w:ascii="Arial" w:hAnsi="Arial" w:cs="Arial"/>
          <w:sz w:val="22"/>
          <w:szCs w:val="22"/>
        </w:rPr>
        <w:t>commandaria</w:t>
      </w:r>
      <w:proofErr w:type="spellEnd"/>
      <w:r w:rsidRPr="00503070">
        <w:rPr>
          <w:rFonts w:ascii="Arial" w:hAnsi="Arial" w:cs="Arial"/>
          <w:sz w:val="22"/>
          <w:szCs w:val="22"/>
        </w:rPr>
        <w:t xml:space="preserve">, et les connaissances et savoir-faire associés sont transmis de manière informelle lors des travaux agricoles, des événements familiaux, des fêtes et des célébrations. </w:t>
      </w:r>
    </w:p>
    <w:p w14:paraId="6BBDF5AB" w14:textId="77777777" w:rsidR="00CC1AE8" w:rsidRPr="00503070" w:rsidRDefault="00CC1AE8" w:rsidP="001E17AF">
      <w:pPr>
        <w:keepNext/>
        <w:numPr>
          <w:ilvl w:val="0"/>
          <w:numId w:val="55"/>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1869E79"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groupes de la communauté, les professionnels du vin et les autorités gouvernementales travaillent ensemble pour sauvegarder la tradition et soutenir les producteurs de vin </w:t>
      </w:r>
      <w:proofErr w:type="spellStart"/>
      <w:r w:rsidRPr="00503070">
        <w:rPr>
          <w:rFonts w:ascii="Arial" w:hAnsi="Arial" w:cs="Arial"/>
          <w:sz w:val="22"/>
          <w:szCs w:val="22"/>
        </w:rPr>
        <w:t>commandaria</w:t>
      </w:r>
      <w:proofErr w:type="spellEnd"/>
      <w:r w:rsidRPr="00503070">
        <w:rPr>
          <w:rFonts w:ascii="Arial" w:hAnsi="Arial" w:cs="Arial"/>
          <w:sz w:val="22"/>
          <w:szCs w:val="22"/>
        </w:rPr>
        <w:t xml:space="preserve">. Partie intégrante des coutumes sociales, des rituels religieux et des traditions alimentaires, le vin </w:t>
      </w:r>
      <w:proofErr w:type="spellStart"/>
      <w:r w:rsidRPr="00503070">
        <w:rPr>
          <w:rFonts w:ascii="Arial" w:hAnsi="Arial" w:cs="Arial"/>
          <w:sz w:val="22"/>
          <w:szCs w:val="22"/>
        </w:rPr>
        <w:t>commandaria</w:t>
      </w:r>
      <w:proofErr w:type="spellEnd"/>
      <w:r w:rsidRPr="00503070">
        <w:rPr>
          <w:rFonts w:ascii="Arial" w:hAnsi="Arial" w:cs="Arial"/>
          <w:sz w:val="22"/>
          <w:szCs w:val="22"/>
        </w:rPr>
        <w:t xml:space="preserve"> est étroitement lié à d’autres </w:t>
      </w:r>
      <w:r w:rsidRPr="00503070">
        <w:rPr>
          <w:rFonts w:ascii="Arial" w:hAnsi="Arial" w:cs="Arial"/>
          <w:sz w:val="22"/>
          <w:szCs w:val="22"/>
        </w:rPr>
        <w:lastRenderedPageBreak/>
        <w:t xml:space="preserve">artisanats traditionnels tels que la construction de murs en pierres sèches, le tressage de paniers et la poterie. Il est principalement servi comme vin de dessert lors d’événements spéciaux tels que les mariages, les funérailles et les cérémonies religieuses et est souvent offert aux invités comme symbole de générosité et d’hospitalité. La fabrication et le partage du vin </w:t>
      </w:r>
      <w:proofErr w:type="spellStart"/>
      <w:r w:rsidRPr="00503070">
        <w:rPr>
          <w:rFonts w:ascii="Arial" w:hAnsi="Arial" w:cs="Arial"/>
          <w:sz w:val="22"/>
          <w:szCs w:val="22"/>
        </w:rPr>
        <w:t>commandaria</w:t>
      </w:r>
      <w:proofErr w:type="spellEnd"/>
      <w:r w:rsidRPr="00503070">
        <w:rPr>
          <w:rFonts w:ascii="Arial" w:hAnsi="Arial" w:cs="Arial"/>
          <w:sz w:val="22"/>
          <w:szCs w:val="22"/>
        </w:rPr>
        <w:t xml:space="preserve"> renforcent les liens sociaux et encouragent la coopération entre les membres de la communauté. Facteur d’identification fort et source de fierté locale, l’élément relie les gens à leur terre, à leur histoire et à leur communauté.</w:t>
      </w:r>
    </w:p>
    <w:p w14:paraId="547A83D0"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lien étroit entre la pratique culturelle et la conservation de la nature est évident, ce qui atteste de la contribution de cet élément au développement durable. Son lien avec le développement économique inclusif est également évident, puisque l’appréciation des pratiques et des produits agricoles peut assurer des revenus et une qualité de vie aux producteurs. En outre, la cohésion peut être renforcée au sein des conseils de la communauté des villages producteurs.</w:t>
      </w:r>
    </w:p>
    <w:p w14:paraId="7B1FA624"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Une série de mesures de sauvegarde ont été présentées et justifiées, impliquant à la fois les communautés et les agences gouvernementales. Concernant les communautés, les mesures comprennent la participation à des événements tels que des journées de dégustation, des expositions et des festivals. Au niveau des États, des mesures sont prises dans les domaines du tourisme, de la protection de la propriété intellectuelle et de l’éducation pour la transmission des connaissances.</w:t>
      </w:r>
    </w:p>
    <w:p w14:paraId="08359C48"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 processus de candidature repose sur une approche participative multisectorielle, impliquant la participation la plus large possible et le consentement libre, préalable et éclairé des différentes parties prenantes, des producteurs aux autorités locales en passant par les experts.</w:t>
      </w:r>
    </w:p>
    <w:p w14:paraId="0BB92A89"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inscrit à l’Inventaire national du patrimoine culturel immatériel de Chypre en 2020. La Commission nationale chypriote pour l’UNESCO est l’entité responsable de sa maintenance et de sa mise à jour régulière, en collaboration avec le Comité d’experts pour le patrimoine culturel immatériel de Chypre. L’inventaire est mis à jour chaque année avec l’ajout de nouveaux éléments et la mise à jour des entrées existantes à la suite de l’inclusion d’autres communautés ou parties prenantes concernées. Les communautés, les groupes et les organisations non gouvernementales participent activement au processus d’inventaire.</w:t>
      </w:r>
    </w:p>
    <w:p w14:paraId="59A17BF8" w14:textId="77777777" w:rsidR="00CC1AE8" w:rsidRPr="00503070" w:rsidRDefault="00CC1AE8" w:rsidP="001E17AF">
      <w:pPr>
        <w:numPr>
          <w:ilvl w:val="0"/>
          <w:numId w:val="55"/>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vin </w:t>
      </w:r>
      <w:proofErr w:type="spellStart"/>
      <w:r w:rsidRPr="00503070">
        <w:rPr>
          <w:rFonts w:ascii="Arial" w:hAnsi="Arial" w:cs="Arial"/>
          <w:b/>
          <w:sz w:val="22"/>
          <w:szCs w:val="22"/>
        </w:rPr>
        <w:t>commandaria</w:t>
      </w:r>
      <w:proofErr w:type="spellEnd"/>
      <w:r w:rsidRPr="00503070">
        <w:rPr>
          <w:rFonts w:ascii="Arial" w:hAnsi="Arial" w:cs="Arial"/>
          <w:sz w:val="22"/>
          <w:szCs w:val="22"/>
        </w:rPr>
        <w:t xml:space="preserve"> sur la Liste représentative du patrimoine culturel immatériel de l’humanité.</w:t>
      </w:r>
    </w:p>
    <w:p w14:paraId="231DCDC2" w14:textId="77777777" w:rsidR="00CC1AE8" w:rsidRPr="00503070" w:rsidRDefault="00CC1AE8" w:rsidP="00CC1AE8">
      <w:pPr>
        <w:pStyle w:val="Heading1"/>
        <w:rPr>
          <w:bCs/>
        </w:rPr>
      </w:pPr>
      <w:r w:rsidRPr="00503070">
        <w:t>DÉCISION 20.COM 7.b.14</w:t>
      </w:r>
    </w:p>
    <w:p w14:paraId="496B5E32" w14:textId="77777777" w:rsidR="00CC1AE8" w:rsidRPr="00503070" w:rsidRDefault="00CC1AE8" w:rsidP="00CC1AE8">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7099262" w14:textId="77777777" w:rsidR="00CC1AE8" w:rsidRPr="00503070" w:rsidRDefault="00CC1AE8" w:rsidP="001E17AF">
      <w:pPr>
        <w:numPr>
          <w:ilvl w:val="0"/>
          <w:numId w:val="5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Tchéquie a proposé la candidature du</w:t>
      </w:r>
      <w:r w:rsidRPr="00503070">
        <w:rPr>
          <w:rFonts w:ascii="Arial" w:hAnsi="Arial" w:cs="Arial"/>
          <w:b/>
          <w:sz w:val="22"/>
          <w:szCs w:val="22"/>
        </w:rPr>
        <w:t xml:space="preserve"> jeu de théâtre amateur en Tchéquie</w:t>
      </w:r>
      <w:r w:rsidRPr="00503070">
        <w:rPr>
          <w:rFonts w:ascii="Arial" w:hAnsi="Arial" w:cs="Arial"/>
          <w:sz w:val="22"/>
          <w:szCs w:val="22"/>
        </w:rPr>
        <w:t xml:space="preserve"> (n° 02246) pour inscription sur la Liste représentative du patrimoine culturel immatériel de l’humanité :</w:t>
      </w:r>
    </w:p>
    <w:p w14:paraId="05419ADD" w14:textId="77777777" w:rsidR="00CC1AE8" w:rsidRPr="00503070" w:rsidRDefault="00CC1AE8" w:rsidP="00CC1AE8">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jeu de théâtre amateur est une activité de la communauté où des personnes de tous âges et de tous genres se réunissent pendant leur temps libre pour créer et jouer des pièces de théâtre. Les participants ne sont pas des acteurs professionnels mais travaillent bénévolement à l’écriture, l’adaptation et la mise en scène de représentations, souvent pour des publics locaux. Ces pièces peuvent inclure des œuvres connues, des histoires locales ou des scénarios originaux créés par le groupe. Ces représentations reflètent généralement la vie locale et peuvent aborder des questions sociales, créant ainsi un espace de dialogue au sein de la communauté. </w:t>
      </w:r>
    </w:p>
    <w:p w14:paraId="40DEBAEB" w14:textId="77777777" w:rsidR="00CC1AE8" w:rsidRPr="00503070" w:rsidRDefault="00CC1AE8" w:rsidP="001E17AF">
      <w:pPr>
        <w:keepNext/>
        <w:numPr>
          <w:ilvl w:val="0"/>
          <w:numId w:val="5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BB5B0C6" w14:textId="77777777" w:rsidR="00CC1AE8" w:rsidRPr="00503070" w:rsidRDefault="00CC1AE8" w:rsidP="00CC1AE8">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 théâtre amateur comprend le jeu, la mise en scène, la conception des décors et des costumes ainsi que la gestion de l’éclairage et du son, toutes les tâches étant partagées entre les membres du groupe, quel que soit leur genre. Des troupes de théâtre amateur existent dans les villes et les villages, et leur travail est souvent soutenu par les autorités locales. Les connaissances et le savoir-faire correspondants sont transmis de manière informelle, au sein des groupes de théâtre et des familles, ainsi que lors d’ateliers et d’événements, souvent avec le soutien de professionnels. Une éducation formelle est également proposée par le biais d’écoles d’art de base, où les enfants, les jeunes et les adultes peuvent s’initier au théâtre. Tradition populaire, le théâtre amateur contribue à maintenir les traditions culturelles vivantes et à rassembler les gens, en encourageant la créativité, le travail d’équipe et la communication. Elle joue en outre un rôle important dans la vie culturelle, éducative et sociale des communautés qui la pratiquent, permettant aux gens d’exprimer leurs émotions, de partager des histoires et d’entrer en contact avec les autres.</w:t>
      </w:r>
    </w:p>
    <w:p w14:paraId="444B68E2" w14:textId="77777777" w:rsidR="00CC1AE8" w:rsidRPr="00503070" w:rsidRDefault="00CC1AE8" w:rsidP="00CC1AE8">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démontre comment l’inscription de cet élément renforcerait la visibilité du patrimoine culturel immatériel tant au niveau local qu’international. En tant que forme de spectacle vivant qui implique les hommes et les femmes sur un pied d’égalité et reste ouvert à l’interprétation sur divers thèmes d’une grande pertinence sociale, cet élément contribue à promouvoir une éducation de qualité, l’égalité des genres et la cohésion sociale, en offrant des occasions d’approfondir les relations sociales et de renforcer les liens de la communauté. Il génère également des opportunités d’emploi pour les artistes et les organisateurs d’événements. De plus, cet élément contribue à renforcer l’identité culturelle et sociale ainsi que le bien-être des habitants, car la troupe de théâtre est souvent une caractéristique distinctive de la communauté à laquelle elle appartient.</w:t>
      </w:r>
    </w:p>
    <w:p w14:paraId="1C036E7C" w14:textId="77777777" w:rsidR="00CC1AE8" w:rsidRPr="00503070" w:rsidRDefault="00CC1AE8" w:rsidP="00CC1AE8">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mesures proposées pour sauvegarder l’élément témoignent d’une approche bien structurée et à plusieurs niveaux, associant les communautés, les autorités locales et les institutions nationales. Elles se concentrent sur la structuration de mécanismes de soutien financier pour les spectacles et sur le transfert de connaissances liées aux spectacles, entre autres initiatives. Les responsabilités de chaque partie impliquée sont clairement établies et détaillées, assurant la faisabilité des mesures de protection.</w:t>
      </w:r>
    </w:p>
    <w:p w14:paraId="4AB2505B" w14:textId="77777777" w:rsidR="00CC1AE8" w:rsidRPr="00503070" w:rsidRDefault="00CC1AE8" w:rsidP="00CC1AE8">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Les détenteurs de la tradition ont participé au processus de candidature par l’intermédiaire de trois associations nationales, lesquelles ont désigné des représentants pour faire partie du groupe de travail directement chargé de préparer les documents de nomination. Ce groupe de travail a organisé des réunions en en présentiel ainsi que des réunions hybrides pour discuter de toutes les sections du dossier de nomination, y compris le nom et la portée de l’élément et les mesures de sauvegarde. Le dossier de candidature est complété par divers témoignages filmés de directeurs de troupe, d’acteurs et de membres du conseil d’administration, qui attestent de l’implication de la communauté dans le processus.</w:t>
      </w:r>
    </w:p>
    <w:p w14:paraId="35C18D93" w14:textId="77777777" w:rsidR="00CC1AE8" w:rsidRPr="00503070" w:rsidRDefault="00CC1AE8" w:rsidP="00CC1AE8">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la Liste des éléments immatériels de la culture folklorique de la République tchèque en 2017. Cette liste est tenue par l’Institut national de la culture folklorique et est mise à jour chaque fois qu’un nouvel élément est ajouté, ou qu’un élément cesse d’exister. En outre, les éléments sont périodiquement redocumentés (une fois tous les sept ans) avec des recommandations visant à mieux les sauvegarder. Les communautés, les groupes et les organisations non gouvernementales participent au processus d’inventaire.</w:t>
      </w:r>
    </w:p>
    <w:p w14:paraId="5D610410" w14:textId="77777777" w:rsidR="00CC1AE8" w:rsidRPr="00503070" w:rsidRDefault="00CC1AE8" w:rsidP="001E17AF">
      <w:pPr>
        <w:numPr>
          <w:ilvl w:val="0"/>
          <w:numId w:val="56"/>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jeu de théâtre amateur en Tchéquie</w:t>
      </w:r>
      <w:r w:rsidRPr="00503070">
        <w:rPr>
          <w:rFonts w:ascii="Arial" w:hAnsi="Arial" w:cs="Arial"/>
          <w:sz w:val="22"/>
          <w:szCs w:val="22"/>
        </w:rPr>
        <w:t xml:space="preserve"> sur la Liste représentative du patrimoine culturel immatériel de l’humanité ;</w:t>
      </w:r>
    </w:p>
    <w:p w14:paraId="6DE5B479" w14:textId="77777777" w:rsidR="00CC1AE8" w:rsidRPr="00503070" w:rsidRDefault="00CC1AE8" w:rsidP="001E17AF">
      <w:pPr>
        <w:numPr>
          <w:ilvl w:val="0"/>
          <w:numId w:val="56"/>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Félicite</w:t>
      </w:r>
      <w:r w:rsidRPr="00503070">
        <w:rPr>
          <w:rFonts w:ascii="Arial" w:hAnsi="Arial" w:cs="Arial"/>
          <w:sz w:val="22"/>
          <w:szCs w:val="22"/>
        </w:rPr>
        <w:t xml:space="preserve"> l’État partie pour la forte implication de la communauté dans la sauvegarde de l’élément, notamment grâce à son intégration dans l’enseignement primaire dans les petites communautés, où l’école peut être le seul lieu où les enfants entrent en contact avec l’art.</w:t>
      </w:r>
    </w:p>
    <w:p w14:paraId="69B6C699" w14:textId="77777777" w:rsidR="00764604" w:rsidRPr="00503070" w:rsidRDefault="00764604" w:rsidP="00764604">
      <w:pPr>
        <w:pStyle w:val="Heading1"/>
        <w:rPr>
          <w:bCs/>
        </w:rPr>
      </w:pPr>
      <w:r w:rsidRPr="00503070">
        <w:t>DÉCISION 20.COM 7.b.15</w:t>
      </w:r>
    </w:p>
    <w:p w14:paraId="23EDD86A" w14:textId="77777777" w:rsidR="00764604" w:rsidRPr="00503070" w:rsidRDefault="00764604" w:rsidP="00764604">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6942582" w14:textId="77777777" w:rsidR="00764604" w:rsidRPr="00503070" w:rsidRDefault="00764604" w:rsidP="001E17AF">
      <w:pPr>
        <w:numPr>
          <w:ilvl w:val="0"/>
          <w:numId w:val="5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Djibouti, les Comores, les Émirats arabes unis, l’Iraq, la Jordanie, la Mauritanie et la Somalie ont proposé la candidature de </w:t>
      </w:r>
      <w:r w:rsidRPr="00503070">
        <w:rPr>
          <w:rFonts w:ascii="Arial" w:hAnsi="Arial" w:cs="Arial"/>
          <w:b/>
          <w:sz w:val="22"/>
          <w:szCs w:val="22"/>
        </w:rPr>
        <w:t xml:space="preserve">la </w:t>
      </w:r>
      <w:proofErr w:type="spellStart"/>
      <w:r w:rsidRPr="00503070">
        <w:rPr>
          <w:rFonts w:ascii="Arial" w:hAnsi="Arial" w:cs="Arial"/>
          <w:b/>
          <w:sz w:val="22"/>
          <w:szCs w:val="22"/>
        </w:rPr>
        <w:t>zaffa</w:t>
      </w:r>
      <w:proofErr w:type="spellEnd"/>
      <w:r w:rsidRPr="00503070">
        <w:rPr>
          <w:rFonts w:ascii="Arial" w:hAnsi="Arial" w:cs="Arial"/>
          <w:b/>
          <w:sz w:val="22"/>
          <w:szCs w:val="22"/>
        </w:rPr>
        <w:t xml:space="preserve"> dans le mariage traditionnel</w:t>
      </w:r>
      <w:r w:rsidRPr="00503070">
        <w:rPr>
          <w:rFonts w:ascii="Arial" w:hAnsi="Arial" w:cs="Arial"/>
          <w:sz w:val="22"/>
          <w:szCs w:val="22"/>
        </w:rPr>
        <w:t xml:space="preserve"> (n° 02283) pour inscription sur la Liste représentative du patrimoine culturel immatériel de l’humanité :</w:t>
      </w:r>
    </w:p>
    <w:p w14:paraId="2C6FE59D" w14:textId="77777777" w:rsidR="00764604" w:rsidRPr="00503070" w:rsidRDefault="00764604" w:rsidP="00764604">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w:t>
      </w:r>
      <w:proofErr w:type="spellStart"/>
      <w:r w:rsidRPr="00503070">
        <w:rPr>
          <w:rFonts w:ascii="Arial" w:hAnsi="Arial" w:cs="Arial"/>
          <w:sz w:val="22"/>
          <w:szCs w:val="22"/>
        </w:rPr>
        <w:t>zaffa</w:t>
      </w:r>
      <w:proofErr w:type="spellEnd"/>
      <w:r w:rsidRPr="00503070">
        <w:rPr>
          <w:rFonts w:ascii="Arial" w:hAnsi="Arial" w:cs="Arial"/>
          <w:sz w:val="22"/>
          <w:szCs w:val="22"/>
        </w:rPr>
        <w:t xml:space="preserve"> est un cortège nuptial traditionnel qui marque le passage du célibat à la vie maritale. Elle implique des rituels, de la musique, de la danse et un rassemblement festif. La </w:t>
      </w:r>
      <w:proofErr w:type="spellStart"/>
      <w:r w:rsidRPr="00503070">
        <w:rPr>
          <w:rFonts w:ascii="Arial" w:hAnsi="Arial" w:cs="Arial"/>
          <w:sz w:val="22"/>
          <w:szCs w:val="22"/>
        </w:rPr>
        <w:t>zaffa</w:t>
      </w:r>
      <w:proofErr w:type="spellEnd"/>
      <w:r w:rsidRPr="00503070">
        <w:rPr>
          <w:rFonts w:ascii="Arial" w:hAnsi="Arial" w:cs="Arial"/>
          <w:sz w:val="22"/>
          <w:szCs w:val="22"/>
        </w:rPr>
        <w:t xml:space="preserve"> commence par des préparatifs minutieux. La mariée se soumet à des rituels de purification et s’applique du henné, tandis que des vêtements spéciaux, des bijoux et d’autres ornements sont préparés pour la mariée et le marié. Au cours de la cérémonie, des actes symboliques sont accomplis pour protéger le couple et bénir leur union. Ces pratiques varient selon les communautés praticiennes et peuvent inclure le fait de boire du lait, de casser un œuf ou de porter la cape d’un parent. </w:t>
      </w:r>
    </w:p>
    <w:p w14:paraId="5BC87566" w14:textId="77777777" w:rsidR="00764604" w:rsidRPr="00503070" w:rsidRDefault="00764604" w:rsidP="001E17AF">
      <w:pPr>
        <w:keepNext/>
        <w:numPr>
          <w:ilvl w:val="0"/>
          <w:numId w:val="5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44CC131" w14:textId="77777777" w:rsidR="00764604" w:rsidRPr="00503070" w:rsidRDefault="00764604" w:rsidP="00764604">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color w:val="000000" w:themeColor="text1"/>
          <w:sz w:val="22"/>
          <w:szCs w:val="22"/>
        </w:rPr>
        <w:tab/>
        <w:t xml:space="preserve">Cet élément consiste en une procession accompagnée de musique, de cris de joie et de lancers de bonbons et de fleurs. La </w:t>
      </w:r>
      <w:proofErr w:type="spellStart"/>
      <w:r w:rsidRPr="00503070">
        <w:rPr>
          <w:rFonts w:ascii="Arial" w:hAnsi="Arial" w:cs="Arial"/>
          <w:color w:val="000000" w:themeColor="text1"/>
          <w:sz w:val="22"/>
          <w:szCs w:val="22"/>
        </w:rPr>
        <w:t>zaffa</w:t>
      </w:r>
      <w:proofErr w:type="spellEnd"/>
      <w:r w:rsidRPr="00503070">
        <w:rPr>
          <w:rFonts w:ascii="Arial" w:hAnsi="Arial" w:cs="Arial"/>
          <w:color w:val="000000" w:themeColor="text1"/>
          <w:sz w:val="22"/>
          <w:szCs w:val="22"/>
        </w:rPr>
        <w:t xml:space="preserve"> rassemble à la fois les gens, la famille, les amis et la communauté au sens large. Les rituels et les pratiques sociales qui y sont associés véhiculent des valeurs et des messages culturels partagés au sein de chaque communauté. Des personnes d’âges divers y participent, les anciens de la communauté veillant au respect de la tradition, les mères préparant toutes les étapes du processus et les jeunes accompagnant les mariés. Les artistes et les artisans contribuent par le biais de chants, de danses, de vêtements et de décorations. La transmission se fait à la fois de manière informelle, par la participation et l’apprentissage au sein de la communauté, et de manière formelle, par le biais d’écoles, d’ateliers et de programmes culturels. La </w:t>
      </w:r>
      <w:proofErr w:type="spellStart"/>
      <w:r w:rsidRPr="00503070">
        <w:rPr>
          <w:rFonts w:ascii="Arial" w:hAnsi="Arial" w:cs="Arial"/>
          <w:color w:val="000000" w:themeColor="text1"/>
          <w:sz w:val="22"/>
          <w:szCs w:val="22"/>
        </w:rPr>
        <w:t>zaffa</w:t>
      </w:r>
      <w:proofErr w:type="spellEnd"/>
      <w:r w:rsidRPr="00503070">
        <w:rPr>
          <w:rFonts w:ascii="Arial" w:hAnsi="Arial" w:cs="Arial"/>
          <w:color w:val="000000" w:themeColor="text1"/>
          <w:sz w:val="22"/>
          <w:szCs w:val="22"/>
        </w:rPr>
        <w:t xml:space="preserve"> renforce les liens sociaux, favorise l’hospitalité et soutient la solidarité de la communauté. Elle constitue également une plateforme d’expression artistique et de célébration.</w:t>
      </w:r>
    </w:p>
    <w:p w14:paraId="7F9C474B" w14:textId="77777777" w:rsidR="00764604" w:rsidRPr="00503070" w:rsidRDefault="00764604" w:rsidP="00764604">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color w:val="000000" w:themeColor="text1"/>
          <w:sz w:val="22"/>
          <w:szCs w:val="22"/>
        </w:rPr>
        <w:tab/>
        <w:t xml:space="preserve">Le rituel du mariage sert de mécanisme central pour mobiliser tous les membres de la communauté, hommes et femmes confondus. Ce rituel facilite non seulement les interactions sociales, mais souligne également son rôle fondamental en tant que catalyseur de la cohésion sociale au sein de la communauté. De cette manière, l’élément contribue à l’égalité des genres, </w:t>
      </w:r>
      <w:r w:rsidRPr="00503070">
        <w:rPr>
          <w:rFonts w:ascii="Arial" w:hAnsi="Arial" w:cs="Arial"/>
          <w:color w:val="000000" w:themeColor="text1"/>
          <w:sz w:val="22"/>
          <w:szCs w:val="22"/>
          <w:shd w:val="clear" w:color="auto" w:fill="FFFFFF"/>
        </w:rPr>
        <w:t>par la participation égale des hommes et des femmes à toutes les étapes du rituel </w:t>
      </w:r>
      <w:r w:rsidRPr="00503070">
        <w:rPr>
          <w:rFonts w:ascii="Arial" w:hAnsi="Arial" w:cs="Arial"/>
          <w:color w:val="000000" w:themeColor="text1"/>
          <w:sz w:val="22"/>
          <w:szCs w:val="22"/>
        </w:rPr>
        <w:t xml:space="preserve">; et à la paix et la cohésion sociale, en promouvant l’égalité de tous les membres des communautés, en créant ainsi une dynamique qui favorise la socialisation, indépendamment de l’âge ou du statut social. </w:t>
      </w:r>
      <w:r w:rsidRPr="00503070">
        <w:rPr>
          <w:rFonts w:ascii="Arial" w:hAnsi="Arial" w:cs="Arial"/>
          <w:color w:val="000000" w:themeColor="text1"/>
          <w:sz w:val="22"/>
          <w:szCs w:val="22"/>
          <w:shd w:val="clear" w:color="auto" w:fill="FFFFFF"/>
        </w:rPr>
        <w:t>La candidature met également en évidence que l’élément favorise la possibilité d’exercer un travail décent et la croissance économique en offrant des possibilités de revenus aux artisans, aux artistes et aux prestataires de services, et contribue à la santé et au bien-être grâce à son atmosphère récréative et joyeuse, qui encourage l’interaction intergénérationnelle et le bien-être émotionnel.</w:t>
      </w:r>
    </w:p>
    <w:p w14:paraId="296807ED" w14:textId="77777777" w:rsidR="00764604" w:rsidRPr="00503070" w:rsidRDefault="00764604" w:rsidP="00764604">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color w:val="000000" w:themeColor="text1"/>
          <w:sz w:val="22"/>
          <w:szCs w:val="22"/>
        </w:rPr>
        <w:tab/>
        <w:t>Les mesures proposées pour sauvegarder l’élément sont assurées par une série de mesures définies par l’engagement des communautés concernées et des organismes gouvernementaux. Il s’agit notamment de recherches et de publications par des universitaires, d’efforts de préservation et d’expositions par des musées, de sensibilisation, d’ateliers par des organisations non gouvernementales, et de programmes et d’activités de promotion par les médias et les conseils locaux.</w:t>
      </w:r>
    </w:p>
    <w:p w14:paraId="1704D65B" w14:textId="77777777" w:rsidR="00764604" w:rsidRPr="00503070" w:rsidRDefault="00764604" w:rsidP="00764604">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lastRenderedPageBreak/>
        <w:t>R.4 :</w:t>
      </w:r>
      <w:r w:rsidRPr="00503070">
        <w:rPr>
          <w:rFonts w:ascii="Arial" w:hAnsi="Arial" w:cs="Arial"/>
          <w:color w:val="000000" w:themeColor="text1"/>
          <w:sz w:val="22"/>
          <w:szCs w:val="22"/>
          <w:shd w:val="clear" w:color="auto" w:fill="FFFFFF"/>
        </w:rPr>
        <w:tab/>
        <w:t>Les États parties soumissionnaires ont démontré la participation des communautés, des groupes et des personnes concernés au processus de candidature. Le dossier comprend les étapes liées à l’état particulier de chaque participant. Le consentement libre, préalable et éclairé des communautés concernées a été obtenu par diverses méthodes, en veillant à ce que tous les participants soient conscients de l’importance de la candidature et donnent leur plein accord. Les contributions des communautés sont décrites en détail, ainsi que le rôle et le fonctionnement d’un comité de pilotage qui a coordonné les efforts tout au long de l’élaboration du dossier.</w:t>
      </w:r>
    </w:p>
    <w:p w14:paraId="2FA030EF" w14:textId="77777777" w:rsidR="00764604" w:rsidRPr="00503070" w:rsidRDefault="00764604" w:rsidP="00764604">
      <w:pPr>
        <w:tabs>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color w:val="000000" w:themeColor="text1"/>
          <w:sz w:val="22"/>
          <w:szCs w:val="22"/>
        </w:rPr>
        <w:tab/>
        <w:t>L’élément a été inclus</w:t>
      </w:r>
      <w:r w:rsidRPr="00503070">
        <w:rPr>
          <w:rFonts w:ascii="Arial" w:hAnsi="Arial" w:cs="Arial"/>
          <w:color w:val="000000" w:themeColor="text1"/>
          <w:sz w:val="22"/>
          <w:szCs w:val="22"/>
          <w:shd w:val="clear" w:color="auto" w:fill="FFFFFF"/>
        </w:rPr>
        <w:t xml:space="preserve"> dans les inventaires du patrimoine culturel immatériel présents sur les territoires de Djibouti, des Comores, des Émirats arabes unis, de l’Irak, de la Jordanie, de la Mauritanie et de la Somalie. Les informations fournies comprennent les noms des inventaires, les noms des organismes responsables de la tenue et de la mise à jour de ces inventaires, les numéros de référence et les noms de l’élément dans les inventaires concernés, ainsi que les dates d’inclusion de l’élément dans les inventaires. Des preuves documentaires démontrant l’inclusion de l’élément proposé dans les inventaires du patrimoine culturel immatériel présents sur les territoires de Djibouti, des Comores, des Émirats arabes unis, de l’Irak, de la Jordanie, de la Mauritanie et de la Somalie sont également fournies.</w:t>
      </w:r>
    </w:p>
    <w:p w14:paraId="2F820C6E" w14:textId="77777777" w:rsidR="00764604" w:rsidRPr="00503070" w:rsidRDefault="00764604" w:rsidP="001E17AF">
      <w:pPr>
        <w:numPr>
          <w:ilvl w:val="0"/>
          <w:numId w:val="57"/>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w:t>
      </w:r>
      <w:proofErr w:type="spellStart"/>
      <w:r w:rsidRPr="00503070">
        <w:rPr>
          <w:rFonts w:ascii="Arial" w:hAnsi="Arial" w:cs="Arial"/>
          <w:b/>
          <w:sz w:val="22"/>
          <w:szCs w:val="22"/>
        </w:rPr>
        <w:t>zaffa</w:t>
      </w:r>
      <w:proofErr w:type="spellEnd"/>
      <w:r w:rsidRPr="00503070">
        <w:rPr>
          <w:rFonts w:ascii="Arial" w:hAnsi="Arial" w:cs="Arial"/>
          <w:b/>
          <w:sz w:val="22"/>
          <w:szCs w:val="22"/>
        </w:rPr>
        <w:t xml:space="preserve"> dans le mariage traditionnel</w:t>
      </w:r>
      <w:r w:rsidRPr="00503070">
        <w:rPr>
          <w:rFonts w:ascii="Arial" w:hAnsi="Arial" w:cs="Arial"/>
          <w:sz w:val="22"/>
          <w:szCs w:val="22"/>
        </w:rPr>
        <w:t xml:space="preserve"> sur la Liste représentative du patrimoine culturel immatériel de l’humanité ;</w:t>
      </w:r>
    </w:p>
    <w:p w14:paraId="2B239601" w14:textId="77777777" w:rsidR="00764604" w:rsidRPr="00503070" w:rsidRDefault="00764604" w:rsidP="001E17AF">
      <w:pPr>
        <w:numPr>
          <w:ilvl w:val="0"/>
          <w:numId w:val="57"/>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pour leur large coopération internationale dans la préparation du dossier multinational et pour avoir incité de nouveaux pays à participer pour la première fois au processus de préparation des dossiers de candidature, ainsi que pour avoir collaboré avec d’autres pays afin d’accumuler de l’expérience.</w:t>
      </w:r>
    </w:p>
    <w:p w14:paraId="217AD345" w14:textId="77777777" w:rsidR="00446163" w:rsidRPr="00503070" w:rsidRDefault="00446163" w:rsidP="00446163">
      <w:pPr>
        <w:pStyle w:val="Heading1"/>
        <w:rPr>
          <w:bCs/>
        </w:rPr>
      </w:pPr>
      <w:r w:rsidRPr="00503070">
        <w:t>DÉCISION 20.COM 7.b.16</w:t>
      </w:r>
    </w:p>
    <w:p w14:paraId="0007CCAC"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4643845A" w14:textId="77777777" w:rsidR="00446163" w:rsidRPr="00503070" w:rsidRDefault="00446163" w:rsidP="001E17AF">
      <w:pPr>
        <w:numPr>
          <w:ilvl w:val="0"/>
          <w:numId w:val="5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l’Égypte a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koshary</w:t>
      </w:r>
      <w:proofErr w:type="spellEnd"/>
      <w:r w:rsidRPr="00503070">
        <w:rPr>
          <w:rFonts w:ascii="Arial" w:hAnsi="Arial" w:cs="Arial"/>
          <w:b/>
          <w:sz w:val="22"/>
          <w:szCs w:val="22"/>
        </w:rPr>
        <w:t>, plat de la vie quotidienne et pratiques associées</w:t>
      </w:r>
      <w:r w:rsidRPr="00503070">
        <w:rPr>
          <w:rFonts w:ascii="Arial" w:hAnsi="Arial" w:cs="Arial"/>
          <w:sz w:val="22"/>
          <w:szCs w:val="22"/>
        </w:rPr>
        <w:t xml:space="preserve"> (n° 02278) pour inscription sur la Liste représentative du patrimoine culturel immatériel de l’humanité :</w:t>
      </w:r>
    </w:p>
    <w:p w14:paraId="27394E6F"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Les pratiques associées au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tourne autour d’un plat populaire composé d’ingrédients simples et abordables tels que le riz, les pâtes, les lentilles noires et les oignons frits, auxquels sont ajoutés des condiments tels que le vinaigre, l’ail et la sauce piquante, selon les préférences de chacun. Repas rassasiant et économique, le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est préparé à la maison et servi dans les restaurants et sur les chariots de rue, en particulier à proximité des écoles et des zones de forte affluence. Bien que la recette de base reste la même, il existe des variations régionales. Le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est apprécié par des personnes de tous âges, de tous genres et de toutes origines dans les communautés rurales, urbaines et côtières. </w:t>
      </w:r>
    </w:p>
    <w:p w14:paraId="5C82C25A" w14:textId="77777777" w:rsidR="00446163" w:rsidRPr="00503070" w:rsidRDefault="00446163" w:rsidP="001E17AF">
      <w:pPr>
        <w:keepNext/>
        <w:numPr>
          <w:ilvl w:val="0"/>
          <w:numId w:val="5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1F66E238"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est un plat partagé avec les voisins et les amis, servi lors des réunions de famille ainsi qu’à l’occasion d’événements nationaux, notamment au cours de célébrations organisées au sein des ambassades. De nombreux particuliers et professionnels contribuent à sa préparation ainsi qu’à sa culture, qu’il s’agisse des restaurateurs et de leur personnel, des vendeurs ambulants, des agriculteurs ou des artisans qui construisent et décorent les stands de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Les propriétaires de boutiques de desserts situées à proximité des lieux où le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est préparé servent généralement du riz au lait pour compléter le repas. Les connaissances et le savoir-faire associés à cette pratique sont transmis de manière informelle au sein des familles, plus spécifiquement de mère en fille. La pratique est également partagée par le biais d’émissions culinaires, de publications sur les réseaux sociaux et de programmes </w:t>
      </w:r>
      <w:r w:rsidRPr="00503070">
        <w:rPr>
          <w:rFonts w:ascii="Arial" w:hAnsi="Arial" w:cs="Arial"/>
          <w:sz w:val="22"/>
          <w:szCs w:val="22"/>
        </w:rPr>
        <w:lastRenderedPageBreak/>
        <w:t xml:space="preserve">d’enseignement culinaire professionnel. Tradition profondément enracinée, le </w:t>
      </w:r>
      <w:proofErr w:type="spellStart"/>
      <w:r w:rsidRPr="00503070">
        <w:rPr>
          <w:rFonts w:ascii="Arial" w:hAnsi="Arial" w:cs="Arial"/>
          <w:sz w:val="22"/>
          <w:szCs w:val="22"/>
        </w:rPr>
        <w:t>koshary</w:t>
      </w:r>
      <w:proofErr w:type="spellEnd"/>
      <w:r w:rsidRPr="00503070">
        <w:rPr>
          <w:rFonts w:ascii="Arial" w:hAnsi="Arial" w:cs="Arial"/>
          <w:sz w:val="22"/>
          <w:szCs w:val="22"/>
        </w:rPr>
        <w:t xml:space="preserve"> favorise l’unité, l’identité commune et la cohésion sociale.</w:t>
      </w:r>
    </w:p>
    <w:p w14:paraId="49014AEC"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R.2 :</w:t>
      </w:r>
      <w:r w:rsidRPr="00503070">
        <w:rPr>
          <w:rFonts w:ascii="Arial" w:hAnsi="Arial" w:cs="Arial"/>
          <w:sz w:val="22"/>
          <w:szCs w:val="22"/>
        </w:rPr>
        <w:tab/>
        <w:t xml:space="preserve">Cet élément </w:t>
      </w:r>
      <w:r w:rsidRPr="00503070">
        <w:rPr>
          <w:rFonts w:ascii="Arial" w:hAnsi="Arial" w:cs="Arial"/>
          <w:sz w:val="22"/>
          <w:szCs w:val="22"/>
          <w:shd w:val="clear" w:color="auto" w:fill="FFFFFF"/>
        </w:rPr>
        <w:t xml:space="preserve">est présenté comme un moyen de sensibiliser au patrimoine culturel immatériel et de soutenir la sécurité alimentaire, le développement économique inclusif et l’égalité des genres. Le caractère abordable et la valeur nutritionnelle du </w:t>
      </w:r>
      <w:proofErr w:type="spellStart"/>
      <w:r w:rsidRPr="00503070">
        <w:rPr>
          <w:rFonts w:ascii="Arial" w:hAnsi="Arial" w:cs="Arial"/>
          <w:sz w:val="22"/>
          <w:szCs w:val="22"/>
          <w:shd w:val="clear" w:color="auto" w:fill="FFFFFF"/>
        </w:rPr>
        <w:t>koshary</w:t>
      </w:r>
      <w:proofErr w:type="spellEnd"/>
      <w:r w:rsidRPr="00503070">
        <w:rPr>
          <w:rFonts w:ascii="Arial" w:hAnsi="Arial" w:cs="Arial"/>
          <w:sz w:val="22"/>
          <w:szCs w:val="22"/>
          <w:shd w:val="clear" w:color="auto" w:fill="FFFFFF"/>
        </w:rPr>
        <w:t xml:space="preserve"> sont mis en évidence, de même que son potentiel de promotion de la paix et de la cohésion sociale par le biais de pratiques alimentaires partagées. </w:t>
      </w:r>
      <w:r w:rsidRPr="00503070">
        <w:rPr>
          <w:rFonts w:ascii="Arial" w:hAnsi="Arial" w:cs="Arial"/>
          <w:sz w:val="22"/>
          <w:szCs w:val="22"/>
        </w:rPr>
        <w:t xml:space="preserve">Il constitue en outre </w:t>
      </w:r>
      <w:r w:rsidRPr="00503070">
        <w:rPr>
          <w:rFonts w:ascii="Arial" w:hAnsi="Arial" w:cs="Arial"/>
          <w:sz w:val="22"/>
          <w:szCs w:val="22"/>
          <w:shd w:val="clear" w:color="auto" w:fill="FFFFFF"/>
        </w:rPr>
        <w:t>une source de revenus pour les vendeurs ambulants et les restaurants</w:t>
      </w:r>
      <w:r w:rsidRPr="00503070">
        <w:rPr>
          <w:rFonts w:ascii="Arial" w:hAnsi="Arial" w:cs="Arial"/>
          <w:sz w:val="22"/>
          <w:szCs w:val="22"/>
        </w:rPr>
        <w:t xml:space="preserve"> à différents niveaux et offre des opportunités de travail ainsi qu’un revenu équitable aux praticiens, qui sont donc les premiers bénéficiaires de l’élément.</w:t>
      </w:r>
    </w:p>
    <w:p w14:paraId="51A40BA3"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Le dossier de candidature fournit une bonne description des mesures de sauvegarde passées et actuelles, soulignant l’implication active des communautés et du gouvernement dans la promotion et la préservation de l’élément. L’élément reste vital et ne semble pas menacé. Les mesures existantes se concentrent particulièrement sur la promotion de l’élément, non seulement par l’éducation, mais aussi par les médias de masse, les réseaux sociaux et l’aide aux restaurants où le plat est préparé.</w:t>
      </w:r>
    </w:p>
    <w:p w14:paraId="1D5F4622"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R.4 :</w:t>
      </w:r>
      <w:r w:rsidRPr="00503070">
        <w:rPr>
          <w:rFonts w:ascii="Arial" w:hAnsi="Arial" w:cs="Arial"/>
          <w:sz w:val="22"/>
          <w:szCs w:val="22"/>
        </w:rPr>
        <w:tab/>
      </w:r>
      <w:r w:rsidRPr="00503070">
        <w:rPr>
          <w:rFonts w:ascii="Arial" w:hAnsi="Arial" w:cs="Arial"/>
          <w:sz w:val="22"/>
          <w:szCs w:val="22"/>
          <w:shd w:val="clear" w:color="auto" w:fill="FFFFFF"/>
        </w:rPr>
        <w:t xml:space="preserve">Le processus de candidature est décrit comme étant piloté par la communauté, et a débuté par une initiative publique. Par la suite, le Comité du patrimoine culturel immatériel du </w:t>
      </w:r>
      <w:proofErr w:type="gramStart"/>
      <w:r w:rsidRPr="00503070">
        <w:rPr>
          <w:rFonts w:ascii="Arial" w:hAnsi="Arial" w:cs="Arial"/>
          <w:sz w:val="22"/>
          <w:szCs w:val="22"/>
          <w:shd w:val="clear" w:color="auto" w:fill="FFFFFF"/>
        </w:rPr>
        <w:t>Ministère de la culture</w:t>
      </w:r>
      <w:proofErr w:type="gramEnd"/>
      <w:r w:rsidRPr="00503070">
        <w:rPr>
          <w:rFonts w:ascii="Arial" w:hAnsi="Arial" w:cs="Arial"/>
          <w:sz w:val="22"/>
          <w:szCs w:val="22"/>
          <w:shd w:val="clear" w:color="auto" w:fill="FFFFFF"/>
        </w:rPr>
        <w:t xml:space="preserve"> a constitué une équipe pour préparer le dossier. Cette équipe comprenait des scientifiques, des restaurateurs, des représentants d’ONG, des cuisiniers des médias et des personnes sélectionnées (femmes au foyer) - une composition qui reflète les communautés qui supportent le fardeau de l’élément. Les membres de la communauté ont fourni leur consentement libre, préalable et éclairé, ainsi que des photographies et des vidéos relatives à l’élément pour le processus de nomination. Ils ont également validé le dossier avant sa soumission.</w:t>
      </w:r>
    </w:p>
    <w:p w14:paraId="6B1238A0"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R.5 :</w:t>
      </w:r>
      <w:r w:rsidRPr="00503070">
        <w:rPr>
          <w:rFonts w:ascii="Arial" w:hAnsi="Arial" w:cs="Arial"/>
          <w:sz w:val="22"/>
          <w:szCs w:val="22"/>
        </w:rPr>
        <w:tab/>
        <w:t>L’élément a été inclus dans l’Inventaire des archives folkloriques nationales en 2017. Cet inventaire est tenu par la Société égyptienne des traditions populaires, et est mis à jour tous les ans ou tous les trois ans dans le cadre du système national d’inventaire. Cela implique la participation directe des communautés, groupes et individus.</w:t>
      </w:r>
    </w:p>
    <w:p w14:paraId="35134DC2" w14:textId="77777777" w:rsidR="00446163" w:rsidRPr="00503070" w:rsidRDefault="00446163" w:rsidP="001E17AF">
      <w:pPr>
        <w:numPr>
          <w:ilvl w:val="0"/>
          <w:numId w:val="58"/>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w:t>
      </w:r>
      <w:proofErr w:type="spellStart"/>
      <w:r w:rsidRPr="00503070">
        <w:rPr>
          <w:rFonts w:ascii="Arial" w:hAnsi="Arial" w:cs="Arial"/>
          <w:b/>
          <w:sz w:val="22"/>
          <w:szCs w:val="22"/>
        </w:rPr>
        <w:t>koshary</w:t>
      </w:r>
      <w:proofErr w:type="spellEnd"/>
      <w:r w:rsidRPr="00503070">
        <w:rPr>
          <w:rFonts w:ascii="Arial" w:hAnsi="Arial" w:cs="Arial"/>
          <w:b/>
          <w:sz w:val="22"/>
          <w:szCs w:val="22"/>
        </w:rPr>
        <w:t>, plat de la vie quotidienne et pratiques associées</w:t>
      </w:r>
      <w:r w:rsidRPr="00503070">
        <w:rPr>
          <w:rFonts w:ascii="Arial" w:hAnsi="Arial" w:cs="Arial"/>
          <w:sz w:val="22"/>
          <w:szCs w:val="22"/>
        </w:rPr>
        <w:t xml:space="preserve"> sur la Liste représentative du patrimoine culturel immatériel de l’humanité.</w:t>
      </w:r>
    </w:p>
    <w:p w14:paraId="409ADA3A" w14:textId="77777777" w:rsidR="00446163" w:rsidRPr="00503070" w:rsidRDefault="00446163" w:rsidP="00446163">
      <w:pPr>
        <w:pStyle w:val="Heading1"/>
        <w:rPr>
          <w:bCs/>
        </w:rPr>
      </w:pPr>
      <w:r w:rsidRPr="00503070">
        <w:t>DÉCISION 20.COM 7.b.17</w:t>
      </w:r>
    </w:p>
    <w:p w14:paraId="0FB2B93E"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6792EA7" w14:textId="77777777" w:rsidR="00446163" w:rsidRPr="00503070" w:rsidRDefault="00446163" w:rsidP="001E17AF">
      <w:pPr>
        <w:numPr>
          <w:ilvl w:val="0"/>
          <w:numId w:val="5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El Salvador a proposé la candidature de </w:t>
      </w:r>
      <w:r w:rsidRPr="00503070">
        <w:rPr>
          <w:rFonts w:ascii="Arial" w:hAnsi="Arial" w:cs="Arial"/>
          <w:b/>
          <w:sz w:val="22"/>
          <w:szCs w:val="22"/>
        </w:rPr>
        <w:t>la Confrérie des fleurs et des palmes</w:t>
      </w:r>
      <w:r w:rsidRPr="00503070">
        <w:rPr>
          <w:rFonts w:ascii="Arial" w:hAnsi="Arial" w:cs="Arial"/>
          <w:sz w:val="22"/>
          <w:szCs w:val="22"/>
        </w:rPr>
        <w:t xml:space="preserve"> (n° 02240) pour inscription sur la Liste représentative du patrimoine culturel immatériel de l’humanité :</w:t>
      </w:r>
    </w:p>
    <w:p w14:paraId="01FFA02D"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Confrérie des fleurs et des palmes est une célébration traditionnelle qui mêle les croyances autochtones aux pratiques catholiques au sein de la communauté de </w:t>
      </w:r>
      <w:proofErr w:type="spellStart"/>
      <w:r w:rsidRPr="00503070">
        <w:rPr>
          <w:rFonts w:ascii="Arial" w:hAnsi="Arial" w:cs="Arial"/>
          <w:sz w:val="22"/>
          <w:szCs w:val="22"/>
        </w:rPr>
        <w:t>Panchimalco</w:t>
      </w:r>
      <w:proofErr w:type="spellEnd"/>
      <w:r w:rsidRPr="00503070">
        <w:rPr>
          <w:rFonts w:ascii="Arial" w:hAnsi="Arial" w:cs="Arial"/>
          <w:sz w:val="22"/>
          <w:szCs w:val="22"/>
        </w:rPr>
        <w:t xml:space="preserve">. L’événement coïncide avec le début de la saison des pluies et des récoltes, et se caractérise par une procession de palmes décorées de fleurs sauvages. Cette procession, qui attire des visiteurs du monde entier, est accompagnée de danses traditionnelles, de musique, de prières et de la préparation d’aliments spéciaux à base de riz, de maïs, de cacao et d’herbes. Les enfants portent des vêtements traditionnels faits d’étoffes tissées à la main et arborent des images de la Vierge. </w:t>
      </w:r>
    </w:p>
    <w:p w14:paraId="46B09A37" w14:textId="77777777" w:rsidR="00446163" w:rsidRPr="00503070" w:rsidRDefault="00446163" w:rsidP="001E17AF">
      <w:pPr>
        <w:keepNext/>
        <w:numPr>
          <w:ilvl w:val="0"/>
          <w:numId w:val="59"/>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0190ED9"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L’État partie soumissionnaire identifie de manière cohérente la manière dont l’élément contribue à divers aspects du développement durable, en mettant particulièrement l’accent sur la promotion </w:t>
      </w:r>
      <w:r w:rsidRPr="00503070">
        <w:rPr>
          <w:rFonts w:ascii="Arial" w:hAnsi="Arial" w:cs="Arial"/>
          <w:sz w:val="22"/>
          <w:szCs w:val="22"/>
          <w:shd w:val="clear" w:color="auto" w:fill="FFFFFF"/>
        </w:rPr>
        <w:t xml:space="preserve">de l’égalité des genres, </w:t>
      </w:r>
      <w:r w:rsidRPr="00503070">
        <w:rPr>
          <w:rFonts w:ascii="Arial" w:hAnsi="Arial" w:cs="Arial"/>
          <w:sz w:val="22"/>
          <w:szCs w:val="22"/>
        </w:rPr>
        <w:t xml:space="preserve">en créant des opportunités égales pour </w:t>
      </w:r>
      <w:r w:rsidRPr="00503070">
        <w:rPr>
          <w:rFonts w:ascii="Arial" w:hAnsi="Arial" w:cs="Arial"/>
          <w:sz w:val="22"/>
          <w:szCs w:val="22"/>
        </w:rPr>
        <w:lastRenderedPageBreak/>
        <w:t xml:space="preserve">les hommes et les femmes et en garantissant la participation des femmes à la prise de décision, à l’organisation et au déroulement de la célébration. Dans un souci de durabilité environnementale, la protection des zones boisées et des espaces verts dans la région utilisée pour l’événement est encouragée. Des repas sont également fournis aux fidèles. Enfin, le dossier de candidature révèle comment l’inscription de l’élément contribuerait à assurer la visibilité et la sensibilisation à l’importance du patrimoine culturel immatériel </w:t>
      </w:r>
      <w:proofErr w:type="gramStart"/>
      <w:r w:rsidRPr="00503070">
        <w:rPr>
          <w:rFonts w:ascii="Arial" w:hAnsi="Arial" w:cs="Arial"/>
          <w:sz w:val="22"/>
          <w:szCs w:val="22"/>
        </w:rPr>
        <w:t>aux niveaux local</w:t>
      </w:r>
      <w:proofErr w:type="gramEnd"/>
      <w:r w:rsidRPr="00503070">
        <w:rPr>
          <w:rFonts w:ascii="Arial" w:hAnsi="Arial" w:cs="Arial"/>
          <w:sz w:val="22"/>
          <w:szCs w:val="22"/>
        </w:rPr>
        <w:t>, national et mondial.</w:t>
      </w:r>
    </w:p>
    <w:p w14:paraId="5C5B3D4C"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r>
      <w:r w:rsidRPr="00503070">
        <w:rPr>
          <w:rFonts w:ascii="Arial" w:hAnsi="Arial" w:cs="Arial"/>
          <w:sz w:val="22"/>
          <w:szCs w:val="22"/>
          <w:shd w:val="clear" w:color="auto" w:fill="FFFFFF"/>
        </w:rPr>
        <w:t>L’État partie soumissionnaire a démontré que la communauté et les groupes concernés ont participé activement à toutes les étapes de la préparation de la candidature, y compris en ce qui concerne le rôle du genre. Le processus a débuté en décembre 2019 et comprenait des consultations en personne et virtuelles, avec des mécanismes en place pour un large engagement à travers le pays. Malgré les limites imposées par la pandémie de COVID-19, le dossier reflète la continuité dans la participation des personnes impliquées et reconnaît les défis logistiques. Le consentement a été obtenu au cours du processus de candidature et est décrit comme faisant partie d’un cycle structuré de consultation et d’évaluation de 2019 à 2020. Il est indiqué que des preuves de consentement ont été recueillies lors de la documentation et des sessions du groupe de travail, et le dossier fait référence à l’approbation de la candidature par la communauté.</w:t>
      </w:r>
    </w:p>
    <w:p w14:paraId="334B7BBB" w14:textId="77777777" w:rsidR="00446163" w:rsidRPr="00503070" w:rsidRDefault="00446163" w:rsidP="001E17AF">
      <w:pPr>
        <w:pStyle w:val="ListParagraph"/>
        <w:numPr>
          <w:ilvl w:val="0"/>
          <w:numId w:val="60"/>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aux critères suivants d’inscription sur la Liste représentative du patrimoine culturel immatériel de l’humanité :</w:t>
      </w:r>
    </w:p>
    <w:p w14:paraId="71D6845B"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R.1 :</w:t>
      </w:r>
      <w:r w:rsidRPr="00503070">
        <w:rPr>
          <w:rFonts w:ascii="Arial" w:hAnsi="Arial" w:cs="Arial"/>
          <w:sz w:val="22"/>
          <w:szCs w:val="22"/>
        </w:rPr>
        <w:tab/>
        <w:t>La Confrérie des fleurs et des palmes est organisée par des membres de la communauté ayant des rôles prédéfinis de manière structurelle, tels que la « </w:t>
      </w:r>
      <w:proofErr w:type="spellStart"/>
      <w:r w:rsidRPr="00503070">
        <w:rPr>
          <w:rFonts w:ascii="Arial" w:hAnsi="Arial" w:cs="Arial"/>
          <w:sz w:val="22"/>
          <w:szCs w:val="22"/>
        </w:rPr>
        <w:t>Teta</w:t>
      </w:r>
      <w:proofErr w:type="spellEnd"/>
      <w:r w:rsidRPr="00503070">
        <w:rPr>
          <w:rFonts w:ascii="Arial" w:hAnsi="Arial" w:cs="Arial"/>
          <w:sz w:val="22"/>
          <w:szCs w:val="22"/>
        </w:rPr>
        <w:t> » (la plus haute autorité), les « </w:t>
      </w:r>
      <w:proofErr w:type="spellStart"/>
      <w:r w:rsidRPr="00503070">
        <w:rPr>
          <w:rFonts w:ascii="Arial" w:hAnsi="Arial" w:cs="Arial"/>
          <w:sz w:val="22"/>
          <w:szCs w:val="22"/>
        </w:rPr>
        <w:t>Priostes</w:t>
      </w:r>
      <w:proofErr w:type="spellEnd"/>
      <w:r w:rsidRPr="00503070">
        <w:rPr>
          <w:rFonts w:ascii="Arial" w:hAnsi="Arial" w:cs="Arial"/>
          <w:sz w:val="22"/>
          <w:szCs w:val="22"/>
        </w:rPr>
        <w:t xml:space="preserve"> élus » (les organisateurs) et d’autres volontaires qui travaillent ensemble pour gérer les activités religieuses, la préparation des repas et les spectacles de danse. Les connaissances et le savoir-faire qui y sont associés, notamment les traditions orales, les mouvements de danse, les techniques artisanales, les techniques culinaires et l’utilisation de fleurs sauvages pour la décoration, sont transmis de manière informelle au sein des familles et des communautés, ainsi que par le biais de la participation aux festivités. L’élément constitue ainsi un espace de transmission des valeurs religieuses et sociales. Marqueur de la résilience des communautés pratiquantes, il favorise en outre l’unité et le partage d’un sentiment d’identité.</w:t>
      </w:r>
    </w:p>
    <w:p w14:paraId="4DA08594"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Des mesures de sauvegarde de l’élément ont été mises en place à deux niveaux : au niveau de l’État ainsi qu’au niveau municipal. Les mesures de sauvegarde proposées comprennent la reconnaissance et la publication de l’élément, la création d’un comité de sauvegarde de l’élément et l’utilisation de cadres juridiques afin de le protéger.</w:t>
      </w:r>
    </w:p>
    <w:p w14:paraId="2231559C"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proofErr w:type="gramStart"/>
      <w:r w:rsidRPr="006F704D">
        <w:rPr>
          <w:rFonts w:ascii="Arial" w:hAnsi="Arial" w:cs="Arial"/>
          <w:sz w:val="22"/>
          <w:szCs w:val="22"/>
          <w:lang w:val="es-BO"/>
        </w:rPr>
        <w:t>R.5 :</w:t>
      </w:r>
      <w:proofErr w:type="gramEnd"/>
      <w:r w:rsidRPr="006F704D">
        <w:rPr>
          <w:rFonts w:ascii="Arial" w:hAnsi="Arial" w:cs="Arial"/>
          <w:sz w:val="22"/>
          <w:szCs w:val="22"/>
          <w:lang w:val="es-BO"/>
        </w:rPr>
        <w:tab/>
      </w:r>
      <w:proofErr w:type="spellStart"/>
      <w:r w:rsidRPr="006F704D">
        <w:rPr>
          <w:rFonts w:ascii="Arial" w:hAnsi="Arial" w:cs="Arial"/>
          <w:sz w:val="22"/>
          <w:szCs w:val="22"/>
          <w:lang w:val="es-BO"/>
        </w:rPr>
        <w:t>L’élément</w:t>
      </w:r>
      <w:proofErr w:type="spellEnd"/>
      <w:r w:rsidRPr="006F704D">
        <w:rPr>
          <w:rFonts w:ascii="Arial" w:hAnsi="Arial" w:cs="Arial"/>
          <w:sz w:val="22"/>
          <w:szCs w:val="22"/>
          <w:lang w:val="es-BO"/>
        </w:rPr>
        <w:t xml:space="preserve"> a </w:t>
      </w:r>
      <w:proofErr w:type="spellStart"/>
      <w:r w:rsidRPr="006F704D">
        <w:rPr>
          <w:rFonts w:ascii="Arial" w:hAnsi="Arial" w:cs="Arial"/>
          <w:sz w:val="22"/>
          <w:szCs w:val="22"/>
          <w:lang w:val="es-BO"/>
        </w:rPr>
        <w:t>été</w:t>
      </w:r>
      <w:proofErr w:type="spellEnd"/>
      <w:r w:rsidRPr="006F704D">
        <w:rPr>
          <w:rFonts w:ascii="Arial" w:hAnsi="Arial" w:cs="Arial"/>
          <w:sz w:val="22"/>
          <w:szCs w:val="22"/>
          <w:lang w:val="es-BO"/>
        </w:rPr>
        <w:t xml:space="preserve"> </w:t>
      </w:r>
      <w:proofErr w:type="spellStart"/>
      <w:r w:rsidRPr="006F704D">
        <w:rPr>
          <w:rFonts w:ascii="Arial" w:hAnsi="Arial" w:cs="Arial"/>
          <w:sz w:val="22"/>
          <w:szCs w:val="22"/>
          <w:lang w:val="es-BO"/>
        </w:rPr>
        <w:t>inclus</w:t>
      </w:r>
      <w:proofErr w:type="spellEnd"/>
      <w:r w:rsidRPr="006F704D">
        <w:rPr>
          <w:rFonts w:ascii="Arial" w:hAnsi="Arial" w:cs="Arial"/>
          <w:sz w:val="22"/>
          <w:szCs w:val="22"/>
          <w:lang w:val="es-BO"/>
        </w:rPr>
        <w:t xml:space="preserve"> </w:t>
      </w:r>
      <w:proofErr w:type="spellStart"/>
      <w:r w:rsidRPr="006F704D">
        <w:rPr>
          <w:rFonts w:ascii="Arial" w:hAnsi="Arial" w:cs="Arial"/>
          <w:sz w:val="22"/>
          <w:szCs w:val="22"/>
          <w:lang w:val="es-BO"/>
        </w:rPr>
        <w:t>dans</w:t>
      </w:r>
      <w:proofErr w:type="spellEnd"/>
      <w:r w:rsidRPr="006F704D">
        <w:rPr>
          <w:rFonts w:ascii="Arial" w:hAnsi="Arial" w:cs="Arial"/>
          <w:sz w:val="22"/>
          <w:szCs w:val="22"/>
          <w:lang w:val="es-BO"/>
        </w:rPr>
        <w:t xml:space="preserve"> </w:t>
      </w:r>
      <w:proofErr w:type="spellStart"/>
      <w:r w:rsidRPr="006F704D">
        <w:rPr>
          <w:rFonts w:ascii="Arial" w:hAnsi="Arial" w:cs="Arial"/>
          <w:sz w:val="22"/>
          <w:szCs w:val="22"/>
          <w:lang w:val="es-BO"/>
        </w:rPr>
        <w:t>l’Inventario</w:t>
      </w:r>
      <w:proofErr w:type="spellEnd"/>
      <w:r w:rsidRPr="006F704D">
        <w:rPr>
          <w:rFonts w:ascii="Arial" w:hAnsi="Arial" w:cs="Arial"/>
          <w:sz w:val="22"/>
          <w:szCs w:val="22"/>
          <w:lang w:val="es-BO"/>
        </w:rPr>
        <w:t xml:space="preserve"> Salvadoreño de Patrimonio Cultural Inmaterial en 2022. </w:t>
      </w:r>
      <w:r w:rsidRPr="00503070">
        <w:rPr>
          <w:rFonts w:ascii="Arial" w:hAnsi="Arial" w:cs="Arial"/>
          <w:sz w:val="22"/>
          <w:szCs w:val="22"/>
        </w:rPr>
        <w:t>Le processus d’inventaire nécessite la participation de la communauté concernée aux étapes d’identification, de consentement et de mise à jour.</w:t>
      </w:r>
    </w:p>
    <w:p w14:paraId="59AE0927" w14:textId="77777777" w:rsidR="00446163" w:rsidRPr="00503070" w:rsidRDefault="00446163" w:rsidP="001E17AF">
      <w:pPr>
        <w:numPr>
          <w:ilvl w:val="0"/>
          <w:numId w:val="60"/>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Confrérie des fleurs et des palmes</w:t>
      </w:r>
      <w:r w:rsidRPr="00503070">
        <w:rPr>
          <w:rFonts w:ascii="Arial" w:hAnsi="Arial" w:cs="Arial"/>
          <w:sz w:val="22"/>
          <w:szCs w:val="22"/>
        </w:rPr>
        <w:t xml:space="preserve"> sur la Liste représentative du patrimoine culturel immatériel de l’humanité ;</w:t>
      </w:r>
    </w:p>
    <w:p w14:paraId="04A201F3" w14:textId="77777777" w:rsidR="00446163" w:rsidRPr="00503070" w:rsidRDefault="00446163" w:rsidP="001E17AF">
      <w:pPr>
        <w:numPr>
          <w:ilvl w:val="0"/>
          <w:numId w:val="60"/>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sa première inscription.</w:t>
      </w:r>
    </w:p>
    <w:p w14:paraId="56318684" w14:textId="77777777" w:rsidR="00446163" w:rsidRPr="00503070" w:rsidRDefault="00446163" w:rsidP="00446163">
      <w:pPr>
        <w:pStyle w:val="Heading1"/>
        <w:rPr>
          <w:bCs/>
        </w:rPr>
      </w:pPr>
      <w:r w:rsidRPr="00503070">
        <w:t>DÉCISION 20.COM 7.b.18</w:t>
      </w:r>
    </w:p>
    <w:p w14:paraId="45025B7B"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67C5C3F" w14:textId="77777777" w:rsidR="00446163" w:rsidRPr="00503070" w:rsidRDefault="00446163" w:rsidP="001E17AF">
      <w:pPr>
        <w:numPr>
          <w:ilvl w:val="0"/>
          <w:numId w:val="61"/>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l’Éthiopie a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Gifaataa</w:t>
      </w:r>
      <w:proofErr w:type="spellEnd"/>
      <w:r w:rsidRPr="00503070">
        <w:rPr>
          <w:rFonts w:ascii="Arial" w:hAnsi="Arial" w:cs="Arial"/>
          <w:b/>
          <w:sz w:val="22"/>
          <w:szCs w:val="22"/>
        </w:rPr>
        <w:t xml:space="preserve">, festival du Nouvel An des </w:t>
      </w:r>
      <w:proofErr w:type="spellStart"/>
      <w:r w:rsidRPr="00503070">
        <w:rPr>
          <w:rFonts w:ascii="Arial" w:hAnsi="Arial" w:cs="Arial"/>
          <w:b/>
          <w:sz w:val="22"/>
          <w:szCs w:val="22"/>
        </w:rPr>
        <w:t>Wolaitas</w:t>
      </w:r>
      <w:proofErr w:type="spellEnd"/>
      <w:r w:rsidRPr="00503070">
        <w:rPr>
          <w:rFonts w:ascii="Arial" w:hAnsi="Arial" w:cs="Arial"/>
          <w:sz w:val="22"/>
          <w:szCs w:val="22"/>
        </w:rPr>
        <w:t xml:space="preserve"> (n° 02315) pour inscription sur la Liste représentative du patrimoine culturel immatériel de l’humanité :</w:t>
      </w:r>
    </w:p>
    <w:p w14:paraId="6BEB9934"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lastRenderedPageBreak/>
        <w:t xml:space="preserve">Le </w:t>
      </w:r>
      <w:proofErr w:type="spellStart"/>
      <w:r w:rsidRPr="00503070">
        <w:rPr>
          <w:rFonts w:ascii="Arial" w:hAnsi="Arial" w:cs="Arial"/>
          <w:sz w:val="22"/>
          <w:szCs w:val="22"/>
        </w:rPr>
        <w:t>Gifaataa</w:t>
      </w:r>
      <w:proofErr w:type="spellEnd"/>
      <w:r w:rsidRPr="00503070">
        <w:rPr>
          <w:rFonts w:ascii="Arial" w:hAnsi="Arial" w:cs="Arial"/>
          <w:sz w:val="22"/>
          <w:szCs w:val="22"/>
        </w:rPr>
        <w:t xml:space="preserve"> est une fête du Nouvel An célébrée par la communauté </w:t>
      </w:r>
      <w:proofErr w:type="spellStart"/>
      <w:r w:rsidRPr="00503070">
        <w:rPr>
          <w:rFonts w:ascii="Arial" w:hAnsi="Arial" w:cs="Arial"/>
          <w:sz w:val="22"/>
          <w:szCs w:val="22"/>
        </w:rPr>
        <w:t>wolaita</w:t>
      </w:r>
      <w:proofErr w:type="spellEnd"/>
      <w:r w:rsidRPr="00503070">
        <w:rPr>
          <w:rFonts w:ascii="Arial" w:hAnsi="Arial" w:cs="Arial"/>
          <w:sz w:val="22"/>
          <w:szCs w:val="22"/>
        </w:rPr>
        <w:t xml:space="preserve"> entre la mi-septembre et le début du mois d’octobre. Avant le début du festival, les personnes nettoient leur environnement et rentrent chez eux pour retrouver leur famille. Les conflits sont résolus pacifiquement en vue de la nouvelle année. Le jour principal du festival, les familles se réunissent pour partager de la viande crue et de la bière locale et recevoir les bénédictions des anciens. Le soir, la communauté se rassemble autour d’un feu de joie pour des rituels, des chants et des danses. Le festival dure dix jours et se termine par une grande fête communautaire appelée « </w:t>
      </w:r>
      <w:proofErr w:type="spellStart"/>
      <w:r w:rsidRPr="00503070">
        <w:rPr>
          <w:rFonts w:ascii="Arial" w:hAnsi="Arial" w:cs="Arial"/>
          <w:sz w:val="22"/>
          <w:szCs w:val="22"/>
        </w:rPr>
        <w:t>goolo-igetta</w:t>
      </w:r>
      <w:proofErr w:type="spellEnd"/>
      <w:r w:rsidRPr="00503070">
        <w:rPr>
          <w:rFonts w:ascii="Arial" w:hAnsi="Arial" w:cs="Arial"/>
          <w:sz w:val="22"/>
          <w:szCs w:val="22"/>
        </w:rPr>
        <w:t xml:space="preserve"> », qui comprend des promenades à cheval, de la musique et les dernières bénédictions des anciens. </w:t>
      </w:r>
    </w:p>
    <w:p w14:paraId="48614232" w14:textId="77777777" w:rsidR="00446163" w:rsidRPr="00503070" w:rsidRDefault="00446163" w:rsidP="001E17AF">
      <w:pPr>
        <w:keepNext/>
        <w:numPr>
          <w:ilvl w:val="0"/>
          <w:numId w:val="61"/>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56355DFE"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Des rôles spécifiques liés au genre et à l’âge sont associés au </w:t>
      </w:r>
      <w:proofErr w:type="spellStart"/>
      <w:r w:rsidRPr="00503070">
        <w:rPr>
          <w:rFonts w:ascii="Arial" w:hAnsi="Arial" w:cs="Arial"/>
          <w:sz w:val="22"/>
          <w:szCs w:val="22"/>
        </w:rPr>
        <w:t>Gifaataa</w:t>
      </w:r>
      <w:proofErr w:type="spellEnd"/>
      <w:r w:rsidRPr="00503070">
        <w:rPr>
          <w:rFonts w:ascii="Arial" w:hAnsi="Arial" w:cs="Arial"/>
          <w:sz w:val="22"/>
          <w:szCs w:val="22"/>
        </w:rPr>
        <w:t xml:space="preserve">. Les filles aident leurs mères à préparer les plats et les boissons traditionnels, ainsi qu’à décorer les maisons, tandis que les garçons aident leurs pères à ramasser du bois, à </w:t>
      </w:r>
      <w:proofErr w:type="gramStart"/>
      <w:r w:rsidRPr="00503070">
        <w:rPr>
          <w:rFonts w:ascii="Arial" w:hAnsi="Arial" w:cs="Arial"/>
          <w:sz w:val="22"/>
          <w:szCs w:val="22"/>
        </w:rPr>
        <w:t>faire</w:t>
      </w:r>
      <w:proofErr w:type="gramEnd"/>
      <w:r w:rsidRPr="00503070">
        <w:rPr>
          <w:rFonts w:ascii="Arial" w:hAnsi="Arial" w:cs="Arial"/>
          <w:sz w:val="22"/>
          <w:szCs w:val="22"/>
        </w:rPr>
        <w:t xml:space="preserve"> des feux de joie et à réparer les maisons. Les anciens favorisent l’harmonie sociale en résolvant les conflits, en </w:t>
      </w:r>
      <w:proofErr w:type="gramStart"/>
      <w:r w:rsidRPr="00503070">
        <w:rPr>
          <w:rFonts w:ascii="Arial" w:hAnsi="Arial" w:cs="Arial"/>
          <w:sz w:val="22"/>
          <w:szCs w:val="22"/>
        </w:rPr>
        <w:t>donnant</w:t>
      </w:r>
      <w:proofErr w:type="gramEnd"/>
      <w:r w:rsidRPr="00503070">
        <w:rPr>
          <w:rFonts w:ascii="Arial" w:hAnsi="Arial" w:cs="Arial"/>
          <w:sz w:val="22"/>
          <w:szCs w:val="22"/>
        </w:rPr>
        <w:t xml:space="preserve"> des conseils sur les techniques agricoles et en offrant des bénédictions. Les connaissances et le savoir-faire associés au </w:t>
      </w:r>
      <w:proofErr w:type="spellStart"/>
      <w:r w:rsidRPr="00503070">
        <w:rPr>
          <w:rFonts w:ascii="Arial" w:hAnsi="Arial" w:cs="Arial"/>
          <w:sz w:val="22"/>
          <w:szCs w:val="22"/>
        </w:rPr>
        <w:t>Gifaataa</w:t>
      </w:r>
      <w:proofErr w:type="spellEnd"/>
      <w:r w:rsidRPr="00503070">
        <w:rPr>
          <w:rFonts w:ascii="Arial" w:hAnsi="Arial" w:cs="Arial"/>
          <w:sz w:val="22"/>
          <w:szCs w:val="22"/>
        </w:rPr>
        <w:t xml:space="preserve"> sont transmis au sein des familles à travers la participation aux festivités, ainsi que par les écoles, les médias locaux et les organisations culturelles. Cette pratique favorise les liens intergénérationnels, la paix, l’unité et la solidarité. Elle permet en outre aux jeunes de choisir leur partenaire de mariage.</w:t>
      </w:r>
    </w:p>
    <w:p w14:paraId="5863AD58"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Le dossier explique la contribution de l’élément à divers aspects du développement durable, en mettant particulièrement l’accent sur la promotion de </w:t>
      </w:r>
      <w:r w:rsidRPr="00503070">
        <w:rPr>
          <w:rFonts w:ascii="Arial" w:hAnsi="Arial" w:cs="Arial"/>
          <w:sz w:val="22"/>
          <w:szCs w:val="22"/>
          <w:shd w:val="clear" w:color="auto" w:fill="FFFFFF"/>
        </w:rPr>
        <w:t xml:space="preserve">la sécurité alimentaire, en </w:t>
      </w:r>
      <w:r w:rsidRPr="00503070">
        <w:rPr>
          <w:rFonts w:ascii="Arial" w:hAnsi="Arial" w:cs="Arial"/>
          <w:sz w:val="22"/>
          <w:szCs w:val="22"/>
        </w:rPr>
        <w:t>encourageant la communauté à cultiver l</w:t>
      </w:r>
      <w:proofErr w:type="gramStart"/>
      <w:r w:rsidRPr="00503070">
        <w:rPr>
          <w:rFonts w:ascii="Arial" w:hAnsi="Arial" w:cs="Arial"/>
          <w:sz w:val="22"/>
          <w:szCs w:val="22"/>
        </w:rPr>
        <w:t>’«</w:t>
      </w:r>
      <w:proofErr w:type="gramEnd"/>
      <w:r w:rsidRPr="00503070">
        <w:rPr>
          <w:rFonts w:ascii="Arial" w:hAnsi="Arial" w:cs="Arial"/>
          <w:sz w:val="22"/>
          <w:szCs w:val="22"/>
        </w:rPr>
        <w:t> </w:t>
      </w:r>
      <w:proofErr w:type="spellStart"/>
      <w:r w:rsidRPr="00503070">
        <w:rPr>
          <w:rFonts w:ascii="Arial" w:hAnsi="Arial" w:cs="Arial"/>
          <w:sz w:val="22"/>
          <w:szCs w:val="22"/>
        </w:rPr>
        <w:t>enset</w:t>
      </w:r>
      <w:proofErr w:type="spellEnd"/>
      <w:r w:rsidRPr="00503070">
        <w:rPr>
          <w:rFonts w:ascii="Arial" w:hAnsi="Arial" w:cs="Arial"/>
          <w:sz w:val="22"/>
          <w:szCs w:val="22"/>
        </w:rPr>
        <w:t> » (faux bananier), les patates douces ainsi qu’une plante-racine résistante à la sécheresse connue localement sous le nom de « </w:t>
      </w:r>
      <w:proofErr w:type="spellStart"/>
      <w:r w:rsidRPr="00503070">
        <w:rPr>
          <w:rFonts w:ascii="Arial" w:hAnsi="Arial" w:cs="Arial"/>
          <w:sz w:val="22"/>
          <w:szCs w:val="22"/>
        </w:rPr>
        <w:t>boynaa</w:t>
      </w:r>
      <w:proofErr w:type="spellEnd"/>
      <w:r w:rsidRPr="00503070">
        <w:rPr>
          <w:rFonts w:ascii="Arial" w:hAnsi="Arial" w:cs="Arial"/>
          <w:sz w:val="22"/>
          <w:szCs w:val="22"/>
        </w:rPr>
        <w:t xml:space="preserve"> ». Il contribue également à la paix et à la cohésion sociale, grâce à une large participation au festival </w:t>
      </w:r>
      <w:proofErr w:type="spellStart"/>
      <w:r w:rsidRPr="00503070">
        <w:rPr>
          <w:rFonts w:ascii="Arial" w:hAnsi="Arial" w:cs="Arial"/>
          <w:sz w:val="22"/>
          <w:szCs w:val="22"/>
        </w:rPr>
        <w:t>Gifaataa</w:t>
      </w:r>
      <w:proofErr w:type="spellEnd"/>
      <w:r w:rsidRPr="00503070">
        <w:rPr>
          <w:rFonts w:ascii="Arial" w:hAnsi="Arial" w:cs="Arial"/>
          <w:sz w:val="22"/>
          <w:szCs w:val="22"/>
        </w:rPr>
        <w:t>, indépendamment de l’âge, du genre, de la religion ou de tout autre statut social. Sa contribution au développement économique inclusif, est directement liée à l’engagement sur le marché des produits agricoles, des tissus traditionnels et des matériaux d’artisanat. Enfin, dans un souci de durabilité environnementale, il est interdit d’abattre des arbres sains sans l’autorisation des anciens.</w:t>
      </w:r>
    </w:p>
    <w:p w14:paraId="02FDDB2B"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shd w:val="clear" w:color="auto" w:fill="FFFFFF"/>
        </w:rPr>
        <w:tab/>
        <w:t>L’État partie soumissionnaire a inclus dans le dossier de candidature les mesures de sauvegarde prises par l’État avec diverses entités et les communautés pratiquantes. Ces mesures comprennent l’éducation, la documentation, l’engagement des médias, l’intégration des programmes d’études et la protection juridique des espaces culturels. Elles assurent la transmission intergénérationnelle de l’élément, notamment grâce au rôle actif des anciens, des établissements d’enseignement et des clubs du patrimoine dans les écoles. Les symposiums de recherche annuels, l’intégration des programmes d’études et les directives locales visant à sauvegarder les espaces culturels renforcent également la continuité du festival.</w:t>
      </w:r>
    </w:p>
    <w:p w14:paraId="5FCDBE10"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ab/>
        <w:t>Un grand nombre de membres de la communauté ont été directement impliqués dans le processus de candidature, ce depuis les premières discussions soulevées il y a huit ans lors d’un symposium de recherche sur l’élément. Au cours des ateliers et des activités de sensibilisation du public qui ont suivi, plusieurs institutions officielles nationales, régionales et locales ont travaillé directement avec la communauté pour préparer le dossier de candidature. Le consentement de la communauté concernée est attesté à la fois par le fichier texte écrit (en anglais et en amharique) et par la déclaration audiovisuelle (filmée) de la communauté.</w:t>
      </w:r>
    </w:p>
    <w:p w14:paraId="7301438E" w14:textId="77777777" w:rsidR="00446163" w:rsidRPr="00503070" w:rsidRDefault="00446163" w:rsidP="001E17AF">
      <w:pPr>
        <w:pStyle w:val="ListParagraph"/>
        <w:numPr>
          <w:ilvl w:val="0"/>
          <w:numId w:val="62"/>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w:t>
      </w:r>
      <w:r w:rsidRPr="00503070">
        <w:rPr>
          <w:rFonts w:ascii="Arial" w:hAnsi="Arial" w:cs="Arial"/>
          <w:sz w:val="22"/>
          <w:szCs w:val="22"/>
        </w:rPr>
        <w:lastRenderedPageBreak/>
        <w:t>au critère suivant d’inscription sur la Liste représentative du patrimoine culturel immatériel de l’humanité :</w:t>
      </w:r>
    </w:p>
    <w:p w14:paraId="128983F8"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inscrit au registre national du patrimoine culturel immatériel de l’Éthiopie en 2016. Cet inventaire est géré par l’Autorité éthiopienne du patrimoine et est mis à jour tous les deux ou trois ans grâce à la participation directe de représentants des communautés, des aînés et des praticiens. </w:t>
      </w:r>
    </w:p>
    <w:p w14:paraId="40986B6E" w14:textId="77777777" w:rsidR="00446163" w:rsidRPr="00503070" w:rsidRDefault="00446163" w:rsidP="001E17AF">
      <w:pPr>
        <w:numPr>
          <w:ilvl w:val="0"/>
          <w:numId w:val="62"/>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w:t>
      </w:r>
      <w:r w:rsidRPr="00503070">
        <w:rPr>
          <w:rFonts w:ascii="Arial" w:hAnsi="Arial" w:cs="Arial"/>
          <w:sz w:val="22"/>
          <w:szCs w:val="22"/>
        </w:rPr>
        <w:t xml:space="preserve"> </w:t>
      </w:r>
      <w:proofErr w:type="spellStart"/>
      <w:r w:rsidRPr="00503070">
        <w:rPr>
          <w:rFonts w:ascii="Arial" w:hAnsi="Arial" w:cs="Arial"/>
          <w:b/>
          <w:sz w:val="22"/>
          <w:szCs w:val="22"/>
        </w:rPr>
        <w:t>Gifaataa</w:t>
      </w:r>
      <w:proofErr w:type="spellEnd"/>
      <w:r w:rsidRPr="00503070">
        <w:rPr>
          <w:rFonts w:ascii="Arial" w:hAnsi="Arial" w:cs="Arial"/>
          <w:b/>
          <w:sz w:val="22"/>
          <w:szCs w:val="22"/>
        </w:rPr>
        <w:t xml:space="preserve">, festival du Nouvel An des </w:t>
      </w:r>
      <w:proofErr w:type="spellStart"/>
      <w:r w:rsidRPr="00503070">
        <w:rPr>
          <w:rFonts w:ascii="Arial" w:hAnsi="Arial" w:cs="Arial"/>
          <w:b/>
          <w:sz w:val="22"/>
          <w:szCs w:val="22"/>
        </w:rPr>
        <w:t>Wolaitas</w:t>
      </w:r>
      <w:proofErr w:type="spellEnd"/>
      <w:r w:rsidRPr="00503070">
        <w:rPr>
          <w:rFonts w:ascii="Arial" w:hAnsi="Arial" w:cs="Arial"/>
          <w:sz w:val="22"/>
          <w:szCs w:val="22"/>
        </w:rPr>
        <w:t xml:space="preserve"> sur la Liste représentative du patrimoine culturel immatériel de l’humanité.</w:t>
      </w:r>
    </w:p>
    <w:p w14:paraId="325E267D" w14:textId="77777777" w:rsidR="00446163" w:rsidRPr="00503070" w:rsidRDefault="00446163" w:rsidP="00446163">
      <w:pPr>
        <w:pStyle w:val="Heading1"/>
        <w:rPr>
          <w:bCs/>
        </w:rPr>
      </w:pPr>
      <w:r w:rsidRPr="00503070">
        <w:t>DÉCISION 20.COM 7.b.19</w:t>
      </w:r>
    </w:p>
    <w:p w14:paraId="60F766D8"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E3159B8" w14:textId="77777777" w:rsidR="00446163" w:rsidRPr="00503070" w:rsidRDefault="00446163" w:rsidP="001E17AF">
      <w:pPr>
        <w:numPr>
          <w:ilvl w:val="0"/>
          <w:numId w:val="6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Gabon, le Cameroun et le Congo ont proposé la candidature de </w:t>
      </w:r>
      <w:proofErr w:type="spellStart"/>
      <w:r w:rsidRPr="00503070">
        <w:rPr>
          <w:rFonts w:ascii="Arial" w:hAnsi="Arial" w:cs="Arial"/>
          <w:b/>
          <w:sz w:val="22"/>
          <w:szCs w:val="22"/>
        </w:rPr>
        <w:t>Mvet</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Oyeng</w:t>
      </w:r>
      <w:proofErr w:type="spellEnd"/>
      <w:r w:rsidRPr="00503070">
        <w:rPr>
          <w:rFonts w:ascii="Arial" w:hAnsi="Arial" w:cs="Arial"/>
          <w:b/>
          <w:sz w:val="22"/>
          <w:szCs w:val="22"/>
        </w:rPr>
        <w:t xml:space="preserve">, art musical, pratiques et savoir-faire associés à la communauté </w:t>
      </w:r>
      <w:proofErr w:type="spellStart"/>
      <w:r w:rsidRPr="00503070">
        <w:rPr>
          <w:rFonts w:ascii="Arial" w:hAnsi="Arial" w:cs="Arial"/>
          <w:b/>
          <w:sz w:val="22"/>
          <w:szCs w:val="22"/>
        </w:rPr>
        <w:t>Ekang</w:t>
      </w:r>
      <w:proofErr w:type="spellEnd"/>
      <w:r w:rsidRPr="00503070">
        <w:rPr>
          <w:rFonts w:ascii="Arial" w:hAnsi="Arial" w:cs="Arial"/>
          <w:sz w:val="22"/>
          <w:szCs w:val="22"/>
        </w:rPr>
        <w:t xml:space="preserve"> (n° 02253) pour inscription sur la Liste représentative du patrimoine culturel immatériel de l’humanité :</w:t>
      </w:r>
    </w:p>
    <w:p w14:paraId="164B94E1"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est une tradition culturelle pratiquée par la communauté </w:t>
      </w:r>
      <w:proofErr w:type="spellStart"/>
      <w:r w:rsidRPr="00503070">
        <w:rPr>
          <w:rFonts w:ascii="Arial" w:hAnsi="Arial" w:cs="Arial"/>
          <w:sz w:val="22"/>
          <w:szCs w:val="22"/>
        </w:rPr>
        <w:t>Ekang</w:t>
      </w:r>
      <w:proofErr w:type="spellEnd"/>
      <w:r w:rsidRPr="00503070">
        <w:rPr>
          <w:rFonts w:ascii="Arial" w:hAnsi="Arial" w:cs="Arial"/>
          <w:sz w:val="22"/>
          <w:szCs w:val="22"/>
        </w:rPr>
        <w:t xml:space="preserve">. Il consiste à chanter une série de récits épiques, accompagnés de danses et d’un instrument à cordes traditionnel. Le public participe activement à la représentation en jouant des baguettes ou en tapant des mains, en chantant et en dialoguant avec le conteur. Le terme «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 désigne à la fois les récits, le conteur, l’instrument et le musicien. Il existe deux formes de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 sacrée et populaire. La forme sacrée est utilisée lors d’événements importants et suit un processus d’initiation strict pour la transmission, tandis que la forme populaire est plus souple et exécutée lors de célébrations publiques et de spectacles modernes. </w:t>
      </w:r>
    </w:p>
    <w:p w14:paraId="6C9B3595" w14:textId="77777777" w:rsidR="00446163" w:rsidRPr="00503070" w:rsidRDefault="00446163" w:rsidP="001E17AF">
      <w:pPr>
        <w:keepNext/>
        <w:numPr>
          <w:ilvl w:val="0"/>
          <w:numId w:val="63"/>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196377AA"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implique différents rôles, variables selon la forme, qui incluent les artistes, les sponsors qui organisent les événements et les artisans qui fabriquent les instruments. La pratique est transmise de manière informelle par le biais de rituels et d’un apprentissage pratique. Les femmes peuvent être des conteuses, notamment dans la forme populaire de l’art, mais elles ne fabriquent généralement pas d’instruments et n’en jouent pas. Le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contribue à la transmission de l’histoire locale, de la langue et des valeurs communautaires et encourage le respect, la justice, la coopération et la paix. Il favorise en outre la résolution des conflits, renforce les liens sociaux et contribue à préserver l’identité et la mémoire partagée de la communauté.</w:t>
      </w:r>
    </w:p>
    <w:p w14:paraId="17F262D7"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démontre clairement que l’élément contribue à divers aspects du développement durable, en mettant particulièrement l’accent sur la promotion de</w:t>
      </w:r>
      <w:r w:rsidRPr="00503070">
        <w:rPr>
          <w:rFonts w:ascii="Arial" w:hAnsi="Arial" w:cs="Arial"/>
          <w:sz w:val="22"/>
          <w:szCs w:val="22"/>
          <w:shd w:val="clear" w:color="auto" w:fill="FFFFFF"/>
        </w:rPr>
        <w:t xml:space="preserve"> la sécurité alimentaire, des soins de santé, de l’égalité des genres, de la paix et de la cohésion sociale, ainsi que de la durabilité environnementale. Cela implique d’accomplir des rites agraires et d’aider à guérir divers maux mentaux, physiques et spirituels et à protéger les populations de certaines épidémies. De nombreuses femmes sont encouragées à devenir des musiciennes et des conteuses </w:t>
      </w:r>
      <w:proofErr w:type="spellStart"/>
      <w:r w:rsidRPr="00503070">
        <w:rPr>
          <w:rFonts w:ascii="Arial" w:hAnsi="Arial" w:cs="Arial"/>
          <w:sz w:val="22"/>
          <w:szCs w:val="22"/>
          <w:shd w:val="clear" w:color="auto" w:fill="FFFFFF"/>
        </w:rPr>
        <w:t>Mvet</w:t>
      </w:r>
      <w:proofErr w:type="spellEnd"/>
      <w:r w:rsidRPr="00503070">
        <w:rPr>
          <w:rFonts w:ascii="Arial" w:hAnsi="Arial" w:cs="Arial"/>
          <w:sz w:val="22"/>
          <w:szCs w:val="22"/>
          <w:shd w:val="clear" w:color="auto" w:fill="FFFFFF"/>
        </w:rPr>
        <w:t>, et tous les membres de la communauté sont encouragés à renforcer l’inclusion, la solidarité et l’ouverture envers les autres. En matière de préservation de l’environnement, l’élément favorise l’utilisation de matériaux biodégradables, en évitant la production de déchets persistants et en récoltant le raphia, ce qui contribue à assurer l’équilibre des écosystèmes</w:t>
      </w:r>
      <w:r w:rsidRPr="00503070">
        <w:rPr>
          <w:rFonts w:ascii="Arial" w:hAnsi="Arial" w:cs="Arial"/>
          <w:sz w:val="22"/>
          <w:szCs w:val="22"/>
        </w:rPr>
        <w:t>.</w:t>
      </w:r>
    </w:p>
    <w:p w14:paraId="48C6A0C8"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shd w:val="clear" w:color="auto" w:fill="FFFFFF"/>
        </w:rPr>
        <w:tab/>
        <w:t xml:space="preserve">Les États parties soumissionnaires ont intégré des mesures de sauvegarde du </w:t>
      </w:r>
      <w:proofErr w:type="spellStart"/>
      <w:r w:rsidRPr="00503070">
        <w:rPr>
          <w:rFonts w:ascii="Arial" w:hAnsi="Arial" w:cs="Arial"/>
          <w:sz w:val="22"/>
          <w:szCs w:val="22"/>
          <w:shd w:val="clear" w:color="auto" w:fill="FFFFFF"/>
        </w:rPr>
        <w:t>Mvet</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Oyeng</w:t>
      </w:r>
      <w:proofErr w:type="spellEnd"/>
      <w:r w:rsidRPr="00503070">
        <w:rPr>
          <w:rFonts w:ascii="Arial" w:hAnsi="Arial" w:cs="Arial"/>
          <w:sz w:val="22"/>
          <w:szCs w:val="22"/>
          <w:shd w:val="clear" w:color="auto" w:fill="FFFFFF"/>
        </w:rPr>
        <w:t xml:space="preserve"> dans leurs plans et politiques. Ces mesures de sauvegarde s’articulent autour de trois axes fondamentaux : la sensibilisation, la promotion et la valorisation ; la revitalisation et la transmission des connaissances et des pratiques ; l’identification, la documentation et la recherche. Certaines mesures sont déjà appliquées et seront renforcées, tandis que d’autres sont en cours d’élaboration dans le cadre de ce processus de nomination. Le dossier de candidature fournit des preuves de la </w:t>
      </w:r>
      <w:r w:rsidRPr="00503070">
        <w:rPr>
          <w:rFonts w:ascii="Arial" w:hAnsi="Arial" w:cs="Arial"/>
          <w:sz w:val="22"/>
          <w:szCs w:val="22"/>
          <w:shd w:val="clear" w:color="auto" w:fill="FFFFFF"/>
        </w:rPr>
        <w:lastRenderedPageBreak/>
        <w:t>participation des communautés à la préparation et à la mise en œuvre du plan de sauvegarde.</w:t>
      </w:r>
    </w:p>
    <w:p w14:paraId="0712E7DC"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ab/>
        <w:t xml:space="preserve">Les États parties ont démontré la participation des communautés au processus de nomination depuis 2008, lorsque les praticiens du </w:t>
      </w:r>
      <w:proofErr w:type="spellStart"/>
      <w:r w:rsidRPr="00503070">
        <w:rPr>
          <w:rFonts w:ascii="Arial" w:hAnsi="Arial" w:cs="Arial"/>
          <w:sz w:val="22"/>
          <w:szCs w:val="22"/>
          <w:shd w:val="clear" w:color="auto" w:fill="FFFFFF"/>
        </w:rPr>
        <w:t>Mvet</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Oyeng</w:t>
      </w:r>
      <w:proofErr w:type="spellEnd"/>
      <w:r w:rsidRPr="00503070">
        <w:rPr>
          <w:rFonts w:ascii="Arial" w:hAnsi="Arial" w:cs="Arial"/>
          <w:sz w:val="22"/>
          <w:szCs w:val="22"/>
          <w:shd w:val="clear" w:color="auto" w:fill="FFFFFF"/>
        </w:rPr>
        <w:t xml:space="preserve"> ont approché le Centre international des civilisations bantoues pour promouvoir une initiative régionale sur le </w:t>
      </w:r>
      <w:proofErr w:type="spellStart"/>
      <w:r w:rsidRPr="00503070">
        <w:rPr>
          <w:rFonts w:ascii="Arial" w:hAnsi="Arial" w:cs="Arial"/>
          <w:sz w:val="22"/>
          <w:szCs w:val="22"/>
          <w:shd w:val="clear" w:color="auto" w:fill="FFFFFF"/>
        </w:rPr>
        <w:t>Mvet</w:t>
      </w:r>
      <w:proofErr w:type="spellEnd"/>
      <w:r w:rsidRPr="00503070">
        <w:rPr>
          <w:rFonts w:ascii="Arial" w:hAnsi="Arial" w:cs="Arial"/>
          <w:sz w:val="22"/>
          <w:szCs w:val="22"/>
          <w:shd w:val="clear" w:color="auto" w:fill="FFFFFF"/>
        </w:rPr>
        <w:t xml:space="preserve"> qui rassemblerait tous les États pratiquant l’élément. L’implication de la communauté dans le processus de candidature est bien documentée pour les trois pays. Le dossier de candidature montre une participation cohérente et structurée au fil du temps (2008-2024), y compris des ateliers locaux, nationaux et sous-régionaux. Le consentement libre, préalable et éclairé est attesté par des documents écrits et audiovisuels.</w:t>
      </w:r>
    </w:p>
    <w:p w14:paraId="7B55962B" w14:textId="77777777" w:rsidR="00446163" w:rsidRPr="00503070" w:rsidRDefault="00446163" w:rsidP="001E17AF">
      <w:pPr>
        <w:pStyle w:val="ListParagraph"/>
        <w:numPr>
          <w:ilvl w:val="0"/>
          <w:numId w:val="64"/>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les États parties soumissionnaires dans le cadre du processus de dialogue, la candidature satisfait au critère suivant d’inscription sur la Liste représentative du patrimoine culturel immatériel de l’humanité :</w:t>
      </w:r>
    </w:p>
    <w:p w14:paraId="1D6EF91E"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R.5 :</w:t>
      </w:r>
      <w:r w:rsidRPr="00503070">
        <w:rPr>
          <w:rFonts w:ascii="Arial" w:hAnsi="Arial" w:cs="Arial"/>
          <w:sz w:val="22"/>
          <w:szCs w:val="22"/>
        </w:rPr>
        <w:tab/>
        <w:t>L’élément a été inscrit au Registre national du patrimoine culturel immatériel du Gabon en 2019, à l’Inventaire national du patrimoine culturel immatériel du Cameroun en 2020 et au Registre des résultats d’inventaire du Congo en 2024. Ces inventaires sont tenus à jour par la Direction générale du Patrimoine culturel au Gabon, la Direction du Patrimoine culturel au Cameroun et la Direction générale du Patrimoine et des archives au Congo. Les communautés concernées ont joué un rôle actif à toutes les étapes de ces inventaires. La fréquence de leur mise à jour a été discutée dans le cadre du processus en cours de réglementation au Gabon et au Congo.</w:t>
      </w:r>
    </w:p>
    <w:p w14:paraId="4557B35D" w14:textId="77777777" w:rsidR="00446163" w:rsidRPr="00503070" w:rsidRDefault="00446163" w:rsidP="001E17AF">
      <w:pPr>
        <w:numPr>
          <w:ilvl w:val="0"/>
          <w:numId w:val="64"/>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Mvet</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Oyeng</w:t>
      </w:r>
      <w:proofErr w:type="spellEnd"/>
      <w:r w:rsidRPr="00503070">
        <w:rPr>
          <w:rFonts w:ascii="Arial" w:hAnsi="Arial" w:cs="Arial"/>
          <w:b/>
          <w:sz w:val="22"/>
          <w:szCs w:val="22"/>
        </w:rPr>
        <w:t xml:space="preserve">, art musical, pratiques et savoir-faire associés à la communauté </w:t>
      </w:r>
      <w:proofErr w:type="spellStart"/>
      <w:r w:rsidRPr="00503070">
        <w:rPr>
          <w:rFonts w:ascii="Arial" w:hAnsi="Arial" w:cs="Arial"/>
          <w:b/>
          <w:sz w:val="22"/>
          <w:szCs w:val="22"/>
        </w:rPr>
        <w:t>Ekang</w:t>
      </w:r>
      <w:proofErr w:type="spellEnd"/>
      <w:r w:rsidRPr="00503070">
        <w:rPr>
          <w:rFonts w:ascii="Arial" w:hAnsi="Arial" w:cs="Arial"/>
          <w:sz w:val="22"/>
          <w:szCs w:val="22"/>
        </w:rPr>
        <w:t xml:space="preserve"> sur la Liste représentative du patrimoine culturel immatériel de l’humanité ;</w:t>
      </w:r>
    </w:p>
    <w:p w14:paraId="5088CADB" w14:textId="77777777" w:rsidR="00446163" w:rsidRPr="00503070" w:rsidRDefault="00446163" w:rsidP="001E17AF">
      <w:pPr>
        <w:numPr>
          <w:ilvl w:val="0"/>
          <w:numId w:val="64"/>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d’avoir soumis un élément qui encourage la valeur de la musicothérapie et du développement durable, fonctionnant comme un moyen d’expression libre et promouvant la tolérance, la solidarité, la compassion et le respect d’autrui. La pratique du </w:t>
      </w:r>
      <w:proofErr w:type="spellStart"/>
      <w:r w:rsidRPr="00503070">
        <w:rPr>
          <w:rFonts w:ascii="Arial" w:hAnsi="Arial" w:cs="Arial"/>
          <w:sz w:val="22"/>
          <w:szCs w:val="22"/>
        </w:rPr>
        <w:t>Mvet</w:t>
      </w:r>
      <w:proofErr w:type="spellEnd"/>
      <w:r w:rsidRPr="00503070">
        <w:rPr>
          <w:rFonts w:ascii="Arial" w:hAnsi="Arial" w:cs="Arial"/>
          <w:sz w:val="22"/>
          <w:szCs w:val="22"/>
        </w:rPr>
        <w:t xml:space="preserve"> </w:t>
      </w:r>
      <w:proofErr w:type="spellStart"/>
      <w:r w:rsidRPr="00503070">
        <w:rPr>
          <w:rFonts w:ascii="Arial" w:hAnsi="Arial" w:cs="Arial"/>
          <w:sz w:val="22"/>
          <w:szCs w:val="22"/>
        </w:rPr>
        <w:t>Oyeng</w:t>
      </w:r>
      <w:proofErr w:type="spellEnd"/>
      <w:r w:rsidRPr="00503070">
        <w:rPr>
          <w:rFonts w:ascii="Arial" w:hAnsi="Arial" w:cs="Arial"/>
          <w:sz w:val="22"/>
          <w:szCs w:val="22"/>
        </w:rPr>
        <w:t xml:space="preserve"> est fondée sur le respect de la nature et ne contribue pas à la perte de biodiversité.</w:t>
      </w:r>
    </w:p>
    <w:p w14:paraId="2ADB05C2" w14:textId="77777777" w:rsidR="00446163" w:rsidRPr="00503070" w:rsidRDefault="00446163" w:rsidP="00446163">
      <w:pPr>
        <w:pStyle w:val="Heading1"/>
        <w:rPr>
          <w:bCs/>
        </w:rPr>
      </w:pPr>
      <w:r w:rsidRPr="00503070">
        <w:t>DÉCISION 20.COM 7.b.20</w:t>
      </w:r>
    </w:p>
    <w:p w14:paraId="2F78A0EB"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41C22F1D" w14:textId="77777777" w:rsidR="00446163" w:rsidRPr="00503070" w:rsidRDefault="00446163" w:rsidP="001E17AF">
      <w:pPr>
        <w:numPr>
          <w:ilvl w:val="0"/>
          <w:numId w:val="65"/>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Géorgie a proposé la candidature de </w:t>
      </w:r>
      <w:r w:rsidRPr="00503070">
        <w:rPr>
          <w:rFonts w:ascii="Arial" w:hAnsi="Arial" w:cs="Arial"/>
          <w:b/>
          <w:sz w:val="22"/>
          <w:szCs w:val="22"/>
        </w:rPr>
        <w:t>la culture géorgienne du blé : traditions et rituels</w:t>
      </w:r>
      <w:r w:rsidRPr="00503070">
        <w:rPr>
          <w:rFonts w:ascii="Arial" w:hAnsi="Arial" w:cs="Arial"/>
          <w:sz w:val="22"/>
          <w:szCs w:val="22"/>
        </w:rPr>
        <w:t xml:space="preserve"> (n° 02335) pour inscription sur la Liste représentative du patrimoine culturel immatériel de l’humanité :</w:t>
      </w:r>
    </w:p>
    <w:p w14:paraId="519639E9"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culture géorgienne du blé comprend un ensemble de pratiques et de rituels basés sur la culture et l’utilisation de variétés locales de blé endémique. Il englobe également l’utilisation d’objets associés, tels que les outils de travail traditionnels, les moulins en pierre et les fours à pain fabriqués à la main. Pour les communautés praticiennes, le blé endémique est un symbole de vie, de croissance et d’abondance. Les familles et les communautés suivent des coutumes spécifiques pour la plantation et la récolte, réservant le blé pour des occasions spéciales telles que les repas rituels et les fêtes religieuses. Les premiers labours lors de l’équinoxe de printemps ou d’automne et la fête communautaire au moment de la récolte figurent parmi les moments clés, durant lesquels les personnes se réunissent pour célébrer avec de la nourriture, de la musique et des rituels partagés. </w:t>
      </w:r>
    </w:p>
    <w:p w14:paraId="0B387956" w14:textId="77777777" w:rsidR="00446163" w:rsidRPr="00503070" w:rsidRDefault="00446163" w:rsidP="001E17AF">
      <w:pPr>
        <w:keepNext/>
        <w:numPr>
          <w:ilvl w:val="0"/>
          <w:numId w:val="65"/>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l’humanités comme suit :</w:t>
      </w:r>
    </w:p>
    <w:p w14:paraId="10939BFB"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La culture du blé est un facteur d’unité qui favorise la coopération, l’hospitalité ainsi que le respect. La tradition de la cuisson et du partage du pain rituel est ancrée dans le tissu culturel de la communauté et reste un symbole de prospérité et de fertilité. Les hommes assurent généralement les travaux dans les champs, tandis que les femmes gèrent les stocks de blé et fabriquent des pains pour les cérémonies. Les connaissances et le savoir-faire associés sont transmis par la participation pratique à des événements familiaux et communautaires tels que les naissances, les mariages et les enterrements. Les organismes d’enseignement et de recherche contribuent également à la préservation des variétés locales de blé et au partage des connaissances.</w:t>
      </w:r>
    </w:p>
    <w:p w14:paraId="09D3A775"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shd w:val="clear" w:color="auto" w:fill="FFFFFF"/>
        </w:rPr>
        <w:tab/>
        <w:t>L’État partie soumissionnaire a démontré le rôle des associations, des groupes communautaires et des ONG dans la sauvegarde et la promotion de l’élément, en fournissant des exemples de ces efforts. Les principales activités de sauvegarde comprennent : les festivals annuels du pain et les événements du marché ; la transmission au sein des communautés ecclésiastiques et agricoles ;</w:t>
      </w:r>
      <w:r w:rsidRPr="00503070">
        <w:rPr>
          <w:rFonts w:ascii="Arial" w:hAnsi="Arial" w:cs="Arial"/>
          <w:sz w:val="22"/>
          <w:szCs w:val="22"/>
        </w:rPr>
        <w:t xml:space="preserve"> </w:t>
      </w:r>
      <w:r w:rsidRPr="00503070">
        <w:rPr>
          <w:rFonts w:ascii="Arial" w:hAnsi="Arial" w:cs="Arial"/>
          <w:sz w:val="22"/>
          <w:szCs w:val="22"/>
          <w:shd w:val="clear" w:color="auto" w:fill="FFFFFF"/>
        </w:rPr>
        <w:t>des ateliers éducatifs et communautaires ;</w:t>
      </w:r>
      <w:r w:rsidRPr="00503070">
        <w:rPr>
          <w:rFonts w:ascii="Arial" w:hAnsi="Arial" w:cs="Arial"/>
          <w:sz w:val="22"/>
          <w:szCs w:val="22"/>
        </w:rPr>
        <w:t xml:space="preserve"> </w:t>
      </w:r>
      <w:r w:rsidRPr="00503070">
        <w:rPr>
          <w:rFonts w:ascii="Arial" w:hAnsi="Arial" w:cs="Arial"/>
          <w:sz w:val="22"/>
          <w:szCs w:val="22"/>
          <w:shd w:val="clear" w:color="auto" w:fill="FFFFFF"/>
        </w:rPr>
        <w:t>les efforts de conservation scientifique et génétique liés au blé endémique ;</w:t>
      </w:r>
      <w:r w:rsidRPr="00503070">
        <w:rPr>
          <w:rFonts w:ascii="Arial" w:hAnsi="Arial" w:cs="Arial"/>
          <w:sz w:val="22"/>
          <w:szCs w:val="22"/>
        </w:rPr>
        <w:t xml:space="preserve"> </w:t>
      </w:r>
      <w:r w:rsidRPr="00503070">
        <w:rPr>
          <w:rFonts w:ascii="Arial" w:hAnsi="Arial" w:cs="Arial"/>
          <w:sz w:val="22"/>
          <w:szCs w:val="22"/>
          <w:shd w:val="clear" w:color="auto" w:fill="FFFFFF"/>
        </w:rPr>
        <w:t>des programmes scolaires, cours magistraux et l’apprentissage informel. Les mesures de sauvegarde décrites assurent la transmission de l’élément, la conservation du patrimoine associé au blé endémique, la promotion de la biodiversité et de la fabrication traditionnelle du pain, ainsi que la diffusion de la culture du blé.</w:t>
      </w:r>
    </w:p>
    <w:p w14:paraId="17CBDA9F"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ab/>
        <w:t>L’État partie soumissionnaire a démontré la participation de la communauté au processus de candidature à toutes ses étapes, depuis le lancement du processus de candidature par l’Association du blé géorgien. Au cours du processus de candidature, les agriculteurs, les communautés et les autres associations intéressées, les chercheurs et les parties prenantes ont été impliqués par le biais de groupes de travail, de conférences et d’un processus d’inventaire.</w:t>
      </w:r>
      <w:r w:rsidRPr="00503070">
        <w:rPr>
          <w:rFonts w:ascii="Arial" w:hAnsi="Arial" w:cs="Arial"/>
          <w:sz w:val="22"/>
          <w:szCs w:val="22"/>
        </w:rPr>
        <w:t xml:space="preserve"> </w:t>
      </w:r>
      <w:r w:rsidRPr="00503070">
        <w:rPr>
          <w:rFonts w:ascii="Arial" w:hAnsi="Arial" w:cs="Arial"/>
          <w:sz w:val="22"/>
          <w:szCs w:val="22"/>
          <w:shd w:val="clear" w:color="auto" w:fill="FFFFFF"/>
        </w:rPr>
        <w:t>Des centaines de lettres de soutien ont été recueillies auprès des communautés, de particuliers et d’organisations.</w:t>
      </w:r>
    </w:p>
    <w:p w14:paraId="028EB233"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inscrit au Registre national du patrimoine culturel immatériel de Géorgie en 2023. Cet inventaire est tenu par l’Agence nationale pour la préservation du patrimoine culturel de Géorgie et est régulièrement mis à jour dans le cadre du système d’inventaire national. Le personnel de l’Agence, en étroite collaboration avec les détenteurs, recueille périodiquement des informations sur l’état actuel de l’élément, afin de mettre à jour l’inventaire.</w:t>
      </w:r>
    </w:p>
    <w:p w14:paraId="3756F6FD" w14:textId="77777777" w:rsidR="00446163" w:rsidRPr="00503070" w:rsidRDefault="00446163" w:rsidP="001E17AF">
      <w:pPr>
        <w:keepNext/>
        <w:numPr>
          <w:ilvl w:val="0"/>
          <w:numId w:val="65"/>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1E4E250D"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r>
      <w:r w:rsidRPr="00503070">
        <w:rPr>
          <w:rFonts w:ascii="Arial" w:hAnsi="Arial" w:cs="Arial"/>
          <w:sz w:val="22"/>
          <w:szCs w:val="22"/>
          <w:shd w:val="clear" w:color="auto" w:fill="FFFFFF"/>
        </w:rPr>
        <w:t>L’État partie soumissionnaire a démontré comment l’inscription de l’élément continuerait à assurer la visibilité du patrimoine culturel immatériel en général, en tant qu’élément combiné, et à sensibiliser le public à ce sujet. Cette section indique que l’inclusion de l’élément dans la liste représentative du patrimoine culturel immatériel de l’humanité renforcerait l’intérêt pour un phénomène culturel aux multiples facettes, enraciné dans les traditions et les coutumes locales associées au blé. Le dossier indique que l’élément contribue à garantir la sécurité alimentaire, l’égalité des genres, le développement économique inclusif, la durabilité environnementale, y compris le changement climatique, ainsi que la paix et la cohésion sociale.</w:t>
      </w:r>
    </w:p>
    <w:p w14:paraId="36F025BC" w14:textId="77777777" w:rsidR="00446163" w:rsidRPr="00503070" w:rsidRDefault="00446163" w:rsidP="001E17AF">
      <w:pPr>
        <w:keepNext/>
        <w:numPr>
          <w:ilvl w:val="0"/>
          <w:numId w:val="65"/>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Décide d’inscrire</w:t>
      </w:r>
      <w:r w:rsidRPr="00503070">
        <w:rPr>
          <w:rFonts w:ascii="Arial" w:hAnsi="Arial" w:cs="Arial"/>
          <w:sz w:val="22"/>
          <w:szCs w:val="22"/>
        </w:rPr>
        <w:t xml:space="preserve"> </w:t>
      </w:r>
      <w:r w:rsidRPr="00503070">
        <w:rPr>
          <w:rFonts w:ascii="Arial" w:hAnsi="Arial" w:cs="Arial"/>
          <w:b/>
          <w:sz w:val="22"/>
          <w:szCs w:val="22"/>
        </w:rPr>
        <w:t>la culture géorgienne du blé : traditions et rituels</w:t>
      </w:r>
      <w:r w:rsidRPr="00503070">
        <w:rPr>
          <w:rFonts w:ascii="Arial" w:hAnsi="Arial" w:cs="Arial"/>
          <w:sz w:val="22"/>
          <w:szCs w:val="22"/>
        </w:rPr>
        <w:t xml:space="preserve"> sur la Liste représentative du patrimoine culturel immatériel de l’humanité ;</w:t>
      </w:r>
    </w:p>
    <w:p w14:paraId="35E4781C" w14:textId="77777777" w:rsidR="00446163" w:rsidRPr="00503070" w:rsidRDefault="00446163" w:rsidP="001E17AF">
      <w:pPr>
        <w:keepNext/>
        <w:numPr>
          <w:ilvl w:val="0"/>
          <w:numId w:val="65"/>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l’Etat partie pour la soumission d’un dossier amélioré </w:t>
      </w:r>
      <w:proofErr w:type="gramStart"/>
      <w:r w:rsidRPr="00503070">
        <w:rPr>
          <w:rFonts w:ascii="Arial" w:hAnsi="Arial" w:cs="Arial"/>
          <w:sz w:val="22"/>
          <w:szCs w:val="22"/>
        </w:rPr>
        <w:t>suite à</w:t>
      </w:r>
      <w:proofErr w:type="gramEnd"/>
      <w:r w:rsidRPr="00503070">
        <w:rPr>
          <w:rFonts w:ascii="Arial" w:hAnsi="Arial" w:cs="Arial"/>
          <w:sz w:val="22"/>
          <w:szCs w:val="22"/>
        </w:rPr>
        <w:t xml:space="preserve"> la décision du Comité de renvoyer le dossier en 2020.</w:t>
      </w:r>
    </w:p>
    <w:p w14:paraId="18E0A9B5" w14:textId="77777777" w:rsidR="00446163" w:rsidRPr="00503070" w:rsidRDefault="00446163" w:rsidP="00446163">
      <w:pPr>
        <w:pStyle w:val="Heading1"/>
      </w:pPr>
      <w:r w:rsidRPr="00503070">
        <w:t>DÉCISION 20.COM 7.b.21</w:t>
      </w:r>
    </w:p>
    <w:p w14:paraId="7DDB4EEE"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16FF9EB" w14:textId="77777777" w:rsidR="00446163" w:rsidRPr="00503070" w:rsidRDefault="00446163" w:rsidP="001E17AF">
      <w:pPr>
        <w:numPr>
          <w:ilvl w:val="0"/>
          <w:numId w:val="6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Ghana a proposé la candidature de </w:t>
      </w:r>
      <w:r w:rsidRPr="00503070">
        <w:rPr>
          <w:rFonts w:ascii="Arial" w:hAnsi="Arial" w:cs="Arial"/>
          <w:b/>
          <w:sz w:val="22"/>
          <w:szCs w:val="22"/>
        </w:rPr>
        <w:t>la musique et la danse highlife</w:t>
      </w:r>
      <w:r w:rsidRPr="00503070">
        <w:rPr>
          <w:rFonts w:ascii="Arial" w:hAnsi="Arial" w:cs="Arial"/>
          <w:sz w:val="22"/>
          <w:szCs w:val="22"/>
        </w:rPr>
        <w:t xml:space="preserve"> (n° 02141) pour inscription sur la Liste représentative du patrimoine culturel immatériel de l’humanité :</w:t>
      </w:r>
    </w:p>
    <w:p w14:paraId="1FD39725"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musique et la danse highlife sont une forme populaire d’expression musicale et de narration, connue pour ses rythmes entraînants, ses paroles et son lien étroit avec la vie quotidienne. Elle comprend un mélange d’instruments, notamment des guitares, des cuivres, des tambours, des xylophones et des percussions. La musique s’articule souvent autour de chants d’appel et de réponse, le chanteur principal étant repris par un chœur de choristes. Elle est interprétée dans de nombreuses langues locales ainsi qu’en anglais et en pidgin. Elle est jouée lors des mariages, des funérailles, des festivals et des cérémonies d’attribution de noms, souvent avec des paroles qui reflètent des questions sociales d’actualité telles que la santé, l’éducation, les relations et les normes et défis sociaux. </w:t>
      </w:r>
    </w:p>
    <w:p w14:paraId="135A3A10" w14:textId="77777777" w:rsidR="00446163" w:rsidRPr="00503070" w:rsidRDefault="00446163" w:rsidP="001E17AF">
      <w:pPr>
        <w:keepNext/>
        <w:numPr>
          <w:ilvl w:val="0"/>
          <w:numId w:val="66"/>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7724691"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 xml:space="preserve">R.1 : </w:t>
      </w:r>
      <w:r w:rsidRPr="00503070">
        <w:rPr>
          <w:rFonts w:ascii="Arial" w:hAnsi="Arial" w:cs="Arial"/>
          <w:sz w:val="22"/>
          <w:szCs w:val="22"/>
        </w:rPr>
        <w:tab/>
        <w:t>Il existe trois principaux styles de danse highlife - Dance Band, Guitar Band et Burger. Les chefs d’orchestre coordonnent les représentations et les spectacles, créent des réseaux et supervisent la formation des nouveaux membres. Des personnes de tous genres et de toutes origines peuvent être des leaders ou des artistes. La musique et la danse highlife se transmettent par l’initiation et l’apprentissage (y compris dans les orchestres) ainsi qu’au sein des familles. Elle est également transmise de manière formelle dans les universités. En tant que moyen de communication et reflet de l’identité culturelle, la musique Highlife encourage les valeurs positives et l’expression. Elle demeure un élément essentiel de la vie de la communauté, offrant des divertissements et une éducation dans un espace culturel partagé.</w:t>
      </w:r>
    </w:p>
    <w:p w14:paraId="4609D87B"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 Le dossier de candidature souligne la contribution de l’élément à divers aspects du développement durable, en mettant particulièrement l’accent sur la promotion des soins de santé, par le biais de l’éducation et de la communication sur le changement de comportement concernant les questions de santé telles que le COVID-19 et le VIH/SIDA, ainsi que la défense de la santé. L’élément contribue également à l’égalité des genres, par le biais du leadership des femmes et de la défense contre la violence fondée sur le genre. De plus il aide à construire et à maintenir la paix et la cohésion sociale, par le biais de la résolution des conflits et de la coexistence pacifique. Un aspect particulièrement positif est la présentation d’exemples spécifiques de mise en œuvre des questions de développement durable.</w:t>
      </w:r>
    </w:p>
    <w:p w14:paraId="02C2BC2E"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shd w:val="clear" w:color="auto" w:fill="FFFFFF"/>
        </w:rPr>
        <w:t xml:space="preserve"> La sauvegarde de l’élément est soutenue par des mesures juridiques, institutionnelles et culturelles solides. Ces mesures de protection comprennent des événements communautaires, des groupes de médias, les Ghana Music Awards et l’intégration de l’élément dans l’éducation formelle. Les protections constitutionnelles et les droits d’auteur garantissent les droits des artistes, tandis que des organisations telles que l’</w:t>
      </w:r>
      <w:r w:rsidRPr="00503070">
        <w:rPr>
          <w:rFonts w:ascii="Arial" w:hAnsi="Arial" w:cs="Arial"/>
          <w:sz w:val="22"/>
          <w:szCs w:val="22"/>
        </w:rPr>
        <w:t xml:space="preserve">Union des musiciens du Ghana </w:t>
      </w:r>
      <w:r w:rsidRPr="00503070">
        <w:rPr>
          <w:rFonts w:ascii="Arial" w:hAnsi="Arial" w:cs="Arial"/>
          <w:sz w:val="22"/>
          <w:szCs w:val="22"/>
          <w:shd w:val="clear" w:color="auto" w:fill="FFFFFF"/>
        </w:rPr>
        <w:t xml:space="preserve">et les établissements universitaires préservent et transmettent les connaissances. La participation active des communautés, des praticiens et des organisations de la société civile à la planification et à la mise en œuvre des activités est clairement démontrée dans le dossier de candidature. L’implication des </w:t>
      </w:r>
      <w:r w:rsidRPr="00503070">
        <w:rPr>
          <w:rFonts w:ascii="Arial" w:hAnsi="Arial" w:cs="Arial"/>
          <w:sz w:val="22"/>
          <w:szCs w:val="22"/>
          <w:shd w:val="clear" w:color="auto" w:fill="FFFFFF"/>
        </w:rPr>
        <w:lastRenderedPageBreak/>
        <w:t>associations de musiciens, des institutions académiques, des archives et des médias souligne l’approche participative adoptée pour la sauvegarde.</w:t>
      </w:r>
    </w:p>
    <w:p w14:paraId="03B9EDDB"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 xml:space="preserve"> </w:t>
      </w:r>
      <w:r w:rsidRPr="00503070">
        <w:rPr>
          <w:rFonts w:ascii="Arial" w:hAnsi="Arial" w:cs="Arial"/>
          <w:sz w:val="22"/>
          <w:szCs w:val="22"/>
          <w:shd w:val="clear" w:color="auto" w:fill="FFFFFF"/>
        </w:rPr>
        <w:tab/>
        <w:t>Le dossier démontre la participation et le consentement de la communauté dans le processus de candidature, qui remonte à 2022. Les parties prenantes de la musique highlife ont lancé la candidature de l’élément en vue de son inscription sur la liste représentative du patrimoine culturel immatériel de l’humanité de l’UNESCO. Des réunions ont été organisées avec des chercheurs, des experts, des musiciens, des producteurs et d’autres parties prenantes afin de recueillir des informations essentielles sur la musique highlife au Ghana au moyen de documents, de discussions et d’entretiens. Le processus reflète une approche participative, avec le consentement libre des personnes concernées. L’engagement des communautés et des individus dans le processus d’identification et de préparation favorise un sentiment partagé d’appropriation et de responsabilité dans la sauvegarde et la valorisation de l’élément.</w:t>
      </w:r>
    </w:p>
    <w:p w14:paraId="0EE6A66F"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 xml:space="preserve">R.5 : </w:t>
      </w:r>
      <w:r w:rsidRPr="00503070">
        <w:rPr>
          <w:rFonts w:ascii="Arial" w:hAnsi="Arial" w:cs="Arial"/>
          <w:sz w:val="22"/>
          <w:szCs w:val="22"/>
        </w:rPr>
        <w:tab/>
        <w:t>L’élément a été inscrit au Registre national du patrimoine culturel immatériel du Ghana en 2021. Cet inventaire est tenu par le Ministère du tourisme, de la culture et des arts créatifs</w:t>
      </w:r>
      <w:r w:rsidRPr="00503070">
        <w:rPr>
          <w:rFonts w:ascii="Arial" w:hAnsi="Arial" w:cs="Arial"/>
          <w:sz w:val="22"/>
          <w:szCs w:val="22"/>
          <w:shd w:val="clear" w:color="auto" w:fill="FFFFFF"/>
        </w:rPr>
        <w:t xml:space="preserve"> ainsi que par le </w:t>
      </w:r>
      <w:r w:rsidRPr="00503070">
        <w:rPr>
          <w:rFonts w:ascii="Arial" w:hAnsi="Arial" w:cs="Arial"/>
          <w:sz w:val="22"/>
          <w:szCs w:val="22"/>
        </w:rPr>
        <w:t>Conseil national du folklore, et ses mises à jour sont fournies chaque trimestre. L’inscription et la mise à jour d’un élément dans le registre nécessitent la participation des communautés pratiquantes.</w:t>
      </w:r>
    </w:p>
    <w:p w14:paraId="418B9973" w14:textId="77777777" w:rsidR="00446163" w:rsidRPr="00503070" w:rsidRDefault="00446163" w:rsidP="001E17AF">
      <w:pPr>
        <w:numPr>
          <w:ilvl w:val="0"/>
          <w:numId w:val="66"/>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musique et la danse highlife</w:t>
      </w:r>
      <w:r w:rsidRPr="00503070">
        <w:rPr>
          <w:rFonts w:ascii="Arial" w:hAnsi="Arial" w:cs="Arial"/>
          <w:sz w:val="22"/>
          <w:szCs w:val="22"/>
        </w:rPr>
        <w:t xml:space="preserve"> sur la Liste représentative du patrimoine culturel immatériel de l’humanité.</w:t>
      </w:r>
    </w:p>
    <w:p w14:paraId="238AB705" w14:textId="77777777" w:rsidR="00446163" w:rsidRPr="00503070" w:rsidRDefault="00446163" w:rsidP="00446163">
      <w:pPr>
        <w:pStyle w:val="Heading1"/>
        <w:rPr>
          <w:bCs/>
        </w:rPr>
      </w:pPr>
      <w:r w:rsidRPr="00503070">
        <w:t>DÉCISION 20.COM 7.b.22</w:t>
      </w:r>
    </w:p>
    <w:p w14:paraId="1B9BFBB5"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4A140DC5" w14:textId="77777777" w:rsidR="00446163" w:rsidRPr="00503070" w:rsidRDefault="00446163" w:rsidP="001E17AF">
      <w:pPr>
        <w:numPr>
          <w:ilvl w:val="0"/>
          <w:numId w:val="6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Haïti a proposé la candidature du</w:t>
      </w:r>
      <w:r w:rsidRPr="00503070">
        <w:rPr>
          <w:rFonts w:ascii="Arial" w:hAnsi="Arial" w:cs="Arial"/>
          <w:b/>
          <w:sz w:val="22"/>
          <w:szCs w:val="22"/>
        </w:rPr>
        <w:t xml:space="preserve"> Compas d’Haïti</w:t>
      </w:r>
      <w:r w:rsidRPr="00503070">
        <w:rPr>
          <w:rFonts w:ascii="Arial" w:hAnsi="Arial" w:cs="Arial"/>
          <w:sz w:val="22"/>
          <w:szCs w:val="22"/>
        </w:rPr>
        <w:t xml:space="preserve"> (n° 02273) pour inscription sur la Liste représentative du patrimoine culturel immatériel de l’humanité :</w:t>
      </w:r>
    </w:p>
    <w:p w14:paraId="7E610F30"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Compas est un genre de musique et de danse populaire qui revêt une grande importance culturelle pour les communautés praticiennes. Facteur d’identification fort, il rassemble des personnes de tous âges, de tous genres et de toutes origines. La musique se caractérise par un rythme syncopé et s’accompagne d’instruments tels que des guitares, des claviers et des tambours. Le Compas combine des influences africaines, européennes et autochtones, et aborde souvent des thèmes tels que l’amour, la liberté, la paix et la résistance. La danse du Compas, une marche rythmée, est marquée par des mouvements pelviens, des pas alternés et une connexion physique entre les danseurs. C’est un moyen d’expression, souvent utilisé dans les thérapies de couple et partagé par les membres de la famille et les amis. </w:t>
      </w:r>
    </w:p>
    <w:p w14:paraId="6C908F5C" w14:textId="77777777" w:rsidR="00446163" w:rsidRPr="00503070" w:rsidRDefault="00446163" w:rsidP="001E17AF">
      <w:pPr>
        <w:keepNext/>
        <w:numPr>
          <w:ilvl w:val="0"/>
          <w:numId w:val="67"/>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0D89E0F"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 Profondément ancré dans l’identité de ses détenteurs, le Compas est un élément important des événements festifs et rituels ainsi qu’un élément clé des célébrations et des étapes personnelles pour les individus, les familles et les communautés. Les connaissances et le savoir-faire associés sont transmis de génération en génération, les familles, les communautés, les écoles et les artistes transmettant la musique et la danse par des moyens informels, tels que des ateliers et des festivals. Les danseurs, chorégraphes, orchestres, producteurs et autres professionnels jouent également un rôle essentiel dans la création et la transmission de l’élément. Le Compas est un symbole de résilience et une célébration de l’héritage culturel, de la cohésion sociale et de l’identité partagée.</w:t>
      </w:r>
    </w:p>
    <w:p w14:paraId="11344CA4"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 xml:space="preserve">R.2 : </w:t>
      </w:r>
      <w:r w:rsidRPr="00503070">
        <w:rPr>
          <w:rFonts w:ascii="Arial" w:hAnsi="Arial" w:cs="Arial"/>
          <w:sz w:val="22"/>
          <w:szCs w:val="22"/>
        </w:rPr>
        <w:tab/>
        <w:t xml:space="preserve">L’Etat partie soumissionnaire démontre de manière constante la contribution de l’élément à divers aspects du développement durable. En tant que vecteur de cohésion sociale, il favorise les rencontres entre les individus et l’égalité des genres. C’est également un outil de résistance, qui soutient les causes justes et sensibilise à l’histoire et au patrimoine culturel d’Haïti. Sur le plan économique, la production et la diffusion de </w:t>
      </w:r>
      <w:r w:rsidRPr="00503070">
        <w:rPr>
          <w:rFonts w:ascii="Arial" w:hAnsi="Arial" w:cs="Arial"/>
          <w:sz w:val="22"/>
          <w:szCs w:val="22"/>
        </w:rPr>
        <w:lastRenderedPageBreak/>
        <w:t>cet élément génèrent des emplois et contribuent à créer des alternatives positives à la participation à des activités néfastes, principalement pour les jeunes. En outre, le Compas a joué un rôle important dans des événements cruciaux. Il a par exemple apporté un soutien psychologique à la population traumatisée après le tremblement de terre de 2010. L’inscription de cet élément renforcerait les efforts visant à sauvegarder les multiples dimensions de cette tradition et faciliterait les échanges culturels mondiaux.</w:t>
      </w:r>
    </w:p>
    <w:p w14:paraId="1E6CE2FC"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shd w:val="clear" w:color="auto" w:fill="FFFFFF"/>
        </w:rPr>
        <w:t xml:space="preserve"> Le dossier de candidature souligne que le Compas est une pratique profondément enracinée du patrimoine culturel, diverses communautés étant engagées dans des initiatives visant à assurer sa continuité et sa vitalité. Un système de soutien pour l’élément a été systématiquement mis en œuvre au niveau national depuis 2018, établissant un cadre global pour améliorer les différentes initiatives. Le dossier de candidature souligne les efforts de l’État pour assurer la protection juridique du Compas. Le </w:t>
      </w:r>
      <w:proofErr w:type="gramStart"/>
      <w:r w:rsidRPr="00503070">
        <w:rPr>
          <w:rFonts w:ascii="Arial" w:hAnsi="Arial" w:cs="Arial"/>
          <w:sz w:val="22"/>
          <w:szCs w:val="22"/>
          <w:shd w:val="clear" w:color="auto" w:fill="FFFFFF"/>
        </w:rPr>
        <w:t>Ministère de la culture</w:t>
      </w:r>
      <w:proofErr w:type="gramEnd"/>
      <w:r w:rsidRPr="00503070">
        <w:rPr>
          <w:rFonts w:ascii="Arial" w:hAnsi="Arial" w:cs="Arial"/>
          <w:sz w:val="22"/>
          <w:szCs w:val="22"/>
          <w:shd w:val="clear" w:color="auto" w:fill="FFFFFF"/>
        </w:rPr>
        <w:t xml:space="preserve"> et de la communication a élaboré un plan quinquennal de sauvegarde de la musique, du chant et de la danse Compas. Ce plan comprend des projets visant à identifier, documenter et cataloguer les différentes variantes de Compas. D’autres mesures comprennent des festivals et des conférences, qui soulignent l’importance sociale, culturelle et économique du genre. L’État partie soutient en outre la transmission formelle de l’élément dans le système éducatif.</w:t>
      </w:r>
    </w:p>
    <w:p w14:paraId="524C8D63"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 xml:space="preserve"> </w:t>
      </w:r>
      <w:r w:rsidRPr="00503070">
        <w:rPr>
          <w:rFonts w:ascii="Arial" w:hAnsi="Arial" w:cs="Arial"/>
          <w:sz w:val="22"/>
          <w:szCs w:val="22"/>
          <w:shd w:val="clear" w:color="auto" w:fill="FFFFFF"/>
        </w:rPr>
        <w:tab/>
        <w:t xml:space="preserve">Le dossier de candidature témoigne de la participation </w:t>
      </w:r>
      <w:proofErr w:type="gramStart"/>
      <w:r w:rsidRPr="00503070">
        <w:rPr>
          <w:rFonts w:ascii="Arial" w:hAnsi="Arial" w:cs="Arial"/>
          <w:sz w:val="22"/>
          <w:szCs w:val="22"/>
          <w:shd w:val="clear" w:color="auto" w:fill="FFFFFF"/>
        </w:rPr>
        <w:t>la plus large possible</w:t>
      </w:r>
      <w:proofErr w:type="gramEnd"/>
      <w:r w:rsidRPr="00503070">
        <w:rPr>
          <w:rFonts w:ascii="Arial" w:hAnsi="Arial" w:cs="Arial"/>
          <w:sz w:val="22"/>
          <w:szCs w:val="22"/>
          <w:shd w:val="clear" w:color="auto" w:fill="FFFFFF"/>
        </w:rPr>
        <w:t xml:space="preserve"> des communautés au processus de candidature. La rédaction de la candidature a été un effort collectif, impliquant un comité représentatif composé de détenteurs de la tradition, de membres d’ONG et de fonctionnaires. De nombreuses réunions ont été organisées avec des détenteurs, des experts et des parties prenantes, ce qui a permis de mettre à jour l’inventaire de l’élément et de recueillir des données précieuses. Le consentement a été obtenu par le biais d’ateliers communautaires, de réunions et de déclarations écrites, avec collecte de signatures. Le dossier indique que les communautés ont été bien informées des implications de l’inscription éventuelle de l’élément et qu’elles ont eu amplement l’occasion d’exprimer leurs préoccupations et de contribuer à l’élaboration de la candidature. Il s’agit là d’un solide exemple d’engagement collectif, fondé sur l’égalité entre les hommes et les femmes et éclairé.</w:t>
      </w:r>
    </w:p>
    <w:p w14:paraId="5DD8FB1F"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 xml:space="preserve">R.5 : L’élément a été inscrit au Registre national du patrimoine culturel immatériel d’Haïti en 2019. Cet inventaire est tenu par la Direction du patrimoine culturel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et de la communication d’Haïti et est régulièrement mis à jour, plus récemment le 5 janvier 2024, en partenariat avec plusieurs entités. </w:t>
      </w:r>
    </w:p>
    <w:p w14:paraId="6826C8D9" w14:textId="77777777" w:rsidR="00446163" w:rsidRPr="00503070" w:rsidRDefault="00446163" w:rsidP="001E17AF">
      <w:pPr>
        <w:numPr>
          <w:ilvl w:val="0"/>
          <w:numId w:val="67"/>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Compas d’Haïti</w:t>
      </w:r>
      <w:r w:rsidRPr="00503070">
        <w:rPr>
          <w:rFonts w:ascii="Arial" w:hAnsi="Arial" w:cs="Arial"/>
          <w:sz w:val="22"/>
          <w:szCs w:val="22"/>
        </w:rPr>
        <w:t xml:space="preserve"> sur la Liste représentative du patrimoine culturel immatériel de l’humanité ;</w:t>
      </w:r>
    </w:p>
    <w:p w14:paraId="32F41EF3" w14:textId="77777777" w:rsidR="00446163" w:rsidRPr="00503070" w:rsidRDefault="00446163" w:rsidP="001E17AF">
      <w:pPr>
        <w:numPr>
          <w:ilvl w:val="0"/>
          <w:numId w:val="67"/>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d’avoir soumis un élément défini par la valeur d’unification des personnes, de promotion de la coexistence sociale et de renforcement des liens, en particulier en temps de crise. </w:t>
      </w:r>
    </w:p>
    <w:p w14:paraId="5A541C41" w14:textId="77777777" w:rsidR="00446163" w:rsidRPr="00503070" w:rsidRDefault="00446163" w:rsidP="00446163">
      <w:pPr>
        <w:pStyle w:val="Heading1"/>
        <w:rPr>
          <w:bCs/>
        </w:rPr>
      </w:pPr>
      <w:r w:rsidRPr="00503070">
        <w:t>DÉCISION 20.COM 7.b.23</w:t>
      </w:r>
    </w:p>
    <w:p w14:paraId="67CCCA7E"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6813EA8" w14:textId="77777777" w:rsidR="00446163" w:rsidRPr="00503070" w:rsidRDefault="00446163" w:rsidP="001E17AF">
      <w:pPr>
        <w:numPr>
          <w:ilvl w:val="0"/>
          <w:numId w:val="6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l’Islande a proposé la candidature de </w:t>
      </w:r>
      <w:r w:rsidRPr="00503070">
        <w:rPr>
          <w:rFonts w:ascii="Arial" w:hAnsi="Arial" w:cs="Arial"/>
          <w:b/>
          <w:sz w:val="22"/>
          <w:szCs w:val="22"/>
        </w:rPr>
        <w:t>la culture de la piscine en Islande</w:t>
      </w:r>
      <w:r w:rsidRPr="00503070">
        <w:rPr>
          <w:rFonts w:ascii="Arial" w:hAnsi="Arial" w:cs="Arial"/>
          <w:sz w:val="22"/>
          <w:szCs w:val="22"/>
        </w:rPr>
        <w:t xml:space="preserve"> (n° 02249) pour inscription sur la Liste représentative du patrimoine culturel immatériel de l’humanité :</w:t>
      </w:r>
    </w:p>
    <w:p w14:paraId="174D88AD"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culture de la piscine fait référence à l’utilisation généralisée de piscines extérieures chauffées. Malgré les climats froids, ces espaces restent populaires et accueillent des personnes de tous âges, de toutes origines et de toutes capacités. Les personnes se rendent dans les piscines pour diverses raisons, par exemple pour faire de l’exercice, se détendre ou se rencontrer. Les piscines publiques sont gérées par la communauté, pour la communauté, une dynamique qui a créé des espaces sociaux uniques. Par exemple, les jacuzzis sont devenus des lieux de débat informels. La culture de la piscine se transmet de génération en </w:t>
      </w:r>
      <w:r w:rsidRPr="00503070">
        <w:rPr>
          <w:rFonts w:ascii="Arial" w:hAnsi="Arial" w:cs="Arial"/>
          <w:sz w:val="22"/>
          <w:szCs w:val="22"/>
        </w:rPr>
        <w:lastRenderedPageBreak/>
        <w:t xml:space="preserve">génération, les parents amenant leurs enfants à la piscine. Lorsque les enfants grandissent, ils continuent de fréquenter les piscines, de suivre des cours de natation, de participer à des activités scolaires et de passer du temps avec leurs amis ou leur famille. </w:t>
      </w:r>
    </w:p>
    <w:p w14:paraId="14811FEE" w14:textId="77777777" w:rsidR="00446163" w:rsidRPr="00503070" w:rsidRDefault="00446163" w:rsidP="001E17AF">
      <w:pPr>
        <w:keepNext/>
        <w:numPr>
          <w:ilvl w:val="0"/>
          <w:numId w:val="68"/>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8B2A116"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La culture de la piscine en Islande s’adresse à des personnes de tout genre, de toutes les ethnies et de tous les niveaux de compétence. Les enfants apprennent les règles et les coutumes de la piscine par le biais de leçons formelles et d’interactions informelles avec leurs pairs, leur famille et le personnel des établissements. Les organisations de jeunesse et les clubs sportifs, ainsi que les personnes âgées qui fréquentent la piscine, jouent également un rôle important dans la transmission de la tradition aux jeunes générations. La culture de la piscine fait partie intégrante de la vie quotidienne des communautés pratiquantes. Elle favorise le bien-être physique, mental et social tout en offrant un espace de connexion. Elle favorise en outre l’inclusion, le respect mutuel et la cohésion entre des personnes de tous horizons.</w:t>
      </w:r>
    </w:p>
    <w:p w14:paraId="37DAA89A"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L’Etat partie soumissionnaire démontre de manière constante la contribution de l’élément à divers aspects du développement durable, en mettant particulièrement l’accent sur la promotion des attributs suivants : </w:t>
      </w:r>
      <w:r w:rsidRPr="00503070">
        <w:rPr>
          <w:rFonts w:ascii="Arial" w:hAnsi="Arial" w:cs="Arial"/>
          <w:sz w:val="22"/>
          <w:szCs w:val="22"/>
          <w:shd w:val="clear" w:color="auto" w:fill="FFFFFF"/>
        </w:rPr>
        <w:t xml:space="preserve">les soins de santé, grâce à la </w:t>
      </w:r>
      <w:r w:rsidRPr="00503070">
        <w:rPr>
          <w:rFonts w:ascii="Arial" w:hAnsi="Arial" w:cs="Arial"/>
          <w:sz w:val="22"/>
          <w:szCs w:val="22"/>
        </w:rPr>
        <w:t>possibilité de faire de l’exercice, soit individuellement, soit en participant à des programmes destinés aux personnes âgées, aux femmes enceintes ou aux personnes souffrant de maladies chroniques. Il contribue également à la paix et à la cohésion sociale, grâce à la mise en place d’un espace de dialogue et d’échange pacifique d’opinions et d’idées sans différences culturelles et sociales, en favorisant l’acceptation de tous les types de corps ainsi qu’en facilitant le respect mutuel entre les personnes.</w:t>
      </w:r>
    </w:p>
    <w:p w14:paraId="5A82ED17"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shd w:val="clear" w:color="auto" w:fill="FFFFFF"/>
        </w:rPr>
        <w:tab/>
        <w:t>L’État partie soumissionnaire a démontré la participation active des communautés, groupes et individus concernés à toutes les étapes de la préparation de la candidature, en commençant en 2013 lorsque le Musée National d’Islande a facilité un questionnaire sur la culture des piscines et sa valeur, en collaboration avec l’Université d’Islande. L’État partie a organisé seize réunions dans tout le pays et deux symposiums sur la culture des piscines, ouverts à un large public et diffusés en direct pour en faciliter l’accès. Le consentement préalable a été obtenu</w:t>
      </w:r>
      <w:r w:rsidRPr="00503070">
        <w:rPr>
          <w:rFonts w:ascii="Arial" w:hAnsi="Arial" w:cs="Arial"/>
          <w:sz w:val="22"/>
          <w:szCs w:val="22"/>
        </w:rPr>
        <w:t xml:space="preserve"> en temps opportun et les </w:t>
      </w:r>
      <w:r w:rsidRPr="00503070">
        <w:rPr>
          <w:rFonts w:ascii="Arial" w:hAnsi="Arial" w:cs="Arial"/>
          <w:sz w:val="22"/>
          <w:szCs w:val="22"/>
          <w:shd w:val="clear" w:color="auto" w:fill="FFFFFF"/>
        </w:rPr>
        <w:t>preuves fournies pour le consentement sont suffisamment diversifiées</w:t>
      </w:r>
      <w:r w:rsidRPr="00503070">
        <w:rPr>
          <w:rFonts w:ascii="Arial" w:hAnsi="Arial" w:cs="Arial"/>
          <w:sz w:val="22"/>
          <w:szCs w:val="22"/>
        </w:rPr>
        <w:t>.</w:t>
      </w:r>
    </w:p>
    <w:p w14:paraId="6BCE80B1" w14:textId="77777777" w:rsidR="00446163" w:rsidRPr="00503070" w:rsidRDefault="00446163" w:rsidP="00446163">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w:t>
      </w:r>
      <w:proofErr w:type="spellStart"/>
      <w:r w:rsidRPr="00503070">
        <w:rPr>
          <w:rFonts w:ascii="Arial" w:hAnsi="Arial" w:cs="Arial"/>
          <w:sz w:val="22"/>
          <w:szCs w:val="22"/>
        </w:rPr>
        <w:t>Lifandi</w:t>
      </w:r>
      <w:proofErr w:type="spellEnd"/>
      <w:r w:rsidRPr="00503070">
        <w:rPr>
          <w:rFonts w:ascii="Arial" w:hAnsi="Arial" w:cs="Arial"/>
          <w:sz w:val="22"/>
          <w:szCs w:val="22"/>
        </w:rPr>
        <w:t xml:space="preserve"> </w:t>
      </w:r>
      <w:proofErr w:type="spellStart"/>
      <w:r w:rsidRPr="00503070">
        <w:rPr>
          <w:rFonts w:ascii="Arial" w:hAnsi="Arial" w:cs="Arial"/>
          <w:sz w:val="22"/>
          <w:szCs w:val="22"/>
        </w:rPr>
        <w:t>hefðir</w:t>
      </w:r>
      <w:proofErr w:type="spellEnd"/>
      <w:r w:rsidRPr="00503070">
        <w:rPr>
          <w:rFonts w:ascii="Arial" w:hAnsi="Arial" w:cs="Arial"/>
          <w:sz w:val="22"/>
          <w:szCs w:val="22"/>
        </w:rPr>
        <w:t xml:space="preserve"> en 2023. Cet inventaire est tenu par le Musée National d’Islande et est régulièrement mis à jour dans le cadre du système national d’inventaire.</w:t>
      </w:r>
    </w:p>
    <w:p w14:paraId="6C2BF15F" w14:textId="77777777" w:rsidR="00446163" w:rsidRPr="00503070" w:rsidRDefault="00446163" w:rsidP="001E17AF">
      <w:pPr>
        <w:pStyle w:val="ListParagraph"/>
        <w:numPr>
          <w:ilvl w:val="0"/>
          <w:numId w:val="69"/>
        </w:numPr>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6CD7B914" w14:textId="77777777" w:rsidR="00446163" w:rsidRPr="00503070" w:rsidRDefault="00446163" w:rsidP="00446163">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Les informations fournies démontrent que le critère R.3 est respecté en termes d’efforts passés et actuels, mais aussi de mesures de sauvegarde futures. Ces mesures comprennent le cadre juridique existant, qui exige que des cours de natation soient dispensés aux jeunes âgés de six à seize ans, des recherches et des publications sur la pratique, et des frais de natation subventionnés, encourageant ainsi davantage de praticiens à nager. D’autres mesures comprennent la création d’associations et de clubs de natation qui promeuvent la sauvegarde de la tradition et l’organisation de compétitions et de campagnes qui profitent à la culture de la natation.</w:t>
      </w:r>
    </w:p>
    <w:p w14:paraId="2AE41FF0" w14:textId="77777777" w:rsidR="00446163" w:rsidRPr="00503070" w:rsidRDefault="00446163" w:rsidP="001E17AF">
      <w:pPr>
        <w:numPr>
          <w:ilvl w:val="0"/>
          <w:numId w:val="69"/>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culture de la piscine en Islande</w:t>
      </w:r>
      <w:r w:rsidRPr="00503070">
        <w:rPr>
          <w:rFonts w:ascii="Arial" w:hAnsi="Arial" w:cs="Arial"/>
          <w:sz w:val="22"/>
          <w:szCs w:val="22"/>
        </w:rPr>
        <w:t xml:space="preserve"> sur la Liste représentative du patrimoine culturel immatériel de l’humanité ;</w:t>
      </w:r>
    </w:p>
    <w:p w14:paraId="0CAA14C7" w14:textId="77777777" w:rsidR="00446163" w:rsidRPr="00503070" w:rsidRDefault="00446163" w:rsidP="001E17AF">
      <w:pPr>
        <w:numPr>
          <w:ilvl w:val="0"/>
          <w:numId w:val="69"/>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Félicite</w:t>
      </w:r>
      <w:r w:rsidRPr="00503070">
        <w:rPr>
          <w:rFonts w:ascii="Arial" w:hAnsi="Arial" w:cs="Arial"/>
          <w:sz w:val="22"/>
          <w:szCs w:val="22"/>
        </w:rPr>
        <w:t xml:space="preserve"> l’État partie pour l’excellente vidéo réalisée, qui montre les détails de la sociabilité autour de la piscine, révélant qu’il s’agit de bien plus qu’un simple objet et la présentant comme un espace symbolique pour la production de relations sociales et de pratiques culturelles.</w:t>
      </w:r>
    </w:p>
    <w:p w14:paraId="73EBE0EB" w14:textId="77777777" w:rsidR="00446163" w:rsidRPr="00503070" w:rsidRDefault="00446163" w:rsidP="00446163">
      <w:pPr>
        <w:pStyle w:val="Heading1"/>
        <w:rPr>
          <w:bCs/>
        </w:rPr>
      </w:pPr>
      <w:r w:rsidRPr="00503070">
        <w:t>DÉCISION 20.COM 7.b.24</w:t>
      </w:r>
    </w:p>
    <w:p w14:paraId="3B209447" w14:textId="77777777" w:rsidR="00446163" w:rsidRPr="00503070" w:rsidRDefault="00446163" w:rsidP="00446163">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BE539D6" w14:textId="77777777" w:rsidR="00446163" w:rsidRPr="00503070" w:rsidRDefault="00446163" w:rsidP="001E17AF">
      <w:pPr>
        <w:numPr>
          <w:ilvl w:val="0"/>
          <w:numId w:val="70"/>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l’Inde a proposé la candidature de </w:t>
      </w:r>
      <w:proofErr w:type="spellStart"/>
      <w:r w:rsidRPr="00503070">
        <w:rPr>
          <w:rFonts w:ascii="Arial" w:hAnsi="Arial" w:cs="Arial"/>
          <w:b/>
          <w:sz w:val="22"/>
          <w:szCs w:val="22"/>
        </w:rPr>
        <w:t>Dipavali</w:t>
      </w:r>
      <w:proofErr w:type="spellEnd"/>
      <w:r w:rsidRPr="00503070">
        <w:rPr>
          <w:rFonts w:ascii="Arial" w:hAnsi="Arial" w:cs="Arial"/>
          <w:sz w:val="22"/>
          <w:szCs w:val="22"/>
        </w:rPr>
        <w:t xml:space="preserve"> (n° 02312) pour inscription sur la Liste représentative du patrimoine culturel immatériel de l’humanité :</w:t>
      </w:r>
    </w:p>
    <w:p w14:paraId="53E8C2F9" w14:textId="77777777" w:rsidR="00446163" w:rsidRPr="00503070" w:rsidRDefault="00446163" w:rsidP="00446163">
      <w:pPr>
        <w:tabs>
          <w:tab w:val="left" w:pos="1701"/>
          <w:tab w:val="left" w:pos="2268"/>
        </w:tabs>
        <w:spacing w:before="120" w:after="120"/>
        <w:ind w:left="567"/>
        <w:jc w:val="both"/>
        <w:rPr>
          <w:rFonts w:ascii="Arial" w:hAnsi="Arial" w:cs="Arial"/>
          <w:sz w:val="22"/>
          <w:szCs w:val="22"/>
        </w:rPr>
      </w:pPr>
      <w:proofErr w:type="spellStart"/>
      <w:r w:rsidRPr="00503070">
        <w:rPr>
          <w:rFonts w:ascii="Arial" w:hAnsi="Arial" w:cs="Arial"/>
          <w:sz w:val="22"/>
          <w:szCs w:val="22"/>
        </w:rPr>
        <w:t>Dipavali</w:t>
      </w:r>
      <w:proofErr w:type="spellEnd"/>
      <w:r w:rsidRPr="00503070">
        <w:rPr>
          <w:rFonts w:ascii="Arial" w:hAnsi="Arial" w:cs="Arial"/>
          <w:sz w:val="22"/>
          <w:szCs w:val="22"/>
        </w:rPr>
        <w:t xml:space="preserve">, également connu sous le nom de </w:t>
      </w:r>
      <w:proofErr w:type="spellStart"/>
      <w:r w:rsidRPr="00503070">
        <w:rPr>
          <w:rFonts w:ascii="Arial" w:hAnsi="Arial" w:cs="Arial"/>
          <w:sz w:val="22"/>
          <w:szCs w:val="22"/>
        </w:rPr>
        <w:t>Diwali</w:t>
      </w:r>
      <w:proofErr w:type="spellEnd"/>
      <w:r w:rsidRPr="00503070">
        <w:rPr>
          <w:rFonts w:ascii="Arial" w:hAnsi="Arial" w:cs="Arial"/>
          <w:sz w:val="22"/>
          <w:szCs w:val="22"/>
        </w:rPr>
        <w:t xml:space="preserve">, est un festival de la lumière célébré tous les ans par une diversité de personnes et communautés à travers l’Inde qui marque la dernière récolte de l’année et le début d’une nouvelle année et d’une nouvelle saison. Selon le calendrier lunaire, elle tombe lors de la nouvelle lune d’octobre ou de novembre et dure plusieurs jours. Il s’agit d’un événement joyeux qui symbolise la victoire de la lumière sur les ténèbres et du bien sur le mal. Pendant cette période, les personnes nettoient et décorent leurs maisons et les espaces publics, allument des lampes et des bougies, tirent des feux d’artifice et font des prières pour la prospérité et les nouveaux départs. </w:t>
      </w:r>
    </w:p>
    <w:p w14:paraId="238CAA98" w14:textId="77777777" w:rsidR="00446163" w:rsidRPr="00503070" w:rsidRDefault="00446163" w:rsidP="001E17AF">
      <w:pPr>
        <w:keepNext/>
        <w:numPr>
          <w:ilvl w:val="0"/>
          <w:numId w:val="70"/>
        </w:numPr>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6793E6A"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 </w:t>
      </w:r>
      <w:proofErr w:type="spellStart"/>
      <w:r w:rsidRPr="00503070">
        <w:rPr>
          <w:rFonts w:ascii="Arial" w:hAnsi="Arial" w:cs="Arial"/>
          <w:sz w:val="22"/>
          <w:szCs w:val="22"/>
        </w:rPr>
        <w:t>Dipavali</w:t>
      </w:r>
      <w:proofErr w:type="spellEnd"/>
      <w:r w:rsidRPr="00503070">
        <w:rPr>
          <w:rFonts w:ascii="Arial" w:hAnsi="Arial" w:cs="Arial"/>
          <w:sz w:val="22"/>
          <w:szCs w:val="22"/>
        </w:rPr>
        <w:t xml:space="preserve"> est une période où les gens, les familles et les communautés se réunissent pour échanger des cadeaux et des sucreries, partager des repas et célébrer avec de la musique, de la danse et des rituels. La pratique concerne des personnes de tous âges, de tous genres et de toutes origines. Elle est transmise de manière informelle au sein des familles et des communautés, les anciens apprenant aux enfants à accomplir les rituels et à se préparer aux célébrations par le biais d’histoires et d’une participation pratique. Les temples, les écoles, les organisations culturelles et les plateformes numériques jouent également un rôle dans la transmission et la sauvegarde de la pratique. Expression vibrante d’un héritage et d’une identité partagés, le </w:t>
      </w:r>
      <w:proofErr w:type="spellStart"/>
      <w:r w:rsidRPr="00503070">
        <w:rPr>
          <w:rFonts w:ascii="Arial" w:hAnsi="Arial" w:cs="Arial"/>
          <w:sz w:val="22"/>
          <w:szCs w:val="22"/>
        </w:rPr>
        <w:t>Dipavali</w:t>
      </w:r>
      <w:proofErr w:type="spellEnd"/>
      <w:r w:rsidRPr="00503070">
        <w:rPr>
          <w:rFonts w:ascii="Arial" w:hAnsi="Arial" w:cs="Arial"/>
          <w:sz w:val="22"/>
          <w:szCs w:val="22"/>
        </w:rPr>
        <w:t xml:space="preserve"> renforce les liens sociaux, promeut l’inclusion et encourage des valeurs telles que la gentillesse, la gratitude et l’espoir. Il soutient en outre les économies locales et l’expression créative.</w:t>
      </w:r>
    </w:p>
    <w:p w14:paraId="545C675C"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R.2 :</w:t>
      </w:r>
      <w:r w:rsidRPr="00503070">
        <w:rPr>
          <w:rFonts w:ascii="Arial" w:hAnsi="Arial" w:cs="Arial"/>
          <w:sz w:val="22"/>
          <w:szCs w:val="22"/>
        </w:rPr>
        <w:tab/>
        <w:t>L’Etat partie soumissionnaire démontre de manière constante que l’élément contribue à divers aspects du développement durable, en mettant particulièrement l’accent sur la promotion de la paix et de la cohésion sociale. Il rassemble les familles et les amis, améliore le bien-être social, mental et émotionnel, promeut l’esprit d’altruisme et les valeurs morales, et offre à des personnes issues de divers horizons (notamment les communautés autochtones, les personnes âgées, les enfants, les hommes, les femmes, les communautés transgenres et les personnes ayant des besoins particuliers) de participer aux festivités, favorisant la paix, la cohésion sociale et l’instauration d’une société égalitaire. Il favorise également la solidarité, en mettant l’accent sur le partage des repas et confiseries, ainsi que la distribution de nourriture aux personnes dans le besoin.</w:t>
      </w:r>
    </w:p>
    <w:p w14:paraId="77F6221D"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 xml:space="preserve">Le dossier de candidature souligne que le </w:t>
      </w:r>
      <w:proofErr w:type="spellStart"/>
      <w:r w:rsidRPr="00503070">
        <w:rPr>
          <w:rFonts w:ascii="Arial" w:hAnsi="Arial" w:cs="Arial"/>
          <w:sz w:val="22"/>
          <w:szCs w:val="22"/>
          <w:shd w:val="clear" w:color="auto" w:fill="FFFFFF"/>
        </w:rPr>
        <w:t>Dipavali</w:t>
      </w:r>
      <w:proofErr w:type="spellEnd"/>
      <w:r w:rsidRPr="00503070">
        <w:rPr>
          <w:rFonts w:ascii="Arial" w:hAnsi="Arial" w:cs="Arial"/>
          <w:sz w:val="22"/>
          <w:szCs w:val="22"/>
          <w:shd w:val="clear" w:color="auto" w:fill="FFFFFF"/>
        </w:rPr>
        <w:t xml:space="preserve"> est une « fête du peuple », entretenue par des millions de praticiens à travers l’Inde. Son caractère étendu et vivant est le signe d’une viabilité solide. Les mesures de sauvegarde conçues pour protéger et promouvoir le festival englobent une série de stratégies, impliquant à la fois des efforts gouvernementaux et communautaires, un soutien gouvernemental, des initiatives telles que la désignation du </w:t>
      </w:r>
      <w:proofErr w:type="spellStart"/>
      <w:r w:rsidRPr="00503070">
        <w:rPr>
          <w:rFonts w:ascii="Arial" w:hAnsi="Arial" w:cs="Arial"/>
          <w:sz w:val="22"/>
          <w:szCs w:val="22"/>
          <w:shd w:val="clear" w:color="auto" w:fill="FFFFFF"/>
        </w:rPr>
        <w:t>Dipavali</w:t>
      </w:r>
      <w:proofErr w:type="spellEnd"/>
      <w:r w:rsidRPr="00503070">
        <w:rPr>
          <w:rFonts w:ascii="Arial" w:hAnsi="Arial" w:cs="Arial"/>
          <w:sz w:val="22"/>
          <w:szCs w:val="22"/>
          <w:shd w:val="clear" w:color="auto" w:fill="FFFFFF"/>
        </w:rPr>
        <w:t xml:space="preserve"> comme jour férié, et la fourniture de services de gestion de la logistique et de la sécurité pendant le festival. Les communautés sont clairement positionnées en tant qu’agents principaux de la sauvegarde de l’élément. Les groupes locaux, les artisans, les communautés d’affaires et les groupes marginalisés (par exemple, les personnes en situation de handicap et les personnes détenues) participent à la production et à la célébration de l’élément, ce qui renforce la pertinence et le </w:t>
      </w:r>
      <w:r w:rsidRPr="00503070">
        <w:rPr>
          <w:rFonts w:ascii="Arial" w:hAnsi="Arial" w:cs="Arial"/>
          <w:sz w:val="22"/>
          <w:szCs w:val="22"/>
          <w:shd w:val="clear" w:color="auto" w:fill="FFFFFF"/>
        </w:rPr>
        <w:lastRenderedPageBreak/>
        <w:t>dynamisme du festival.</w:t>
      </w:r>
      <w:r w:rsidRPr="00503070">
        <w:rPr>
          <w:rFonts w:ascii="Arial" w:hAnsi="Arial" w:cs="Arial"/>
          <w:sz w:val="22"/>
          <w:szCs w:val="22"/>
        </w:rPr>
        <w:t xml:space="preserve"> </w:t>
      </w:r>
      <w:r w:rsidRPr="00503070">
        <w:rPr>
          <w:rFonts w:ascii="Arial" w:hAnsi="Arial" w:cs="Arial"/>
          <w:sz w:val="22"/>
          <w:szCs w:val="22"/>
          <w:shd w:val="clear" w:color="auto" w:fill="FFFFFF"/>
        </w:rPr>
        <w:t xml:space="preserve">Des mesures gouvernementales sont déjà en place pour soutenir les artisans et l’artisanat traditionnel, en associant l’autonomisation économique à la sauvegarde culturelle. Le dossier de candidature met en avant d’importantes priorités de sauvegarde pour l’avenir, telles que le maintien et l’amplification des pratiques écologiques et inclusives, et l’encouragement de l’utilisation de matériaux naturels et durables dans la production d’objets du </w:t>
      </w:r>
      <w:proofErr w:type="spellStart"/>
      <w:r w:rsidRPr="00503070">
        <w:rPr>
          <w:rFonts w:ascii="Arial" w:hAnsi="Arial" w:cs="Arial"/>
          <w:sz w:val="22"/>
          <w:szCs w:val="22"/>
          <w:shd w:val="clear" w:color="auto" w:fill="FFFFFF"/>
        </w:rPr>
        <w:t>Dipavali</w:t>
      </w:r>
      <w:proofErr w:type="spellEnd"/>
      <w:r w:rsidRPr="00503070">
        <w:rPr>
          <w:rFonts w:ascii="Arial" w:hAnsi="Arial" w:cs="Arial"/>
          <w:sz w:val="22"/>
          <w:szCs w:val="22"/>
          <w:shd w:val="clear" w:color="auto" w:fill="FFFFFF"/>
        </w:rPr>
        <w:t>.</w:t>
      </w:r>
    </w:p>
    <w:p w14:paraId="3887AFBE"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rPr>
        <w:t>R.4 :</w:t>
      </w:r>
      <w:r w:rsidRPr="00503070">
        <w:rPr>
          <w:rFonts w:ascii="Arial" w:hAnsi="Arial" w:cs="Arial"/>
          <w:sz w:val="22"/>
          <w:szCs w:val="22"/>
        </w:rPr>
        <w:tab/>
      </w:r>
      <w:r w:rsidRPr="00503070">
        <w:rPr>
          <w:rFonts w:ascii="Arial" w:hAnsi="Arial" w:cs="Arial"/>
          <w:sz w:val="22"/>
          <w:szCs w:val="22"/>
          <w:shd w:val="clear" w:color="auto" w:fill="FFFFFF"/>
        </w:rPr>
        <w:t xml:space="preserve">L’État partie soumissionnaire a démontré la participation de la communauté au processus de candidature, qui a impliqué l’engagement actif de diverses communautés, groupes et individus. Le dossier de candidature fournit des preuves irréfutables de l’étendue de la couverture géographique et culturelle. Les parties prenantes concernées sont les communautés créatives, artisanales, agricoles, commerciales, religieuses et culturelles, ainsi que les personnes en situation de handicap, la communauté transgenre et les peuples autochtones. Le processus a été coordonné par la </w:t>
      </w:r>
      <w:proofErr w:type="spellStart"/>
      <w:r w:rsidRPr="00503070">
        <w:rPr>
          <w:rFonts w:ascii="Arial" w:hAnsi="Arial" w:cs="Arial"/>
          <w:sz w:val="22"/>
          <w:szCs w:val="22"/>
          <w:shd w:val="clear" w:color="auto" w:fill="FFFFFF"/>
        </w:rPr>
        <w:t>Sangeet</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Natak</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Akademi</w:t>
      </w:r>
      <w:proofErr w:type="spellEnd"/>
      <w:r w:rsidRPr="00503070">
        <w:rPr>
          <w:rFonts w:ascii="Arial" w:hAnsi="Arial" w:cs="Arial"/>
          <w:sz w:val="22"/>
          <w:szCs w:val="22"/>
          <w:shd w:val="clear" w:color="auto" w:fill="FFFFFF"/>
        </w:rPr>
        <w:t xml:space="preserve">, une institution nationale réputée désignée par le </w:t>
      </w:r>
      <w:proofErr w:type="gramStart"/>
      <w:r w:rsidRPr="00503070">
        <w:rPr>
          <w:rFonts w:ascii="Arial" w:hAnsi="Arial" w:cs="Arial"/>
          <w:sz w:val="22"/>
          <w:szCs w:val="22"/>
          <w:shd w:val="clear" w:color="auto" w:fill="FFFFFF"/>
        </w:rPr>
        <w:t>Ministère de la culture</w:t>
      </w:r>
      <w:proofErr w:type="gramEnd"/>
      <w:r w:rsidRPr="00503070">
        <w:rPr>
          <w:rFonts w:ascii="Arial" w:hAnsi="Arial" w:cs="Arial"/>
          <w:sz w:val="22"/>
          <w:szCs w:val="22"/>
          <w:shd w:val="clear" w:color="auto" w:fill="FFFFFF"/>
        </w:rPr>
        <w:t>.</w:t>
      </w:r>
      <w:r w:rsidRPr="00503070">
        <w:rPr>
          <w:rFonts w:ascii="Arial" w:hAnsi="Arial" w:cs="Arial"/>
          <w:sz w:val="22"/>
          <w:szCs w:val="22"/>
        </w:rPr>
        <w:t xml:space="preserve"> </w:t>
      </w:r>
      <w:r w:rsidRPr="00503070">
        <w:rPr>
          <w:rFonts w:ascii="Arial" w:hAnsi="Arial" w:cs="Arial"/>
          <w:sz w:val="22"/>
          <w:szCs w:val="22"/>
          <w:shd w:val="clear" w:color="auto" w:fill="FFFFFF"/>
        </w:rPr>
        <w:t>Un comité d’experts et de praticiens a été constitué, assurant une représentation régionale et une expertise diversifiée dans le domaine du patrimoine culturel immatériel. Les preuves du consentement libre, préalable et éclairé sont suffisamment diverses.</w:t>
      </w:r>
    </w:p>
    <w:p w14:paraId="486DD394" w14:textId="77777777" w:rsidR="00446163" w:rsidRPr="00503070" w:rsidRDefault="00446163" w:rsidP="00446163">
      <w:pPr>
        <w:tabs>
          <w:tab w:val="left" w:pos="1701"/>
          <w:tab w:val="left" w:pos="2268"/>
        </w:tabs>
        <w:spacing w:before="120"/>
        <w:ind w:left="1134" w:hanging="567"/>
        <w:jc w:val="both"/>
        <w:rPr>
          <w:rFonts w:ascii="Arial" w:hAnsi="Arial" w:cs="Arial"/>
          <w:sz w:val="22"/>
          <w:szCs w:val="22"/>
          <w:shd w:val="clear" w:color="auto" w:fill="FFFFFF"/>
        </w:rPr>
      </w:pPr>
      <w:r w:rsidRPr="00503070">
        <w:rPr>
          <w:rFonts w:ascii="Arial" w:hAnsi="Arial" w:cs="Arial"/>
          <w:sz w:val="22"/>
          <w:szCs w:val="22"/>
          <w:shd w:val="clear" w:color="auto" w:fill="FFFFFF"/>
        </w:rPr>
        <w:t>R.5 :</w:t>
      </w:r>
      <w:r w:rsidRPr="00503070">
        <w:rPr>
          <w:rFonts w:ascii="Arial" w:hAnsi="Arial" w:cs="Arial"/>
          <w:sz w:val="22"/>
          <w:szCs w:val="22"/>
          <w:shd w:val="clear" w:color="auto" w:fill="FFFFFF"/>
        </w:rPr>
        <w:tab/>
        <w:t xml:space="preserve">L’élément a été inscrit à l’Inventaire national du patrimoine culturel immatériel de l’Inde en 2023. Cet inventaire est tenu par la </w:t>
      </w:r>
      <w:proofErr w:type="spellStart"/>
      <w:r w:rsidRPr="00503070">
        <w:rPr>
          <w:rFonts w:ascii="Arial" w:hAnsi="Arial" w:cs="Arial"/>
          <w:sz w:val="22"/>
          <w:szCs w:val="22"/>
          <w:shd w:val="clear" w:color="auto" w:fill="FFFFFF"/>
        </w:rPr>
        <w:t>Sangeet</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Natak</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Akademi</w:t>
      </w:r>
      <w:proofErr w:type="spellEnd"/>
      <w:r w:rsidRPr="00503070">
        <w:rPr>
          <w:rFonts w:ascii="Arial" w:hAnsi="Arial" w:cs="Arial"/>
          <w:sz w:val="22"/>
          <w:szCs w:val="22"/>
          <w:shd w:val="clear" w:color="auto" w:fill="FFFFFF"/>
        </w:rPr>
        <w:t xml:space="preserve">, New Delhi, et est mis à jour tous les ans en partenariat avec les communautés, les groupes et les organisations non gouvernementales. </w:t>
      </w:r>
    </w:p>
    <w:p w14:paraId="385AC083" w14:textId="77777777" w:rsidR="00446163" w:rsidRPr="00503070" w:rsidRDefault="00446163" w:rsidP="001E17AF">
      <w:pPr>
        <w:numPr>
          <w:ilvl w:val="0"/>
          <w:numId w:val="70"/>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Dipavali</w:t>
      </w:r>
      <w:proofErr w:type="spellEnd"/>
      <w:r w:rsidRPr="00503070">
        <w:rPr>
          <w:rFonts w:ascii="Arial" w:hAnsi="Arial" w:cs="Arial"/>
          <w:sz w:val="22"/>
          <w:szCs w:val="22"/>
        </w:rPr>
        <w:t xml:space="preserve"> sur la Liste représentative du patrimoine culturel immatériel de l’humanité ;</w:t>
      </w:r>
    </w:p>
    <w:p w14:paraId="0C984313" w14:textId="77777777" w:rsidR="00446163" w:rsidRPr="00503070" w:rsidRDefault="00446163" w:rsidP="001E17AF">
      <w:pPr>
        <w:numPr>
          <w:ilvl w:val="0"/>
          <w:numId w:val="70"/>
        </w:numPr>
        <w:tabs>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son dossier bien préparé qui présente la contribution de l’élément à divers aspects du développement durable, de l’inclusion et de la cohésion sociale, avec l’implication et la participation de personnes d’autres religions, croyantes ou non, sans distinction de genre, d’âge ou de classes sociales.</w:t>
      </w:r>
    </w:p>
    <w:p w14:paraId="5B581FA1" w14:textId="77777777" w:rsidR="00880037" w:rsidRPr="00503070" w:rsidRDefault="00880037" w:rsidP="00880037">
      <w:pPr>
        <w:pStyle w:val="Heading1"/>
        <w:rPr>
          <w:bCs/>
        </w:rPr>
      </w:pPr>
      <w:r w:rsidRPr="00503070">
        <w:t>DÉCISION 20.COM 7.b.25</w:t>
      </w:r>
    </w:p>
    <w:p w14:paraId="5EC242F2" w14:textId="77777777" w:rsidR="00880037" w:rsidRPr="00503070" w:rsidRDefault="00880037" w:rsidP="00880037">
      <w:pPr>
        <w:pStyle w:val="NoSpacing"/>
        <w:keepNext/>
        <w:tabs>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D8F277D" w14:textId="77777777" w:rsidR="00880037" w:rsidRPr="00503070" w:rsidRDefault="00880037" w:rsidP="001E17AF">
      <w:pPr>
        <w:numPr>
          <w:ilvl w:val="0"/>
          <w:numId w:val="71"/>
        </w:numPr>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République islamique d’Iran a proposé la candidature de </w:t>
      </w:r>
      <w:proofErr w:type="spellStart"/>
      <w:r w:rsidRPr="00503070">
        <w:rPr>
          <w:rFonts w:ascii="Arial" w:hAnsi="Arial" w:cs="Arial"/>
          <w:b/>
          <w:sz w:val="22"/>
          <w:szCs w:val="22"/>
        </w:rPr>
        <w:t>Ayeneh</w:t>
      </w:r>
      <w:proofErr w:type="spellEnd"/>
      <w:r w:rsidRPr="00503070">
        <w:rPr>
          <w:rFonts w:ascii="Arial" w:hAnsi="Arial" w:cs="Arial"/>
          <w:b/>
          <w:sz w:val="22"/>
          <w:szCs w:val="22"/>
        </w:rPr>
        <w:t>-Kari, l’art du travail du miroir dans l’architecture persane</w:t>
      </w:r>
      <w:r w:rsidRPr="00503070">
        <w:rPr>
          <w:rFonts w:ascii="Arial" w:hAnsi="Arial" w:cs="Arial"/>
          <w:sz w:val="22"/>
          <w:szCs w:val="22"/>
        </w:rPr>
        <w:t xml:space="preserve"> (n° 02319) pour inscription sur la Liste représentative du patrimoine culturel immatériel de l’humanité : </w:t>
      </w:r>
    </w:p>
    <w:p w14:paraId="57EABDA0" w14:textId="77777777" w:rsidR="00880037" w:rsidRPr="00503070" w:rsidRDefault="00880037" w:rsidP="00880037">
      <w:pPr>
        <w:spacing w:before="120" w:after="120"/>
        <w:ind w:left="567"/>
        <w:jc w:val="both"/>
        <w:rPr>
          <w:rFonts w:ascii="Arial" w:hAnsi="Arial" w:cs="Arial"/>
          <w:sz w:val="22"/>
          <w:szCs w:val="22"/>
        </w:rPr>
      </w:pPr>
      <w:proofErr w:type="spellStart"/>
      <w:r w:rsidRPr="00503070">
        <w:rPr>
          <w:rFonts w:ascii="Arial" w:hAnsi="Arial" w:cs="Arial"/>
          <w:sz w:val="22"/>
          <w:szCs w:val="22"/>
        </w:rPr>
        <w:t>Ayeneh</w:t>
      </w:r>
      <w:proofErr w:type="spellEnd"/>
      <w:r w:rsidRPr="00503070">
        <w:rPr>
          <w:rFonts w:ascii="Arial" w:hAnsi="Arial" w:cs="Arial"/>
          <w:sz w:val="22"/>
          <w:szCs w:val="22"/>
        </w:rPr>
        <w:t xml:space="preserve">-Kari, ou l’art du travail du miroir, désigne l’art artisanal de la décoration des surfaces architecturales telles que les plafonds, les murs, les dômes, les colonnes et les panneaux, à l’aide de morceaux de miroirs découpés. Le processus consiste à découper et à façonner les miroirs en motifs géométriques ou en formes organiques et à les coller sur les surfaces pour créer des motifs qui reflètent la lumière et éclairent l’espace. L’art combine plusieurs savoir-faire, de la conception à la peinture et à la mosaïque, en passant par la découpe de miroirs et le plâtrage. Pour les communautés praticiennes, les miroirs et l’eau sont des symboles de pureté et d’illumination, et </w:t>
      </w:r>
      <w:proofErr w:type="spellStart"/>
      <w:r w:rsidRPr="00503070">
        <w:rPr>
          <w:rFonts w:ascii="Arial" w:hAnsi="Arial" w:cs="Arial"/>
          <w:sz w:val="22"/>
          <w:szCs w:val="22"/>
        </w:rPr>
        <w:t>Ayeneh</w:t>
      </w:r>
      <w:proofErr w:type="spellEnd"/>
      <w:r w:rsidRPr="00503070">
        <w:rPr>
          <w:rFonts w:ascii="Arial" w:hAnsi="Arial" w:cs="Arial"/>
          <w:sz w:val="22"/>
          <w:szCs w:val="22"/>
        </w:rPr>
        <w:t xml:space="preserve">-Kari incarne l’importance de la lumière et de l’illumination. </w:t>
      </w:r>
    </w:p>
    <w:p w14:paraId="63798D72" w14:textId="77777777" w:rsidR="00880037" w:rsidRPr="00503070" w:rsidRDefault="00880037" w:rsidP="001E17AF">
      <w:pPr>
        <w:keepNext/>
        <w:numPr>
          <w:ilvl w:val="0"/>
          <w:numId w:val="7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493444F3" w14:textId="77777777" w:rsidR="00880037" w:rsidRPr="00503070" w:rsidRDefault="00880037" w:rsidP="00880037">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La pratique de l’</w:t>
      </w:r>
      <w:proofErr w:type="spellStart"/>
      <w:r w:rsidRPr="00503070">
        <w:rPr>
          <w:rFonts w:ascii="Arial" w:hAnsi="Arial" w:cs="Arial"/>
          <w:sz w:val="22"/>
          <w:szCs w:val="22"/>
        </w:rPr>
        <w:t>Ayeneh</w:t>
      </w:r>
      <w:proofErr w:type="spellEnd"/>
      <w:r w:rsidRPr="00503070">
        <w:rPr>
          <w:rFonts w:ascii="Arial" w:hAnsi="Arial" w:cs="Arial"/>
          <w:sz w:val="22"/>
          <w:szCs w:val="22"/>
        </w:rPr>
        <w:t>-Kari est transmise de manière informelle, par le biais d’apprentissages et d’ateliers, et de manière formelle, par le biais d’universités, d’organisations non gouvernementales et d’instituts de formation. Dans la plupart des cas, l’</w:t>
      </w:r>
      <w:proofErr w:type="spellStart"/>
      <w:r w:rsidRPr="00503070">
        <w:rPr>
          <w:rFonts w:ascii="Arial" w:hAnsi="Arial" w:cs="Arial"/>
          <w:sz w:val="22"/>
          <w:szCs w:val="22"/>
        </w:rPr>
        <w:t>Ayeneh</w:t>
      </w:r>
      <w:proofErr w:type="spellEnd"/>
      <w:r w:rsidRPr="00503070">
        <w:rPr>
          <w:rFonts w:ascii="Arial" w:hAnsi="Arial" w:cs="Arial"/>
          <w:sz w:val="22"/>
          <w:szCs w:val="22"/>
        </w:rPr>
        <w:t>-Kari est une profession transmise sur plusieurs générations, enseignée par les grands-pères, les pères et les oncles aux descendants. Les maîtres d’</w:t>
      </w:r>
      <w:proofErr w:type="spellStart"/>
      <w:r w:rsidRPr="00503070">
        <w:rPr>
          <w:rFonts w:ascii="Arial" w:hAnsi="Arial" w:cs="Arial"/>
          <w:sz w:val="22"/>
          <w:szCs w:val="22"/>
        </w:rPr>
        <w:t>Ayeneh</w:t>
      </w:r>
      <w:proofErr w:type="spellEnd"/>
      <w:r w:rsidRPr="00503070">
        <w:rPr>
          <w:rFonts w:ascii="Arial" w:hAnsi="Arial" w:cs="Arial"/>
          <w:sz w:val="22"/>
          <w:szCs w:val="22"/>
        </w:rPr>
        <w:t xml:space="preserve">-Kari occupent une position sociale très respectée, et leur art est reconnu à la fois comme une expression luxueuse et spirituelle, ornant toutes sortes d’espaces traditionnels et contemporains, des sanctuaires et sites religieux aux palais royaux et résidences </w:t>
      </w:r>
      <w:r w:rsidRPr="00503070">
        <w:rPr>
          <w:rFonts w:ascii="Arial" w:hAnsi="Arial" w:cs="Arial"/>
          <w:sz w:val="22"/>
          <w:szCs w:val="22"/>
        </w:rPr>
        <w:lastRenderedPageBreak/>
        <w:t>privées. L’</w:t>
      </w:r>
      <w:proofErr w:type="spellStart"/>
      <w:r w:rsidRPr="00503070">
        <w:rPr>
          <w:rFonts w:ascii="Arial" w:hAnsi="Arial" w:cs="Arial"/>
          <w:sz w:val="22"/>
          <w:szCs w:val="22"/>
        </w:rPr>
        <w:t>Ayeneh</w:t>
      </w:r>
      <w:proofErr w:type="spellEnd"/>
      <w:r w:rsidRPr="00503070">
        <w:rPr>
          <w:rFonts w:ascii="Arial" w:hAnsi="Arial" w:cs="Arial"/>
          <w:sz w:val="22"/>
          <w:szCs w:val="22"/>
        </w:rPr>
        <w:t>-Kari est une forme d’art inclusive, pratiquée par différents groupes et qui continue d’avoir de l’importance tant dans la restauration historique que dans la conception moderne.</w:t>
      </w:r>
    </w:p>
    <w:p w14:paraId="754605C0" w14:textId="77777777" w:rsidR="00880037" w:rsidRPr="00503070" w:rsidRDefault="00880037" w:rsidP="00880037">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L’État partie soumissionnaire démontre de manière constante la contribution de l’élément à divers aspects du développement durable, en mettant particulièrement l’accent sur la promotion </w:t>
      </w:r>
      <w:r w:rsidRPr="00503070">
        <w:rPr>
          <w:rFonts w:ascii="Arial" w:hAnsi="Arial" w:cs="Arial"/>
          <w:sz w:val="22"/>
          <w:szCs w:val="22"/>
          <w:shd w:val="clear" w:color="auto" w:fill="FFFFFF"/>
        </w:rPr>
        <w:t>de l’</w:t>
      </w:r>
      <w:r w:rsidRPr="00503070">
        <w:rPr>
          <w:rFonts w:ascii="Arial" w:hAnsi="Arial" w:cs="Arial"/>
          <w:sz w:val="22"/>
          <w:szCs w:val="22"/>
        </w:rPr>
        <w:t>égalité des genres, grâce à l’égalité d’accès et d’opportunités d’apprendre, d’enseigner et de pratiquer l’élément. Il aide également à promouvoir le développement économique inclusif, grâce à la génération de revenus par le biais d’emplois ainsi qu’à la mise en place de moyens de subsistance durables et de l’esprit d’entreprise.</w:t>
      </w:r>
    </w:p>
    <w:p w14:paraId="1A579109" w14:textId="77777777" w:rsidR="00880037" w:rsidRPr="00503070" w:rsidRDefault="00880037" w:rsidP="00880037">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 xml:space="preserve">Le dossier comprend des mesures de sauvegarde conçues afin de protéger et de promouvoir l’élément, notamment la création d’une campagne en ligne pour présenter l’élément ; la collecte de fonds et de bourses pour les maîtres de l’art ; l’enseignement formel des connaissances et des compétences liées à </w:t>
      </w:r>
      <w:proofErr w:type="spellStart"/>
      <w:r w:rsidRPr="00503070">
        <w:rPr>
          <w:rFonts w:ascii="Arial" w:hAnsi="Arial" w:cs="Arial"/>
          <w:sz w:val="22"/>
          <w:szCs w:val="22"/>
          <w:shd w:val="clear" w:color="auto" w:fill="FFFFFF"/>
        </w:rPr>
        <w:t>Ayeneh</w:t>
      </w:r>
      <w:proofErr w:type="spellEnd"/>
      <w:r w:rsidRPr="00503070">
        <w:rPr>
          <w:rFonts w:ascii="Arial" w:hAnsi="Arial" w:cs="Arial"/>
          <w:sz w:val="22"/>
          <w:szCs w:val="22"/>
          <w:shd w:val="clear" w:color="auto" w:fill="FFFFFF"/>
        </w:rPr>
        <w:t>-Kari par le biais de cours d’art et d’architecture dans les universités et les académies ; l’organisation d’ateliers, de cours, de concours, de festivals, de conférences et d’expositions ; et la production de programmes et de contenus dédiés à l’élément sur les chaînes de télévision et les stations de radio publiques et privées, les sites web et les plateformes de réseaux sociaux. La participation active des communautés, des organisations non gouvernementales, des institutions universitaires et des médias témoigne d’un engagement multipartite. Le dossier indique que l’État apporte un soutien substantiel à la mise en œuvre des plans de sauvegarde.</w:t>
      </w:r>
    </w:p>
    <w:p w14:paraId="2C63CA88" w14:textId="77777777" w:rsidR="00880037" w:rsidRPr="00503070" w:rsidRDefault="00880037" w:rsidP="00880037">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r>
      <w:r w:rsidRPr="00503070">
        <w:rPr>
          <w:rFonts w:ascii="Arial" w:hAnsi="Arial" w:cs="Arial"/>
          <w:sz w:val="22"/>
          <w:szCs w:val="22"/>
          <w:shd w:val="clear" w:color="auto" w:fill="FFFFFF"/>
        </w:rPr>
        <w:t>L’État partie soumissionnaire a démontré la participation de la communauté au processus de candidature, notamment des maîtres praticiens (hommes et femmes), des organisations non gouvernementales, des universitaires et des organisations culturelles locales de diverses régions d’Iran. Un groupe de travail composé d’experts du patrimoine culturel immatériel, de détenteurs et de praticiens du patrimoine de l’</w:t>
      </w:r>
      <w:proofErr w:type="spellStart"/>
      <w:r w:rsidRPr="00503070">
        <w:rPr>
          <w:rFonts w:ascii="Arial" w:hAnsi="Arial" w:cs="Arial"/>
          <w:sz w:val="22"/>
          <w:szCs w:val="22"/>
          <w:shd w:val="clear" w:color="auto" w:fill="FFFFFF"/>
        </w:rPr>
        <w:t>Ayeneh</w:t>
      </w:r>
      <w:proofErr w:type="spellEnd"/>
      <w:r w:rsidRPr="00503070">
        <w:rPr>
          <w:rFonts w:ascii="Arial" w:hAnsi="Arial" w:cs="Arial"/>
          <w:sz w:val="22"/>
          <w:szCs w:val="22"/>
          <w:shd w:val="clear" w:color="auto" w:fill="FFFFFF"/>
        </w:rPr>
        <w:t>-Kari, de professeurs d’art de l’</w:t>
      </w:r>
      <w:proofErr w:type="spellStart"/>
      <w:r w:rsidRPr="00503070">
        <w:rPr>
          <w:rFonts w:ascii="Arial" w:hAnsi="Arial" w:cs="Arial"/>
          <w:sz w:val="22"/>
          <w:szCs w:val="22"/>
          <w:shd w:val="clear" w:color="auto" w:fill="FFFFFF"/>
        </w:rPr>
        <w:t>Ayeneh</w:t>
      </w:r>
      <w:proofErr w:type="spellEnd"/>
      <w:r w:rsidRPr="00503070">
        <w:rPr>
          <w:rFonts w:ascii="Arial" w:hAnsi="Arial" w:cs="Arial"/>
          <w:sz w:val="22"/>
          <w:szCs w:val="22"/>
          <w:shd w:val="clear" w:color="auto" w:fill="FFFFFF"/>
        </w:rPr>
        <w:t>-Kari, de restaurateurs et d’architectes a été constitué pour préparer le dossier de candidature en organisant des réunions et des sessions avec le comité afin de finaliser les formulaires, les photographies et les vidéos. Le consentement préalable a été obtenu en temps opportun grâce à une pétition signée par les praticiens en 2023.</w:t>
      </w:r>
    </w:p>
    <w:p w14:paraId="0B5D8918" w14:textId="77777777" w:rsidR="00880037" w:rsidRPr="00503070" w:rsidRDefault="00880037" w:rsidP="00880037">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national du patrimoine culturel immatériel de l’Iran en 2017. Cet inventaire est tenu par la Direction du patrimoine culturel du Ministère du patrimoine culturel, du tourisme et de l’artisanat, et est mis à jour tous les ans, en ajoutant de nouveaux éléments et en révisant les informations existantes, en partenariat avec les communautés, les groupes et les individus.</w:t>
      </w:r>
    </w:p>
    <w:p w14:paraId="1E610E59" w14:textId="77777777" w:rsidR="00880037" w:rsidRPr="00503070" w:rsidRDefault="00880037" w:rsidP="001E17AF">
      <w:pPr>
        <w:numPr>
          <w:ilvl w:val="0"/>
          <w:numId w:val="7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Ayeneh</w:t>
      </w:r>
      <w:proofErr w:type="spellEnd"/>
      <w:r w:rsidRPr="00503070">
        <w:rPr>
          <w:rFonts w:ascii="Arial" w:hAnsi="Arial" w:cs="Arial"/>
          <w:b/>
          <w:sz w:val="22"/>
          <w:szCs w:val="22"/>
        </w:rPr>
        <w:t>-Kari, l’art du travail du miroir dans l’architecture persane</w:t>
      </w:r>
      <w:r w:rsidRPr="00503070">
        <w:rPr>
          <w:rFonts w:ascii="Arial" w:hAnsi="Arial" w:cs="Arial"/>
          <w:sz w:val="22"/>
          <w:szCs w:val="22"/>
        </w:rPr>
        <w:t xml:space="preserve"> sur la Liste représentative du patrimoine culturel immatériel de l’humanité ;</w:t>
      </w:r>
    </w:p>
    <w:p w14:paraId="0C7041C1" w14:textId="77777777" w:rsidR="00880037" w:rsidRPr="00503070" w:rsidRDefault="00880037" w:rsidP="001E17AF">
      <w:pPr>
        <w:numPr>
          <w:ilvl w:val="0"/>
          <w:numId w:val="7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avoir reconnu les maîtres qui ont participé au processus de candidature en incluant leurs noms dans le dossier de candidature.</w:t>
      </w:r>
    </w:p>
    <w:p w14:paraId="1CEFA718" w14:textId="77777777" w:rsidR="00C7599B" w:rsidRPr="00503070" w:rsidRDefault="00C7599B" w:rsidP="00C7599B">
      <w:pPr>
        <w:tabs>
          <w:tab w:val="left" w:pos="1701"/>
          <w:tab w:val="left" w:pos="2268"/>
        </w:tabs>
        <w:spacing w:before="120" w:after="120"/>
        <w:jc w:val="both"/>
        <w:rPr>
          <w:rFonts w:ascii="Arial" w:hAnsi="Arial" w:cs="Arial"/>
          <w:bCs/>
          <w:sz w:val="22"/>
          <w:szCs w:val="22"/>
        </w:rPr>
      </w:pPr>
    </w:p>
    <w:p w14:paraId="37965262" w14:textId="77777777" w:rsidR="00446163" w:rsidRPr="00503070" w:rsidRDefault="00446163" w:rsidP="00446163">
      <w:pPr>
        <w:pStyle w:val="Heading1"/>
        <w:rPr>
          <w:bCs/>
        </w:rPr>
      </w:pPr>
      <w:r w:rsidRPr="00503070">
        <w:t>DÉCISION 20.COM 7.b.26</w:t>
      </w:r>
    </w:p>
    <w:p w14:paraId="1CE33E9D"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4E5CBAD" w14:textId="77777777" w:rsidR="00446163" w:rsidRPr="00503070" w:rsidRDefault="00446163" w:rsidP="001E17AF">
      <w:pPr>
        <w:numPr>
          <w:ilvl w:val="0"/>
          <w:numId w:val="7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l’Iraq a proposé la candidature de </w:t>
      </w:r>
      <w:r w:rsidRPr="00503070">
        <w:rPr>
          <w:rFonts w:ascii="Arial" w:hAnsi="Arial" w:cs="Arial"/>
          <w:b/>
          <w:sz w:val="22"/>
          <w:szCs w:val="22"/>
        </w:rPr>
        <w:t>Al-</w:t>
      </w:r>
      <w:proofErr w:type="spellStart"/>
      <w:r w:rsidRPr="00503070">
        <w:rPr>
          <w:rFonts w:ascii="Arial" w:hAnsi="Arial" w:cs="Arial"/>
          <w:b/>
          <w:sz w:val="22"/>
          <w:szCs w:val="22"/>
        </w:rPr>
        <w:t>Muhaibis</w:t>
      </w:r>
      <w:proofErr w:type="spellEnd"/>
      <w:r w:rsidRPr="00503070">
        <w:rPr>
          <w:rFonts w:ascii="Arial" w:hAnsi="Arial" w:cs="Arial"/>
          <w:b/>
          <w:sz w:val="22"/>
          <w:szCs w:val="22"/>
        </w:rPr>
        <w:t> : pratiques sociales et traditions associées</w:t>
      </w:r>
      <w:r w:rsidRPr="00503070">
        <w:rPr>
          <w:rFonts w:ascii="Arial" w:hAnsi="Arial" w:cs="Arial"/>
          <w:sz w:val="22"/>
          <w:szCs w:val="22"/>
        </w:rPr>
        <w:t xml:space="preserve"> (n° 02244) pour inscription sur la Liste représentative du patrimoine culturel immatériel de l’humanité :</w:t>
      </w:r>
    </w:p>
    <w:p w14:paraId="0EC37FFF"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Al-</w:t>
      </w:r>
      <w:proofErr w:type="spellStart"/>
      <w:r w:rsidRPr="00503070">
        <w:rPr>
          <w:rFonts w:ascii="Arial" w:hAnsi="Arial" w:cs="Arial"/>
          <w:sz w:val="22"/>
          <w:szCs w:val="22"/>
        </w:rPr>
        <w:t>Muhaibis</w:t>
      </w:r>
      <w:proofErr w:type="spellEnd"/>
      <w:r w:rsidRPr="00503070">
        <w:rPr>
          <w:rFonts w:ascii="Arial" w:hAnsi="Arial" w:cs="Arial"/>
          <w:sz w:val="22"/>
          <w:szCs w:val="22"/>
        </w:rPr>
        <w:t xml:space="preserve"> est un jeu populaire qui met à l’épreuve la perspicacité et l’intelligence des joueurs. Il est généralement joué pendant le mois de Ramadan, après les prières de </w:t>
      </w:r>
      <w:proofErr w:type="spellStart"/>
      <w:r w:rsidRPr="00503070">
        <w:rPr>
          <w:rFonts w:ascii="Arial" w:hAnsi="Arial" w:cs="Arial"/>
          <w:sz w:val="22"/>
          <w:szCs w:val="22"/>
        </w:rPr>
        <w:t>Tarawih</w:t>
      </w:r>
      <w:proofErr w:type="spellEnd"/>
      <w:r w:rsidRPr="00503070">
        <w:rPr>
          <w:rFonts w:ascii="Arial" w:hAnsi="Arial" w:cs="Arial"/>
          <w:sz w:val="22"/>
          <w:szCs w:val="22"/>
        </w:rPr>
        <w:t xml:space="preserve">. Le jeu implique deux équipes assises l’une en face de l’autre. Un tirage au sort détermine l’équipe </w:t>
      </w:r>
      <w:r w:rsidRPr="00503070">
        <w:rPr>
          <w:rFonts w:ascii="Arial" w:hAnsi="Arial" w:cs="Arial"/>
          <w:sz w:val="22"/>
          <w:szCs w:val="22"/>
        </w:rPr>
        <w:lastRenderedPageBreak/>
        <w:t xml:space="preserve">qui commence. Le capitaine de la première équipe cache un anneau dans la main d’un des membres de l’équipe, et l’équipe adverse doit trouver l’anneau par élimination. Si l’équipe adverse trouve l’anneau, elle gagne un point. Si l’équipe désigne incorrectement le porteur de l’anneau, elle perd un point et l’autre équipe gagne le point. Le jeu se poursuit jusqu’à ce que l’une des équipes atteigne le nombre de points convenu à l’avance. Le jeu est accompagné de chansons, de chants et d’encouragements enthousiastes. </w:t>
      </w:r>
    </w:p>
    <w:p w14:paraId="7D120C6F" w14:textId="77777777" w:rsidR="00446163" w:rsidRPr="00503070" w:rsidRDefault="00446163" w:rsidP="001E17AF">
      <w:pPr>
        <w:keepNext/>
        <w:numPr>
          <w:ilvl w:val="0"/>
          <w:numId w:val="7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874045F"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 jeu est officiellement transmis par le biais de championnats annuels organisés par le comité central d’Al-</w:t>
      </w:r>
      <w:proofErr w:type="spellStart"/>
      <w:r w:rsidRPr="00503070">
        <w:rPr>
          <w:rFonts w:ascii="Arial" w:hAnsi="Arial" w:cs="Arial"/>
          <w:sz w:val="22"/>
          <w:szCs w:val="22"/>
        </w:rPr>
        <w:t>Muhaibis</w:t>
      </w:r>
      <w:proofErr w:type="spellEnd"/>
      <w:r w:rsidRPr="00503070">
        <w:rPr>
          <w:rFonts w:ascii="Arial" w:hAnsi="Arial" w:cs="Arial"/>
          <w:sz w:val="22"/>
          <w:szCs w:val="22"/>
        </w:rPr>
        <w:t>, avec une large participation de la communauté ainsi qu’une couverture médiatique. De manière informelle, la pratique est transmise au sein des familles, les enfants apprenant en jouant à la maison ou en assistant à des compétitions. Bien que des personnes de tous les genres participent, les femmes se joignent généralement aux célébrations dans le cadre de réunions familiales ou en encourageant les équipes lors des compétitions. Ce jeu renforce les liens sociaux et constitue un élément important de l’identité culturelle, en particulier pendant le Ramadan.</w:t>
      </w:r>
    </w:p>
    <w:p w14:paraId="55D888B4"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shd w:val="clear" w:color="auto" w:fill="FFFFFF"/>
        </w:rPr>
      </w:pPr>
      <w:r w:rsidRPr="00503070">
        <w:rPr>
          <w:rFonts w:ascii="Arial" w:hAnsi="Arial" w:cs="Arial"/>
          <w:sz w:val="22"/>
          <w:szCs w:val="22"/>
        </w:rPr>
        <w:t>R.2 :</w:t>
      </w:r>
      <w:r w:rsidRPr="00503070">
        <w:rPr>
          <w:rFonts w:ascii="Arial" w:hAnsi="Arial" w:cs="Arial"/>
          <w:sz w:val="22"/>
          <w:szCs w:val="22"/>
        </w:rPr>
        <w:tab/>
      </w:r>
      <w:r w:rsidRPr="00503070">
        <w:rPr>
          <w:rFonts w:ascii="Arial" w:hAnsi="Arial" w:cs="Arial"/>
          <w:sz w:val="22"/>
          <w:szCs w:val="22"/>
          <w:shd w:val="clear" w:color="auto" w:fill="FFFFFF"/>
        </w:rPr>
        <w:t xml:space="preserve">L’État partie a démontré que l’inscription de l’élément contribuerait à la fois à assurer la visibilité et la sensibilisation à l’importance du patrimoine culturel immatériel, et encouragerait en outre le dialogue en l’exposant au monde, en faisant mieux connaître son importance culturelle et sociale, ainsi qu’en reflétant la diversité culturelle dans le monde entier. </w:t>
      </w:r>
      <w:r w:rsidRPr="00503070">
        <w:rPr>
          <w:rFonts w:ascii="Arial" w:hAnsi="Arial" w:cs="Arial"/>
          <w:sz w:val="22"/>
          <w:szCs w:val="22"/>
        </w:rPr>
        <w:t>Cet élément contribue à divers aspects du développement durable, en insistant notamment sur la promotion de la paix et de la cohésion sociale</w:t>
      </w:r>
      <w:r w:rsidRPr="00503070">
        <w:rPr>
          <w:rFonts w:ascii="Arial" w:hAnsi="Arial" w:cs="Arial"/>
          <w:sz w:val="22"/>
          <w:szCs w:val="22"/>
          <w:shd w:val="clear" w:color="auto" w:fill="FFFFFF"/>
        </w:rPr>
        <w:t xml:space="preserve"> grâce à la </w:t>
      </w:r>
      <w:r w:rsidRPr="00503070">
        <w:rPr>
          <w:rFonts w:ascii="Arial" w:hAnsi="Arial" w:cs="Arial"/>
          <w:sz w:val="22"/>
          <w:szCs w:val="22"/>
        </w:rPr>
        <w:t xml:space="preserve">participation étendue de personnes diverses, y compris de différents groupes religieux et ethniques, dans une atmosphère pleine d’amour, de fraternité et de joie. </w:t>
      </w:r>
      <w:r w:rsidRPr="00503070">
        <w:rPr>
          <w:rFonts w:ascii="Arial" w:hAnsi="Arial" w:cs="Arial"/>
          <w:sz w:val="22"/>
          <w:szCs w:val="22"/>
          <w:shd w:val="clear" w:color="auto" w:fill="FFFFFF"/>
        </w:rPr>
        <w:t>Le dossier de candidature offre une base contextuelle (en particulier en ce qui concerne la cohésion sociale et l’unité post-conflit).</w:t>
      </w:r>
    </w:p>
    <w:p w14:paraId="6F013336"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Le dossier de candidature fournit une description convaincante des efforts de sauvegarde passés, présents et futurs, avec une collaboration active entre l’État et les communautés concernées. Le dossier reflète une approche proactive qui tient compte de l’évolution des besoins en matière de transmission culturelle et d’engagement du public. L’État partie a mis en place un ensemble de mesures de sauvegarde, notamment :</w:t>
      </w:r>
      <w:r w:rsidRPr="00503070">
        <w:rPr>
          <w:rFonts w:ascii="Arial" w:hAnsi="Arial" w:cs="Arial"/>
          <w:sz w:val="22"/>
          <w:szCs w:val="22"/>
        </w:rPr>
        <w:t xml:space="preserve"> </w:t>
      </w:r>
      <w:r w:rsidRPr="00503070">
        <w:rPr>
          <w:rFonts w:ascii="Arial" w:hAnsi="Arial" w:cs="Arial"/>
          <w:sz w:val="22"/>
          <w:szCs w:val="22"/>
          <w:shd w:val="clear" w:color="auto" w:fill="FFFFFF"/>
        </w:rPr>
        <w:t>la création du Comité central du jeu traditionnel d’Al-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xml:space="preserve"> ; l’organisation de deux championnats d’Al-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xml:space="preserve"> par an ; l’utilisation d’un logo spécifique à l’Al-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xml:space="preserve"> dans la correspondance officielle ; la création de la page des notables irakiens et de la page de la Fédération irakienne du jeu d’Al-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 la promotion du jeu sur les réseaux sociaux ; l’organisation du championnat de coexistence pacifique du jeu 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xml:space="preserve"> ; la participation des Al-</w:t>
      </w:r>
      <w:proofErr w:type="spellStart"/>
      <w:r w:rsidRPr="00503070">
        <w:rPr>
          <w:rFonts w:ascii="Arial" w:hAnsi="Arial" w:cs="Arial"/>
          <w:sz w:val="22"/>
          <w:szCs w:val="22"/>
          <w:shd w:val="clear" w:color="auto" w:fill="FFFFFF"/>
        </w:rPr>
        <w:t>Muhaibis</w:t>
      </w:r>
      <w:proofErr w:type="spellEnd"/>
      <w:r w:rsidRPr="00503070">
        <w:rPr>
          <w:rFonts w:ascii="Arial" w:hAnsi="Arial" w:cs="Arial"/>
          <w:sz w:val="22"/>
          <w:szCs w:val="22"/>
          <w:shd w:val="clear" w:color="auto" w:fill="FFFFFF"/>
        </w:rPr>
        <w:t xml:space="preserve"> au vingt-cinquième championnat du Golfe ; et la publication d’encyclopédies culturelles par les palais de la culture et des arts répartis dans tous les gouvernorats irakiens, documentant le jeu.</w:t>
      </w:r>
    </w:p>
    <w:p w14:paraId="1C1685F2"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shd w:val="clear" w:color="auto" w:fill="FFFFFF"/>
        </w:rPr>
      </w:pPr>
      <w:r w:rsidRPr="00503070">
        <w:rPr>
          <w:rFonts w:ascii="Arial" w:hAnsi="Arial" w:cs="Arial"/>
          <w:sz w:val="22"/>
          <w:szCs w:val="22"/>
        </w:rPr>
        <w:t>R.4 :</w:t>
      </w:r>
      <w:r w:rsidRPr="00503070">
        <w:rPr>
          <w:rFonts w:ascii="Arial" w:hAnsi="Arial" w:cs="Arial"/>
          <w:sz w:val="22"/>
          <w:szCs w:val="22"/>
        </w:rPr>
        <w:tab/>
      </w:r>
      <w:r w:rsidRPr="00503070">
        <w:rPr>
          <w:rFonts w:ascii="Arial" w:hAnsi="Arial" w:cs="Arial"/>
          <w:sz w:val="22"/>
          <w:szCs w:val="22"/>
          <w:shd w:val="clear" w:color="auto" w:fill="FFFFFF"/>
        </w:rPr>
        <w:t xml:space="preserve">L’État partie soumissionnaire a démontré la participation de la communauté à toutes les étapes du processus de candidature, en commençant par la rédaction du formulaire d’inventaire après que l’équipe de nomination du </w:t>
      </w:r>
      <w:proofErr w:type="gramStart"/>
      <w:r w:rsidRPr="00503070">
        <w:rPr>
          <w:rFonts w:ascii="Arial" w:hAnsi="Arial" w:cs="Arial"/>
          <w:sz w:val="22"/>
          <w:szCs w:val="22"/>
          <w:shd w:val="clear" w:color="auto" w:fill="FFFFFF"/>
        </w:rPr>
        <w:t>Ministère de la culture</w:t>
      </w:r>
      <w:proofErr w:type="gramEnd"/>
      <w:r w:rsidRPr="00503070">
        <w:rPr>
          <w:rFonts w:ascii="Arial" w:hAnsi="Arial" w:cs="Arial"/>
          <w:sz w:val="22"/>
          <w:szCs w:val="22"/>
          <w:shd w:val="clear" w:color="auto" w:fill="FFFFFF"/>
        </w:rPr>
        <w:t>, du tourisme et des antiquités ait rencontré le Comité central en 2023, interrogeant les praticiens, y compris les arbitres, les joueurs et les capitaines. Il est confirmé que le consentement libre, préalable et éclairé a été obtenu.</w:t>
      </w:r>
    </w:p>
    <w:p w14:paraId="271D5AF9"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shd w:val="clear" w:color="auto" w:fill="FFFFFF"/>
        </w:rPr>
        <w:t>R.5 :</w:t>
      </w:r>
      <w:r w:rsidRPr="00503070">
        <w:rPr>
          <w:rFonts w:ascii="Arial" w:hAnsi="Arial" w:cs="Arial"/>
          <w:sz w:val="22"/>
          <w:szCs w:val="22"/>
          <w:shd w:val="clear" w:color="auto" w:fill="FFFFFF"/>
        </w:rPr>
        <w:tab/>
      </w:r>
      <w:r w:rsidRPr="00503070">
        <w:rPr>
          <w:rFonts w:ascii="Arial" w:hAnsi="Arial" w:cs="Arial"/>
          <w:sz w:val="22"/>
          <w:szCs w:val="22"/>
        </w:rPr>
        <w:t xml:space="preserve">L’élément a été inscrit sur la liste nationale du patrimoine culturel immatériel de la République d’Irak en 2014. Cet inventaire est tenu par le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du tourisme et des antiquités et la Direction des relations culturelles - Centre national du patrimoine culturel immatériel, et est mis à jour tous les ans. Les communautés, les groupes et les organisations non gouvernementales participent activement aux processus d’inventaire et de mise à jour.</w:t>
      </w:r>
    </w:p>
    <w:p w14:paraId="2C37D5EE" w14:textId="77777777" w:rsidR="00446163" w:rsidRPr="00503070" w:rsidRDefault="00446163" w:rsidP="001E17AF">
      <w:pPr>
        <w:numPr>
          <w:ilvl w:val="0"/>
          <w:numId w:val="7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Décide d’inscrire</w:t>
      </w:r>
      <w:r w:rsidRPr="00503070">
        <w:rPr>
          <w:rFonts w:ascii="Arial" w:hAnsi="Arial" w:cs="Arial"/>
          <w:sz w:val="22"/>
          <w:szCs w:val="22"/>
        </w:rPr>
        <w:t xml:space="preserve"> </w:t>
      </w:r>
      <w:r w:rsidRPr="00503070">
        <w:rPr>
          <w:rFonts w:ascii="Arial" w:hAnsi="Arial" w:cs="Arial"/>
          <w:b/>
          <w:sz w:val="22"/>
          <w:szCs w:val="22"/>
        </w:rPr>
        <w:t>Al-</w:t>
      </w:r>
      <w:proofErr w:type="spellStart"/>
      <w:r w:rsidRPr="00503070">
        <w:rPr>
          <w:rFonts w:ascii="Arial" w:hAnsi="Arial" w:cs="Arial"/>
          <w:b/>
          <w:sz w:val="22"/>
          <w:szCs w:val="22"/>
        </w:rPr>
        <w:t>Muhaibis</w:t>
      </w:r>
      <w:proofErr w:type="spellEnd"/>
      <w:r w:rsidRPr="00503070">
        <w:rPr>
          <w:rFonts w:ascii="Arial" w:hAnsi="Arial" w:cs="Arial"/>
          <w:b/>
          <w:sz w:val="22"/>
          <w:szCs w:val="22"/>
        </w:rPr>
        <w:t> : pratiques sociales et traditions associées</w:t>
      </w:r>
      <w:r w:rsidRPr="00503070">
        <w:rPr>
          <w:rFonts w:ascii="Arial" w:hAnsi="Arial" w:cs="Arial"/>
          <w:sz w:val="22"/>
          <w:szCs w:val="22"/>
        </w:rPr>
        <w:t xml:space="preserve"> sur la Liste représentative du patrimoine culturel immatériel de l’humanité.</w:t>
      </w:r>
    </w:p>
    <w:p w14:paraId="7516CC45" w14:textId="77777777" w:rsidR="00446163" w:rsidRPr="00503070" w:rsidRDefault="00446163" w:rsidP="00446163">
      <w:pPr>
        <w:pStyle w:val="Heading1"/>
        <w:rPr>
          <w:bCs/>
        </w:rPr>
      </w:pPr>
      <w:r w:rsidRPr="00503070">
        <w:t>DÉCISION 20.COM 7.b.27</w:t>
      </w:r>
    </w:p>
    <w:p w14:paraId="06A777D8"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1AD47D9" w14:textId="77777777" w:rsidR="00446163" w:rsidRPr="00503070" w:rsidRDefault="00446163" w:rsidP="001E17AF">
      <w:pPr>
        <w:numPr>
          <w:ilvl w:val="0"/>
          <w:numId w:val="7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l’Italie a proposé la candidature de </w:t>
      </w:r>
      <w:r w:rsidRPr="00503070">
        <w:rPr>
          <w:rFonts w:ascii="Arial" w:hAnsi="Arial" w:cs="Arial"/>
          <w:b/>
          <w:sz w:val="22"/>
          <w:szCs w:val="22"/>
        </w:rPr>
        <w:t xml:space="preserve">la cuisine italienne, entre durabilité et diversité </w:t>
      </w:r>
      <w:proofErr w:type="spellStart"/>
      <w:r w:rsidRPr="00503070">
        <w:rPr>
          <w:rFonts w:ascii="Arial" w:hAnsi="Arial" w:cs="Arial"/>
          <w:b/>
          <w:sz w:val="22"/>
          <w:szCs w:val="22"/>
        </w:rPr>
        <w:t>bioculturelle</w:t>
      </w:r>
      <w:proofErr w:type="spellEnd"/>
      <w:r w:rsidRPr="00503070">
        <w:rPr>
          <w:rFonts w:ascii="Arial" w:hAnsi="Arial" w:cs="Arial"/>
          <w:sz w:val="22"/>
          <w:szCs w:val="22"/>
        </w:rPr>
        <w:t xml:space="preserve"> (n° 02093) pour inscription sur la Liste représentative du patrimoine culturel immatériel de l’humanité :</w:t>
      </w:r>
    </w:p>
    <w:p w14:paraId="4FAA3A61"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Fusion culturelle et sociale autour des habitudes alimentaires, l’élément est associé à l’utilisation de matières premières et de techniques artisanales de préparation des aliments. Il s’agit d’une activité commune qui met l’accent sur l’intimité avec la nourriture, le respect des ingrédients et les moments partagés autour de la table. Cette pratique s’appuie sur des recettes anti-gaspillage et sur la transmission de saveurs, de savoir-faire et de souvenirs d’une génération à l’autre. C’est un moyen de se rapprocher de la famille et de la communauté, que ce soit à la maison, à l’école ou dans le cadre de festivals, de cérémonies et de rassemblements sociaux.</w:t>
      </w:r>
    </w:p>
    <w:p w14:paraId="508E8051" w14:textId="77777777" w:rsidR="00446163" w:rsidRPr="00503070" w:rsidRDefault="00446163" w:rsidP="001E17AF">
      <w:pPr>
        <w:keepNext/>
        <w:numPr>
          <w:ilvl w:val="0"/>
          <w:numId w:val="7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5DD7E8B" w14:textId="77777777" w:rsidR="00446163" w:rsidRPr="00503070" w:rsidRDefault="00446163" w:rsidP="00446163">
      <w:pPr>
        <w:tabs>
          <w:tab w:val="left" w:pos="1134"/>
          <w:tab w:val="left" w:pos="1701"/>
          <w:tab w:val="left" w:pos="2268"/>
        </w:tabs>
        <w:spacing w:before="120"/>
        <w:ind w:left="1122" w:hanging="555"/>
        <w:jc w:val="both"/>
        <w:rPr>
          <w:rFonts w:ascii="Arial" w:eastAsia="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L’État partie soumissionnaire démontre de manière constante que l’élément contribue à divers aspects du développement durable, en mettant particulièrement l’accent sur </w:t>
      </w:r>
      <w:r w:rsidRPr="00503070">
        <w:rPr>
          <w:rFonts w:ascii="Arial" w:hAnsi="Arial" w:cs="Arial"/>
          <w:sz w:val="22"/>
          <w:szCs w:val="22"/>
          <w:shd w:val="clear" w:color="auto" w:fill="FFFFFF"/>
        </w:rPr>
        <w:t xml:space="preserve">l’égalité des genres, la paix et la cohésion sociale. </w:t>
      </w:r>
      <w:r w:rsidRPr="00503070">
        <w:rPr>
          <w:rFonts w:ascii="Arial" w:hAnsi="Arial" w:cs="Arial"/>
          <w:sz w:val="22"/>
          <w:szCs w:val="22"/>
        </w:rPr>
        <w:t>En tant que pratique multigenre, avec des rôles parfaitement interchangeables, la cuisine remplit une fonction inclusive, permettant à chacun de profiter d’une expérience individuelle, collective et continue d’échange, dépassant toutes les barrières interculturelles et intergénérationnelles. Elle contribue également à la durabilité environnementale, car elle repose sur la prévention du gaspillage alimentaire et la réduction de la consommation des ressources naturelles, de la pollution et du transport des marchandises.</w:t>
      </w:r>
    </w:p>
    <w:p w14:paraId="1D4C492E"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shd w:val="clear" w:color="auto" w:fill="FFFFFF"/>
        </w:rPr>
      </w:pPr>
      <w:r w:rsidRPr="00503070">
        <w:rPr>
          <w:rFonts w:ascii="Arial" w:hAnsi="Arial" w:cs="Arial"/>
          <w:sz w:val="22"/>
          <w:szCs w:val="22"/>
        </w:rPr>
        <w:t>R.3 :</w:t>
      </w:r>
      <w:r w:rsidRPr="00503070">
        <w:rPr>
          <w:rFonts w:ascii="Arial" w:hAnsi="Arial" w:cs="Arial"/>
          <w:sz w:val="22"/>
          <w:szCs w:val="22"/>
        </w:rPr>
        <w:tab/>
      </w:r>
      <w:r w:rsidRPr="00503070">
        <w:rPr>
          <w:rFonts w:ascii="Arial" w:hAnsi="Arial" w:cs="Arial"/>
          <w:sz w:val="22"/>
          <w:szCs w:val="22"/>
          <w:shd w:val="clear" w:color="auto" w:fill="FFFFFF"/>
        </w:rPr>
        <w:t>Le dossier de candidature démontre de manière détaillée et convaincante que des mesures de sauvegarde ont été mises en place afin de protéger et de promouvoir l’élément. Le dossier de candidature témoigne en outre des efforts considérables déployés par les communautés au cours des soixante dernières années, en particulier par des organismes représentatifs clés tels que l’</w:t>
      </w:r>
      <w:proofErr w:type="spellStart"/>
      <w:r w:rsidRPr="00503070">
        <w:rPr>
          <w:rFonts w:ascii="Arial" w:hAnsi="Arial" w:cs="Arial"/>
          <w:sz w:val="22"/>
          <w:szCs w:val="22"/>
          <w:shd w:val="clear" w:color="auto" w:fill="FFFFFF"/>
        </w:rPr>
        <w:t>Accademia</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Italiana</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della</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Cucina</w:t>
      </w:r>
      <w:proofErr w:type="spellEnd"/>
      <w:r w:rsidRPr="00503070">
        <w:rPr>
          <w:rFonts w:ascii="Arial" w:hAnsi="Arial" w:cs="Arial"/>
          <w:sz w:val="22"/>
          <w:szCs w:val="22"/>
          <w:shd w:val="clear" w:color="auto" w:fill="FFFFFF"/>
        </w:rPr>
        <w:t xml:space="preserve">, la fondation Casa </w:t>
      </w:r>
      <w:proofErr w:type="spellStart"/>
      <w:r w:rsidRPr="00503070">
        <w:rPr>
          <w:rFonts w:ascii="Arial" w:hAnsi="Arial" w:cs="Arial"/>
          <w:sz w:val="22"/>
          <w:szCs w:val="22"/>
          <w:shd w:val="clear" w:color="auto" w:fill="FFFFFF"/>
        </w:rPr>
        <w:t>Artusi</w:t>
      </w:r>
      <w:proofErr w:type="spellEnd"/>
      <w:r w:rsidRPr="00503070">
        <w:rPr>
          <w:rFonts w:ascii="Arial" w:hAnsi="Arial" w:cs="Arial"/>
          <w:sz w:val="22"/>
          <w:szCs w:val="22"/>
          <w:shd w:val="clear" w:color="auto" w:fill="FFFFFF"/>
        </w:rPr>
        <w:t xml:space="preserve"> et le magazine La </w:t>
      </w:r>
      <w:proofErr w:type="spellStart"/>
      <w:r w:rsidRPr="00503070">
        <w:rPr>
          <w:rFonts w:ascii="Arial" w:hAnsi="Arial" w:cs="Arial"/>
          <w:sz w:val="22"/>
          <w:szCs w:val="22"/>
          <w:shd w:val="clear" w:color="auto" w:fill="FFFFFF"/>
        </w:rPr>
        <w:t>Cucina</w:t>
      </w:r>
      <w:proofErr w:type="spellEnd"/>
      <w:r w:rsidRPr="00503070">
        <w:rPr>
          <w:rFonts w:ascii="Arial" w:hAnsi="Arial" w:cs="Arial"/>
          <w:sz w:val="22"/>
          <w:szCs w:val="22"/>
          <w:shd w:val="clear" w:color="auto" w:fill="FFFFFF"/>
        </w:rPr>
        <w:t xml:space="preserve"> </w:t>
      </w:r>
      <w:proofErr w:type="spellStart"/>
      <w:r w:rsidRPr="00503070">
        <w:rPr>
          <w:rFonts w:ascii="Arial" w:hAnsi="Arial" w:cs="Arial"/>
          <w:sz w:val="22"/>
          <w:szCs w:val="22"/>
          <w:shd w:val="clear" w:color="auto" w:fill="FFFFFF"/>
        </w:rPr>
        <w:t>Italiana</w:t>
      </w:r>
      <w:proofErr w:type="spellEnd"/>
      <w:r w:rsidRPr="00503070">
        <w:rPr>
          <w:rFonts w:ascii="Arial" w:hAnsi="Arial" w:cs="Arial"/>
          <w:sz w:val="22"/>
          <w:szCs w:val="22"/>
          <w:shd w:val="clear" w:color="auto" w:fill="FFFFFF"/>
        </w:rPr>
        <w:t>. Il met également en lumière l’engagement actif de l’État partie, lequel se concrétise par le biais d’un soutien législatif et de mesures de politique culturelle. Les mesures de sauvegarde proposées sont diverses et bien formulées, et portent sur la transmission, la durabilité, l’inclusion ainsi que sur l’innovation. Parmi les initiatives spécifiques, on peut citer le</w:t>
      </w:r>
      <w:r w:rsidRPr="00503070">
        <w:rPr>
          <w:rFonts w:ascii="Arial" w:hAnsi="Arial" w:cs="Arial"/>
          <w:sz w:val="22"/>
          <w:szCs w:val="22"/>
        </w:rPr>
        <w:t xml:space="preserve"> </w:t>
      </w:r>
      <w:r w:rsidRPr="00503070">
        <w:rPr>
          <w:rFonts w:ascii="Arial" w:hAnsi="Arial" w:cs="Arial"/>
          <w:sz w:val="22"/>
          <w:szCs w:val="22"/>
          <w:shd w:val="clear" w:color="auto" w:fill="FFFFFF"/>
        </w:rPr>
        <w:t>projet « </w:t>
      </w:r>
      <w:proofErr w:type="spellStart"/>
      <w:r w:rsidRPr="00503070">
        <w:rPr>
          <w:rFonts w:ascii="Arial" w:hAnsi="Arial" w:cs="Arial"/>
          <w:sz w:val="22"/>
          <w:szCs w:val="22"/>
          <w:shd w:val="clear" w:color="auto" w:fill="FFFFFF"/>
        </w:rPr>
        <w:t>Manifesto</w:t>
      </w:r>
      <w:proofErr w:type="spellEnd"/>
      <w:r w:rsidRPr="00503070">
        <w:rPr>
          <w:rFonts w:ascii="Arial" w:hAnsi="Arial" w:cs="Arial"/>
          <w:sz w:val="22"/>
          <w:szCs w:val="22"/>
          <w:shd w:val="clear" w:color="auto" w:fill="FFFFFF"/>
        </w:rPr>
        <w:t> », qui vise à assurer un échange culturel mondial; le projet « </w:t>
      </w:r>
      <w:proofErr w:type="spellStart"/>
      <w:r w:rsidRPr="00503070">
        <w:rPr>
          <w:rFonts w:ascii="Arial" w:hAnsi="Arial" w:cs="Arial"/>
          <w:sz w:val="22"/>
          <w:szCs w:val="22"/>
          <w:shd w:val="clear" w:color="auto" w:fill="FFFFFF"/>
        </w:rPr>
        <w:t>Zero-waste</w:t>
      </w:r>
      <w:proofErr w:type="spellEnd"/>
      <w:r w:rsidRPr="00503070">
        <w:rPr>
          <w:rFonts w:ascii="Arial" w:hAnsi="Arial" w:cs="Arial"/>
          <w:sz w:val="22"/>
          <w:szCs w:val="22"/>
          <w:shd w:val="clear" w:color="auto" w:fill="FFFFFF"/>
        </w:rPr>
        <w:t xml:space="preserve"> living » (« </w:t>
      </w:r>
      <w:r w:rsidRPr="00503070">
        <w:rPr>
          <w:rFonts w:ascii="Arial" w:hAnsi="Arial" w:cs="Arial"/>
          <w:i/>
          <w:iCs/>
          <w:sz w:val="22"/>
          <w:szCs w:val="22"/>
          <w:shd w:val="clear" w:color="auto" w:fill="FFFFFF"/>
        </w:rPr>
        <w:t>une vie sans gaspillage</w:t>
      </w:r>
      <w:r w:rsidRPr="00503070">
        <w:rPr>
          <w:rFonts w:ascii="Arial" w:hAnsi="Arial" w:cs="Arial"/>
          <w:sz w:val="22"/>
          <w:szCs w:val="22"/>
          <w:shd w:val="clear" w:color="auto" w:fill="FFFFFF"/>
        </w:rPr>
        <w:t> »), conçu pour relier le patrimoine culinaire à la durabilité environnementale par le biais de l’éducation scolaire ; des projets intergénérationnels reliant les pratiques culinaires familiales et professionnelles ; et des initiatives visant à assurer l’inclusion entre les générations, les capacités et les cultures, affirmant le rôle de l’élément dans la promotion de la cohésion et de la créativité.</w:t>
      </w:r>
    </w:p>
    <w:p w14:paraId="12A02369" w14:textId="77777777" w:rsidR="00446163" w:rsidRPr="00503070" w:rsidRDefault="00446163" w:rsidP="00446163">
      <w:pPr>
        <w:tabs>
          <w:tab w:val="left" w:pos="1134"/>
          <w:tab w:val="left" w:pos="1701"/>
          <w:tab w:val="left" w:pos="2268"/>
        </w:tabs>
        <w:spacing w:before="120"/>
        <w:ind w:left="1122" w:hanging="555"/>
        <w:jc w:val="both"/>
        <w:rPr>
          <w:rFonts w:ascii="Arial" w:hAnsi="Arial" w:cs="Arial"/>
          <w:sz w:val="22"/>
          <w:szCs w:val="22"/>
          <w:shd w:val="clear" w:color="auto" w:fill="FFFFFF"/>
        </w:rPr>
      </w:pPr>
      <w:r w:rsidRPr="00503070">
        <w:rPr>
          <w:rFonts w:ascii="Arial" w:hAnsi="Arial" w:cs="Arial"/>
          <w:sz w:val="22"/>
          <w:szCs w:val="22"/>
          <w:shd w:val="clear" w:color="auto" w:fill="FFFFFF"/>
        </w:rPr>
        <w:t>R.4 :</w:t>
      </w:r>
      <w:r w:rsidRPr="00503070">
        <w:rPr>
          <w:rFonts w:ascii="Arial" w:hAnsi="Arial" w:cs="Arial"/>
          <w:sz w:val="22"/>
          <w:szCs w:val="22"/>
          <w:shd w:val="clear" w:color="auto" w:fill="FFFFFF"/>
        </w:rPr>
        <w:tab/>
        <w:t xml:space="preserve">La section concernée démontre clairement que la candidature de l’élément a été soumise avec une large participation des communautés, groupes et individus concernés, sur la base de leur consentement libre, préalable et éclairé. Depuis la candidature initiale en 2018, soumise pendant la pandémie de COVID-19, les communautés ont reconnu l’importance de l’élément pour assurer la cohésion sociale. En 2020, un groupe de travail composé de détenteurs et de praticiens a été créé pour définir l’élément, jouant un rôle actif dans la rédaction du dossier. La déclaration suivante, en particulier, offre un aperçu intéressant du processus de préparation du dossier de candidature : « Ils ont publié en ligne un projet de dossier dans une version ‘wiki’, c’est-à-dire une version qui peut être </w:t>
      </w:r>
      <w:r w:rsidRPr="00503070">
        <w:rPr>
          <w:rFonts w:ascii="Arial" w:hAnsi="Arial" w:cs="Arial"/>
          <w:sz w:val="22"/>
          <w:szCs w:val="22"/>
          <w:shd w:val="clear" w:color="auto" w:fill="FFFFFF"/>
        </w:rPr>
        <w:lastRenderedPageBreak/>
        <w:t>éditée et intégrée par toute personne intéressée. Ainsi, tous les praticiens de l’élément, partout en Italie et dans le monde, ont pu contribuer à la première version du dossier, qui a été élaborée collectivement, selon un mode ouvert, inclusif et transparent. »</w:t>
      </w:r>
    </w:p>
    <w:p w14:paraId="247B2161" w14:textId="77777777" w:rsidR="00446163" w:rsidRPr="00503070" w:rsidRDefault="00446163" w:rsidP="001E17AF">
      <w:pPr>
        <w:pStyle w:val="ListParagraph"/>
        <w:numPr>
          <w:ilvl w:val="0"/>
          <w:numId w:val="74"/>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aux critères suivants d’inscription sur la Liste représentative du patrimoine culturel immatériel de l’humanité :</w:t>
      </w:r>
    </w:p>
    <w:p w14:paraId="22BC3C7D" w14:textId="77777777" w:rsidR="00446163" w:rsidRPr="00503070" w:rsidRDefault="00446163" w:rsidP="00446163">
      <w:pPr>
        <w:spacing w:before="120"/>
        <w:ind w:left="1134" w:hanging="562"/>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Des personnes de tous âges et de tous genres y participent, échangeant des recettes, des suggestions et des histoires, les grands-parents transmettant souvent les recettes de plats traditionnels à leurs petits-enfants. Les connaissances et le savoir-faire associés à cet élément sont transmis de manière informelle au sein des familles, et de manière formelle dans les écoles et les universités. Outre le fait de cuisiner, les praticiens considèrent l’élément comme un moyen de prendre soin de soi et des autres, d’exprimer son amour et de redécouvrir ses racines culturelles. Il permet aux communautés de partager leur histoire et de décrire le monde qui les entoure. Il contribue également à la sauvegarde d’expressions culturelles spécifiques, telles que la langue et les gestes. Cette pratique favorise ainsi l’inclusion sociale tout en promouvant le bien-être et en offrant un canal pour l’apprentissage tout au long de la vie et entre les générations. Elle renforce en outre les liens, encourage le partage et favorise le sentiment d’appartenance.</w:t>
      </w:r>
    </w:p>
    <w:p w14:paraId="2A694E5E" w14:textId="77777777" w:rsidR="00446163" w:rsidRPr="00503070" w:rsidRDefault="00446163" w:rsidP="00446163">
      <w:pPr>
        <w:spacing w:before="120"/>
        <w:ind w:left="1134" w:hanging="562"/>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inscrit à l’inventaire national du patrimoine agroalimentaire italien (INPAI) en 2022. L’objectif de cet inventaire est d’identifier, de répertorier et de documenter les éléments culturels liés aux pratiques agroalimentaires traditionnelles italiennes que les communautés reconnaissent comme faisant partie de leur patrimoine immatériel. Cet inventaire est tenu à jour par le </w:t>
      </w:r>
      <w:proofErr w:type="gramStart"/>
      <w:r w:rsidRPr="00503070">
        <w:rPr>
          <w:rFonts w:ascii="Arial" w:hAnsi="Arial" w:cs="Arial"/>
          <w:sz w:val="22"/>
          <w:szCs w:val="22"/>
        </w:rPr>
        <w:t>Ministère des politiques</w:t>
      </w:r>
      <w:proofErr w:type="gramEnd"/>
      <w:r w:rsidRPr="00503070">
        <w:rPr>
          <w:rFonts w:ascii="Arial" w:hAnsi="Arial" w:cs="Arial"/>
          <w:sz w:val="22"/>
          <w:szCs w:val="22"/>
        </w:rPr>
        <w:t xml:space="preserve"> agricoles, alimentaires et forestières (qui, depuis octobre 2022, s’appelle </w:t>
      </w:r>
      <w:proofErr w:type="gramStart"/>
      <w:r w:rsidRPr="00503070">
        <w:rPr>
          <w:rFonts w:ascii="Arial" w:hAnsi="Arial" w:cs="Arial"/>
          <w:sz w:val="22"/>
          <w:szCs w:val="22"/>
        </w:rPr>
        <w:t>Ministère de l’agriculture</w:t>
      </w:r>
      <w:proofErr w:type="gramEnd"/>
      <w:r w:rsidRPr="00503070">
        <w:rPr>
          <w:rFonts w:ascii="Arial" w:hAnsi="Arial" w:cs="Arial"/>
          <w:sz w:val="22"/>
          <w:szCs w:val="22"/>
        </w:rPr>
        <w:t>, de la souveraineté alimentaire et de la forêt) et est mis à jour deux fois par an à la demande des communautés locales par un groupe de travail national conjoint. Les éléments nouvellement enregistrés ou mis à jour sont intégrés dans la base de données et publiés tous les deux ans.</w:t>
      </w:r>
    </w:p>
    <w:p w14:paraId="24F04684" w14:textId="77777777" w:rsidR="00446163" w:rsidRPr="00503070" w:rsidRDefault="00446163" w:rsidP="001E17AF">
      <w:pPr>
        <w:numPr>
          <w:ilvl w:val="0"/>
          <w:numId w:val="74"/>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cuisine italienne, entre durabilité et diversité </w:t>
      </w:r>
      <w:proofErr w:type="spellStart"/>
      <w:r w:rsidRPr="00503070">
        <w:rPr>
          <w:rFonts w:ascii="Arial" w:hAnsi="Arial" w:cs="Arial"/>
          <w:b/>
          <w:sz w:val="22"/>
          <w:szCs w:val="22"/>
        </w:rPr>
        <w:t>bioculturelle</w:t>
      </w:r>
      <w:proofErr w:type="spellEnd"/>
      <w:r w:rsidRPr="00503070">
        <w:rPr>
          <w:rFonts w:ascii="Arial" w:hAnsi="Arial" w:cs="Arial"/>
          <w:sz w:val="22"/>
          <w:szCs w:val="22"/>
        </w:rPr>
        <w:t xml:space="preserve"> sur la Liste représentative du patrimoine culturel immatériel de l’humanité.</w:t>
      </w:r>
    </w:p>
    <w:p w14:paraId="30CDEBAE" w14:textId="77777777" w:rsidR="00446163" w:rsidRPr="00503070" w:rsidRDefault="00446163" w:rsidP="00446163">
      <w:pPr>
        <w:pStyle w:val="Heading1"/>
        <w:rPr>
          <w:bCs/>
        </w:rPr>
      </w:pPr>
      <w:r w:rsidRPr="00503070">
        <w:t>DÉCISION 20.COM 7.b.28</w:t>
      </w:r>
    </w:p>
    <w:p w14:paraId="66D72EC0" w14:textId="77777777" w:rsidR="00446163" w:rsidRPr="00503070" w:rsidRDefault="00446163" w:rsidP="00446163">
      <w:pPr>
        <w:pStyle w:val="NoSpacing"/>
        <w:keepNext/>
        <w:spacing w:before="120" w:after="120"/>
        <w:ind w:left="567" w:hanging="567"/>
        <w:jc w:val="both"/>
        <w:rPr>
          <w:rFonts w:ascii="Arial" w:hAnsi="Arial" w:cs="Arial"/>
          <w:sz w:val="22"/>
          <w:szCs w:val="22"/>
        </w:rPr>
      </w:pPr>
      <w:r w:rsidRPr="00503070">
        <w:rPr>
          <w:rFonts w:ascii="Arial" w:hAnsi="Arial" w:cs="Arial"/>
          <w:sz w:val="22"/>
          <w:szCs w:val="22"/>
        </w:rPr>
        <w:t>Le Comité</w:t>
      </w:r>
    </w:p>
    <w:p w14:paraId="682972F5" w14:textId="77777777" w:rsidR="00446163" w:rsidRPr="00503070" w:rsidRDefault="00446163" w:rsidP="001E17AF">
      <w:pPr>
        <w:numPr>
          <w:ilvl w:val="0"/>
          <w:numId w:val="7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Jordanie a proposé la candidature de </w:t>
      </w:r>
      <w:r w:rsidRPr="00503070">
        <w:rPr>
          <w:rFonts w:ascii="Arial" w:hAnsi="Arial" w:cs="Arial"/>
          <w:b/>
          <w:sz w:val="22"/>
          <w:szCs w:val="22"/>
        </w:rPr>
        <w:t xml:space="preserve">l’arbre </w:t>
      </w:r>
      <w:proofErr w:type="spellStart"/>
      <w:r w:rsidRPr="00503070">
        <w:rPr>
          <w:rFonts w:ascii="Arial" w:hAnsi="Arial" w:cs="Arial"/>
          <w:b/>
          <w:sz w:val="22"/>
          <w:szCs w:val="22"/>
        </w:rPr>
        <w:t>Mihrass</w:t>
      </w:r>
      <w:proofErr w:type="spellEnd"/>
      <w:r w:rsidRPr="00503070">
        <w:rPr>
          <w:rFonts w:ascii="Arial" w:hAnsi="Arial" w:cs="Arial"/>
          <w:b/>
          <w:sz w:val="22"/>
          <w:szCs w:val="22"/>
        </w:rPr>
        <w:t xml:space="preserve"> : connaissances, compétences et rituels associés</w:t>
      </w:r>
      <w:r w:rsidRPr="00503070">
        <w:rPr>
          <w:rFonts w:ascii="Arial" w:hAnsi="Arial" w:cs="Arial"/>
          <w:sz w:val="22"/>
          <w:szCs w:val="22"/>
        </w:rPr>
        <w:t xml:space="preserve"> (n° 02276) pour inscription sur la Liste représentative du patrimoine culturel immatériel de l’humanité :</w:t>
      </w:r>
    </w:p>
    <w:p w14:paraId="192C20D6"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Al-</w:t>
      </w:r>
      <w:proofErr w:type="spellStart"/>
      <w:r w:rsidRPr="00503070">
        <w:rPr>
          <w:rFonts w:ascii="Arial" w:hAnsi="Arial" w:cs="Arial"/>
          <w:sz w:val="22"/>
          <w:szCs w:val="22"/>
        </w:rPr>
        <w:t>Mihrass</w:t>
      </w:r>
      <w:proofErr w:type="spellEnd"/>
      <w:r w:rsidRPr="00503070">
        <w:rPr>
          <w:rFonts w:ascii="Arial" w:hAnsi="Arial" w:cs="Arial"/>
          <w:sz w:val="22"/>
          <w:szCs w:val="22"/>
        </w:rPr>
        <w:t xml:space="preserve"> est un type d’olivier remarquable par sa taille et son âge. L’entretien de ces arbres anciens, y compris la greffe, la taille, la fertilisation et la récolte, nécessite des connaissances et des savoir-faire traditionnels qui ont été transmis de génération en génération. La récolte des olives a lieu entre octobre et début novembre. Les familles et les voisins se réunissent pour ramasser les fruits à la main et à l’aide de râteaux. La récolte s’accompagne de coutumes sociales, de chants et d’activités communes. Après la récolte, les agriculteurs et leurs familles s’occupent des arbres tout au long de l’année pour les maintenir en bonne santé. Parmi les autres praticiens figurent des exploitants de pressoirs à huile d’olive traditionnels et modernes, des artisans locaux et des artistes qui célèbrent l’arbre à travers leurs œuvres. </w:t>
      </w:r>
    </w:p>
    <w:p w14:paraId="4CF46092" w14:textId="77777777" w:rsidR="00446163" w:rsidRPr="00503070" w:rsidRDefault="00446163" w:rsidP="001E17AF">
      <w:pPr>
        <w:keepNext/>
        <w:numPr>
          <w:ilvl w:val="0"/>
          <w:numId w:val="7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5629AF08" w14:textId="77777777" w:rsidR="00446163" w:rsidRPr="00503070" w:rsidRDefault="00446163" w:rsidP="00446163">
      <w:pPr>
        <w:spacing w:before="120" w:after="120"/>
        <w:ind w:left="1134" w:hanging="562"/>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connaissances relatives à l’entretien et à l’utilisation de l’olivier sont transmises des anciens aux jeunes, souvent par le biais d’un apprentissage pratique et d’ateliers au sein </w:t>
      </w:r>
      <w:r w:rsidRPr="00503070">
        <w:rPr>
          <w:rFonts w:ascii="Arial" w:hAnsi="Arial" w:cs="Arial"/>
          <w:sz w:val="22"/>
          <w:szCs w:val="22"/>
        </w:rPr>
        <w:lastRenderedPageBreak/>
        <w:t>des communautés. Pour les communautés pratiquantes, les arbres Al-</w:t>
      </w:r>
      <w:proofErr w:type="spellStart"/>
      <w:r w:rsidRPr="00503070">
        <w:rPr>
          <w:rFonts w:ascii="Arial" w:hAnsi="Arial" w:cs="Arial"/>
          <w:sz w:val="22"/>
          <w:szCs w:val="22"/>
        </w:rPr>
        <w:t>Mihrass</w:t>
      </w:r>
      <w:proofErr w:type="spellEnd"/>
      <w:r w:rsidRPr="00503070">
        <w:rPr>
          <w:rFonts w:ascii="Arial" w:hAnsi="Arial" w:cs="Arial"/>
          <w:sz w:val="22"/>
          <w:szCs w:val="22"/>
        </w:rPr>
        <w:t xml:space="preserve"> et leur récolte sont au cœur de la vie des communautés, des économies locales et de l’identité culturelle. Les arbres, qui symbolisent la paix, la sagesse et l’éternité, servent de lieux de rassemblement pour les familles et les communautés, en particulier pendant la saison des récoltes. Ils sont également associés à des rituels tels que « l’al-</w:t>
      </w:r>
      <w:proofErr w:type="spellStart"/>
      <w:r w:rsidRPr="00503070">
        <w:rPr>
          <w:rFonts w:ascii="Arial" w:hAnsi="Arial" w:cs="Arial"/>
          <w:sz w:val="22"/>
          <w:szCs w:val="22"/>
        </w:rPr>
        <w:t>wanih</w:t>
      </w:r>
      <w:proofErr w:type="spellEnd"/>
      <w:r w:rsidRPr="00503070">
        <w:rPr>
          <w:rFonts w:ascii="Arial" w:hAnsi="Arial" w:cs="Arial"/>
          <w:sz w:val="22"/>
          <w:szCs w:val="22"/>
        </w:rPr>
        <w:t> », au cours duquel les gens se réunissent pour célébrer, partager des chants et offrir de l’huile d’olive en cadeau, la solidarité, la coopération et la cohésion sociale.</w:t>
      </w:r>
    </w:p>
    <w:p w14:paraId="182CB8A0" w14:textId="77777777" w:rsidR="00446163" w:rsidRPr="00503070" w:rsidRDefault="00446163" w:rsidP="00446163">
      <w:pPr>
        <w:spacing w:before="120" w:after="120"/>
        <w:ind w:left="1134" w:hanging="562"/>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 rôle principal dans la préservation et la protection de l’élément revient aux communautés pratiquantes. Cela est particulièrement vrai en ce qui concerne la transmission, cet élément étant pratiqué en commun par les familles au sein des communautés locales. Leurs efforts spontanés pour assurer la pérennité de l’élément sont clairement mis en évidence, ainsi que ceux déployés par l’État - dans ce cas, principalement en offrant une aide financière et organisationnelle aux premiers d’entre eux. Les mesures de sauvegarde les plus systématiques comprennent la promotion, la diffusion, les subventions aux artistes ainsi qu’aux projets associés à l’élément, les études, la recherche et la documentation. Les initiatives juridiques visant à conserver les oliviers sont également importantes dans le cadre du processus de sauvegarde.</w:t>
      </w:r>
    </w:p>
    <w:p w14:paraId="06B38920" w14:textId="77777777" w:rsidR="00446163" w:rsidRPr="00503070" w:rsidRDefault="00446163" w:rsidP="00446163">
      <w:pPr>
        <w:spacing w:before="120" w:after="120"/>
        <w:ind w:left="1134" w:hanging="562"/>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L’élément a été proposé pour inscription </w:t>
      </w:r>
      <w:proofErr w:type="gramStart"/>
      <w:r w:rsidRPr="00503070">
        <w:rPr>
          <w:rFonts w:ascii="Arial" w:hAnsi="Arial" w:cs="Arial"/>
          <w:sz w:val="22"/>
          <w:szCs w:val="22"/>
        </w:rPr>
        <w:t>suite à</w:t>
      </w:r>
      <w:proofErr w:type="gramEnd"/>
      <w:r w:rsidRPr="00503070">
        <w:rPr>
          <w:rFonts w:ascii="Arial" w:hAnsi="Arial" w:cs="Arial"/>
          <w:sz w:val="22"/>
          <w:szCs w:val="22"/>
        </w:rPr>
        <w:t xml:space="preserve"> la participation des communautés et des individus concernés, avec leur consentement libre, préalable et éclairé. Les détenteurs ont participé au processus d’inventaire et à sa mise à jour. Ils ont également participé à des réunions d’information liées au processus de nomination et ont collaboré à la production de recherches et de documentation sur l’élément, ainsi qu’à l’élaboration de mesures de sauvegarde.</w:t>
      </w:r>
    </w:p>
    <w:p w14:paraId="30A0508A" w14:textId="77777777" w:rsidR="00446163" w:rsidRPr="00503070" w:rsidRDefault="00446163" w:rsidP="00446163">
      <w:pPr>
        <w:spacing w:before="120" w:after="120"/>
        <w:ind w:left="1134" w:hanging="567"/>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la liste d’inventaire nationale du patrimoine culturel immatériel en 2013. Cette liste est gérée par la Direction du patrimoine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et mis à jour chaque année avec la pleine participation des communautés, des groupes, des individus, des experts et des organisations non gouvernementales. </w:t>
      </w:r>
    </w:p>
    <w:p w14:paraId="113E95A7" w14:textId="77777777" w:rsidR="00446163" w:rsidRPr="00503070" w:rsidRDefault="00446163" w:rsidP="001E17AF">
      <w:pPr>
        <w:pStyle w:val="ListParagraph"/>
        <w:numPr>
          <w:ilvl w:val="0"/>
          <w:numId w:val="76"/>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28FFE124"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 xml:space="preserve">Le dossier de candidature démontre clairement la contribution de l’élément à divers aspects du développement durable. Fondé sur des connaissances agricoles traditionnelles et des techniques respectueuses de l’environnement intégrées à de nombreux programmes éducatifs et activités, il garantit la production d’olives saines adaptées à la consommation fraîche, à la production d’huile et à l’utilisation dans les pratiques médicinales traditionnelles. Il contribue ainsi à la durabilité environnementale, à la sécurité alimentaire et à la santé. Pratiqué collectivement par les hommes et les femmes, il est également considéré comme la principale source de revenus de nombreuses familles. En outre, il relie les sociétés agricoles et les artisans, favorisant la paix et la solidarité. </w:t>
      </w:r>
    </w:p>
    <w:p w14:paraId="7B6CE1C4" w14:textId="77777777" w:rsidR="00446163" w:rsidRPr="00503070" w:rsidRDefault="00446163" w:rsidP="001E17AF">
      <w:pPr>
        <w:numPr>
          <w:ilvl w:val="0"/>
          <w:numId w:val="76"/>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l’arbre </w:t>
      </w:r>
      <w:proofErr w:type="spellStart"/>
      <w:r w:rsidRPr="00503070">
        <w:rPr>
          <w:rFonts w:ascii="Arial" w:hAnsi="Arial" w:cs="Arial"/>
          <w:b/>
          <w:sz w:val="22"/>
          <w:szCs w:val="22"/>
        </w:rPr>
        <w:t>Mihrass</w:t>
      </w:r>
      <w:proofErr w:type="spellEnd"/>
      <w:r w:rsidRPr="00503070">
        <w:rPr>
          <w:rFonts w:ascii="Arial" w:hAnsi="Arial" w:cs="Arial"/>
          <w:b/>
          <w:sz w:val="22"/>
          <w:szCs w:val="22"/>
        </w:rPr>
        <w:t xml:space="preserve"> : connaissances, compétences et rituels associés</w:t>
      </w:r>
      <w:r w:rsidRPr="00503070">
        <w:rPr>
          <w:rFonts w:ascii="Arial" w:hAnsi="Arial" w:cs="Arial"/>
          <w:sz w:val="22"/>
          <w:szCs w:val="22"/>
        </w:rPr>
        <w:t xml:space="preserve"> sur la Liste représentative du patrimoine culturel immatériel de l’humanité.</w:t>
      </w:r>
    </w:p>
    <w:p w14:paraId="1B1E052E" w14:textId="77777777" w:rsidR="00446163" w:rsidRPr="00503070" w:rsidRDefault="00446163" w:rsidP="00446163">
      <w:pPr>
        <w:pStyle w:val="Heading1"/>
        <w:rPr>
          <w:bCs/>
        </w:rPr>
      </w:pPr>
      <w:r w:rsidRPr="00503070">
        <w:t>DÉCISION 20.COM 7.b.29</w:t>
      </w:r>
    </w:p>
    <w:p w14:paraId="69B97B9E" w14:textId="77777777" w:rsidR="00446163" w:rsidRPr="00503070" w:rsidRDefault="00446163" w:rsidP="00446163">
      <w:pPr>
        <w:pStyle w:val="NoSpacing"/>
        <w:keepNext/>
        <w:spacing w:before="120" w:after="120"/>
        <w:ind w:left="567" w:hanging="567"/>
        <w:jc w:val="both"/>
        <w:rPr>
          <w:rFonts w:ascii="Arial" w:hAnsi="Arial" w:cs="Arial"/>
          <w:sz w:val="22"/>
          <w:szCs w:val="22"/>
        </w:rPr>
      </w:pPr>
      <w:r w:rsidRPr="00503070">
        <w:rPr>
          <w:rFonts w:ascii="Arial" w:hAnsi="Arial" w:cs="Arial"/>
          <w:sz w:val="22"/>
          <w:szCs w:val="22"/>
        </w:rPr>
        <w:t>Le Comité</w:t>
      </w:r>
    </w:p>
    <w:p w14:paraId="0BC8484C" w14:textId="77777777" w:rsidR="00446163" w:rsidRPr="00503070" w:rsidRDefault="00446163" w:rsidP="001E17AF">
      <w:pPr>
        <w:numPr>
          <w:ilvl w:val="0"/>
          <w:numId w:val="7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Koweït a proposé la candidature de </w:t>
      </w:r>
      <w:r w:rsidRPr="00503070">
        <w:rPr>
          <w:rFonts w:ascii="Arial" w:hAnsi="Arial" w:cs="Arial"/>
          <w:b/>
          <w:sz w:val="22"/>
          <w:szCs w:val="22"/>
        </w:rPr>
        <w:t xml:space="preserve">la </w:t>
      </w:r>
      <w:proofErr w:type="spellStart"/>
      <w:r w:rsidRPr="00503070">
        <w:rPr>
          <w:rFonts w:ascii="Arial" w:hAnsi="Arial" w:cs="Arial"/>
          <w:b/>
          <w:sz w:val="22"/>
          <w:szCs w:val="22"/>
        </w:rPr>
        <w:t>diwaniya</w:t>
      </w:r>
      <w:proofErr w:type="spellEnd"/>
      <w:r w:rsidRPr="00503070">
        <w:rPr>
          <w:rFonts w:ascii="Arial" w:hAnsi="Arial" w:cs="Arial"/>
          <w:b/>
          <w:sz w:val="22"/>
          <w:szCs w:val="22"/>
        </w:rPr>
        <w:t>, une pratique culturelle fédératrice au Koweït</w:t>
      </w:r>
      <w:r w:rsidRPr="00503070">
        <w:rPr>
          <w:rFonts w:ascii="Arial" w:hAnsi="Arial" w:cs="Arial"/>
          <w:sz w:val="22"/>
          <w:szCs w:val="22"/>
        </w:rPr>
        <w:t xml:space="preserve"> (n° 02281) pour inscription sur la Liste représentative du patrimoine culturel immatériel de l’humanité :</w:t>
      </w:r>
    </w:p>
    <w:p w14:paraId="1D8A54AB"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w:t>
      </w:r>
      <w:proofErr w:type="spellStart"/>
      <w:r w:rsidRPr="00503070">
        <w:rPr>
          <w:rFonts w:ascii="Arial" w:hAnsi="Arial" w:cs="Arial"/>
          <w:sz w:val="22"/>
          <w:szCs w:val="22"/>
        </w:rPr>
        <w:t>diwaniya</w:t>
      </w:r>
      <w:proofErr w:type="spellEnd"/>
      <w:r w:rsidRPr="00503070">
        <w:rPr>
          <w:rFonts w:ascii="Arial" w:hAnsi="Arial" w:cs="Arial"/>
          <w:sz w:val="22"/>
          <w:szCs w:val="22"/>
        </w:rPr>
        <w:t xml:space="preserve"> est un espace où les hommes de tous âges et de tous horizons se réunissent pour parler, échanger et partager des idées. Il peut avoir lieu dans une maison, un espace public ou même une tente, et sert de cadre essentiel aux membres de la famille, aux voisins </w:t>
      </w:r>
      <w:r w:rsidRPr="00503070">
        <w:rPr>
          <w:rFonts w:ascii="Arial" w:hAnsi="Arial" w:cs="Arial"/>
          <w:sz w:val="22"/>
          <w:szCs w:val="22"/>
        </w:rPr>
        <w:lastRenderedPageBreak/>
        <w:t xml:space="preserve">et aux amis pour discuter de sujets tels que les affaires familiales, les questions relatives aux communautés, la politique et l’actualité. Si les rassemblements peuvent être modestes, ils prennent souvent de l’ampleur lors d’occasions spéciales telles que le ramadan, les mariages, les funérailles ou les campagnes électorales. </w:t>
      </w:r>
    </w:p>
    <w:p w14:paraId="5EDEDB6B" w14:textId="77777777" w:rsidR="00446163" w:rsidRPr="00503070" w:rsidRDefault="00446163" w:rsidP="001E17AF">
      <w:pPr>
        <w:keepNext/>
        <w:numPr>
          <w:ilvl w:val="0"/>
          <w:numId w:val="7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269473A9" w14:textId="77777777" w:rsidR="00446163" w:rsidRPr="00503070" w:rsidRDefault="00446163" w:rsidP="00446163">
      <w:pPr>
        <w:pStyle w:val="Style1"/>
        <w:ind w:left="1122" w:hanging="555"/>
        <w:rPr>
          <w:lang w:val="fr-FR"/>
        </w:rPr>
      </w:pPr>
      <w:r w:rsidRPr="00503070">
        <w:rPr>
          <w:lang w:val="fr-FR"/>
        </w:rPr>
        <w:t>R.1 :</w:t>
      </w:r>
      <w:r w:rsidRPr="00503070">
        <w:rPr>
          <w:lang w:val="fr-FR"/>
        </w:rPr>
        <w:tab/>
        <w:t xml:space="preserve">Les jeunes hommes apprennent à participer aux </w:t>
      </w:r>
      <w:proofErr w:type="spellStart"/>
      <w:r w:rsidRPr="00503070">
        <w:rPr>
          <w:lang w:val="fr-FR"/>
        </w:rPr>
        <w:t>diwaniyas</w:t>
      </w:r>
      <w:proofErr w:type="spellEnd"/>
      <w:r w:rsidRPr="00503070">
        <w:rPr>
          <w:lang w:val="fr-FR"/>
        </w:rPr>
        <w:t xml:space="preserve"> en observant le déroulement des conversations, l’accueil fait aux invités et le respect accordé aux anciens. Au fil du temps, ils en apprennent les règles tacites, telles que les salutations appropriées, la disposition des sièges et les sujets de conversation. Certaines </w:t>
      </w:r>
      <w:proofErr w:type="spellStart"/>
      <w:r w:rsidRPr="00503070">
        <w:rPr>
          <w:lang w:val="fr-FR"/>
        </w:rPr>
        <w:t>diwaniyas</w:t>
      </w:r>
      <w:proofErr w:type="spellEnd"/>
      <w:r w:rsidRPr="00503070">
        <w:rPr>
          <w:lang w:val="fr-FR"/>
        </w:rPr>
        <w:t xml:space="preserve"> sont formelles, avec des vêtements et des coutumes traditionnels, tandis que d’autres sont informelles et peuvent inclure des jeux et des divertissements. Il existe également des </w:t>
      </w:r>
      <w:proofErr w:type="spellStart"/>
      <w:r w:rsidRPr="00503070">
        <w:rPr>
          <w:lang w:val="fr-FR"/>
        </w:rPr>
        <w:t>diwaniyas</w:t>
      </w:r>
      <w:proofErr w:type="spellEnd"/>
      <w:r w:rsidRPr="00503070">
        <w:rPr>
          <w:lang w:val="fr-FR"/>
        </w:rPr>
        <w:t xml:space="preserve"> spécifiques, au cours desquelles des personnes exerçant des professions similaires se réunissent pour partager leurs expériences. Bien qu’elles soient traditionnellement centrées sur les hommes, les femmes sont de plus en plus nombreuses à créer leurs propres </w:t>
      </w:r>
      <w:proofErr w:type="spellStart"/>
      <w:r w:rsidRPr="00503070">
        <w:rPr>
          <w:lang w:val="fr-FR"/>
        </w:rPr>
        <w:t>diwaniyas</w:t>
      </w:r>
      <w:proofErr w:type="spellEnd"/>
      <w:r w:rsidRPr="00503070">
        <w:rPr>
          <w:lang w:val="fr-FR"/>
        </w:rPr>
        <w:t xml:space="preserve">, établissant ainsi de nouveaux espaces de dialogue et de leadership. Symbole fort de la vie sociale et de lien, la </w:t>
      </w:r>
      <w:proofErr w:type="spellStart"/>
      <w:r w:rsidRPr="00503070">
        <w:rPr>
          <w:lang w:val="fr-FR"/>
        </w:rPr>
        <w:t>diwaniya</w:t>
      </w:r>
      <w:proofErr w:type="spellEnd"/>
      <w:r w:rsidRPr="00503070">
        <w:rPr>
          <w:lang w:val="fr-FR"/>
        </w:rPr>
        <w:t xml:space="preserve"> joue un rôle important dans la transmission des valeurs, des coutumes et des connaissances de la communauté aux jeunes générations.</w:t>
      </w:r>
    </w:p>
    <w:p w14:paraId="2825E16E"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En tant qu’espace physique et social convivial où les hommes peuvent discuter d’un large éventail de sujets tout en renforçant les liens entre eux et avec la communauté, la </w:t>
      </w:r>
      <w:proofErr w:type="spellStart"/>
      <w:r w:rsidRPr="00503070">
        <w:rPr>
          <w:lang w:val="fr-FR"/>
        </w:rPr>
        <w:t>diwaniya</w:t>
      </w:r>
      <w:proofErr w:type="spellEnd"/>
      <w:r w:rsidRPr="00503070">
        <w:rPr>
          <w:lang w:val="fr-FR"/>
        </w:rPr>
        <w:t xml:space="preserve"> joue un rôle important dans le maintien du tissu social. L’élément contribue à une éducation de qualité en enrichissant le dialogue culturel et éducatif au sein de la communauté, principalement par le biais de séminaires, de rassemblements culturels et de forums politiques, dont beaucoup sont inclusifs et ouverts au public. Bien qu’il s’agisse d’un monde traditionnellement masculin, la </w:t>
      </w:r>
      <w:proofErr w:type="spellStart"/>
      <w:r w:rsidRPr="00503070">
        <w:rPr>
          <w:lang w:val="fr-FR"/>
        </w:rPr>
        <w:t>diwaniya</w:t>
      </w:r>
      <w:proofErr w:type="spellEnd"/>
      <w:r w:rsidRPr="00503070">
        <w:rPr>
          <w:lang w:val="fr-FR"/>
        </w:rPr>
        <w:t xml:space="preserve"> est également influencée par l’évolution de la dynamique des genres et peut s’ouvrir à la participation des femmes, y compris des candidates politiques à l’Assemblée nationale. Concernant la santé, la pratique favorise le bien-être psychologique et social. L’inscription de l’élément augmenterait la visibilité du patrimoine culturel immatériel et stimulerait le dialogue interculturel. </w:t>
      </w:r>
    </w:p>
    <w:p w14:paraId="5045F3EE" w14:textId="77777777" w:rsidR="00446163" w:rsidRPr="00503070" w:rsidRDefault="00446163" w:rsidP="00446163">
      <w:pPr>
        <w:pStyle w:val="Style1"/>
        <w:ind w:left="1122" w:hanging="555"/>
        <w:rPr>
          <w:lang w:val="fr-FR"/>
        </w:rPr>
      </w:pPr>
      <w:r w:rsidRPr="00503070">
        <w:rPr>
          <w:lang w:val="fr-FR"/>
        </w:rPr>
        <w:t>R.3 :</w:t>
      </w:r>
      <w:r w:rsidRPr="00503070">
        <w:rPr>
          <w:lang w:val="fr-FR"/>
        </w:rPr>
        <w:tab/>
        <w:t xml:space="preserve">Le dossier de candidature mentionne une série de mesures de sauvegarde prises par des individus, la communauté et l’État. Celles-ci incluent notamment : (a) des ateliers visant à éduquer les enfants aux règles d’étiquette pour les réunions ; (b) des séminaires et des concours organisés par certaines </w:t>
      </w:r>
      <w:proofErr w:type="spellStart"/>
      <w:r w:rsidRPr="00503070">
        <w:rPr>
          <w:lang w:val="fr-FR"/>
        </w:rPr>
        <w:t>diwaniyas</w:t>
      </w:r>
      <w:proofErr w:type="spellEnd"/>
      <w:r w:rsidRPr="00503070">
        <w:rPr>
          <w:lang w:val="fr-FR"/>
        </w:rPr>
        <w:t xml:space="preserve"> ; (c) la diffusion par le biais de programmes radio et sur les réseaux sociaux ; et (d) la préservation des bâtiments historiques et des sites culturels en tant qu’espaces pour la tenue de </w:t>
      </w:r>
      <w:proofErr w:type="spellStart"/>
      <w:r w:rsidRPr="00503070">
        <w:rPr>
          <w:lang w:val="fr-FR"/>
        </w:rPr>
        <w:t>diwaniyas</w:t>
      </w:r>
      <w:proofErr w:type="spellEnd"/>
      <w:r w:rsidRPr="00503070">
        <w:rPr>
          <w:lang w:val="fr-FR"/>
        </w:rPr>
        <w:t>.</w:t>
      </w:r>
    </w:p>
    <w:p w14:paraId="26ABC96E" w14:textId="77777777" w:rsidR="00446163" w:rsidRPr="00503070" w:rsidRDefault="00446163" w:rsidP="00446163">
      <w:pPr>
        <w:pStyle w:val="Style1"/>
        <w:ind w:left="1122" w:hanging="555"/>
        <w:rPr>
          <w:lang w:val="fr-FR"/>
        </w:rPr>
      </w:pPr>
      <w:r w:rsidRPr="00503070">
        <w:rPr>
          <w:lang w:val="fr-FR"/>
        </w:rPr>
        <w:t>R.4 :</w:t>
      </w:r>
      <w:r w:rsidRPr="00503070">
        <w:rPr>
          <w:lang w:val="fr-FR"/>
        </w:rPr>
        <w:tab/>
        <w:t xml:space="preserve">La communauté des détenteurs a activement contribué à la candidature, assurant une représentation équilibrée des différents types de </w:t>
      </w:r>
      <w:proofErr w:type="spellStart"/>
      <w:r w:rsidRPr="00503070">
        <w:rPr>
          <w:lang w:val="fr-FR"/>
        </w:rPr>
        <w:t>diwaniyas</w:t>
      </w:r>
      <w:proofErr w:type="spellEnd"/>
      <w:r w:rsidRPr="00503070">
        <w:rPr>
          <w:lang w:val="fr-FR"/>
        </w:rPr>
        <w:t xml:space="preserve">. Le Conseil national pour la culture, les arts et les lettres a utilisé les réseaux sociaux pour solliciter leur participation au dossier de candidature, et l’Union des </w:t>
      </w:r>
      <w:proofErr w:type="spellStart"/>
      <w:r w:rsidRPr="00503070">
        <w:rPr>
          <w:lang w:val="fr-FR"/>
        </w:rPr>
        <w:t>diwaniyas</w:t>
      </w:r>
      <w:proofErr w:type="spellEnd"/>
      <w:r w:rsidRPr="00503070">
        <w:rPr>
          <w:lang w:val="fr-FR"/>
        </w:rPr>
        <w:t xml:space="preserve"> du Koweït, qui représente 650 </w:t>
      </w:r>
      <w:proofErr w:type="spellStart"/>
      <w:r w:rsidRPr="00503070">
        <w:rPr>
          <w:lang w:val="fr-FR"/>
        </w:rPr>
        <w:t>diwaniyas</w:t>
      </w:r>
      <w:proofErr w:type="spellEnd"/>
      <w:r w:rsidRPr="00503070">
        <w:rPr>
          <w:lang w:val="fr-FR"/>
        </w:rPr>
        <w:t>, a joué un rôle important dans le processus de candidature, soulignant le travail collectif entrepris pour sauvegarder l’élément. Des efforts ont été faits pour mobiliser certains experts, y compris des chercheurs indépendants et des spécialistes affiliés à des institutions académiques. La référence à de jeunes femmes architectes apportant leur point de vue constitue une démonstration précieuse de la participation des deux genres.</w:t>
      </w:r>
    </w:p>
    <w:p w14:paraId="275B3DE1" w14:textId="77777777" w:rsidR="00446163" w:rsidRPr="00503070" w:rsidRDefault="00446163" w:rsidP="00446163">
      <w:pPr>
        <w:pStyle w:val="Style1"/>
        <w:ind w:left="1122" w:hanging="555"/>
        <w:rPr>
          <w:lang w:val="fr-FR"/>
        </w:rPr>
      </w:pPr>
      <w:r w:rsidRPr="00503070">
        <w:rPr>
          <w:lang w:val="fr-FR"/>
        </w:rPr>
        <w:t>R.5 :</w:t>
      </w:r>
      <w:r w:rsidRPr="00503070">
        <w:rPr>
          <w:lang w:val="fr-FR"/>
        </w:rPr>
        <w:tab/>
        <w:t>L’élément a été inclus dans la liste d’inventaire nationale du patrimoine culturel immatériel en 2017. L’inventaire est géré et régulièrement mis à jour par le Département des antiquités et des musées, situé au musée national du Koweït, qui appartient au Conseil national de la culture, des arts et des lettres. La mise à jour de l’inventaire nécessite des recherches, des études et des entretiens avec les parties prenantes.</w:t>
      </w:r>
    </w:p>
    <w:p w14:paraId="7261AE10" w14:textId="77777777" w:rsidR="00446163" w:rsidRPr="00503070" w:rsidRDefault="00446163" w:rsidP="001E17AF">
      <w:pPr>
        <w:numPr>
          <w:ilvl w:val="0"/>
          <w:numId w:val="7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Décide d’inscrire</w:t>
      </w:r>
      <w:r w:rsidRPr="00503070">
        <w:rPr>
          <w:rFonts w:ascii="Arial" w:hAnsi="Arial" w:cs="Arial"/>
          <w:sz w:val="22"/>
          <w:szCs w:val="22"/>
        </w:rPr>
        <w:t xml:space="preserve"> </w:t>
      </w:r>
      <w:r w:rsidRPr="00503070">
        <w:rPr>
          <w:rFonts w:ascii="Arial" w:hAnsi="Arial" w:cs="Arial"/>
          <w:b/>
          <w:sz w:val="22"/>
          <w:szCs w:val="22"/>
        </w:rPr>
        <w:t xml:space="preserve">la </w:t>
      </w:r>
      <w:proofErr w:type="spellStart"/>
      <w:r w:rsidRPr="00503070">
        <w:rPr>
          <w:rFonts w:ascii="Arial" w:hAnsi="Arial" w:cs="Arial"/>
          <w:b/>
          <w:sz w:val="22"/>
          <w:szCs w:val="22"/>
        </w:rPr>
        <w:t>diwaniya</w:t>
      </w:r>
      <w:proofErr w:type="spellEnd"/>
      <w:r w:rsidRPr="00503070">
        <w:rPr>
          <w:rFonts w:ascii="Arial" w:hAnsi="Arial" w:cs="Arial"/>
          <w:b/>
          <w:sz w:val="22"/>
          <w:szCs w:val="22"/>
        </w:rPr>
        <w:t>, une pratique culturelle fédératrice au Koweït</w:t>
      </w:r>
      <w:r w:rsidRPr="00503070">
        <w:rPr>
          <w:rFonts w:ascii="Arial" w:hAnsi="Arial" w:cs="Arial"/>
          <w:sz w:val="22"/>
          <w:szCs w:val="22"/>
        </w:rPr>
        <w:t xml:space="preserve"> sur la Liste représentative du patrimoine culturel immatériel de l’humanité.</w:t>
      </w:r>
    </w:p>
    <w:p w14:paraId="285F8709" w14:textId="77777777" w:rsidR="00446163" w:rsidRPr="00503070" w:rsidRDefault="00446163" w:rsidP="00446163">
      <w:pPr>
        <w:pStyle w:val="Heading1"/>
        <w:rPr>
          <w:bCs/>
        </w:rPr>
      </w:pPr>
      <w:r w:rsidRPr="00503070">
        <w:t>DÉCISION 20.COM 7.b.30</w:t>
      </w:r>
    </w:p>
    <w:p w14:paraId="73CC3B69" w14:textId="77777777" w:rsidR="00446163" w:rsidRPr="00503070" w:rsidRDefault="00446163" w:rsidP="00446163">
      <w:pPr>
        <w:pStyle w:val="NoSpacing"/>
        <w:keepNext/>
        <w:spacing w:before="120" w:after="120"/>
        <w:ind w:left="567" w:hanging="567"/>
        <w:jc w:val="both"/>
        <w:rPr>
          <w:rFonts w:ascii="Arial" w:hAnsi="Arial" w:cs="Arial"/>
          <w:sz w:val="22"/>
          <w:szCs w:val="22"/>
        </w:rPr>
      </w:pPr>
      <w:r w:rsidRPr="00503070">
        <w:rPr>
          <w:rFonts w:ascii="Arial" w:hAnsi="Arial" w:cs="Arial"/>
          <w:sz w:val="22"/>
          <w:szCs w:val="22"/>
        </w:rPr>
        <w:t>Le Comité</w:t>
      </w:r>
    </w:p>
    <w:p w14:paraId="7D100E7F" w14:textId="77777777" w:rsidR="00446163" w:rsidRPr="00503070" w:rsidRDefault="00446163" w:rsidP="001E17AF">
      <w:pPr>
        <w:numPr>
          <w:ilvl w:val="0"/>
          <w:numId w:val="7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Kirghizistan a proposé la candidature des</w:t>
      </w:r>
      <w:r w:rsidRPr="00503070">
        <w:rPr>
          <w:rFonts w:ascii="Arial" w:hAnsi="Arial" w:cs="Arial"/>
          <w:b/>
          <w:sz w:val="22"/>
          <w:szCs w:val="22"/>
        </w:rPr>
        <w:t xml:space="preserve"> connaissances traditionnelles et contextes culturels de la fabrication du </w:t>
      </w:r>
      <w:proofErr w:type="spellStart"/>
      <w:r w:rsidRPr="00503070">
        <w:rPr>
          <w:rFonts w:ascii="Arial" w:hAnsi="Arial" w:cs="Arial"/>
          <w:b/>
          <w:sz w:val="22"/>
          <w:szCs w:val="22"/>
        </w:rPr>
        <w:t>maksym</w:t>
      </w:r>
      <w:proofErr w:type="spellEnd"/>
      <w:r w:rsidRPr="00503070">
        <w:rPr>
          <w:rFonts w:ascii="Arial" w:hAnsi="Arial" w:cs="Arial"/>
          <w:b/>
          <w:sz w:val="22"/>
          <w:szCs w:val="22"/>
        </w:rPr>
        <w:t>, une boisson traditionnelle kirghize</w:t>
      </w:r>
      <w:r w:rsidRPr="00503070">
        <w:rPr>
          <w:rFonts w:ascii="Arial" w:hAnsi="Arial" w:cs="Arial"/>
          <w:sz w:val="22"/>
          <w:szCs w:val="22"/>
        </w:rPr>
        <w:t xml:space="preserve"> (n° 02123) pour inscription sur la Liste représentative du patrimoine culturel immatériel de l’humanité :</w:t>
      </w:r>
    </w:p>
    <w:p w14:paraId="6C0918F1"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maksym</w:t>
      </w:r>
      <w:proofErr w:type="spellEnd"/>
      <w:r w:rsidRPr="00503070">
        <w:rPr>
          <w:rFonts w:ascii="Arial" w:hAnsi="Arial" w:cs="Arial"/>
          <w:sz w:val="22"/>
          <w:szCs w:val="22"/>
        </w:rPr>
        <w:t xml:space="preserve"> est une boisson fermentée épaisse, souvent consommée au sein des communautés locales au Kirghizistan et appréciée pour ses qualités nutritives. Le processus de préparation consiste à faire griller de la farine (généralement de blé, d’orge ou de maïs) dans de la graisse de mouton, à la mélanger avec de l’eau et du sel, puis à la laisser fermenter pendant plusieurs heures à l’aide de cultures naturelles. Bien que les femmes préparent traditionnellement le </w:t>
      </w:r>
      <w:proofErr w:type="spellStart"/>
      <w:r w:rsidRPr="00503070">
        <w:rPr>
          <w:rFonts w:ascii="Arial" w:hAnsi="Arial" w:cs="Arial"/>
          <w:sz w:val="22"/>
          <w:szCs w:val="22"/>
        </w:rPr>
        <w:t>maksym</w:t>
      </w:r>
      <w:proofErr w:type="spellEnd"/>
      <w:r w:rsidRPr="00503070">
        <w:rPr>
          <w:rFonts w:ascii="Arial" w:hAnsi="Arial" w:cs="Arial"/>
          <w:sz w:val="22"/>
          <w:szCs w:val="22"/>
        </w:rPr>
        <w:t xml:space="preserve"> et que les hommes rassemblent les ingrédients, ces rôles sont flexibles et varient d’un foyer à l’autre. Les variations régionales reflètent les climats et les ingrédients locaux.</w:t>
      </w:r>
    </w:p>
    <w:p w14:paraId="340ECAAA" w14:textId="77777777" w:rsidR="00446163" w:rsidRPr="00503070" w:rsidRDefault="00446163" w:rsidP="001E17AF">
      <w:pPr>
        <w:keepNext/>
        <w:numPr>
          <w:ilvl w:val="0"/>
          <w:numId w:val="7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681B200" w14:textId="77777777" w:rsidR="00446163" w:rsidRPr="00503070" w:rsidRDefault="00446163" w:rsidP="00446163">
      <w:pPr>
        <w:pStyle w:val="Style1"/>
        <w:ind w:left="1122" w:hanging="555"/>
        <w:rPr>
          <w:lang w:val="fr-FR"/>
        </w:rPr>
      </w:pPr>
      <w:r w:rsidRPr="00503070">
        <w:rPr>
          <w:lang w:val="fr-FR"/>
        </w:rPr>
        <w:t>R.1 :</w:t>
      </w:r>
      <w:r w:rsidRPr="00503070">
        <w:rPr>
          <w:lang w:val="fr-FR"/>
        </w:rPr>
        <w:tab/>
        <w:t xml:space="preserve">Les connaissances et les savoir-faire associés sont transmis au sein des familles, notamment par les femmes âgées. Ils peuvent également être acquis par le biais de préparations de groupe, ou encore lors de festivals et d’événements communautaires dans les zones rurales et les villes. Le </w:t>
      </w:r>
      <w:proofErr w:type="spellStart"/>
      <w:r w:rsidRPr="00503070">
        <w:rPr>
          <w:lang w:val="fr-FR"/>
        </w:rPr>
        <w:t>maksym</w:t>
      </w:r>
      <w:proofErr w:type="spellEnd"/>
      <w:r w:rsidRPr="00503070">
        <w:rPr>
          <w:lang w:val="fr-FR"/>
        </w:rPr>
        <w:t xml:space="preserve"> est également enseigné au sein d’écoles professionnelles et promu par le biais de livres, de blogs et de films. Des organisations, des universitaires et des détenteurs de savoirs traditionnels collaborent à la sauvegarde et à la promotion de cette pratique. Le </w:t>
      </w:r>
      <w:proofErr w:type="spellStart"/>
      <w:r w:rsidRPr="00503070">
        <w:rPr>
          <w:lang w:val="fr-FR"/>
        </w:rPr>
        <w:t>maksym</w:t>
      </w:r>
      <w:proofErr w:type="spellEnd"/>
      <w:r w:rsidRPr="00503070">
        <w:rPr>
          <w:lang w:val="fr-FR"/>
        </w:rPr>
        <w:t xml:space="preserve"> est apprécié par des personnes de tous âges, de toutes origines et de toutes régions. Il joue un rôle précieux en rassemblant les gens et en exprimant à la fois l’attention et l’hospitalité. Les cultures utilisées pour la fermentation ont une signification symbolique, représentant la prospérité et la poursuite de la tradition. Une bénédiction commune exprimée lors de sa préparation, « Que la culture ne vous manque jamais », témoigne de sa profonde importance et de son rôle unificateur dans la société.</w:t>
      </w:r>
    </w:p>
    <w:p w14:paraId="28968677"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Profondément ancré dans la vie quotidienne, cet élément reflète un lien étroit entre la communauté et l’environnement naturel, et contribue à divers aspects du développement durable. La production de </w:t>
      </w:r>
      <w:proofErr w:type="spellStart"/>
      <w:r w:rsidRPr="00503070">
        <w:rPr>
          <w:lang w:val="fr-FR"/>
        </w:rPr>
        <w:t>maksym</w:t>
      </w:r>
      <w:proofErr w:type="spellEnd"/>
      <w:r w:rsidRPr="00503070">
        <w:rPr>
          <w:lang w:val="fr-FR"/>
        </w:rPr>
        <w:t xml:space="preserve"> est écologiquement durable, utilisant des ingrédients biologiques et respectant les écosystèmes locaux. Les connaissances traditionnelles associées à cet élément contribuent à la sécurité alimentaire ainsi qu’à la santé, en particulier dans les communautés rurales et nomades, qui ont un accès limité aux systèmes de soins de santé conventionnels. L’existence de microentreprises dirigées par des femmes et axées sur la commercialisation du </w:t>
      </w:r>
      <w:proofErr w:type="spellStart"/>
      <w:r w:rsidRPr="00503070">
        <w:rPr>
          <w:lang w:val="fr-FR"/>
        </w:rPr>
        <w:t>maksym</w:t>
      </w:r>
      <w:proofErr w:type="spellEnd"/>
      <w:r w:rsidRPr="00503070">
        <w:rPr>
          <w:lang w:val="fr-FR"/>
        </w:rPr>
        <w:t xml:space="preserve"> témoigne de sa contribution à l’économie familiale et à l’autonomie des femmes, favorisant l’égalité des genres et le développement économique inclusif. L’inscription de l’élément pourrait stimuler la protection des systèmes de connaissance locaux, en particulier ceux liés aux pratiques agricoles.</w:t>
      </w:r>
    </w:p>
    <w:p w14:paraId="31B13C41" w14:textId="77777777" w:rsidR="00446163" w:rsidRPr="00503070" w:rsidRDefault="00446163" w:rsidP="00446163">
      <w:pPr>
        <w:pStyle w:val="Style1"/>
        <w:ind w:left="1122" w:hanging="555"/>
        <w:rPr>
          <w:lang w:val="fr-FR"/>
        </w:rPr>
      </w:pPr>
      <w:r w:rsidRPr="00503070">
        <w:rPr>
          <w:lang w:val="fr-FR"/>
        </w:rPr>
        <w:t>R.3 :</w:t>
      </w:r>
      <w:r w:rsidRPr="00503070">
        <w:rPr>
          <w:lang w:val="fr-FR"/>
        </w:rPr>
        <w:tab/>
        <w:t>Le plan de sauvegarde a été élaboré par un groupe de travail composé de plusieurs parties prenantes. Ce plan vise à élargir l’inclusion de l’élément dans les programmes éducatifs au niveau national et à promouvoir la transmission de connaissances innovantes par le biais d’ateliers, de démonstrations et d’outils numériques. Il concerne les domaines suivants : (a) l’identification, la documentation et la recherche ; (b) la sauvegarde (y compris la prévention d’une commercialisation excessive) ; et (c) la promotion. Les communautés jouent un rôle crucial dans la sauvegarde des méthodes de préparation traditionnelles et de l’importance culturelle de l’élément.</w:t>
      </w:r>
    </w:p>
    <w:p w14:paraId="776145DA" w14:textId="77777777" w:rsidR="00446163" w:rsidRPr="00503070" w:rsidRDefault="00446163" w:rsidP="00446163">
      <w:pPr>
        <w:pStyle w:val="Style1"/>
        <w:ind w:left="1122" w:hanging="555"/>
        <w:rPr>
          <w:lang w:val="fr-FR"/>
        </w:rPr>
      </w:pPr>
      <w:r w:rsidRPr="00503070">
        <w:rPr>
          <w:lang w:val="fr-FR"/>
        </w:rPr>
        <w:lastRenderedPageBreak/>
        <w:t>R.4 :</w:t>
      </w:r>
      <w:r w:rsidRPr="00503070">
        <w:rPr>
          <w:lang w:val="fr-FR"/>
        </w:rPr>
        <w:tab/>
        <w:t xml:space="preserve">Lancé par un groupe de praticiens lors de l’atelier sur le patrimoine culturel immatériel en 2018, le processus de candidature s’est fondé sur un processus large et inclusif, impliquant l’engagement actif de praticiens locaux, de femmes, de chercheurs universitaires, d’organisations non gouvernementales et d’organismes gouvernementaux. Depuis 2019, ce groupe travaille en étroite collaboration avec le Comité national du patrimoine culturel immatériel pour préparer la candidature et compiler des vidéos, des manuscrits, des photographies et d’autres informations relatives à l’élément. Des réunions, des tables rondes et des activités de recherche et de documentation ont ainsi été organisées. Des communautés de sept provinces du pays ont participé aux discussions tout au long de ce processus. Des plateformes numériques telles que WhatsApp et </w:t>
      </w:r>
      <w:proofErr w:type="spellStart"/>
      <w:r w:rsidRPr="00503070">
        <w:rPr>
          <w:lang w:val="fr-FR"/>
        </w:rPr>
        <w:t>Telegram</w:t>
      </w:r>
      <w:proofErr w:type="spellEnd"/>
      <w:r w:rsidRPr="00503070">
        <w:rPr>
          <w:lang w:val="fr-FR"/>
        </w:rPr>
        <w:t xml:space="preserve"> ont été utilisées pour surmonter les obstacles logistiques et garantir ainsi une large participation au processus.</w:t>
      </w:r>
    </w:p>
    <w:p w14:paraId="69C1BDE5" w14:textId="77777777" w:rsidR="00446163" w:rsidRPr="00503070" w:rsidRDefault="00446163" w:rsidP="00446163">
      <w:pPr>
        <w:pStyle w:val="Style1"/>
        <w:ind w:left="1122" w:hanging="555"/>
        <w:rPr>
          <w:lang w:val="fr-FR"/>
        </w:rPr>
      </w:pPr>
      <w:r w:rsidRPr="00503070">
        <w:rPr>
          <w:lang w:val="fr-FR"/>
        </w:rPr>
        <w:t>R.5 :</w:t>
      </w:r>
      <w:r w:rsidRPr="00503070">
        <w:rPr>
          <w:lang w:val="fr-FR"/>
        </w:rPr>
        <w:tab/>
        <w:t xml:space="preserve">L’élément a été inclus dans l’inventaire national des éléments du patrimoine culturel immatériel de la République kirghize en 2008. Cet inventaire est géré par le </w:t>
      </w:r>
      <w:proofErr w:type="gramStart"/>
      <w:r w:rsidRPr="00503070">
        <w:rPr>
          <w:lang w:val="fr-FR"/>
        </w:rPr>
        <w:t>Ministère de la culture</w:t>
      </w:r>
      <w:proofErr w:type="gramEnd"/>
      <w:r w:rsidRPr="00503070">
        <w:rPr>
          <w:lang w:val="fr-FR"/>
        </w:rPr>
        <w:t>, de l’information, des sports et de la politique de la jeunesse de la République kirghize et est mis à jour tous les trois ans, sur la base des informations reçues des communautés, des experts, des organisations non gouvernementales et d’autres groupes.</w:t>
      </w:r>
    </w:p>
    <w:p w14:paraId="489EE437" w14:textId="77777777" w:rsidR="00446163" w:rsidRPr="00503070" w:rsidRDefault="00446163" w:rsidP="001E17AF">
      <w:pPr>
        <w:numPr>
          <w:ilvl w:val="0"/>
          <w:numId w:val="78"/>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les connaissances traditionnelles et contextes culturels de la fabrication du </w:t>
      </w:r>
      <w:proofErr w:type="spellStart"/>
      <w:r w:rsidRPr="00503070">
        <w:rPr>
          <w:rFonts w:ascii="Arial" w:hAnsi="Arial" w:cs="Arial"/>
          <w:b/>
          <w:sz w:val="22"/>
          <w:szCs w:val="22"/>
        </w:rPr>
        <w:t>maksym</w:t>
      </w:r>
      <w:proofErr w:type="spellEnd"/>
      <w:r w:rsidRPr="00503070">
        <w:rPr>
          <w:rFonts w:ascii="Arial" w:hAnsi="Arial" w:cs="Arial"/>
          <w:b/>
          <w:sz w:val="22"/>
          <w:szCs w:val="22"/>
        </w:rPr>
        <w:t>, une boisson traditionnelle kirghize</w:t>
      </w:r>
      <w:r w:rsidRPr="00503070">
        <w:rPr>
          <w:rFonts w:ascii="Arial" w:hAnsi="Arial" w:cs="Arial"/>
          <w:sz w:val="22"/>
          <w:szCs w:val="22"/>
        </w:rPr>
        <w:t xml:space="preserve"> sur la Liste représentative du patrimoine culturel immatériel de l’humanité ;</w:t>
      </w:r>
    </w:p>
    <w:p w14:paraId="12A5ECA6" w14:textId="77777777" w:rsidR="00446163" w:rsidRPr="00503070" w:rsidRDefault="00446163" w:rsidP="001E17AF">
      <w:pPr>
        <w:numPr>
          <w:ilvl w:val="0"/>
          <w:numId w:val="78"/>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son utilisation créative et efficace des médias numériques afin de préparer et de compiler la documentation requise pour la candidature.</w:t>
      </w:r>
    </w:p>
    <w:p w14:paraId="0274478B" w14:textId="77777777" w:rsidR="00446163" w:rsidRPr="00503070" w:rsidRDefault="00446163" w:rsidP="00446163">
      <w:pPr>
        <w:pStyle w:val="Heading1"/>
        <w:rPr>
          <w:bCs/>
        </w:rPr>
      </w:pPr>
      <w:r w:rsidRPr="00503070">
        <w:t>DÉCISION 20.COM 7.b.31</w:t>
      </w:r>
    </w:p>
    <w:p w14:paraId="41E94B8E" w14:textId="77777777" w:rsidR="00446163" w:rsidRPr="00503070" w:rsidRDefault="00446163" w:rsidP="00446163">
      <w:pPr>
        <w:pStyle w:val="NoSpacing"/>
        <w:keepNext/>
        <w:spacing w:before="120" w:after="120"/>
        <w:ind w:left="567" w:hanging="567"/>
        <w:jc w:val="both"/>
        <w:rPr>
          <w:rFonts w:ascii="Arial" w:hAnsi="Arial" w:cs="Arial"/>
          <w:sz w:val="22"/>
          <w:szCs w:val="22"/>
        </w:rPr>
      </w:pPr>
      <w:r w:rsidRPr="00503070">
        <w:rPr>
          <w:rFonts w:ascii="Arial" w:hAnsi="Arial" w:cs="Arial"/>
          <w:sz w:val="22"/>
          <w:szCs w:val="22"/>
        </w:rPr>
        <w:t>Le Comité</w:t>
      </w:r>
    </w:p>
    <w:p w14:paraId="2E0458F0" w14:textId="77777777" w:rsidR="00446163" w:rsidRPr="00503070" w:rsidRDefault="00446163" w:rsidP="001E17AF">
      <w:pPr>
        <w:numPr>
          <w:ilvl w:val="0"/>
          <w:numId w:val="79"/>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Madagascar a proposé la candidature de </w:t>
      </w:r>
      <w:proofErr w:type="spellStart"/>
      <w:r w:rsidRPr="00503070">
        <w:rPr>
          <w:rFonts w:ascii="Arial" w:hAnsi="Arial" w:cs="Arial"/>
          <w:b/>
          <w:sz w:val="22"/>
          <w:szCs w:val="22"/>
        </w:rPr>
        <w:t>Tsapiky</w:t>
      </w:r>
      <w:proofErr w:type="spellEnd"/>
      <w:r w:rsidRPr="00503070">
        <w:rPr>
          <w:rFonts w:ascii="Arial" w:hAnsi="Arial" w:cs="Arial"/>
          <w:b/>
          <w:sz w:val="22"/>
          <w:szCs w:val="22"/>
        </w:rPr>
        <w:t>, rythme et style musical caractéristique de la région Sud-ouest de Madagascar</w:t>
      </w:r>
      <w:r w:rsidRPr="00503070">
        <w:rPr>
          <w:rFonts w:ascii="Arial" w:hAnsi="Arial" w:cs="Arial"/>
          <w:sz w:val="22"/>
          <w:szCs w:val="22"/>
        </w:rPr>
        <w:t xml:space="preserve"> (n° 02272) pour inscription sur la Liste représentative du patrimoine culturel immatériel de l’humanité :</w:t>
      </w:r>
    </w:p>
    <w:p w14:paraId="77D4AB34"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tsapiky</w:t>
      </w:r>
      <w:proofErr w:type="spellEnd"/>
      <w:r w:rsidRPr="00503070">
        <w:rPr>
          <w:rFonts w:ascii="Arial" w:hAnsi="Arial" w:cs="Arial"/>
          <w:sz w:val="22"/>
          <w:szCs w:val="22"/>
        </w:rPr>
        <w:t xml:space="preserve"> est un genre musical rapide qui combine des sons modernes et traditionnels et qui est profondément ancré dans la vie sociale des habitants du sud-ouest de Madagascar. On y trouve des guitares électriques, des tambours, des accordéons et des instruments locaux tels que le « </w:t>
      </w:r>
      <w:proofErr w:type="spellStart"/>
      <w:r w:rsidRPr="00503070">
        <w:rPr>
          <w:rFonts w:ascii="Arial" w:hAnsi="Arial" w:cs="Arial"/>
          <w:sz w:val="22"/>
          <w:szCs w:val="22"/>
        </w:rPr>
        <w:t>kabosy</w:t>
      </w:r>
      <w:proofErr w:type="spellEnd"/>
      <w:r w:rsidRPr="00503070">
        <w:rPr>
          <w:rFonts w:ascii="Arial" w:hAnsi="Arial" w:cs="Arial"/>
          <w:sz w:val="22"/>
          <w:szCs w:val="22"/>
        </w:rPr>
        <w:t> » (petite guitare) et le « </w:t>
      </w:r>
      <w:proofErr w:type="spellStart"/>
      <w:r w:rsidRPr="00503070">
        <w:rPr>
          <w:rFonts w:ascii="Arial" w:hAnsi="Arial" w:cs="Arial"/>
          <w:sz w:val="22"/>
          <w:szCs w:val="22"/>
        </w:rPr>
        <w:t>marovany</w:t>
      </w:r>
      <w:proofErr w:type="spellEnd"/>
      <w:r w:rsidRPr="00503070">
        <w:rPr>
          <w:rFonts w:ascii="Arial" w:hAnsi="Arial" w:cs="Arial"/>
          <w:sz w:val="22"/>
          <w:szCs w:val="22"/>
        </w:rPr>
        <w:t xml:space="preserve"> » (instrument à cordes). D’abord instrumental, il a évolué au fil du temps pour inclure des paroles traitant de la vie quotidienne, de l’amour, de questions sociales, ainsi que des danses traditionnelles. Le </w:t>
      </w:r>
      <w:proofErr w:type="spellStart"/>
      <w:r w:rsidRPr="00503070">
        <w:rPr>
          <w:rFonts w:ascii="Arial" w:hAnsi="Arial" w:cs="Arial"/>
          <w:sz w:val="22"/>
          <w:szCs w:val="22"/>
        </w:rPr>
        <w:t>tsapiky</w:t>
      </w:r>
      <w:proofErr w:type="spellEnd"/>
      <w:r w:rsidRPr="00503070">
        <w:rPr>
          <w:rFonts w:ascii="Arial" w:hAnsi="Arial" w:cs="Arial"/>
          <w:sz w:val="22"/>
          <w:szCs w:val="22"/>
        </w:rPr>
        <w:t xml:space="preserve"> joue un rôle central dans la vie de la communauté, puisqu’il est exécuté lors de presque tous les événements sociaux et rituels, y compris les mariages, les funérailles, les festivals et les cérémonies. </w:t>
      </w:r>
    </w:p>
    <w:p w14:paraId="34B8D6B0" w14:textId="77777777" w:rsidR="00446163" w:rsidRPr="00503070" w:rsidRDefault="00446163" w:rsidP="001E17AF">
      <w:pPr>
        <w:keepNext/>
        <w:numPr>
          <w:ilvl w:val="0"/>
          <w:numId w:val="79"/>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210EDE3" w14:textId="77777777" w:rsidR="00446163" w:rsidRPr="00503070" w:rsidRDefault="00446163" w:rsidP="00446163">
      <w:pPr>
        <w:pStyle w:val="Style1"/>
        <w:tabs>
          <w:tab w:val="left" w:pos="720"/>
        </w:tabs>
        <w:ind w:left="1122" w:hanging="555"/>
        <w:rPr>
          <w:lang w:val="fr-FR"/>
        </w:rPr>
      </w:pPr>
      <w:r w:rsidRPr="00503070">
        <w:rPr>
          <w:lang w:val="fr-FR"/>
        </w:rPr>
        <w:t>R.1 :</w:t>
      </w:r>
      <w:r w:rsidRPr="00503070">
        <w:rPr>
          <w:lang w:val="fr-FR"/>
        </w:rPr>
        <w:tab/>
        <w:t xml:space="preserve">La pratique se transmet de manière informelle au sein des familles, des groupes de quartier ou des orchestres amateurs et professionnels. Les jeunes musiciens apprennent en écoutant, en observant et en pratiquant avec des joueurs expérimentés. De nombreux orchestres </w:t>
      </w:r>
      <w:proofErr w:type="spellStart"/>
      <w:r w:rsidRPr="00503070">
        <w:rPr>
          <w:lang w:val="fr-FR"/>
        </w:rPr>
        <w:t>tsapiky</w:t>
      </w:r>
      <w:proofErr w:type="spellEnd"/>
      <w:r w:rsidRPr="00503070">
        <w:rPr>
          <w:lang w:val="fr-FR"/>
        </w:rPr>
        <w:t xml:space="preserve"> incluent des chanteurs, des musiciens et des danseurs, dont certains enregistrent des albums et partent en tournée. Les artistes plus âgés et les associations contribuent également à la promotion ainsi qu’à la préservation de la tradition. Le </w:t>
      </w:r>
      <w:proofErr w:type="spellStart"/>
      <w:r w:rsidRPr="00503070">
        <w:rPr>
          <w:lang w:val="fr-FR"/>
        </w:rPr>
        <w:t>tsapiky</w:t>
      </w:r>
      <w:proofErr w:type="spellEnd"/>
      <w:r w:rsidRPr="00503070">
        <w:rPr>
          <w:lang w:val="fr-FR"/>
        </w:rPr>
        <w:t xml:space="preserve"> favorise l’expression émotionnelle, les liens au sein de la communauté et l’unité sociale. Pour beaucoup, la musique </w:t>
      </w:r>
      <w:proofErr w:type="gramStart"/>
      <w:r w:rsidRPr="00503070">
        <w:rPr>
          <w:lang w:val="fr-FR"/>
        </w:rPr>
        <w:t>a</w:t>
      </w:r>
      <w:proofErr w:type="gramEnd"/>
      <w:r w:rsidRPr="00503070">
        <w:rPr>
          <w:lang w:val="fr-FR"/>
        </w:rPr>
        <w:t xml:space="preserve"> un rôle curatif, le rythme et la danse très énergiques pouvant conduire à des états de transe qui aident à évacuer le stress et soulager les douleurs physiques. Pour les communautés qui le pratiquent, le </w:t>
      </w:r>
      <w:proofErr w:type="spellStart"/>
      <w:r w:rsidRPr="00503070">
        <w:rPr>
          <w:lang w:val="fr-FR"/>
        </w:rPr>
        <w:t>tsapiky</w:t>
      </w:r>
      <w:proofErr w:type="spellEnd"/>
      <w:r w:rsidRPr="00503070">
        <w:rPr>
          <w:lang w:val="fr-FR"/>
        </w:rPr>
        <w:t xml:space="preserve"> favorise un sentiment d’appartenance et de continuité, et contribue à leur vie sociale ainsi qu’à leur </w:t>
      </w:r>
      <w:r w:rsidRPr="00503070">
        <w:rPr>
          <w:lang w:val="fr-FR"/>
        </w:rPr>
        <w:lastRenderedPageBreak/>
        <w:t>résilience. Il rassemble les gens, soutient l’identité culturelle et favorise les liens intergénérationnels.</w:t>
      </w:r>
    </w:p>
    <w:p w14:paraId="4E82F009"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Les événements festifs et culturels au cours desquels le </w:t>
      </w:r>
      <w:proofErr w:type="spellStart"/>
      <w:r w:rsidRPr="00503070">
        <w:rPr>
          <w:lang w:val="fr-FR"/>
        </w:rPr>
        <w:t>tsapiky</w:t>
      </w:r>
      <w:proofErr w:type="spellEnd"/>
      <w:r w:rsidRPr="00503070">
        <w:rPr>
          <w:lang w:val="fr-FR"/>
        </w:rPr>
        <w:t xml:space="preserve"> est joué génèrent des revenus non seulement pour les musiciens, les chanteurs et les danseurs, mais aussi pour d’autres membres des communautés locales, qui profitent de ces occasions pour vendre des produits de l’artisanat et fournir des services aux touristes. Ces événements favorisent également les liens sociaux et renforcent le sentiment d’appartenance à une communauté. Plus largement, il contribue à la réconciliation nationale en encourageant le respect mutuel entre les différentes communautés et en promouvant le dialogue par la musique et la danse. Enfin, l’élément favorise l’égalité des genres car, bien qu’il ait été créé et popularisé par des hommes, il est aujourd’hui promu et diffusé par les deux genres, et les femmes ont tendance à se spécialiser dans la danse et le chant.</w:t>
      </w:r>
    </w:p>
    <w:p w14:paraId="103F698E" w14:textId="77777777" w:rsidR="00446163" w:rsidRPr="00503070" w:rsidRDefault="00446163" w:rsidP="00446163">
      <w:pPr>
        <w:pStyle w:val="Style1"/>
        <w:ind w:left="1122" w:hanging="555"/>
        <w:rPr>
          <w:lang w:val="fr-FR"/>
        </w:rPr>
      </w:pPr>
      <w:r w:rsidRPr="00503070">
        <w:rPr>
          <w:lang w:val="fr-FR"/>
        </w:rPr>
        <w:t>R.3 :</w:t>
      </w:r>
      <w:r w:rsidRPr="00503070">
        <w:rPr>
          <w:lang w:val="fr-FR"/>
        </w:rPr>
        <w:tab/>
        <w:t>Les mesures de sauvegarde proposées reflètent la collaboration entre les communautés de détenteurs et les organismes gouvernementaux. Elles sont regroupées en quatre domaines : (a) l’inventaire et la documentation, grâce à la collaboration permanente de la communauté pour maintenir à jour les informations sur l’élément ; (b) l’éducation et la transmission, qui sont déjà assurées par des canaux informels et qu’il est maintenant prévu d’intégrer dans le système d’éducation formel ; (c) la création d’un centre de communication et de culture pour promouvoir le patrimoine culturel local ; et (d) la promotion et la valorisation, combinées avec l’évitement de toute forme de dénaturalisation de l’élément.</w:t>
      </w:r>
    </w:p>
    <w:p w14:paraId="6BC12FB8" w14:textId="77777777" w:rsidR="00446163" w:rsidRPr="00503070" w:rsidRDefault="00446163" w:rsidP="00446163">
      <w:pPr>
        <w:pStyle w:val="Style1"/>
        <w:ind w:left="1122" w:hanging="555"/>
        <w:rPr>
          <w:lang w:val="fr-FR"/>
        </w:rPr>
      </w:pPr>
      <w:r w:rsidRPr="00503070">
        <w:rPr>
          <w:lang w:val="fr-FR"/>
        </w:rPr>
        <w:t>R.4 :</w:t>
      </w:r>
      <w:r w:rsidRPr="00503070">
        <w:rPr>
          <w:lang w:val="fr-FR"/>
        </w:rPr>
        <w:tab/>
        <w:t>Le processus de candidature a impliqué des artistes locaux, des autorités, des universitaires ainsi que des représentants des communautés concernées. Tous ont travaillé avec diligence pour préparer le dossier de candidature à travers différentes étapes : collecte de données, consultation et validation. Les communautés ont fourni des données historiques et ethnographiques, partagé de la documentation sur l’élément, aidé à identifier les risques auxquels celui-ci est confronté et validé les stratégies de sauvegarde. Le consentement des parties concernées est dûment inclus dans le dossier de candidature.</w:t>
      </w:r>
    </w:p>
    <w:p w14:paraId="6D509C74" w14:textId="77777777" w:rsidR="00446163" w:rsidRPr="00503070" w:rsidRDefault="00446163" w:rsidP="00446163">
      <w:pPr>
        <w:pStyle w:val="ListParagraph"/>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national du patrimoine culturel immatériel en 2024. Cet inventaire est géré par le </w:t>
      </w:r>
      <w:proofErr w:type="gramStart"/>
      <w:r w:rsidRPr="00503070">
        <w:rPr>
          <w:rFonts w:ascii="Arial" w:hAnsi="Arial" w:cs="Arial"/>
          <w:sz w:val="22"/>
          <w:szCs w:val="22"/>
        </w:rPr>
        <w:t>Ministère de la communication</w:t>
      </w:r>
      <w:proofErr w:type="gramEnd"/>
      <w:r w:rsidRPr="00503070">
        <w:rPr>
          <w:rFonts w:ascii="Arial" w:hAnsi="Arial" w:cs="Arial"/>
          <w:sz w:val="22"/>
          <w:szCs w:val="22"/>
        </w:rPr>
        <w:t xml:space="preserve"> et de la culture, et sa mise à jour est basée sur des consultations des communautés à intervalles indéfinis. </w:t>
      </w:r>
    </w:p>
    <w:p w14:paraId="488EFCA9" w14:textId="77777777" w:rsidR="00446163" w:rsidRPr="00503070" w:rsidRDefault="00446163" w:rsidP="001E17AF">
      <w:pPr>
        <w:numPr>
          <w:ilvl w:val="0"/>
          <w:numId w:val="79"/>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Tsapiky</w:t>
      </w:r>
      <w:proofErr w:type="spellEnd"/>
      <w:r w:rsidRPr="00503070">
        <w:rPr>
          <w:rFonts w:ascii="Arial" w:hAnsi="Arial" w:cs="Arial"/>
          <w:b/>
          <w:sz w:val="22"/>
          <w:szCs w:val="22"/>
        </w:rPr>
        <w:t>, rythme et style musical caractéristique de la région Sud-ouest de Madagascar</w:t>
      </w:r>
      <w:r w:rsidRPr="00503070">
        <w:rPr>
          <w:rFonts w:ascii="Arial" w:hAnsi="Arial" w:cs="Arial"/>
          <w:sz w:val="22"/>
          <w:szCs w:val="22"/>
        </w:rPr>
        <w:t xml:space="preserve"> sur la Liste représentative du patrimoine culturel immatériel de l’humanité.</w:t>
      </w:r>
    </w:p>
    <w:p w14:paraId="307FB63D" w14:textId="77777777" w:rsidR="00446163" w:rsidRPr="00503070" w:rsidRDefault="00446163" w:rsidP="00446163">
      <w:pPr>
        <w:pStyle w:val="Heading1"/>
        <w:rPr>
          <w:bCs/>
        </w:rPr>
      </w:pPr>
      <w:r w:rsidRPr="00503070">
        <w:t>DÉCISION 20.COM 7.b.32</w:t>
      </w:r>
    </w:p>
    <w:p w14:paraId="2E7F09A5"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AA1BD5B" w14:textId="77777777" w:rsidR="00446163" w:rsidRPr="00503070" w:rsidRDefault="00446163" w:rsidP="001E17AF">
      <w:pPr>
        <w:numPr>
          <w:ilvl w:val="0"/>
          <w:numId w:val="8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Mexique a proposé la candidature de </w:t>
      </w:r>
      <w:r w:rsidRPr="00503070">
        <w:rPr>
          <w:rFonts w:ascii="Arial" w:hAnsi="Arial" w:cs="Arial"/>
          <w:b/>
          <w:sz w:val="22"/>
          <w:szCs w:val="22"/>
        </w:rPr>
        <w:t xml:space="preserve">la représentation de la Passion, de la Mort et de la Résurrection du Christ à </w:t>
      </w:r>
      <w:proofErr w:type="spellStart"/>
      <w:r w:rsidRPr="00503070">
        <w:rPr>
          <w:rFonts w:ascii="Arial" w:hAnsi="Arial" w:cs="Arial"/>
          <w:b/>
          <w:sz w:val="22"/>
          <w:szCs w:val="22"/>
        </w:rPr>
        <w:t>Iztapalapa</w:t>
      </w:r>
      <w:proofErr w:type="spellEnd"/>
      <w:r w:rsidRPr="00503070">
        <w:rPr>
          <w:rFonts w:ascii="Arial" w:hAnsi="Arial" w:cs="Arial"/>
          <w:sz w:val="22"/>
          <w:szCs w:val="22"/>
        </w:rPr>
        <w:t xml:space="preserve"> (n° 02237) pour inscription sur la Liste représentative du patrimoine culturel immatériel de l’humanité :</w:t>
      </w:r>
    </w:p>
    <w:p w14:paraId="09EA31AA"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représentation de la Passion, de la Mort et de la Résurrection du Christ est une tradition des communautés qui rassemble les résidents locaux dans une expression de foi, d’identité et de culture. Elle a débuté lorsque la communauté s’est engagée à organiser une procession en remerciement d’avoir survécu à une épidémie de choléra au XIXe siècle. La représentation a évolué au fil du temps pour devenir un événement culturel important qui attire des millions de visiteurs chaque année. La célébration commence par les préparatifs des communautés en décembre, suivis de répétitions et de travaux logistiques jusqu’à la Semaine sainte catholique. </w:t>
      </w:r>
    </w:p>
    <w:p w14:paraId="788005EB" w14:textId="77777777" w:rsidR="00446163" w:rsidRPr="00503070" w:rsidRDefault="00446163" w:rsidP="001E17AF">
      <w:pPr>
        <w:keepNext/>
        <w:numPr>
          <w:ilvl w:val="0"/>
          <w:numId w:val="8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2700D4B" w14:textId="77777777" w:rsidR="00446163" w:rsidRPr="00503070" w:rsidRDefault="00446163" w:rsidP="00446163">
      <w:pPr>
        <w:pStyle w:val="Style1"/>
        <w:ind w:left="1122" w:hanging="555"/>
        <w:rPr>
          <w:lang w:val="fr-FR"/>
        </w:rPr>
      </w:pPr>
      <w:r w:rsidRPr="00503070">
        <w:rPr>
          <w:lang w:val="fr-FR"/>
        </w:rPr>
        <w:t>R.1 :</w:t>
      </w:r>
      <w:r w:rsidRPr="00503070">
        <w:rPr>
          <w:lang w:val="fr-FR"/>
        </w:rPr>
        <w:tab/>
        <w:t>Pendant la Semaine sainte, les détenteurs interprètent des passages bibliques. L’événement se termine le 3 mai par une cérémonie de bénédiction de la croix. Les habitants jouent un rôle central dans l’organisation de l’événement et y participent de diverses manières, notamment en tant qu’acteurs et animateurs ainsi qu’en contribuant aux décorations. D’autres entités locales, telles que les autorités, l’Église catholique et les commerçants, soutiennent également cette pratique. La tradition se transmet de manière formelle et informelle, notamment à travers un comité d’organisation qui facilite les échanges intergénérationnels. Au-delà de ses racines religieuses, l’élément favorise la cohésion au sein des communautés, promeut la solidarité et préserve le patrimoine culturel grâce à son lien avec les arts et l’artisanat traditionnels.</w:t>
      </w:r>
    </w:p>
    <w:p w14:paraId="7FBAD913"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L’État partie soumissionnaire démontre de manière constante que l’élément transcende la religion et constitue un symbole de vitalité culturelle, de respect et de recherche du bien commun. Il contribue à l’exercice des droits culturels et a notamment un impact positif sur la paix et la cohésion sociale, en rassemblant des personnes de différents lieux d’origine et d’appartenance religieuse pour organiser un événement inclusif, qui encourage d’autres expressions de la créativité humaine liées à l’art et à l’artisanat traditionnel, en favorisant la génération de revenus pour les producteurs. La participation des femmes est valorisée, non seulement dans la représentation elle-même, mais aussi dans la prise de décision et dans l’exécution des traditions qui y sont associées. </w:t>
      </w:r>
    </w:p>
    <w:p w14:paraId="3E269E25" w14:textId="77777777" w:rsidR="00446163" w:rsidRPr="00503070" w:rsidRDefault="00446163" w:rsidP="00446163">
      <w:pPr>
        <w:pStyle w:val="Style1"/>
        <w:ind w:left="1122" w:hanging="555"/>
        <w:rPr>
          <w:lang w:val="fr-FR"/>
        </w:rPr>
      </w:pPr>
      <w:r w:rsidRPr="00503070">
        <w:rPr>
          <w:lang w:val="fr-FR"/>
        </w:rPr>
        <w:t>R.3 :</w:t>
      </w:r>
      <w:r w:rsidRPr="00503070">
        <w:rPr>
          <w:lang w:val="fr-FR"/>
        </w:rPr>
        <w:tab/>
        <w:t>Les mesures de sauvegarde proposées s’appuient sur un cadre juridique solide et tiennent compte de l’objectif de développement et d’amélioration des conditions des sites où la représentation a lieu. Un plan de sauvegarde a été élaboré sur la base des points forts, des limites, des opportunités et des défis identifiés par la communauté. Les mesures proposées sont soutenues par trois niveaux de gouvernement et se concentrent sur les actions suivantes : (a) création d’un plan de sécurité ; (b) renforcement de l’organisation de la communauté ; (c) préservation de la collection historique liée à l’élément ; (d) diffusion de l’élément ; et (e) promotion de la durabilité, de la conservation de l’environnement et de l’éducation à l’environnement.</w:t>
      </w:r>
    </w:p>
    <w:p w14:paraId="6A8DCF2D" w14:textId="77777777" w:rsidR="00446163" w:rsidRPr="00503070" w:rsidRDefault="00446163" w:rsidP="00446163">
      <w:pPr>
        <w:pStyle w:val="Style1"/>
        <w:ind w:left="1122" w:hanging="555"/>
        <w:rPr>
          <w:lang w:val="fr-FR"/>
        </w:rPr>
      </w:pPr>
      <w:r w:rsidRPr="00503070">
        <w:rPr>
          <w:lang w:val="fr-FR"/>
        </w:rPr>
        <w:t>R.4 :</w:t>
      </w:r>
      <w:r w:rsidRPr="00503070">
        <w:rPr>
          <w:lang w:val="fr-FR"/>
        </w:rPr>
        <w:tab/>
        <w:t>Le processus de candidature a débuté en 2008, s’est poursuivi avec la reconnaissance de l’élément en tant qu’élément du patrimoine culturel immatériel aux niveaux local et national, et a finalement progressé avec la création d’une commission culturelle chargée de préparer le dossier de candidature. Cette commission, composée de représentants de la communauté et de membres du comité d’organisation de l’événement, a mené des recherches sur le terrain et a étudié et systématisé la documentation relative à l’élément. Un atelier a été organisé afin d’expliquer le processus participatif nécessaire à l’obtention de l’enregistrement, par le biais d’assemblées composées des communautés. Dans le cadre de ces assemblées, un consentement libre, préalable et éclairé a été obtenu.</w:t>
      </w:r>
    </w:p>
    <w:p w14:paraId="5D51D41A" w14:textId="77777777" w:rsidR="00446163" w:rsidRPr="00503070" w:rsidRDefault="00446163" w:rsidP="00446163">
      <w:pPr>
        <w:pStyle w:val="Style1"/>
        <w:ind w:left="1122" w:hanging="555"/>
        <w:rPr>
          <w:lang w:val="fr-FR"/>
        </w:rPr>
      </w:pPr>
      <w:r w:rsidRPr="00503070">
        <w:rPr>
          <w:lang w:val="fr-FR"/>
        </w:rPr>
        <w:t>R.5 :</w:t>
      </w:r>
      <w:r w:rsidRPr="00503070">
        <w:rPr>
          <w:lang w:val="fr-FR"/>
        </w:rPr>
        <w:tab/>
        <w:t xml:space="preserve">L’élément a été inclus dans l’inventaire du patrimoine culturel immatériel en 2023. Géré par la Direction générale des cultures populaires, autochtones et urbaines du </w:t>
      </w:r>
      <w:proofErr w:type="gramStart"/>
      <w:r w:rsidRPr="00503070">
        <w:rPr>
          <w:lang w:val="fr-FR"/>
        </w:rPr>
        <w:t>Ministère de la culture</w:t>
      </w:r>
      <w:proofErr w:type="gramEnd"/>
      <w:r w:rsidRPr="00503070">
        <w:rPr>
          <w:lang w:val="fr-FR"/>
        </w:rPr>
        <w:t>, cet inventaire a fait l’objet d’une révision méthodologique en 2021 afin de renforcer les capacités d’autogestion des communautés pour la sauvegarde du patrimoine culturel immatériel. Actuellement, la Commission nationale du patrimoine culturel immatériel recherche des stratégies appropriées pour mettre à jour les dossiers existants sur la base de la nouvelle méthodologie.</w:t>
      </w:r>
    </w:p>
    <w:p w14:paraId="2742D2B9" w14:textId="77777777" w:rsidR="00446163" w:rsidRPr="00503070" w:rsidRDefault="00446163" w:rsidP="001E17AF">
      <w:pPr>
        <w:numPr>
          <w:ilvl w:val="0"/>
          <w:numId w:val="80"/>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représentation de la Passion, de la Mort et de la Résurrection du Christ à </w:t>
      </w:r>
      <w:proofErr w:type="spellStart"/>
      <w:r w:rsidRPr="00503070">
        <w:rPr>
          <w:rFonts w:ascii="Arial" w:hAnsi="Arial" w:cs="Arial"/>
          <w:b/>
          <w:sz w:val="22"/>
          <w:szCs w:val="22"/>
        </w:rPr>
        <w:t>Iztapalapa</w:t>
      </w:r>
      <w:proofErr w:type="spellEnd"/>
      <w:r w:rsidRPr="00503070">
        <w:rPr>
          <w:rFonts w:ascii="Arial" w:hAnsi="Arial" w:cs="Arial"/>
          <w:sz w:val="22"/>
          <w:szCs w:val="22"/>
        </w:rPr>
        <w:t xml:space="preserve"> sur la Liste représentative du patrimoine culturel immatériel de l’humanité ;</w:t>
      </w:r>
    </w:p>
    <w:p w14:paraId="499ABE8D" w14:textId="77777777" w:rsidR="00446163" w:rsidRPr="00503070" w:rsidRDefault="00446163" w:rsidP="001E17AF">
      <w:pPr>
        <w:numPr>
          <w:ilvl w:val="0"/>
          <w:numId w:val="80"/>
        </w:numPr>
        <w:tabs>
          <w:tab w:val="left" w:pos="1134"/>
          <w:tab w:val="left" w:pos="1701"/>
          <w:tab w:val="left" w:pos="2268"/>
        </w:tabs>
        <w:spacing w:before="120" w:after="120"/>
        <w:ind w:left="567" w:hanging="567"/>
        <w:jc w:val="both"/>
        <w:rPr>
          <w:rFonts w:ascii="Arial" w:hAnsi="Arial" w:cs="Arial"/>
          <w:bCs/>
          <w:sz w:val="22"/>
          <w:szCs w:val="22"/>
        </w:rPr>
      </w:pPr>
      <w:bookmarkStart w:id="3" w:name="_Hlk205380952"/>
      <w:r w:rsidRPr="00503070">
        <w:rPr>
          <w:rFonts w:ascii="Arial" w:hAnsi="Arial" w:cs="Arial"/>
          <w:sz w:val="22"/>
          <w:szCs w:val="22"/>
          <w:u w:val="single"/>
        </w:rPr>
        <w:t>Félicite</w:t>
      </w:r>
      <w:r w:rsidRPr="00503070">
        <w:rPr>
          <w:rFonts w:ascii="Arial" w:hAnsi="Arial" w:cs="Arial"/>
          <w:sz w:val="22"/>
          <w:szCs w:val="22"/>
        </w:rPr>
        <w:t xml:space="preserve"> l’État partie pour </w:t>
      </w:r>
      <w:bookmarkEnd w:id="3"/>
      <w:r w:rsidRPr="00503070">
        <w:rPr>
          <w:rFonts w:ascii="Arial" w:hAnsi="Arial" w:cs="Arial"/>
          <w:sz w:val="22"/>
          <w:szCs w:val="22"/>
        </w:rPr>
        <w:t>la qualité remarquable de la vidéo et le strict respect du principe du consentement libre, préalable et éclairé des parties concernées en ce qui concerne le processus de candidature.</w:t>
      </w:r>
    </w:p>
    <w:p w14:paraId="508CFBAB" w14:textId="77777777" w:rsidR="00446163" w:rsidRPr="00503070" w:rsidRDefault="00446163" w:rsidP="00446163">
      <w:pPr>
        <w:pStyle w:val="Heading1"/>
        <w:rPr>
          <w:bCs/>
        </w:rPr>
      </w:pPr>
      <w:r w:rsidRPr="00503070">
        <w:lastRenderedPageBreak/>
        <w:t>DÉCISION 20.COM 7.b.33</w:t>
      </w:r>
    </w:p>
    <w:p w14:paraId="4B9F9DCC"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45756A4F" w14:textId="77777777" w:rsidR="00446163" w:rsidRPr="00503070" w:rsidRDefault="00446163" w:rsidP="001E17AF">
      <w:pPr>
        <w:numPr>
          <w:ilvl w:val="0"/>
          <w:numId w:val="8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Maroc a proposé la candidature du</w:t>
      </w:r>
      <w:r w:rsidRPr="00503070">
        <w:rPr>
          <w:rFonts w:ascii="Arial" w:hAnsi="Arial" w:cs="Arial"/>
          <w:b/>
          <w:sz w:val="22"/>
          <w:szCs w:val="22"/>
        </w:rPr>
        <w:t xml:space="preserve"> Caftan marocain : art, traditions et savoir-faire</w:t>
      </w:r>
      <w:r w:rsidRPr="00503070">
        <w:rPr>
          <w:rFonts w:ascii="Arial" w:hAnsi="Arial" w:cs="Arial"/>
          <w:sz w:val="22"/>
          <w:szCs w:val="22"/>
        </w:rPr>
        <w:t xml:space="preserve"> (n° 02077) pour inscription sur la Liste représentative du patrimoine culturel immatériel de l’humanité :</w:t>
      </w:r>
    </w:p>
    <w:p w14:paraId="447C3250"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caftan est une longue tunique vieille, portée par des personnes de tous les âges et de tous les genres lors d’occasions spéciales et de célébrations. Il se décline en différents styles et tissus, et peut être porté avec ou sans ceinture décorative. Issu des cultures diverses, ce vêtement traditionnel est connu pour son ouverture centrale, ses boutons et ses riches décorations faites à la main, souvent composées de broderies, de perles et de paillettes. Le caftan est porté lors d’événements sociaux et religieux importants tels que les mariages, les baptêmes, les rituels de passage à l’âge adulte et les festivals. </w:t>
      </w:r>
    </w:p>
    <w:p w14:paraId="6BA30A31" w14:textId="77777777" w:rsidR="00446163" w:rsidRPr="00503070" w:rsidRDefault="00446163" w:rsidP="001E17AF">
      <w:pPr>
        <w:keepNext/>
        <w:numPr>
          <w:ilvl w:val="0"/>
          <w:numId w:val="8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8CADF8D" w14:textId="77777777" w:rsidR="00446163" w:rsidRPr="00503070" w:rsidRDefault="00446163" w:rsidP="00446163">
      <w:pPr>
        <w:pStyle w:val="Style1"/>
        <w:tabs>
          <w:tab w:val="left" w:pos="540"/>
        </w:tabs>
        <w:ind w:left="1122" w:hanging="555"/>
        <w:rPr>
          <w:bCs/>
          <w:lang w:val="fr-FR"/>
        </w:rPr>
      </w:pPr>
      <w:r w:rsidRPr="00503070">
        <w:rPr>
          <w:lang w:val="fr-FR"/>
        </w:rPr>
        <w:t>R.1 :</w:t>
      </w:r>
      <w:r w:rsidRPr="00503070">
        <w:rPr>
          <w:lang w:val="fr-FR"/>
        </w:rPr>
        <w:tab/>
        <w:t>La fabrication du caftan fait appel à des artisans qualifiés, notamment des tisserands, qui produisent les tissus (brocart, velours et soie), des tailleurs, qui façonnent les vêtements, ainsi que des artisans, qui créent les boutons, les galons et les broderies. Les connaissances et le savoir-faire associés sont transmis de manière informelle, à la fois au sein des familles et par le biais de l’apprentissage dans les ateliers, ainsi que par l’éducation formelle dans les centres de formation et les écoles de mode. Élément significatif de la vie des communautés et du patrimoine commun, le caftan est un marqueur de statut social et d’appartenance. C’est aussi une source de revenus pour les nombreuses personnes impliquées dans sa production et sa vente.</w:t>
      </w:r>
    </w:p>
    <w:p w14:paraId="49EF17D6" w14:textId="77777777" w:rsidR="00446163" w:rsidRPr="00503070" w:rsidRDefault="00446163" w:rsidP="00446163">
      <w:pPr>
        <w:pStyle w:val="Style1"/>
        <w:tabs>
          <w:tab w:val="left" w:pos="540"/>
        </w:tabs>
        <w:ind w:left="1122" w:hanging="555"/>
        <w:rPr>
          <w:bCs/>
          <w:lang w:val="fr-FR"/>
        </w:rPr>
      </w:pPr>
      <w:r w:rsidRPr="00503070">
        <w:rPr>
          <w:lang w:val="fr-FR"/>
        </w:rPr>
        <w:t>R.2 :</w:t>
      </w:r>
      <w:r w:rsidRPr="00503070">
        <w:rPr>
          <w:lang w:val="fr-FR"/>
        </w:rPr>
        <w:tab/>
        <w:t>L’État partie soumissionnaire démontre de manière constante comment l’élément contribue au développement durable et comment son inscription garantirait la visibilité et la sensibilisation à l’importance du patrimoine culturel immatériel. Si des personnes de genre et d’âge différents portent le caftan, les activités liées à sa production sont réparties entre les hommes et les femmes, et tous les producteurs bénéficient des revenus générés par sa vente. Ainsi, les pratiques socioculturelles associées au caftan favorisent l’égalité des genres, la cohésion sociale et le développement économique inclusif. L’inscription de cet élément renforcerait son importance au niveau local pour les artisans, les créateurs et les personnes qui continuent à le porter, à le demander et à le collectionner. Au niveau international, des festivals et des défilés de mode permettront de le faire apprécier dans le monde entier.</w:t>
      </w:r>
    </w:p>
    <w:p w14:paraId="747250FE" w14:textId="77777777" w:rsidR="00446163" w:rsidRPr="00503070" w:rsidRDefault="00446163" w:rsidP="00446163">
      <w:pPr>
        <w:pStyle w:val="Style1"/>
        <w:tabs>
          <w:tab w:val="left" w:pos="540"/>
        </w:tabs>
        <w:ind w:left="1122" w:hanging="555"/>
        <w:rPr>
          <w:bCs/>
          <w:lang w:val="fr-FR"/>
        </w:rPr>
      </w:pPr>
      <w:r w:rsidRPr="00503070">
        <w:rPr>
          <w:lang w:val="fr-FR"/>
        </w:rPr>
        <w:t>R.3 :</w:t>
      </w:r>
      <w:r w:rsidRPr="00503070">
        <w:rPr>
          <w:lang w:val="fr-FR"/>
        </w:rPr>
        <w:tab/>
        <w:t>Le dossier de candidature fait état d’un riche éventail d’efforts de sauvegarde menés tant par les communautés que par les pouvoirs publics, et le plan de sauvegarde s’appuie sur un continuum de mesures existantes. Ces mesures sont robustes et multicouches, combinant la protection avec l’innovation et le développement économique. Les communautés jouent un rôle central, à la fois en tant que praticiens et utilisateurs, contribuant activement au maintien et à la transmission de la tradition. Leur participation à des coopératives, à des formations, à des expositions et à des consultations garantit une sauvegarde fondée sur la culture et ouverte à tous. Cette approche est renforcée par la collaboration avec des organismes gouvernementaux, des musées et des établissements d’enseignement.</w:t>
      </w:r>
    </w:p>
    <w:p w14:paraId="609A21D3" w14:textId="77777777" w:rsidR="00446163" w:rsidRPr="00503070" w:rsidRDefault="00446163" w:rsidP="00446163">
      <w:pPr>
        <w:pStyle w:val="Style1"/>
        <w:tabs>
          <w:tab w:val="left" w:pos="540"/>
        </w:tabs>
        <w:ind w:left="1122" w:hanging="555"/>
        <w:rPr>
          <w:bCs/>
          <w:lang w:val="fr-FR"/>
        </w:rPr>
      </w:pPr>
      <w:r w:rsidRPr="00503070">
        <w:rPr>
          <w:lang w:val="fr-FR"/>
        </w:rPr>
        <w:t>R.4 :</w:t>
      </w:r>
      <w:r w:rsidRPr="00503070">
        <w:rPr>
          <w:lang w:val="fr-FR"/>
        </w:rPr>
        <w:tab/>
        <w:t xml:space="preserve">La demande d’inscription a été formulée par les communautés et le processus de candidature a impliqué le gouvernement, des chercheurs spécialisés dans le patrimoine culturel immatériel et des artisans. Un certain nombre de réunions et d’ateliers ont été organisés dans plusieurs villes, suivis d’un atelier national en 2023. Toutes ces activités ont été menées avec la participation des communautés concernées. Les détenteurs ont activement discuté de la candidature et ont exprimé leur soutien enthousiaste à l’inscription de l’élément, ce qui se reflète dans une trentaine de témoignages divers </w:t>
      </w:r>
      <w:r w:rsidRPr="00503070">
        <w:rPr>
          <w:lang w:val="fr-FR"/>
        </w:rPr>
        <w:lastRenderedPageBreak/>
        <w:t>dans la vidéo de la candidature et dans un large éventail de formulaires de consentement écrits.</w:t>
      </w:r>
    </w:p>
    <w:p w14:paraId="141077BE" w14:textId="77777777" w:rsidR="00446163" w:rsidRPr="00503070" w:rsidRDefault="00446163" w:rsidP="00446163">
      <w:pPr>
        <w:pStyle w:val="Style1"/>
        <w:tabs>
          <w:tab w:val="left" w:pos="540"/>
        </w:tabs>
        <w:ind w:left="1122" w:hanging="555"/>
        <w:rPr>
          <w:bCs/>
          <w:lang w:val="fr-FR"/>
        </w:rPr>
      </w:pPr>
      <w:r w:rsidRPr="00503070">
        <w:rPr>
          <w:lang w:val="fr-FR"/>
        </w:rPr>
        <w:t>R.5 :</w:t>
      </w:r>
      <w:r w:rsidRPr="00503070">
        <w:rPr>
          <w:lang w:val="fr-FR"/>
        </w:rPr>
        <w:tab/>
        <w:t xml:space="preserve">L’élément a été inclus dans l’inventaire et la documentation du patrimoine culturel marocain en 2014. Cet inventaire est géré par la Direction du patrimoine culturel du Département de la culture du </w:t>
      </w:r>
      <w:proofErr w:type="gramStart"/>
      <w:r w:rsidRPr="00503070">
        <w:rPr>
          <w:lang w:val="fr-FR"/>
        </w:rPr>
        <w:t>Ministère de la jeunesse</w:t>
      </w:r>
      <w:proofErr w:type="gramEnd"/>
      <w:r w:rsidRPr="00503070">
        <w:rPr>
          <w:lang w:val="fr-FR"/>
        </w:rPr>
        <w:t>, de la culture et de la communication. Il est mis à jour chaque fois qu’un nouvel élément est enregistré dans la base de données d’inventaire ou qu’un élément existant a été mis à jour ou modifié. Les processus d’inventaire et de mise à jour nécessitent l’expression de la volonté et la contribution des détenteurs de l’élément ou des associations impliquées dans sa sauvegarde.</w:t>
      </w:r>
    </w:p>
    <w:p w14:paraId="56CE7090" w14:textId="77777777" w:rsidR="00446163" w:rsidRPr="00503070" w:rsidRDefault="00446163" w:rsidP="001E17AF">
      <w:pPr>
        <w:numPr>
          <w:ilvl w:val="0"/>
          <w:numId w:val="8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Caftan marocain : art, traditions et savoir-faire</w:t>
      </w:r>
      <w:r w:rsidRPr="00503070">
        <w:rPr>
          <w:rFonts w:ascii="Arial" w:hAnsi="Arial" w:cs="Arial"/>
          <w:sz w:val="22"/>
          <w:szCs w:val="22"/>
        </w:rPr>
        <w:t xml:space="preserve"> sur la Liste représentative du patrimoine culturel immatériel de l’humanité ;</w:t>
      </w:r>
    </w:p>
    <w:p w14:paraId="48C13B86" w14:textId="268AD727" w:rsidR="00446163" w:rsidRPr="00503070" w:rsidRDefault="00446163" w:rsidP="001E17AF">
      <w:pPr>
        <w:numPr>
          <w:ilvl w:val="0"/>
          <w:numId w:val="8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les candidatures sont préparées et complétées de manière à refléter au mieux les aspirations et les voix des communautés, groupes et individus concernés pour la sauvegarde de leur patrimoine vivant, et </w:t>
      </w:r>
      <w:r w:rsidRPr="00503070">
        <w:rPr>
          <w:rFonts w:ascii="Arial" w:hAnsi="Arial" w:cs="Arial"/>
          <w:sz w:val="22"/>
          <w:szCs w:val="22"/>
          <w:u w:val="single"/>
        </w:rPr>
        <w:t>prend note</w:t>
      </w:r>
      <w:r w:rsidRPr="00503070">
        <w:rPr>
          <w:rFonts w:ascii="Arial" w:hAnsi="Arial" w:cs="Arial"/>
          <w:sz w:val="22"/>
          <w:szCs w:val="22"/>
        </w:rPr>
        <w:t xml:space="preserve"> que les éléments du patrimoine culturel immatériel sont </w:t>
      </w:r>
      <w:r w:rsidR="00921093" w:rsidRPr="00503070">
        <w:rPr>
          <w:rFonts w:ascii="Arial" w:hAnsi="Arial" w:cs="Arial"/>
          <w:sz w:val="22"/>
          <w:szCs w:val="22"/>
        </w:rPr>
        <w:t xml:space="preserve">disséminés </w:t>
      </w:r>
      <w:r w:rsidR="00AE0D7E" w:rsidRPr="00503070">
        <w:rPr>
          <w:rFonts w:ascii="Arial" w:hAnsi="Arial" w:cs="Arial"/>
          <w:sz w:val="22"/>
          <w:szCs w:val="22"/>
        </w:rPr>
        <w:t xml:space="preserve">parmi </w:t>
      </w:r>
      <w:r w:rsidRPr="00503070">
        <w:rPr>
          <w:rFonts w:ascii="Arial" w:hAnsi="Arial" w:cs="Arial"/>
          <w:sz w:val="22"/>
          <w:szCs w:val="22"/>
        </w:rPr>
        <w:t>des communautés dans la région et au-delà.</w:t>
      </w:r>
    </w:p>
    <w:p w14:paraId="38155D25" w14:textId="77777777" w:rsidR="00446163" w:rsidRPr="00503070" w:rsidRDefault="00446163" w:rsidP="00446163">
      <w:pPr>
        <w:pStyle w:val="Heading1"/>
        <w:rPr>
          <w:bCs/>
        </w:rPr>
      </w:pPr>
      <w:r w:rsidRPr="00503070">
        <w:t>DÉCISION 20.COM 7.b.35</w:t>
      </w:r>
    </w:p>
    <w:p w14:paraId="26A329A3"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C8119D8" w14:textId="77777777" w:rsidR="00446163" w:rsidRPr="00503070" w:rsidRDefault="00446163" w:rsidP="001E17AF">
      <w:pPr>
        <w:numPr>
          <w:ilvl w:val="0"/>
          <w:numId w:val="8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Pérou a proposé la candidature de </w:t>
      </w:r>
      <w:proofErr w:type="spellStart"/>
      <w:r w:rsidRPr="00503070">
        <w:rPr>
          <w:rFonts w:ascii="Arial" w:hAnsi="Arial" w:cs="Arial"/>
          <w:b/>
          <w:sz w:val="22"/>
          <w:szCs w:val="22"/>
        </w:rPr>
        <w:t>Sarawja</w:t>
      </w:r>
      <w:proofErr w:type="spellEnd"/>
      <w:r w:rsidRPr="00503070">
        <w:rPr>
          <w:rFonts w:ascii="Arial" w:hAnsi="Arial" w:cs="Arial"/>
          <w:b/>
          <w:sz w:val="22"/>
          <w:szCs w:val="22"/>
        </w:rPr>
        <w:t>, musique et danse aymara de Moquegua</w:t>
      </w:r>
      <w:r w:rsidRPr="00503070">
        <w:rPr>
          <w:rFonts w:ascii="Arial" w:hAnsi="Arial" w:cs="Arial"/>
          <w:sz w:val="22"/>
          <w:szCs w:val="22"/>
        </w:rPr>
        <w:t xml:space="preserve"> (n° 02071) pour inscription sur la Liste représentative du patrimoine culturel immatériel de l’humanité :</w:t>
      </w:r>
    </w:p>
    <w:p w14:paraId="5FC9662F"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proofErr w:type="spellStart"/>
      <w:r w:rsidRPr="00503070">
        <w:rPr>
          <w:rFonts w:ascii="Arial" w:hAnsi="Arial" w:cs="Arial"/>
          <w:sz w:val="22"/>
          <w:szCs w:val="22"/>
        </w:rPr>
        <w:t>Sarawja</w:t>
      </w:r>
      <w:proofErr w:type="spellEnd"/>
      <w:r w:rsidRPr="00503070">
        <w:rPr>
          <w:rFonts w:ascii="Arial" w:hAnsi="Arial" w:cs="Arial"/>
          <w:sz w:val="22"/>
          <w:szCs w:val="22"/>
        </w:rPr>
        <w:t xml:space="preserve">, également connu sous le nom de </w:t>
      </w:r>
      <w:proofErr w:type="spellStart"/>
      <w:r w:rsidRPr="00503070">
        <w:rPr>
          <w:rFonts w:ascii="Arial" w:hAnsi="Arial" w:cs="Arial"/>
          <w:sz w:val="22"/>
          <w:szCs w:val="22"/>
        </w:rPr>
        <w:t>Sarawjatana</w:t>
      </w:r>
      <w:proofErr w:type="spellEnd"/>
      <w:r w:rsidRPr="00503070">
        <w:rPr>
          <w:rFonts w:ascii="Arial" w:hAnsi="Arial" w:cs="Arial"/>
          <w:sz w:val="22"/>
          <w:szCs w:val="22"/>
        </w:rPr>
        <w:t xml:space="preserve">, est pratiqué dans les vallées de </w:t>
      </w:r>
      <w:proofErr w:type="spellStart"/>
      <w:r w:rsidRPr="00503070">
        <w:rPr>
          <w:rFonts w:ascii="Arial" w:hAnsi="Arial" w:cs="Arial"/>
          <w:sz w:val="22"/>
          <w:szCs w:val="22"/>
        </w:rPr>
        <w:t>Ticsani</w:t>
      </w:r>
      <w:proofErr w:type="spellEnd"/>
      <w:r w:rsidRPr="00503070">
        <w:rPr>
          <w:rFonts w:ascii="Arial" w:hAnsi="Arial" w:cs="Arial"/>
          <w:sz w:val="22"/>
          <w:szCs w:val="22"/>
        </w:rPr>
        <w:t xml:space="preserve"> et San Felipe, dans la région andine de Moquegua. Cette célébration annuelle a lieu après la Semaine sainte catholique et qui marque la fin de la saison des pluies et le début des récoltes. Elle comprend une représentation de danse rituelle exécuté par des groupes de danseurs organisés en cercles, appelés « </w:t>
      </w:r>
      <w:proofErr w:type="spellStart"/>
      <w:r w:rsidRPr="00503070">
        <w:rPr>
          <w:rFonts w:ascii="Arial" w:hAnsi="Arial" w:cs="Arial"/>
          <w:sz w:val="22"/>
          <w:szCs w:val="22"/>
        </w:rPr>
        <w:t>ruedas</w:t>
      </w:r>
      <w:proofErr w:type="spellEnd"/>
      <w:r w:rsidRPr="00503070">
        <w:rPr>
          <w:rFonts w:ascii="Arial" w:hAnsi="Arial" w:cs="Arial"/>
          <w:sz w:val="22"/>
          <w:szCs w:val="22"/>
        </w:rPr>
        <w:t xml:space="preserve"> ». Les danseurs se déplacent en cercles concentriques ou en rangées parallèles, imitant les schémas de vol des « </w:t>
      </w:r>
      <w:proofErr w:type="spellStart"/>
      <w:r w:rsidRPr="00503070">
        <w:rPr>
          <w:rFonts w:ascii="Arial" w:hAnsi="Arial" w:cs="Arial"/>
          <w:sz w:val="22"/>
          <w:szCs w:val="22"/>
        </w:rPr>
        <w:t>kiwlas</w:t>
      </w:r>
      <w:proofErr w:type="spellEnd"/>
      <w:r w:rsidRPr="00503070">
        <w:rPr>
          <w:rFonts w:ascii="Arial" w:hAnsi="Arial" w:cs="Arial"/>
          <w:sz w:val="22"/>
          <w:szCs w:val="22"/>
        </w:rPr>
        <w:t xml:space="preserve"> », oiseaux des Andes. Les femmes portent un vêtement traditionnel en laine et se déplacent en cercles rapides, tandis que les hommes accompagnent leurs mouvements en sifflant, en tapant du pied et en jouant d’un instrument. Les groupes de danseurs, composés de couples mariés et de leurs amis, se déplacent de village en village pour se produire et sont accueillis avec de la nourriture et des produits locaux. </w:t>
      </w:r>
    </w:p>
    <w:p w14:paraId="4C61F66F" w14:textId="77777777" w:rsidR="00446163" w:rsidRPr="00503070" w:rsidRDefault="00446163" w:rsidP="001E17AF">
      <w:pPr>
        <w:keepNext/>
        <w:numPr>
          <w:ilvl w:val="0"/>
          <w:numId w:val="8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537E699"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chansons de </w:t>
      </w:r>
      <w:proofErr w:type="spellStart"/>
      <w:r w:rsidRPr="00503070">
        <w:rPr>
          <w:rFonts w:ascii="Arial" w:hAnsi="Arial" w:cs="Arial"/>
          <w:sz w:val="22"/>
          <w:szCs w:val="22"/>
        </w:rPr>
        <w:t>sarawja</w:t>
      </w:r>
      <w:proofErr w:type="spellEnd"/>
      <w:r w:rsidRPr="00503070">
        <w:rPr>
          <w:rFonts w:ascii="Arial" w:hAnsi="Arial" w:cs="Arial"/>
          <w:sz w:val="22"/>
          <w:szCs w:val="22"/>
        </w:rPr>
        <w:t xml:space="preserve"> sont interprétées en </w:t>
      </w:r>
      <w:proofErr w:type="spellStart"/>
      <w:r w:rsidRPr="00503070">
        <w:rPr>
          <w:rFonts w:ascii="Arial" w:hAnsi="Arial" w:cs="Arial"/>
          <w:sz w:val="22"/>
          <w:szCs w:val="22"/>
        </w:rPr>
        <w:t>aïmara</w:t>
      </w:r>
      <w:proofErr w:type="spellEnd"/>
      <w:r w:rsidRPr="00503070">
        <w:rPr>
          <w:rFonts w:ascii="Arial" w:hAnsi="Arial" w:cs="Arial"/>
          <w:sz w:val="22"/>
          <w:szCs w:val="22"/>
        </w:rPr>
        <w:t xml:space="preserve"> et en espagnol, tant par des hommes que par des femmes, et sont généralement accompagnées par le « charango », un instrument à cordes. Les chansons sont un moyen de transmettre les histoires et les connaissances traditionnelles. Les connaissances et le savoir-faire associés aux célébrations de la </w:t>
      </w:r>
      <w:proofErr w:type="spellStart"/>
      <w:r w:rsidRPr="00503070">
        <w:rPr>
          <w:rFonts w:ascii="Arial" w:hAnsi="Arial" w:cs="Arial"/>
          <w:sz w:val="22"/>
          <w:szCs w:val="22"/>
        </w:rPr>
        <w:t>Sarawja</w:t>
      </w:r>
      <w:proofErr w:type="spellEnd"/>
      <w:r w:rsidRPr="00503070">
        <w:rPr>
          <w:rFonts w:ascii="Arial" w:hAnsi="Arial" w:cs="Arial"/>
          <w:sz w:val="22"/>
          <w:szCs w:val="22"/>
        </w:rPr>
        <w:t xml:space="preserve"> sont transmis au sein du cercle familial, par le biais de groupes de danse et de festivités, ainsi que par les institutions culturelles. Célébration de la vie et des cycles agricoles, cette pratique est profondément liée à la culture locale, à l’histoire et à la terre, encourageant l’échange de produits locaux tout en favorisant la parenté et le dialogue entre les détenteurs.</w:t>
      </w:r>
    </w:p>
    <w:p w14:paraId="2C967977"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L’État partie soumissionnaire démontre de manière constante comment l’élément contribue au développement durable et comment son inscription garantirait la visibilité et la sensibilisation à l’importance du patrimoine culturel immatériel, encouragerait le dialogue et favoriserait la créativité humaine. Le lien de l’élément avec l’échange de nourriture et l’expression artistique illustre son rôle dans le renforcement de la cohésion sociale, la promotion de la paix et le soutien des connaissances liées aux moyens de subsistance locaux durables. Plus précisément, l’inscription favoriserait la </w:t>
      </w:r>
      <w:r w:rsidRPr="00503070">
        <w:rPr>
          <w:rFonts w:ascii="Arial" w:hAnsi="Arial" w:cs="Arial"/>
          <w:sz w:val="22"/>
          <w:szCs w:val="22"/>
        </w:rPr>
        <w:lastRenderedPageBreak/>
        <w:t xml:space="preserve">reconnaissance de la contribution du peuple aymara à la diversité culturelle humaine ; de manière générale, elle valoriserait les connaissances autochtones liées à l’agriculture et à la sécurité alimentaire dans le contexte contemporain. </w:t>
      </w:r>
    </w:p>
    <w:p w14:paraId="23BE83B4"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La candidature fournit des preuves solides de l’implication de la communauté tout au long du processus. Les détenteurs ont pris l’initiative de nommer l’élément, ont participé à seize réunions virtuelles et en personne, ont discuté d’un plan de sauvegarde et ont contribué à la création du film documentaire ainsi qu’à la sélection des photographies. Ils ont également donné leur accord écrit et audiovisuel, notamment par le biais d’un document comportant plus de 400 signatures, pour soutenir la candidature.</w:t>
      </w:r>
    </w:p>
    <w:p w14:paraId="5ECF5014"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les déclarations du patrimoine culturel de la nation en 2010. Les déclarations du patrimoine culturel de la nation constituent un inventaire participatif des éléments du patrimoine culturel immatériel, élaboré et mis à jour tous les cinq ans par la direction du patrimoine immatériel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Les communautés, les groupes et les organisations non gouvernementales participent activement au processus d’inventaire.</w:t>
      </w:r>
    </w:p>
    <w:p w14:paraId="523FF83D" w14:textId="77777777" w:rsidR="00446163" w:rsidRPr="00503070" w:rsidRDefault="00446163" w:rsidP="001E17AF">
      <w:pPr>
        <w:pStyle w:val="ListParagraph"/>
        <w:numPr>
          <w:ilvl w:val="0"/>
          <w:numId w:val="83"/>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7B23285A" w14:textId="77777777" w:rsidR="00446163" w:rsidRPr="00503070" w:rsidRDefault="00446163" w:rsidP="00446163">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t>Les mesures de sauvegarde proposées sont basées sur une analyse des problèmes et des défis associés à la durabilité de l’élément, menée avec la participation active des communautés. Ces mesures se concentrent principalement sur la documentation, la recherche et l’archivage. Elles impliquent en outre directement les communautés concernées afin d’assurer la visibilité et la continuité de l’élément. Le plan de sauvegarde reflète une approche inclusive et les rôles de la communauté et de l’État partie sont bien définis.</w:t>
      </w:r>
    </w:p>
    <w:p w14:paraId="0ED00FFE" w14:textId="77777777" w:rsidR="00446163" w:rsidRPr="00503070" w:rsidRDefault="00446163" w:rsidP="001E17AF">
      <w:pPr>
        <w:numPr>
          <w:ilvl w:val="0"/>
          <w:numId w:val="8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Sarawja</w:t>
      </w:r>
      <w:proofErr w:type="spellEnd"/>
      <w:r w:rsidRPr="00503070">
        <w:rPr>
          <w:rFonts w:ascii="Arial" w:hAnsi="Arial" w:cs="Arial"/>
          <w:b/>
          <w:sz w:val="22"/>
          <w:szCs w:val="22"/>
        </w:rPr>
        <w:t>, musique et danse aymara de Moquegua</w:t>
      </w:r>
      <w:r w:rsidRPr="00503070">
        <w:rPr>
          <w:rFonts w:ascii="Arial" w:hAnsi="Arial" w:cs="Arial"/>
          <w:sz w:val="22"/>
          <w:szCs w:val="22"/>
        </w:rPr>
        <w:t xml:space="preserve"> sur la Liste représentative du patrimoine culturel immatériel de l’humanité ;</w:t>
      </w:r>
    </w:p>
    <w:p w14:paraId="5F022A29" w14:textId="77777777" w:rsidR="00446163" w:rsidRPr="00503070" w:rsidRDefault="00446163" w:rsidP="001E17AF">
      <w:pPr>
        <w:numPr>
          <w:ilvl w:val="0"/>
          <w:numId w:val="8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la démonstration exemplaire de l’implication de la communauté dans le processus de candidature.</w:t>
      </w:r>
    </w:p>
    <w:p w14:paraId="71184B25" w14:textId="77777777" w:rsidR="00446163" w:rsidRPr="00503070" w:rsidRDefault="00446163" w:rsidP="00446163">
      <w:pPr>
        <w:pStyle w:val="Heading1"/>
        <w:rPr>
          <w:bCs/>
        </w:rPr>
      </w:pPr>
      <w:r w:rsidRPr="00503070">
        <w:t>DÉCISION 20.COM 7.b.36</w:t>
      </w:r>
    </w:p>
    <w:p w14:paraId="4C07CBFE"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229AB5C" w14:textId="77777777" w:rsidR="00446163" w:rsidRPr="00503070" w:rsidRDefault="00446163" w:rsidP="001E17AF">
      <w:pPr>
        <w:numPr>
          <w:ilvl w:val="0"/>
          <w:numId w:val="84"/>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Pologne a proposé la candidature des</w:t>
      </w:r>
      <w:r w:rsidRPr="00503070">
        <w:rPr>
          <w:rFonts w:ascii="Arial" w:hAnsi="Arial" w:cs="Arial"/>
          <w:b/>
          <w:sz w:val="22"/>
          <w:szCs w:val="22"/>
        </w:rPr>
        <w:t xml:space="preserve"> traditions de la vannerie</w:t>
      </w:r>
      <w:r w:rsidRPr="00503070">
        <w:rPr>
          <w:rFonts w:ascii="Arial" w:hAnsi="Arial" w:cs="Arial"/>
          <w:sz w:val="22"/>
          <w:szCs w:val="22"/>
        </w:rPr>
        <w:t xml:space="preserve"> (n° 02230) pour inscription sur la Liste représentative du patrimoine culturel immatériel de l’humanité :</w:t>
      </w:r>
    </w:p>
    <w:p w14:paraId="739FCB53"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vannerie est l’art d’utiliser des matériaux naturels tels que l’osier, les racines, la paille, la quenouille, l’écorce de tilleul et le liber pour tresser des objets pratiques et des décorations. Elle est pratiquée par des personnes de tous genres. Certains tisserands travaillent de manière indépendante, tandis que d’autres sont mandatés par des entreprises. De nombreux tisserands certifiés dirigent des organisations et proposent des cours ou des ateliers ouverts. Bien que les tisserands travaillent généralement dans des ateliers à domicile, ils sont actifs dans leurs communautés locales, partageant l’artisanat et promouvant son importance culturelle par le biais d’événements tels que des concours, des foires et des expositions. </w:t>
      </w:r>
    </w:p>
    <w:p w14:paraId="5448265D" w14:textId="77777777" w:rsidR="00446163" w:rsidRPr="00503070" w:rsidRDefault="00446163" w:rsidP="001E17AF">
      <w:pPr>
        <w:keepNext/>
        <w:numPr>
          <w:ilvl w:val="0"/>
          <w:numId w:val="84"/>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EF49752" w14:textId="77777777" w:rsidR="00446163" w:rsidRPr="00503070" w:rsidRDefault="00446163" w:rsidP="00446163">
      <w:pPr>
        <w:pStyle w:val="Style1"/>
        <w:ind w:left="1122" w:hanging="555"/>
        <w:rPr>
          <w:lang w:val="fr-FR"/>
        </w:rPr>
      </w:pPr>
      <w:r w:rsidRPr="00503070">
        <w:rPr>
          <w:lang w:val="fr-FR"/>
        </w:rPr>
        <w:t>R.1 :</w:t>
      </w:r>
      <w:r w:rsidRPr="00503070">
        <w:rPr>
          <w:lang w:val="fr-FR"/>
        </w:rPr>
        <w:tab/>
        <w:t xml:space="preserve">Source de fierté pour les communautés locales, l’art de la vannerie se transmet de génération en génération, les anciens tisserands l’enseignant aux plus jeunes, souvent au sein de familles, d’écoles ou d’ateliers. Dans les familles, les enfants apprennent en regardant et en imitant les tisserands plus âgés. Des écoles et des ateliers publics enseignent également les techniques de tissage, la préparation des matières premières </w:t>
      </w:r>
      <w:r w:rsidRPr="00503070">
        <w:rPr>
          <w:lang w:val="fr-FR"/>
        </w:rPr>
        <w:lastRenderedPageBreak/>
        <w:t>et l’utilisation des outils. Certains maîtres certifiés dirigent des classes formelles, en suivant des programmes structurés dans les écoles et autres établissements d’enseignement. Des groupes culturels et des institutions organisent également des ateliers pour préserver la tradition. La vannerie étant dépendante de la disponibilité des matériaux locaux, elle est profondément liée à l’environnement et favorise la durabilité. Elle contribue également à soutenir les économies locales, les tisserands gagnant un revenu supplémentaire en fabriquant et en vendant leurs produits.</w:t>
      </w:r>
    </w:p>
    <w:p w14:paraId="385E2751"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Les pratiques culturelles associées à la vannerie sont étroitement liées à la nature et contribuent à sa conservation, la production artisanale dépendant de la disponibilité de matières premières d’origine végétale. La participation des femmes est mise en évidence dans cette activité, celles-ci </w:t>
      </w:r>
      <w:proofErr w:type="gramStart"/>
      <w:r w:rsidRPr="00503070">
        <w:rPr>
          <w:lang w:val="fr-FR"/>
        </w:rPr>
        <w:t>ayant</w:t>
      </w:r>
      <w:proofErr w:type="gramEnd"/>
      <w:r w:rsidRPr="00503070">
        <w:rPr>
          <w:lang w:val="fr-FR"/>
        </w:rPr>
        <w:t xml:space="preserve"> un rôle central dans les principales institutions et associations de tissage. Dans les domaines éducatif et professionnel, la vannerie est reconnue comme culturellement significative et potentiellement utile pour la réadaptation sociale et professionnelle des personnes handicapées. L’inscription de l’élément garantirait la visibilité et la sensibilisation à l’importance du patrimoine culturel immatériel, encouragerait le dialogue dans le respect de la diversité culturelle et favoriserait la créativité humaine.</w:t>
      </w:r>
    </w:p>
    <w:p w14:paraId="0F171217" w14:textId="77777777" w:rsidR="00446163" w:rsidRPr="00503070" w:rsidRDefault="00446163" w:rsidP="00446163">
      <w:pPr>
        <w:pStyle w:val="Style1"/>
        <w:ind w:left="1122" w:hanging="555"/>
        <w:rPr>
          <w:lang w:val="fr-FR"/>
        </w:rPr>
      </w:pPr>
      <w:r w:rsidRPr="00503070">
        <w:rPr>
          <w:lang w:val="fr-FR"/>
        </w:rPr>
        <w:t>R.3 :</w:t>
      </w:r>
      <w:r w:rsidRPr="00503070">
        <w:rPr>
          <w:lang w:val="fr-FR"/>
        </w:rPr>
        <w:tab/>
        <w:t>La sauvegarde de l’élément est assurée par les municipalités et les institutions culturelles en étroite collaboration avec les détenteurs de la tradition. Tous mènent des activités éducatives et d’exposition, organisent des événements promotionnels et développent des projets visant à transmettre les connaissances aux jeunes générations. Les mesures de sauvegarde sont bien développées et montrent un équilibre entre les efforts menés par la communauté et le soutien institutionnel.</w:t>
      </w:r>
    </w:p>
    <w:p w14:paraId="031DB0A9" w14:textId="77777777" w:rsidR="00446163" w:rsidRPr="00503070" w:rsidRDefault="00446163" w:rsidP="00446163">
      <w:pPr>
        <w:pStyle w:val="Style1"/>
        <w:ind w:left="1122" w:hanging="555"/>
        <w:rPr>
          <w:lang w:val="fr-FR"/>
        </w:rPr>
      </w:pPr>
      <w:r w:rsidRPr="00503070">
        <w:rPr>
          <w:lang w:val="fr-FR"/>
        </w:rPr>
        <w:t>R.4 :</w:t>
      </w:r>
      <w:r w:rsidRPr="00503070">
        <w:rPr>
          <w:lang w:val="fr-FR"/>
        </w:rPr>
        <w:tab/>
        <w:t>Les communautés de vanniers ont participé à la préparation du dossier de candidature par le biais d’une série de réunions d’information, de débats et de consultations publiques organisées entre octobre 2022 et novembre 2023. Les participants étaient des praticiens, des experts et des représentants d’institutions impliquées dans la sauvegarde des traditions, telles que les autorités locales, les institutions culturelles, les universités et les écoles. Les représentants des principales organisations de détenteurs ont fourni des informations, des photographies et des films. Ils ont également vérifié les données figurant dans le dossier de candidature.</w:t>
      </w:r>
    </w:p>
    <w:p w14:paraId="250EEEA1" w14:textId="77777777" w:rsidR="00446163" w:rsidRPr="00503070" w:rsidRDefault="00446163" w:rsidP="00446163">
      <w:pPr>
        <w:pStyle w:val="Style1"/>
        <w:ind w:left="1122" w:hanging="555"/>
        <w:rPr>
          <w:lang w:val="fr-FR"/>
        </w:rPr>
      </w:pPr>
      <w:r w:rsidRPr="00503070">
        <w:rPr>
          <w:lang w:val="fr-FR"/>
        </w:rPr>
        <w:t>R.5 :</w:t>
      </w:r>
      <w:r w:rsidRPr="00503070">
        <w:rPr>
          <w:lang w:val="fr-FR"/>
        </w:rPr>
        <w:tab/>
        <w:t>L’élément a été inscrit sur la liste nationale du patrimoine culturel immatériel, sous la forme de cinq dossiers distincts, entre 2017 et 2023. La liste est gérée par l’Institut national du patrimoine culturel, qui est également chargé de la mettre à jour tous les cinq ans. Les détenteurs des éléments préparent des rapports périodiques et participent à des réunions cycliques afin de contrôler et de mettre à jour la liste.</w:t>
      </w:r>
    </w:p>
    <w:p w14:paraId="48E568E9" w14:textId="77777777" w:rsidR="00446163" w:rsidRPr="00503070" w:rsidRDefault="00446163" w:rsidP="001E17AF">
      <w:pPr>
        <w:numPr>
          <w:ilvl w:val="0"/>
          <w:numId w:val="84"/>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les traditions de la vannerie</w:t>
      </w:r>
      <w:r w:rsidRPr="00503070">
        <w:rPr>
          <w:rFonts w:ascii="Arial" w:hAnsi="Arial" w:cs="Arial"/>
          <w:sz w:val="22"/>
          <w:szCs w:val="22"/>
        </w:rPr>
        <w:t xml:space="preserve"> sur la Liste représentative du patrimoine culturel immatériel de l’humanité.</w:t>
      </w:r>
    </w:p>
    <w:p w14:paraId="23F69BFF" w14:textId="77777777" w:rsidR="00446163" w:rsidRPr="00503070" w:rsidRDefault="00446163" w:rsidP="00446163">
      <w:pPr>
        <w:pStyle w:val="Heading1"/>
        <w:rPr>
          <w:bCs/>
        </w:rPr>
      </w:pPr>
      <w:r w:rsidRPr="00503070">
        <w:t>DÉCISION 20.COM 7.b.37</w:t>
      </w:r>
    </w:p>
    <w:p w14:paraId="46CB47F3"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F940599" w14:textId="77777777" w:rsidR="00446163" w:rsidRPr="00503070" w:rsidRDefault="00446163" w:rsidP="001E17AF">
      <w:pPr>
        <w:numPr>
          <w:ilvl w:val="0"/>
          <w:numId w:val="8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Qatar, le Bahreïn, l’Iraq, la Jordanie, le Koweït, Oman, l’Arabie saoudite, la République arabe syrienne et les Émirats arabes unis ont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bisht</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abaa</w:t>
      </w:r>
      <w:proofErr w:type="spellEnd"/>
      <w:r w:rsidRPr="00503070">
        <w:rPr>
          <w:rFonts w:ascii="Arial" w:hAnsi="Arial" w:cs="Arial"/>
          <w:b/>
          <w:sz w:val="22"/>
          <w:szCs w:val="22"/>
        </w:rPr>
        <w:t xml:space="preserve"> pour hommes) : savoir-faire et pratiques</w:t>
      </w:r>
      <w:r w:rsidRPr="00503070">
        <w:rPr>
          <w:rFonts w:ascii="Arial" w:hAnsi="Arial" w:cs="Arial"/>
          <w:sz w:val="22"/>
          <w:szCs w:val="22"/>
        </w:rPr>
        <w:t xml:space="preserve"> (n° 02233) pour inscription sur la Liste représentative du patrimoine culturel immatériel de l’humanité :</w:t>
      </w:r>
    </w:p>
    <w:p w14:paraId="6CA7B3FE"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bisht</w:t>
      </w:r>
      <w:proofErr w:type="spellEnd"/>
      <w:r w:rsidRPr="00503070">
        <w:rPr>
          <w:rFonts w:ascii="Arial" w:hAnsi="Arial" w:cs="Arial"/>
          <w:sz w:val="22"/>
          <w:szCs w:val="22"/>
        </w:rPr>
        <w:t xml:space="preserve"> est un vêtement extérieur traditionnel porté par les hommes lors d’occasions spéciales telles que les naissances, les mariages, les funérailles, les cérémonies et les festivals. Ce long vêtement, qui est porté par-dessus les vêtements ordinaires, est drapé sur les épaules, enveloppé sur la poitrine et tenu d’un côté, laissant la main droite libre pour les salutations. Le style varie en fonction de la région, de la saison et de l’heure de la journée. Le vêtement est fabriqué à partir de matériaux naturels tels que la laine et les poils de chameau ou de chèvre. </w:t>
      </w:r>
    </w:p>
    <w:p w14:paraId="78B10963" w14:textId="77777777" w:rsidR="00446163" w:rsidRPr="00503070" w:rsidRDefault="00446163" w:rsidP="001E17AF">
      <w:pPr>
        <w:keepNext/>
        <w:numPr>
          <w:ilvl w:val="0"/>
          <w:numId w:val="8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AC20D62" w14:textId="77777777" w:rsidR="00446163" w:rsidRPr="00503070" w:rsidRDefault="00446163" w:rsidP="00446163">
      <w:pPr>
        <w:pStyle w:val="Style1"/>
        <w:ind w:left="1122" w:hanging="555"/>
        <w:rPr>
          <w:lang w:val="fr-FR"/>
        </w:rPr>
      </w:pPr>
      <w:r w:rsidRPr="00503070">
        <w:rPr>
          <w:lang w:val="fr-FR"/>
        </w:rPr>
        <w:t>R.1 :</w:t>
      </w:r>
      <w:r w:rsidRPr="00503070">
        <w:rPr>
          <w:lang w:val="fr-FR"/>
        </w:rPr>
        <w:tab/>
        <w:t xml:space="preserve">Des artisans qualifiés, hommes et femmes, participent au processus de production, qui comprend le filage, la teinture, le tissage et la confection. Les bords sont soigneusement brodés à la main autour de l’encolure et jusqu’à la moitié du vêtement, à l’aide de fils de soie fins ou de fils recouverts d’or et d’argent. Les connaissances et le savoir-faire associés à la fabrication, au port et à la préservation du </w:t>
      </w:r>
      <w:proofErr w:type="spellStart"/>
      <w:r w:rsidRPr="00503070">
        <w:rPr>
          <w:lang w:val="fr-FR"/>
        </w:rPr>
        <w:t>bisht</w:t>
      </w:r>
      <w:proofErr w:type="spellEnd"/>
      <w:r w:rsidRPr="00503070">
        <w:rPr>
          <w:lang w:val="fr-FR"/>
        </w:rPr>
        <w:t xml:space="preserve"> sont transmis de manière informelle au sein des familles et des ateliers, ainsi que de manière formelle par le biais d’écoles et d’instituts spécialisés dans les arts et les vêtements traditionnels. Le vêtement revêt une signification sociale et culturelle profonde pour les communautés qui pratiquent la tradition, et est perçu comme un symbole de respect, de protection et, dans certains cas, de statut social et de leadership. Il relie également les gens à leur identité culturelle tout en favorisant l’harmonie sociale et le partage du patrimoine culturel.</w:t>
      </w:r>
    </w:p>
    <w:p w14:paraId="41882A2A" w14:textId="77777777" w:rsidR="00446163" w:rsidRPr="00503070" w:rsidRDefault="00446163" w:rsidP="00446163">
      <w:pPr>
        <w:pStyle w:val="Style1"/>
        <w:ind w:left="1122" w:hanging="555"/>
        <w:rPr>
          <w:lang w:val="fr-FR"/>
        </w:rPr>
      </w:pPr>
      <w:r w:rsidRPr="00503070">
        <w:rPr>
          <w:lang w:val="fr-FR"/>
        </w:rPr>
        <w:t>R.2 :</w:t>
      </w:r>
      <w:r w:rsidRPr="00503070">
        <w:rPr>
          <w:lang w:val="fr-FR"/>
        </w:rPr>
        <w:tab/>
        <w:t>Les États parties soumissionnaires démontrent de manière constante comment l’élément contribue au développement durable et comment son inscription garantirait la visibilité et la sensibilisation à l’importance du patrimoine culturel immatériel. Intégré dans les programmes d’études consacrés au design, à la décoration et à la broderie, l’élément contribue à une éducation de qualité. En tant que travail collaboratif entre hommes et femmes il favorise le dialogue, l’égalité des genres ainsi que la cohésion sociale. Il assure également un développement économique inclusif, en offrant des opportunités d’emploi et des revenus équitables à divers groupes, individus et communautés. Sur le plan environnemental, l’utilisation de matériaux naturels et d’énergies respectueuses de l’environnement contribue à la durabilité. Enfin l’élément renforce l’esprit d’innovation et de créativité, représentant la diversité culturelle.</w:t>
      </w:r>
    </w:p>
    <w:p w14:paraId="1FC664A0" w14:textId="77777777" w:rsidR="00446163" w:rsidRPr="00503070" w:rsidRDefault="00446163" w:rsidP="00446163">
      <w:pPr>
        <w:pStyle w:val="Style1"/>
        <w:ind w:left="1122" w:hanging="555"/>
        <w:rPr>
          <w:lang w:val="fr-FR"/>
        </w:rPr>
      </w:pPr>
      <w:r w:rsidRPr="00503070">
        <w:rPr>
          <w:lang w:val="fr-FR"/>
        </w:rPr>
        <w:t>R.3 :</w:t>
      </w:r>
      <w:r w:rsidRPr="00503070">
        <w:rPr>
          <w:lang w:val="fr-FR"/>
        </w:rPr>
        <w:tab/>
        <w:t>Les mesures de sauvegarde sont étendues, intégrées et mises en œuvre dans tous les États parties grâce à la collaboration entre les gouvernements, les communautés, les organisations non gouvernementales et les individus concernés. Ces mesures incluent des activités de documentation, la préservation par le biais de musées ethnographiques et l’inventaire de l’élément. D’autres mesures sont décrites en fonction des caractéristiques spécifiques de chaque État partie, dans le but d’améliorer la visibilité de l’élément dans ses contextes respectifs. Il peut s’agir d’incitations financières, d’intégration dans les programmes d’études, de diffusion, de festivals et de publications, entre autres initiatives.</w:t>
      </w:r>
    </w:p>
    <w:p w14:paraId="190F2006" w14:textId="77777777" w:rsidR="00446163" w:rsidRPr="00503070" w:rsidRDefault="00446163" w:rsidP="00446163">
      <w:pPr>
        <w:pStyle w:val="Style1"/>
        <w:ind w:left="1122" w:hanging="555"/>
        <w:rPr>
          <w:lang w:val="fr-FR"/>
        </w:rPr>
      </w:pPr>
      <w:r w:rsidRPr="00503070">
        <w:rPr>
          <w:lang w:val="fr-FR"/>
        </w:rPr>
        <w:t>R.4 :</w:t>
      </w:r>
      <w:r w:rsidRPr="00503070">
        <w:rPr>
          <w:lang w:val="fr-FR"/>
        </w:rPr>
        <w:tab/>
        <w:t xml:space="preserve">La candidature a été préparée dans le cadre des activités de documentation axées sur l’élément, qui était l’une des priorités pour la reconnaissance internationale. </w:t>
      </w:r>
      <w:proofErr w:type="gramStart"/>
      <w:r w:rsidRPr="00503070">
        <w:rPr>
          <w:lang w:val="fr-FR"/>
        </w:rPr>
        <w:t>Suite à une</w:t>
      </w:r>
      <w:proofErr w:type="gramEnd"/>
      <w:r w:rsidRPr="00503070">
        <w:rPr>
          <w:lang w:val="fr-FR"/>
        </w:rPr>
        <w:t xml:space="preserve"> initiative du Qatar en 2021, une consultation multinationale concernant la candidature a été discutée lors de plusieurs réunions tenues dans chaque État partie. En 2023, une réunion générale virtuelle a été organisée, à laquelle ont participé des représentants de tous les États concernés. Cette démarche a été suivie d’une série de réunions et de discussions dans chaque État, qui ont abouti à la création d’un groupe de travail composé de praticiens, d’experts, d’agences gouvernementales et d’organisations non gouvernementales. Enfin, deux réunions physiques ont été organisées, en 2023 et 2024, réunissant plusieurs parties prenantes pour affiner et valider les données relatives à la candidature.</w:t>
      </w:r>
    </w:p>
    <w:p w14:paraId="744C4E1C" w14:textId="77777777" w:rsidR="00446163" w:rsidRPr="00503070" w:rsidRDefault="00446163" w:rsidP="00446163">
      <w:pPr>
        <w:pStyle w:val="Style1"/>
        <w:ind w:left="1122" w:hanging="555"/>
        <w:rPr>
          <w:lang w:val="fr-FR"/>
        </w:rPr>
      </w:pPr>
      <w:r w:rsidRPr="00503070">
        <w:rPr>
          <w:lang w:val="fr-FR"/>
        </w:rPr>
        <w:t>R.5 :</w:t>
      </w:r>
      <w:r w:rsidRPr="00503070">
        <w:rPr>
          <w:lang w:val="fr-FR"/>
        </w:rPr>
        <w:tab/>
        <w:t xml:space="preserve">Le dossier de candidature énumère les noms des inventaires dans lesquels l’élément est inclus dans chaque État partie, ainsi que des informations sur les organismes responsables respectifs, les numéros de référence pertinents et les dates d’inclusion (entre 2012 et 2024). Des informations sur la mise à jour et la périodicité de ces inventaires, sont fournies dans les rapports périodiques présentés par le Bahreïn, l’Iraq, la Jordanie, le Koweït, Oman, le Qatar, l’Arabie saoudite, la République arabe syrienne et les Émirats arabes unis. La périodicité varie </w:t>
      </w:r>
      <w:proofErr w:type="gramStart"/>
      <w:r w:rsidRPr="00503070">
        <w:rPr>
          <w:lang w:val="fr-FR"/>
        </w:rPr>
        <w:t>de un</w:t>
      </w:r>
      <w:proofErr w:type="gramEnd"/>
      <w:r w:rsidRPr="00503070">
        <w:rPr>
          <w:lang w:val="fr-FR"/>
        </w:rPr>
        <w:t xml:space="preserve"> à cinq ans, ou selon la nécessité d’inclure ou de réviser des éléments dans chaque État partie. Dans tous les cas, les </w:t>
      </w:r>
      <w:r w:rsidRPr="00503070">
        <w:rPr>
          <w:lang w:val="fr-FR"/>
        </w:rPr>
        <w:lastRenderedPageBreak/>
        <w:t>communautés, les groupes et les organisations non gouvernementales participent activement aux processus.</w:t>
      </w:r>
    </w:p>
    <w:p w14:paraId="2E5D7066" w14:textId="77777777" w:rsidR="00446163" w:rsidRPr="00503070" w:rsidRDefault="00446163" w:rsidP="001E17AF">
      <w:pPr>
        <w:numPr>
          <w:ilvl w:val="0"/>
          <w:numId w:val="85"/>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w:t>
      </w:r>
      <w:proofErr w:type="spellStart"/>
      <w:r w:rsidRPr="00503070">
        <w:rPr>
          <w:rFonts w:ascii="Arial" w:hAnsi="Arial" w:cs="Arial"/>
          <w:b/>
          <w:sz w:val="22"/>
          <w:szCs w:val="22"/>
        </w:rPr>
        <w:t>bisht</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abaa</w:t>
      </w:r>
      <w:proofErr w:type="spellEnd"/>
      <w:r w:rsidRPr="00503070">
        <w:rPr>
          <w:rFonts w:ascii="Arial" w:hAnsi="Arial" w:cs="Arial"/>
          <w:b/>
          <w:sz w:val="22"/>
          <w:szCs w:val="22"/>
        </w:rPr>
        <w:t xml:space="preserve"> pour hommes) : savoir-faire et pratiques</w:t>
      </w:r>
      <w:r w:rsidRPr="00503070">
        <w:rPr>
          <w:rFonts w:ascii="Arial" w:hAnsi="Arial" w:cs="Arial"/>
          <w:sz w:val="22"/>
          <w:szCs w:val="22"/>
        </w:rPr>
        <w:t xml:space="preserve"> sur la Liste représentative du patrimoine culturel immatériel de l’humanité ;</w:t>
      </w:r>
    </w:p>
    <w:p w14:paraId="51ADC601" w14:textId="77777777" w:rsidR="00446163" w:rsidRPr="00503070" w:rsidRDefault="00446163" w:rsidP="001E17AF">
      <w:pPr>
        <w:numPr>
          <w:ilvl w:val="0"/>
          <w:numId w:val="85"/>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pour leur collaboration exemplaire dans la promotion de la reconnaissance d’un élément culturel partagé.</w:t>
      </w:r>
    </w:p>
    <w:p w14:paraId="1292031C" w14:textId="77777777" w:rsidR="00446163" w:rsidRPr="00503070" w:rsidRDefault="00446163" w:rsidP="00446163">
      <w:pPr>
        <w:pStyle w:val="Heading1"/>
        <w:rPr>
          <w:bCs/>
        </w:rPr>
      </w:pPr>
      <w:r w:rsidRPr="00503070">
        <w:t>DÉCISION 20.COM 7.b.38</w:t>
      </w:r>
    </w:p>
    <w:p w14:paraId="068E0E7C" w14:textId="77777777" w:rsidR="00446163" w:rsidRPr="00503070" w:rsidRDefault="00446163" w:rsidP="00446163">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12CE5F33" w14:textId="77777777" w:rsidR="00446163" w:rsidRPr="00503070" w:rsidRDefault="00446163" w:rsidP="001E17AF">
      <w:pPr>
        <w:numPr>
          <w:ilvl w:val="0"/>
          <w:numId w:val="86"/>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Roumanie et la République de Moldova ont proposé la candidature de </w:t>
      </w:r>
      <w:r w:rsidRPr="00503070">
        <w:rPr>
          <w:rFonts w:ascii="Arial" w:hAnsi="Arial" w:cs="Arial"/>
          <w:b/>
          <w:sz w:val="22"/>
          <w:szCs w:val="22"/>
        </w:rPr>
        <w:t>la cobza, connaissances, savoir-faire et musique traditionnels</w:t>
      </w:r>
      <w:r w:rsidRPr="00503070">
        <w:rPr>
          <w:rFonts w:ascii="Arial" w:hAnsi="Arial" w:cs="Arial"/>
          <w:sz w:val="22"/>
          <w:szCs w:val="22"/>
        </w:rPr>
        <w:t xml:space="preserve"> (n° 02262) pour inscription sur la Liste représentative du patrimoine culturel immatériel de l’humanité :</w:t>
      </w:r>
    </w:p>
    <w:p w14:paraId="1226EB31" w14:textId="77777777" w:rsidR="00446163" w:rsidRPr="00503070" w:rsidRDefault="00446163" w:rsidP="00446163">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cobza est un instrument à cordes en forme de poire, avec un manche court et un corps en bois, traditionnellement utilisé pour rythmer et harmoniser la musique folklorique. Il peut être joué en solo ou en groupe et est généralement gratté à l’aide d’une plume d’oie pliée. Bien que sa conception ait légèrement évolué au fil du temps, notamment avec l’utilisation récente de cordes métalliques, l’instrument conserve sa forme traditionnelle, en particulier lorsqu’il est fabriqué par des artisans locaux. La cobza est surtout utilisée dans les communautés rurales, où elle fait depuis longtemps partie des rassemblements sociaux, des danses et des célébrations. </w:t>
      </w:r>
    </w:p>
    <w:p w14:paraId="7A196B19" w14:textId="77777777" w:rsidR="00446163" w:rsidRPr="00503070" w:rsidRDefault="00446163" w:rsidP="001E17AF">
      <w:pPr>
        <w:keepNext/>
        <w:numPr>
          <w:ilvl w:val="0"/>
          <w:numId w:val="86"/>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3C2E960B" w14:textId="77777777" w:rsidR="00446163" w:rsidRPr="00503070" w:rsidRDefault="00446163" w:rsidP="00446163">
      <w:pPr>
        <w:pStyle w:val="Style1"/>
        <w:ind w:left="1122" w:hanging="555"/>
        <w:rPr>
          <w:lang w:val="fr-FR"/>
        </w:rPr>
      </w:pPr>
      <w:r w:rsidRPr="00503070">
        <w:rPr>
          <w:lang w:val="fr-FR"/>
        </w:rPr>
        <w:t>R.1 :</w:t>
      </w:r>
      <w:r w:rsidRPr="00503070">
        <w:rPr>
          <w:lang w:val="fr-FR"/>
        </w:rPr>
        <w:tab/>
        <w:t>Les personnes qui fabriquent et jouent de la cobza viennent d’horizons différents, notamment de divers groupes ethniques et de zones urbaines et rurales. Traditionnellement, les connaissances et le savoir-faire associés au jeu et à la fabrication de la cobza étaient transmis de manière informelle, de maîtres à apprentis. Aujourd’hui, les jeunes musiciens étudient également la cobza dans les écoles d’art et les universités. La fabrication de la cobza nécessite des années d’expérience et de recherche sur des instruments anciens, souvent trouvés dans des maisons ou des musées. Élément important de la vie des communautés, la cobza contribue à la transmission d’autres traditions, telles que la danse, les vêtements traditionnels et les contes. Son utilisation continue renforce l’identité culturelle et les liens sociaux dans les régions où elle est jouée.</w:t>
      </w:r>
    </w:p>
    <w:p w14:paraId="623EF67E" w14:textId="77777777" w:rsidR="00446163" w:rsidRPr="00503070" w:rsidRDefault="00446163" w:rsidP="00446163">
      <w:pPr>
        <w:pStyle w:val="Style1"/>
        <w:ind w:left="1122" w:hanging="555"/>
        <w:rPr>
          <w:lang w:val="fr-FR"/>
        </w:rPr>
      </w:pPr>
      <w:r w:rsidRPr="00503070">
        <w:rPr>
          <w:lang w:val="fr-FR"/>
        </w:rPr>
        <w:t>R.2 :</w:t>
      </w:r>
      <w:r w:rsidRPr="00503070">
        <w:rPr>
          <w:lang w:val="fr-FR"/>
        </w:rPr>
        <w:tab/>
        <w:t xml:space="preserve">L’État partie soumissionnaire démontre de manière constante que du fait que la cobza fait partie d’un ensemble d’expressions culturelles créées et diffusées par des communautés situées principalement dans des zones rurales et marginales, l’inscription de cet élément contribuerait à améliorer leur perception et leur estime de soi. Il contribuerait également à la paix et à la cohésion sociale entre les praticiens issus de différents groupes ethniques et milieux sociaux, tant parmi les générations plus âgées que parmi les plus jeunes, hommes et femmes confondus, car un nombre croissant de femmes et de filles ont commencé à apprendre cet instrument pour exprimer leur créativité et leur identité. En outre, cela pourrait améliorer l’éducation de qualité, en ce qui concerne le respect des règles d’interprétation et de transmission de la cobza et favoriser un développement économique inclusif, étant donné la possibilité de gagner un revenu décent. Enfin, grâce à l’utilisation de matériaux organiques, cet élément est respectueux de l’environnement. </w:t>
      </w:r>
    </w:p>
    <w:p w14:paraId="24831917" w14:textId="77777777" w:rsidR="00446163" w:rsidRPr="00503070" w:rsidRDefault="00446163" w:rsidP="00446163">
      <w:pPr>
        <w:pStyle w:val="Style1"/>
        <w:ind w:left="1122" w:hanging="555"/>
        <w:rPr>
          <w:lang w:val="fr-FR"/>
        </w:rPr>
      </w:pPr>
      <w:r w:rsidRPr="00503070">
        <w:rPr>
          <w:lang w:val="fr-FR"/>
        </w:rPr>
        <w:t>R.3 :</w:t>
      </w:r>
      <w:r w:rsidRPr="00503070">
        <w:rPr>
          <w:lang w:val="fr-FR"/>
        </w:rPr>
        <w:tab/>
        <w:t xml:space="preserve">Le dossier de candidature fait état de mesures de sauvegarde bien développées, qui impliquent à la fois les États parties et les communautés concernées, en adoptant une approche équilibrée qui combine la documentation, l’éducation, la sensibilisation et la coopération internationale. La transmission est assurée par l’éducation formelle et non formelle, ainsi que par des initiatives menées par les communautés. La participation des </w:t>
      </w:r>
      <w:r w:rsidRPr="00503070">
        <w:rPr>
          <w:lang w:val="fr-FR"/>
        </w:rPr>
        <w:lastRenderedPageBreak/>
        <w:t>praticiens et des institutions culturelles à la recherche, aux festivals et aux activités médiatiques illustre un engagement soutenu. La collaboration transfrontalière et le soutien institutionnel sont efficacement mobilisés pour promouvoir l’élément et contribuer à sa viabilité à long terme.</w:t>
      </w:r>
    </w:p>
    <w:p w14:paraId="54664E9D" w14:textId="77777777" w:rsidR="00446163" w:rsidRPr="00503070" w:rsidRDefault="00446163" w:rsidP="00446163">
      <w:pPr>
        <w:pStyle w:val="Style1"/>
        <w:ind w:left="1122" w:hanging="555"/>
        <w:rPr>
          <w:lang w:val="fr-FR"/>
        </w:rPr>
      </w:pPr>
      <w:r w:rsidRPr="00503070">
        <w:rPr>
          <w:lang w:val="fr-FR"/>
        </w:rPr>
        <w:t>R.4 :</w:t>
      </w:r>
      <w:r w:rsidRPr="00503070">
        <w:rPr>
          <w:lang w:val="fr-FR"/>
        </w:rPr>
        <w:tab/>
        <w:t>Le dossier de candidature démontre la contribution des détenteurs à toutes les phases du processus au niveau national dans chaque État. Les détenteurs ont participé à des séminaires, des discussions et des consultations concernant l’élément et les risques auxquels celui-ci est confronté dans le contexte actuel. Le plan de sauvegarde a été conçu pour faire face à ces risques, et les parties prenantes de chaque pays (organes gouvernementaux, experts, travailleurs culturels, conservateurs de musée, éducateurs, bénévoles et représentants d’ONG) se sont engagées à préserver de manière active et créative les connaissances et le savoir-faire associés à la culture de la cobza.</w:t>
      </w:r>
    </w:p>
    <w:p w14:paraId="73E2ACE8" w14:textId="77777777" w:rsidR="00446163" w:rsidRPr="00503070" w:rsidRDefault="00446163" w:rsidP="00446163">
      <w:pPr>
        <w:pStyle w:val="Style1"/>
        <w:ind w:left="1122" w:hanging="555"/>
        <w:rPr>
          <w:lang w:val="fr-FR"/>
        </w:rPr>
      </w:pPr>
      <w:r w:rsidRPr="00503070">
        <w:rPr>
          <w:lang w:val="fr-FR"/>
        </w:rPr>
        <w:t>R.5 :</w:t>
      </w:r>
      <w:r w:rsidRPr="00503070">
        <w:rPr>
          <w:lang w:val="fr-FR"/>
        </w:rPr>
        <w:tab/>
        <w:t>L’élément a été inclus dans l’inventaire national des éléments du patrimoine culturel immatériel de Roumanie ainsi que dans le registre national du patrimoine culturel immatériel de la République de Moldavie en 2024. Le premier est géré par la Commission nationale pour la sauvegarde du patrimoine culturel immatériel en Roumanie et est mis à jour chaque fois qu’une proposition adéquate est faite par des communautés, des groupes, des individus ou des experts culturels/institutions patrimoniales. Le second est géré par l’Institut national du patrimoine Commission nationale pour la sauvegarde du patrimoine culturel immatériel de Moldova. Il est mis à jour sur la base des fichiers patrimoniaux élaborés par les institutions compétentes dans ce domaine, avec la large participation de spécialistes, de communautés, de groupes, d’organisations non gouvernementales, de dépositaires et de toutes les personnes intéressées.</w:t>
      </w:r>
    </w:p>
    <w:p w14:paraId="5A10323F" w14:textId="77777777" w:rsidR="00446163" w:rsidRPr="00503070" w:rsidRDefault="00446163" w:rsidP="001E17AF">
      <w:pPr>
        <w:numPr>
          <w:ilvl w:val="0"/>
          <w:numId w:val="86"/>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 cobza, connaissances, savoir-faire et musique traditionnels</w:t>
      </w:r>
      <w:r w:rsidRPr="00503070">
        <w:rPr>
          <w:rFonts w:ascii="Arial" w:hAnsi="Arial" w:cs="Arial"/>
          <w:sz w:val="22"/>
          <w:szCs w:val="22"/>
        </w:rPr>
        <w:t xml:space="preserve"> sur la Liste représentative du patrimoine culturel immatériel de l’humanité.</w:t>
      </w:r>
    </w:p>
    <w:p w14:paraId="3374529F" w14:textId="77777777" w:rsidR="00A43694" w:rsidRPr="00503070" w:rsidRDefault="00A43694" w:rsidP="00A43694">
      <w:pPr>
        <w:pStyle w:val="Heading1"/>
        <w:rPr>
          <w:bCs/>
        </w:rPr>
      </w:pPr>
      <w:r w:rsidRPr="00503070">
        <w:t>DÉCISION 20.COM 7.b.39</w:t>
      </w:r>
    </w:p>
    <w:p w14:paraId="10927043" w14:textId="77777777" w:rsidR="00A43694" w:rsidRPr="00503070" w:rsidRDefault="00A43694" w:rsidP="00A43694">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CE96D4A" w14:textId="77777777" w:rsidR="00A43694" w:rsidRPr="00503070" w:rsidRDefault="00A43694" w:rsidP="001E17AF">
      <w:pPr>
        <w:numPr>
          <w:ilvl w:val="0"/>
          <w:numId w:val="8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Sao Tomé-et-Principe a proposé la candidature de </w:t>
      </w:r>
      <w:proofErr w:type="spellStart"/>
      <w:r w:rsidRPr="00503070">
        <w:rPr>
          <w:rFonts w:ascii="Arial" w:hAnsi="Arial" w:cs="Arial"/>
          <w:b/>
          <w:sz w:val="22"/>
          <w:szCs w:val="22"/>
        </w:rPr>
        <w:t>Tchiloli</w:t>
      </w:r>
      <w:proofErr w:type="spellEnd"/>
      <w:r w:rsidRPr="00503070">
        <w:rPr>
          <w:rFonts w:ascii="Arial" w:hAnsi="Arial" w:cs="Arial"/>
          <w:b/>
          <w:sz w:val="22"/>
          <w:szCs w:val="22"/>
        </w:rPr>
        <w:t>, théâtre vivant de Sao Tomé-et-Principe dans la quête de la justice</w:t>
      </w:r>
      <w:r w:rsidRPr="00503070">
        <w:rPr>
          <w:rFonts w:ascii="Arial" w:hAnsi="Arial" w:cs="Arial"/>
          <w:sz w:val="22"/>
          <w:szCs w:val="22"/>
        </w:rPr>
        <w:t xml:space="preserve"> (n° 02309) pour inscription sur la Liste représentative du patrimoine culturel immatériel de l’humanité :</w:t>
      </w:r>
    </w:p>
    <w:p w14:paraId="02129D82" w14:textId="77777777" w:rsidR="00A43694" w:rsidRPr="00503070" w:rsidRDefault="00A43694" w:rsidP="00A43694">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tchiloli</w:t>
      </w:r>
      <w:proofErr w:type="spellEnd"/>
      <w:r w:rsidRPr="00503070">
        <w:rPr>
          <w:rFonts w:ascii="Arial" w:hAnsi="Arial" w:cs="Arial"/>
          <w:sz w:val="22"/>
          <w:szCs w:val="22"/>
        </w:rPr>
        <w:t xml:space="preserve"> est une forme traditionnelle de théâtre en plein air impliquant des acteurs, des musiciens et un public engagé. Il est pratiqué dans un espace ouvert lors de festivals ou d’événements publics, et commence généralement par un rituel mené par les femmes. Inspirée d’une pièce de théâtre traditionnelle, l’histoire est centrée sur un procès pour meurtre et implique une trentaine d’acteurs. Ces acteurs représentent différents rôles dans le système judiciaire : la famille de la victime, l’empereur et sa cour, ainsi que diverses personnalités juridiques et publiques. La scène principale est un procès public où le fils de l’empereur est accusé du crime. Malgré son statut royal, il est jugé et condamné, illustrant ainsi la valeur de l’égalité devant la loi. </w:t>
      </w:r>
    </w:p>
    <w:p w14:paraId="1F312DBD" w14:textId="77777777" w:rsidR="00A43694" w:rsidRPr="00503070" w:rsidRDefault="00A43694" w:rsidP="001E17AF">
      <w:pPr>
        <w:keepNext/>
        <w:numPr>
          <w:ilvl w:val="0"/>
          <w:numId w:val="8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l’humanités comme suit :</w:t>
      </w:r>
    </w:p>
    <w:p w14:paraId="3CB47744" w14:textId="77777777" w:rsidR="00A43694" w:rsidRPr="00503070" w:rsidRDefault="00A43694" w:rsidP="00A43694">
      <w:pPr>
        <w:pStyle w:val="Style1"/>
        <w:ind w:left="1122" w:hanging="555"/>
        <w:rPr>
          <w:lang w:val="fr-FR"/>
        </w:rPr>
      </w:pPr>
      <w:r w:rsidRPr="00503070">
        <w:rPr>
          <w:lang w:val="fr-FR"/>
        </w:rPr>
        <w:t>R.1 :</w:t>
      </w:r>
      <w:r w:rsidRPr="00503070">
        <w:rPr>
          <w:lang w:val="fr-FR"/>
        </w:rPr>
        <w:tab/>
        <w:t xml:space="preserve">La musique joue un rôle important dans le spectacle, les tambours, les flûtes et les maracas marquant les différentes scènes. Le public participe également en réagissant et parfois en prenant part aux représentations. De nombreuses personnes contribuent au </w:t>
      </w:r>
      <w:proofErr w:type="spellStart"/>
      <w:r w:rsidRPr="00503070">
        <w:rPr>
          <w:lang w:val="fr-FR"/>
        </w:rPr>
        <w:t>tchiloli</w:t>
      </w:r>
      <w:proofErr w:type="spellEnd"/>
      <w:r w:rsidRPr="00503070">
        <w:rPr>
          <w:lang w:val="fr-FR"/>
        </w:rPr>
        <w:t xml:space="preserve">, des sponsors aux managers, en passant par les acteurs, les musiciens, les costumiers et les bénévoles. Les connaissances et le savoir-faire associés sont enseignés dans les écoles et transmis de manière informelle au sein des familles et des groupes de performance. Les jeunes apprennent en observant, en pratiquant et en adoptant progressivement des rôles. Cette pratique basée sur les communautés </w:t>
      </w:r>
      <w:r w:rsidRPr="00503070">
        <w:rPr>
          <w:lang w:val="fr-FR"/>
        </w:rPr>
        <w:lastRenderedPageBreak/>
        <w:t>rassemble les gens et contribue à la transmission de valeurs communes, telles que la justice sociale, l’égalité et la coexistence pacifique.</w:t>
      </w:r>
    </w:p>
    <w:p w14:paraId="725040BE" w14:textId="77777777" w:rsidR="00A43694" w:rsidRPr="00503070" w:rsidRDefault="00A43694" w:rsidP="00A43694">
      <w:pPr>
        <w:pStyle w:val="Style1"/>
        <w:ind w:left="1122" w:hanging="555"/>
        <w:rPr>
          <w:lang w:val="fr-FR"/>
        </w:rPr>
      </w:pPr>
      <w:r w:rsidRPr="00503070">
        <w:rPr>
          <w:lang w:val="fr-FR"/>
        </w:rPr>
        <w:t>R.2 :</w:t>
      </w:r>
      <w:r w:rsidRPr="00503070">
        <w:rPr>
          <w:lang w:val="fr-FR"/>
        </w:rPr>
        <w:tab/>
        <w:t xml:space="preserve">L’État partie soumissionnaire démontre de manière constante comment l’élément contribue au développement durable et comment son inscription garantirait la visibilité et la sensibilisation à l’importance du patrimoine culturel immatériel. Ouvert aux hommes et aux femmes, aux jeunes et aux moins jeunes, aux personnes de tous les milieux sociaux, l’élément renforce les liens de la communauté et contribue au développement durable. Outre les rôles rituels traditionnels et la responsabilité de la confection et de l’entretien des costumes, les femmes peuvent interpréter tous les personnages et rôles du </w:t>
      </w:r>
      <w:proofErr w:type="spellStart"/>
      <w:r w:rsidRPr="00503070">
        <w:rPr>
          <w:lang w:val="fr-FR"/>
        </w:rPr>
        <w:t>tchiloli</w:t>
      </w:r>
      <w:proofErr w:type="spellEnd"/>
      <w:r w:rsidRPr="00503070">
        <w:rPr>
          <w:lang w:val="fr-FR"/>
        </w:rPr>
        <w:t xml:space="preserve">, à tel point qu’il existe même des groupes de </w:t>
      </w:r>
      <w:proofErr w:type="spellStart"/>
      <w:r w:rsidRPr="00503070">
        <w:rPr>
          <w:lang w:val="fr-FR"/>
        </w:rPr>
        <w:t>tchiloli</w:t>
      </w:r>
      <w:proofErr w:type="spellEnd"/>
      <w:r w:rsidRPr="00503070">
        <w:rPr>
          <w:lang w:val="fr-FR"/>
        </w:rPr>
        <w:t xml:space="preserve"> exclusivement féminins. En outre, cette pratique génère des ressources grâce à la vente de produits dérivés et aux commissions de performance. Enfin, dans le domaine de l’éducation, l’élément est abordé à l’école primaire, où il sert de base pour travailler sur le contenu lié à la dynamique du conflit dans le contexte de la représentation dramatique.</w:t>
      </w:r>
    </w:p>
    <w:p w14:paraId="0BD0BF73" w14:textId="77777777" w:rsidR="00A43694" w:rsidRPr="00503070" w:rsidRDefault="00A43694" w:rsidP="00A43694">
      <w:pPr>
        <w:pStyle w:val="Style1"/>
        <w:ind w:left="1122" w:hanging="555"/>
        <w:rPr>
          <w:lang w:val="fr-FR"/>
        </w:rPr>
      </w:pPr>
      <w:r w:rsidRPr="00503070">
        <w:rPr>
          <w:lang w:val="fr-FR"/>
        </w:rPr>
        <w:t>R.3 :</w:t>
      </w:r>
      <w:r w:rsidRPr="00503070">
        <w:rPr>
          <w:lang w:val="fr-FR"/>
        </w:rPr>
        <w:tab/>
        <w:t xml:space="preserve">Les mesures de sauvegarde s’articulent autour de trois axes : (a) la sensibilisation, la promotion et la valorisation, avec l’organisation de concours et d’événements et la diffusion de documents sur l’élément ; (b) la transmission des connaissances et des compétences liées à la pratique, en mettant l’accent sur la formation des jeunes et l’expansion du réseau de </w:t>
      </w:r>
      <w:proofErr w:type="spellStart"/>
      <w:r w:rsidRPr="00503070">
        <w:rPr>
          <w:lang w:val="fr-FR"/>
        </w:rPr>
        <w:t>tchiloli</w:t>
      </w:r>
      <w:proofErr w:type="spellEnd"/>
      <w:r w:rsidRPr="00503070">
        <w:rPr>
          <w:lang w:val="fr-FR"/>
        </w:rPr>
        <w:t xml:space="preserve"> ; et (c) l’identification, la documentation et la recherche, avec des centres de ressources, un musée vivant et des symposiums scientifiques sur le </w:t>
      </w:r>
      <w:proofErr w:type="spellStart"/>
      <w:r w:rsidRPr="00503070">
        <w:rPr>
          <w:lang w:val="fr-FR"/>
        </w:rPr>
        <w:t>tchiloli</w:t>
      </w:r>
      <w:proofErr w:type="spellEnd"/>
      <w:r w:rsidRPr="00503070">
        <w:rPr>
          <w:lang w:val="fr-FR"/>
        </w:rPr>
        <w:t xml:space="preserve">. Les mesures proposées seront mises en œuvre par le réseau dédié au </w:t>
      </w:r>
      <w:proofErr w:type="spellStart"/>
      <w:r w:rsidRPr="00503070">
        <w:rPr>
          <w:lang w:val="fr-FR"/>
        </w:rPr>
        <w:t>tchiloli</w:t>
      </w:r>
      <w:proofErr w:type="spellEnd"/>
      <w:r w:rsidRPr="00503070">
        <w:rPr>
          <w:lang w:val="fr-FR"/>
        </w:rPr>
        <w:t xml:space="preserve"> avec le soutien technique, financier et logistique du gouvernement.</w:t>
      </w:r>
    </w:p>
    <w:p w14:paraId="624D4D28" w14:textId="77777777" w:rsidR="00A43694" w:rsidRPr="00503070" w:rsidRDefault="00A43694" w:rsidP="00A43694">
      <w:pPr>
        <w:pStyle w:val="Style1"/>
        <w:ind w:left="1122" w:hanging="555"/>
        <w:rPr>
          <w:lang w:val="fr-FR"/>
        </w:rPr>
      </w:pPr>
      <w:r w:rsidRPr="00503070">
        <w:rPr>
          <w:lang w:val="fr-FR"/>
        </w:rPr>
        <w:t>R.4 :</w:t>
      </w:r>
      <w:r w:rsidRPr="00503070">
        <w:rPr>
          <w:lang w:val="fr-FR"/>
        </w:rPr>
        <w:tab/>
        <w:t xml:space="preserve">L’État partie soumissionnaire a démontré la participation des communautés au processus de candidature depuis 2015, lorsque de la réalisation du premier inventaire relatif au </w:t>
      </w:r>
      <w:proofErr w:type="spellStart"/>
      <w:r w:rsidRPr="00503070">
        <w:rPr>
          <w:lang w:val="fr-FR"/>
        </w:rPr>
        <w:t>tchiloli</w:t>
      </w:r>
      <w:proofErr w:type="spellEnd"/>
      <w:r w:rsidRPr="00503070">
        <w:rPr>
          <w:lang w:val="fr-FR"/>
        </w:rPr>
        <w:t>. Cet inventaire n’ayant jamais été achevé et la documentation produite ayant été intégralement perdue, de nouvelles études ont été lancées à la fin de l’année 2023 dans le but de soutenir le processus de candidature. Les communautés ont joué un rôle actif dans l’inventaire, la rédaction des dossiers, les consultations et les cycles de validation, et ont également donné un consentement audiovisuel signé.</w:t>
      </w:r>
    </w:p>
    <w:p w14:paraId="4A95E214" w14:textId="77777777" w:rsidR="00A43694" w:rsidRPr="00503070" w:rsidRDefault="00A43694" w:rsidP="00A43694">
      <w:pPr>
        <w:pStyle w:val="Style1"/>
        <w:ind w:left="1122" w:hanging="555"/>
        <w:rPr>
          <w:lang w:val="fr-FR"/>
        </w:rPr>
      </w:pPr>
      <w:r w:rsidRPr="00503070">
        <w:rPr>
          <w:lang w:val="fr-FR"/>
        </w:rPr>
        <w:t>R.5 :</w:t>
      </w:r>
      <w:r w:rsidRPr="00503070">
        <w:rPr>
          <w:lang w:val="fr-FR"/>
        </w:rPr>
        <w:tab/>
        <w:t xml:space="preserve">L’élément a été inclus dans l’inventaire national du patrimoine culturel immatériel en 2024. Cet inventaire est tenu et mis à jour tous les cinq ans par la Direction générale de la culture de Sao Tomé e Príncipe, le </w:t>
      </w:r>
      <w:proofErr w:type="gramStart"/>
      <w:r w:rsidRPr="00503070">
        <w:rPr>
          <w:lang w:val="fr-FR"/>
        </w:rPr>
        <w:t>Ministère de l’éducation</w:t>
      </w:r>
      <w:proofErr w:type="gramEnd"/>
      <w:r w:rsidRPr="00503070">
        <w:rPr>
          <w:lang w:val="fr-FR"/>
        </w:rPr>
        <w:t>, de la culture et des sciences, en partenariat avec les communautés, les groupes et les organisations non gouvernementales.</w:t>
      </w:r>
    </w:p>
    <w:p w14:paraId="730EFE57" w14:textId="77777777" w:rsidR="00A43694" w:rsidRPr="00503070" w:rsidRDefault="00A43694" w:rsidP="001E17AF">
      <w:pPr>
        <w:numPr>
          <w:ilvl w:val="0"/>
          <w:numId w:val="8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Tchiloli</w:t>
      </w:r>
      <w:proofErr w:type="spellEnd"/>
      <w:r w:rsidRPr="00503070">
        <w:rPr>
          <w:rFonts w:ascii="Arial" w:hAnsi="Arial" w:cs="Arial"/>
          <w:b/>
          <w:sz w:val="22"/>
          <w:szCs w:val="22"/>
        </w:rPr>
        <w:t>, théâtre vivant de Sao Tomé-et-Principe dans la quête de la justice</w:t>
      </w:r>
      <w:r w:rsidRPr="00503070">
        <w:rPr>
          <w:rFonts w:ascii="Arial" w:hAnsi="Arial" w:cs="Arial"/>
          <w:sz w:val="22"/>
          <w:szCs w:val="22"/>
        </w:rPr>
        <w:t xml:space="preserve"> sur la Liste représentative du patrimoine culturel immatériel de l’humanité ;</w:t>
      </w:r>
    </w:p>
    <w:p w14:paraId="21405115" w14:textId="77777777" w:rsidR="00A43694" w:rsidRPr="00503070" w:rsidRDefault="00A43694" w:rsidP="001E17AF">
      <w:pPr>
        <w:numPr>
          <w:ilvl w:val="0"/>
          <w:numId w:val="8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sa première inscription et le </w:t>
      </w:r>
      <w:r w:rsidRPr="00503070">
        <w:rPr>
          <w:rFonts w:ascii="Arial" w:hAnsi="Arial" w:cs="Arial"/>
          <w:sz w:val="22"/>
          <w:szCs w:val="22"/>
          <w:u w:val="single"/>
        </w:rPr>
        <w:t>félicite en outre</w:t>
      </w:r>
      <w:r w:rsidRPr="00503070">
        <w:rPr>
          <w:rFonts w:ascii="Arial" w:hAnsi="Arial" w:cs="Arial"/>
          <w:sz w:val="22"/>
          <w:szCs w:val="22"/>
        </w:rPr>
        <w:t xml:space="preserve"> pour sa persévérance et son engagement à compléter le dossier de candidature.</w:t>
      </w:r>
    </w:p>
    <w:p w14:paraId="3B7367AC" w14:textId="77777777" w:rsidR="00A43694" w:rsidRPr="00503070" w:rsidRDefault="00A43694" w:rsidP="00A43694">
      <w:pPr>
        <w:pStyle w:val="Heading1"/>
        <w:rPr>
          <w:bCs/>
        </w:rPr>
      </w:pPr>
      <w:r w:rsidRPr="00503070">
        <w:t>DÉCISION 20.COM 7.b.40</w:t>
      </w:r>
    </w:p>
    <w:p w14:paraId="555D118B" w14:textId="77777777" w:rsidR="00A43694" w:rsidRPr="00503070" w:rsidRDefault="00A43694" w:rsidP="00A43694">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E76D616" w14:textId="77777777" w:rsidR="00A43694" w:rsidRPr="00503070" w:rsidRDefault="00A43694" w:rsidP="001E17AF">
      <w:pPr>
        <w:numPr>
          <w:ilvl w:val="0"/>
          <w:numId w:val="8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Sri Lanka a proposé la candidature de </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Madeema</w:t>
      </w:r>
      <w:proofErr w:type="spellEnd"/>
      <w:r w:rsidRPr="00503070">
        <w:rPr>
          <w:rFonts w:ascii="Arial" w:hAnsi="Arial" w:cs="Arial"/>
          <w:b/>
          <w:sz w:val="22"/>
          <w:szCs w:val="22"/>
        </w:rPr>
        <w:t>/</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Kapeema</w:t>
      </w:r>
      <w:proofErr w:type="spellEnd"/>
      <w:r w:rsidRPr="00503070">
        <w:rPr>
          <w:rFonts w:ascii="Arial" w:hAnsi="Arial" w:cs="Arial"/>
          <w:b/>
          <w:sz w:val="22"/>
          <w:szCs w:val="22"/>
        </w:rPr>
        <w:t xml:space="preserve">, une ancienne technique autochtone d’entaillage du </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au Sri Lanka</w:t>
      </w:r>
      <w:r w:rsidRPr="00503070">
        <w:rPr>
          <w:rFonts w:ascii="Arial" w:hAnsi="Arial" w:cs="Arial"/>
          <w:sz w:val="22"/>
          <w:szCs w:val="22"/>
        </w:rPr>
        <w:t xml:space="preserve"> (n° 02318) pour inscription sur la Liste représentative du patrimoine culturel immatériel de l’humanité :</w:t>
      </w:r>
    </w:p>
    <w:p w14:paraId="60000CF7" w14:textId="77777777" w:rsidR="00A43694" w:rsidRPr="00503070" w:rsidRDefault="00A43694" w:rsidP="00A43694">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Dans les communautés rurales du Sri Lanka, le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w:t>
      </w:r>
      <w:proofErr w:type="spellStart"/>
      <w:r w:rsidRPr="00503070">
        <w:rPr>
          <w:rFonts w:ascii="Arial" w:hAnsi="Arial" w:cs="Arial"/>
          <w:sz w:val="22"/>
          <w:szCs w:val="22"/>
        </w:rPr>
        <w:t>madeema</w:t>
      </w:r>
      <w:proofErr w:type="spellEnd"/>
      <w:r w:rsidRPr="00503070">
        <w:rPr>
          <w:rFonts w:ascii="Arial" w:hAnsi="Arial" w:cs="Arial"/>
          <w:sz w:val="22"/>
          <w:szCs w:val="22"/>
        </w:rPr>
        <w:t xml:space="preserve">, ou « entaillage du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 est une méthode traditionnelle de collecte de la sève de l’arbre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un grand palmier que l’on trouve dans les forêts et les jardins privés. Le processus consiste à grimper à l’arbre à l’aide d’une échelle et à envelopper la tige de ses fleurs avec de la vigne. Un couteau à entailler </w:t>
      </w:r>
      <w:proofErr w:type="gramStart"/>
      <w:r w:rsidRPr="00503070">
        <w:rPr>
          <w:rFonts w:ascii="Arial" w:hAnsi="Arial" w:cs="Arial"/>
          <w:sz w:val="22"/>
          <w:szCs w:val="22"/>
        </w:rPr>
        <w:t>sacré</w:t>
      </w:r>
      <w:proofErr w:type="gramEnd"/>
      <w:r w:rsidRPr="00503070">
        <w:rPr>
          <w:rFonts w:ascii="Arial" w:hAnsi="Arial" w:cs="Arial"/>
          <w:sz w:val="22"/>
          <w:szCs w:val="22"/>
        </w:rPr>
        <w:t xml:space="preserve"> est ensuite utilisé pour couper la tige et recueillir la sève chaque jour. Cette sève est ensuite filtrée et bouillie pendant plusieurs heures afin d’obtenir la mélasse de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également connue sous le nom de « miel de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 Elle peut également être consommée </w:t>
      </w:r>
      <w:r w:rsidRPr="00503070">
        <w:rPr>
          <w:rFonts w:ascii="Arial" w:hAnsi="Arial" w:cs="Arial"/>
          <w:sz w:val="22"/>
          <w:szCs w:val="22"/>
        </w:rPr>
        <w:lastRenderedPageBreak/>
        <w:t xml:space="preserve">comme boisson fraîche ou transformé en jaggery (un bonbon solide), en vinaigre et en boissons alcoolisées. </w:t>
      </w:r>
    </w:p>
    <w:p w14:paraId="7CFE4D0C" w14:textId="77777777" w:rsidR="00A43694" w:rsidRPr="00503070" w:rsidRDefault="00A43694" w:rsidP="001E17AF">
      <w:pPr>
        <w:keepNext/>
        <w:numPr>
          <w:ilvl w:val="0"/>
          <w:numId w:val="8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42DEC616" w14:textId="77777777" w:rsidR="00A43694" w:rsidRPr="00503070" w:rsidRDefault="00A43694" w:rsidP="00A43694">
      <w:pPr>
        <w:pStyle w:val="ListParagraph"/>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produits à base de </w:t>
      </w:r>
      <w:proofErr w:type="spellStart"/>
      <w:r w:rsidRPr="00503070">
        <w:rPr>
          <w:rFonts w:ascii="Arial" w:hAnsi="Arial" w:cs="Arial"/>
          <w:sz w:val="22"/>
          <w:szCs w:val="22"/>
        </w:rPr>
        <w:t>kithul</w:t>
      </w:r>
      <w:proofErr w:type="spellEnd"/>
      <w:r w:rsidRPr="00503070">
        <w:rPr>
          <w:rFonts w:ascii="Arial" w:hAnsi="Arial" w:cs="Arial"/>
          <w:sz w:val="22"/>
          <w:szCs w:val="22"/>
        </w:rPr>
        <w:t xml:space="preserve"> occupent une place importante dans la vie quotidienne et sont souvent partagés lors de cérémonies, de festivals et de rassemblements. Les entailleurs respectent les croyances traditionnelles, telles que le culte de l’arbre et les pratiques de conservation de la sève. Traditionnellement, les hommes collectent la sève et les femmes la transforment. Si certaines coopératives villageoises et certains programmes gouvernementaux proposent des formations, la plupart des apprentissages se font de manière informelle à la maison. Si cette pratique était autrefois liée à certaines castes, elle appartient aujourd’hui à toutes les communautés et fait partie intégrante de la culture locale. Elle permet de préserver l’identité culturelle tout en promouvant l’unité et en créant un lien fort entre les hommes et la nature. Elle constitue en outre une source de revenus dans les zones rurales et favorise la résilience des communautés.</w:t>
      </w:r>
    </w:p>
    <w:p w14:paraId="7762163A" w14:textId="77777777" w:rsidR="00A43694" w:rsidRPr="00503070" w:rsidRDefault="00A43694" w:rsidP="00A43694">
      <w:pPr>
        <w:pStyle w:val="ListParagraph"/>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Les communautés, groupes et individus concernés par l’élément ont joué un rôle essentiel à chaque étape du processus de candidature. Ils ont participé à des consultations, des études et des réunions dans le cadre de processus décisionnels participatifs. Leur consentement libre, préalable et éclairé à la candidature a été donné sous différentes formes, ce qui témoigne de l’inclusivité et de la transparence. </w:t>
      </w:r>
    </w:p>
    <w:p w14:paraId="08FB9FEB" w14:textId="77777777" w:rsidR="00A43694" w:rsidRPr="00503070" w:rsidRDefault="00A43694" w:rsidP="00A43694">
      <w:pPr>
        <w:pStyle w:val="ListParagraph"/>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national du patrimoine culturel immatériel du Sri Lanka en 2024. L’inventaire est tenu et mis à jour par le Conseil national des services de bibliothèque et de documentation, mais la mise à jour est effectuée de manière ponctuelle. La participation inclusive des communautés et des groupes au processus d’inventaire est assurée. </w:t>
      </w:r>
    </w:p>
    <w:p w14:paraId="38329CC4" w14:textId="77777777" w:rsidR="00A43694" w:rsidRPr="00503070" w:rsidRDefault="00A43694" w:rsidP="001E17AF">
      <w:pPr>
        <w:pStyle w:val="ListParagraph"/>
        <w:numPr>
          <w:ilvl w:val="0"/>
          <w:numId w:val="89"/>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aux critères suivants d’inscription sur la Liste représentative du patrimoine culturel immatériel de l’humanité :</w:t>
      </w:r>
    </w:p>
    <w:p w14:paraId="08B4CCFE" w14:textId="77777777" w:rsidR="00A43694" w:rsidRPr="00503070" w:rsidRDefault="00A43694" w:rsidP="00A43694">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La candidature présente plusieurs arguments solides sur la manière dont l’inscription de l’élément favoriserait la visibilité du patrimoine culturel immatériel, encouragerait le dialogue interculturel et mettrait en valeur la créativité humaine. En ce qui concerne les contributions de l’élément au développement durable, le dossier de candidature souligne le lien profond qui existe entre le patrimoine culturel et naturel et met en évidence les liens entre l’élément et des aspects tels que la sécurité alimentaire, le développement économique inclusif et la durabilité environnementale.</w:t>
      </w:r>
    </w:p>
    <w:p w14:paraId="1B28F22F" w14:textId="77777777" w:rsidR="00A43694" w:rsidRPr="00503070" w:rsidRDefault="00A43694" w:rsidP="00A43694">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t>Les mesures de sauvegarde présentées par l’État partie soumissionnaire sont multiples et comprennent notamment des initiatives de sensibilisation, telles que des campagnes, des ateliers, des séminaires, des programmes et des expositions. L’approche est explicitement pilotée par la communauté à tous ses stades et inclut des stratégies tenant compte des questions de genre. Le rôle de l’État dans la facilitation et le soutien de ces efforts par le biais de la politique, de la législation et des partenariats public-privé est également clair.</w:t>
      </w:r>
    </w:p>
    <w:p w14:paraId="0CDFBA9C" w14:textId="77777777" w:rsidR="00A43694" w:rsidRPr="00503070" w:rsidRDefault="00A43694" w:rsidP="001E17AF">
      <w:pPr>
        <w:numPr>
          <w:ilvl w:val="0"/>
          <w:numId w:val="89"/>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Madeema</w:t>
      </w:r>
      <w:proofErr w:type="spellEnd"/>
      <w:r w:rsidRPr="00503070">
        <w:rPr>
          <w:rFonts w:ascii="Arial" w:hAnsi="Arial" w:cs="Arial"/>
          <w:b/>
          <w:sz w:val="22"/>
          <w:szCs w:val="22"/>
        </w:rPr>
        <w:t>/</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Kapeema</w:t>
      </w:r>
      <w:proofErr w:type="spellEnd"/>
      <w:r w:rsidRPr="00503070">
        <w:rPr>
          <w:rFonts w:ascii="Arial" w:hAnsi="Arial" w:cs="Arial"/>
          <w:b/>
          <w:sz w:val="22"/>
          <w:szCs w:val="22"/>
        </w:rPr>
        <w:t xml:space="preserve">, une ancienne technique autochtone d’entaillage du </w:t>
      </w:r>
      <w:proofErr w:type="spellStart"/>
      <w:r w:rsidRPr="00503070">
        <w:rPr>
          <w:rFonts w:ascii="Arial" w:hAnsi="Arial" w:cs="Arial"/>
          <w:b/>
          <w:sz w:val="22"/>
          <w:szCs w:val="22"/>
        </w:rPr>
        <w:t>kithul</w:t>
      </w:r>
      <w:proofErr w:type="spellEnd"/>
      <w:r w:rsidRPr="00503070">
        <w:rPr>
          <w:rFonts w:ascii="Arial" w:hAnsi="Arial" w:cs="Arial"/>
          <w:b/>
          <w:sz w:val="22"/>
          <w:szCs w:val="22"/>
        </w:rPr>
        <w:t xml:space="preserve"> au Sri Lanka</w:t>
      </w:r>
      <w:r w:rsidRPr="00503070">
        <w:rPr>
          <w:rFonts w:ascii="Arial" w:hAnsi="Arial" w:cs="Arial"/>
          <w:sz w:val="22"/>
          <w:szCs w:val="22"/>
        </w:rPr>
        <w:t xml:space="preserve"> sur la Liste représentative du patrimoine culturel immatériel de l’humanité.</w:t>
      </w:r>
    </w:p>
    <w:p w14:paraId="7E06BBB9" w14:textId="77777777" w:rsidR="00A43694" w:rsidRPr="00503070" w:rsidRDefault="00A43694" w:rsidP="00A43694">
      <w:pPr>
        <w:pStyle w:val="Heading1"/>
        <w:rPr>
          <w:bCs/>
        </w:rPr>
      </w:pPr>
      <w:r w:rsidRPr="00503070">
        <w:t>DÉCISION 20.COM 7.b.41</w:t>
      </w:r>
    </w:p>
    <w:p w14:paraId="635CAC3B" w14:textId="77777777" w:rsidR="00A43694" w:rsidRPr="00503070" w:rsidRDefault="00A43694" w:rsidP="00A43694">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5482F5E" w14:textId="77777777" w:rsidR="00A43694" w:rsidRPr="00503070" w:rsidRDefault="00A43694" w:rsidP="001E17AF">
      <w:pPr>
        <w:numPr>
          <w:ilvl w:val="0"/>
          <w:numId w:val="9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Soudan a proposé la candidature de </w:t>
      </w:r>
      <w:r w:rsidRPr="00503070">
        <w:rPr>
          <w:rFonts w:ascii="Arial" w:hAnsi="Arial" w:cs="Arial"/>
          <w:b/>
          <w:sz w:val="22"/>
          <w:szCs w:val="22"/>
        </w:rPr>
        <w:t>Al-</w:t>
      </w:r>
      <w:proofErr w:type="spellStart"/>
      <w:r w:rsidRPr="00503070">
        <w:rPr>
          <w:rFonts w:ascii="Arial" w:hAnsi="Arial" w:cs="Arial"/>
          <w:b/>
          <w:sz w:val="22"/>
          <w:szCs w:val="22"/>
        </w:rPr>
        <w:t>Jertiq</w:t>
      </w:r>
      <w:proofErr w:type="spellEnd"/>
      <w:r w:rsidRPr="00503070">
        <w:rPr>
          <w:rFonts w:ascii="Arial" w:hAnsi="Arial" w:cs="Arial"/>
          <w:b/>
          <w:sz w:val="22"/>
          <w:szCs w:val="22"/>
        </w:rPr>
        <w:t> : pratiques, rituels et expressions pour la préservation, la protection, l’abondance et la fertilité au Soudan</w:t>
      </w:r>
      <w:r w:rsidRPr="00503070">
        <w:rPr>
          <w:rFonts w:ascii="Arial" w:hAnsi="Arial" w:cs="Arial"/>
          <w:sz w:val="22"/>
          <w:szCs w:val="22"/>
        </w:rPr>
        <w:t xml:space="preserve"> </w:t>
      </w:r>
      <w:r w:rsidRPr="00503070">
        <w:rPr>
          <w:rFonts w:ascii="Arial" w:hAnsi="Arial" w:cs="Arial"/>
          <w:sz w:val="22"/>
          <w:szCs w:val="22"/>
        </w:rPr>
        <w:lastRenderedPageBreak/>
        <w:t>(n°02275) pour inscription sur la Liste représentative du patrimoine culturel immatériel de l’humanité :</w:t>
      </w:r>
    </w:p>
    <w:p w14:paraId="6D4E247A" w14:textId="77777777" w:rsidR="00A43694" w:rsidRPr="00503070" w:rsidRDefault="00A43694" w:rsidP="00A43694">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Parmi les populations nubiennes résidant dans le nord du Soudan, le long du Nil, jusqu’à la frontière égyptienne, Al-</w:t>
      </w:r>
      <w:proofErr w:type="spellStart"/>
      <w:r w:rsidRPr="00503070">
        <w:rPr>
          <w:rFonts w:ascii="Arial" w:hAnsi="Arial" w:cs="Arial"/>
          <w:sz w:val="22"/>
          <w:szCs w:val="22"/>
        </w:rPr>
        <w:t>Jertiq</w:t>
      </w:r>
      <w:proofErr w:type="spellEnd"/>
      <w:r w:rsidRPr="00503070">
        <w:rPr>
          <w:rFonts w:ascii="Arial" w:hAnsi="Arial" w:cs="Arial"/>
          <w:sz w:val="22"/>
          <w:szCs w:val="22"/>
        </w:rPr>
        <w:t xml:space="preserve"> est un rituel de protection, de fertilité et d’abondance qui a lieu lors d’événements importants de la vie tels que le mariage, l’accouchement et la circoncision, ou pour honorer la mémoire d’un jeune homme célibataire décédé. Bien que le rituel se soit adapté au fil du temps à différents environnements et aux changements sociaux, ses significations fondamentales et ses fonctions premières demeurent inchangées. Al-</w:t>
      </w:r>
      <w:proofErr w:type="spellStart"/>
      <w:r w:rsidRPr="00503070">
        <w:rPr>
          <w:rFonts w:ascii="Arial" w:hAnsi="Arial" w:cs="Arial"/>
          <w:sz w:val="22"/>
          <w:szCs w:val="22"/>
        </w:rPr>
        <w:t>Jertiq</w:t>
      </w:r>
      <w:proofErr w:type="spellEnd"/>
      <w:r w:rsidRPr="00503070">
        <w:rPr>
          <w:rFonts w:ascii="Arial" w:hAnsi="Arial" w:cs="Arial"/>
          <w:sz w:val="22"/>
          <w:szCs w:val="22"/>
        </w:rPr>
        <w:t xml:space="preserve"> implique une variété d’outils ornés qui ont une signification symbolique et sont associés à des occasions spécifiques. Chaque outil a une fonction distincte, comme protéger les praticiens du mauvais œil, apporter la bonne fortune ou favoriser la fertilité. </w:t>
      </w:r>
    </w:p>
    <w:p w14:paraId="69DA5BEC" w14:textId="77777777" w:rsidR="00A43694" w:rsidRPr="00503070" w:rsidRDefault="00A43694" w:rsidP="001E17AF">
      <w:pPr>
        <w:keepNext/>
        <w:numPr>
          <w:ilvl w:val="0"/>
          <w:numId w:val="9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9055375" w14:textId="77777777" w:rsidR="00A43694" w:rsidRPr="00503070" w:rsidRDefault="00A43694" w:rsidP="00A43694">
      <w:pPr>
        <w:pStyle w:val="Style1"/>
        <w:ind w:left="1122" w:hanging="555"/>
        <w:rPr>
          <w:lang w:val="fr-FR"/>
        </w:rPr>
      </w:pPr>
      <w:r w:rsidRPr="00503070">
        <w:rPr>
          <w:lang w:val="fr-FR"/>
        </w:rPr>
        <w:t>R.1 :</w:t>
      </w:r>
      <w:r w:rsidRPr="00503070">
        <w:rPr>
          <w:lang w:val="fr-FR"/>
        </w:rPr>
        <w:tab/>
        <w:t>Le rituel est considéré comme incomplet et porteur de malchance s’il manque quelque chose. Les cérémonies sont dirigées par des femmes plus âgées et les participants sont les mariés, les nouvelles mères, les enfants et d’autres personnes impliquées dans la cérémonie ou ayant un lien avec elle. Les traditions de l’Al-</w:t>
      </w:r>
      <w:proofErr w:type="spellStart"/>
      <w:r w:rsidRPr="00503070">
        <w:rPr>
          <w:lang w:val="fr-FR"/>
        </w:rPr>
        <w:t>Jertiq</w:t>
      </w:r>
      <w:proofErr w:type="spellEnd"/>
      <w:r w:rsidRPr="00503070">
        <w:rPr>
          <w:lang w:val="fr-FR"/>
        </w:rPr>
        <w:t xml:space="preserve"> sont transmises de manière informelle, </w:t>
      </w:r>
      <w:proofErr w:type="gramStart"/>
      <w:r w:rsidRPr="00503070">
        <w:rPr>
          <w:lang w:val="fr-FR"/>
        </w:rPr>
        <w:t>les filles observant</w:t>
      </w:r>
      <w:proofErr w:type="gramEnd"/>
      <w:r w:rsidRPr="00503070">
        <w:rPr>
          <w:lang w:val="fr-FR"/>
        </w:rPr>
        <w:t xml:space="preserve"> et imitant leurs grands-mères, leurs mères et leurs sœurs aînées lors des cérémonies et des activités connexes telles que le nettoyage, le comptage, le tri et la conservation des divers objets liés au rituel. La pratique est également transmise par le biais d’événements scolaires et universitaires, ainsi que sur les réseaux sociaux. Rite de passage, l’Al-</w:t>
      </w:r>
      <w:proofErr w:type="spellStart"/>
      <w:r w:rsidRPr="00503070">
        <w:rPr>
          <w:lang w:val="fr-FR"/>
        </w:rPr>
        <w:t>Jertiq</w:t>
      </w:r>
      <w:proofErr w:type="spellEnd"/>
      <w:r w:rsidRPr="00503070">
        <w:rPr>
          <w:lang w:val="fr-FR"/>
        </w:rPr>
        <w:t xml:space="preserve"> joue un rôle important dans la construction de l’identité, l’accompagnement des personnes dans les transitions importantes de la vie et le renforcement des liens au sein des communautés.</w:t>
      </w:r>
    </w:p>
    <w:p w14:paraId="5C5FB0D4" w14:textId="77777777" w:rsidR="00A43694" w:rsidRPr="00503070" w:rsidRDefault="00A43694" w:rsidP="00A43694">
      <w:pPr>
        <w:pStyle w:val="Style1"/>
        <w:ind w:left="1122" w:hanging="555"/>
        <w:rPr>
          <w:lang w:val="fr-FR"/>
        </w:rPr>
      </w:pPr>
      <w:r w:rsidRPr="00503070">
        <w:rPr>
          <w:lang w:val="fr-FR"/>
        </w:rPr>
        <w:t>R.2 :</w:t>
      </w:r>
      <w:r w:rsidRPr="00503070">
        <w:rPr>
          <w:lang w:val="fr-FR"/>
        </w:rPr>
        <w:tab/>
        <w:t>L’État partie soumissionnaire démontre de manière constante comment l’élément contribue au développement durable et comment son inscription garantirait la visibilité et la sensibilisation à l’importance du patrimoine culturel immatériel. Cet élément joue un rôle central dans la promotion de l’unité et de la cohésion de la communauté, en offrant aux individus la possibilité de célébrer ensemble leur héritage culturel. En ce sens, sa contribution à la consolidation de la paix est extrêmement pertinente dans le contexte des conflits et des migrations forcées vécus au niveau national. En outre, l’élément contribue à divers aspects du développement durable en intégrant les dimensions culturelles, sociales, économiques et environnementales. Son inscription permettrait de mieux faire connaître les diverses pratiques culturelles du Soudan et d’en accroître la visibilité, tant au niveau national qu’international.</w:t>
      </w:r>
    </w:p>
    <w:p w14:paraId="5E0FA2A2" w14:textId="77777777" w:rsidR="00A43694" w:rsidRPr="00503070" w:rsidRDefault="00A43694" w:rsidP="00A43694">
      <w:pPr>
        <w:pStyle w:val="Style1"/>
        <w:ind w:left="1122" w:hanging="555"/>
        <w:rPr>
          <w:lang w:val="fr-FR"/>
        </w:rPr>
      </w:pPr>
      <w:r w:rsidRPr="00503070">
        <w:rPr>
          <w:lang w:val="fr-FR"/>
        </w:rPr>
        <w:t>R.3 :</w:t>
      </w:r>
      <w:r w:rsidRPr="00503070">
        <w:rPr>
          <w:lang w:val="fr-FR"/>
        </w:rPr>
        <w:tab/>
        <w:t>Le dossier de candidature fournit un plan de sauvegarde complet et détaillé, comprenant des mesures visant à la documentation, à l’éducation, à la transmission intergénérationnelle, à la sensibilisation et au renforcement des capacités. Ces mesures ont été conçues pour harmoniser la préservation des pratiques traditionnelles avec les possibilités d’innovation et de création culturelle. La participation des organismes gouvernementaux, des universités, des d’organisations non gouvernementales, des détenteurs des communautés et des particuliers à la planification et à la mise en œuvre du plan est évidente.</w:t>
      </w:r>
    </w:p>
    <w:p w14:paraId="18DF1717" w14:textId="77777777" w:rsidR="00A43694" w:rsidRPr="00503070" w:rsidRDefault="00A43694" w:rsidP="00A43694">
      <w:pPr>
        <w:pStyle w:val="Style1"/>
        <w:ind w:left="1122" w:hanging="555"/>
        <w:rPr>
          <w:lang w:val="fr-FR"/>
        </w:rPr>
      </w:pPr>
      <w:r w:rsidRPr="00503070">
        <w:rPr>
          <w:lang w:val="fr-FR"/>
        </w:rPr>
        <w:t>R.4 :</w:t>
      </w:r>
      <w:r w:rsidRPr="00503070">
        <w:rPr>
          <w:lang w:val="fr-FR"/>
        </w:rPr>
        <w:tab/>
        <w:t>Le dossier de candidature fait état d’une large participation des communautés de divers groupes, y compris des praticiens hommes et femmes, des jeunes et des aînés, à toutes les étapes de la préparation de la proposition, qui a débuté en 2018. L’implication des femmes, qui sont les principales détentrices du rituel, est particulièrement mise en lumière. La preuve du consentement libre, préalable et éclairé a été recueillie par diverses méthodes, notamment par le biais de consentements écrits et audiovisuels, assurant que toutes les parties concernées soutiennent pleinement la candidature.</w:t>
      </w:r>
    </w:p>
    <w:p w14:paraId="418598F5" w14:textId="77777777" w:rsidR="00A43694" w:rsidRPr="00503070" w:rsidRDefault="00A43694" w:rsidP="00A43694">
      <w:pPr>
        <w:pStyle w:val="Style1"/>
        <w:ind w:left="1122" w:hanging="555"/>
      </w:pPr>
      <w:r w:rsidRPr="00503070">
        <w:rPr>
          <w:lang w:val="fr-FR"/>
        </w:rPr>
        <w:t>R.5 :</w:t>
      </w:r>
      <w:r w:rsidRPr="00503070">
        <w:rPr>
          <w:lang w:val="fr-FR"/>
        </w:rPr>
        <w:tab/>
        <w:t xml:space="preserve">L’élément a été inclus dans l’inventaire national du patrimoine culturel immatériel du Soudan en 2018. Tenu par le Conseil national pour le patrimoine culturel et la promotion </w:t>
      </w:r>
      <w:r w:rsidRPr="00503070">
        <w:rPr>
          <w:lang w:val="fr-FR"/>
        </w:rPr>
        <w:lastRenderedPageBreak/>
        <w:t xml:space="preserve">des langues nationales, cet inventaire est mis à jour tous les quatre ans avec l’aide des officiers de liaison dans les États, des organisations non gouvernementales et des autorités compétentes. </w:t>
      </w:r>
      <w:r w:rsidRPr="00503070">
        <w:t xml:space="preserve">La </w:t>
      </w:r>
      <w:proofErr w:type="spellStart"/>
      <w:r w:rsidRPr="00503070">
        <w:t>dernière</w:t>
      </w:r>
      <w:proofErr w:type="spellEnd"/>
      <w:r w:rsidRPr="00503070">
        <w:t xml:space="preserve"> mise à jour date de 2022.</w:t>
      </w:r>
    </w:p>
    <w:p w14:paraId="3D49D369" w14:textId="77777777" w:rsidR="00A43694" w:rsidRPr="00503070" w:rsidRDefault="00A43694" w:rsidP="001E17AF">
      <w:pPr>
        <w:numPr>
          <w:ilvl w:val="0"/>
          <w:numId w:val="90"/>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Al-</w:t>
      </w:r>
      <w:proofErr w:type="spellStart"/>
      <w:r w:rsidRPr="00503070">
        <w:rPr>
          <w:rFonts w:ascii="Arial" w:hAnsi="Arial" w:cs="Arial"/>
          <w:b/>
          <w:sz w:val="22"/>
          <w:szCs w:val="22"/>
        </w:rPr>
        <w:t>Jertiq</w:t>
      </w:r>
      <w:proofErr w:type="spellEnd"/>
      <w:r w:rsidRPr="00503070">
        <w:rPr>
          <w:rFonts w:ascii="Arial" w:hAnsi="Arial" w:cs="Arial"/>
          <w:b/>
          <w:sz w:val="22"/>
          <w:szCs w:val="22"/>
        </w:rPr>
        <w:t> : pratiques, rituels et expressions pour la préservation, la protection, l’abondance et la fertilité au Soudan</w:t>
      </w:r>
      <w:r w:rsidRPr="00503070">
        <w:rPr>
          <w:rFonts w:ascii="Arial" w:hAnsi="Arial" w:cs="Arial"/>
          <w:sz w:val="22"/>
          <w:szCs w:val="22"/>
        </w:rPr>
        <w:t xml:space="preserve"> sur la Liste représentative du patrimoine culturel immatériel de l’humanité.</w:t>
      </w:r>
    </w:p>
    <w:p w14:paraId="544025E8" w14:textId="77777777" w:rsidR="00A43694" w:rsidRPr="00503070" w:rsidRDefault="00A43694" w:rsidP="00A43694">
      <w:pPr>
        <w:pStyle w:val="Heading1"/>
        <w:rPr>
          <w:bCs/>
        </w:rPr>
      </w:pPr>
      <w:r w:rsidRPr="00503070">
        <w:t>DÉCISION 20.COM 7.b.42</w:t>
      </w:r>
    </w:p>
    <w:p w14:paraId="3BFB090D" w14:textId="77777777" w:rsidR="00A43694" w:rsidRPr="00503070" w:rsidRDefault="00A43694" w:rsidP="00A43694">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8971469" w14:textId="77777777" w:rsidR="00A43694" w:rsidRPr="00503070" w:rsidRDefault="00A43694" w:rsidP="001E17AF">
      <w:pPr>
        <w:numPr>
          <w:ilvl w:val="0"/>
          <w:numId w:val="9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Suisse a proposé la candidature de </w:t>
      </w:r>
      <w:r w:rsidRPr="00503070">
        <w:rPr>
          <w:rFonts w:ascii="Arial" w:hAnsi="Arial" w:cs="Arial"/>
          <w:b/>
          <w:sz w:val="22"/>
          <w:szCs w:val="22"/>
        </w:rPr>
        <w:t>Yodel</w:t>
      </w:r>
      <w:r w:rsidRPr="00503070">
        <w:rPr>
          <w:rFonts w:ascii="Arial" w:hAnsi="Arial" w:cs="Arial"/>
          <w:sz w:val="22"/>
          <w:szCs w:val="22"/>
        </w:rPr>
        <w:t xml:space="preserve"> (n° 02287) pour inscription sur la Liste représentative du patrimoine culturel immatériel de l’humanité :</w:t>
      </w:r>
    </w:p>
    <w:p w14:paraId="46F6CE12" w14:textId="77777777" w:rsidR="00A43694" w:rsidRPr="00503070" w:rsidRDefault="00A43694" w:rsidP="00A43694">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yodel est une technique vocale qui consiste à utiliser différents registres vocaux, tels que la voix de poitrine et la voix de tête, pour créer des mélodies avec des syllabes dépourvues de sens au lieu de mots. Les syllabes choisies sont souvent déterminées par le dialecte local. Il existe deux types de yodel : naturel et chanté. Le yodel naturel consiste en des mélodies sans paroles qui varient selon les régions et les dialectes et qui sont transmises oralement. Le yodel chanté comprend des couplets avec un refrain en yodel, souvent centrés sur des thèmes tels que la nature et la vie quotidienne. Le yodel peut être pratiqué par des individus, des petits groupes ou des chorales, et parfois avec des instruments comme l’accordéon. Il se caractérise par de riches harmoniques et est souvent interprété lors de concerts, de fêtes et de concours, les participants portant généralement des costumes régionaux traditionnels. </w:t>
      </w:r>
    </w:p>
    <w:p w14:paraId="054C5EC9" w14:textId="77777777" w:rsidR="00A43694" w:rsidRPr="00503070" w:rsidRDefault="00A43694" w:rsidP="001E17AF">
      <w:pPr>
        <w:keepNext/>
        <w:numPr>
          <w:ilvl w:val="0"/>
          <w:numId w:val="91"/>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l’humanités comme suit :</w:t>
      </w:r>
    </w:p>
    <w:p w14:paraId="5DDCFB1E" w14:textId="77777777" w:rsidR="00A43694" w:rsidRPr="00503070" w:rsidRDefault="00A43694" w:rsidP="00A43694">
      <w:pPr>
        <w:pStyle w:val="Style1"/>
        <w:ind w:left="1122" w:hanging="555"/>
        <w:rPr>
          <w:lang w:val="fr-FR"/>
        </w:rPr>
      </w:pPr>
      <w:r w:rsidRPr="00503070">
        <w:rPr>
          <w:lang w:val="fr-FR"/>
        </w:rPr>
        <w:t>R.1 :</w:t>
      </w:r>
      <w:r w:rsidRPr="00503070">
        <w:rPr>
          <w:lang w:val="fr-FR"/>
        </w:rPr>
        <w:tab/>
        <w:t>Cette pratique, associée à des événements agricoles tels que les fêtes des moissons et les traditions alpines, est pratiquée par des personnes de tous âges, de tous genres et de toutes origines. Les connaissances et le savoir-faire associés au yodel sont transmis oralement, par le biais de partitions, de chorales et de plateformes en ligne. Le yodel est également enseigné dans le cadre de cours collectifs ou individuels par des professeurs privés et des écoles de musique. Il favorise la participation culturelle, l’expression émotionnelle et le bien-être, en unissant les communautés et en leur donnant un sentiment d’identité partagée.</w:t>
      </w:r>
    </w:p>
    <w:p w14:paraId="019A8D49" w14:textId="77777777" w:rsidR="00A43694" w:rsidRPr="00503070" w:rsidRDefault="00A43694" w:rsidP="00A43694">
      <w:pPr>
        <w:pStyle w:val="Style1"/>
        <w:ind w:left="1122" w:hanging="555"/>
        <w:rPr>
          <w:lang w:val="fr-FR"/>
        </w:rPr>
      </w:pPr>
      <w:r w:rsidRPr="00503070">
        <w:rPr>
          <w:lang w:val="fr-FR"/>
        </w:rPr>
        <w:t>R.2 :</w:t>
      </w:r>
      <w:r w:rsidRPr="00503070">
        <w:rPr>
          <w:lang w:val="fr-FR"/>
        </w:rPr>
        <w:tab/>
        <w:t>L’État partie soumissionnaire démontre de manière constante comment l’élément contribue au développement durable et comment son inscription garantirait la visibilité et la sensibilisation à l’importance du patrimoine culturel immatériel. L’élément contribue à la santé, y compris le bien-être physique et mental ; une éducation de qualité, en développant les compétences des communautés et des professionnels ; et l’égalité des genres, compte tenu de la prédominance des femmes dans la transmission de l’élément. Il favorise également la paix et la cohésion sociale, en renforçant le sentiment d’appartenance et en créant des possibilités d’intégration et de collaboration. En outre, l’élément est ancré dans la vie de la communauté et reconnu comme une partie importante de l’identité nationale. Au niveau international, il peut sensibiliser à la richesse des traditions vocales et à leur importance sociale.</w:t>
      </w:r>
    </w:p>
    <w:p w14:paraId="212AE5C4" w14:textId="77777777" w:rsidR="00A43694" w:rsidRPr="00503070" w:rsidRDefault="00A43694" w:rsidP="00A43694">
      <w:pPr>
        <w:pStyle w:val="Style1"/>
        <w:ind w:left="1122" w:hanging="555"/>
        <w:rPr>
          <w:lang w:val="fr-FR"/>
        </w:rPr>
      </w:pPr>
      <w:r w:rsidRPr="00503070">
        <w:rPr>
          <w:lang w:val="fr-FR"/>
        </w:rPr>
        <w:t>R.3 :</w:t>
      </w:r>
      <w:r w:rsidRPr="00503070">
        <w:rPr>
          <w:lang w:val="fr-FR"/>
        </w:rPr>
        <w:tab/>
        <w:t xml:space="preserve">Les mesures de sauvegarde actuelles et futures visant à maintenir la viabilité de l’élément sont expliquées. Ces mesures couvrent les aspects suivants : (a) la coordination et la gouvernance, en fournissant un moyen de réunir de nombreux individus et communautés dans un forum ; (b) la transmission et la formation, à la fois dans et en dehors des écoles ; (c) la promotion de nouvelles générations de praticiens du yodel de tous âges, en stimulant les carrières et les organisations professionnelles ; (d) la communication et la sensibilisation, en diffusant l’élément à l’aide de nouvelles stratégies de communication ; et (e) la documentation, les archives et la recherche, par </w:t>
      </w:r>
      <w:r w:rsidRPr="00503070">
        <w:rPr>
          <w:lang w:val="fr-FR"/>
        </w:rPr>
        <w:lastRenderedPageBreak/>
        <w:t>le biais de réseaux de collaboration. Les mesures sont réalisables et impliquent la participation directe des détenteurs de la tradition.</w:t>
      </w:r>
    </w:p>
    <w:p w14:paraId="05BD452F" w14:textId="77777777" w:rsidR="00A43694" w:rsidRPr="00503070" w:rsidRDefault="00A43694" w:rsidP="00A43694">
      <w:pPr>
        <w:pStyle w:val="Style1"/>
        <w:ind w:left="1122" w:hanging="555"/>
        <w:rPr>
          <w:lang w:val="fr-FR"/>
        </w:rPr>
      </w:pPr>
      <w:r w:rsidRPr="00503070">
        <w:rPr>
          <w:lang w:val="fr-FR"/>
        </w:rPr>
        <w:t>R.4 :</w:t>
      </w:r>
      <w:r w:rsidRPr="00503070">
        <w:rPr>
          <w:lang w:val="fr-FR"/>
        </w:rPr>
        <w:tab/>
        <w:t>Depuis 2012, un processus de plus de dix ans a été mené avec l’implication et l’accord de la communauté et des individus concernés par la candidature. En 2013, des recherches menées par un groupe d’experts ont indiqué que le yodel était un candidat potentiel à l’inscription, avec l’approbation des praticiens et des partenaires. Les représentants des communautés détenteurs de l’élément ont participé à une série de réunions d’information, de débats et de consultations publiques, qui ont été organisés régulièrement. Un groupe de soutien, représentant une trentaine d’organisations et de personnes, a participé à toutes les étapes du processus de candidature. Le groupe de rédaction, composé de représentants des deux genres, comprenait des détenteurs, des professionnels, des chercheurs et des fonctionnaires. L’approche collaborative a permis de prendre en compte les points de vue des traditions du yodel urbaines et rurales, des différents groupes générationnels et des deux genres. Le résultat de ce long processus participatif est une candidature solide et bien fondée.</w:t>
      </w:r>
    </w:p>
    <w:p w14:paraId="4913C4CC" w14:textId="77777777" w:rsidR="00A43694" w:rsidRPr="00503070" w:rsidRDefault="00A43694" w:rsidP="00A43694">
      <w:pPr>
        <w:pStyle w:val="Style1"/>
        <w:ind w:left="1122" w:hanging="555"/>
        <w:rPr>
          <w:lang w:val="fr-FR"/>
        </w:rPr>
      </w:pPr>
      <w:r w:rsidRPr="00503070">
        <w:rPr>
          <w:lang w:val="fr-FR"/>
        </w:rPr>
        <w:t>R.5 :</w:t>
      </w:r>
      <w:r w:rsidRPr="00503070">
        <w:rPr>
          <w:lang w:val="fr-FR"/>
        </w:rPr>
        <w:tab/>
        <w:t xml:space="preserve">L’élément a été ajouté à la liste des traditions vivantes de la Suisse, tenue par l’Office fédéral de la culture, en 2012. L’inscription d’un élément à l’inventaire nécessite le consentement des groupes, des praticiens individuels et des détenteurs. L’inventaire est mis à jour tous les quatre ans, avec l’aide des agents de liaison dans les cantons des autorités compétentes, des organisations non gouvernementales et des communautés locales. </w:t>
      </w:r>
    </w:p>
    <w:p w14:paraId="1671A875" w14:textId="77777777" w:rsidR="00A43694" w:rsidRPr="00503070" w:rsidRDefault="00A43694" w:rsidP="001E17AF">
      <w:pPr>
        <w:numPr>
          <w:ilvl w:val="0"/>
          <w:numId w:val="9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Yodel</w:t>
      </w:r>
      <w:r w:rsidRPr="00503070">
        <w:rPr>
          <w:rFonts w:ascii="Arial" w:hAnsi="Arial" w:cs="Arial"/>
          <w:sz w:val="22"/>
          <w:szCs w:val="22"/>
        </w:rPr>
        <w:t xml:space="preserve"> sur la Liste représentative du patrimoine culturel immatériel de l’humanité.</w:t>
      </w:r>
    </w:p>
    <w:p w14:paraId="2158404F" w14:textId="77777777" w:rsidR="00A43694" w:rsidRPr="00503070" w:rsidRDefault="00A43694" w:rsidP="00A43694">
      <w:pPr>
        <w:pStyle w:val="Heading1"/>
        <w:rPr>
          <w:bCs/>
        </w:rPr>
      </w:pPr>
      <w:r w:rsidRPr="00503070">
        <w:t>DÉCISION 20.COM 7.b.43</w:t>
      </w:r>
    </w:p>
    <w:p w14:paraId="51A7EC31" w14:textId="77777777" w:rsidR="00A43694" w:rsidRPr="00503070" w:rsidRDefault="00A43694" w:rsidP="00A43694">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21CF74F" w14:textId="77777777" w:rsidR="00A43694" w:rsidRPr="00503070" w:rsidRDefault="00A43694" w:rsidP="001E17AF">
      <w:pPr>
        <w:numPr>
          <w:ilvl w:val="0"/>
          <w:numId w:val="9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République arabe syrienne, l’Iraq, la Jordanie, la Libye, Oman, l’État de Palestine, l’Arabie saoudite, la Tunisie et les Émirats arabes unis ont proposé la candidature du</w:t>
      </w:r>
      <w:r w:rsidRPr="00503070">
        <w:rPr>
          <w:rFonts w:ascii="Arial" w:hAnsi="Arial" w:cs="Arial"/>
          <w:b/>
          <w:sz w:val="22"/>
          <w:szCs w:val="22"/>
        </w:rPr>
        <w:t xml:space="preserve"> kohl arabe</w:t>
      </w:r>
      <w:r w:rsidRPr="00503070">
        <w:rPr>
          <w:rFonts w:ascii="Arial" w:hAnsi="Arial" w:cs="Arial"/>
          <w:sz w:val="22"/>
          <w:szCs w:val="22"/>
        </w:rPr>
        <w:t xml:space="preserve"> (n° 02261) pour inscription sur la Liste représentative du patrimoine culturel immatériel de l’humanité :</w:t>
      </w:r>
    </w:p>
    <w:p w14:paraId="1C484D92" w14:textId="77777777" w:rsidR="00A43694" w:rsidRPr="00503070" w:rsidRDefault="00A43694" w:rsidP="00A43694">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kohl arabe est à la fois un artisanat et une pratique sociale qui fait partie intégrante du mode de vie des tribus bédouines et nomades, ainsi que des communautés rurales, marécageuses et de pêcheurs des communautés de la région arabe. Il s’agit d’une fine poudre noire utilisée comme eye-liner par des personnes de tous les genres, qui sert non seulement de cosmétique mais aussi de protection contre le vent, le sable et le soleil. Présent dans la vie quotidienne, les occasions spéciales et les rituels religieux, il est fabriqué à partir d’ingrédients naturels, la préparation variant en fonction des environnements locaux et des modes de vie. Le kohl est fabriqué à la maison ou lors de rassemblements, principalement par des femmes qui transmettent les connaissances et les savoir-faire associés à leurs filles et petites-filles. </w:t>
      </w:r>
    </w:p>
    <w:p w14:paraId="1CD4928A" w14:textId="77777777" w:rsidR="00A43694" w:rsidRPr="00503070" w:rsidRDefault="00A43694" w:rsidP="001E17AF">
      <w:pPr>
        <w:keepNext/>
        <w:numPr>
          <w:ilvl w:val="0"/>
          <w:numId w:val="9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220669F6" w14:textId="77777777" w:rsidR="00A43694" w:rsidRPr="00503070" w:rsidRDefault="00A43694" w:rsidP="00A43694">
      <w:pPr>
        <w:pStyle w:val="Style1"/>
        <w:ind w:left="1122" w:hanging="555"/>
        <w:rPr>
          <w:lang w:val="fr-FR"/>
        </w:rPr>
      </w:pPr>
      <w:r w:rsidRPr="00503070">
        <w:rPr>
          <w:lang w:val="fr-FR"/>
        </w:rPr>
        <w:t>R.1 :</w:t>
      </w:r>
      <w:r w:rsidRPr="00503070">
        <w:rPr>
          <w:lang w:val="fr-FR"/>
        </w:rPr>
        <w:tab/>
        <w:t>Le kohl arabe est généralement conservé dans des récipients décoratifs appelés « </w:t>
      </w:r>
      <w:proofErr w:type="spellStart"/>
      <w:r w:rsidRPr="00503070">
        <w:rPr>
          <w:lang w:val="fr-FR"/>
        </w:rPr>
        <w:t>makhala</w:t>
      </w:r>
      <w:proofErr w:type="spellEnd"/>
      <w:r w:rsidRPr="00503070">
        <w:rPr>
          <w:lang w:val="fr-FR"/>
        </w:rPr>
        <w:t> », qui sont généralement transmis comme des souvenirs de famille. La pratique est également transmise par les traditions orales, les événements des communautés, les écoles et les institutions culturelles. Outre le fait qu’il est un symbole de l’identité des communautés et un élément clé des routines de beauté quotidiennes, le kohl est utilisé comme remède de guérison physique et spirituelle. Il encourage le dialogue et favorise des échanges fructueux entre les nations ainsi qu’entre les communautés de femmes. Les yeux maquillés à l’aide du kohl constituent également une forme forte d’expression féminine, en particulier dans les sociétés où seuls les yeux sont visibles en raison de la dissimulation du visage.</w:t>
      </w:r>
    </w:p>
    <w:p w14:paraId="6B1BD430" w14:textId="77777777" w:rsidR="00A43694" w:rsidRPr="00503070" w:rsidRDefault="00A43694" w:rsidP="00A43694">
      <w:pPr>
        <w:pStyle w:val="Style1"/>
        <w:ind w:left="1122" w:hanging="555"/>
        <w:rPr>
          <w:lang w:val="fr-FR"/>
        </w:rPr>
      </w:pPr>
      <w:r w:rsidRPr="00503070">
        <w:rPr>
          <w:lang w:val="fr-FR"/>
        </w:rPr>
        <w:lastRenderedPageBreak/>
        <w:t>R.2 :</w:t>
      </w:r>
      <w:r w:rsidRPr="00503070">
        <w:rPr>
          <w:lang w:val="fr-FR"/>
        </w:rPr>
        <w:tab/>
        <w:t>Les États parties soumissionnaires ont démontré de manière constante comment cet élément contribue au développement durable et comment son inscription garantirait la visibilité et la sensibilisation à l’importance du patrimoine culturel immatériel. Allié aux soins de santé, cet élément reflète la dépendance des communautés à l’égard du patrimoine culturel immatériel, pour tirer profit de l’environnement et s’adapter aux conditions climatiques difficiles. En mettant en lumière le leadership des femmes dans les domaines social, culturel et économique, l’élément contribue à l’égalité des genres et au développement économique inclusif. En outre, la production de kohl renforce l’autonomie des femmes en zone rurale, en facilitant la création de revenus et en réduisant la dépendance à l’égard des importations étrangères. Cette pratique encourage une production et une consommation conscientes, en offrant des alternatives naturelles aux cosmétiques traditionnels et en minimisant l’impact sur l’environnement. L’élément contribue également à la paix et à la cohésion sociale, sa production encourageant la coopération, l’empathie et l’attention.</w:t>
      </w:r>
    </w:p>
    <w:p w14:paraId="25A81CC4" w14:textId="77777777" w:rsidR="00A43694" w:rsidRPr="00503070" w:rsidRDefault="00A43694" w:rsidP="00A43694">
      <w:pPr>
        <w:pStyle w:val="Style1"/>
        <w:ind w:left="1122" w:hanging="555"/>
        <w:rPr>
          <w:lang w:val="fr-FR"/>
        </w:rPr>
      </w:pPr>
      <w:r w:rsidRPr="00503070">
        <w:rPr>
          <w:lang w:val="fr-FR"/>
        </w:rPr>
        <w:t>R.3 :</w:t>
      </w:r>
      <w:r w:rsidRPr="00503070">
        <w:rPr>
          <w:lang w:val="fr-FR"/>
        </w:rPr>
        <w:tab/>
        <w:t>Une série de mesures de sauvegarde diverses destinées à protéger et à promouvoir l’élément est présentée de manière cohérente et claire. Conçues pour les zones rurales et urbaines, ces mesures ont été élaborées dans le cadre d’un dialogue ouvert entre les communautés, les groupes et les individus concernés, ainsi qu’avec les organisations non gouvernementales et les autorités gouvernementales des États parties soumissionnaires. Répartis sur six piliers, elles portent sur la sensibilisation, la recherche et la documentation, la promotion et la revitalisation, le développement socio-économique, le dialogue et le partage des connaissances entre les communautés des États parties.</w:t>
      </w:r>
    </w:p>
    <w:p w14:paraId="3D645143" w14:textId="77777777" w:rsidR="00A43694" w:rsidRPr="00503070" w:rsidRDefault="00A43694" w:rsidP="00A43694">
      <w:pPr>
        <w:pStyle w:val="Style1"/>
        <w:ind w:left="1122" w:hanging="555"/>
        <w:rPr>
          <w:lang w:val="fr-FR"/>
        </w:rPr>
      </w:pPr>
      <w:r w:rsidRPr="00503070">
        <w:rPr>
          <w:lang w:val="fr-FR"/>
        </w:rPr>
        <w:t>R.4 :</w:t>
      </w:r>
      <w:r w:rsidRPr="00503070">
        <w:rPr>
          <w:lang w:val="fr-FR"/>
        </w:rPr>
        <w:tab/>
        <w:t>Les États parties soumissionnaires ont démontré l’engagement des communautés dans diverses activités du processus de candidature, telles que des entretiens, des démonstrations en direct, des visites et des consultations. Chaque État partie a formé une équipe nationale chargée de diriger le processus sous une coordination générale. Des recherches approfondies ont été menées sur le terrain, même dans les communautés éloignées et les campements nomades. En ce sens, le processus de candidature a surpassé ses objectifs, en permettant aux équipes de découvrir des aspects de leur vie qui n’étaient pas documentés auparavant. L’utilisation de moyens de communication informels et des réseaux sociaux pour assurer la couverture des démonstrations en direct de la fabrication du kohl a stimulé l’intérêt du public pour le processus.</w:t>
      </w:r>
    </w:p>
    <w:p w14:paraId="4C8E4ACF" w14:textId="77777777" w:rsidR="00A43694" w:rsidRPr="00503070" w:rsidRDefault="00A43694" w:rsidP="00A43694">
      <w:pPr>
        <w:pStyle w:val="Style1"/>
        <w:ind w:left="1122" w:hanging="555"/>
        <w:rPr>
          <w:lang w:val="fr-FR"/>
        </w:rPr>
      </w:pPr>
      <w:r w:rsidRPr="00503070">
        <w:rPr>
          <w:lang w:val="fr-FR"/>
        </w:rPr>
        <w:t>R.5 :</w:t>
      </w:r>
      <w:r w:rsidRPr="00503070">
        <w:rPr>
          <w:lang w:val="fr-FR"/>
        </w:rPr>
        <w:tab/>
        <w:t xml:space="preserve">Le dossier de candidature répertorie les noms des inventaires dans lesquels l’élément est inclus dans chaque État partie, ainsi que des informations sur les organismes responsables respectifs, les numéros de référence pertinents et les dates d’inclusion (entre 2012 et 2024). Des informations sur la fréquence de mise à jour de ces inventaires sont également fournies et varie en moyenne entre un et cinq ans. Dans tous les États parties, les communautés, les groupes et les organisations non gouvernementales participent aux processus d’inventaire. </w:t>
      </w:r>
    </w:p>
    <w:p w14:paraId="09D8CE61" w14:textId="77777777" w:rsidR="00A43694" w:rsidRPr="00503070" w:rsidRDefault="00A43694" w:rsidP="001E17AF">
      <w:pPr>
        <w:numPr>
          <w:ilvl w:val="0"/>
          <w:numId w:val="9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kohl arabe</w:t>
      </w:r>
      <w:r w:rsidRPr="00503070">
        <w:rPr>
          <w:rFonts w:ascii="Arial" w:hAnsi="Arial" w:cs="Arial"/>
          <w:sz w:val="22"/>
          <w:szCs w:val="22"/>
        </w:rPr>
        <w:t xml:space="preserve"> sur la Liste représentative du patrimoine culturel immatériel de l’humanité ;</w:t>
      </w:r>
    </w:p>
    <w:p w14:paraId="5D721748" w14:textId="77777777" w:rsidR="00A43694" w:rsidRPr="00503070" w:rsidRDefault="00A43694" w:rsidP="001E17AF">
      <w:pPr>
        <w:numPr>
          <w:ilvl w:val="0"/>
          <w:numId w:val="9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pour leur démonstration exemplaire de coopération régionale autour d’une pratique culturelle qui relie historiquement diverses communautés sous une identité collective, en dépit de conflits et d’instabilités difficiles ;</w:t>
      </w:r>
    </w:p>
    <w:p w14:paraId="7CF42043" w14:textId="77777777" w:rsidR="00A43694" w:rsidRPr="00503070" w:rsidRDefault="00A43694" w:rsidP="001E17AF">
      <w:pPr>
        <w:numPr>
          <w:ilvl w:val="0"/>
          <w:numId w:val="9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 en outre</w:t>
      </w:r>
      <w:r w:rsidRPr="00503070">
        <w:rPr>
          <w:rFonts w:ascii="Arial" w:hAnsi="Arial" w:cs="Arial"/>
          <w:sz w:val="22"/>
          <w:szCs w:val="22"/>
        </w:rPr>
        <w:t xml:space="preserve"> les États parties d’avoir produit une vidéo de bonne qualité qui montre clairement la participation des détenteurs à la préparation et à l’utilisation de l’élément.</w:t>
      </w:r>
    </w:p>
    <w:p w14:paraId="12D20FED" w14:textId="77777777" w:rsidR="00786CC6" w:rsidRPr="00503070" w:rsidRDefault="00786CC6" w:rsidP="00786CC6">
      <w:pPr>
        <w:pStyle w:val="Heading1"/>
        <w:rPr>
          <w:bCs/>
        </w:rPr>
      </w:pPr>
      <w:r w:rsidRPr="00503070">
        <w:lastRenderedPageBreak/>
        <w:t>DÉCISION 20.COM 7.b.44</w:t>
      </w:r>
    </w:p>
    <w:p w14:paraId="1FB9A33C" w14:textId="77777777" w:rsidR="00786CC6" w:rsidRPr="00503070" w:rsidRDefault="00786CC6" w:rsidP="00786CC6">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FB7E7C0" w14:textId="77777777" w:rsidR="00786CC6" w:rsidRPr="00503070" w:rsidRDefault="00786CC6" w:rsidP="001E17AF">
      <w:pPr>
        <w:numPr>
          <w:ilvl w:val="0"/>
          <w:numId w:val="9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Tadjikistan a proposé la candidature de </w:t>
      </w:r>
      <w:r w:rsidRPr="00503070">
        <w:rPr>
          <w:rFonts w:ascii="Arial" w:hAnsi="Arial" w:cs="Arial"/>
          <w:b/>
          <w:sz w:val="22"/>
          <w:szCs w:val="22"/>
        </w:rPr>
        <w:t xml:space="preserve">la culture de la préparation du </w:t>
      </w:r>
      <w:proofErr w:type="spellStart"/>
      <w:r w:rsidRPr="00503070">
        <w:rPr>
          <w:rFonts w:ascii="Arial" w:hAnsi="Arial" w:cs="Arial"/>
          <w:b/>
          <w:sz w:val="22"/>
          <w:szCs w:val="22"/>
        </w:rPr>
        <w:t>sumanak</w:t>
      </w:r>
      <w:proofErr w:type="spellEnd"/>
      <w:r w:rsidRPr="00503070">
        <w:rPr>
          <w:rFonts w:ascii="Arial" w:hAnsi="Arial" w:cs="Arial"/>
          <w:b/>
          <w:sz w:val="22"/>
          <w:szCs w:val="22"/>
        </w:rPr>
        <w:t>/</w:t>
      </w:r>
      <w:proofErr w:type="spellStart"/>
      <w:r w:rsidRPr="00503070">
        <w:rPr>
          <w:rFonts w:ascii="Arial" w:hAnsi="Arial" w:cs="Arial"/>
          <w:b/>
          <w:sz w:val="22"/>
          <w:szCs w:val="22"/>
        </w:rPr>
        <w:t>sumalak</w:t>
      </w:r>
      <w:proofErr w:type="spellEnd"/>
      <w:r w:rsidRPr="00503070">
        <w:rPr>
          <w:rFonts w:ascii="Arial" w:hAnsi="Arial" w:cs="Arial"/>
          <w:sz w:val="22"/>
          <w:szCs w:val="22"/>
        </w:rPr>
        <w:t xml:space="preserve"> (n° 02336) pour inscription sur la Liste représentative du patrimoine culturel immatériel de l’humanité :</w:t>
      </w:r>
    </w:p>
    <w:p w14:paraId="3D427802" w14:textId="77777777" w:rsidR="00786CC6" w:rsidRPr="00503070" w:rsidRDefault="00786CC6" w:rsidP="00786CC6">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est un plat spécial préparé traditionnellement pendant le festival de </w:t>
      </w:r>
      <w:proofErr w:type="spellStart"/>
      <w:r w:rsidRPr="00503070">
        <w:rPr>
          <w:rFonts w:ascii="Arial" w:hAnsi="Arial" w:cs="Arial"/>
          <w:sz w:val="22"/>
          <w:szCs w:val="22"/>
        </w:rPr>
        <w:t>Navruz</w:t>
      </w:r>
      <w:proofErr w:type="spellEnd"/>
      <w:r w:rsidRPr="00503070">
        <w:rPr>
          <w:rFonts w:ascii="Arial" w:hAnsi="Arial" w:cs="Arial"/>
          <w:sz w:val="22"/>
          <w:szCs w:val="22"/>
        </w:rPr>
        <w:t>. Il est fabriqué à partir de blé germé, de beurre et de farine, symbolisant l’éveil de la nature et la renaissance. Les germes de blé, appelés « </w:t>
      </w:r>
      <w:proofErr w:type="spellStart"/>
      <w:r w:rsidRPr="00503070">
        <w:rPr>
          <w:rFonts w:ascii="Arial" w:hAnsi="Arial" w:cs="Arial"/>
          <w:sz w:val="22"/>
          <w:szCs w:val="22"/>
        </w:rPr>
        <w:t>sabza</w:t>
      </w:r>
      <w:proofErr w:type="spellEnd"/>
      <w:r w:rsidRPr="00503070">
        <w:rPr>
          <w:rFonts w:ascii="Arial" w:hAnsi="Arial" w:cs="Arial"/>
          <w:sz w:val="22"/>
          <w:szCs w:val="22"/>
        </w:rPr>
        <w:t xml:space="preserve"> », représentent la vie nouvelle au printemps. Le processus consiste à laver, torréfier et écraser le blé, puis à faire bouillir le jus pendant une période pouvant aller jusqu’à dix heures. Il existe plusieurs types de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dont la préparation varie légèrement. La fabrication du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est une activité commune, généralement réalisée par un groupe de femmes qui se relaient pour remuer la marmite tout en chantant des chants traditionnels et en dansant. </w:t>
      </w:r>
    </w:p>
    <w:p w14:paraId="3A02B49A" w14:textId="77777777" w:rsidR="00786CC6" w:rsidRPr="00503070" w:rsidRDefault="00786CC6" w:rsidP="001E17AF">
      <w:pPr>
        <w:keepNext/>
        <w:numPr>
          <w:ilvl w:val="0"/>
          <w:numId w:val="9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14D7438D" w14:textId="77777777" w:rsidR="00786CC6" w:rsidRPr="00503070" w:rsidRDefault="00786CC6" w:rsidP="00786CC6">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hommes aident à préparer le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en allumant le feu et en portant les objets lourds. Le plat est cuit dans de grands chaudrons et est partagé avec de nombreuses personnes. Les connaissances et le savoir-faire associés au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sont transmis au sein des familles, dans les écoles et à l’occasion de manifestations culturelles. Les gens partagent également des recettes et des vidéos en ligne, perpétuant ainsi la tradition. Pour les communautés pratiquantes, le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est associé à la célébration, à l’unité, à la bonne fortune et à la prospérité. Riche en vitamines et en nutriments, il contribue à la santé ainsi qu’au bien-être, en particulier des enfants et des femmes enceintes. En rassemblant les gens pour préparer et partager le plat, le </w:t>
      </w:r>
      <w:proofErr w:type="spellStart"/>
      <w:r w:rsidRPr="00503070">
        <w:rPr>
          <w:rFonts w:ascii="Arial" w:hAnsi="Arial" w:cs="Arial"/>
          <w:sz w:val="22"/>
          <w:szCs w:val="22"/>
        </w:rPr>
        <w:t>sumanak</w:t>
      </w:r>
      <w:proofErr w:type="spellEnd"/>
      <w:r w:rsidRPr="00503070">
        <w:rPr>
          <w:rFonts w:ascii="Arial" w:hAnsi="Arial" w:cs="Arial"/>
          <w:sz w:val="22"/>
          <w:szCs w:val="22"/>
        </w:rPr>
        <w:t xml:space="preserve"> renforce également les liens sociaux et favorise l’inclusion.</w:t>
      </w:r>
    </w:p>
    <w:p w14:paraId="21473644" w14:textId="77777777" w:rsidR="00786CC6" w:rsidRPr="00503070" w:rsidRDefault="00786CC6" w:rsidP="00786CC6">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mesures de sauvegarde sont bien élaborées, appropriées et témoignent d’un engagement clair de la part des communautés et des autorités. Elles se concentrent sur la transmission, la documentation, la sensibilisation et la célébration de l’élément. L’État a joué un rôle central dans l’établissement de cadres juridiques et techniques pour la protection et la promotion de l’élément, afin de garantir qu’il reste viable et durable.</w:t>
      </w:r>
    </w:p>
    <w:p w14:paraId="43F99177" w14:textId="77777777" w:rsidR="00786CC6" w:rsidRPr="00503070" w:rsidRDefault="00786CC6" w:rsidP="00786CC6">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 processus de candidature a été lancé par l’État, qui a mis en place un groupe de travail pour élaborer le dossier de candidature, composé d’experts des ministères et agences concernés, ainsi que des individus et des représentants des communautés concernés. Le groupe s’est réuni à plusieurs reprises et a effectué des visites ainsi que du travail de terrain au sein de villes et villages sélectionnés. Des réunions avec des groupes de femmes et de jeunes filles ont également été organisées. Des spécialistes de la culture locale ont également apporté leur soutien à la candidature. Le consentement des individus et des groupes est documenté par des supports audiovisuels et écrits.</w:t>
      </w:r>
    </w:p>
    <w:p w14:paraId="584E5600" w14:textId="77777777" w:rsidR="00786CC6" w:rsidRPr="00503070" w:rsidRDefault="00786CC6" w:rsidP="00786CC6">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la liste de l’inventaire national du patrimoine culturel immatériel en 2013. L’inventaire est géré et mis à jour tous les trois ans par l’Institut de recherche sur la culture et l’information, avec la participation active de diverses parties prenantes, notamment des organismes publics, des organisations non gouvernementales, des médias étatiques et non étatiques, des chercheurs en sciences humaines et des artisans individuels.</w:t>
      </w:r>
    </w:p>
    <w:p w14:paraId="50461AB0" w14:textId="77777777" w:rsidR="00786CC6" w:rsidRPr="00503070" w:rsidRDefault="00786CC6" w:rsidP="001E17AF">
      <w:pPr>
        <w:pStyle w:val="ListParagraph"/>
        <w:numPr>
          <w:ilvl w:val="0"/>
          <w:numId w:val="94"/>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2C7A9FDD" w14:textId="77777777" w:rsidR="00786CC6" w:rsidRPr="00503070" w:rsidRDefault="00786CC6" w:rsidP="00786CC6">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lastRenderedPageBreak/>
        <w:t>R.2 :</w:t>
      </w:r>
      <w:r w:rsidRPr="00503070">
        <w:rPr>
          <w:rFonts w:ascii="Arial" w:hAnsi="Arial" w:cs="Arial"/>
          <w:sz w:val="22"/>
          <w:szCs w:val="22"/>
        </w:rPr>
        <w:tab/>
        <w:t>Le dossier de candidature démontre comment cet élément favorise le développement durable et comment son inscription permettrait de sensibiliser à l’importance du patrimoine culturel immatériel, en encourageant un dialogue respectueux de la diversité culturelle ainsi qu’en promouvant la créativité humaine. Le dossier indique clairement que l’élément contribue aux exigences du développement durable en ce qui concerne l’agriculture non industrielle en tant que tradition culinaire symbolique, saisonnière et inclusive qui incarne le patrimoine commun, les valeurs de santé, la coopération entre les genres et la transmission intergénérationnelle.</w:t>
      </w:r>
    </w:p>
    <w:p w14:paraId="7753B786" w14:textId="77777777" w:rsidR="00786CC6" w:rsidRPr="00503070" w:rsidRDefault="00786CC6" w:rsidP="001E17AF">
      <w:pPr>
        <w:numPr>
          <w:ilvl w:val="0"/>
          <w:numId w:val="94"/>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culture de la préparation du </w:t>
      </w:r>
      <w:proofErr w:type="spellStart"/>
      <w:r w:rsidRPr="00503070">
        <w:rPr>
          <w:rFonts w:ascii="Arial" w:hAnsi="Arial" w:cs="Arial"/>
          <w:b/>
          <w:sz w:val="22"/>
          <w:szCs w:val="22"/>
        </w:rPr>
        <w:t>sumanak</w:t>
      </w:r>
      <w:proofErr w:type="spellEnd"/>
      <w:r w:rsidRPr="00503070">
        <w:rPr>
          <w:rFonts w:ascii="Arial" w:hAnsi="Arial" w:cs="Arial"/>
          <w:b/>
          <w:sz w:val="22"/>
          <w:szCs w:val="22"/>
        </w:rPr>
        <w:t>/</w:t>
      </w:r>
      <w:proofErr w:type="spellStart"/>
      <w:r w:rsidRPr="00503070">
        <w:rPr>
          <w:rFonts w:ascii="Arial" w:hAnsi="Arial" w:cs="Arial"/>
          <w:b/>
          <w:sz w:val="22"/>
          <w:szCs w:val="22"/>
        </w:rPr>
        <w:t>sumalak</w:t>
      </w:r>
      <w:proofErr w:type="spellEnd"/>
      <w:r w:rsidRPr="00503070">
        <w:rPr>
          <w:rFonts w:ascii="Arial" w:hAnsi="Arial" w:cs="Arial"/>
          <w:sz w:val="22"/>
          <w:szCs w:val="22"/>
        </w:rPr>
        <w:t xml:space="preserve"> sur la Liste représentative du patrimoine culturel immatériel de l’humanité.</w:t>
      </w:r>
    </w:p>
    <w:p w14:paraId="4B6DB204" w14:textId="77777777" w:rsidR="0091689E" w:rsidRPr="00503070" w:rsidRDefault="0091689E" w:rsidP="0091689E">
      <w:pPr>
        <w:pStyle w:val="Heading1"/>
        <w:rPr>
          <w:bCs/>
        </w:rPr>
      </w:pPr>
      <w:r w:rsidRPr="00503070">
        <w:t>DÉCISION 20.COM 7.b.45</w:t>
      </w:r>
    </w:p>
    <w:p w14:paraId="4A532D4A"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3FD4C57" w14:textId="77777777" w:rsidR="0091689E" w:rsidRPr="00503070" w:rsidRDefault="0091689E" w:rsidP="001E17AF">
      <w:pPr>
        <w:numPr>
          <w:ilvl w:val="0"/>
          <w:numId w:val="9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Togo a proposé la candidature de </w:t>
      </w:r>
      <w:r w:rsidRPr="00503070">
        <w:rPr>
          <w:rFonts w:ascii="Arial" w:hAnsi="Arial" w:cs="Arial"/>
          <w:b/>
          <w:sz w:val="22"/>
          <w:szCs w:val="22"/>
        </w:rPr>
        <w:t xml:space="preserve">la prise de la pierre sacrée ou les rites du nouvel an en pays </w:t>
      </w:r>
      <w:proofErr w:type="spellStart"/>
      <w:r w:rsidRPr="00503070">
        <w:rPr>
          <w:rFonts w:ascii="Arial" w:hAnsi="Arial" w:cs="Arial"/>
          <w:b/>
          <w:sz w:val="22"/>
          <w:szCs w:val="22"/>
        </w:rPr>
        <w:t>Guin</w:t>
      </w:r>
      <w:proofErr w:type="spellEnd"/>
      <w:r w:rsidRPr="00503070">
        <w:rPr>
          <w:rFonts w:ascii="Arial" w:hAnsi="Arial" w:cs="Arial"/>
          <w:b/>
          <w:sz w:val="22"/>
          <w:szCs w:val="22"/>
        </w:rPr>
        <w:t xml:space="preserve"> au Togo</w:t>
      </w:r>
      <w:r w:rsidRPr="00503070">
        <w:rPr>
          <w:rFonts w:ascii="Arial" w:hAnsi="Arial" w:cs="Arial"/>
          <w:sz w:val="22"/>
          <w:szCs w:val="22"/>
        </w:rPr>
        <w:t xml:space="preserve"> (n° 02241) pour inscription sur la Liste représentative du patrimoine culturel immatériel de l’humanité :</w:t>
      </w:r>
    </w:p>
    <w:p w14:paraId="5766AB5A"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Les rites du Nouvel An sont une série d’une vingtaine de rituels pratiqués annuellement par le peuple </w:t>
      </w:r>
      <w:proofErr w:type="spellStart"/>
      <w:r w:rsidRPr="00503070">
        <w:rPr>
          <w:rFonts w:ascii="Arial" w:hAnsi="Arial" w:cs="Arial"/>
          <w:sz w:val="22"/>
          <w:szCs w:val="22"/>
        </w:rPr>
        <w:t>Guin</w:t>
      </w:r>
      <w:proofErr w:type="spellEnd"/>
      <w:r w:rsidRPr="00503070">
        <w:rPr>
          <w:rFonts w:ascii="Arial" w:hAnsi="Arial" w:cs="Arial"/>
          <w:sz w:val="22"/>
          <w:szCs w:val="22"/>
        </w:rPr>
        <w:t xml:space="preserve"> du sud du Togo, pendant sept mois, pour honorer les divinités et les ancêtres. Ces rituels suivent un calendrier lunaire et se déroulent chaque année à la même période. La nouvelle année est marquée par le rite le plus important, « l’</w:t>
      </w:r>
      <w:proofErr w:type="spellStart"/>
      <w:r w:rsidRPr="00503070">
        <w:rPr>
          <w:rFonts w:ascii="Arial" w:hAnsi="Arial" w:cs="Arial"/>
          <w:sz w:val="22"/>
          <w:szCs w:val="22"/>
        </w:rPr>
        <w:t>Ekpéssosso</w:t>
      </w:r>
      <w:proofErr w:type="spellEnd"/>
      <w:r w:rsidRPr="00503070">
        <w:rPr>
          <w:rFonts w:ascii="Arial" w:hAnsi="Arial" w:cs="Arial"/>
          <w:sz w:val="22"/>
          <w:szCs w:val="22"/>
        </w:rPr>
        <w:t> », qui consiste à prendre une pierre sacrée. Parmi les autres rituels importants, citons le « </w:t>
      </w:r>
      <w:proofErr w:type="spellStart"/>
      <w:r w:rsidRPr="00503070">
        <w:rPr>
          <w:rFonts w:ascii="Arial" w:hAnsi="Arial" w:cs="Arial"/>
          <w:sz w:val="22"/>
          <w:szCs w:val="22"/>
        </w:rPr>
        <w:t>Yêkê-Yêkê</w:t>
      </w:r>
      <w:proofErr w:type="spellEnd"/>
      <w:r w:rsidRPr="00503070">
        <w:rPr>
          <w:rFonts w:ascii="Arial" w:hAnsi="Arial" w:cs="Arial"/>
          <w:sz w:val="22"/>
          <w:szCs w:val="22"/>
        </w:rPr>
        <w:t> », un repas commun, et le « </w:t>
      </w:r>
      <w:proofErr w:type="spellStart"/>
      <w:r w:rsidRPr="00503070">
        <w:rPr>
          <w:rFonts w:ascii="Arial" w:hAnsi="Arial" w:cs="Arial"/>
          <w:sz w:val="22"/>
          <w:szCs w:val="22"/>
        </w:rPr>
        <w:t>Kpanchonchon</w:t>
      </w:r>
      <w:proofErr w:type="spellEnd"/>
      <w:r w:rsidRPr="00503070">
        <w:rPr>
          <w:rFonts w:ascii="Arial" w:hAnsi="Arial" w:cs="Arial"/>
          <w:sz w:val="22"/>
          <w:szCs w:val="22"/>
        </w:rPr>
        <w:t xml:space="preserve"> », un défilé animé au cours duquel les personnes se peignent le visage et le corps et interprètent des chants et des discours expressifs. </w:t>
      </w:r>
    </w:p>
    <w:p w14:paraId="18C87E61" w14:textId="77777777" w:rsidR="0091689E" w:rsidRPr="00503070" w:rsidRDefault="0091689E" w:rsidP="001E17AF">
      <w:pPr>
        <w:keepNext/>
        <w:numPr>
          <w:ilvl w:val="0"/>
          <w:numId w:val="9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5EA50B2E"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Les rites sont dirigés par les chefs de la communauté, notamment les rois, les chefs de district, les prêtres et les prêtresses. Un groupe de femmes initiées, appelées « </w:t>
      </w:r>
      <w:proofErr w:type="spellStart"/>
      <w:r w:rsidRPr="00503070">
        <w:rPr>
          <w:rFonts w:ascii="Arial" w:hAnsi="Arial" w:cs="Arial"/>
          <w:sz w:val="22"/>
          <w:szCs w:val="22"/>
        </w:rPr>
        <w:t>guin-yehuesi</w:t>
      </w:r>
      <w:proofErr w:type="spellEnd"/>
      <w:r w:rsidRPr="00503070">
        <w:rPr>
          <w:rFonts w:ascii="Arial" w:hAnsi="Arial" w:cs="Arial"/>
          <w:sz w:val="22"/>
          <w:szCs w:val="22"/>
        </w:rPr>
        <w:t xml:space="preserve"> », gère de nombreuses tâches rituelles et dirige les cérémonies, tandis que les hommes sont chargés d’assurer la sécurité physique et spirituelle des lieux sacrés. Les connaissances et les compétences correspondantes - y compris les chants, les prières et les traditions - sont transmises par les gestes, la musique et les récits. L’initiation se déroule sur une période de trois mois dans le secret des sanctuaires. Les artisans créent également des colliers colorés et d’autres objets de cérémonie. Ces rites remplissent de nombreuses fonctions sociales, notamment la guérison, les loisirs et la promotion du bien-être de la communauté. Les praticiens les considèrent comme un élément clé de leur identité culturelle. </w:t>
      </w:r>
    </w:p>
    <w:p w14:paraId="7CAAC989"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démontre clairement comment cet élément favorise le développement durable et comment son inscription garantirait la visibilité et la sensibilisation à l’importance du patrimoine culturel immatériel. Les rites contribuent à la durabilité de l’environnement et protègent la faune, car ils marquent une période d’interdiction de la pêche et de la chasse dans les zones protégées, garantissant ainsi des conditions terrestres et aquatiques intactes pour la reproduction de la faune. Cela contribue également à la sécurité alimentaire. L’égalité des genres est encouragée, les rites pouvant être conduits par des hommes ou des femmes, bien qu’ils soient le plus souvent effectués par ces dernières. La cohésion sociale et le rétablissement de la paix sont encouragés par des rites de réconciliation, notamment un repas de communion.</w:t>
      </w:r>
    </w:p>
    <w:p w14:paraId="3F02873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L’État partie soumissionnaire a démontré la participation de la communauté aux deux étapes du processus de candidature. La première étape consistait à rencontrer les grands prêtres les plus importants des divinités. La deuxième étape a consisté en une réunion élargie aux autorités locales et aux chefs traditionnels des différentes localités concernées par l’influence spirituelle des divinités. Toutes les autorités administratives, </w:t>
      </w:r>
      <w:r w:rsidRPr="00503070">
        <w:rPr>
          <w:rFonts w:ascii="Arial" w:hAnsi="Arial" w:cs="Arial"/>
          <w:sz w:val="22"/>
          <w:szCs w:val="22"/>
        </w:rPr>
        <w:lastRenderedPageBreak/>
        <w:t>politiques et religieuses consultées ont accueilli favorablement l’initiative et se sont déclarées prêtes à la soutenir. D’autres parties prenantes ont également contribué à la finalisation du dossier de candidature en fournissant des vidéos, des photographies ainsi que des documents écrits.</w:t>
      </w:r>
    </w:p>
    <w:p w14:paraId="5F09A83C"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L’élément a été inclus dans l’inventaire national du patrimoine culturel immatériel en 2021.</w:t>
      </w:r>
      <w:r w:rsidRPr="00503070">
        <w:rPr>
          <w:rFonts w:ascii="Arial" w:hAnsi="Arial" w:cs="Arial"/>
          <w:color w:val="000000"/>
          <w:sz w:val="22"/>
          <w:szCs w:val="22"/>
        </w:rPr>
        <w:t xml:space="preserve"> </w:t>
      </w:r>
      <w:r w:rsidRPr="00503070">
        <w:rPr>
          <w:rFonts w:ascii="Arial" w:hAnsi="Arial" w:cs="Arial"/>
          <w:sz w:val="22"/>
          <w:szCs w:val="22"/>
        </w:rPr>
        <w:t xml:space="preserve">La mise à jour de l’inventaire relève de la responsabilité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qui publie régulièrement des décrets ajoutant des éléments à la liste. Les descriptions des éléments peuvent être révisées à tout moment si les communautés concernées en font la demande. L’approche participative du processus permet à la population de participer à l’enregistrement et à la révision de la liste. La sélection finale est effectuée par un groupe composé de spécialistes et de représentants de la communauté.</w:t>
      </w:r>
    </w:p>
    <w:p w14:paraId="1087F78B" w14:textId="77777777" w:rsidR="0091689E" w:rsidRPr="00503070" w:rsidRDefault="0091689E" w:rsidP="001E17AF">
      <w:pPr>
        <w:pStyle w:val="ListParagraph"/>
        <w:numPr>
          <w:ilvl w:val="0"/>
          <w:numId w:val="96"/>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 critère suivant d’inscription sur la Liste représentative du patrimoine culturel immatériel de l’humanité :</w:t>
      </w:r>
    </w:p>
    <w:p w14:paraId="4B3038A2"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t>L’État partie soumissionnaire a présenté une série de mesures de sauvegarde, notamment de nature juridique, institutionnelle et promotionnelle, qui contribuent à la sauvegarde de l’élément. Le dossier de candidature démontre le rôle des communautés dans la planification et la mise en œuvre des mesures de sauvegarde, indiquant que les communautés se sont profondément engagées à assurer la viabilité des rites et des rituels grâce à des traditions profondément enracinées et bien établies qui garantissent la transmission de l’élément. En outre, l’État partie soumissionnaire indique que les municipalités qui accueillent les rites ont bénéficié du projet de développement des sites culturels connexes, en fournissant des infrastructures, des musées, des boutiques de souvenirs, des lieux de restauration et des services aux visiteurs dans le but de promouvoir l’élément et d’en accroître la visibilité. Des mesures adéquates sont prévues pour atténuer les risques éventuels de décontextualisation de l’élément en raison du développement touristique.</w:t>
      </w:r>
    </w:p>
    <w:p w14:paraId="13F96DFB" w14:textId="77777777" w:rsidR="0091689E" w:rsidRPr="00503070" w:rsidRDefault="0091689E" w:rsidP="001E17AF">
      <w:pPr>
        <w:numPr>
          <w:ilvl w:val="0"/>
          <w:numId w:val="96"/>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la prise de la pierre sacrée ou les rites du nouvel an en pays </w:t>
      </w:r>
      <w:proofErr w:type="spellStart"/>
      <w:r w:rsidRPr="00503070">
        <w:rPr>
          <w:rFonts w:ascii="Arial" w:hAnsi="Arial" w:cs="Arial"/>
          <w:b/>
          <w:sz w:val="22"/>
          <w:szCs w:val="22"/>
        </w:rPr>
        <w:t>Guin</w:t>
      </w:r>
      <w:proofErr w:type="spellEnd"/>
      <w:r w:rsidRPr="00503070">
        <w:rPr>
          <w:rFonts w:ascii="Arial" w:hAnsi="Arial" w:cs="Arial"/>
          <w:b/>
          <w:sz w:val="22"/>
          <w:szCs w:val="22"/>
        </w:rPr>
        <w:t xml:space="preserve"> au Togo</w:t>
      </w:r>
      <w:r w:rsidRPr="00503070">
        <w:rPr>
          <w:rFonts w:ascii="Arial" w:hAnsi="Arial" w:cs="Arial"/>
          <w:sz w:val="22"/>
          <w:szCs w:val="22"/>
        </w:rPr>
        <w:t xml:space="preserve"> sur la Liste représentative du patrimoine culturel immatériel de l’humanité.</w:t>
      </w:r>
    </w:p>
    <w:p w14:paraId="62FCE277" w14:textId="77777777" w:rsidR="0091689E" w:rsidRPr="00503070" w:rsidRDefault="0091689E" w:rsidP="0091689E">
      <w:pPr>
        <w:pStyle w:val="Heading1"/>
        <w:rPr>
          <w:bCs/>
        </w:rPr>
      </w:pPr>
      <w:r w:rsidRPr="00503070">
        <w:t>DÉCISION 20.COM 7.b.46</w:t>
      </w:r>
    </w:p>
    <w:p w14:paraId="1A88D67C"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E991211" w14:textId="77777777" w:rsidR="0091689E" w:rsidRPr="00503070" w:rsidRDefault="0091689E" w:rsidP="001E17AF">
      <w:pPr>
        <w:numPr>
          <w:ilvl w:val="0"/>
          <w:numId w:val="9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Türkiye a proposé la candidature de </w:t>
      </w:r>
      <w:proofErr w:type="spellStart"/>
      <w:r w:rsidRPr="00503070">
        <w:rPr>
          <w:rFonts w:ascii="Arial" w:hAnsi="Arial" w:cs="Arial"/>
          <w:b/>
          <w:sz w:val="22"/>
          <w:szCs w:val="22"/>
        </w:rPr>
        <w:t>Antep</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Isi</w:t>
      </w:r>
      <w:proofErr w:type="spellEnd"/>
      <w:r w:rsidRPr="00503070">
        <w:rPr>
          <w:rFonts w:ascii="Arial" w:hAnsi="Arial" w:cs="Arial"/>
          <w:b/>
          <w:sz w:val="22"/>
          <w:szCs w:val="22"/>
        </w:rPr>
        <w:t>, une broderie au fil tiré de Gaziantep</w:t>
      </w:r>
      <w:r w:rsidRPr="00503070">
        <w:rPr>
          <w:rFonts w:ascii="Arial" w:hAnsi="Arial" w:cs="Arial"/>
          <w:sz w:val="22"/>
          <w:szCs w:val="22"/>
        </w:rPr>
        <w:t xml:space="preserve"> (n° 02294) pour inscription sur la Liste représentative du patrimoine culturel immatériel de l’humanité :</w:t>
      </w:r>
    </w:p>
    <w:p w14:paraId="2156C070"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proofErr w:type="spellStart"/>
      <w:r w:rsidRPr="00503070">
        <w:rPr>
          <w:rFonts w:ascii="Arial" w:hAnsi="Arial" w:cs="Arial"/>
          <w:sz w:val="22"/>
          <w:szCs w:val="22"/>
        </w:rPr>
        <w:t>Antep</w:t>
      </w:r>
      <w:proofErr w:type="spellEnd"/>
      <w:r w:rsidRPr="00503070">
        <w:rPr>
          <w:rFonts w:ascii="Arial" w:hAnsi="Arial" w:cs="Arial"/>
          <w:sz w:val="22"/>
          <w:szCs w:val="22"/>
        </w:rPr>
        <w:t xml:space="preserve"> </w:t>
      </w:r>
      <w:proofErr w:type="spellStart"/>
      <w:r w:rsidRPr="00503070">
        <w:rPr>
          <w:rFonts w:ascii="Arial" w:hAnsi="Arial" w:cs="Arial"/>
          <w:sz w:val="22"/>
          <w:szCs w:val="22"/>
        </w:rPr>
        <w:t>Isi</w:t>
      </w:r>
      <w:proofErr w:type="spellEnd"/>
      <w:r w:rsidRPr="00503070">
        <w:rPr>
          <w:rFonts w:ascii="Arial" w:hAnsi="Arial" w:cs="Arial"/>
          <w:sz w:val="22"/>
          <w:szCs w:val="22"/>
        </w:rPr>
        <w:t xml:space="preserve">, ou broderie au fil tiré, est une technique ancienne de travaux d’aiguille qui consiste traditionnellement à travailler sur un tissu blanc avec du fil blanc. Les fils sont tirés et coupés pour créer des motifs et des dessins transmis depuis des siècles. Aujourd’hui, la broderie est parfois réalisée avec des tissus et des fils de couleur. La broderie au fil tiré ne peut être produite en série et nécessite un travail minutieux et qualifié. Elle se fait généralement sur des cerceaux de broderie pour les petits tissus et sur des cadres pour les plus grands. Le tissu brodé est utilisé dans la vie quotidienne, notamment pour les vêtements, les couvertures de table, les draps de lit et les accessoires. </w:t>
      </w:r>
    </w:p>
    <w:p w14:paraId="18214D40" w14:textId="77777777" w:rsidR="0091689E" w:rsidRPr="00503070" w:rsidRDefault="0091689E" w:rsidP="001E17AF">
      <w:pPr>
        <w:keepNext/>
        <w:numPr>
          <w:ilvl w:val="0"/>
          <w:numId w:val="9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509D4B71" w14:textId="77777777" w:rsidR="0091689E" w:rsidRPr="00503070" w:rsidRDefault="0091689E" w:rsidP="0091689E">
      <w:pPr>
        <w:pStyle w:val="Style1"/>
        <w:ind w:left="1122" w:hanging="555"/>
        <w:rPr>
          <w:lang w:val="fr-FR"/>
        </w:rPr>
      </w:pPr>
      <w:r w:rsidRPr="00503070">
        <w:rPr>
          <w:lang w:val="fr-FR"/>
        </w:rPr>
        <w:t>R.1 :</w:t>
      </w:r>
      <w:r w:rsidRPr="00503070">
        <w:rPr>
          <w:lang w:val="fr-FR"/>
        </w:rPr>
        <w:tab/>
        <w:t xml:space="preserve">Les femmes, en particulier les grands-mères et les mères, sont les premières à pratiquer et à transmettre cet artisanat. Elles transmettent leur savoir à leurs filles et à leurs petites-filles oralement, ainsi que par le biais de démonstrations et d’exercices pratiques. Les organisations locales organisent également des programmes de formation, des ateliers et des cours pour enseigner l’artisanat aux jeunes générations. Élément essentiel de la </w:t>
      </w:r>
      <w:r w:rsidRPr="00503070">
        <w:rPr>
          <w:lang w:val="fr-FR"/>
        </w:rPr>
        <w:lastRenderedPageBreak/>
        <w:t>vie sociale et culturelle de ses praticiens, la broderie au fil tiré est profondément liée à l’identité régionale et urbaine. C’est un moyen d’exprimer sa créativité, ses rêves et ses désirs à travers des motifs tels que des oiseaux, des fruits ou des fleurs. Il s’agit également d’une activité sociale, les femmes se réunissant pour broder tout en partageant des histoires et en tissant des liens.</w:t>
      </w:r>
    </w:p>
    <w:p w14:paraId="3D641AEC" w14:textId="77777777" w:rsidR="0091689E" w:rsidRPr="00503070" w:rsidRDefault="0091689E" w:rsidP="0091689E">
      <w:pPr>
        <w:pStyle w:val="Style1"/>
        <w:ind w:left="1122" w:hanging="555"/>
        <w:rPr>
          <w:lang w:val="fr-FR"/>
        </w:rPr>
      </w:pPr>
      <w:r w:rsidRPr="00503070">
        <w:rPr>
          <w:lang w:val="fr-FR"/>
        </w:rPr>
        <w:t>R.2 :</w:t>
      </w:r>
      <w:r w:rsidRPr="00503070">
        <w:rPr>
          <w:lang w:val="fr-FR"/>
        </w:rPr>
        <w:tab/>
        <w:t>Le dossier de candidature démontre de manière constante comment l’élément favorise le développement durable et comment son inscription garantirait la visibilité et la sensibilisation à l’importance du patrimoine culturel immatériel. Il contribue en outre à une éducation inclusive et de qualité, compte tenu de la diversité des possibilités de transmission aux individus à tous les stades de la vie. Il contribue également à la promotion de la paix et de la cohésion sociale grâce à des événements qui favorisent le respect mutuel et le dialogue entre les détenteurs de savoirs traditionnels. Enfin, la production de broderies traditionnelles au fil favorise l’esprit d’entreprise et génère des revenus pour les femmes, tout en assurant la préservation de l’environnement.</w:t>
      </w:r>
    </w:p>
    <w:p w14:paraId="4469A6A7" w14:textId="77777777" w:rsidR="0091689E" w:rsidRPr="00503070" w:rsidRDefault="0091689E" w:rsidP="0091689E">
      <w:pPr>
        <w:pStyle w:val="Style1"/>
        <w:ind w:left="1122" w:hanging="555"/>
        <w:rPr>
          <w:lang w:val="fr-FR"/>
        </w:rPr>
      </w:pPr>
      <w:r w:rsidRPr="00503070">
        <w:rPr>
          <w:lang w:val="fr-FR"/>
        </w:rPr>
        <w:t>R.3 :</w:t>
      </w:r>
      <w:r w:rsidRPr="00503070">
        <w:rPr>
          <w:lang w:val="fr-FR"/>
        </w:rPr>
        <w:tab/>
        <w:t>Les praticiens, les communautés, les organisations non gouvernementales, les municipalités et les organismes gouvernementaux ont élaboré un plan de sauvegarde cohérent. Celui-ci comprend des activités en cours et à venir, telles que des cours de formation pour de nombreuses femmes, des expositions et des défilés de mode liés à l’élément. La recherche sur le terrain et la documentation des variations dans la pratique artistique de la broderie font également partie du plan. En outre, les mesures de sauvegarde soutenues par l’État partie soumissionnaire et axées sur l’internationalisation de la broderie, par le biais d’ateliers et de défilés de mode, pourraient contribuer à promouvoir les produits basés sur les compétences traditionnelles des femmes.</w:t>
      </w:r>
    </w:p>
    <w:p w14:paraId="242B231F" w14:textId="77777777" w:rsidR="0091689E" w:rsidRPr="00503070" w:rsidRDefault="0091689E" w:rsidP="0091689E">
      <w:pPr>
        <w:pStyle w:val="Style1"/>
        <w:ind w:left="1122" w:hanging="555"/>
        <w:rPr>
          <w:lang w:val="fr-FR"/>
        </w:rPr>
      </w:pPr>
      <w:r w:rsidRPr="00503070">
        <w:rPr>
          <w:lang w:val="fr-FR"/>
        </w:rPr>
        <w:t>R.4 :</w:t>
      </w:r>
      <w:r w:rsidRPr="00503070">
        <w:rPr>
          <w:lang w:val="fr-FR"/>
        </w:rPr>
        <w:tab/>
        <w:t xml:space="preserve">La préparation du dossier de candidature a impliqué plusieurs communautés, groupes et individus, y compris des maîtres de broderie et des apprentis, des formateurs, des universitaires et des experts. </w:t>
      </w:r>
      <w:proofErr w:type="gramStart"/>
      <w:r w:rsidRPr="00503070">
        <w:rPr>
          <w:lang w:val="fr-FR"/>
        </w:rPr>
        <w:t>Suite à</w:t>
      </w:r>
      <w:proofErr w:type="gramEnd"/>
      <w:r w:rsidRPr="00503070">
        <w:rPr>
          <w:lang w:val="fr-FR"/>
        </w:rPr>
        <w:t xml:space="preserve"> l’achèvement du projet de dossier, une réunion s’est tenue en 2024 pour le finaliser et préparer le plan de sauvegarde. Lors de cette réunion, les participants ont donné leur consentement libre, préalable et éclairé à la candidature. Ils ont également exprimé leur soutien dans plusieurs lettres, dont certaines écrites à la main, qui témoignent de leur engagement personnel et émotionnel en faveur de l’objectif poursuivi.</w:t>
      </w:r>
    </w:p>
    <w:p w14:paraId="25EF168F" w14:textId="77777777" w:rsidR="0091689E" w:rsidRPr="00503070" w:rsidRDefault="0091689E" w:rsidP="0091689E">
      <w:pPr>
        <w:pStyle w:val="Style1"/>
        <w:ind w:left="1122" w:hanging="555"/>
        <w:rPr>
          <w:lang w:val="fr-FR"/>
        </w:rPr>
      </w:pPr>
      <w:r w:rsidRPr="00503070">
        <w:rPr>
          <w:lang w:val="fr-FR"/>
        </w:rPr>
        <w:t>R.5 :</w:t>
      </w:r>
      <w:r w:rsidRPr="00503070">
        <w:rPr>
          <w:lang w:val="fr-FR"/>
        </w:rPr>
        <w:tab/>
        <w:t xml:space="preserve">L’élément a été inclus dans l’inventaire national du patrimoine culturel immatériel de la Türkiye en 2020. Tenu par la Direction générale de la recherche et de la formation du </w:t>
      </w:r>
      <w:proofErr w:type="gramStart"/>
      <w:r w:rsidRPr="00503070">
        <w:rPr>
          <w:lang w:val="fr-FR"/>
        </w:rPr>
        <w:t>Ministère de la culture</w:t>
      </w:r>
      <w:proofErr w:type="gramEnd"/>
      <w:r w:rsidRPr="00503070">
        <w:rPr>
          <w:lang w:val="fr-FR"/>
        </w:rPr>
        <w:t xml:space="preserve"> et du tourisme, cet inventaire est mis à jour de manière continue, au moins deux fois par an. Des universitaires, des représentants d’organisations non gouvernementales, des experts, des communautés, des groupes et des particuliers coopèrent avec le </w:t>
      </w:r>
      <w:proofErr w:type="gramStart"/>
      <w:r w:rsidRPr="00503070">
        <w:rPr>
          <w:lang w:val="fr-FR"/>
        </w:rPr>
        <w:t>Ministère de la culture</w:t>
      </w:r>
      <w:proofErr w:type="gramEnd"/>
      <w:r w:rsidRPr="00503070">
        <w:rPr>
          <w:lang w:val="fr-FR"/>
        </w:rPr>
        <w:t xml:space="preserve"> et du tourisme dans le cadre des processus de mise à jour. </w:t>
      </w:r>
    </w:p>
    <w:p w14:paraId="60412B90" w14:textId="77777777" w:rsidR="0091689E" w:rsidRPr="00503070" w:rsidRDefault="0091689E" w:rsidP="001E17AF">
      <w:pPr>
        <w:numPr>
          <w:ilvl w:val="0"/>
          <w:numId w:val="9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Antep</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Isi</w:t>
      </w:r>
      <w:proofErr w:type="spellEnd"/>
      <w:r w:rsidRPr="00503070">
        <w:rPr>
          <w:rFonts w:ascii="Arial" w:hAnsi="Arial" w:cs="Arial"/>
          <w:b/>
          <w:sz w:val="22"/>
          <w:szCs w:val="22"/>
        </w:rPr>
        <w:t>, une broderie au fil tiré de Gaziantep</w:t>
      </w:r>
      <w:r w:rsidRPr="00503070">
        <w:rPr>
          <w:rFonts w:ascii="Arial" w:hAnsi="Arial" w:cs="Arial"/>
          <w:sz w:val="22"/>
          <w:szCs w:val="22"/>
        </w:rPr>
        <w:t xml:space="preserve"> sur la Liste représentative du patrimoine culturel immatériel de l’humanité ;</w:t>
      </w:r>
    </w:p>
    <w:p w14:paraId="3F311552" w14:textId="77777777" w:rsidR="0091689E" w:rsidRPr="00503070" w:rsidRDefault="0091689E" w:rsidP="001E17AF">
      <w:pPr>
        <w:numPr>
          <w:ilvl w:val="0"/>
          <w:numId w:val="9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l’excellent dossier de candidature, qui reflète les contributions significatives des praticiens à la production de documents et de photographies d’un élément essentiel à leur vie sociale.</w:t>
      </w:r>
    </w:p>
    <w:p w14:paraId="590BB4BE" w14:textId="77777777" w:rsidR="0091689E" w:rsidRPr="00503070" w:rsidRDefault="0091689E" w:rsidP="0091689E">
      <w:pPr>
        <w:pStyle w:val="Heading1"/>
        <w:rPr>
          <w:bCs/>
        </w:rPr>
      </w:pPr>
      <w:r w:rsidRPr="00503070">
        <w:t>DÉCISION 20.COM 7.b.47</w:t>
      </w:r>
    </w:p>
    <w:p w14:paraId="3121C194"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70C1B76" w14:textId="77777777" w:rsidR="0091689E" w:rsidRPr="00503070" w:rsidRDefault="0091689E" w:rsidP="001E17AF">
      <w:pPr>
        <w:numPr>
          <w:ilvl w:val="0"/>
          <w:numId w:val="9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Turkménistan a proposé la candidature de </w:t>
      </w:r>
      <w:r w:rsidRPr="00503070">
        <w:rPr>
          <w:rFonts w:ascii="Arial" w:hAnsi="Arial" w:cs="Arial"/>
          <w:b/>
          <w:sz w:val="22"/>
          <w:szCs w:val="22"/>
        </w:rPr>
        <w:t>l’art de l’élevage de l’</w:t>
      </w:r>
      <w:proofErr w:type="spellStart"/>
      <w:r w:rsidRPr="00503070">
        <w:rPr>
          <w:rFonts w:ascii="Arial" w:hAnsi="Arial" w:cs="Arial"/>
          <w:b/>
          <w:sz w:val="22"/>
          <w:szCs w:val="22"/>
        </w:rPr>
        <w:t>alabay</w:t>
      </w:r>
      <w:proofErr w:type="spellEnd"/>
      <w:r w:rsidRPr="00503070">
        <w:rPr>
          <w:rFonts w:ascii="Arial" w:hAnsi="Arial" w:cs="Arial"/>
          <w:b/>
          <w:sz w:val="22"/>
          <w:szCs w:val="22"/>
        </w:rPr>
        <w:t xml:space="preserve"> turkmène</w:t>
      </w:r>
      <w:r w:rsidRPr="00503070">
        <w:rPr>
          <w:rFonts w:ascii="Arial" w:hAnsi="Arial" w:cs="Arial"/>
          <w:sz w:val="22"/>
          <w:szCs w:val="22"/>
        </w:rPr>
        <w:t xml:space="preserve"> (n° 02269) pour inscription sur la Liste représentative du patrimoine culturel immatériel de l’humanité :</w:t>
      </w:r>
    </w:p>
    <w:p w14:paraId="26866FC3"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L’</w:t>
      </w:r>
      <w:proofErr w:type="spellStart"/>
      <w:r w:rsidRPr="00503070">
        <w:rPr>
          <w:rFonts w:ascii="Arial" w:hAnsi="Arial" w:cs="Arial"/>
          <w:sz w:val="22"/>
          <w:szCs w:val="22"/>
        </w:rPr>
        <w:t>alabay</w:t>
      </w:r>
      <w:proofErr w:type="spellEnd"/>
      <w:r w:rsidRPr="00503070">
        <w:rPr>
          <w:rFonts w:ascii="Arial" w:hAnsi="Arial" w:cs="Arial"/>
          <w:sz w:val="22"/>
          <w:szCs w:val="22"/>
        </w:rPr>
        <w:t xml:space="preserve"> est une race de chien connue pour ses caractéristiques physiques (une grosse tête, un front plat, de petits yeux, une forte musculature et une grande taille) ainsi que pour sa </w:t>
      </w:r>
      <w:r w:rsidRPr="00503070">
        <w:rPr>
          <w:rFonts w:ascii="Arial" w:hAnsi="Arial" w:cs="Arial"/>
          <w:sz w:val="22"/>
          <w:szCs w:val="22"/>
        </w:rPr>
        <w:lastRenderedPageBreak/>
        <w:t xml:space="preserve">loyauté, son aptitude à la garde et son comportement calme. La race a été soigneusement préservée par les communautés praticiennes au cours de nombreux siècles. Des personnes de tous âges, de tous genres et de tous niveaux d’expérience participent à l’élevage et aux soins des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développant ainsi des liens étroits avec eux. Il existe de nombreuses traditions associées aux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telles que les cérémonies entourant la naissance et le baptême d’un chiot, ou encore la coutume consistant à créer des amulettes protectrices. </w:t>
      </w:r>
    </w:p>
    <w:p w14:paraId="0E7A42EA" w14:textId="77777777" w:rsidR="0091689E" w:rsidRPr="00503070" w:rsidRDefault="0091689E" w:rsidP="001E17AF">
      <w:pPr>
        <w:keepNext/>
        <w:numPr>
          <w:ilvl w:val="0"/>
          <w:numId w:val="9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365D1E5"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mesures de sauvegarde visant à protéger l’élément sont mises en œuvre par le gouvernement, les administrations locales et les organisations non gouvernementales en coopération avec les détenteurs, les praticiens et les communautés concernés. Ces mesures sont globales et comprennent l’adoption de lois, la construction de centres d’élevage, l’intégration avec l’éducation, la recherche, la documentation, la diffusion et la promotion. Les communautés, les groupes et les individus ont été activement impliqués dans la planification et le développement des mesures de sauvegarde, avec le soutien du gouvernement.</w:t>
      </w:r>
    </w:p>
    <w:p w14:paraId="7431EB38"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Représentés par une association internationale, les éleveurs de chiens ont exprimé leur volonté de présenter cette candidature, qui a reçu un large soutien de la part du gouvernement. Un groupe de coordination chargé de préparer la candidature a organisé plusieurs réunions entre 2021 et 2023 pour discuter des questions liées à l’élément. Les organismes gouvernementaux et les administrations locales ont apporté leur soutien organisationnel et financier à ces réunions. Au cours de la phase de préparation du dossier de candidature, les femmes porteuses de certaines traditions, compétences et savoir-faire associés à l’élément ont participé activement à l’élaboration et à la préparation des propositions. Toutes les informations, les supports visuels et les consentements nécessaires à la préparation du dossier de candidature ont été recueillis.</w:t>
      </w:r>
    </w:p>
    <w:p w14:paraId="3A19C9EA"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la liste d’inventaire nationale du patrimoine culturel immatériel du Turkménistan en 2023. L’entité responsable de la tenue et de la mise à jour annuelle de l’inventaire est le Département du patrimoine culturel immatériel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du Turkménistan. Les groupes et les communautés sont informés de la liste des éléments du patrimoine culturel immatériel et ont la possibilité de faire part de leurs suggestions pour améliorer l’inventaire. </w:t>
      </w:r>
    </w:p>
    <w:p w14:paraId="0A63F88B" w14:textId="77777777" w:rsidR="0091689E" w:rsidRPr="00503070" w:rsidRDefault="0091689E" w:rsidP="001E17AF">
      <w:pPr>
        <w:pStyle w:val="ListParagraph"/>
        <w:numPr>
          <w:ilvl w:val="0"/>
          <w:numId w:val="99"/>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l’État partie soumissionnaire dans le cadre du processus de dialogue, la candidature satisfait aux critères suivants d’inscription sur la Liste représentative du patrimoine culturel immatériel de l’humanité :</w:t>
      </w:r>
    </w:p>
    <w:p w14:paraId="38429A81"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R.1 :</w:t>
      </w:r>
      <w:r w:rsidRPr="00503070">
        <w:rPr>
          <w:rFonts w:ascii="Arial" w:hAnsi="Arial" w:cs="Arial"/>
          <w:sz w:val="22"/>
          <w:szCs w:val="22"/>
        </w:rPr>
        <w:tab/>
        <w:t xml:space="preserve">Les connaissances en matière d’élevage et de formation des chiens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sont transmises au sein des familles, par le biais du mentorat, ainsi que par une formation formelle dans les clubs et les centres. Chaque communauté compte également un maître éleveur de chiens, dont le rôle est de guider les praticiens et de transmettre aux nouveaux éleveurs des connaissances sur le comportement et les techniques de dressage des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Les coutumes associées à l’élevage et aux soins des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visent à garantir les qualités intrinsèques de la race et à transmettre aux jeunes générations les valeurs culturelles qui s’y rattachent. Source d’unité, d’identité culturelle et de fierté, les </w:t>
      </w:r>
      <w:proofErr w:type="spellStart"/>
      <w:r w:rsidRPr="00503070">
        <w:rPr>
          <w:rFonts w:ascii="Arial" w:hAnsi="Arial" w:cs="Arial"/>
          <w:sz w:val="22"/>
          <w:szCs w:val="22"/>
        </w:rPr>
        <w:t>alabays</w:t>
      </w:r>
      <w:proofErr w:type="spellEnd"/>
      <w:r w:rsidRPr="00503070">
        <w:rPr>
          <w:rFonts w:ascii="Arial" w:hAnsi="Arial" w:cs="Arial"/>
          <w:sz w:val="22"/>
          <w:szCs w:val="22"/>
        </w:rPr>
        <w:t xml:space="preserve"> sont souvent représentés dans l’art local, les poèmes, les proverbes et les célébrations, y compris une fête nationale dédiée et des concours internationaux.</w:t>
      </w:r>
    </w:p>
    <w:p w14:paraId="6E2E0E91"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 xml:space="preserve">Le dossier de candidature explique la manière dont l’inscription permettrait de sensibiliser au patrimoine culturel immatériel </w:t>
      </w:r>
      <w:proofErr w:type="gramStart"/>
      <w:r w:rsidRPr="00503070">
        <w:rPr>
          <w:rFonts w:ascii="Arial" w:hAnsi="Arial" w:cs="Arial"/>
          <w:sz w:val="22"/>
          <w:szCs w:val="22"/>
        </w:rPr>
        <w:t>aux niveaux local</w:t>
      </w:r>
      <w:proofErr w:type="gramEnd"/>
      <w:r w:rsidRPr="00503070">
        <w:rPr>
          <w:rFonts w:ascii="Arial" w:hAnsi="Arial" w:cs="Arial"/>
          <w:sz w:val="22"/>
          <w:szCs w:val="22"/>
        </w:rPr>
        <w:t xml:space="preserve">, national et international. L’élément est inclusif, pratiqué par des personnes de tous âges et de tous genres, et promeut le dialogue international. En tant qu’élément transfrontalier, il offre aux communautés, aux groupes et aux individus du monde entier la possibilité d’échanger </w:t>
      </w:r>
      <w:r w:rsidRPr="00503070">
        <w:rPr>
          <w:rFonts w:ascii="Arial" w:hAnsi="Arial" w:cs="Arial"/>
          <w:sz w:val="22"/>
          <w:szCs w:val="22"/>
        </w:rPr>
        <w:lastRenderedPageBreak/>
        <w:t xml:space="preserve">des connaissances, contribuant ainsi à la promotion de la paix et de la cohésion sociale. L’élément contribue en outre à un développement économique inclusif, de nombreuses opportunités d’emploi étant liées à l’élevage de chiens </w:t>
      </w:r>
      <w:proofErr w:type="spellStart"/>
      <w:r w:rsidRPr="00503070">
        <w:rPr>
          <w:rFonts w:ascii="Arial" w:hAnsi="Arial" w:cs="Arial"/>
          <w:sz w:val="22"/>
          <w:szCs w:val="22"/>
        </w:rPr>
        <w:t>alabay</w:t>
      </w:r>
      <w:proofErr w:type="spellEnd"/>
      <w:r w:rsidRPr="00503070">
        <w:rPr>
          <w:rFonts w:ascii="Arial" w:hAnsi="Arial" w:cs="Arial"/>
          <w:sz w:val="22"/>
          <w:szCs w:val="22"/>
        </w:rPr>
        <w:t>. Cependant, les informations sur la manière dont cet élément est lié à l’éducation de qualité et à la durabilité environnementale, y compris le changement climatique, ne sont pas suffisantes.</w:t>
      </w:r>
    </w:p>
    <w:p w14:paraId="77F1CA5B" w14:textId="77777777" w:rsidR="0091689E" w:rsidRPr="00503070" w:rsidRDefault="0091689E" w:rsidP="001E17AF">
      <w:pPr>
        <w:numPr>
          <w:ilvl w:val="0"/>
          <w:numId w:val="99"/>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l’art de l’élevage de l’</w:t>
      </w:r>
      <w:proofErr w:type="spellStart"/>
      <w:r w:rsidRPr="00503070">
        <w:rPr>
          <w:rFonts w:ascii="Arial" w:hAnsi="Arial" w:cs="Arial"/>
          <w:b/>
          <w:sz w:val="22"/>
          <w:szCs w:val="22"/>
        </w:rPr>
        <w:t>alabay</w:t>
      </w:r>
      <w:proofErr w:type="spellEnd"/>
      <w:r w:rsidRPr="00503070">
        <w:rPr>
          <w:rFonts w:ascii="Arial" w:hAnsi="Arial" w:cs="Arial"/>
          <w:b/>
          <w:sz w:val="22"/>
          <w:szCs w:val="22"/>
        </w:rPr>
        <w:t xml:space="preserve"> turkmène</w:t>
      </w:r>
      <w:r w:rsidRPr="00503070">
        <w:rPr>
          <w:rFonts w:ascii="Arial" w:hAnsi="Arial" w:cs="Arial"/>
          <w:sz w:val="22"/>
          <w:szCs w:val="22"/>
        </w:rPr>
        <w:t xml:space="preserve"> sur la Liste représentative du patrimoine culturel immatériel de l’humanité ;</w:t>
      </w:r>
    </w:p>
    <w:p w14:paraId="11ED04AA" w14:textId="77777777" w:rsidR="0091689E" w:rsidRPr="00503070" w:rsidRDefault="0091689E" w:rsidP="001E17AF">
      <w:pPr>
        <w:numPr>
          <w:ilvl w:val="0"/>
          <w:numId w:val="99"/>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d’avoir assuré la participation active des détenteurs de la tradition lors de la préparation de la candidature, notamment en se concentrant sur le rôle prépondérant des femmes dans le processus.</w:t>
      </w:r>
    </w:p>
    <w:p w14:paraId="4CD8AE1F" w14:textId="77777777" w:rsidR="0091689E" w:rsidRPr="00503070" w:rsidRDefault="0091689E" w:rsidP="0091689E">
      <w:pPr>
        <w:pStyle w:val="Heading1"/>
        <w:rPr>
          <w:bCs/>
        </w:rPr>
      </w:pPr>
      <w:r w:rsidRPr="00503070">
        <w:t>DÉCISION 20.COM 7.b.48</w:t>
      </w:r>
    </w:p>
    <w:p w14:paraId="2F9CB63A"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A07962E" w14:textId="77777777" w:rsidR="0091689E" w:rsidRPr="00503070" w:rsidRDefault="0091689E" w:rsidP="001E17AF">
      <w:pPr>
        <w:numPr>
          <w:ilvl w:val="0"/>
          <w:numId w:val="10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les Émirats arabes unis ont proposé la candidature de </w:t>
      </w:r>
      <w:r w:rsidRPr="00503070">
        <w:rPr>
          <w:rFonts w:ascii="Arial" w:hAnsi="Arial" w:cs="Arial"/>
          <w:b/>
          <w:sz w:val="22"/>
          <w:szCs w:val="22"/>
        </w:rPr>
        <w:t xml:space="preserve">Al </w:t>
      </w:r>
      <w:proofErr w:type="spellStart"/>
      <w:r w:rsidRPr="00503070">
        <w:rPr>
          <w:rFonts w:ascii="Arial" w:hAnsi="Arial" w:cs="Arial"/>
          <w:b/>
          <w:sz w:val="22"/>
          <w:szCs w:val="22"/>
        </w:rPr>
        <w:t>Ahalla</w:t>
      </w:r>
      <w:proofErr w:type="spellEnd"/>
      <w:r w:rsidRPr="00503070">
        <w:rPr>
          <w:rFonts w:ascii="Arial" w:hAnsi="Arial" w:cs="Arial"/>
          <w:b/>
          <w:sz w:val="22"/>
          <w:szCs w:val="22"/>
        </w:rPr>
        <w:t>, un art du spectacle vivant aux Émirats arabes unis</w:t>
      </w:r>
      <w:r w:rsidRPr="00503070">
        <w:rPr>
          <w:rFonts w:ascii="Arial" w:hAnsi="Arial" w:cs="Arial"/>
          <w:sz w:val="22"/>
          <w:szCs w:val="22"/>
        </w:rPr>
        <w:t xml:space="preserve"> (n° 02279) pour inscription sur la Liste représentative du patrimoine culturel immatériel de l’humanité :</w:t>
      </w:r>
    </w:p>
    <w:p w14:paraId="001924A7"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Al </w:t>
      </w:r>
      <w:proofErr w:type="spellStart"/>
      <w:r w:rsidRPr="00503070">
        <w:rPr>
          <w:rFonts w:ascii="Arial" w:hAnsi="Arial" w:cs="Arial"/>
          <w:sz w:val="22"/>
          <w:szCs w:val="22"/>
        </w:rPr>
        <w:t>Ahalla</w:t>
      </w:r>
      <w:proofErr w:type="spellEnd"/>
      <w:r w:rsidRPr="00503070">
        <w:rPr>
          <w:rFonts w:ascii="Arial" w:hAnsi="Arial" w:cs="Arial"/>
          <w:sz w:val="22"/>
          <w:szCs w:val="22"/>
        </w:rPr>
        <w:t xml:space="preserve"> est une forme d’art traditionnel qui associe les arts du spectacle à la tradition orale. Historiquement liés aux expéditions de plongée, ces représentations consistent en la récitation de vers de poésie, généralement à l’occasion de célébrations joyeuses telles que les mariages, les fêtes et les événements publics. Cette pratique unit les personnes par ses chants et ses représentations captivantes. Contrairement à d’autres représentations, Al </w:t>
      </w:r>
      <w:proofErr w:type="spellStart"/>
      <w:r w:rsidRPr="00503070">
        <w:rPr>
          <w:rFonts w:ascii="Arial" w:hAnsi="Arial" w:cs="Arial"/>
          <w:sz w:val="22"/>
          <w:szCs w:val="22"/>
        </w:rPr>
        <w:t>Ahalla</w:t>
      </w:r>
      <w:proofErr w:type="spellEnd"/>
      <w:r w:rsidRPr="00503070">
        <w:rPr>
          <w:rFonts w:ascii="Arial" w:hAnsi="Arial" w:cs="Arial"/>
          <w:sz w:val="22"/>
          <w:szCs w:val="22"/>
        </w:rPr>
        <w:t xml:space="preserve"> ne fait pas appel à des instruments de musique traditionnels tels que des tambours ou des tambourins. Au lieu de cela, les artistes, qui appartiennent à des groupes artistiques traditionnels, utilisent alternativement des chants et des bâtons de bambou appelés « </w:t>
      </w:r>
      <w:proofErr w:type="spellStart"/>
      <w:r w:rsidRPr="00503070">
        <w:rPr>
          <w:rFonts w:ascii="Arial" w:hAnsi="Arial" w:cs="Arial"/>
          <w:sz w:val="22"/>
          <w:szCs w:val="22"/>
        </w:rPr>
        <w:t>khayzaran</w:t>
      </w:r>
      <w:proofErr w:type="spellEnd"/>
      <w:r w:rsidRPr="00503070">
        <w:rPr>
          <w:rFonts w:ascii="Arial" w:hAnsi="Arial" w:cs="Arial"/>
          <w:sz w:val="22"/>
          <w:szCs w:val="22"/>
        </w:rPr>
        <w:t xml:space="preserve"> » pour créer un rythme. Les artistes sont généralement des hommes. Ils se rassemblent en cercles qui peuvent compter jusqu’à soixante personnes et récitent les poèmes en harmonie. La communauté participe, souvent lors de rassemblements nocturnes qui durent jusqu’au lever du soleil. </w:t>
      </w:r>
    </w:p>
    <w:p w14:paraId="5F9FC826" w14:textId="77777777" w:rsidR="0091689E" w:rsidRPr="00503070" w:rsidRDefault="0091689E" w:rsidP="001E17AF">
      <w:pPr>
        <w:keepNext/>
        <w:numPr>
          <w:ilvl w:val="0"/>
          <w:numId w:val="10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FCE3D77"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L’art Al </w:t>
      </w:r>
      <w:proofErr w:type="spellStart"/>
      <w:r w:rsidRPr="00503070">
        <w:rPr>
          <w:rFonts w:ascii="Arial" w:hAnsi="Arial" w:cs="Arial"/>
          <w:sz w:val="22"/>
          <w:szCs w:val="22"/>
        </w:rPr>
        <w:t>Ahalla</w:t>
      </w:r>
      <w:proofErr w:type="spellEnd"/>
      <w:r w:rsidRPr="00503070">
        <w:rPr>
          <w:rFonts w:ascii="Arial" w:hAnsi="Arial" w:cs="Arial"/>
          <w:sz w:val="22"/>
          <w:szCs w:val="22"/>
        </w:rPr>
        <w:t xml:space="preserve"> est profondément lié au passé et incarne la poésie traditionnelle et les rituels culturels. La transmission des connaissances et du savoir-faire associés s’effectue dans le cadre familial et scolaire, ainsi que par le biais d’une formation formelle dispensée par les sociétés folkloriques. Cet art de la performance est adaptable, les poètes créant de nouveaux vers afin de refléter des thèmes modernes, ce qui lui permet de rester en phase avec les événements contemporains. Il renforce les liens au sein des communautés et joue un rôle clé dans les grands événements culturels. L’Al </w:t>
      </w:r>
      <w:proofErr w:type="spellStart"/>
      <w:r w:rsidRPr="00503070">
        <w:rPr>
          <w:rFonts w:ascii="Arial" w:hAnsi="Arial" w:cs="Arial"/>
          <w:sz w:val="22"/>
          <w:szCs w:val="22"/>
        </w:rPr>
        <w:t>Ahalla</w:t>
      </w:r>
      <w:proofErr w:type="spellEnd"/>
      <w:r w:rsidRPr="00503070">
        <w:rPr>
          <w:rFonts w:ascii="Arial" w:hAnsi="Arial" w:cs="Arial"/>
          <w:sz w:val="22"/>
          <w:szCs w:val="22"/>
        </w:rPr>
        <w:t xml:space="preserve"> est un élément essentiel de la vie des communautés pratiquantes, offrant une expérience inclusive et engageante pour tous.</w:t>
      </w:r>
    </w:p>
    <w:p w14:paraId="7618AF4E"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L’État partie soumissionnaire démontre de manière constante comment l’élément contribue au développement durable et comment son inscription garantirait la visibilité et la sensibilisation à l’importance du patrimoine culturel immatériel. L’élément favorise un développement économique inclusif, les groupes participant activement aux événements culturels, comme cela est généralement le cas pour les arts du spectacle. Parallèlement, l’Al </w:t>
      </w:r>
      <w:proofErr w:type="spellStart"/>
      <w:r w:rsidRPr="00503070">
        <w:rPr>
          <w:rFonts w:ascii="Arial" w:hAnsi="Arial" w:cs="Arial"/>
          <w:sz w:val="22"/>
          <w:szCs w:val="22"/>
        </w:rPr>
        <w:t>Ahalla</w:t>
      </w:r>
      <w:proofErr w:type="spellEnd"/>
      <w:r w:rsidRPr="00503070">
        <w:rPr>
          <w:rFonts w:ascii="Arial" w:hAnsi="Arial" w:cs="Arial"/>
          <w:sz w:val="22"/>
          <w:szCs w:val="22"/>
        </w:rPr>
        <w:t xml:space="preserve"> est fortement associé à l’innovation et à la créativité, malgré ses racines folkloriques et sa dépendance à l’égard des mélodies traditionnelles. Les interprètes explorent fréquemment de nouvelles compositions, garantissant l’évolution dynamique de l’élément et sa pertinence dans des contextes contemporains. Il contribue également à la cohésion sociale en servant de symbole de stabilité, de paix et d’aspiration à la coexistence. Les spectacles véhiculent en outre des messages d’unité sociale, </w:t>
      </w:r>
      <w:r w:rsidRPr="00503070">
        <w:rPr>
          <w:rFonts w:ascii="Arial" w:hAnsi="Arial" w:cs="Arial"/>
          <w:sz w:val="22"/>
          <w:szCs w:val="22"/>
        </w:rPr>
        <w:lastRenderedPageBreak/>
        <w:t>favorisant un sentiment d’appartenance et de compréhension mutuelle parmi les participants et les spectateurs.</w:t>
      </w:r>
    </w:p>
    <w:p w14:paraId="2C0A4291"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stratégies de sauvegarde de l’élément sont variées et multiformes, comprenant un cadre juridique solide et un plan d’action complet, ainsi que des efforts concertés pour promouvoir l’élément et assurer sa couverture médiatique. Certaines initiatives visent par ailleurs à présenter l’élément à un public international et à l’intégrer dans les établissements d’enseignement. L’État apporte un soutien institutionnel substantiel aux mesures de sauvegarde, tandis que la société civile, les groupes et les individus liés à l’élément sont intensément engagés dans leur mise en œuvre.</w:t>
      </w:r>
    </w:p>
    <w:p w14:paraId="20A878A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Le dossier de candidature est le résultat d’un travail de collaboration auquel ont participé des poètes, des compositeurs, des interprètes et d’autres détenteurs d’arts traditionnels, ainsi que des experts, des universitaires et des </w:t>
      </w:r>
      <w:r w:rsidRPr="00503070">
        <w:rPr>
          <w:rFonts w:ascii="Arial" w:hAnsi="Arial" w:cs="Arial"/>
          <w:color w:val="000000" w:themeColor="text1"/>
          <w:sz w:val="22"/>
          <w:szCs w:val="22"/>
        </w:rPr>
        <w:t>représentants</w:t>
      </w:r>
      <w:r w:rsidRPr="00503070">
        <w:rPr>
          <w:rFonts w:ascii="Arial" w:hAnsi="Arial" w:cs="Arial"/>
          <w:sz w:val="22"/>
          <w:szCs w:val="22"/>
        </w:rPr>
        <w:t xml:space="preserve"> de vingt groupes d’art traditionnel et de cinq associations de défense du patrimoine. Ils ont assisté aux réunions pertinentes et ont donné leur consentement libre, préalable et éclairé à la candidature. </w:t>
      </w:r>
    </w:p>
    <w:p w14:paraId="7A28D56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national du patrimoine culturel immatériel en 2015. L’inventaire est géré par le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et le Département de la culture et du tourisme d’Abou Dhabi, et mis à jour tous les cinq ans, avec la participation des communautés, des groupes et des individus.</w:t>
      </w:r>
    </w:p>
    <w:p w14:paraId="0B8F1E72" w14:textId="77777777" w:rsidR="0091689E" w:rsidRPr="00503070" w:rsidRDefault="0091689E" w:rsidP="001E17AF">
      <w:pPr>
        <w:numPr>
          <w:ilvl w:val="0"/>
          <w:numId w:val="100"/>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Al </w:t>
      </w:r>
      <w:proofErr w:type="spellStart"/>
      <w:r w:rsidRPr="00503070">
        <w:rPr>
          <w:rFonts w:ascii="Arial" w:hAnsi="Arial" w:cs="Arial"/>
          <w:b/>
          <w:sz w:val="22"/>
          <w:szCs w:val="22"/>
        </w:rPr>
        <w:t>Ahalla</w:t>
      </w:r>
      <w:proofErr w:type="spellEnd"/>
      <w:r w:rsidRPr="00503070">
        <w:rPr>
          <w:rFonts w:ascii="Arial" w:hAnsi="Arial" w:cs="Arial"/>
          <w:b/>
          <w:sz w:val="22"/>
          <w:szCs w:val="22"/>
        </w:rPr>
        <w:t>, un art du spectacle vivant aux Émirats arabes unis</w:t>
      </w:r>
      <w:r w:rsidRPr="00503070">
        <w:rPr>
          <w:rFonts w:ascii="Arial" w:hAnsi="Arial" w:cs="Arial"/>
          <w:sz w:val="22"/>
          <w:szCs w:val="22"/>
        </w:rPr>
        <w:t xml:space="preserve"> sur la Liste représentative du patrimoine culturel immatériel de l’humanité ;</w:t>
      </w:r>
    </w:p>
    <w:p w14:paraId="0C8FA90D" w14:textId="77777777" w:rsidR="0091689E" w:rsidRPr="00503070" w:rsidRDefault="0091689E" w:rsidP="001E17AF">
      <w:pPr>
        <w:numPr>
          <w:ilvl w:val="0"/>
          <w:numId w:val="100"/>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la candidature minutieusement présentée, qui se concentre sur la promotion de la poésie dans le contexte contemporain.</w:t>
      </w:r>
    </w:p>
    <w:p w14:paraId="7E54FC95" w14:textId="77777777" w:rsidR="0091689E" w:rsidRPr="00503070" w:rsidRDefault="0091689E" w:rsidP="0091689E">
      <w:pPr>
        <w:pStyle w:val="Heading1"/>
        <w:rPr>
          <w:bCs/>
        </w:rPr>
      </w:pPr>
      <w:r w:rsidRPr="00503070">
        <w:t>DÉCISION 20.COM 7.b.49</w:t>
      </w:r>
    </w:p>
    <w:p w14:paraId="1D6AEE6C"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2A495650" w14:textId="77777777" w:rsidR="0091689E" w:rsidRPr="00503070" w:rsidRDefault="0091689E" w:rsidP="001E17AF">
      <w:pPr>
        <w:numPr>
          <w:ilvl w:val="0"/>
          <w:numId w:val="10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du «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 (soumise par l’Indonésie et la Malaisie) sur la Liste représentative du patrimoine culturel immatériel de l’humanité par la quinzième session du Comité en 2020 (décision </w:t>
      </w:r>
      <w:hyperlink r:id="rId64" w:history="1">
        <w:r w:rsidRPr="00503070">
          <w:rPr>
            <w:rStyle w:val="Hyperlink"/>
            <w:rFonts w:ascii="Arial" w:hAnsi="Arial" w:cs="Arial"/>
            <w:sz w:val="22"/>
            <w:szCs w:val="22"/>
          </w:rPr>
          <w:t xml:space="preserve">15.COM </w:t>
        </w:r>
        <w:proofErr w:type="gramStart"/>
        <w:r w:rsidRPr="00503070">
          <w:rPr>
            <w:rStyle w:val="Hyperlink"/>
            <w:rFonts w:ascii="Arial" w:hAnsi="Arial" w:cs="Arial"/>
            <w:sz w:val="22"/>
            <w:szCs w:val="22"/>
          </w:rPr>
          <w:t>8.b.</w:t>
        </w:r>
        <w:proofErr w:type="gramEnd"/>
        <w:r w:rsidRPr="00503070">
          <w:rPr>
            <w:rStyle w:val="Hyperlink"/>
            <w:rFonts w:ascii="Arial" w:hAnsi="Arial" w:cs="Arial"/>
            <w:sz w:val="22"/>
            <w:szCs w:val="22"/>
          </w:rPr>
          <w:t>30</w:t>
        </w:r>
      </w:hyperlink>
      <w:r w:rsidRPr="00503070">
        <w:rPr>
          <w:rFonts w:ascii="Arial" w:hAnsi="Arial" w:cs="Arial"/>
          <w:sz w:val="22"/>
          <w:szCs w:val="22"/>
        </w:rPr>
        <w:t>),</w:t>
      </w:r>
    </w:p>
    <w:p w14:paraId="5A8113ED" w14:textId="77777777" w:rsidR="0091689E" w:rsidRPr="00503070" w:rsidRDefault="0091689E" w:rsidP="001E17AF">
      <w:pPr>
        <w:numPr>
          <w:ilvl w:val="0"/>
          <w:numId w:val="10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l’Indonésie, la Malaisie et Brunéi Darussalam ont proposé la candidature du</w:t>
      </w:r>
      <w:r w:rsidRPr="00503070">
        <w:rPr>
          <w:rFonts w:ascii="Arial" w:hAnsi="Arial" w:cs="Arial"/>
          <w:b/>
          <w:sz w:val="22"/>
          <w:szCs w:val="22"/>
        </w:rPr>
        <w:t xml:space="preserve"> </w:t>
      </w:r>
      <w:proofErr w:type="spellStart"/>
      <w:r w:rsidRPr="00503070">
        <w:rPr>
          <w:rFonts w:ascii="Arial" w:hAnsi="Arial" w:cs="Arial"/>
          <w:b/>
          <w:sz w:val="22"/>
          <w:szCs w:val="22"/>
        </w:rPr>
        <w:t>pantun</w:t>
      </w:r>
      <w:proofErr w:type="spellEnd"/>
      <w:r w:rsidRPr="00503070">
        <w:rPr>
          <w:rFonts w:ascii="Arial" w:hAnsi="Arial" w:cs="Arial"/>
          <w:sz w:val="22"/>
          <w:szCs w:val="22"/>
        </w:rPr>
        <w:t xml:space="preserve"> (n° 02274) pour inscription, sur une base élargie afin d’inclure Brunéi Darussalam, sur la Liste représentative du patrimoine culturel immatériel de l’humanité :</w:t>
      </w:r>
    </w:p>
    <w:p w14:paraId="24E65546"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est une forme de poésie malaise utilisée pour exprimer des idées et des émotions complexes. C’est une forme d’expression orale répandue en Asie du Sud-Est maritime. Le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suit un schéma de rimes a-b-a-b bien défini. La variété à quatre vers est la plus courante. Les </w:t>
      </w:r>
      <w:proofErr w:type="spellStart"/>
      <w:r w:rsidRPr="00503070">
        <w:rPr>
          <w:rFonts w:ascii="Arial" w:hAnsi="Arial" w:cs="Arial"/>
          <w:sz w:val="22"/>
          <w:szCs w:val="22"/>
        </w:rPr>
        <w:t>pantuns</w:t>
      </w:r>
      <w:proofErr w:type="spellEnd"/>
      <w:r w:rsidRPr="00503070">
        <w:rPr>
          <w:rFonts w:ascii="Arial" w:hAnsi="Arial" w:cs="Arial"/>
          <w:sz w:val="22"/>
          <w:szCs w:val="22"/>
        </w:rPr>
        <w:t xml:space="preserve"> peuvent être transmis par la musique, le chant et l’écriture. Ces représentations sont dirigées par le « </w:t>
      </w:r>
      <w:proofErr w:type="spellStart"/>
      <w:r w:rsidRPr="00503070">
        <w:rPr>
          <w:rFonts w:ascii="Arial" w:hAnsi="Arial" w:cs="Arial"/>
          <w:sz w:val="22"/>
          <w:szCs w:val="22"/>
        </w:rPr>
        <w:t>pemantun</w:t>
      </w:r>
      <w:proofErr w:type="spellEnd"/>
      <w:r w:rsidRPr="00503070">
        <w:rPr>
          <w:rFonts w:ascii="Arial" w:hAnsi="Arial" w:cs="Arial"/>
          <w:sz w:val="22"/>
          <w:szCs w:val="22"/>
        </w:rPr>
        <w:t xml:space="preserve"> » (le narrateur du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les chanteurs et les chefs coutumiers. La plupart des vers sont consacrés à l’expression de l’amour romantique, de la famille, de la communauté, ainsi que de la nature. Les </w:t>
      </w:r>
      <w:proofErr w:type="spellStart"/>
      <w:r w:rsidRPr="00503070">
        <w:rPr>
          <w:rFonts w:ascii="Arial" w:hAnsi="Arial" w:cs="Arial"/>
          <w:sz w:val="22"/>
          <w:szCs w:val="22"/>
        </w:rPr>
        <w:t>pantuns</w:t>
      </w:r>
      <w:proofErr w:type="spellEnd"/>
      <w:r w:rsidRPr="00503070">
        <w:rPr>
          <w:rFonts w:ascii="Arial" w:hAnsi="Arial" w:cs="Arial"/>
          <w:sz w:val="22"/>
          <w:szCs w:val="22"/>
        </w:rPr>
        <w:t xml:space="preserve"> peuvent être récités lors de mariages, de rituels coutumiers, de représentations culturelles et de cérémonies officielles. </w:t>
      </w:r>
    </w:p>
    <w:p w14:paraId="336220AB" w14:textId="77777777" w:rsidR="0091689E" w:rsidRPr="00503070" w:rsidRDefault="0091689E" w:rsidP="001E17AF">
      <w:pPr>
        <w:keepNext/>
        <w:numPr>
          <w:ilvl w:val="0"/>
          <w:numId w:val="108"/>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568C097A"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Les connaissances et le savoir-faire associés à l’élément sont transmis de manière formelle dans les écoles et les ateliers artistiques, ainsi que de manière informelle par le biais de sessions et de compétitions. Cette pratique est une manière socialement acceptable de s’exprimer indirectement et poliment. Il s’agit également d’un guide moral, car les versets véhiculent souvent des valeurs religieuses et culturelles telles que la retenue, le respect, la gentillesse et l’humilité. Patrimoine oral précieux, le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a par ailleurs été utilisé comme voie diplomatique pour résoudre certains conflits, permettant d’évoquer en douceur des sujets importants. L’harmonie avec la nature et la souplesse dans les relations humaines sont également des idéaux loués.</w:t>
      </w:r>
    </w:p>
    <w:p w14:paraId="5554607D"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lastRenderedPageBreak/>
        <w:t>R.2 :</w:t>
      </w:r>
      <w:r w:rsidRPr="00503070">
        <w:rPr>
          <w:rFonts w:ascii="Arial" w:hAnsi="Arial" w:cs="Arial"/>
          <w:sz w:val="22"/>
          <w:szCs w:val="22"/>
        </w:rPr>
        <w:tab/>
        <w:t xml:space="preserve">En tant que forme d’art développée au sein du monde malais, l’élément maintient les liens entre les communautés ethniques des différents pays d’Asie du Sud-Est, en promouvant la compréhension et le respect mutuels. Au niveau régional, l’inscription du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renforcerait la coopération entre ces pays pour assurer la préservation de leur patrimoine culturel commun. Au niveau international, cette inscription contribuerait à promouvoir les traditions orales qui s’adaptent du fait du processus de mondialisation. </w:t>
      </w:r>
    </w:p>
    <w:p w14:paraId="21068D1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 dossier de candidature indique que l’extension proposée renforcera les mesures de sauvegarde décrites dans la candidature initiale, en particulier par le biais de la documentation, de l’éducation et de l’information. Il est clair que les efforts de sauvegarde impliquent à la fois les institutions gouvernementales et les communautés des détenteurs de la tradition, ainsi que d’autres parties prenantes. Les praticiens participent à la planification et à la mise en œuvre des mesures de sauvegarde, principalement en tant qu’instructeurs, pour la transmission des connaissances aux jeunes générations.</w:t>
      </w:r>
    </w:p>
    <w:p w14:paraId="135F00CD"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inclus dans l’inventaire national du patrimoine culturel immatériel (inventaire </w:t>
      </w:r>
      <w:proofErr w:type="spellStart"/>
      <w:r w:rsidRPr="00503070">
        <w:rPr>
          <w:rFonts w:ascii="Arial" w:hAnsi="Arial" w:cs="Arial"/>
          <w:sz w:val="22"/>
          <w:szCs w:val="22"/>
        </w:rPr>
        <w:t>Warisan</w:t>
      </w:r>
      <w:proofErr w:type="spellEnd"/>
      <w:r w:rsidRPr="00503070">
        <w:rPr>
          <w:rFonts w:ascii="Arial" w:hAnsi="Arial" w:cs="Arial"/>
          <w:sz w:val="22"/>
          <w:szCs w:val="22"/>
        </w:rPr>
        <w:t xml:space="preserve"> </w:t>
      </w:r>
      <w:proofErr w:type="spellStart"/>
      <w:r w:rsidRPr="00503070">
        <w:rPr>
          <w:rFonts w:ascii="Arial" w:hAnsi="Arial" w:cs="Arial"/>
          <w:sz w:val="22"/>
          <w:szCs w:val="22"/>
        </w:rPr>
        <w:t>Budaya</w:t>
      </w:r>
      <w:proofErr w:type="spellEnd"/>
      <w:r w:rsidRPr="00503070">
        <w:rPr>
          <w:rFonts w:ascii="Arial" w:hAnsi="Arial" w:cs="Arial"/>
          <w:sz w:val="22"/>
          <w:szCs w:val="22"/>
        </w:rPr>
        <w:t xml:space="preserve"> </w:t>
      </w:r>
      <w:proofErr w:type="spellStart"/>
      <w:r w:rsidRPr="00503070">
        <w:rPr>
          <w:rFonts w:ascii="Arial" w:hAnsi="Arial" w:cs="Arial"/>
          <w:sz w:val="22"/>
          <w:szCs w:val="22"/>
        </w:rPr>
        <w:t>Tidak</w:t>
      </w:r>
      <w:proofErr w:type="spellEnd"/>
      <w:r w:rsidRPr="00503070">
        <w:rPr>
          <w:rFonts w:ascii="Arial" w:hAnsi="Arial" w:cs="Arial"/>
          <w:sz w:val="22"/>
          <w:szCs w:val="22"/>
        </w:rPr>
        <w:t xml:space="preserve"> </w:t>
      </w:r>
      <w:proofErr w:type="spellStart"/>
      <w:r w:rsidRPr="00503070">
        <w:rPr>
          <w:rFonts w:ascii="Arial" w:hAnsi="Arial" w:cs="Arial"/>
          <w:sz w:val="22"/>
          <w:szCs w:val="22"/>
        </w:rPr>
        <w:t>Ketara</w:t>
      </w:r>
      <w:proofErr w:type="spellEnd"/>
      <w:r w:rsidRPr="00503070">
        <w:rPr>
          <w:rFonts w:ascii="Arial" w:hAnsi="Arial" w:cs="Arial"/>
          <w:sz w:val="22"/>
          <w:szCs w:val="22"/>
        </w:rPr>
        <w:t xml:space="preserve"> </w:t>
      </w:r>
      <w:proofErr w:type="spellStart"/>
      <w:r w:rsidRPr="00503070">
        <w:rPr>
          <w:rFonts w:ascii="Arial" w:hAnsi="Arial" w:cs="Arial"/>
          <w:sz w:val="22"/>
          <w:szCs w:val="22"/>
        </w:rPr>
        <w:t>Kebangsaan</w:t>
      </w:r>
      <w:proofErr w:type="spellEnd"/>
      <w:r w:rsidRPr="00503070">
        <w:rPr>
          <w:rFonts w:ascii="Arial" w:hAnsi="Arial" w:cs="Arial"/>
          <w:sz w:val="22"/>
          <w:szCs w:val="22"/>
        </w:rPr>
        <w:t xml:space="preserve">) en 2023. L’inventaire est tenu à jour par le Bureau de la langue et de la littérature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de la jeunesse et des sports. Les mises à jour de l’inventaire sont effectuées avec la participation des communautés. Des informations sur les mises à jour périodiques de l’inventaire et le processus d’inventaire sont disponibles dans le rapport périodique.</w:t>
      </w:r>
    </w:p>
    <w:p w14:paraId="3EAE655B" w14:textId="77777777" w:rsidR="0091689E" w:rsidRPr="00503070" w:rsidRDefault="0091689E" w:rsidP="001E17AF">
      <w:pPr>
        <w:pStyle w:val="ListParagraph"/>
        <w:numPr>
          <w:ilvl w:val="0"/>
          <w:numId w:val="101"/>
        </w:numPr>
        <w:tabs>
          <w:tab w:val="left" w:pos="1134"/>
        </w:tabs>
        <w:spacing w:before="120"/>
        <w:ind w:left="567" w:hanging="567"/>
        <w:contextualSpacing w:val="0"/>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le dossier et fournies par les États soumissionnaires dans le cadre du processus de dialogue, la candidature satisfait au critère suivant d’inscription sur la Liste représentative du patrimoine culturel immatériel de l’humanité :</w:t>
      </w:r>
    </w:p>
    <w:p w14:paraId="4373265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bCs/>
          <w:sz w:val="22"/>
          <w:szCs w:val="22"/>
        </w:rPr>
      </w:pPr>
      <w:r w:rsidRPr="00503070">
        <w:rPr>
          <w:rFonts w:ascii="Arial" w:hAnsi="Arial" w:cs="Arial"/>
          <w:sz w:val="22"/>
          <w:szCs w:val="22"/>
        </w:rPr>
        <w:t>R.4 :</w:t>
      </w:r>
      <w:r w:rsidRPr="00503070">
        <w:rPr>
          <w:rFonts w:ascii="Arial" w:hAnsi="Arial" w:cs="Arial"/>
          <w:sz w:val="22"/>
          <w:szCs w:val="22"/>
        </w:rPr>
        <w:tab/>
        <w:t>L’extension a été proposée avec la participation des communautés et des individus de tous les pays concernés, ainsi qu’avec leur consentement libre, préalable et éclairé. Les détenteurs ont fourni des informations pour l’élaboration de la candidature et ont notamment joué un rôle actif dans le processus de documentation et d’inventaire, ainsi que dans la préparation du dossier de candidature.</w:t>
      </w:r>
    </w:p>
    <w:p w14:paraId="33924F4A" w14:textId="77777777" w:rsidR="0091689E" w:rsidRPr="00503070" w:rsidRDefault="0091689E" w:rsidP="001E17AF">
      <w:pPr>
        <w:numPr>
          <w:ilvl w:val="0"/>
          <w:numId w:val="10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proofErr w:type="spellStart"/>
      <w:r w:rsidRPr="00503070">
        <w:rPr>
          <w:rFonts w:ascii="Arial" w:hAnsi="Arial" w:cs="Arial"/>
          <w:b/>
          <w:sz w:val="22"/>
          <w:szCs w:val="22"/>
        </w:rPr>
        <w:t>pantun</w:t>
      </w:r>
      <w:proofErr w:type="spellEnd"/>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 </w:t>
      </w:r>
      <w:proofErr w:type="spellStart"/>
      <w:r w:rsidRPr="00503070">
        <w:rPr>
          <w:rFonts w:ascii="Arial" w:hAnsi="Arial" w:cs="Arial"/>
          <w:sz w:val="22"/>
          <w:szCs w:val="22"/>
        </w:rPr>
        <w:t>pantun</w:t>
      </w:r>
      <w:proofErr w:type="spellEnd"/>
      <w:r w:rsidRPr="00503070">
        <w:rPr>
          <w:rFonts w:ascii="Arial" w:hAnsi="Arial" w:cs="Arial"/>
          <w:sz w:val="22"/>
          <w:szCs w:val="22"/>
        </w:rPr>
        <w:t xml:space="preserve"> » (n°01613), précédemment inscrit en 2020 ;</w:t>
      </w:r>
    </w:p>
    <w:p w14:paraId="0EF89D82" w14:textId="77777777" w:rsidR="0091689E" w:rsidRPr="00503070" w:rsidRDefault="0091689E" w:rsidP="001E17AF">
      <w:pPr>
        <w:numPr>
          <w:ilvl w:val="0"/>
          <w:numId w:val="10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d’avoir soumis une inscription multilatérale minutieuse, à même de promouvoir le dialogue entre des communautés ayant des cultures similaires au-delà de leurs frontières nationales.</w:t>
      </w:r>
    </w:p>
    <w:p w14:paraId="72BF2C9C" w14:textId="77777777" w:rsidR="0091689E" w:rsidRPr="00503070" w:rsidRDefault="0091689E" w:rsidP="0091689E">
      <w:pPr>
        <w:pStyle w:val="Heading1"/>
        <w:rPr>
          <w:bCs/>
        </w:rPr>
      </w:pPr>
      <w:r w:rsidRPr="00503070">
        <w:t>DÉCISION 20.COM 7.b.50</w:t>
      </w:r>
    </w:p>
    <w:p w14:paraId="2B1F5934"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6CADF588" w14:textId="77777777" w:rsidR="0091689E" w:rsidRPr="00503070" w:rsidRDefault="0091689E" w:rsidP="001E17AF">
      <w:pPr>
        <w:numPr>
          <w:ilvl w:val="0"/>
          <w:numId w:val="10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des « savoir-faire, des techniques et des connaissances traditionnels liés à la conservation et à la transmission de l’architecture en bois au Japon » (soumise par le Japon) sur la Liste représentative du patrimoine culturel immatériel de l’humanité par la quinzième session du Comité en 2020 (décision </w:t>
      </w:r>
      <w:hyperlink r:id="rId65" w:history="1">
        <w:r w:rsidRPr="00503070">
          <w:rPr>
            <w:rStyle w:val="Hyperlink"/>
            <w:rFonts w:ascii="Arial" w:hAnsi="Arial" w:cs="Arial"/>
            <w:sz w:val="22"/>
            <w:szCs w:val="22"/>
          </w:rPr>
          <w:t xml:space="preserve">15.COM </w:t>
        </w:r>
        <w:proofErr w:type="gramStart"/>
        <w:r w:rsidRPr="00503070">
          <w:rPr>
            <w:rStyle w:val="Hyperlink"/>
            <w:rFonts w:ascii="Arial" w:hAnsi="Arial" w:cs="Arial"/>
            <w:sz w:val="22"/>
            <w:szCs w:val="22"/>
          </w:rPr>
          <w:t>8.b.</w:t>
        </w:r>
        <w:proofErr w:type="gramEnd"/>
        <w:r w:rsidRPr="00503070">
          <w:rPr>
            <w:rStyle w:val="Hyperlink"/>
            <w:rFonts w:ascii="Arial" w:hAnsi="Arial" w:cs="Arial"/>
            <w:sz w:val="22"/>
            <w:szCs w:val="22"/>
          </w:rPr>
          <w:t>35</w:t>
        </w:r>
      </w:hyperlink>
      <w:r w:rsidRPr="00503070">
        <w:rPr>
          <w:rFonts w:ascii="Arial" w:hAnsi="Arial" w:cs="Arial"/>
          <w:sz w:val="22"/>
          <w:szCs w:val="22"/>
        </w:rPr>
        <w:t>),</w:t>
      </w:r>
    </w:p>
    <w:p w14:paraId="68B153D8" w14:textId="77777777" w:rsidR="0091689E" w:rsidRPr="00503070" w:rsidRDefault="0091689E" w:rsidP="001E17AF">
      <w:pPr>
        <w:numPr>
          <w:ilvl w:val="0"/>
          <w:numId w:val="10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Japon a proposé la candidature des</w:t>
      </w:r>
      <w:r w:rsidRPr="00503070">
        <w:rPr>
          <w:rFonts w:ascii="Arial" w:hAnsi="Arial" w:cs="Arial"/>
          <w:b/>
          <w:sz w:val="22"/>
          <w:szCs w:val="22"/>
        </w:rPr>
        <w:t xml:space="preserve"> savoir-faire, les techniques et les connaissances traditionnels liés à la conservation et à la transmission de l’architecture en bois au Japon</w:t>
      </w:r>
      <w:r w:rsidRPr="00503070">
        <w:rPr>
          <w:rFonts w:ascii="Arial" w:hAnsi="Arial" w:cs="Arial"/>
          <w:sz w:val="22"/>
          <w:szCs w:val="22"/>
        </w:rPr>
        <w:t xml:space="preserve"> (n° 02293) pour inscription, sur une base élargie en tant qu’extension nationale, sur la Liste représentative du patrimoine culturel immatériel de l’humanité :</w:t>
      </w:r>
    </w:p>
    <w:p w14:paraId="75EA85F8"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conservation et la transmission de l’architecture en bois consistent en un ensemble de savoir-faire, de techniques et de connaissances traditionnelles permettant de construire de nouvelles structures en bois et de restaurer des structures existantes. Ils incluent des savoir-faire tels que le plâtrage, la culture et la récolte de matières premières, la peinture à la laque de structures traditionnelles et bien d’autres encore. Initialement, les maîtres-artisans </w:t>
      </w:r>
      <w:r w:rsidRPr="00503070">
        <w:rPr>
          <w:rFonts w:ascii="Arial" w:hAnsi="Arial" w:cs="Arial"/>
          <w:sz w:val="22"/>
          <w:szCs w:val="22"/>
        </w:rPr>
        <w:lastRenderedPageBreak/>
        <w:t xml:space="preserve">transmettaient les connaissances et les savoir-faire associés en formant des apprentis qui leur succédaient. Cependant, avec la modernisation, ce processus est devenu plus difficile. En conséquence, des associations de préservation ont été créées pour sauvegarder l’élément. </w:t>
      </w:r>
    </w:p>
    <w:p w14:paraId="412268A4" w14:textId="77777777" w:rsidR="0091689E" w:rsidRPr="00503070" w:rsidRDefault="0091689E" w:rsidP="001E17AF">
      <w:pPr>
        <w:keepNext/>
        <w:numPr>
          <w:ilvl w:val="0"/>
          <w:numId w:val="10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601524A2"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Certaines compétences associées à l’élément, telles que la création de « </w:t>
      </w:r>
      <w:proofErr w:type="spellStart"/>
      <w:r w:rsidRPr="00503070">
        <w:rPr>
          <w:rFonts w:ascii="Arial" w:hAnsi="Arial" w:cs="Arial"/>
          <w:sz w:val="22"/>
          <w:szCs w:val="22"/>
        </w:rPr>
        <w:t>nakatsugi</w:t>
      </w:r>
      <w:proofErr w:type="spellEnd"/>
      <w:r w:rsidRPr="00503070">
        <w:rPr>
          <w:rFonts w:ascii="Arial" w:hAnsi="Arial" w:cs="Arial"/>
          <w:sz w:val="22"/>
          <w:szCs w:val="22"/>
        </w:rPr>
        <w:t>-omote » (un type de surface de tatami), sont transmises par le biais de sessions de formation et de séminaires axés sur l’utilisation durable des ressources naturelles et la culture des matières premières. En raison du climat chaud et humide du pays, des travaux de réparation doivent être entrepris régulièrement. Des artisans aux compétences diverses travaillent ensemble sur les sites affectés pour mener à bien les restaurations. Certains travaux d’entretien requièrent également la participation des habitants. L’élément remplit ainsi une fonction sociale en encourageant la coopération et la cohésion sociale, tout en renforçant le sentiment d’identité culturelle partagée des communautés pratiquantes.</w:t>
      </w:r>
    </w:p>
    <w:p w14:paraId="262B388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La candidature démontre clairement que l’extension proposée favorise le lien entre le patrimoine culturel immatériel, le patrimoine bâti et le patrimoine naturel associés à l’architecture en bois. Au niveau local, elle pourrait promouvoir à la fois l’artisanat et la gestion de l’environnement, en sensibilisant à l’importance du patrimoine culturel en général. Au niveau national, l’inclusion de la communauté peut susciter un plus grand intérêt pour d’autres pratiques de sauvegarde à l’échelle nationale. Au niveau international, la candidature peut favoriser une meilleure compréhension de la conservation de l’architecture traditionnelle, stimuler le débat mondial et promouvoir les échanges culturels, en offrant potentiellement un modèle reproductible pour d’autres États parties.</w:t>
      </w:r>
    </w:p>
    <w:p w14:paraId="6323D560"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 dossier de candidature présente clairement les mesures passées et en cours adoptées par les communautés de détenteurs afin de sauvegarder l’élément, dont la plupart sont formulées et mises en œuvre par les communautés elles-mêmes, avec le soutien des organes administratifs, en particulier la formation des successeurs et l’approvisionnement en matières premières. L’extension favoriserait les échanges avec les artisans concernés par la demande initiale, en aidant la nouvelle communauté à se procurer des matières premières ainsi qu’en créant un environnement propice à la transmission des compétences, des techniques et des connaissances, tout en renforçant les mesures de sauvegarde.</w:t>
      </w:r>
    </w:p>
    <w:p w14:paraId="70BDB145"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Dans le cadre de la candidature élargie, toutes les communautés nouvellement et initialement adhérentes ont discuté des mesures à prendre en vue de sauvegarder et de transmettre les techniques traditionnelles de fabrication des tatamis. Elles ont également fourni des informations, de la documentation et des documents visuels pour préparer le dossier de candidature. Les communautés initiales ont donné leur accord à l’ajout d’une nouvelle communauté et ont toutes donné leur consentement libre, préalable et éclairé.</w:t>
      </w:r>
    </w:p>
    <w:p w14:paraId="38468566"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Le dossier de candidature démontre que les dix-sept techniques de l’élément « Les savoir-faire, les techniques et les connaissances traditionnels liés à la conservation et à la transmission de l’architecture en bois au Japon » ont été sélectionnées en tant que techniques de conservation choisies en vertu de la loi japonaise pour la protection des biens culturels et incluses dans l’inventaire correspondant. Cet inventaire est géré et mis à jour périodiquement par l’Agence des affaires culturelles. </w:t>
      </w:r>
    </w:p>
    <w:p w14:paraId="04787219" w14:textId="77777777" w:rsidR="0091689E" w:rsidRPr="00503070" w:rsidRDefault="0091689E" w:rsidP="001E17AF">
      <w:pPr>
        <w:numPr>
          <w:ilvl w:val="0"/>
          <w:numId w:val="10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les savoir-faire, les techniques et les connaissances traditionnels liés à la conservation et à la transmission de l’architecture en bois au Japon</w:t>
      </w:r>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 les savoir-faire, des techniques et des connaissances traditionnels liés à la conservation et à la transmission de l’architecture en bois au Japon» (n°01618), précédemment inscrit en 2020 ;</w:t>
      </w:r>
    </w:p>
    <w:p w14:paraId="1BBDECF8" w14:textId="77777777" w:rsidR="0091689E" w:rsidRPr="00503070" w:rsidRDefault="0091689E" w:rsidP="001E17AF">
      <w:pPr>
        <w:numPr>
          <w:ilvl w:val="0"/>
          <w:numId w:val="10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lastRenderedPageBreak/>
        <w:t>Félicite</w:t>
      </w:r>
      <w:r w:rsidRPr="00503070">
        <w:rPr>
          <w:rFonts w:ascii="Arial" w:hAnsi="Arial" w:cs="Arial"/>
          <w:sz w:val="22"/>
          <w:szCs w:val="22"/>
        </w:rPr>
        <w:t xml:space="preserve"> l’État partie pour ses efforts d’inclusion et de prise en compte de nouvelles communautés dans cette expansion au sein d’un même pays, ce qui démontre une attitude éthique et transparente qui reflète l’esprit de la Convention.</w:t>
      </w:r>
    </w:p>
    <w:p w14:paraId="6038AF4C" w14:textId="77777777" w:rsidR="0091689E" w:rsidRPr="00503070" w:rsidRDefault="0091689E" w:rsidP="0091689E">
      <w:pPr>
        <w:pStyle w:val="Heading1"/>
        <w:rPr>
          <w:bCs/>
        </w:rPr>
      </w:pPr>
      <w:r w:rsidRPr="00503070">
        <w:t>DÉCISION 20.COM 7.b.51</w:t>
      </w:r>
    </w:p>
    <w:p w14:paraId="79A9E234"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557DECE" w14:textId="77777777" w:rsidR="0091689E" w:rsidRPr="00503070" w:rsidRDefault="0091689E" w:rsidP="001E17AF">
      <w:pPr>
        <w:pStyle w:val="ListParagraph"/>
        <w:numPr>
          <w:ilvl w:val="0"/>
          <w:numId w:val="104"/>
        </w:numPr>
        <w:tabs>
          <w:tab w:val="left" w:pos="1134"/>
        </w:tabs>
        <w:ind w:left="567" w:hanging="567"/>
        <w:contextualSpacing w:val="0"/>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de « </w:t>
      </w:r>
      <w:proofErr w:type="spellStart"/>
      <w:r w:rsidRPr="00503070">
        <w:rPr>
          <w:rFonts w:ascii="Arial" w:hAnsi="Arial" w:cs="Arial"/>
          <w:sz w:val="22"/>
          <w:szCs w:val="22"/>
        </w:rPr>
        <w:t>Sekishu-Banshi</w:t>
      </w:r>
      <w:proofErr w:type="spellEnd"/>
      <w:r w:rsidRPr="00503070">
        <w:rPr>
          <w:rFonts w:ascii="Arial" w:hAnsi="Arial" w:cs="Arial"/>
          <w:sz w:val="22"/>
          <w:szCs w:val="22"/>
        </w:rPr>
        <w:t xml:space="preserve"> : fabrication de papier dans la région d’</w:t>
      </w:r>
      <w:proofErr w:type="spellStart"/>
      <w:r w:rsidRPr="00503070">
        <w:rPr>
          <w:rFonts w:ascii="Arial" w:hAnsi="Arial" w:cs="Arial"/>
          <w:sz w:val="22"/>
          <w:szCs w:val="22"/>
        </w:rPr>
        <w:t>Iwami</w:t>
      </w:r>
      <w:proofErr w:type="spellEnd"/>
      <w:r w:rsidRPr="00503070">
        <w:rPr>
          <w:rFonts w:ascii="Arial" w:hAnsi="Arial" w:cs="Arial"/>
          <w:sz w:val="22"/>
          <w:szCs w:val="22"/>
        </w:rPr>
        <w:t xml:space="preserve"> de la préfecture de Shimane » (soumise par le Japon) par la quatrième session du Comité en 2009 (décision </w:t>
      </w:r>
      <w:hyperlink r:id="rId66" w:history="1">
        <w:r w:rsidRPr="00503070">
          <w:rPr>
            <w:rStyle w:val="Hyperlink"/>
            <w:rFonts w:ascii="Arial" w:hAnsi="Arial" w:cs="Arial"/>
            <w:sz w:val="22"/>
            <w:szCs w:val="22"/>
          </w:rPr>
          <w:t>4.COM 13.56</w:t>
        </w:r>
      </w:hyperlink>
      <w:r w:rsidRPr="00503070">
        <w:rPr>
          <w:rFonts w:ascii="Arial" w:hAnsi="Arial" w:cs="Arial"/>
          <w:sz w:val="22"/>
          <w:szCs w:val="22"/>
        </w:rPr>
        <w:t xml:space="preserve">) et l’inscription, sur une base élargie en tant qu’extension nationale, du « washi, savoir-faire du papier artisanal traditionnel japonais » sur la Liste représentative du patrimoine culturel immatériel de l’humanité par la neuvième session du Comité en 2014 (décision </w:t>
      </w:r>
      <w:hyperlink r:id="rId67" w:history="1">
        <w:r w:rsidRPr="00503070">
          <w:rPr>
            <w:rStyle w:val="Hyperlink"/>
            <w:rFonts w:ascii="Arial" w:hAnsi="Arial" w:cs="Arial"/>
            <w:sz w:val="22"/>
            <w:szCs w:val="22"/>
          </w:rPr>
          <w:t>9.COM 10.22</w:t>
        </w:r>
      </w:hyperlink>
      <w:r w:rsidRPr="00503070">
        <w:rPr>
          <w:rFonts w:ascii="Arial" w:hAnsi="Arial" w:cs="Arial"/>
          <w:sz w:val="22"/>
          <w:szCs w:val="22"/>
        </w:rPr>
        <w:t>),</w:t>
      </w:r>
    </w:p>
    <w:p w14:paraId="170B2655" w14:textId="77777777" w:rsidR="0091689E" w:rsidRPr="00503070" w:rsidRDefault="0091689E" w:rsidP="001E17AF">
      <w:pPr>
        <w:numPr>
          <w:ilvl w:val="0"/>
          <w:numId w:val="104"/>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Japon a proposé la candidature du</w:t>
      </w:r>
      <w:r w:rsidRPr="00503070">
        <w:rPr>
          <w:rFonts w:ascii="Arial" w:hAnsi="Arial" w:cs="Arial"/>
          <w:b/>
          <w:sz w:val="22"/>
          <w:szCs w:val="22"/>
        </w:rPr>
        <w:t xml:space="preserve"> washi, savoir-faire du papier artisanal traditionnel japonais</w:t>
      </w:r>
      <w:r w:rsidRPr="00503070">
        <w:rPr>
          <w:rFonts w:ascii="Arial" w:hAnsi="Arial" w:cs="Arial"/>
          <w:sz w:val="22"/>
          <w:szCs w:val="22"/>
        </w:rPr>
        <w:t xml:space="preserve"> (n° 02291) pour inscription sur une base élargie en tant qu’extension nationale, sur la Liste représentative du patrimoine culturel immatériel de l’humanité :</w:t>
      </w:r>
    </w:p>
    <w:p w14:paraId="21CA45C6"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savoir-faire du washi fait référence à la pratique traditionnelle de fabrication du papier à la main à partir de fibres de mûrier à papier. Les fibres sont d’abord séparées, puis trempées dans l’eau claire de la rivière afin de les épaissir, avant d’être filtrées à l’aide d’un tamis en bambou. Ce papier traditionnel fait à la main est utilisé non seulement pour la correspondance, les livres et les documents, mais aussi pour la décoration intérieure, notamment pour fabriquer des panneaux </w:t>
      </w:r>
      <w:proofErr w:type="spellStart"/>
      <w:r w:rsidRPr="00503070">
        <w:rPr>
          <w:rFonts w:ascii="Arial" w:hAnsi="Arial" w:cs="Arial"/>
          <w:sz w:val="22"/>
          <w:szCs w:val="22"/>
        </w:rPr>
        <w:t>shoji</w:t>
      </w:r>
      <w:proofErr w:type="spellEnd"/>
      <w:r w:rsidRPr="00503070">
        <w:rPr>
          <w:rFonts w:ascii="Arial" w:hAnsi="Arial" w:cs="Arial"/>
          <w:sz w:val="22"/>
          <w:szCs w:val="22"/>
        </w:rPr>
        <w:t xml:space="preserve">, des cloisons de séparation et des portes coulissantes. De nombreux membres des communautés praticiennes contribuent au processus, assumant des rôles allant de la culture et de la récolte du mûrier à la création de nouveaux produits washi pour promouvoir l’artisanat au niveau national et à l’étranger. </w:t>
      </w:r>
    </w:p>
    <w:p w14:paraId="67E38DED" w14:textId="77777777" w:rsidR="0091689E" w:rsidRPr="00503070" w:rsidRDefault="0091689E" w:rsidP="001E17AF">
      <w:pPr>
        <w:keepNext/>
        <w:numPr>
          <w:ilvl w:val="0"/>
          <w:numId w:val="104"/>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1FC8A480"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Les connaissances et le savoir-faire associés à la fabrication du papier Washi sont transmis à trois niveaux : au sein des familles d’artisans Washi, par le biais d’associations de préservation et par les municipalités locales. Les familles pratiquantes et leurs employés travaillent et apprennent auprès des maîtres du Washi, qui ont eux-mêmes hérité des techniques de leurs parents. Les membres de la communauté sont fiers de la tradition de la fabrication du Washi et la considèrent comme un symbole de leur identité culturelle. Les communautés étant généralement composées de personnes directement impliquées dans la pratique ou étroitement liées à celle-ci, l’artisanat favorise également la cohésion sociale.</w:t>
      </w:r>
    </w:p>
    <w:p w14:paraId="6F5B8F7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Cet élément illustre l’interdépendance entre la sauvegarde du patrimoine culturel immatériel et le développement durable. Les techniques appliquées à la production de Washi incarnent la durabilité, puisque le papier fait à la main est fabriqué sans surexploitation des plantes utilisées comme matières premières. L’élément promeut également l’égalité des genres en mettant l’accent sur le rôle des femmes, qui constituent la majorité des membres de la communauté concernés par l’extension. En outre, le dossier de candidature démontre clairement comment l’extension augmentera la visibilité et la sensibilisation à l’importance du patrimoine culturel immatériel en tant que source de sagesse traditionnelle dans le monde contemporain. Il met en lumière l’impact positif de l’extension sur l’appréciation de la diversité culturelle et la promotion du dialogue entre les communautés qui partagent l’histoire de la fabrication traditionnelle du papier et de ses utilisations. </w:t>
      </w:r>
    </w:p>
    <w:p w14:paraId="269B1D86"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 xml:space="preserve">La viabilité de l’élément a été assurée par les communautés et les associations d’artisans, avec le soutien juridique du gouvernement et des subventions financières pour leurs plans de sauvegarde annuels. L’État partie a travaillé en étroite collaboration avec les groupes concernés pour intégrer ces plans dans l’élément élargi. L’association </w:t>
      </w:r>
      <w:r w:rsidRPr="00503070">
        <w:rPr>
          <w:rFonts w:ascii="Arial" w:hAnsi="Arial" w:cs="Arial"/>
          <w:sz w:val="22"/>
          <w:szCs w:val="22"/>
        </w:rPr>
        <w:lastRenderedPageBreak/>
        <w:t xml:space="preserve">pour la préservation du papier </w:t>
      </w:r>
      <w:proofErr w:type="spellStart"/>
      <w:r w:rsidRPr="00503070">
        <w:rPr>
          <w:rFonts w:ascii="Arial" w:hAnsi="Arial" w:cs="Arial"/>
          <w:sz w:val="22"/>
          <w:szCs w:val="22"/>
        </w:rPr>
        <w:t>Echizen</w:t>
      </w:r>
      <w:proofErr w:type="spellEnd"/>
      <w:r w:rsidRPr="00503070">
        <w:rPr>
          <w:rFonts w:ascii="Arial" w:hAnsi="Arial" w:cs="Arial"/>
          <w:sz w:val="22"/>
          <w:szCs w:val="22"/>
        </w:rPr>
        <w:t xml:space="preserve"> </w:t>
      </w:r>
      <w:proofErr w:type="spellStart"/>
      <w:r w:rsidRPr="00503070">
        <w:rPr>
          <w:rFonts w:ascii="Arial" w:hAnsi="Arial" w:cs="Arial"/>
          <w:sz w:val="22"/>
          <w:szCs w:val="22"/>
        </w:rPr>
        <w:t>Torinoko</w:t>
      </w:r>
      <w:proofErr w:type="spellEnd"/>
      <w:r w:rsidRPr="00503070">
        <w:rPr>
          <w:rFonts w:ascii="Arial" w:hAnsi="Arial" w:cs="Arial"/>
          <w:sz w:val="22"/>
          <w:szCs w:val="22"/>
        </w:rPr>
        <w:t xml:space="preserve"> </w:t>
      </w:r>
      <w:proofErr w:type="spellStart"/>
      <w:r w:rsidRPr="00503070">
        <w:rPr>
          <w:rFonts w:ascii="Arial" w:hAnsi="Arial" w:cs="Arial"/>
          <w:sz w:val="22"/>
          <w:szCs w:val="22"/>
        </w:rPr>
        <w:t>Ganpi</w:t>
      </w:r>
      <w:proofErr w:type="spellEnd"/>
      <w:r w:rsidRPr="00503070">
        <w:rPr>
          <w:rFonts w:ascii="Arial" w:hAnsi="Arial" w:cs="Arial"/>
          <w:sz w:val="22"/>
          <w:szCs w:val="22"/>
        </w:rPr>
        <w:t xml:space="preserve"> élabore actuellement ses plans de sauvegarde pour les activités destinées à transmettre la technique et à réaliser diverses activités telles que des séminaires de formation, des recherches sur les matières premières, la culture du </w:t>
      </w:r>
      <w:proofErr w:type="spellStart"/>
      <w:r w:rsidRPr="00503070">
        <w:rPr>
          <w:rFonts w:ascii="Arial" w:hAnsi="Arial" w:cs="Arial"/>
          <w:sz w:val="22"/>
          <w:szCs w:val="22"/>
        </w:rPr>
        <w:t>ganpi</w:t>
      </w:r>
      <w:proofErr w:type="spellEnd"/>
      <w:r w:rsidRPr="00503070">
        <w:rPr>
          <w:rFonts w:ascii="Arial" w:hAnsi="Arial" w:cs="Arial"/>
          <w:sz w:val="22"/>
          <w:szCs w:val="22"/>
        </w:rPr>
        <w:t xml:space="preserve">, l’achat d’outils nécessaires à l’artisanat, des démonstrations publiques ainsi que des expositions. </w:t>
      </w:r>
    </w:p>
    <w:p w14:paraId="27C8632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Le dossier démontre que les nouvelles communautés rejoignant la candidature, motivées par l’inscription originale, ont participé activement à toutes les étapes de la préparation de la candidature élargie. Ces communautés ont travaillé en étroite collaboration avec les organismes gouvernementaux et les autres communautés washi pour assurer l’uniformité et la collaboration, jouant un rôle central dans la planification, la consultation et la rédaction du dossier de candidature. Une documentation écrite du consentement libre, préalable et éclairé est par ailleurs fournie.</w:t>
      </w:r>
    </w:p>
    <w:p w14:paraId="4D901E2A"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u w:val="single"/>
        </w:rPr>
      </w:pPr>
      <w:r w:rsidRPr="00503070">
        <w:rPr>
          <w:rFonts w:ascii="Arial" w:hAnsi="Arial" w:cs="Arial"/>
          <w:sz w:val="22"/>
          <w:szCs w:val="22"/>
        </w:rPr>
        <w:t>R.5 :</w:t>
      </w:r>
      <w:r w:rsidRPr="00503070">
        <w:rPr>
          <w:rFonts w:ascii="Arial" w:hAnsi="Arial" w:cs="Arial"/>
          <w:sz w:val="22"/>
          <w:szCs w:val="22"/>
        </w:rPr>
        <w:tab/>
        <w:t>L’élément a été inclus dans l’inventaire japonais des biens culturels immatériels en 2017. Cet inventaire est mis à jour chaque année de sorte à refléter les changements dans la viabilité ou l’état des éléments, y compris les nouveaux ajouts</w:t>
      </w:r>
      <w:r w:rsidRPr="00503070">
        <w:rPr>
          <w:rFonts w:ascii="Arial" w:hAnsi="Arial" w:cs="Arial"/>
          <w:sz w:val="22"/>
          <w:szCs w:val="22"/>
          <w:u w:val="single"/>
        </w:rPr>
        <w:t>.</w:t>
      </w:r>
    </w:p>
    <w:p w14:paraId="2CE2130A" w14:textId="77777777" w:rsidR="0091689E" w:rsidRPr="00503070" w:rsidRDefault="0091689E" w:rsidP="001E17AF">
      <w:pPr>
        <w:numPr>
          <w:ilvl w:val="0"/>
          <w:numId w:val="104"/>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 washi, savoir-faire du papier artisanal traditionnel japonais</w:t>
      </w:r>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 le washi, savoir-faire du papier artisanal traditionnel </w:t>
      </w:r>
      <w:proofErr w:type="gramStart"/>
      <w:r w:rsidRPr="00503070">
        <w:rPr>
          <w:rFonts w:ascii="Arial" w:hAnsi="Arial" w:cs="Arial"/>
          <w:sz w:val="22"/>
          <w:szCs w:val="22"/>
        </w:rPr>
        <w:t>japonais»</w:t>
      </w:r>
      <w:proofErr w:type="gramEnd"/>
      <w:r w:rsidRPr="00503070">
        <w:rPr>
          <w:rFonts w:ascii="Arial" w:hAnsi="Arial" w:cs="Arial"/>
          <w:sz w:val="22"/>
          <w:szCs w:val="22"/>
        </w:rPr>
        <w:t xml:space="preserve"> (n°01001), précédemment inscrit en 2014 ;</w:t>
      </w:r>
    </w:p>
    <w:p w14:paraId="7801420B" w14:textId="77777777" w:rsidR="0091689E" w:rsidRPr="00503070" w:rsidRDefault="0091689E" w:rsidP="001E17AF">
      <w:pPr>
        <w:numPr>
          <w:ilvl w:val="0"/>
          <w:numId w:val="104"/>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son dossier minutieusement préparé, qui démontre un souci d’inclusion et de prise en compte des autres communautés du pays de manière éthique et transparente.</w:t>
      </w:r>
    </w:p>
    <w:p w14:paraId="634F90E9" w14:textId="77777777" w:rsidR="0091689E" w:rsidRPr="00503070" w:rsidRDefault="0091689E" w:rsidP="0091689E">
      <w:pPr>
        <w:pStyle w:val="Heading1"/>
        <w:rPr>
          <w:bCs/>
        </w:rPr>
      </w:pPr>
      <w:r w:rsidRPr="00503070">
        <w:t>DÉCISION 20.COM 7.b.52</w:t>
      </w:r>
    </w:p>
    <w:p w14:paraId="7E7730A7"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3D927A18" w14:textId="77777777" w:rsidR="0091689E" w:rsidRPr="00503070" w:rsidRDefault="0091689E" w:rsidP="001E17AF">
      <w:pPr>
        <w:pStyle w:val="ListParagraph"/>
        <w:numPr>
          <w:ilvl w:val="0"/>
          <w:numId w:val="105"/>
        </w:numPr>
        <w:tabs>
          <w:tab w:val="left" w:pos="1134"/>
        </w:tabs>
        <w:ind w:left="567" w:hanging="567"/>
        <w:contextualSpacing w:val="0"/>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les inscriptions initiales de « Hitachi </w:t>
      </w:r>
      <w:proofErr w:type="spellStart"/>
      <w:r w:rsidRPr="00503070">
        <w:rPr>
          <w:rFonts w:ascii="Arial" w:hAnsi="Arial" w:cs="Arial"/>
          <w:sz w:val="22"/>
          <w:szCs w:val="22"/>
        </w:rPr>
        <w:t>Furyumono</w:t>
      </w:r>
      <w:proofErr w:type="spellEnd"/>
      <w:r w:rsidRPr="00503070">
        <w:rPr>
          <w:rFonts w:ascii="Arial" w:hAnsi="Arial" w:cs="Arial"/>
          <w:sz w:val="22"/>
          <w:szCs w:val="22"/>
        </w:rPr>
        <w:t xml:space="preserve"> » et de « </w:t>
      </w:r>
      <w:proofErr w:type="spellStart"/>
      <w:r w:rsidRPr="00503070">
        <w:rPr>
          <w:rFonts w:ascii="Arial" w:hAnsi="Arial" w:cs="Arial"/>
          <w:sz w:val="22"/>
          <w:szCs w:val="22"/>
        </w:rPr>
        <w:t>Yamahoko</w:t>
      </w:r>
      <w:proofErr w:type="spellEnd"/>
      <w:r w:rsidRPr="00503070">
        <w:rPr>
          <w:rFonts w:ascii="Arial" w:hAnsi="Arial" w:cs="Arial"/>
          <w:sz w:val="22"/>
          <w:szCs w:val="22"/>
        </w:rPr>
        <w:t xml:space="preserve">, la cérémonie des chars du festival de </w:t>
      </w:r>
      <w:proofErr w:type="spellStart"/>
      <w:r w:rsidRPr="00503070">
        <w:rPr>
          <w:rFonts w:ascii="Arial" w:hAnsi="Arial" w:cs="Arial"/>
          <w:sz w:val="22"/>
          <w:szCs w:val="22"/>
        </w:rPr>
        <w:t>Gion</w:t>
      </w:r>
      <w:proofErr w:type="spellEnd"/>
      <w:r w:rsidRPr="00503070">
        <w:rPr>
          <w:rFonts w:ascii="Arial" w:hAnsi="Arial" w:cs="Arial"/>
          <w:sz w:val="22"/>
          <w:szCs w:val="22"/>
        </w:rPr>
        <w:t xml:space="preserve"> à Kyoto » (soumise par le Japon) par la quatrième session du Comité en 2009 (décisions </w:t>
      </w:r>
      <w:hyperlink r:id="rId68" w:history="1">
        <w:r w:rsidRPr="00503070">
          <w:rPr>
            <w:rStyle w:val="Hyperlink"/>
            <w:rFonts w:ascii="Arial" w:hAnsi="Arial" w:cs="Arial"/>
            <w:sz w:val="22"/>
            <w:szCs w:val="22"/>
          </w:rPr>
          <w:t>4.COM 13.52</w:t>
        </w:r>
      </w:hyperlink>
      <w:r w:rsidRPr="00503070">
        <w:rPr>
          <w:rFonts w:ascii="Arial" w:hAnsi="Arial" w:cs="Arial"/>
          <w:sz w:val="22"/>
          <w:szCs w:val="22"/>
        </w:rPr>
        <w:t xml:space="preserve"> et </w:t>
      </w:r>
      <w:hyperlink r:id="rId69" w:history="1">
        <w:r w:rsidRPr="00503070">
          <w:rPr>
            <w:rStyle w:val="Hyperlink"/>
            <w:rFonts w:ascii="Arial" w:hAnsi="Arial" w:cs="Arial"/>
            <w:sz w:val="22"/>
            <w:szCs w:val="22"/>
          </w:rPr>
          <w:t>4.COM 13.58</w:t>
        </w:r>
      </w:hyperlink>
      <w:r w:rsidRPr="00503070">
        <w:rPr>
          <w:rFonts w:ascii="Arial" w:hAnsi="Arial" w:cs="Arial"/>
          <w:sz w:val="22"/>
          <w:szCs w:val="22"/>
        </w:rPr>
        <w:t xml:space="preserve">) et l’inscription, sur une base élargie en tant qu’extension nationale, de « Yama, </w:t>
      </w:r>
      <w:proofErr w:type="spellStart"/>
      <w:r w:rsidRPr="00503070">
        <w:rPr>
          <w:rFonts w:ascii="Arial" w:hAnsi="Arial" w:cs="Arial"/>
          <w:sz w:val="22"/>
          <w:szCs w:val="22"/>
        </w:rPr>
        <w:t>Hoko</w:t>
      </w:r>
      <w:proofErr w:type="spellEnd"/>
      <w:r w:rsidRPr="00503070">
        <w:rPr>
          <w:rFonts w:ascii="Arial" w:hAnsi="Arial" w:cs="Arial"/>
          <w:sz w:val="22"/>
          <w:szCs w:val="22"/>
        </w:rPr>
        <w:t xml:space="preserve">, </w:t>
      </w:r>
      <w:proofErr w:type="spellStart"/>
      <w:r w:rsidRPr="00503070">
        <w:rPr>
          <w:rFonts w:ascii="Arial" w:hAnsi="Arial" w:cs="Arial"/>
          <w:sz w:val="22"/>
          <w:szCs w:val="22"/>
        </w:rPr>
        <w:t>Yatai</w:t>
      </w:r>
      <w:proofErr w:type="spellEnd"/>
      <w:r w:rsidRPr="00503070">
        <w:rPr>
          <w:rFonts w:ascii="Arial" w:hAnsi="Arial" w:cs="Arial"/>
          <w:sz w:val="22"/>
          <w:szCs w:val="22"/>
        </w:rPr>
        <w:t xml:space="preserve">, festivals de chars au Japon » sur la Liste représentative du patrimoine culturel immatériel de l’humanité par la onzième session du Comité en 2016 (décision </w:t>
      </w:r>
      <w:hyperlink r:id="rId70" w:history="1">
        <w:r w:rsidRPr="00503070">
          <w:rPr>
            <w:rStyle w:val="Hyperlink"/>
            <w:rFonts w:ascii="Arial" w:hAnsi="Arial" w:cs="Arial"/>
            <w:sz w:val="22"/>
            <w:szCs w:val="22"/>
          </w:rPr>
          <w:t>11.COM 10.b.19</w:t>
        </w:r>
      </w:hyperlink>
      <w:r w:rsidRPr="00503070">
        <w:rPr>
          <w:rFonts w:ascii="Arial" w:hAnsi="Arial" w:cs="Arial"/>
          <w:sz w:val="22"/>
          <w:szCs w:val="22"/>
        </w:rPr>
        <w:t>),</w:t>
      </w:r>
    </w:p>
    <w:p w14:paraId="3762B546" w14:textId="77777777" w:rsidR="0091689E" w:rsidRPr="00503070" w:rsidRDefault="0091689E" w:rsidP="001E17AF">
      <w:pPr>
        <w:numPr>
          <w:ilvl w:val="0"/>
          <w:numId w:val="10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le Japon a proposé la candidature de </w:t>
      </w:r>
      <w:r w:rsidRPr="00503070">
        <w:rPr>
          <w:rFonts w:ascii="Arial" w:hAnsi="Arial" w:cs="Arial"/>
          <w:b/>
          <w:sz w:val="22"/>
          <w:szCs w:val="22"/>
        </w:rPr>
        <w:t xml:space="preserve">Yama, </w:t>
      </w:r>
      <w:proofErr w:type="spellStart"/>
      <w:r w:rsidRPr="00503070">
        <w:rPr>
          <w:rFonts w:ascii="Arial" w:hAnsi="Arial" w:cs="Arial"/>
          <w:b/>
          <w:sz w:val="22"/>
          <w:szCs w:val="22"/>
        </w:rPr>
        <w:t>Hoko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Yatai</w:t>
      </w:r>
      <w:proofErr w:type="spellEnd"/>
      <w:r w:rsidRPr="00503070">
        <w:rPr>
          <w:rFonts w:ascii="Arial" w:hAnsi="Arial" w:cs="Arial"/>
          <w:b/>
          <w:sz w:val="22"/>
          <w:szCs w:val="22"/>
        </w:rPr>
        <w:t>, festivals de chars au Japon</w:t>
      </w:r>
      <w:r w:rsidRPr="00503070">
        <w:rPr>
          <w:rFonts w:ascii="Arial" w:hAnsi="Arial" w:cs="Arial"/>
          <w:sz w:val="22"/>
          <w:szCs w:val="22"/>
        </w:rPr>
        <w:t xml:space="preserve"> (n° 02292) pour inscription sur une base élargie en tant qu’extension nationale, sur la Liste représentative du patrimoine culturel immatériel de l’humanité :</w:t>
      </w:r>
    </w:p>
    <w:p w14:paraId="60D10E00"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Les festivals de chars Yama, </w:t>
      </w:r>
      <w:proofErr w:type="spellStart"/>
      <w:r w:rsidRPr="00503070">
        <w:rPr>
          <w:rFonts w:ascii="Arial" w:hAnsi="Arial" w:cs="Arial"/>
          <w:sz w:val="22"/>
          <w:szCs w:val="22"/>
        </w:rPr>
        <w:t>Hoko</w:t>
      </w:r>
      <w:proofErr w:type="spellEnd"/>
      <w:r w:rsidRPr="00503070">
        <w:rPr>
          <w:rFonts w:ascii="Arial" w:hAnsi="Arial" w:cs="Arial"/>
          <w:sz w:val="22"/>
          <w:szCs w:val="22"/>
        </w:rPr>
        <w:t xml:space="preserve"> et </w:t>
      </w:r>
      <w:proofErr w:type="spellStart"/>
      <w:r w:rsidRPr="00503070">
        <w:rPr>
          <w:rFonts w:ascii="Arial" w:hAnsi="Arial" w:cs="Arial"/>
          <w:sz w:val="22"/>
          <w:szCs w:val="22"/>
        </w:rPr>
        <w:t>Yatai</w:t>
      </w:r>
      <w:proofErr w:type="spellEnd"/>
      <w:r w:rsidRPr="00503070">
        <w:rPr>
          <w:rFonts w:ascii="Arial" w:hAnsi="Arial" w:cs="Arial"/>
          <w:sz w:val="22"/>
          <w:szCs w:val="22"/>
        </w:rPr>
        <w:t xml:space="preserve"> sont organisés chaque année dans différentes régions afin de prier les dieux pour la paix et la protection contre les catastrophes naturelles. Pratique traditionnelle qui met en valeur la diversité des cultures locales, ces festivals impliquent les efforts de collaboration des communautés praticiennes et constituent un aspect essentiel de leur identité culturelle. Des personnes de tous âges et de tous genres partagent la responsabilité de l’organisation et du déroulement de ces festivals. Cela inclut toutes les étapes, depuis la conception et la construction des chars à la coordination générale de l’événement. </w:t>
      </w:r>
    </w:p>
    <w:p w14:paraId="4F131275" w14:textId="77777777" w:rsidR="0091689E" w:rsidRPr="00503070" w:rsidRDefault="0091689E" w:rsidP="001E17AF">
      <w:pPr>
        <w:keepNext/>
        <w:numPr>
          <w:ilvl w:val="0"/>
          <w:numId w:val="105"/>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29B7E108"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Des hommes et des femmes de tous âges décorent le char, et les conducteurs de chars et les spectateurs se réunissant ensuite pour célébrer le festival en priant pour la paix dans la communauté. Les tâches sont adaptées à l’âge et à l’expérience de chaque participant, les détenteurs les plus âgés transmettant les connaissances et les compétences aux moins expérimentés, notamment dans le cadre de cours formels. Le travail d’équipe est encouragé au sein des communautés afin de partager et d’échanger </w:t>
      </w:r>
      <w:r w:rsidRPr="00503070">
        <w:rPr>
          <w:rFonts w:ascii="Arial" w:hAnsi="Arial" w:cs="Arial"/>
          <w:sz w:val="22"/>
          <w:szCs w:val="22"/>
        </w:rPr>
        <w:lastRenderedPageBreak/>
        <w:t xml:space="preserve">des compétences et des connaissances techniques spécifiques pour fabriquer et réparer les chars. Les festivals de chars Yama, </w:t>
      </w:r>
      <w:proofErr w:type="spellStart"/>
      <w:r w:rsidRPr="00503070">
        <w:rPr>
          <w:rFonts w:ascii="Arial" w:hAnsi="Arial" w:cs="Arial"/>
          <w:sz w:val="22"/>
          <w:szCs w:val="22"/>
        </w:rPr>
        <w:t>Hoko</w:t>
      </w:r>
      <w:proofErr w:type="spellEnd"/>
      <w:r w:rsidRPr="00503070">
        <w:rPr>
          <w:rFonts w:ascii="Arial" w:hAnsi="Arial" w:cs="Arial"/>
          <w:sz w:val="22"/>
          <w:szCs w:val="22"/>
        </w:rPr>
        <w:t xml:space="preserve"> et </w:t>
      </w:r>
      <w:proofErr w:type="spellStart"/>
      <w:r w:rsidRPr="00503070">
        <w:rPr>
          <w:rFonts w:ascii="Arial" w:hAnsi="Arial" w:cs="Arial"/>
          <w:sz w:val="22"/>
          <w:szCs w:val="22"/>
        </w:rPr>
        <w:t>Yatai</w:t>
      </w:r>
      <w:proofErr w:type="spellEnd"/>
      <w:r w:rsidRPr="00503070">
        <w:rPr>
          <w:rFonts w:ascii="Arial" w:hAnsi="Arial" w:cs="Arial"/>
          <w:sz w:val="22"/>
          <w:szCs w:val="22"/>
        </w:rPr>
        <w:t xml:space="preserve"> jouent un rôle clé dans le développement de la communauté. L’engagement général nécessaire à la préparation des festivals favorise en outre la coopération et la cohésion sociale.</w:t>
      </w:r>
    </w:p>
    <w:p w14:paraId="0E40B12C"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 dossier de candidature décrit clairement la manière dont les quatre nouvelles communautés considèrent l’extension comme un moyen d’améliorer la visibilité du patrimoine culturel immatériel et de promouvoir le dialogue entre des groupes ayant des traditions et des compétences distinctes. Cet élément contribue à sensibiliser à l’importance de la diversité culturelle, à renforcer l’identité de la communauté, à promouvoir la transmission intergénérationnelle ainsi qu’à encourager la participation du public aux festivals de chars. En outre, la sauvegarde de l’élément est étroitement liée à la protection de l’environnement, et l’État partie est conscient que la gestion durable des ressources naturelles est essentielle pour la viabilité du patrimoine culturel immatériel.</w:t>
      </w:r>
    </w:p>
    <w:p w14:paraId="62D9A07A"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 xml:space="preserve">Le dossier de candidature démontre clairement que l’extension renforcera les mesures de sauvegarde existantes, qui sont déjà solides et complètes. En tant que membres de la National Association for the </w:t>
      </w:r>
      <w:proofErr w:type="spellStart"/>
      <w:r w:rsidRPr="00503070">
        <w:rPr>
          <w:rFonts w:ascii="Arial" w:hAnsi="Arial" w:cs="Arial"/>
          <w:sz w:val="22"/>
          <w:szCs w:val="22"/>
        </w:rPr>
        <w:t>Preservation</w:t>
      </w:r>
      <w:proofErr w:type="spellEnd"/>
      <w:r w:rsidRPr="00503070">
        <w:rPr>
          <w:rFonts w:ascii="Arial" w:hAnsi="Arial" w:cs="Arial"/>
          <w:sz w:val="22"/>
          <w:szCs w:val="22"/>
        </w:rPr>
        <w:t xml:space="preserve"> of </w:t>
      </w:r>
      <w:proofErr w:type="spellStart"/>
      <w:r w:rsidRPr="00503070">
        <w:rPr>
          <w:rFonts w:ascii="Arial" w:hAnsi="Arial" w:cs="Arial"/>
          <w:sz w:val="22"/>
          <w:szCs w:val="22"/>
        </w:rPr>
        <w:t>Float</w:t>
      </w:r>
      <w:proofErr w:type="spellEnd"/>
      <w:r w:rsidRPr="00503070">
        <w:rPr>
          <w:rFonts w:ascii="Arial" w:hAnsi="Arial" w:cs="Arial"/>
          <w:sz w:val="22"/>
          <w:szCs w:val="22"/>
        </w:rPr>
        <w:t xml:space="preserve"> Festivals (</w:t>
      </w:r>
      <w:r w:rsidRPr="00503070">
        <w:rPr>
          <w:rFonts w:ascii="Arial" w:hAnsi="Arial" w:cs="Arial"/>
          <w:i/>
          <w:iCs/>
          <w:sz w:val="22"/>
          <w:szCs w:val="22"/>
        </w:rPr>
        <w:t>Association nationale pour la préservation des festivals de chars</w:t>
      </w:r>
      <w:r w:rsidRPr="00503070">
        <w:rPr>
          <w:rFonts w:ascii="Arial" w:hAnsi="Arial" w:cs="Arial"/>
          <w:sz w:val="22"/>
          <w:szCs w:val="22"/>
        </w:rPr>
        <w:t xml:space="preserve">), les nouvelles communautés sont pleinement engagées dans la sauvegarde et la transmission des pratiques associées à l’élément. Elles travaillent notamment en étroite collaboration avec le gouvernement national et les organismes locaux pour assurer la relève des organisateurs d’événements. Leurs principales activités comprennent la sensibilisation ainsi que l’organisation de sessions de formation pour les enfants et les jeunes, la création et la réparation de flotteurs et la plantation d’arbres qui serviront de matière première pour la fabrication des chars, entre autres initiatives. </w:t>
      </w:r>
    </w:p>
    <w:p w14:paraId="51EE4AB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L’État soumissionnaire a expliqué de manière satisfaisante la manière dont les nouvelles communautés ont participé activement au processus de nomination, en coopérant avec d’autres membres de la communauté, en compilant des informations, en fournissant des enregistrements audiovisuels et en donnant leur consentement libre, préalable et éclairé à la candidature. Quatre associations ont travaillé ensemble afin d’assurer </w:t>
      </w:r>
      <w:bookmarkStart w:id="4" w:name="_Hlk205823807"/>
      <w:r w:rsidRPr="00503070">
        <w:rPr>
          <w:rFonts w:ascii="Arial" w:hAnsi="Arial" w:cs="Arial"/>
          <w:sz w:val="22"/>
          <w:szCs w:val="22"/>
        </w:rPr>
        <w:t xml:space="preserve">participation </w:t>
      </w:r>
      <w:proofErr w:type="gramStart"/>
      <w:r w:rsidRPr="00503070">
        <w:rPr>
          <w:rFonts w:ascii="Arial" w:hAnsi="Arial" w:cs="Arial"/>
          <w:sz w:val="22"/>
          <w:szCs w:val="22"/>
        </w:rPr>
        <w:t>la plus large possible</w:t>
      </w:r>
      <w:proofErr w:type="gramEnd"/>
      <w:r w:rsidRPr="00503070">
        <w:rPr>
          <w:rFonts w:ascii="Arial" w:hAnsi="Arial" w:cs="Arial"/>
          <w:sz w:val="22"/>
          <w:szCs w:val="22"/>
        </w:rPr>
        <w:t xml:space="preserve"> </w:t>
      </w:r>
      <w:bookmarkEnd w:id="4"/>
      <w:r w:rsidRPr="00503070">
        <w:rPr>
          <w:rFonts w:ascii="Arial" w:hAnsi="Arial" w:cs="Arial"/>
          <w:sz w:val="22"/>
          <w:szCs w:val="22"/>
        </w:rPr>
        <w:t>des communautés à la préparation de la proposition d’extension. Le dossier résultant de cette coopération reflète de manière effective une vision commune de sauvegarde.</w:t>
      </w:r>
    </w:p>
    <w:p w14:paraId="3DB4A1D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L’inventaire des biens culturels immatériels au Japon comprend des éléments désignés par le gouvernement national comme étant des biens culturels populaires immatériels importants. Cet inventaire comporte les trente-trois festivals de chars inclus dans la candidature initiale, ainsi que quatre festivals supplémentaires inscrits entre 2016 et 2021. L’inventaire est mis à jour une fois par an.</w:t>
      </w:r>
    </w:p>
    <w:p w14:paraId="55B0EB9A" w14:textId="77777777" w:rsidR="0091689E" w:rsidRPr="00503070" w:rsidRDefault="0091689E" w:rsidP="001E17AF">
      <w:pPr>
        <w:numPr>
          <w:ilvl w:val="0"/>
          <w:numId w:val="105"/>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Yama, </w:t>
      </w:r>
      <w:proofErr w:type="spellStart"/>
      <w:r w:rsidRPr="00503070">
        <w:rPr>
          <w:rFonts w:ascii="Arial" w:hAnsi="Arial" w:cs="Arial"/>
          <w:b/>
          <w:sz w:val="22"/>
          <w:szCs w:val="22"/>
        </w:rPr>
        <w:t>Hoko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Yatai</w:t>
      </w:r>
      <w:proofErr w:type="spellEnd"/>
      <w:r w:rsidRPr="00503070">
        <w:rPr>
          <w:rFonts w:ascii="Arial" w:hAnsi="Arial" w:cs="Arial"/>
          <w:b/>
          <w:sz w:val="22"/>
          <w:szCs w:val="22"/>
        </w:rPr>
        <w:t>, festivals de chars au Japon</w:t>
      </w:r>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 Yama, </w:t>
      </w:r>
      <w:proofErr w:type="spellStart"/>
      <w:r w:rsidRPr="00503070">
        <w:rPr>
          <w:rFonts w:ascii="Arial" w:hAnsi="Arial" w:cs="Arial"/>
          <w:sz w:val="22"/>
          <w:szCs w:val="22"/>
        </w:rPr>
        <w:t>Hoko</w:t>
      </w:r>
      <w:proofErr w:type="spellEnd"/>
      <w:r w:rsidRPr="00503070">
        <w:rPr>
          <w:rFonts w:ascii="Arial" w:hAnsi="Arial" w:cs="Arial"/>
          <w:sz w:val="22"/>
          <w:szCs w:val="22"/>
        </w:rPr>
        <w:t xml:space="preserve">, </w:t>
      </w:r>
      <w:proofErr w:type="spellStart"/>
      <w:r w:rsidRPr="00503070">
        <w:rPr>
          <w:rFonts w:ascii="Arial" w:hAnsi="Arial" w:cs="Arial"/>
          <w:sz w:val="22"/>
          <w:szCs w:val="22"/>
        </w:rPr>
        <w:t>Yatai</w:t>
      </w:r>
      <w:proofErr w:type="spellEnd"/>
      <w:r w:rsidRPr="00503070">
        <w:rPr>
          <w:rFonts w:ascii="Arial" w:hAnsi="Arial" w:cs="Arial"/>
          <w:sz w:val="22"/>
          <w:szCs w:val="22"/>
        </w:rPr>
        <w:t>, festivals de chars au Japon » (n°01059), précédemment inscrit en 2016 ;</w:t>
      </w:r>
    </w:p>
    <w:p w14:paraId="7F4B4583" w14:textId="77777777" w:rsidR="0091689E" w:rsidRPr="00503070" w:rsidRDefault="0091689E" w:rsidP="001E17AF">
      <w:pPr>
        <w:numPr>
          <w:ilvl w:val="0"/>
          <w:numId w:val="105"/>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ses efforts visant à encourager l’échange d’expériences entre les communautés, en particulier en ce qui concerne la créativité et la durabilité dans l’utilisation des ressources naturelles.</w:t>
      </w:r>
    </w:p>
    <w:p w14:paraId="05B6B93D" w14:textId="77777777" w:rsidR="0091689E" w:rsidRPr="00503070" w:rsidRDefault="0091689E" w:rsidP="0091689E">
      <w:pPr>
        <w:pStyle w:val="Heading1"/>
        <w:rPr>
          <w:bCs/>
        </w:rPr>
      </w:pPr>
      <w:r w:rsidRPr="00503070">
        <w:t>DÉCISION 20.COM 7.b.53</w:t>
      </w:r>
    </w:p>
    <w:p w14:paraId="4DED1C5F"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1C663FBB" w14:textId="77777777" w:rsidR="0091689E" w:rsidRPr="00503070" w:rsidRDefault="0091689E" w:rsidP="001E17AF">
      <w:pPr>
        <w:pStyle w:val="ListParagraph"/>
        <w:numPr>
          <w:ilvl w:val="0"/>
          <w:numId w:val="106"/>
        </w:numPr>
        <w:tabs>
          <w:tab w:val="left" w:pos="1134"/>
        </w:tabs>
        <w:ind w:left="567" w:hanging="567"/>
        <w:contextualSpacing w:val="0"/>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des « connaissances et savoir-faire traditionnels liés à la fabrication des yourtes kirghizes et kazakhes (habitat nomade des peuples turciques) » (soumise par le Kazakhstan et le Kirghizistan) sur la Liste représentative du patrimoine culturel immatériel de l’humanité par la neuvième session du Comité en 2014 (décision </w:t>
      </w:r>
      <w:hyperlink r:id="rId71" w:history="1">
        <w:r w:rsidRPr="00503070">
          <w:rPr>
            <w:rStyle w:val="Hyperlink"/>
            <w:rFonts w:ascii="Arial" w:hAnsi="Arial" w:cs="Arial"/>
            <w:sz w:val="22"/>
            <w:szCs w:val="22"/>
          </w:rPr>
          <w:t>9.COM 10.24</w:t>
        </w:r>
      </w:hyperlink>
      <w:r w:rsidRPr="00503070">
        <w:rPr>
          <w:rFonts w:ascii="Arial" w:hAnsi="Arial" w:cs="Arial"/>
          <w:sz w:val="22"/>
          <w:szCs w:val="22"/>
        </w:rPr>
        <w:t>),</w:t>
      </w:r>
    </w:p>
    <w:p w14:paraId="19A7ACE5" w14:textId="77777777" w:rsidR="0091689E" w:rsidRPr="00503070" w:rsidRDefault="0091689E" w:rsidP="001E17AF">
      <w:pPr>
        <w:numPr>
          <w:ilvl w:val="0"/>
          <w:numId w:val="106"/>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lastRenderedPageBreak/>
        <w:t>Prend note</w:t>
      </w:r>
      <w:r w:rsidRPr="00503070">
        <w:rPr>
          <w:rFonts w:ascii="Arial" w:hAnsi="Arial" w:cs="Arial"/>
          <w:sz w:val="22"/>
          <w:szCs w:val="22"/>
        </w:rPr>
        <w:t xml:space="preserve"> que le Kazakhstan, le Kirghizistan et l’Ouzbékistan ont proposé la candidature des </w:t>
      </w:r>
      <w:r w:rsidRPr="00503070">
        <w:rPr>
          <w:rFonts w:ascii="Arial" w:hAnsi="Arial" w:cs="Arial"/>
          <w:b/>
          <w:sz w:val="22"/>
          <w:szCs w:val="22"/>
        </w:rPr>
        <w:t xml:space="preserve">connaissances et savoir-faire traditionnels de la fabrication des yourtes kirghizes, kazakhes et karakalpak (habitat nomade des peuples turciques) </w:t>
      </w:r>
      <w:r w:rsidRPr="00503070">
        <w:rPr>
          <w:rFonts w:ascii="Arial" w:hAnsi="Arial" w:cs="Arial"/>
          <w:bCs/>
          <w:sz w:val="22"/>
          <w:szCs w:val="22"/>
        </w:rPr>
        <w:t>(n°02284</w:t>
      </w:r>
      <w:r w:rsidRPr="00503070">
        <w:rPr>
          <w:rFonts w:ascii="Arial" w:hAnsi="Arial" w:cs="Arial"/>
          <w:b/>
          <w:sz w:val="22"/>
          <w:szCs w:val="22"/>
        </w:rPr>
        <w:t>)</w:t>
      </w:r>
      <w:r w:rsidRPr="00503070">
        <w:rPr>
          <w:rFonts w:ascii="Arial" w:hAnsi="Arial" w:cs="Arial"/>
          <w:sz w:val="22"/>
          <w:szCs w:val="22"/>
        </w:rPr>
        <w:t xml:space="preserve"> pour inscription, sur une base élargie afin d’inclure l’Ouzbékistan, sur la Liste représentative du patrimoine culturel immatériel de l’humanité :</w:t>
      </w:r>
    </w:p>
    <w:p w14:paraId="50A09D5D"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La yourte est une habitation nomade constituée d’une armature circulaire en bois démontable recouverte de feutre et tressée avec des cordes. Elle peut être facilement montée et démontée en peu de temps. Les yourtes sont fabriquées à partir de matières premières naturelles et renouvelables. Les hommes et leurs apprentis fabriquent les ossatures en bois à la main, ainsi que des accessoires en bois, en cuir, en os et en métal. Les femmes se chargent de la décoration intérieure et des revêtements extérieurs, qui sont ornés de motifs organiques ou géométriques. En règle générale, elles travaillent au sein des groupes des communautés supervisées par des artisanes expérimentées et utilisent des techniques traditionnelles telles que le tissage, le filage, le tressage, le feutrage, la broderie, la couture et d’autres techniques traditionnelles. </w:t>
      </w:r>
    </w:p>
    <w:p w14:paraId="3CC1E043" w14:textId="77777777" w:rsidR="0091689E" w:rsidRPr="00503070" w:rsidRDefault="0091689E" w:rsidP="001E17AF">
      <w:pPr>
        <w:keepNext/>
        <w:numPr>
          <w:ilvl w:val="0"/>
          <w:numId w:val="106"/>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74C53E42"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Les connaissances et le savoir-faire associés sont transmis au sein des familles ou des enseignants aux apprentis. La pratique est également transmise par les anciens de la communauté, lors de divers événements culturels (expositions, festivals et ateliers) ainsi que par les médias. La création de yourtes favorise les valeurs humaines communes, la coopération et la créativité. Toutes les festivités, cérémonies, naissances, mariages et rituels funéraires se déroulent dans des yourtes, qui sont conservées au sein de la famille et transmises de parents à enfants comme une relique familiale sacrée. La yourte reste ainsi un symbole de l’histoire familiale, fondamental pour l’identité des communautés pratiquantes. Elle contribue en outre à la cohésion sociale ainsi qu’au respect de la diversité culturelle et de la nature.</w:t>
      </w:r>
    </w:p>
    <w:p w14:paraId="4DF25499"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L’extension est étayée par diverses preuves, de sa contribution à la visibilité du patrimoine culturel immatériel et à la sensibilisation à son importance aux niveaux local, national et international. La candidature encourage le dialogue sur la diversité culturelle et inculque un sentiment de fierté à l’égard du patrimoine culturel, car cet élément peut être reconnu comme un héritage partagé par des peuples frères et favoriser la cohésion sociale. L’élément contribue au développement durable en encourageant les pratiques respectueuses de l’environnement et les économies locales, renforçant ainsi l’interconnexion du patrimoine culturel et des pratiques durables. Son inscription mettrait en évidence l’expérience humaine comme inhérente aux modes de vie nomades.</w:t>
      </w:r>
    </w:p>
    <w:p w14:paraId="64A45DB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L’État partie rejoignant la candidature a mis en œuvre et continue de poursuivre plusieurs initiatives visant à sauvegarder, protéger et promouvoir l’élément, notamment en matière d’éducation, de recherche, de formation, ainsi que par le biais de compétitions, d’expositions et d’une couverture médiatique. Les mesures à venir visent à renforcer le cadre juridique et réglementaire pour la sauvegarde du patrimoine culturel immatériel, à identifier et à collecter les informations relatives à l’élément, et à planter les arbres utilisés dans la construction et la décoration des yourtes. Les mesures de sauvegarde proposées seront mises en œuvre par des organisations gouvernementales et non gouvernementales, des communautés, des groupes et des maîtres individuels.</w:t>
      </w:r>
    </w:p>
    <w:p w14:paraId="10ABA05B"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 xml:space="preserve">La candidature a été préparée avec la participation </w:t>
      </w:r>
      <w:proofErr w:type="gramStart"/>
      <w:r w:rsidRPr="00503070">
        <w:rPr>
          <w:rFonts w:ascii="Arial" w:hAnsi="Arial" w:cs="Arial"/>
          <w:sz w:val="22"/>
          <w:szCs w:val="22"/>
        </w:rPr>
        <w:t>la plus large possible</w:t>
      </w:r>
      <w:proofErr w:type="gramEnd"/>
      <w:r w:rsidRPr="00503070">
        <w:rPr>
          <w:rFonts w:ascii="Arial" w:hAnsi="Arial" w:cs="Arial"/>
          <w:sz w:val="22"/>
          <w:szCs w:val="22"/>
        </w:rPr>
        <w:t xml:space="preserve"> des communautés, groupes et individus concernés. Les nouvelles communautés rejoignant la candidature ont été activement impliquées tout au long du processus, depuis les discussions initiales jusqu’à la soumission finale de la candidature. Elles ont recueilli des données, proposé des mesures de sauvegarde, organisé des réunions locales sur une base volontaire et avec leurs propres ressources,</w:t>
      </w:r>
      <w:r w:rsidRPr="00503070">
        <w:rPr>
          <w:rFonts w:ascii="Arial" w:hAnsi="Arial" w:cs="Arial"/>
          <w:b/>
          <w:sz w:val="22"/>
          <w:szCs w:val="22"/>
        </w:rPr>
        <w:t xml:space="preserve"> </w:t>
      </w:r>
      <w:r w:rsidRPr="00503070">
        <w:rPr>
          <w:rFonts w:ascii="Arial" w:hAnsi="Arial" w:cs="Arial"/>
          <w:sz w:val="22"/>
          <w:szCs w:val="22"/>
        </w:rPr>
        <w:t xml:space="preserve">et ont donné leur consentement libre, préalable et éclairé. Les chercheurs ont collaboré à la préparation des documents de la </w:t>
      </w:r>
      <w:r w:rsidRPr="00503070">
        <w:rPr>
          <w:rFonts w:ascii="Arial" w:hAnsi="Arial" w:cs="Arial"/>
          <w:sz w:val="22"/>
          <w:szCs w:val="22"/>
        </w:rPr>
        <w:lastRenderedPageBreak/>
        <w:t>candidature, ce qui témoigne d’une attitude de coopération susceptible d’apporter des avantages significatifs à la sauvegarde de l’élément.</w:t>
      </w:r>
    </w:p>
    <w:p w14:paraId="23336DFF" w14:textId="77777777" w:rsidR="0091689E" w:rsidRPr="00503070" w:rsidRDefault="0091689E" w:rsidP="0091689E">
      <w:pPr>
        <w:tabs>
          <w:tab w:val="left" w:pos="1134"/>
          <w:tab w:val="left" w:pos="1701"/>
          <w:tab w:val="left" w:pos="2268"/>
        </w:tabs>
        <w:spacing w:before="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inscrit sur la liste nationale du patrimoine culturel immatériel de la République d’Ouzbékistan en 2022. L’inventaire est tenu à jour par l’Institut de recherche scientifique en culturologie et patrimoine culturel immatériel, qui dépend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de la République d’Ouzbékistan. Les mises à jour de l’inventaire sont effectuées avec la participation des communautés. Des informations sur les mises à jour périodiques de l’inventaire et sur le processus d’inventaire sont disponibles dans le rapport périodique.</w:t>
      </w:r>
    </w:p>
    <w:p w14:paraId="070F8630" w14:textId="77777777" w:rsidR="0091689E" w:rsidRPr="00503070" w:rsidRDefault="0091689E" w:rsidP="001E17AF">
      <w:pPr>
        <w:numPr>
          <w:ilvl w:val="0"/>
          <w:numId w:val="106"/>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les</w:t>
      </w:r>
      <w:r w:rsidRPr="00503070">
        <w:rPr>
          <w:rFonts w:ascii="Arial" w:hAnsi="Arial" w:cs="Arial"/>
          <w:sz w:val="22"/>
          <w:szCs w:val="22"/>
        </w:rPr>
        <w:t xml:space="preserve"> </w:t>
      </w:r>
      <w:r w:rsidRPr="00503070">
        <w:rPr>
          <w:rFonts w:ascii="Arial" w:hAnsi="Arial" w:cs="Arial"/>
          <w:b/>
          <w:sz w:val="22"/>
          <w:szCs w:val="22"/>
        </w:rPr>
        <w:t>connaissances et savoir-faire traditionnels de la fabrication des yourtes kirghizes, kazakhes et karakalpak (habitat nomade des peuples turciques)</w:t>
      </w:r>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les « les connaissances et savoir-faire traditionnels liés à la fabrication des yourtes kirghizes et kazakhes (habitat nomade des peuples turciques) » (n°00998), précédemment inscrit en 2014 ;</w:t>
      </w:r>
    </w:p>
    <w:p w14:paraId="799B9BE7" w14:textId="77777777" w:rsidR="0091689E" w:rsidRPr="00503070" w:rsidRDefault="0091689E" w:rsidP="001E17AF">
      <w:pPr>
        <w:numPr>
          <w:ilvl w:val="0"/>
          <w:numId w:val="106"/>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pour le travail coordonné entrepris, impliquant les administrations locales et les communautés dans chaque pays pour promouvoir un élément commun qui fait partie de l’identité de chacun d’entre eux.</w:t>
      </w:r>
    </w:p>
    <w:p w14:paraId="61B8DD29" w14:textId="77777777" w:rsidR="0091689E" w:rsidRPr="00503070" w:rsidRDefault="0091689E" w:rsidP="0091689E">
      <w:pPr>
        <w:pStyle w:val="Heading1"/>
        <w:rPr>
          <w:bCs/>
        </w:rPr>
      </w:pPr>
      <w:r w:rsidRPr="00503070">
        <w:t>DÉCISION 20.COM 7.b.54</w:t>
      </w:r>
    </w:p>
    <w:p w14:paraId="0C094BA2"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5BA7423E" w14:textId="77777777" w:rsidR="0091689E" w:rsidRPr="00503070" w:rsidRDefault="0091689E" w:rsidP="001E17AF">
      <w:pPr>
        <w:pStyle w:val="ListParagraph"/>
        <w:numPr>
          <w:ilvl w:val="0"/>
          <w:numId w:val="107"/>
        </w:numPr>
        <w:tabs>
          <w:tab w:val="left" w:pos="1134"/>
        </w:tabs>
        <w:ind w:left="567" w:hanging="567"/>
        <w:contextualSpacing w:val="0"/>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du « tissage traditionnel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 (soumise par l’Arabie saoudite et le Koweït) sur la Liste représentative du patrimoine culturel immatériel de l’humanité par la quinzième session du Comité en 2020 (décision </w:t>
      </w:r>
      <w:hyperlink r:id="rId72" w:history="1">
        <w:r w:rsidRPr="00503070">
          <w:rPr>
            <w:rStyle w:val="Hyperlink"/>
            <w:rFonts w:ascii="Arial" w:hAnsi="Arial" w:cs="Arial"/>
            <w:sz w:val="22"/>
            <w:szCs w:val="22"/>
          </w:rPr>
          <w:t xml:space="preserve">15.COM </w:t>
        </w:r>
        <w:proofErr w:type="gramStart"/>
        <w:r w:rsidRPr="00503070">
          <w:rPr>
            <w:rStyle w:val="Hyperlink"/>
            <w:rFonts w:ascii="Arial" w:hAnsi="Arial" w:cs="Arial"/>
            <w:sz w:val="22"/>
            <w:szCs w:val="22"/>
          </w:rPr>
          <w:t>8.b.</w:t>
        </w:r>
        <w:proofErr w:type="gramEnd"/>
        <w:r w:rsidRPr="00503070">
          <w:rPr>
            <w:rStyle w:val="Hyperlink"/>
            <w:rFonts w:ascii="Arial" w:hAnsi="Arial" w:cs="Arial"/>
            <w:sz w:val="22"/>
            <w:szCs w:val="22"/>
          </w:rPr>
          <w:t>4</w:t>
        </w:r>
      </w:hyperlink>
      <w:r w:rsidRPr="00503070">
        <w:rPr>
          <w:rFonts w:ascii="Arial" w:hAnsi="Arial" w:cs="Arial"/>
          <w:sz w:val="22"/>
          <w:szCs w:val="22"/>
        </w:rPr>
        <w:t>),</w:t>
      </w:r>
    </w:p>
    <w:p w14:paraId="3AA52DCC" w14:textId="77777777" w:rsidR="0091689E" w:rsidRPr="00503070" w:rsidRDefault="0091689E" w:rsidP="001E17AF">
      <w:pPr>
        <w:numPr>
          <w:ilvl w:val="0"/>
          <w:numId w:val="10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l’Arabie saoudite, le Koweït et le Qatar ont proposé la candidature du</w:t>
      </w:r>
      <w:r w:rsidRPr="00503070">
        <w:rPr>
          <w:rFonts w:ascii="Arial" w:hAnsi="Arial" w:cs="Arial"/>
          <w:b/>
          <w:sz w:val="22"/>
          <w:szCs w:val="22"/>
        </w:rPr>
        <w:t xml:space="preserve"> tissage traditionnel Al </w:t>
      </w:r>
      <w:proofErr w:type="spellStart"/>
      <w:r w:rsidRPr="00503070">
        <w:rPr>
          <w:rFonts w:ascii="Arial" w:hAnsi="Arial" w:cs="Arial"/>
          <w:b/>
          <w:sz w:val="22"/>
          <w:szCs w:val="22"/>
        </w:rPr>
        <w:t>Sadu</w:t>
      </w:r>
      <w:proofErr w:type="spellEnd"/>
      <w:r w:rsidRPr="00503070">
        <w:rPr>
          <w:rFonts w:ascii="Arial" w:hAnsi="Arial" w:cs="Arial"/>
          <w:sz w:val="22"/>
          <w:szCs w:val="22"/>
        </w:rPr>
        <w:t xml:space="preserve"> (n° 02158) pour inscription, sur une base élargie afin d’inclure le Qatar, sur la Liste représentative du patrimoine culturel immatériel de l’humanité :</w:t>
      </w:r>
    </w:p>
    <w:p w14:paraId="6DDACCD0"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tissage traditionnel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désigne un textile tissé par les femmes bédouines à l’aide d’un métier à terre. Les tisserandes utilisent des fibres naturelles trouvées dans leur environnement pour fabriquer un textile solide au tissage serré. Les motifs du tissage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reflètent l’environnement désertique dans sa forme simple et pure, avec des dessins géométriques combinés pour s’écouler dans la répétition rythmique et la symétrie. Les tisserandes utilisent aussi des couleurs vives comme les tons de rouge et d’orange pour égayer leur environnement. La beauté de chaque article tissé repose sur la qualité du filage et du tissage et l’expertise de la tisserande - plus le fil est fin, plus la structure et le motif sont prononcés et délicats. </w:t>
      </w:r>
    </w:p>
    <w:p w14:paraId="7DF0425E" w14:textId="77777777" w:rsidR="0091689E" w:rsidRPr="00503070" w:rsidRDefault="0091689E" w:rsidP="001E17AF">
      <w:pPr>
        <w:keepNext/>
        <w:numPr>
          <w:ilvl w:val="0"/>
          <w:numId w:val="107"/>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le dossier, la candidature satisfait aux critères d’inscription sur la Liste représentative du patrimoine culturel immatériel de l’humanité comme suit :</w:t>
      </w:r>
    </w:p>
    <w:p w14:paraId="052F054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R.1 :</w:t>
      </w:r>
      <w:r w:rsidRPr="00503070">
        <w:rPr>
          <w:rFonts w:ascii="Arial" w:hAnsi="Arial" w:cs="Arial"/>
          <w:sz w:val="22"/>
          <w:szCs w:val="22"/>
        </w:rPr>
        <w:tab/>
        <w:t xml:space="preserve">Plus qu’un objet fonctionnel, le textile est devenu au fil du temps le symbole d’une tradition et d’une culture partagées. Les principaux détenteurs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sont des femmes bédouines âgées, qui sont des maîtres tisserands. Elles jouent un rôle clé dans la transmission du savoir-faire associé à d’autres personnes, le plus souvent au sein même de leur foyer. Les associations et les organisations éducatives jouent également un rôle important dans la transmission des compétences et des connaissances par le biais de cours, d’ateliers et d’expositions. Pratique culturelle, économique et sociale vitale, le tissage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reflète l’héritage commun et l’importance du rôle des femmes dans la société bédouine.</w:t>
      </w:r>
    </w:p>
    <w:p w14:paraId="77E9B194"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R.2 :</w:t>
      </w:r>
      <w:r w:rsidRPr="00503070">
        <w:rPr>
          <w:rFonts w:ascii="Arial" w:hAnsi="Arial" w:cs="Arial"/>
          <w:sz w:val="22"/>
          <w:szCs w:val="22"/>
        </w:rPr>
        <w:tab/>
        <w:t xml:space="preserve">Le dossier de candidature démontre que l’extension proposée contribuera à assurer la visibilité et la sensibilisation au patrimoine culturel immatériel, notamment en favorisant </w:t>
      </w:r>
      <w:r w:rsidRPr="00503070">
        <w:rPr>
          <w:rFonts w:ascii="Arial" w:hAnsi="Arial" w:cs="Arial"/>
          <w:sz w:val="22"/>
          <w:szCs w:val="22"/>
        </w:rPr>
        <w:lastRenderedPageBreak/>
        <w:t xml:space="preserve">le dialogue, en reflétant la diversité culturelle mondiale ainsi qu’en mettant en valeur la créativité humaine. La candidature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est soutenue par les communautés de praticiens, les institutions académiques et les agences gouvernementales du Qatar, car l’artisanat traditionnel est une pratique culturelle, économique et sociale vitale, transmise par les anciennes artisanes aux jeunes générations. Son inscription encouragera le dialogue entre les États parties sur tous les aspects décrits dans la candidature d’origine.</w:t>
      </w:r>
    </w:p>
    <w:p w14:paraId="5B4E7D97"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R.3 :</w:t>
      </w:r>
      <w:r w:rsidRPr="00503070">
        <w:rPr>
          <w:rFonts w:ascii="Arial" w:hAnsi="Arial" w:cs="Arial"/>
          <w:sz w:val="22"/>
          <w:szCs w:val="22"/>
        </w:rPr>
        <w:tab/>
        <w:t>Les États soumissionnaires affirment que l’extension représente une opportunité de renforcer les efforts actuels pour préserver cet élément, qui dépendent fortement de l’engagement des communautés et des individus dans les trois pays. Plusieurs mesures de sauvegarde sont proposées par des membres de la communauté, nouveaux et anciens, qui ont organisé de nombreux événements. Dans l’État du Qatar, les mesures proposées se concentrent principalement sur trois actions : (a) accroître la participation des communautés en favorisant la transmission des connaissances et du savoir-faire ; (b) encourager les techniques innovantes tout en préservant les méthodes traditionnelles et les valeurs culturelles des communautés de tissage ; et (c) renforcer les partenariats locaux et internationaux avec les établissements d’enseignement et les autres communautés d’artisans.</w:t>
      </w:r>
    </w:p>
    <w:p w14:paraId="6D34E963"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R.4 :</w:t>
      </w:r>
      <w:r w:rsidRPr="00503070">
        <w:rPr>
          <w:rFonts w:ascii="Arial" w:hAnsi="Arial" w:cs="Arial"/>
          <w:sz w:val="22"/>
          <w:szCs w:val="22"/>
        </w:rPr>
        <w:tab/>
        <w:t>Des organismes gouvernementaux, des institutions privées et des membres de la communauté ont participé au processus d’inventaire et de candidature. Les femmes spécialisées dans le tissage ont joué un rôle clé en sensibilisant la population, en partageant leurs connaissances des pratiques traditionnelles et modernes ainsi qu’en apportant des informations importantes pour la préparation des documents de la candidature, à tous les stades de cette dernière. Outre le fait de décrire les processus d’information et de mobilisation des communautés de producteurs, de collecte de données et de préparation du dossier de candidature, les États soumissionnaires ont présenté des documents à l’appui de l’extension de l’inscription.</w:t>
      </w:r>
    </w:p>
    <w:p w14:paraId="21EA6B82" w14:textId="77777777" w:rsidR="0091689E" w:rsidRPr="00503070" w:rsidRDefault="0091689E" w:rsidP="0091689E">
      <w:pPr>
        <w:tabs>
          <w:tab w:val="left" w:pos="1134"/>
          <w:tab w:val="left" w:pos="1701"/>
          <w:tab w:val="left" w:pos="2268"/>
        </w:tabs>
        <w:spacing w:before="120" w:after="120"/>
        <w:ind w:left="1122" w:hanging="555"/>
        <w:jc w:val="both"/>
        <w:rPr>
          <w:rFonts w:ascii="Arial" w:hAnsi="Arial" w:cs="Arial"/>
          <w:sz w:val="22"/>
          <w:szCs w:val="22"/>
        </w:rPr>
      </w:pPr>
      <w:r w:rsidRPr="00503070">
        <w:rPr>
          <w:rFonts w:ascii="Arial" w:hAnsi="Arial" w:cs="Arial"/>
          <w:sz w:val="22"/>
          <w:szCs w:val="22"/>
        </w:rPr>
        <w:t>R.5 :</w:t>
      </w:r>
      <w:r w:rsidRPr="00503070">
        <w:rPr>
          <w:rFonts w:ascii="Arial" w:hAnsi="Arial" w:cs="Arial"/>
          <w:sz w:val="22"/>
          <w:szCs w:val="22"/>
        </w:rPr>
        <w:tab/>
        <w:t xml:space="preserve">L’élément a été inscrit sur la liste nationale du patrimoine culturel immatériel en 2018. L’inventaire est tenu à jour par le Département du patrimoine et de l’identité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du Qatar et les membres du Comité d’inventaire du patrimoine culturel immatériel. Les mises à jour de l’inventaire sont effectuées avec la participation des communautés. Des informations sur les mises à jour périodiques de l’inventaire et le processus d’inventaire sont disponibles dans le rapport périodique.</w:t>
      </w:r>
    </w:p>
    <w:p w14:paraId="392B2D79" w14:textId="77777777" w:rsidR="0091689E" w:rsidRPr="00503070" w:rsidRDefault="0091689E" w:rsidP="001E17AF">
      <w:pPr>
        <w:numPr>
          <w:ilvl w:val="0"/>
          <w:numId w:val="107"/>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d’inscrire</w:t>
      </w:r>
      <w:r w:rsidRPr="00503070">
        <w:rPr>
          <w:rFonts w:ascii="Arial" w:hAnsi="Arial" w:cs="Arial"/>
          <w:sz w:val="22"/>
          <w:szCs w:val="22"/>
        </w:rPr>
        <w:t xml:space="preserve"> </w:t>
      </w:r>
      <w:r w:rsidRPr="00503070">
        <w:rPr>
          <w:rFonts w:ascii="Arial" w:hAnsi="Arial" w:cs="Arial"/>
          <w:b/>
          <w:sz w:val="22"/>
          <w:szCs w:val="22"/>
        </w:rPr>
        <w:t xml:space="preserve">le tissage traditionnel Al </w:t>
      </w:r>
      <w:proofErr w:type="spellStart"/>
      <w:r w:rsidRPr="00503070">
        <w:rPr>
          <w:rFonts w:ascii="Arial" w:hAnsi="Arial" w:cs="Arial"/>
          <w:b/>
          <w:sz w:val="22"/>
          <w:szCs w:val="22"/>
        </w:rPr>
        <w:t>Sadu</w:t>
      </w:r>
      <w:proofErr w:type="spellEnd"/>
      <w:r w:rsidRPr="00503070">
        <w:rPr>
          <w:rFonts w:ascii="Arial" w:hAnsi="Arial" w:cs="Arial"/>
          <w:sz w:val="22"/>
          <w:szCs w:val="22"/>
        </w:rPr>
        <w:t xml:space="preserve"> sur la Liste représentative du patrimoine culturel immatériel de l’humanité, en prenant note que la présente candidature est une inscription sur une base élargie qui intègre et remplace le « tissage traditionnel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 (n°01586), précédemment inscrit en 2020 ;</w:t>
      </w:r>
    </w:p>
    <w:p w14:paraId="487C4D3A" w14:textId="77777777" w:rsidR="0091689E" w:rsidRPr="00503070" w:rsidRDefault="0091689E" w:rsidP="001E17AF">
      <w:pPr>
        <w:pStyle w:val="ListParagraph"/>
        <w:numPr>
          <w:ilvl w:val="0"/>
          <w:numId w:val="107"/>
        </w:numPr>
        <w:ind w:left="567" w:hanging="567"/>
        <w:contextualSpacing w:val="0"/>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les États parties pour leur travail de collaboration dans la préparation de la proposition d’extension.</w:t>
      </w:r>
    </w:p>
    <w:p w14:paraId="63AB94D7" w14:textId="77777777" w:rsidR="0091689E" w:rsidRPr="00503070" w:rsidRDefault="0091689E" w:rsidP="0091689E">
      <w:pPr>
        <w:pStyle w:val="Heading1"/>
        <w:rPr>
          <w:bCs/>
        </w:rPr>
      </w:pPr>
      <w:r w:rsidRPr="00503070">
        <w:t>DÉCISION 20.COM 7.c.1</w:t>
      </w:r>
    </w:p>
    <w:p w14:paraId="4879F617"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09E29F1C"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w:t>
      </w:r>
      <w:proofErr w:type="gramStart"/>
      <w:r w:rsidRPr="00503070">
        <w:rPr>
          <w:rFonts w:ascii="Arial" w:hAnsi="Arial" w:cs="Arial"/>
          <w:sz w:val="22"/>
          <w:szCs w:val="22"/>
        </w:rPr>
        <w:t>’«</w:t>
      </w:r>
      <w:proofErr w:type="gramEnd"/>
      <w:r w:rsidRPr="00503070">
        <w:rPr>
          <w:rFonts w:ascii="Arial" w:hAnsi="Arial" w:cs="Arial"/>
          <w:sz w:val="22"/>
          <w:szCs w:val="22"/>
        </w:rPr>
        <w:t xml:space="preserve">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tissage traditionnel dans les Émirats arabes unis » sur la Liste du patrimoine culturel immatériel nécessitant une sauvegarde urgente par la sixième session du Comité en 2011 (décision </w:t>
      </w:r>
      <w:hyperlink r:id="rId73" w:history="1">
        <w:r w:rsidRPr="00503070">
          <w:rPr>
            <w:rStyle w:val="Hyperlink"/>
            <w:rFonts w:ascii="Arial" w:hAnsi="Arial" w:cs="Arial"/>
            <w:sz w:val="22"/>
            <w:szCs w:val="22"/>
          </w:rPr>
          <w:t>6.COM 8.21</w:t>
        </w:r>
      </w:hyperlink>
      <w:r w:rsidRPr="00503070">
        <w:rPr>
          <w:rFonts w:ascii="Arial" w:hAnsi="Arial" w:cs="Arial"/>
          <w:sz w:val="22"/>
          <w:szCs w:val="22"/>
        </w:rPr>
        <w:t>),</w:t>
      </w:r>
    </w:p>
    <w:p w14:paraId="55FEA4FA"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 en outre</w:t>
      </w:r>
      <w:r w:rsidRPr="00503070">
        <w:rPr>
          <w:rFonts w:ascii="Arial" w:hAnsi="Arial" w:cs="Arial"/>
          <w:sz w:val="22"/>
          <w:szCs w:val="22"/>
        </w:rPr>
        <w:t xml:space="preserve"> le dernier rapport périodique soumis par les Émirats arabes unis sur l’état de cet élément examiné par la dix-neuvième session du Comité en 2024 (décision </w:t>
      </w:r>
      <w:hyperlink r:id="rId74" w:history="1">
        <w:r w:rsidRPr="00503070">
          <w:rPr>
            <w:rStyle w:val="Hyperlink"/>
            <w:rFonts w:ascii="Arial" w:hAnsi="Arial" w:cs="Arial"/>
            <w:sz w:val="22"/>
            <w:szCs w:val="22"/>
          </w:rPr>
          <w:t>19.COM </w:t>
        </w:r>
        <w:proofErr w:type="gramStart"/>
        <w:r w:rsidRPr="00503070">
          <w:rPr>
            <w:rStyle w:val="Hyperlink"/>
            <w:rFonts w:ascii="Arial" w:hAnsi="Arial" w:cs="Arial"/>
            <w:sz w:val="22"/>
            <w:szCs w:val="22"/>
          </w:rPr>
          <w:t>6.a.</w:t>
        </w:r>
        <w:proofErr w:type="gramEnd"/>
        <w:r w:rsidRPr="00503070">
          <w:rPr>
            <w:rStyle w:val="Hyperlink"/>
            <w:rFonts w:ascii="Arial" w:hAnsi="Arial" w:cs="Arial"/>
            <w:sz w:val="22"/>
            <w:szCs w:val="22"/>
          </w:rPr>
          <w:t>10</w:t>
        </w:r>
      </w:hyperlink>
      <w:r w:rsidRPr="00503070">
        <w:rPr>
          <w:rFonts w:ascii="Arial" w:hAnsi="Arial" w:cs="Arial"/>
          <w:sz w:val="22"/>
          <w:szCs w:val="22"/>
        </w:rPr>
        <w:t xml:space="preserve">), </w:t>
      </w:r>
    </w:p>
    <w:p w14:paraId="250BE051"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de la demande présentée par les Émirats arabes unis de transférer </w:t>
      </w:r>
      <w:r w:rsidRPr="00503070">
        <w:rPr>
          <w:rFonts w:ascii="Arial" w:hAnsi="Arial" w:cs="Arial"/>
          <w:b/>
          <w:sz w:val="22"/>
          <w:szCs w:val="22"/>
        </w:rPr>
        <w:t xml:space="preserve">Al </w:t>
      </w:r>
      <w:proofErr w:type="spellStart"/>
      <w:r w:rsidRPr="00503070">
        <w:rPr>
          <w:rFonts w:ascii="Arial" w:hAnsi="Arial" w:cs="Arial"/>
          <w:b/>
          <w:sz w:val="22"/>
          <w:szCs w:val="22"/>
        </w:rPr>
        <w:t>Sadu</w:t>
      </w:r>
      <w:proofErr w:type="spellEnd"/>
      <w:r w:rsidRPr="00503070">
        <w:rPr>
          <w:rFonts w:ascii="Arial" w:hAnsi="Arial" w:cs="Arial"/>
          <w:b/>
          <w:sz w:val="22"/>
          <w:szCs w:val="22"/>
        </w:rPr>
        <w:t>, tissage traditionnel dans les Émirats arabes unis</w:t>
      </w:r>
      <w:r w:rsidRPr="00503070">
        <w:rPr>
          <w:rFonts w:ascii="Arial" w:hAnsi="Arial" w:cs="Arial"/>
          <w:sz w:val="22"/>
          <w:szCs w:val="22"/>
        </w:rPr>
        <w:t xml:space="preserve"> (n° 02230) de la Liste du patrimoine culturel immatériel nécessitant une sauvegarde urgente à la Liste représentative du patrimoine culturel immatériel de l’humanité :</w:t>
      </w:r>
    </w:p>
    <w:p w14:paraId="53A94091" w14:textId="77777777" w:rsidR="0091689E" w:rsidRPr="00503070" w:rsidRDefault="0091689E" w:rsidP="0091689E">
      <w:pPr>
        <w:tabs>
          <w:tab w:val="left" w:pos="1134"/>
          <w:tab w:val="left" w:pos="1701"/>
          <w:tab w:val="left" w:pos="2268"/>
        </w:tabs>
        <w:spacing w:before="120" w:after="120"/>
        <w:ind w:left="567"/>
        <w:jc w:val="both"/>
        <w:rPr>
          <w:rFonts w:ascii="Arial" w:hAnsi="Arial" w:cs="Arial"/>
          <w:noProof/>
          <w:sz w:val="22"/>
          <w:szCs w:val="22"/>
        </w:rPr>
      </w:pPr>
      <w:r w:rsidRPr="00503070">
        <w:rPr>
          <w:rFonts w:ascii="Arial" w:hAnsi="Arial" w:cs="Arial"/>
          <w:sz w:val="22"/>
          <w:szCs w:val="22"/>
        </w:rPr>
        <w:lastRenderedPageBreak/>
        <w:t xml:space="preserve">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est une forme traditionnelle de tissage pratiquée par les femmes bédouines dans les communautés rurales pour produire du mobilier souple et des accessoires décoratifs pour les chameaux et les chevaux. Cette pratique implique la participation égale des hommes et des femmes au cours de son processus de production. Les hommes tondent les moutons, les chameaux et les chèvres, et les femmes nettoient et préparent la laine. Ils filent ensuite le fil sur un fuseau, le teignent et le tissent sur un métier à tisser au sol en utilisant un tissage uni à effet chaîne. Les couleurs traditionnelles sont le noir, le blanc, le marron, le beige et le rouge, avec des motifs distinctifs sous forme de bandes étroites de dessins géométriques. </w:t>
      </w:r>
    </w:p>
    <w:p w14:paraId="1F1EDCE9" w14:textId="77777777" w:rsidR="0091689E" w:rsidRPr="00503070" w:rsidRDefault="0091689E" w:rsidP="001E17AF">
      <w:pPr>
        <w:pStyle w:val="ListParagraph"/>
        <w:numPr>
          <w:ilvl w:val="0"/>
          <w:numId w:val="113"/>
        </w:numPr>
        <w:spacing w:after="120"/>
        <w:ind w:left="567" w:hanging="567"/>
        <w:contextualSpacing w:val="0"/>
        <w:jc w:val="both"/>
        <w:rPr>
          <w:rFonts w:ascii="Arial" w:hAnsi="Arial" w:cs="Arial"/>
          <w:bCs/>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7E0D8F23"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R.1 :</w:t>
      </w:r>
      <w:r w:rsidRPr="00503070">
        <w:rPr>
          <w:rFonts w:ascii="Arial" w:hAnsi="Arial" w:cs="Arial"/>
          <w:sz w:val="22"/>
          <w:szCs w:val="22"/>
        </w:rPr>
        <w:tab/>
        <w:t>L’élément a été inscrit pour la première fois sur la Liste du patrimoine culturel immatériel nécessitant une sauvegarde urgente en 2011, le développement économique rapide et les transformations sociales provoquées par l’avènement du pétrole ayant entraîné un net recul de la pratique d’Al </w:t>
      </w:r>
      <w:proofErr w:type="spellStart"/>
      <w:r w:rsidRPr="00503070">
        <w:rPr>
          <w:rFonts w:ascii="Arial" w:hAnsi="Arial" w:cs="Arial"/>
          <w:sz w:val="22"/>
          <w:szCs w:val="22"/>
        </w:rPr>
        <w:t>Sadu</w:t>
      </w:r>
      <w:proofErr w:type="spellEnd"/>
      <w:r w:rsidRPr="00503070">
        <w:rPr>
          <w:rFonts w:ascii="Arial" w:hAnsi="Arial" w:cs="Arial"/>
          <w:sz w:val="22"/>
          <w:szCs w:val="22"/>
        </w:rPr>
        <w:t>. De nos jours, grâce aux efforts de sauvegarde, les tisserands se réunissent fréquemment en petits groupes pour filer et tisser, échanger des nouvelles de leur famille et, à l’occasion, chanter et réciter des poèmes. Ces rassemblements sont le moyen traditionnel de transmission des connaissances et du savoir-faire associés à l’élément : les filles apprennent en observant et se voient progressivement confier des tâches, comme le tri de la laine, avant d’acquérir les compétences plus complexes. Cet élément favorise l’unité entre les artisans tout en encourageant les échanges intergénérationnels et le dialogue au sein de la communauté.</w:t>
      </w:r>
    </w:p>
    <w:p w14:paraId="69393044"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Avec sa viabilité améliorée, l’élément contribue à sensibiliser à l’importance du patrimoine culturel immatériel et lui assure une certaine visibilité au sein de la communauté et au-delà. En outre, l’élément contribue à divers aspects du développement durable, notamment l’égalité des genres, le développement économique inclusif et la durabilité environnementale. Hommes et femmes travaillent ensemble au processus de production de cet artisanat, qui n’utilise que des matières premières naturelles. Les connaissances traditionnelles liées à l’utilisation des fibres animales et des teintures extraites des plantes sont cultivées et transmises de génération en génération dans le cadre de cette activité. En plus d’être reconnu comme un symbole de l’identité, le tissu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possède une valeur commerciale et crée des opportunités d’emploi pour de nombreuses personnes, leur assurant ainsi une certaine stabilité économique. Pour les femmes, la possibilité de s’exprimer dans les espaces publics à travers cet art est un atout.</w:t>
      </w:r>
    </w:p>
    <w:p w14:paraId="51FD98F6"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t>Plusieurs mesures de sauvegarde ont été mises en œuvre avec la participation directe des communautés, des groupes et d’individus. Elles couvrent un large éventail de domaines, notamment la formation de nouvelles femmes artisans, ainsi que l’amélioration de la visibilité et de la sensibilisation quant à l’importance de ce patrimoine culturel. Pour l’avenir, des mesures sont proposées pour augmenter le nombre d’artisans, promouvoir l’artisanat traditionnel ainsi que créer des canaux de formation et d’amélioration des compétences des producteurs. Le développement de nouveaux produits et leur intégration dans les circuits commerciaux numériques et internationaux, en vue d’augmenter les revenus des artisans, ont également été proposés.</w:t>
      </w:r>
    </w:p>
    <w:p w14:paraId="08E203AA"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R.4 :</w:t>
      </w:r>
      <w:r w:rsidRPr="00503070">
        <w:rPr>
          <w:rFonts w:ascii="Arial" w:hAnsi="Arial" w:cs="Arial"/>
          <w:sz w:val="22"/>
          <w:szCs w:val="22"/>
        </w:rPr>
        <w:tab/>
        <w:t xml:space="preserve">Au cours des quatorze dernières années, un solide programme de sauvegarde a été mis en œuvre avec la pleine participation des tisserands Al </w:t>
      </w:r>
      <w:proofErr w:type="spellStart"/>
      <w:r w:rsidRPr="00503070">
        <w:rPr>
          <w:rFonts w:ascii="Arial" w:hAnsi="Arial" w:cs="Arial"/>
          <w:sz w:val="22"/>
          <w:szCs w:val="22"/>
        </w:rPr>
        <w:t>Sadu</w:t>
      </w:r>
      <w:proofErr w:type="spellEnd"/>
      <w:r w:rsidRPr="00503070">
        <w:rPr>
          <w:rFonts w:ascii="Arial" w:hAnsi="Arial" w:cs="Arial"/>
          <w:sz w:val="22"/>
          <w:szCs w:val="22"/>
        </w:rPr>
        <w:t>, de leurs associations et d’autres parties prenantes concernées. La demande de transfert de l’élément de la Liste du patrimoine culturel immatériel nécessitant une sauvegarde urgente à la Liste représentative du patrimoine culturel immatériel de l’humanité a été faite avec leur consentement libre, préalable et éclairé, comme en témoigne la documentation écrite et audiovisuelle jointe au dossier.</w:t>
      </w:r>
    </w:p>
    <w:p w14:paraId="61B3529E"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R.5 :</w:t>
      </w:r>
      <w:r w:rsidRPr="00503070">
        <w:rPr>
          <w:rFonts w:ascii="Arial" w:hAnsi="Arial" w:cs="Arial"/>
          <w:sz w:val="22"/>
          <w:szCs w:val="22"/>
        </w:rPr>
        <w:tab/>
        <w:t xml:space="preserve">Le tissage traditionnel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a été inclus dans l’inventaire du patrimoine culturel immatériel de l’֤Émirat d’Abu Dhabi approuvé en 2009 sous trois appellations. Cet </w:t>
      </w:r>
      <w:r w:rsidRPr="00503070">
        <w:rPr>
          <w:rFonts w:ascii="Arial" w:hAnsi="Arial" w:cs="Arial"/>
          <w:sz w:val="22"/>
          <w:szCs w:val="22"/>
        </w:rPr>
        <w:lastRenderedPageBreak/>
        <w:t>inventaire est établi par le Département du patrimoine culturel immatériel de l’Autorité d’Abu Dhabi pour la culture et le patrimoine (ADACH) et mis à jour tous les cinq ans. Les personnes qui participent à sa mise à jour régulière sont des représentants de plusieurs institutions, ainsi que des praticiens.</w:t>
      </w:r>
    </w:p>
    <w:p w14:paraId="37756AA4" w14:textId="77777777" w:rsidR="0091689E" w:rsidRPr="00503070" w:rsidRDefault="0091689E" w:rsidP="001E17AF">
      <w:pPr>
        <w:pStyle w:val="ListParagraph"/>
        <w:numPr>
          <w:ilvl w:val="0"/>
          <w:numId w:val="113"/>
        </w:numPr>
        <w:spacing w:after="120"/>
        <w:ind w:left="567" w:hanging="567"/>
        <w:contextualSpacing w:val="0"/>
        <w:jc w:val="both"/>
        <w:rPr>
          <w:rFonts w:ascii="Arial" w:hAnsi="Arial" w:cs="Arial"/>
          <w:bCs/>
          <w:sz w:val="22"/>
          <w:szCs w:val="22"/>
        </w:rPr>
      </w:pPr>
      <w:r w:rsidRPr="00503070">
        <w:rPr>
          <w:rFonts w:ascii="Arial" w:hAnsi="Arial" w:cs="Arial"/>
          <w:sz w:val="22"/>
          <w:szCs w:val="22"/>
          <w:u w:val="single"/>
        </w:rPr>
        <w:t>Décide de transférer</w:t>
      </w:r>
      <w:r w:rsidRPr="00503070">
        <w:rPr>
          <w:rFonts w:ascii="Arial" w:hAnsi="Arial" w:cs="Arial"/>
          <w:sz w:val="22"/>
          <w:szCs w:val="22"/>
        </w:rPr>
        <w:t xml:space="preserve"> </w:t>
      </w:r>
      <w:r w:rsidRPr="00503070">
        <w:rPr>
          <w:rFonts w:ascii="Arial" w:hAnsi="Arial" w:cs="Arial"/>
          <w:b/>
          <w:sz w:val="22"/>
          <w:szCs w:val="22"/>
        </w:rPr>
        <w:t xml:space="preserve">Al </w:t>
      </w:r>
      <w:proofErr w:type="spellStart"/>
      <w:r w:rsidRPr="00503070">
        <w:rPr>
          <w:rFonts w:ascii="Arial" w:hAnsi="Arial" w:cs="Arial"/>
          <w:b/>
          <w:sz w:val="22"/>
          <w:szCs w:val="22"/>
        </w:rPr>
        <w:t>Sadu</w:t>
      </w:r>
      <w:proofErr w:type="spellEnd"/>
      <w:r w:rsidRPr="00503070">
        <w:rPr>
          <w:rFonts w:ascii="Arial" w:hAnsi="Arial" w:cs="Arial"/>
          <w:b/>
          <w:sz w:val="22"/>
          <w:szCs w:val="22"/>
        </w:rPr>
        <w:t>, tissage traditionnel dans les Émirats arabes unis</w:t>
      </w:r>
      <w:r w:rsidRPr="00503070">
        <w:rPr>
          <w:rFonts w:ascii="Arial" w:hAnsi="Arial" w:cs="Arial"/>
          <w:sz w:val="22"/>
          <w:szCs w:val="22"/>
        </w:rPr>
        <w:t xml:space="preserve"> de la Liste du patrimoine culturel immatériel nécessitant une sauvegarde urgente à la Liste représentative du patrimoine culturel immatériel de l’humanité ;</w:t>
      </w:r>
    </w:p>
    <w:p w14:paraId="2E88D6FE"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Prend note en outre</w:t>
      </w:r>
      <w:r w:rsidRPr="00503070">
        <w:rPr>
          <w:rFonts w:ascii="Arial" w:hAnsi="Arial" w:cs="Arial"/>
          <w:sz w:val="22"/>
          <w:szCs w:val="22"/>
        </w:rPr>
        <w:t xml:space="preserve"> de la demande simultanée des Émirats arabes unis d’inclure dans le Registre de bonnes pratiques de sauvegarde, l’expérience de sauvegarde présentée dans la demande de transfert :</w:t>
      </w:r>
    </w:p>
    <w:p w14:paraId="52AC97B4" w14:textId="77777777" w:rsidR="0091689E" w:rsidRPr="00503070" w:rsidRDefault="0091689E" w:rsidP="0091689E">
      <w:pPr>
        <w:tabs>
          <w:tab w:val="left" w:pos="1134"/>
          <w:tab w:val="left" w:pos="1701"/>
          <w:tab w:val="left" w:pos="2268"/>
        </w:tabs>
        <w:spacing w:before="120" w:after="120"/>
        <w:ind w:left="567"/>
        <w:jc w:val="both"/>
        <w:rPr>
          <w:rFonts w:ascii="Arial" w:hAnsi="Arial" w:cs="Arial"/>
          <w:bCs/>
          <w:sz w:val="22"/>
          <w:szCs w:val="22"/>
        </w:rPr>
      </w:pPr>
      <w:r w:rsidRPr="00503070">
        <w:rPr>
          <w:rFonts w:ascii="Arial" w:hAnsi="Arial" w:cs="Arial"/>
          <w:bCs/>
          <w:sz w:val="22"/>
          <w:szCs w:val="22"/>
        </w:rPr>
        <w:t xml:space="preserve">Depuis l’avènement de la richesse pétrolière, la dispersion des communautés bédouines vers les villes, l’abandon progressif des activités pastorales et les changements sociaux associés à ces processus ont créé des conditions menaçant l’art du tissage Al </w:t>
      </w:r>
      <w:proofErr w:type="spellStart"/>
      <w:r w:rsidRPr="00503070">
        <w:rPr>
          <w:rFonts w:ascii="Arial" w:hAnsi="Arial" w:cs="Arial"/>
          <w:bCs/>
          <w:sz w:val="22"/>
          <w:szCs w:val="22"/>
        </w:rPr>
        <w:t>Sadu</w:t>
      </w:r>
      <w:proofErr w:type="spellEnd"/>
      <w:r w:rsidRPr="00503070">
        <w:rPr>
          <w:rFonts w:ascii="Arial" w:hAnsi="Arial" w:cs="Arial"/>
          <w:bCs/>
          <w:sz w:val="22"/>
          <w:szCs w:val="22"/>
        </w:rPr>
        <w:t>. Le temps nécessaire à la production artisanale, la nécessité de disposer de connaissances traditionnelles sur la nature, la faible rémunération de l’artisanat par rapport à d’autres emplois dans l'économie moderne, ainsi que la préférence croissante pour les tissus industriels, ont contribué à un déclin de l’intérêt des jeunes générations pour l’apprentissage de cette technique de tissage. Entre 2011 et 2023, un programme de sauvegarde a été mis en place pour faire face au risque de disparition de cet élément culturel, dont le savoir-faire est préservé par un nombre décroissant de femmes âgées. Grâce aux efforts et aux ressources combinés de multiples acteurs sociaux, des activités de recherche, de documentation, de transfert de connaissances, de diffusion, de soutien à la commercialisation et de sensibilisation à la valeur et à l’importance de cet élément ont été mises en œuvre de manière concertée et participative. En conséquence, le programme a non seulement réussi à assurer la continuité et la transmission de l’élément, mais aussi à créer des emplois et des opportunités de revenus pour un grand nombre de personnes.</w:t>
      </w:r>
    </w:p>
    <w:p w14:paraId="4244AE88"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la demande et dans le rapport périodique sur l’état de l'élément sur la Liste du patrimoine culturel immatériel nécessitant une sauvegarde urgente, le programme répond comme suit aux critères de sélection, en tant que bonne pratique de sauvegarde, tels qu’énoncés au paragraphe 7 des Directives opérationnelles :</w:t>
      </w:r>
    </w:p>
    <w:p w14:paraId="5FE85E96"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G.1 :</w:t>
      </w:r>
      <w:r w:rsidRPr="00503070">
        <w:rPr>
          <w:rFonts w:ascii="Arial" w:hAnsi="Arial" w:cs="Arial"/>
          <w:sz w:val="22"/>
          <w:szCs w:val="22"/>
        </w:rPr>
        <w:tab/>
        <w:t>Composé d’un ensemble de plans prévoyant différentes lignes d’action, le programme de sauvegarde pour Al </w:t>
      </w:r>
      <w:proofErr w:type="spellStart"/>
      <w:r w:rsidRPr="00503070">
        <w:rPr>
          <w:rFonts w:ascii="Arial" w:hAnsi="Arial" w:cs="Arial"/>
          <w:sz w:val="22"/>
          <w:szCs w:val="22"/>
        </w:rPr>
        <w:t>Sadu</w:t>
      </w:r>
      <w:proofErr w:type="spellEnd"/>
      <w:r w:rsidRPr="00503070">
        <w:rPr>
          <w:rFonts w:ascii="Arial" w:hAnsi="Arial" w:cs="Arial"/>
          <w:sz w:val="22"/>
          <w:szCs w:val="22"/>
        </w:rPr>
        <w:t xml:space="preserve"> est conforme aux principes et aux objectifs de la Convention. Dans le domaine de la recherche et de la documentation, il convient de souligner la production de publications, de vidéos et de matériel pour les programmes scolaires, qui contribuent également à sensibiliser à la valeur de cet élément. La présence des tissus dans les festivals, les expositions et les circuits internationaux, entre autres, a renforcé leur visibilité. En ce qui concerne la transmission des connaissances pour la continuité de la pratique du tissage, la multiplication des centres de formation a été un atout majeur du programme de sauvegarde.</w:t>
      </w:r>
    </w:p>
    <w:p w14:paraId="70818FC2"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G.2 :</w:t>
      </w:r>
      <w:r w:rsidRPr="00503070">
        <w:rPr>
          <w:rFonts w:ascii="Arial" w:hAnsi="Arial" w:cs="Arial"/>
          <w:sz w:val="22"/>
          <w:szCs w:val="22"/>
        </w:rPr>
        <w:tab/>
        <w:t>Le dossier présente différents résultats qui mettent en évidence l’efficacité du programme de sauvegarde. L’un de ses principaux effets est l’augmentation du nombre de praticiens du tissage, qui est passé d’une activité limitée aux femmes âgées à une participation généralisée de personnes représentant différents groupes d’âge. La revitalisation et la diffusion réussies de cette pratique culturelle ont renforcé la viabilité de l’élément.</w:t>
      </w:r>
    </w:p>
    <w:p w14:paraId="3574FB91"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G.3 :</w:t>
      </w:r>
      <w:r w:rsidRPr="00503070">
        <w:rPr>
          <w:rFonts w:ascii="Arial" w:hAnsi="Arial" w:cs="Arial"/>
          <w:sz w:val="22"/>
          <w:szCs w:val="22"/>
        </w:rPr>
        <w:tab/>
        <w:t xml:space="preserve">Il y a un nombre et une diversité remarquables d’acteurs impliqués dans ce programme : artisans, familles, associations, clubs, commerçants, écoles, universités, organisations non gouvernementales et institutions publiques. Avec le soutien de l’État partie soumissionnaire, tous se sont engagés et ont coopéré aux efforts de sauvegarde du tissage Al </w:t>
      </w:r>
      <w:proofErr w:type="spellStart"/>
      <w:r w:rsidRPr="00503070">
        <w:rPr>
          <w:rFonts w:ascii="Arial" w:hAnsi="Arial" w:cs="Arial"/>
          <w:sz w:val="22"/>
          <w:szCs w:val="22"/>
        </w:rPr>
        <w:t>Sadu</w:t>
      </w:r>
      <w:proofErr w:type="spellEnd"/>
      <w:r w:rsidRPr="00503070">
        <w:rPr>
          <w:rFonts w:ascii="Arial" w:hAnsi="Arial" w:cs="Arial"/>
          <w:sz w:val="22"/>
          <w:szCs w:val="22"/>
        </w:rPr>
        <w:t>.</w:t>
      </w:r>
    </w:p>
    <w:p w14:paraId="63E3A757"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G.4 :</w:t>
      </w:r>
      <w:r w:rsidRPr="00503070">
        <w:rPr>
          <w:rFonts w:ascii="Arial" w:hAnsi="Arial" w:cs="Arial"/>
          <w:sz w:val="22"/>
          <w:szCs w:val="22"/>
        </w:rPr>
        <w:tab/>
        <w:t xml:space="preserve">Les quatorze années de coopération dans l’élaboration et la mise en œuvre des mesures de sauvegarde démontrent que l’État partie soumissionnaire et ses institutions sont </w:t>
      </w:r>
      <w:r w:rsidRPr="00503070">
        <w:rPr>
          <w:rFonts w:ascii="Arial" w:hAnsi="Arial" w:cs="Arial"/>
          <w:sz w:val="22"/>
          <w:szCs w:val="22"/>
        </w:rPr>
        <w:lastRenderedPageBreak/>
        <w:t xml:space="preserve">déterminés à poursuivre leurs efforts, mais aussi prêts à travailler en étroite collaboration avec les familles et les associations d’artisans pour assurer la continuité du tissage Al </w:t>
      </w:r>
      <w:proofErr w:type="spellStart"/>
      <w:r w:rsidRPr="00503070">
        <w:rPr>
          <w:rFonts w:ascii="Arial" w:hAnsi="Arial" w:cs="Arial"/>
          <w:sz w:val="22"/>
          <w:szCs w:val="22"/>
        </w:rPr>
        <w:t>Sadu</w:t>
      </w:r>
      <w:proofErr w:type="spellEnd"/>
      <w:r w:rsidRPr="00503070">
        <w:rPr>
          <w:rFonts w:ascii="Arial" w:hAnsi="Arial" w:cs="Arial"/>
          <w:sz w:val="22"/>
          <w:szCs w:val="22"/>
        </w:rPr>
        <w:t>. Leur capacité d’intégration et leur travail continu peuvent servir de source d’inspiration pour la sauvegarde et la mise en valeur du patrimoine culturel immatériel au niveau régional ou international.</w:t>
      </w:r>
    </w:p>
    <w:p w14:paraId="2F97A141"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Décide de sélectionner</w:t>
      </w:r>
      <w:r w:rsidRPr="00503070">
        <w:rPr>
          <w:rFonts w:ascii="Arial" w:hAnsi="Arial" w:cs="Arial"/>
          <w:sz w:val="22"/>
          <w:szCs w:val="22"/>
        </w:rPr>
        <w:t xml:space="preserve"> </w:t>
      </w:r>
      <w:r w:rsidRPr="00503070">
        <w:rPr>
          <w:rFonts w:ascii="Arial" w:hAnsi="Arial" w:cs="Arial"/>
          <w:b/>
          <w:sz w:val="22"/>
          <w:szCs w:val="22"/>
        </w:rPr>
        <w:t xml:space="preserve">le programme de sauvegarde pour Al </w:t>
      </w:r>
      <w:proofErr w:type="spellStart"/>
      <w:r w:rsidRPr="00503070">
        <w:rPr>
          <w:rFonts w:ascii="Arial" w:hAnsi="Arial" w:cs="Arial"/>
          <w:b/>
          <w:sz w:val="22"/>
          <w:szCs w:val="22"/>
        </w:rPr>
        <w:t>Sadu</w:t>
      </w:r>
      <w:proofErr w:type="spellEnd"/>
      <w:r w:rsidRPr="00503070">
        <w:rPr>
          <w:rFonts w:ascii="Arial" w:hAnsi="Arial" w:cs="Arial"/>
          <w:b/>
          <w:sz w:val="22"/>
          <w:szCs w:val="22"/>
        </w:rPr>
        <w:t>, tissage traditionnel dans les Émirats arabes unis</w:t>
      </w:r>
      <w:r w:rsidRPr="00503070">
        <w:rPr>
          <w:rFonts w:ascii="Arial" w:hAnsi="Arial" w:cs="Arial"/>
          <w:sz w:val="22"/>
          <w:szCs w:val="22"/>
        </w:rPr>
        <w:t xml:space="preserve"> en tant que programme, projet ou activité reflétant le mieux les principes et objectifs de la Convention ;</w:t>
      </w:r>
    </w:p>
    <w:p w14:paraId="6711FCA0"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Félicite</w:t>
      </w:r>
      <w:r w:rsidRPr="00503070">
        <w:rPr>
          <w:rFonts w:ascii="Arial" w:hAnsi="Arial" w:cs="Arial"/>
          <w:bCs/>
          <w:sz w:val="22"/>
          <w:szCs w:val="22"/>
        </w:rPr>
        <w:t xml:space="preserve"> l'État partie pour son dossier bien préparé, qui peut servir de bon exemple pour sensibiliser les jeunes, susciter leur intérêt pour la pratique du patrimoine vivant et améliorer la transmission des traditions aux générations futures ;</w:t>
      </w:r>
    </w:p>
    <w:p w14:paraId="381560F0" w14:textId="77777777" w:rsidR="0091689E" w:rsidRPr="00503070" w:rsidRDefault="0091689E" w:rsidP="001E17AF">
      <w:pPr>
        <w:numPr>
          <w:ilvl w:val="0"/>
          <w:numId w:val="113"/>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bCs/>
          <w:sz w:val="22"/>
          <w:szCs w:val="22"/>
          <w:u w:val="single"/>
        </w:rPr>
        <w:t>Encourage</w:t>
      </w:r>
      <w:r w:rsidRPr="00503070">
        <w:rPr>
          <w:rFonts w:ascii="Arial" w:hAnsi="Arial" w:cs="Arial"/>
          <w:bCs/>
          <w:sz w:val="22"/>
          <w:szCs w:val="22"/>
        </w:rPr>
        <w:t xml:space="preserve"> l’État partie et les communautés concernées à partager les expériences associées acquises en matière de sauvegarde, y compris par le biais de la plateforme en ligne qui sera mise en place dans le cadre d’une mise en œuvre plus large de l’article 18 de la Convention.</w:t>
      </w:r>
    </w:p>
    <w:p w14:paraId="2734B6B9" w14:textId="77777777" w:rsidR="0091689E" w:rsidRPr="00503070" w:rsidRDefault="0091689E" w:rsidP="0091689E">
      <w:pPr>
        <w:pStyle w:val="Heading1"/>
        <w:rPr>
          <w:bCs/>
        </w:rPr>
      </w:pPr>
      <w:r w:rsidRPr="00503070">
        <w:t>DÉCISION 20.COM 7.c.2</w:t>
      </w:r>
    </w:p>
    <w:p w14:paraId="2C52A163"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7906260F" w14:textId="77777777" w:rsidR="0091689E" w:rsidRPr="00503070" w:rsidRDefault="0091689E" w:rsidP="001E17AF">
      <w:pPr>
        <w:numPr>
          <w:ilvl w:val="0"/>
          <w:numId w:val="11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w:t>
      </w:r>
      <w:r w:rsidRPr="00503070">
        <w:rPr>
          <w:rFonts w:ascii="Arial" w:hAnsi="Arial" w:cs="Arial"/>
          <w:sz w:val="22"/>
          <w:szCs w:val="22"/>
        </w:rPr>
        <w:t xml:space="preserve"> l’inscription initiale du « </w:t>
      </w:r>
      <w:proofErr w:type="spellStart"/>
      <w:r w:rsidRPr="00503070">
        <w:rPr>
          <w:rFonts w:ascii="Arial" w:hAnsi="Arial" w:cs="Arial"/>
          <w:sz w:val="22"/>
          <w:szCs w:val="22"/>
        </w:rPr>
        <w:t>Yimakan</w:t>
      </w:r>
      <w:proofErr w:type="spellEnd"/>
      <w:r w:rsidRPr="00503070">
        <w:rPr>
          <w:rFonts w:ascii="Arial" w:hAnsi="Arial" w:cs="Arial"/>
          <w:sz w:val="22"/>
          <w:szCs w:val="22"/>
        </w:rPr>
        <w:t xml:space="preserve">, les récits oraux des </w:t>
      </w:r>
      <w:proofErr w:type="spellStart"/>
      <w:r w:rsidRPr="00503070">
        <w:rPr>
          <w:rFonts w:ascii="Arial" w:hAnsi="Arial" w:cs="Arial"/>
          <w:sz w:val="22"/>
          <w:szCs w:val="22"/>
        </w:rPr>
        <w:t>Hezhen</w:t>
      </w:r>
      <w:proofErr w:type="spellEnd"/>
      <w:r w:rsidRPr="00503070">
        <w:rPr>
          <w:rFonts w:ascii="Arial" w:hAnsi="Arial" w:cs="Arial"/>
          <w:sz w:val="22"/>
          <w:szCs w:val="22"/>
        </w:rPr>
        <w:t xml:space="preserve"> » sur la Liste du patrimoine culturel immatériel nécessitant une sauvegarde urgente par la sixième session du Comité en 2011 (décision </w:t>
      </w:r>
      <w:hyperlink r:id="rId75" w:history="1">
        <w:r w:rsidRPr="00503070">
          <w:rPr>
            <w:rStyle w:val="Hyperlink"/>
            <w:rFonts w:ascii="Arial" w:hAnsi="Arial" w:cs="Arial"/>
            <w:sz w:val="22"/>
            <w:szCs w:val="22"/>
          </w:rPr>
          <w:t>6.COM 8.6</w:t>
        </w:r>
      </w:hyperlink>
      <w:r w:rsidRPr="00503070">
        <w:rPr>
          <w:rFonts w:ascii="Arial" w:hAnsi="Arial" w:cs="Arial"/>
          <w:sz w:val="22"/>
          <w:szCs w:val="22"/>
        </w:rPr>
        <w:t xml:space="preserve">), </w:t>
      </w:r>
    </w:p>
    <w:p w14:paraId="7BEEF825" w14:textId="77777777" w:rsidR="0091689E" w:rsidRPr="00503070" w:rsidRDefault="0091689E" w:rsidP="001E17AF">
      <w:pPr>
        <w:numPr>
          <w:ilvl w:val="0"/>
          <w:numId w:val="11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Rappelant en outre</w:t>
      </w:r>
      <w:r w:rsidRPr="00503070">
        <w:rPr>
          <w:rFonts w:ascii="Arial" w:hAnsi="Arial" w:cs="Arial"/>
          <w:sz w:val="22"/>
          <w:szCs w:val="22"/>
        </w:rPr>
        <w:t xml:space="preserve"> le dernier rapport périodique soumis par la Chine sur l’état de cet élément examiné par la dix-neuvième session du Comité en 2024 (décision </w:t>
      </w:r>
      <w:hyperlink r:id="rId76" w:history="1">
        <w:r w:rsidRPr="00503070">
          <w:rPr>
            <w:rStyle w:val="Hyperlink"/>
            <w:rFonts w:ascii="Arial" w:hAnsi="Arial" w:cs="Arial"/>
            <w:sz w:val="22"/>
            <w:szCs w:val="22"/>
          </w:rPr>
          <w:t>19.COM </w:t>
        </w:r>
        <w:proofErr w:type="gramStart"/>
        <w:r w:rsidRPr="00503070">
          <w:rPr>
            <w:rStyle w:val="Hyperlink"/>
            <w:rFonts w:ascii="Arial" w:hAnsi="Arial" w:cs="Arial"/>
            <w:sz w:val="22"/>
            <w:szCs w:val="22"/>
          </w:rPr>
          <w:t>6.a.</w:t>
        </w:r>
        <w:proofErr w:type="gramEnd"/>
        <w:r w:rsidRPr="00503070">
          <w:rPr>
            <w:rStyle w:val="Hyperlink"/>
            <w:rFonts w:ascii="Arial" w:hAnsi="Arial" w:cs="Arial"/>
            <w:sz w:val="22"/>
            <w:szCs w:val="22"/>
          </w:rPr>
          <w:t>9</w:t>
        </w:r>
      </w:hyperlink>
      <w:r w:rsidRPr="00503070">
        <w:rPr>
          <w:rFonts w:ascii="Arial" w:hAnsi="Arial" w:cs="Arial"/>
          <w:sz w:val="22"/>
          <w:szCs w:val="22"/>
        </w:rPr>
        <w:t xml:space="preserve">), </w:t>
      </w:r>
    </w:p>
    <w:p w14:paraId="19B29676" w14:textId="77777777" w:rsidR="0091689E" w:rsidRPr="00503070" w:rsidRDefault="0091689E" w:rsidP="001E17AF">
      <w:pPr>
        <w:numPr>
          <w:ilvl w:val="0"/>
          <w:numId w:val="110"/>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de la demande présentée par la Chine de transférer </w:t>
      </w:r>
      <w:r w:rsidRPr="00503070">
        <w:rPr>
          <w:rFonts w:ascii="Arial" w:hAnsi="Arial" w:cs="Arial"/>
          <w:b/>
          <w:sz w:val="22"/>
          <w:szCs w:val="22"/>
        </w:rPr>
        <w:t xml:space="preserve">le </w:t>
      </w:r>
      <w:proofErr w:type="spellStart"/>
      <w:r w:rsidRPr="00503070">
        <w:rPr>
          <w:rFonts w:ascii="Arial" w:hAnsi="Arial" w:cs="Arial"/>
          <w:b/>
          <w:sz w:val="22"/>
          <w:szCs w:val="22"/>
        </w:rPr>
        <w:t>Yimakan</w:t>
      </w:r>
      <w:proofErr w:type="spellEnd"/>
      <w:r w:rsidRPr="00503070">
        <w:rPr>
          <w:rFonts w:ascii="Arial" w:hAnsi="Arial" w:cs="Arial"/>
          <w:b/>
          <w:sz w:val="22"/>
          <w:szCs w:val="22"/>
        </w:rPr>
        <w:t xml:space="preserve">, les récits oraux des </w:t>
      </w:r>
      <w:proofErr w:type="spellStart"/>
      <w:r w:rsidRPr="00503070">
        <w:rPr>
          <w:rFonts w:ascii="Arial" w:hAnsi="Arial" w:cs="Arial"/>
          <w:b/>
          <w:sz w:val="22"/>
          <w:szCs w:val="22"/>
        </w:rPr>
        <w:t>Hezhen</w:t>
      </w:r>
      <w:proofErr w:type="spellEnd"/>
      <w:r w:rsidRPr="00503070">
        <w:rPr>
          <w:rFonts w:ascii="Arial" w:hAnsi="Arial" w:cs="Arial"/>
          <w:sz w:val="22"/>
          <w:szCs w:val="22"/>
        </w:rPr>
        <w:t xml:space="preserve"> (n° 02224) de la Liste du patrimoine culturel immatériel nécessitant une sauvegarde urgente à la Liste représentative du patrimoine culturel immatériel de l’humanité :</w:t>
      </w:r>
    </w:p>
    <w:p w14:paraId="7342D972" w14:textId="77777777" w:rsidR="0091689E" w:rsidRPr="00503070" w:rsidRDefault="0091689E" w:rsidP="0091689E">
      <w:pPr>
        <w:tabs>
          <w:tab w:val="left" w:pos="1134"/>
          <w:tab w:val="left" w:pos="1701"/>
          <w:tab w:val="left" w:pos="2268"/>
        </w:tabs>
        <w:spacing w:before="120" w:after="120"/>
        <w:ind w:left="567"/>
        <w:jc w:val="both"/>
        <w:rPr>
          <w:rFonts w:ascii="Arial" w:hAnsi="Arial" w:cs="Arial"/>
          <w:noProof/>
          <w:sz w:val="22"/>
          <w:szCs w:val="22"/>
        </w:rPr>
      </w:pPr>
      <w:r w:rsidRPr="00503070">
        <w:rPr>
          <w:rFonts w:ascii="Arial" w:hAnsi="Arial" w:cs="Arial"/>
          <w:sz w:val="22"/>
          <w:szCs w:val="22"/>
        </w:rPr>
        <w:t xml:space="preserve">Les récits oraux </w:t>
      </w:r>
      <w:proofErr w:type="spellStart"/>
      <w:r w:rsidRPr="00503070">
        <w:rPr>
          <w:rFonts w:ascii="Arial" w:hAnsi="Arial" w:cs="Arial"/>
          <w:sz w:val="22"/>
          <w:szCs w:val="22"/>
        </w:rPr>
        <w:t>Yimakan</w:t>
      </w:r>
      <w:proofErr w:type="spellEnd"/>
      <w:r w:rsidRPr="00503070">
        <w:rPr>
          <w:rFonts w:ascii="Arial" w:hAnsi="Arial" w:cs="Arial"/>
          <w:sz w:val="22"/>
          <w:szCs w:val="22"/>
        </w:rPr>
        <w:t xml:space="preserve"> sont un patrimoine oral qui transmet l’histoire ethnique, les actes héroïques, le mode de vie, les coutumes et la morale de ses praticiens. Les récits décrivent des alliances tribales et des batailles, y compris la défaite de monstres et d’envahisseurs par des héros locaux. Les artistes improvisent des histoires, alternant entre la parole et le chant (sans accompagnement instrumental) et utilisant des mélodies variées pour représenter différents personnages et intrigues. Ils se forment généralement dans le cadre d’une relation maître-apprenti au sein de leurs propres clans et familles, bien qu’aujourd’hui les personnes extérieures soient de plus en plus souvent acceptées comme apprentis. </w:t>
      </w:r>
    </w:p>
    <w:p w14:paraId="669CED89" w14:textId="77777777" w:rsidR="0091689E" w:rsidRPr="00503070" w:rsidRDefault="0091689E" w:rsidP="001E17AF">
      <w:pPr>
        <w:pStyle w:val="ListParagraph"/>
        <w:numPr>
          <w:ilvl w:val="0"/>
          <w:numId w:val="110"/>
        </w:numPr>
        <w:spacing w:after="120"/>
        <w:ind w:left="567" w:hanging="567"/>
        <w:contextualSpacing w:val="0"/>
        <w:jc w:val="both"/>
        <w:rPr>
          <w:rFonts w:ascii="Arial" w:hAnsi="Arial" w:cs="Arial"/>
          <w:bCs/>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2D519C2E"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R.1 :</w:t>
      </w:r>
      <w:r w:rsidRPr="00503070">
        <w:rPr>
          <w:rFonts w:ascii="Arial" w:hAnsi="Arial" w:cs="Arial"/>
          <w:sz w:val="22"/>
          <w:szCs w:val="22"/>
        </w:rPr>
        <w:tab/>
        <w:t xml:space="preserve">L’élément a été inscrit pour la première fois sur la Liste du patrimoine culturel immatériel nécessitant une sauvegarde urgente en 2011, la langue maternelle </w:t>
      </w:r>
      <w:proofErr w:type="spellStart"/>
      <w:r w:rsidRPr="00503070">
        <w:rPr>
          <w:rFonts w:ascii="Arial" w:hAnsi="Arial" w:cs="Arial"/>
          <w:sz w:val="22"/>
          <w:szCs w:val="22"/>
        </w:rPr>
        <w:t>Hezhen</w:t>
      </w:r>
      <w:proofErr w:type="spellEnd"/>
      <w:r w:rsidRPr="00503070">
        <w:rPr>
          <w:rFonts w:ascii="Arial" w:hAnsi="Arial" w:cs="Arial"/>
          <w:sz w:val="22"/>
          <w:szCs w:val="22"/>
        </w:rPr>
        <w:t xml:space="preserve"> étant menacée du fait de l’accélération de la modernisation et la standardisation de l’éducation scolaire, et seuls les anciens étant capables de parler leur langue maternelle. Aujourd’hui, grâce à une meilleure connaissance de l’élément et de ses significations culturelles, un nombre grandissant de femmes s’adonnent à cette pratique, contribuant ainsi grandement à sa transmission. Les connaissances associées, y compris la langue locale, en tant que vecteur de l’élément, ont également été intégrées dans l’éducation formelle, ce qui a stimulé l’intérêt des jeunes. Les communautés praticiennes n’ayant pas de système d’écriture, le </w:t>
      </w:r>
      <w:proofErr w:type="spellStart"/>
      <w:r w:rsidRPr="00503070">
        <w:rPr>
          <w:rFonts w:ascii="Arial" w:hAnsi="Arial" w:cs="Arial"/>
          <w:sz w:val="22"/>
          <w:szCs w:val="22"/>
        </w:rPr>
        <w:t>Yimakan</w:t>
      </w:r>
      <w:proofErr w:type="spellEnd"/>
      <w:r w:rsidRPr="00503070">
        <w:rPr>
          <w:rFonts w:ascii="Arial" w:hAnsi="Arial" w:cs="Arial"/>
          <w:sz w:val="22"/>
          <w:szCs w:val="22"/>
        </w:rPr>
        <w:t xml:space="preserve"> joue un rôle essentiel dans la préservation de leur langue maternelle, de leur religion, de leurs croyances, de leur folklore et de leurs coutumes. Outre l’éducation et le divertissement, les récits oraux </w:t>
      </w:r>
      <w:proofErr w:type="spellStart"/>
      <w:r w:rsidRPr="00503070">
        <w:rPr>
          <w:rFonts w:ascii="Arial" w:hAnsi="Arial" w:cs="Arial"/>
          <w:sz w:val="22"/>
          <w:szCs w:val="22"/>
        </w:rPr>
        <w:t>Yimakan</w:t>
      </w:r>
      <w:proofErr w:type="spellEnd"/>
      <w:r w:rsidRPr="00503070">
        <w:rPr>
          <w:rFonts w:ascii="Arial" w:hAnsi="Arial" w:cs="Arial"/>
          <w:sz w:val="22"/>
          <w:szCs w:val="22"/>
        </w:rPr>
        <w:t xml:space="preserve"> favorisent l’identité culturelle et le sentiment de continuité au sein des communautés. Il permet de préserver la mémoire collective et de promouvoir le dialogue et le respect mutuel. Il </w:t>
      </w:r>
      <w:r w:rsidRPr="00503070">
        <w:rPr>
          <w:rFonts w:ascii="Arial" w:hAnsi="Arial" w:cs="Arial"/>
          <w:sz w:val="22"/>
          <w:szCs w:val="22"/>
        </w:rPr>
        <w:lastRenderedPageBreak/>
        <w:t>transmet en outre les valeurs de justice, de bravoure et de gentillesse, tout en promouvant la liberté, la cohésion sociale et l’harmonie entre les hommes et la nature.</w:t>
      </w:r>
    </w:p>
    <w:p w14:paraId="2EE14A68"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R.2 :</w:t>
      </w:r>
      <w:r w:rsidRPr="00503070">
        <w:rPr>
          <w:rFonts w:ascii="Arial" w:hAnsi="Arial" w:cs="Arial"/>
          <w:sz w:val="22"/>
          <w:szCs w:val="22"/>
        </w:rPr>
        <w:tab/>
        <w:t xml:space="preserve">L’inscription de cet élément contribuerait à sensibiliser à l’importance et à la diversité du patrimoine culturel immatériel dans la communauté </w:t>
      </w:r>
      <w:proofErr w:type="spellStart"/>
      <w:r w:rsidRPr="00503070">
        <w:rPr>
          <w:rFonts w:ascii="Arial" w:hAnsi="Arial" w:cs="Arial"/>
          <w:sz w:val="22"/>
          <w:szCs w:val="22"/>
        </w:rPr>
        <w:t>Hezhen</w:t>
      </w:r>
      <w:proofErr w:type="spellEnd"/>
      <w:r w:rsidRPr="00503070">
        <w:rPr>
          <w:rFonts w:ascii="Arial" w:hAnsi="Arial" w:cs="Arial"/>
          <w:sz w:val="22"/>
          <w:szCs w:val="22"/>
        </w:rPr>
        <w:t xml:space="preserve">. En outre, fortement lié aux valeurs morales de la communauté, cet élément contribue à promouvoir une éducation de qualité, l’égalité des genres, la paix et la cohésion sociale. Le fait que les connaissances associées, y compris la langue des </w:t>
      </w:r>
      <w:proofErr w:type="spellStart"/>
      <w:r w:rsidRPr="00503070">
        <w:rPr>
          <w:rFonts w:ascii="Arial" w:hAnsi="Arial" w:cs="Arial"/>
          <w:sz w:val="22"/>
          <w:szCs w:val="22"/>
        </w:rPr>
        <w:t>Hezhen</w:t>
      </w:r>
      <w:proofErr w:type="spellEnd"/>
      <w:r w:rsidRPr="00503070">
        <w:rPr>
          <w:rFonts w:ascii="Arial" w:hAnsi="Arial" w:cs="Arial"/>
          <w:sz w:val="22"/>
          <w:szCs w:val="22"/>
        </w:rPr>
        <w:t xml:space="preserve"> dans lequel elles sont transmises, soient intégrées dans l’éducation formelle favorise la compréhension de l’élément par les jeunes et leur participation à sa sauvegarde. De même, le rôle croissant des femmes rend cet élément culturel plus inclusif.</w:t>
      </w:r>
    </w:p>
    <w:p w14:paraId="13F04C61"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R.3 :</w:t>
      </w:r>
      <w:r w:rsidRPr="00503070">
        <w:rPr>
          <w:rFonts w:ascii="Arial" w:hAnsi="Arial" w:cs="Arial"/>
          <w:sz w:val="22"/>
          <w:szCs w:val="22"/>
        </w:rPr>
        <w:tab/>
        <w:t xml:space="preserve">De nombreuses mesures de sauvegarde dans les domaines de la recherche, de la documentation, de la transmission des connaissances, de la préservation et de la promotion de la visibilité de l’élément ont été mises en œuvre avec succès par l’État partie et les détenteurs. Parmi les éléments clés des mesures de sauvegarde adoptées, figurent l’intégration de l’élément dans l’éducation formelle et le renforcement du patrimoine linguistique </w:t>
      </w:r>
      <w:proofErr w:type="spellStart"/>
      <w:r w:rsidRPr="00503070">
        <w:rPr>
          <w:rFonts w:ascii="Arial" w:hAnsi="Arial" w:cs="Arial"/>
          <w:sz w:val="22"/>
          <w:szCs w:val="22"/>
        </w:rPr>
        <w:t>Hezhen</w:t>
      </w:r>
      <w:proofErr w:type="spellEnd"/>
      <w:r w:rsidRPr="00503070">
        <w:rPr>
          <w:rFonts w:ascii="Arial" w:hAnsi="Arial" w:cs="Arial"/>
          <w:sz w:val="22"/>
          <w:szCs w:val="22"/>
        </w:rPr>
        <w:t>.</w:t>
      </w:r>
    </w:p>
    <w:p w14:paraId="04AEDB7E"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R.4 :</w:t>
      </w:r>
      <w:r w:rsidRPr="00503070">
        <w:rPr>
          <w:rFonts w:ascii="Arial" w:hAnsi="Arial" w:cs="Arial"/>
          <w:sz w:val="22"/>
          <w:szCs w:val="22"/>
        </w:rPr>
        <w:tab/>
        <w:t xml:space="preserve">Les communautés </w:t>
      </w:r>
      <w:proofErr w:type="spellStart"/>
      <w:r w:rsidRPr="00503070">
        <w:rPr>
          <w:rFonts w:ascii="Arial" w:hAnsi="Arial" w:cs="Arial"/>
          <w:sz w:val="22"/>
          <w:szCs w:val="22"/>
        </w:rPr>
        <w:t>Hezhen</w:t>
      </w:r>
      <w:proofErr w:type="spellEnd"/>
      <w:r w:rsidRPr="00503070">
        <w:rPr>
          <w:rFonts w:ascii="Arial" w:hAnsi="Arial" w:cs="Arial"/>
          <w:sz w:val="22"/>
          <w:szCs w:val="22"/>
        </w:rPr>
        <w:t>, y compris les représentants des détenteurs et des praticiens locaux, ont exprimé leur consentement libre, préalable et éclairé à la demande de transfert. La participation active de ces communautés aux efforts de sauvegarde et le désir exprimé de transfert soulignent leur engagement continu en faveur de la pratique et de sa reconnaissance.</w:t>
      </w:r>
    </w:p>
    <w:p w14:paraId="4327115E" w14:textId="77777777" w:rsidR="0091689E" w:rsidRPr="00503070" w:rsidRDefault="0091689E" w:rsidP="0091689E">
      <w:pPr>
        <w:pStyle w:val="ListParagraph"/>
        <w:spacing w:after="120"/>
        <w:ind w:left="1134" w:hanging="567"/>
        <w:jc w:val="both"/>
        <w:rPr>
          <w:rFonts w:ascii="Arial" w:hAnsi="Arial" w:cs="Arial"/>
          <w:bCs/>
          <w:sz w:val="22"/>
          <w:szCs w:val="22"/>
        </w:rPr>
      </w:pPr>
      <w:r w:rsidRPr="00503070">
        <w:rPr>
          <w:rFonts w:ascii="Arial" w:hAnsi="Arial" w:cs="Arial"/>
          <w:sz w:val="22"/>
          <w:szCs w:val="22"/>
        </w:rPr>
        <w:t>R.5 :</w:t>
      </w:r>
      <w:r w:rsidRPr="00503070">
        <w:rPr>
          <w:rFonts w:ascii="Arial" w:hAnsi="Arial" w:cs="Arial"/>
          <w:sz w:val="22"/>
          <w:szCs w:val="22"/>
        </w:rPr>
        <w:tab/>
        <w:t xml:space="preserve">L’élément a été ajouté à la liste du patrimoine culturel immatériel de la province du Heilongjiang et à la première liste du patrimoine culturel immatériel national en 2006. Ces listes sont gérées respectivement par la province du Heilongjiang et par le Département du patrimoine culturel immatériel du </w:t>
      </w:r>
      <w:proofErr w:type="gramStart"/>
      <w:r w:rsidRPr="00503070">
        <w:rPr>
          <w:rFonts w:ascii="Arial" w:hAnsi="Arial" w:cs="Arial"/>
          <w:sz w:val="22"/>
          <w:szCs w:val="22"/>
        </w:rPr>
        <w:t>Ministère de la culture</w:t>
      </w:r>
      <w:proofErr w:type="gramEnd"/>
      <w:r w:rsidRPr="00503070">
        <w:rPr>
          <w:rFonts w:ascii="Arial" w:hAnsi="Arial" w:cs="Arial"/>
          <w:sz w:val="22"/>
          <w:szCs w:val="22"/>
        </w:rPr>
        <w:t xml:space="preserve"> de la République populaire de Chine, et sont régulièrement mises à jour avec la participation et l’implication éclairées des communautés, groupes et individus concernés.</w:t>
      </w:r>
    </w:p>
    <w:p w14:paraId="4CD21D83" w14:textId="77777777" w:rsidR="0091689E" w:rsidRPr="00503070" w:rsidRDefault="0091689E" w:rsidP="001E17AF">
      <w:pPr>
        <w:pStyle w:val="ListParagraph"/>
        <w:numPr>
          <w:ilvl w:val="0"/>
          <w:numId w:val="110"/>
        </w:numPr>
        <w:spacing w:after="120"/>
        <w:ind w:left="567" w:hanging="567"/>
        <w:contextualSpacing w:val="0"/>
        <w:jc w:val="both"/>
        <w:rPr>
          <w:rFonts w:ascii="Arial" w:hAnsi="Arial" w:cs="Arial"/>
          <w:bCs/>
          <w:sz w:val="22"/>
          <w:szCs w:val="22"/>
        </w:rPr>
      </w:pPr>
      <w:r w:rsidRPr="00503070">
        <w:rPr>
          <w:rFonts w:ascii="Arial" w:hAnsi="Arial" w:cs="Arial"/>
          <w:sz w:val="22"/>
          <w:szCs w:val="22"/>
          <w:u w:val="single"/>
        </w:rPr>
        <w:t>Décide de transférer</w:t>
      </w:r>
      <w:r w:rsidRPr="00503070">
        <w:rPr>
          <w:rFonts w:ascii="Arial" w:hAnsi="Arial" w:cs="Arial"/>
          <w:b/>
          <w:sz w:val="22"/>
          <w:szCs w:val="22"/>
        </w:rPr>
        <w:t xml:space="preserve"> le </w:t>
      </w:r>
      <w:proofErr w:type="spellStart"/>
      <w:r w:rsidRPr="00503070">
        <w:rPr>
          <w:rFonts w:ascii="Arial" w:hAnsi="Arial" w:cs="Arial"/>
          <w:b/>
          <w:sz w:val="22"/>
          <w:szCs w:val="22"/>
        </w:rPr>
        <w:t>Yimakan</w:t>
      </w:r>
      <w:proofErr w:type="spellEnd"/>
      <w:r w:rsidRPr="00503070">
        <w:rPr>
          <w:rFonts w:ascii="Arial" w:hAnsi="Arial" w:cs="Arial"/>
          <w:b/>
          <w:sz w:val="22"/>
          <w:szCs w:val="22"/>
        </w:rPr>
        <w:t xml:space="preserve">, les récits oraux des </w:t>
      </w:r>
      <w:proofErr w:type="spellStart"/>
      <w:r w:rsidRPr="00503070">
        <w:rPr>
          <w:rFonts w:ascii="Arial" w:hAnsi="Arial" w:cs="Arial"/>
          <w:b/>
          <w:sz w:val="22"/>
          <w:szCs w:val="22"/>
        </w:rPr>
        <w:t>Hezhen</w:t>
      </w:r>
      <w:proofErr w:type="spellEnd"/>
      <w:r w:rsidRPr="00503070">
        <w:rPr>
          <w:rFonts w:ascii="Arial" w:hAnsi="Arial" w:cs="Arial"/>
          <w:b/>
          <w:sz w:val="22"/>
          <w:szCs w:val="22"/>
        </w:rPr>
        <w:t xml:space="preserve"> </w:t>
      </w:r>
      <w:r w:rsidRPr="00503070">
        <w:rPr>
          <w:rFonts w:ascii="Arial" w:hAnsi="Arial" w:cs="Arial"/>
          <w:sz w:val="22"/>
          <w:szCs w:val="22"/>
        </w:rPr>
        <w:t>de la Liste du patrimoine culturel immatériel nécessitant une sauvegarde urgente à la Liste représentative du patrimoine culturel immatériel de l’humanité ;</w:t>
      </w:r>
    </w:p>
    <w:p w14:paraId="33C306AE" w14:textId="77777777" w:rsidR="0091689E" w:rsidRPr="00503070" w:rsidRDefault="0091689E" w:rsidP="001E17AF">
      <w:pPr>
        <w:numPr>
          <w:ilvl w:val="0"/>
          <w:numId w:val="110"/>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Prend note en outre</w:t>
      </w:r>
      <w:r w:rsidRPr="00503070">
        <w:rPr>
          <w:rFonts w:ascii="Arial" w:hAnsi="Arial" w:cs="Arial"/>
          <w:sz w:val="22"/>
          <w:szCs w:val="22"/>
        </w:rPr>
        <w:t xml:space="preserve"> de la demande simultanée de la Chine d’inclure dans le Registre de bonnes pratiques de sauvegarde, l’expérience de sauvegarde présentée dans la demande de transfert :</w:t>
      </w:r>
    </w:p>
    <w:p w14:paraId="5BE3FDC0" w14:textId="77777777" w:rsidR="0091689E" w:rsidRPr="00503070" w:rsidRDefault="0091689E" w:rsidP="0091689E">
      <w:pPr>
        <w:tabs>
          <w:tab w:val="left" w:pos="1134"/>
          <w:tab w:val="left" w:pos="1701"/>
          <w:tab w:val="left" w:pos="2268"/>
        </w:tabs>
        <w:spacing w:before="120" w:after="120"/>
        <w:ind w:left="567"/>
        <w:jc w:val="both"/>
        <w:rPr>
          <w:rFonts w:ascii="Arial" w:hAnsi="Arial" w:cs="Arial"/>
          <w:bCs/>
          <w:sz w:val="22"/>
          <w:szCs w:val="22"/>
        </w:rPr>
      </w:pPr>
      <w:r w:rsidRPr="00503070">
        <w:rPr>
          <w:rFonts w:ascii="Arial" w:hAnsi="Arial" w:cs="Arial"/>
          <w:bCs/>
          <w:sz w:val="22"/>
          <w:szCs w:val="22"/>
        </w:rPr>
        <w:t xml:space="preserve">Au moment de l’inscription initiale, seuls cinq conteurs étaient encore capables d'interpréter certains chants </w:t>
      </w:r>
      <w:proofErr w:type="spellStart"/>
      <w:r w:rsidRPr="00503070">
        <w:rPr>
          <w:rFonts w:ascii="Arial" w:hAnsi="Arial" w:cs="Arial"/>
          <w:bCs/>
          <w:sz w:val="22"/>
          <w:szCs w:val="22"/>
        </w:rPr>
        <w:t>Yimakan</w:t>
      </w:r>
      <w:proofErr w:type="spellEnd"/>
      <w:r w:rsidRPr="00503070">
        <w:rPr>
          <w:rFonts w:ascii="Arial" w:hAnsi="Arial" w:cs="Arial"/>
          <w:bCs/>
          <w:sz w:val="22"/>
          <w:szCs w:val="22"/>
        </w:rPr>
        <w:t xml:space="preserve">, et les pratiques traditionnelles associées aux récits oraux </w:t>
      </w:r>
      <w:proofErr w:type="spellStart"/>
      <w:r w:rsidRPr="00503070">
        <w:rPr>
          <w:rFonts w:ascii="Arial" w:hAnsi="Arial" w:cs="Arial"/>
          <w:bCs/>
          <w:sz w:val="22"/>
          <w:szCs w:val="22"/>
        </w:rPr>
        <w:t>Hezhen</w:t>
      </w:r>
      <w:proofErr w:type="spellEnd"/>
      <w:r w:rsidRPr="00503070">
        <w:rPr>
          <w:rFonts w:ascii="Arial" w:hAnsi="Arial" w:cs="Arial"/>
          <w:bCs/>
          <w:sz w:val="22"/>
          <w:szCs w:val="22"/>
        </w:rPr>
        <w:t xml:space="preserve"> étaient menacées à plusieurs égards. Dans ce contexte, un programme bien structuré a mobilisé les familles, les communautés, les écoles, les autorités locales et l'État pour sauvegarder cet élément du patrimoine immatériel. Son intégration dans les écoles a suscité un intérêt accru chez les jeunes générations, tant pour la narration orale que pour leur implication dans la sauvegarde de l’élément. Au-delà du patrimoine culturel immatériel spécifiquement, l'intégration de cette pratique dans l'éducation formelle a également favorisé la transmission de la langue des </w:t>
      </w:r>
      <w:proofErr w:type="spellStart"/>
      <w:r w:rsidRPr="00503070">
        <w:rPr>
          <w:rFonts w:ascii="Arial" w:hAnsi="Arial" w:cs="Arial"/>
          <w:bCs/>
          <w:sz w:val="22"/>
          <w:szCs w:val="22"/>
        </w:rPr>
        <w:t>Hezhen</w:t>
      </w:r>
      <w:proofErr w:type="spellEnd"/>
      <w:r w:rsidRPr="00503070">
        <w:rPr>
          <w:rFonts w:ascii="Arial" w:hAnsi="Arial" w:cs="Arial"/>
          <w:bCs/>
          <w:sz w:val="22"/>
          <w:szCs w:val="22"/>
        </w:rPr>
        <w:t xml:space="preserve">. La dimension de genre a également été prise en compte dans les interventions pour la sauvegarde, qui ont encouragé une plus grande participation des femmes en élargissant et en renforçant la transmission des connaissances associées aux récits oraux </w:t>
      </w:r>
      <w:proofErr w:type="spellStart"/>
      <w:r w:rsidRPr="00503070">
        <w:rPr>
          <w:rFonts w:ascii="Arial" w:hAnsi="Arial" w:cs="Arial"/>
          <w:bCs/>
          <w:sz w:val="22"/>
          <w:szCs w:val="22"/>
        </w:rPr>
        <w:t>Yimakan</w:t>
      </w:r>
      <w:proofErr w:type="spellEnd"/>
      <w:r w:rsidRPr="00503070">
        <w:rPr>
          <w:rFonts w:ascii="Arial" w:hAnsi="Arial" w:cs="Arial"/>
          <w:bCs/>
          <w:sz w:val="22"/>
          <w:szCs w:val="22"/>
        </w:rPr>
        <w:t xml:space="preserve"> des </w:t>
      </w:r>
      <w:proofErr w:type="spellStart"/>
      <w:r w:rsidRPr="00503070">
        <w:rPr>
          <w:rFonts w:ascii="Arial" w:hAnsi="Arial" w:cs="Arial"/>
          <w:bCs/>
          <w:sz w:val="22"/>
          <w:szCs w:val="22"/>
        </w:rPr>
        <w:t>Hezhen</w:t>
      </w:r>
      <w:proofErr w:type="spellEnd"/>
      <w:r w:rsidRPr="00503070">
        <w:rPr>
          <w:rFonts w:ascii="Arial" w:hAnsi="Arial" w:cs="Arial"/>
          <w:bCs/>
          <w:sz w:val="22"/>
          <w:szCs w:val="22"/>
        </w:rPr>
        <w:t xml:space="preserve"> dans les cadres recréés.</w:t>
      </w:r>
    </w:p>
    <w:p w14:paraId="548AA5F6" w14:textId="77777777" w:rsidR="0091689E" w:rsidRPr="00503070" w:rsidRDefault="0091689E" w:rsidP="001E17AF">
      <w:pPr>
        <w:numPr>
          <w:ilvl w:val="0"/>
          <w:numId w:val="111"/>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Considère en outre</w:t>
      </w:r>
      <w:r w:rsidRPr="00503070">
        <w:rPr>
          <w:rFonts w:ascii="Arial" w:hAnsi="Arial" w:cs="Arial"/>
          <w:sz w:val="22"/>
          <w:szCs w:val="22"/>
        </w:rPr>
        <w:t xml:space="preserve"> que, d’après les informations contenues dans la demande et dans le rapport périodique sur l’état de l'élément sur la Liste du patrimoine culturel immatériel nécessitant une sauvegarde urgente, le programme répond comme suit aux critères de sélection, en tant que bonne pratique de sauvegarde, tels qu’énoncés au paragraphe 7 des Directives opérationnelles :</w:t>
      </w:r>
    </w:p>
    <w:p w14:paraId="660DA7D4"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G.1 :</w:t>
      </w:r>
      <w:r w:rsidRPr="00503070">
        <w:rPr>
          <w:rFonts w:ascii="Arial" w:hAnsi="Arial" w:cs="Arial"/>
          <w:sz w:val="22"/>
          <w:szCs w:val="22"/>
        </w:rPr>
        <w:tab/>
        <w:t>Mettant en œuvre des mesures culturellement adaptées aux communautés de détenteurs et de praticiens, le programme de sauvegarde reflète les principes et les objectifs de la Convention. Le renforcement de l’identité et de la langue locales par la préservation du patrimoine culturel oral est un point clé de ce programme.</w:t>
      </w:r>
    </w:p>
    <w:p w14:paraId="34EC6B93"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lastRenderedPageBreak/>
        <w:t>G.2 :</w:t>
      </w:r>
      <w:r w:rsidRPr="00503070">
        <w:rPr>
          <w:rFonts w:ascii="Arial" w:hAnsi="Arial" w:cs="Arial"/>
          <w:sz w:val="22"/>
          <w:szCs w:val="22"/>
        </w:rPr>
        <w:tab/>
        <w:t>Le programme a démontré sa capacité à assurer la viabilité et la vitalité de l’élément, en créant un environnement plus propice à sa transmission et adapté aux contextes culturels locaux ainsi qu’aux transitions sociales actuelles. Il a ainsi renforcé les pratiques de la communauté et augmenté le nombre de personnes impliquées.</w:t>
      </w:r>
    </w:p>
    <w:p w14:paraId="6CE7AE08" w14:textId="77777777" w:rsidR="0091689E" w:rsidRPr="00503070" w:rsidRDefault="0091689E" w:rsidP="0091689E">
      <w:pPr>
        <w:tabs>
          <w:tab w:val="left" w:pos="1701"/>
          <w:tab w:val="left" w:pos="2268"/>
        </w:tabs>
        <w:spacing w:before="120" w:after="120"/>
        <w:ind w:left="1134" w:hanging="567"/>
        <w:jc w:val="both"/>
        <w:rPr>
          <w:rFonts w:ascii="Arial" w:hAnsi="Arial" w:cs="Arial"/>
          <w:bCs/>
          <w:sz w:val="22"/>
          <w:szCs w:val="22"/>
        </w:rPr>
      </w:pPr>
      <w:r w:rsidRPr="00503070">
        <w:rPr>
          <w:rFonts w:ascii="Arial" w:hAnsi="Arial" w:cs="Arial"/>
          <w:sz w:val="22"/>
          <w:szCs w:val="22"/>
        </w:rPr>
        <w:t>G.3 :</w:t>
      </w:r>
      <w:r w:rsidRPr="00503070">
        <w:rPr>
          <w:rFonts w:ascii="Arial" w:hAnsi="Arial" w:cs="Arial"/>
          <w:sz w:val="22"/>
          <w:szCs w:val="22"/>
        </w:rPr>
        <w:tab/>
        <w:t xml:space="preserve">La forte implication de la communauté a été démontrée pendant l’expérience de sauvegarde. De plus, l’initiative a démontré une forte capacité à promouvoir l’intégration intersectorielle et interinstitutionnelle, notamment par l’implication des écoles, des universités, des autorités locales et du gouvernement central, ainsi que celle des détenteurs de traditions orales. </w:t>
      </w:r>
    </w:p>
    <w:p w14:paraId="0F0C5BA0" w14:textId="77777777" w:rsidR="0091689E" w:rsidRPr="00503070" w:rsidRDefault="0091689E" w:rsidP="0091689E">
      <w:pPr>
        <w:tabs>
          <w:tab w:val="left" w:pos="1701"/>
          <w:tab w:val="left" w:pos="2268"/>
        </w:tabs>
        <w:spacing w:before="120" w:after="120"/>
        <w:ind w:left="1134" w:hanging="567"/>
        <w:jc w:val="both"/>
        <w:rPr>
          <w:rFonts w:ascii="Arial" w:hAnsi="Arial" w:cs="Arial"/>
          <w:sz w:val="22"/>
          <w:szCs w:val="22"/>
        </w:rPr>
      </w:pPr>
      <w:r w:rsidRPr="00503070">
        <w:rPr>
          <w:rFonts w:ascii="Arial" w:hAnsi="Arial" w:cs="Arial"/>
          <w:sz w:val="22"/>
          <w:szCs w:val="22"/>
        </w:rPr>
        <w:t>G.4 :</w:t>
      </w:r>
      <w:r w:rsidRPr="00503070">
        <w:rPr>
          <w:rFonts w:ascii="Arial" w:hAnsi="Arial" w:cs="Arial"/>
          <w:sz w:val="22"/>
          <w:szCs w:val="22"/>
        </w:rPr>
        <w:tab/>
        <w:t>Les parties concernées se sont accordées et engagées à poursuivre les actions de sauvegarde de cet élément culturel. La coordination entre la sauvegarde du patrimoine culturel et celle du patrimoine linguistique pourrait servir d’exemple à d’autres États parties et communautés.</w:t>
      </w:r>
    </w:p>
    <w:p w14:paraId="6823C032" w14:textId="77777777" w:rsidR="0091689E" w:rsidRPr="00503070" w:rsidRDefault="0091689E" w:rsidP="0091689E">
      <w:pPr>
        <w:tabs>
          <w:tab w:val="left" w:pos="2268"/>
        </w:tabs>
        <w:spacing w:before="120" w:after="120"/>
        <w:ind w:left="567" w:hanging="567"/>
        <w:jc w:val="both"/>
        <w:rPr>
          <w:rFonts w:ascii="Arial" w:hAnsi="Arial" w:cs="Arial"/>
          <w:sz w:val="22"/>
          <w:szCs w:val="22"/>
        </w:rPr>
      </w:pPr>
      <w:r w:rsidRPr="00503070">
        <w:rPr>
          <w:rFonts w:ascii="Arial" w:hAnsi="Arial" w:cs="Arial"/>
          <w:sz w:val="22"/>
          <w:szCs w:val="22"/>
        </w:rPr>
        <w:t>8.</w:t>
      </w:r>
      <w:r w:rsidRPr="00503070">
        <w:rPr>
          <w:rFonts w:ascii="Arial" w:hAnsi="Arial" w:cs="Arial"/>
          <w:sz w:val="22"/>
          <w:szCs w:val="22"/>
        </w:rPr>
        <w:tab/>
      </w:r>
      <w:r w:rsidRPr="00503070">
        <w:rPr>
          <w:rFonts w:ascii="Arial" w:hAnsi="Arial" w:cs="Arial"/>
          <w:sz w:val="22"/>
          <w:szCs w:val="22"/>
          <w:u w:val="single"/>
        </w:rPr>
        <w:t>Décide de sélectionner</w:t>
      </w:r>
      <w:r w:rsidRPr="00503070">
        <w:rPr>
          <w:rFonts w:ascii="Arial" w:hAnsi="Arial" w:cs="Arial"/>
          <w:sz w:val="22"/>
          <w:szCs w:val="22"/>
        </w:rPr>
        <w:t xml:space="preserve"> </w:t>
      </w:r>
      <w:r w:rsidRPr="00503070">
        <w:rPr>
          <w:rFonts w:ascii="Arial" w:hAnsi="Arial" w:cs="Arial"/>
          <w:b/>
          <w:sz w:val="22"/>
          <w:szCs w:val="22"/>
        </w:rPr>
        <w:t xml:space="preserve">le programme de sauvegarde pour le </w:t>
      </w:r>
      <w:proofErr w:type="spellStart"/>
      <w:r w:rsidRPr="00503070">
        <w:rPr>
          <w:rFonts w:ascii="Arial" w:hAnsi="Arial" w:cs="Arial"/>
          <w:b/>
          <w:sz w:val="22"/>
          <w:szCs w:val="22"/>
        </w:rPr>
        <w:t>Yimakan</w:t>
      </w:r>
      <w:proofErr w:type="spellEnd"/>
      <w:r w:rsidRPr="00503070">
        <w:rPr>
          <w:rFonts w:ascii="Arial" w:hAnsi="Arial" w:cs="Arial"/>
          <w:b/>
          <w:sz w:val="22"/>
          <w:szCs w:val="22"/>
        </w:rPr>
        <w:t xml:space="preserve">, les récits oraux des </w:t>
      </w:r>
      <w:proofErr w:type="spellStart"/>
      <w:r w:rsidRPr="00503070">
        <w:rPr>
          <w:rFonts w:ascii="Arial" w:hAnsi="Arial" w:cs="Arial"/>
          <w:b/>
          <w:sz w:val="22"/>
          <w:szCs w:val="22"/>
        </w:rPr>
        <w:t>Hezhen</w:t>
      </w:r>
      <w:proofErr w:type="spellEnd"/>
      <w:r w:rsidRPr="00503070">
        <w:rPr>
          <w:rFonts w:ascii="Arial" w:hAnsi="Arial" w:cs="Arial"/>
          <w:b/>
          <w:sz w:val="22"/>
          <w:szCs w:val="22"/>
        </w:rPr>
        <w:t xml:space="preserve"> </w:t>
      </w:r>
      <w:r w:rsidRPr="00503070">
        <w:rPr>
          <w:rFonts w:ascii="Arial" w:hAnsi="Arial" w:cs="Arial"/>
          <w:sz w:val="22"/>
          <w:szCs w:val="22"/>
        </w:rPr>
        <w:t>en tant que programme, projet ou activité reflétant le mieux les principes et objectifs de la Convention ;</w:t>
      </w:r>
    </w:p>
    <w:p w14:paraId="3E912B69" w14:textId="77777777" w:rsidR="0091689E" w:rsidRPr="00503070" w:rsidRDefault="0091689E" w:rsidP="0091689E">
      <w:pPr>
        <w:tabs>
          <w:tab w:val="left" w:pos="2268"/>
        </w:tabs>
        <w:spacing w:before="120" w:after="120"/>
        <w:ind w:left="567" w:hanging="567"/>
        <w:jc w:val="both"/>
        <w:rPr>
          <w:rFonts w:ascii="Arial" w:hAnsi="Arial" w:cs="Arial"/>
          <w:bCs/>
          <w:sz w:val="22"/>
          <w:szCs w:val="22"/>
        </w:rPr>
      </w:pPr>
      <w:r w:rsidRPr="00503070">
        <w:rPr>
          <w:rFonts w:ascii="Arial" w:hAnsi="Arial" w:cs="Arial"/>
          <w:sz w:val="22"/>
          <w:szCs w:val="22"/>
        </w:rPr>
        <w:t xml:space="preserve">9.  </w:t>
      </w:r>
      <w:r w:rsidRPr="00503070">
        <w:rPr>
          <w:rFonts w:ascii="Arial" w:hAnsi="Arial" w:cs="Arial"/>
          <w:sz w:val="22"/>
          <w:szCs w:val="22"/>
        </w:rPr>
        <w:tab/>
      </w:r>
      <w:r w:rsidRPr="00503070">
        <w:rPr>
          <w:rFonts w:ascii="Arial" w:hAnsi="Arial" w:cs="Arial"/>
          <w:sz w:val="22"/>
          <w:szCs w:val="22"/>
          <w:u w:val="single"/>
        </w:rPr>
        <w:t>Encourage</w:t>
      </w:r>
      <w:r w:rsidRPr="00503070">
        <w:rPr>
          <w:rFonts w:ascii="Arial" w:hAnsi="Arial" w:cs="Arial"/>
          <w:sz w:val="22"/>
          <w:szCs w:val="22"/>
        </w:rPr>
        <w:t xml:space="preserve"> l’État partie et les communautés concernées à partager les expériences associées acquises en matière de sauvegarde, y compris par le biais de la plateforme en ligne qui sera mise en place dans le cadre d’une mise en œuvre plus large de l’article 18 de la Convention.</w:t>
      </w:r>
    </w:p>
    <w:p w14:paraId="623B2E8A" w14:textId="77777777" w:rsidR="0091689E" w:rsidRPr="00503070" w:rsidRDefault="0091689E" w:rsidP="0091689E">
      <w:pPr>
        <w:pStyle w:val="Heading1"/>
        <w:rPr>
          <w:bCs/>
        </w:rPr>
      </w:pPr>
      <w:r w:rsidRPr="00503070">
        <w:t>DÉCISION 20.COM 7.d.1</w:t>
      </w:r>
    </w:p>
    <w:p w14:paraId="13754458" w14:textId="77777777" w:rsidR="0091689E" w:rsidRPr="00503070" w:rsidRDefault="0091689E" w:rsidP="0091689E">
      <w:pPr>
        <w:pStyle w:val="NoSpacing"/>
        <w:keepNext/>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rPr>
        <w:t>Le Comité</w:t>
      </w:r>
    </w:p>
    <w:p w14:paraId="14CBA024" w14:textId="77777777" w:rsidR="0091689E" w:rsidRPr="00503070" w:rsidRDefault="0091689E" w:rsidP="001E17AF">
      <w:pPr>
        <w:numPr>
          <w:ilvl w:val="0"/>
          <w:numId w:val="11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Prend note</w:t>
      </w:r>
      <w:r w:rsidRPr="00503070">
        <w:rPr>
          <w:rFonts w:ascii="Arial" w:hAnsi="Arial" w:cs="Arial"/>
          <w:sz w:val="22"/>
          <w:szCs w:val="22"/>
        </w:rPr>
        <w:t xml:space="preserve"> que la Croatie a proposé </w:t>
      </w:r>
      <w:r w:rsidRPr="00503070">
        <w:rPr>
          <w:rFonts w:ascii="Arial" w:hAnsi="Arial" w:cs="Arial"/>
          <w:b/>
          <w:sz w:val="22"/>
          <w:szCs w:val="22"/>
        </w:rPr>
        <w:t xml:space="preserve">la sauvegarde et la documentation de la coutume du carnaval « </w:t>
      </w:r>
      <w:proofErr w:type="spellStart"/>
      <w:r w:rsidRPr="00503070">
        <w:rPr>
          <w:rFonts w:ascii="Arial" w:hAnsi="Arial" w:cs="Arial"/>
          <w:b/>
          <w:sz w:val="22"/>
          <w:szCs w:val="22"/>
        </w:rPr>
        <w:t>Lastovo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Poklad</w:t>
      </w:r>
      <w:proofErr w:type="spellEnd"/>
      <w:r w:rsidRPr="00503070">
        <w:rPr>
          <w:rFonts w:ascii="Arial" w:hAnsi="Arial" w:cs="Arial"/>
          <w:b/>
          <w:sz w:val="22"/>
          <w:szCs w:val="22"/>
        </w:rPr>
        <w:t xml:space="preserve"> » par la communauté</w:t>
      </w:r>
      <w:r w:rsidRPr="00503070">
        <w:rPr>
          <w:rFonts w:ascii="Arial" w:hAnsi="Arial" w:cs="Arial"/>
          <w:sz w:val="22"/>
          <w:szCs w:val="22"/>
        </w:rPr>
        <w:t xml:space="preserve"> (n° 02314) en vue de sa sélection et de sa promotion par le Comité en tant que programme, projet ou activité reflétant le mieux les principes et objectifs de la Convention :</w:t>
      </w:r>
    </w:p>
    <w:p w14:paraId="62CB3315" w14:textId="77777777" w:rsidR="0091689E" w:rsidRPr="00503070" w:rsidRDefault="0091689E" w:rsidP="0091689E">
      <w:pPr>
        <w:tabs>
          <w:tab w:val="left" w:pos="1134"/>
          <w:tab w:val="left" w:pos="1701"/>
          <w:tab w:val="left" w:pos="2268"/>
        </w:tabs>
        <w:spacing w:before="120" w:after="120"/>
        <w:ind w:left="567"/>
        <w:jc w:val="both"/>
        <w:rPr>
          <w:rFonts w:ascii="Arial" w:hAnsi="Arial" w:cs="Arial"/>
          <w:sz w:val="22"/>
          <w:szCs w:val="22"/>
        </w:rPr>
      </w:pPr>
      <w:r w:rsidRPr="00503070">
        <w:rPr>
          <w:rFonts w:ascii="Arial" w:hAnsi="Arial" w:cs="Arial"/>
          <w:sz w:val="22"/>
          <w:szCs w:val="22"/>
        </w:rPr>
        <w:t xml:space="preserve">Le carnaval annuel </w:t>
      </w:r>
      <w:proofErr w:type="spellStart"/>
      <w:r w:rsidRPr="00503070">
        <w:rPr>
          <w:rFonts w:ascii="Arial" w:hAnsi="Arial" w:cs="Arial"/>
          <w:sz w:val="22"/>
          <w:szCs w:val="22"/>
        </w:rPr>
        <w:t>Lastovo</w:t>
      </w:r>
      <w:proofErr w:type="spellEnd"/>
      <w:r w:rsidRPr="00503070">
        <w:rPr>
          <w:rFonts w:ascii="Arial" w:hAnsi="Arial" w:cs="Arial"/>
          <w:sz w:val="22"/>
          <w:szCs w:val="22"/>
        </w:rPr>
        <w:t xml:space="preserve"> </w:t>
      </w:r>
      <w:proofErr w:type="spellStart"/>
      <w:r w:rsidRPr="00503070">
        <w:rPr>
          <w:rFonts w:ascii="Arial" w:hAnsi="Arial" w:cs="Arial"/>
          <w:sz w:val="22"/>
          <w:szCs w:val="22"/>
        </w:rPr>
        <w:t>Poklad</w:t>
      </w:r>
      <w:proofErr w:type="spellEnd"/>
      <w:r w:rsidRPr="00503070">
        <w:rPr>
          <w:rFonts w:ascii="Arial" w:hAnsi="Arial" w:cs="Arial"/>
          <w:sz w:val="22"/>
          <w:szCs w:val="22"/>
        </w:rPr>
        <w:t xml:space="preserve"> est un événement social qui se déroule entre le 17 janvier et le mercredi des Cendres. Il comprend une représentation de danse en cercle et une procession, menée par un membre de l’équipe du carnaval qui dirige un âne portant une effigie en paille, appelée </w:t>
      </w:r>
      <w:proofErr w:type="spellStart"/>
      <w:r w:rsidRPr="00503070">
        <w:rPr>
          <w:rFonts w:ascii="Arial" w:hAnsi="Arial" w:cs="Arial"/>
          <w:sz w:val="22"/>
          <w:szCs w:val="22"/>
        </w:rPr>
        <w:t>Poklad</w:t>
      </w:r>
      <w:proofErr w:type="spellEnd"/>
      <w:r w:rsidRPr="00503070">
        <w:rPr>
          <w:rFonts w:ascii="Arial" w:hAnsi="Arial" w:cs="Arial"/>
          <w:sz w:val="22"/>
          <w:szCs w:val="22"/>
        </w:rPr>
        <w:t>, sur son dos. L’un des temps forts du carnaval est la descente de l’effigie le long d’une corde suspendue entre le sommet le plus élevé et le centre du village, accompagnée de feux d’artifice. L’effigie est ensuite brûlée sur la place locale. La coutume est transmise de manière informelle au sein des familles et de la communauté et, plus récemment, par le biais de l’éducation formelle. Symbole de liberté et de résilience, le carnaval implique toute la communauté, les préparatifs commençant des mois à l’avance. La participation n’a cessé de croître au cours des trente dernières années grâce aux efforts concertés des autorités locales, des associations et des membres de la communauté. Le programme inclut la documentation détaillée de la coutume par les jeunes générations, qui a donné lieu à une collection de photographies, de vidéos, d’enregistrements audio, de déclarations et de publications. Ces efforts ont permis la création d’archives et la publication du premier ouvrage complet sur la coutume. Ces efforts ont également encouragé la communauté locale à perpétuer la coutume et à sensibiliser les jeunes générations à son importance.</w:t>
      </w:r>
    </w:p>
    <w:p w14:paraId="28739AB3" w14:textId="77777777" w:rsidR="0091689E" w:rsidRPr="00503070" w:rsidRDefault="0091689E" w:rsidP="001E17AF">
      <w:pPr>
        <w:keepNext/>
        <w:numPr>
          <w:ilvl w:val="0"/>
          <w:numId w:val="112"/>
        </w:numPr>
        <w:tabs>
          <w:tab w:val="left" w:pos="1134"/>
          <w:tab w:val="left" w:pos="1701"/>
          <w:tab w:val="left" w:pos="2268"/>
        </w:tabs>
        <w:spacing w:before="120" w:after="120"/>
        <w:ind w:left="567" w:hanging="567"/>
        <w:jc w:val="both"/>
        <w:rPr>
          <w:rFonts w:ascii="Arial" w:hAnsi="Arial" w:cs="Arial"/>
          <w:sz w:val="22"/>
          <w:szCs w:val="22"/>
        </w:rPr>
      </w:pPr>
      <w:r w:rsidRPr="00503070">
        <w:rPr>
          <w:rFonts w:ascii="Arial" w:hAnsi="Arial" w:cs="Arial"/>
          <w:sz w:val="22"/>
          <w:szCs w:val="22"/>
          <w:u w:val="single"/>
        </w:rPr>
        <w:t>Considère</w:t>
      </w:r>
      <w:r w:rsidRPr="00503070">
        <w:rPr>
          <w:rFonts w:ascii="Arial" w:hAnsi="Arial" w:cs="Arial"/>
          <w:sz w:val="22"/>
          <w:szCs w:val="22"/>
        </w:rPr>
        <w:t xml:space="preserve"> que, sur la base des informations contenues dans le dossier, le programme répond comme suit aux critères de sélection, en tant que bonne pratique de sauvegarde, tels qu’énoncés au paragraphe 7 des Directives opérationnelles :</w:t>
      </w:r>
    </w:p>
    <w:p w14:paraId="76029858"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P.1 :</w:t>
      </w:r>
      <w:r w:rsidRPr="00503070">
        <w:rPr>
          <w:rFonts w:ascii="Arial" w:hAnsi="Arial" w:cs="Arial"/>
          <w:sz w:val="22"/>
          <w:szCs w:val="22"/>
        </w:rPr>
        <w:tab/>
        <w:t xml:space="preserve">Le programme consiste en une série de mesures visant à sauvegarder la célébration du carnaval comme un événement culturel important pour la communauté de l’île croate de </w:t>
      </w:r>
      <w:proofErr w:type="spellStart"/>
      <w:r w:rsidRPr="00503070">
        <w:rPr>
          <w:rFonts w:ascii="Arial" w:hAnsi="Arial" w:cs="Arial"/>
          <w:sz w:val="22"/>
          <w:szCs w:val="22"/>
        </w:rPr>
        <w:t>Lastovo</w:t>
      </w:r>
      <w:proofErr w:type="spellEnd"/>
      <w:r w:rsidRPr="00503070">
        <w:rPr>
          <w:rFonts w:ascii="Arial" w:hAnsi="Arial" w:cs="Arial"/>
          <w:sz w:val="22"/>
          <w:szCs w:val="22"/>
        </w:rPr>
        <w:t xml:space="preserve">, qui a été reconnu comme un élément du patrimoine culturel immatériel de la Croatie en 2008. La sauvegarde de l’élément est prise en compte dans divers instruments, notamment le plan de gestion stratégique du parc naturel de l’île de </w:t>
      </w:r>
      <w:proofErr w:type="spellStart"/>
      <w:r w:rsidRPr="00503070">
        <w:rPr>
          <w:rFonts w:ascii="Arial" w:hAnsi="Arial" w:cs="Arial"/>
          <w:sz w:val="22"/>
          <w:szCs w:val="22"/>
        </w:rPr>
        <w:t>Lastovo</w:t>
      </w:r>
      <w:proofErr w:type="spellEnd"/>
      <w:r w:rsidRPr="00503070">
        <w:rPr>
          <w:rFonts w:ascii="Arial" w:hAnsi="Arial" w:cs="Arial"/>
          <w:sz w:val="22"/>
          <w:szCs w:val="22"/>
        </w:rPr>
        <w:t xml:space="preserve">, qui a été adopté en 2017. Depuis 2015, une association locale a inclus dans ses statuts des dispositions relatives à l’organisation d’activités festives. Un institut de </w:t>
      </w:r>
      <w:r w:rsidRPr="00503070">
        <w:rPr>
          <w:rFonts w:ascii="Arial" w:hAnsi="Arial" w:cs="Arial"/>
          <w:sz w:val="22"/>
          <w:szCs w:val="22"/>
        </w:rPr>
        <w:lastRenderedPageBreak/>
        <w:t>recherche est consacré à l’étude systématique de l’élément. En outre, la communauté locale est fortement impliquée dans les activités de sauvegarde, telles que les réunions de sensibilisation, la recherche et la documentation, y compris la collecte de textes, de chansons, de photographies de famille et d’enregistrements audiovisuels.</w:t>
      </w:r>
    </w:p>
    <w:p w14:paraId="5C9B6792"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P.2 :</w:t>
      </w:r>
      <w:r w:rsidRPr="00503070">
        <w:rPr>
          <w:rFonts w:ascii="Arial" w:hAnsi="Arial" w:cs="Arial"/>
          <w:sz w:val="22"/>
          <w:szCs w:val="22"/>
        </w:rPr>
        <w:tab/>
        <w:t xml:space="preserve">La proposition reflète la coordination des efforts de sauvegarde du patrimoine culturel immatériel </w:t>
      </w:r>
      <w:proofErr w:type="gramStart"/>
      <w:r w:rsidRPr="00503070">
        <w:rPr>
          <w:rFonts w:ascii="Arial" w:hAnsi="Arial" w:cs="Arial"/>
          <w:sz w:val="22"/>
          <w:szCs w:val="22"/>
        </w:rPr>
        <w:t>aux niveaux régional</w:t>
      </w:r>
      <w:proofErr w:type="gramEnd"/>
      <w:r w:rsidRPr="00503070">
        <w:rPr>
          <w:rFonts w:ascii="Arial" w:hAnsi="Arial" w:cs="Arial"/>
          <w:sz w:val="22"/>
          <w:szCs w:val="22"/>
        </w:rPr>
        <w:t>, sous-régional et international. L’entretien de l’élément par les populations émigrantes, ainsi que les représentations régulières sur scène, les spectacles d’été et les apparitions d’invités organisés dans d’autres pays promeuvent la coutume à l’étranger et démontrent une collaboration transcontinentale. L’approche de sauvegarde permet non seulement de mettre en valeur la tradition, mais aussi de créer des liens avec d’autres cultures et d’encourager les échanges culturels.</w:t>
      </w:r>
      <w:r w:rsidRPr="00503070">
        <w:rPr>
          <w:rFonts w:ascii="Arial" w:hAnsi="Arial" w:cs="Arial"/>
          <w:sz w:val="22"/>
          <w:szCs w:val="22"/>
        </w:rPr>
        <w:tab/>
      </w:r>
    </w:p>
    <w:p w14:paraId="50E132C4"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P.3 :</w:t>
      </w:r>
      <w:r w:rsidRPr="00503070">
        <w:rPr>
          <w:rFonts w:ascii="Arial" w:hAnsi="Arial" w:cs="Arial"/>
          <w:sz w:val="22"/>
          <w:szCs w:val="22"/>
        </w:rPr>
        <w:tab/>
        <w:t>Les entités impliquées dans la gestion de l’île ont uni leurs forces pour identifier des solutions techniques, logistiques et financières en vue de mettre en œuvre la coutume et de sauvegarder le patrimoine culturel immatériel. Les ONG se sont également engagées à atteindre cet objectif, en proposant une approche basée sur la communauté qui renforce la durabilité, la participation et l’autogestion. La proposition souligne la forte implication de la communauté dans la documentation, la recherche et le maintien de la coutume, tandis que les agences gouvernementales apportent un soutien institutionnel et financier à ces initiatives.</w:t>
      </w:r>
    </w:p>
    <w:p w14:paraId="6A65642A"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P.4 :</w:t>
      </w:r>
      <w:r w:rsidRPr="00503070">
        <w:rPr>
          <w:rFonts w:ascii="Arial" w:hAnsi="Arial" w:cs="Arial"/>
          <w:sz w:val="22"/>
          <w:szCs w:val="22"/>
        </w:rPr>
        <w:tab/>
        <w:t>La proposition démontre l’efficacité des mesures de sauvegarde, qui ont assuré l’avenir du carnaval en tant qu’événement annuel imprégné de coutumes et de traditions. Le dossier illustre également l’étendue de la participation de la communauté à travers les générations, maintenant l’élément comme un symbole de liberté, d’héritage et de communion. En particulier lors des transformations et crises majeures (guerres, changements politiques, émigration et pandémie de COVID-19), la population locale a trouvé une véritable satisfaction à préserver cette tradition, qui constitue un lien avec le passé et lui procure non seulement un sentiment de sécurité et de fierté. Le rôle prépondérant que jouent depuis peu les jeunes générations dans la documentation de la tradition est l’un des points forts du processus de sauvegarde.</w:t>
      </w:r>
    </w:p>
    <w:p w14:paraId="4EC08CBA"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P.5 :</w:t>
      </w:r>
      <w:r w:rsidRPr="00503070">
        <w:rPr>
          <w:rFonts w:ascii="Arial" w:hAnsi="Arial" w:cs="Arial"/>
          <w:sz w:val="22"/>
          <w:szCs w:val="22"/>
        </w:rPr>
        <w:tab/>
        <w:t xml:space="preserve">La sauvegarde de l’élément implique non seulement ses praticiens, mais aussi les élèves des écoles primaires et les femmes (épouses et mères des membres des bandes carnavalesques), les joueurs de lyre, les associations locales, la municipalité et son office du tourisme. En outre, la communauté émigrée met en œuvre des mesures similaires pour organiser un carnaval qui ressemble le plus possible à celui pratiqué sur leur île d’origine. Le dossier indique que depuis 2017, plus de 170 résidents locaux et expatriés de </w:t>
      </w:r>
      <w:proofErr w:type="spellStart"/>
      <w:r w:rsidRPr="00503070">
        <w:rPr>
          <w:rFonts w:ascii="Arial" w:hAnsi="Arial" w:cs="Arial"/>
          <w:sz w:val="22"/>
          <w:szCs w:val="22"/>
        </w:rPr>
        <w:t>Lastovo</w:t>
      </w:r>
      <w:proofErr w:type="spellEnd"/>
      <w:r w:rsidRPr="00503070">
        <w:rPr>
          <w:rFonts w:ascii="Arial" w:hAnsi="Arial" w:cs="Arial"/>
          <w:sz w:val="22"/>
          <w:szCs w:val="22"/>
        </w:rPr>
        <w:t xml:space="preserve"> ont participé à des recherches sur la coutume et à la création d’archives ethnographiques permanentes liées à celle-ci. Elle précise que l’ensemble de la communauté participe au financement des activités de sauvegarde par le biais de contributions volontaires.</w:t>
      </w:r>
    </w:p>
    <w:p w14:paraId="4BE3A3DF"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P.6 :</w:t>
      </w:r>
      <w:r w:rsidRPr="00503070">
        <w:rPr>
          <w:rFonts w:ascii="Arial" w:hAnsi="Arial" w:cs="Arial"/>
          <w:sz w:val="22"/>
          <w:szCs w:val="22"/>
        </w:rPr>
        <w:tab/>
        <w:t>La proposition est un modèle positif pour la sauvegarde aux niveaux sous-régional, régional et international. Elle identifie soigneusement les éléments, méthodes et pratiques spécifiques qui pourraient être pertinents et adaptables dans d’autres contextes. Au niveau régional, le programme est déjà devenu un exemple de bonne pratique d’une communauté ouverte à la recherche et à la documentation en collaboration avec d’autres institutions. Un autre trait distinctif de la proposition est l’intégration de la coutume dans l’infrastructure culturelle et physique quotidienne, offrant un modèle holistique de sauvegarde qui relie le patrimoine matériel et immatériel dans un continuum, ainsi que la dimension transnationale de la pratique.</w:t>
      </w:r>
    </w:p>
    <w:p w14:paraId="771275DA"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t>P.7 :</w:t>
      </w:r>
      <w:r w:rsidRPr="00503070">
        <w:rPr>
          <w:rFonts w:ascii="Arial" w:hAnsi="Arial" w:cs="Arial"/>
          <w:sz w:val="22"/>
          <w:szCs w:val="22"/>
        </w:rPr>
        <w:tab/>
        <w:t>La proposition comprend suffisamment de preuves écrites, photographiques et audiovisuelles démontrant que l’État partie, les organes de mise en œuvre et la communauté sont fermement engagés à coopérer à la diffusion des bonnes pratiques de sauvegarde. Le consentement libre, préalable et éclairé des parties impliquées dans le projet est disponible.</w:t>
      </w:r>
    </w:p>
    <w:p w14:paraId="1A403637" w14:textId="77777777" w:rsidR="0091689E" w:rsidRPr="00503070" w:rsidRDefault="0091689E" w:rsidP="0091689E">
      <w:pPr>
        <w:tabs>
          <w:tab w:val="left" w:pos="1701"/>
          <w:tab w:val="left" w:pos="2268"/>
        </w:tabs>
        <w:spacing w:before="120" w:after="120"/>
        <w:ind w:left="1134" w:hanging="567"/>
        <w:jc w:val="both"/>
        <w:rPr>
          <w:rFonts w:ascii="Arial" w:hAnsi="Arial" w:cs="Arial"/>
          <w:noProof/>
          <w:sz w:val="22"/>
          <w:szCs w:val="22"/>
        </w:rPr>
      </w:pPr>
      <w:r w:rsidRPr="00503070">
        <w:rPr>
          <w:rFonts w:ascii="Arial" w:hAnsi="Arial" w:cs="Arial"/>
          <w:sz w:val="22"/>
          <w:szCs w:val="22"/>
        </w:rPr>
        <w:lastRenderedPageBreak/>
        <w:t>P.8 :</w:t>
      </w:r>
      <w:r w:rsidRPr="00503070">
        <w:rPr>
          <w:rFonts w:ascii="Arial" w:hAnsi="Arial" w:cs="Arial"/>
          <w:sz w:val="22"/>
          <w:szCs w:val="22"/>
        </w:rPr>
        <w:tab/>
        <w:t>La proposition démontre un potentiel évident pour l’évaluation de ses résultats, avec une approche qui se distingue par sa vision à long terme, ses stratégies de transmission intergénérationnelle et l’intégration de la coutume dans plusieurs niveaux de cadres sociaux, juridiques et institutionnels. La proposition explique les méthodes employées afin de suivre et d’évaluer les progrès du programme, en veillant à ce que la durabilité, l’égalité des genres, la protection de l’environnement et le patrimoine culturel restent au cœur de la mise en œuvre de la coutume. Le dossier montre comment les différentes dimensions du programme de sauvegarde – à savoir la participation de la communauté, la durabilité, l’égalité des genres, la protection de l’environnement et le tourisme maitrisé – sont systématiquement observées et évaluées. Le degré d’implication de la communauté dans le programme est en soi une indication de ses bons résultats.</w:t>
      </w:r>
    </w:p>
    <w:p w14:paraId="2C6CA5F0" w14:textId="77777777" w:rsidR="0091689E" w:rsidRPr="00503070" w:rsidRDefault="0091689E" w:rsidP="001E17AF">
      <w:pPr>
        <w:numPr>
          <w:ilvl w:val="0"/>
          <w:numId w:val="11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Sélectionne</w:t>
      </w:r>
      <w:r w:rsidRPr="00503070">
        <w:rPr>
          <w:rFonts w:ascii="Arial" w:hAnsi="Arial" w:cs="Arial"/>
          <w:sz w:val="22"/>
          <w:szCs w:val="22"/>
        </w:rPr>
        <w:t xml:space="preserve"> </w:t>
      </w:r>
      <w:r w:rsidRPr="00503070">
        <w:rPr>
          <w:rFonts w:ascii="Arial" w:hAnsi="Arial" w:cs="Arial"/>
          <w:b/>
          <w:sz w:val="22"/>
          <w:szCs w:val="22"/>
        </w:rPr>
        <w:t>la sauvegarde et la documentation de la coutume du carnaval «</w:t>
      </w:r>
      <w:r w:rsidRPr="00503070">
        <w:rPr>
          <w:rFonts w:ascii="Arial" w:hAnsi="Arial" w:cs="Arial"/>
          <w:sz w:val="22"/>
          <w:szCs w:val="22"/>
        </w:rPr>
        <w:t> </w:t>
      </w:r>
      <w:proofErr w:type="spellStart"/>
      <w:r w:rsidRPr="00503070">
        <w:rPr>
          <w:rFonts w:ascii="Arial" w:hAnsi="Arial" w:cs="Arial"/>
          <w:b/>
          <w:sz w:val="22"/>
          <w:szCs w:val="22"/>
        </w:rPr>
        <w:t>Lastovo</w:t>
      </w:r>
      <w:proofErr w:type="spellEnd"/>
      <w:r w:rsidRPr="00503070">
        <w:rPr>
          <w:rFonts w:ascii="Arial" w:hAnsi="Arial" w:cs="Arial"/>
          <w:b/>
          <w:sz w:val="22"/>
          <w:szCs w:val="22"/>
        </w:rPr>
        <w:t xml:space="preserve"> </w:t>
      </w:r>
      <w:proofErr w:type="spellStart"/>
      <w:r w:rsidRPr="00503070">
        <w:rPr>
          <w:rFonts w:ascii="Arial" w:hAnsi="Arial" w:cs="Arial"/>
          <w:b/>
          <w:sz w:val="22"/>
          <w:szCs w:val="22"/>
        </w:rPr>
        <w:t>Poklad</w:t>
      </w:r>
      <w:proofErr w:type="spellEnd"/>
      <w:r w:rsidRPr="00503070">
        <w:rPr>
          <w:rFonts w:ascii="Arial" w:hAnsi="Arial" w:cs="Arial"/>
          <w:b/>
          <w:sz w:val="22"/>
          <w:szCs w:val="22"/>
        </w:rPr>
        <w:t xml:space="preserve"> » par la communauté</w:t>
      </w:r>
      <w:r w:rsidRPr="00503070">
        <w:rPr>
          <w:rFonts w:ascii="Arial" w:hAnsi="Arial" w:cs="Arial"/>
          <w:sz w:val="22"/>
          <w:szCs w:val="22"/>
        </w:rPr>
        <w:t xml:space="preserve"> en tant que programme, projet ou activité reflétant le mieux les principes et objectifs de la Convention ;</w:t>
      </w:r>
    </w:p>
    <w:p w14:paraId="5F26A660" w14:textId="77777777" w:rsidR="0091689E" w:rsidRPr="00503070" w:rsidRDefault="0091689E" w:rsidP="001E17AF">
      <w:pPr>
        <w:numPr>
          <w:ilvl w:val="0"/>
          <w:numId w:val="112"/>
        </w:numPr>
        <w:tabs>
          <w:tab w:val="left" w:pos="1134"/>
          <w:tab w:val="left" w:pos="1701"/>
          <w:tab w:val="left" w:pos="2268"/>
        </w:tabs>
        <w:spacing w:before="120" w:after="120"/>
        <w:ind w:left="567" w:hanging="567"/>
        <w:jc w:val="both"/>
        <w:rPr>
          <w:rFonts w:ascii="Arial" w:hAnsi="Arial" w:cs="Arial"/>
          <w:bCs/>
          <w:sz w:val="22"/>
          <w:szCs w:val="22"/>
        </w:rPr>
      </w:pPr>
      <w:r w:rsidRPr="00503070">
        <w:rPr>
          <w:rFonts w:ascii="Arial" w:hAnsi="Arial" w:cs="Arial"/>
          <w:sz w:val="22"/>
          <w:szCs w:val="22"/>
          <w:u w:val="single"/>
        </w:rPr>
        <w:t>Félicite</w:t>
      </w:r>
      <w:r w:rsidRPr="00503070">
        <w:rPr>
          <w:rFonts w:ascii="Arial" w:hAnsi="Arial" w:cs="Arial"/>
          <w:sz w:val="22"/>
          <w:szCs w:val="22"/>
        </w:rPr>
        <w:t xml:space="preserve"> l’État partie pour son modèle de sauvegarde, qui promeut l’intégration harmonieuse des pratiques culturelles avec la conservation de la nature dans une zone écologiquement protégée.</w:t>
      </w:r>
    </w:p>
    <w:p w14:paraId="00600061" w14:textId="6D6C3462" w:rsidR="004A07F8" w:rsidRPr="00503070" w:rsidRDefault="004A07F8" w:rsidP="004A07F8">
      <w:pPr>
        <w:pStyle w:val="COMTitleDecision"/>
      </w:pPr>
      <w:r w:rsidRPr="00503070">
        <w:t>DÉCISION 20.COM 8</w:t>
      </w:r>
    </w:p>
    <w:p w14:paraId="7DFB4301" w14:textId="77777777" w:rsidR="004A07F8" w:rsidRPr="00503070" w:rsidRDefault="004A07F8" w:rsidP="004A07F8">
      <w:pPr>
        <w:pStyle w:val="COMPreambulaDecisions"/>
        <w:ind w:left="0"/>
        <w:rPr>
          <w:rFonts w:eastAsia="SimSun"/>
        </w:rPr>
      </w:pPr>
      <w:r w:rsidRPr="00503070">
        <w:t>Le Comité,</w:t>
      </w:r>
    </w:p>
    <w:p w14:paraId="2B467F4B" w14:textId="77777777" w:rsidR="004A07F8" w:rsidRPr="00503070" w:rsidRDefault="004A07F8" w:rsidP="004A07F8">
      <w:pPr>
        <w:pStyle w:val="Style1"/>
        <w:numPr>
          <w:ilvl w:val="0"/>
          <w:numId w:val="17"/>
        </w:numPr>
        <w:ind w:left="567" w:hanging="567"/>
        <w:rPr>
          <w:lang w:val="fr-FR"/>
        </w:rPr>
      </w:pPr>
      <w:r w:rsidRPr="00503070">
        <w:rPr>
          <w:u w:val="single"/>
          <w:lang w:val="fr-FR"/>
        </w:rPr>
        <w:t>Ayant examiné</w:t>
      </w:r>
      <w:r w:rsidRPr="00503070">
        <w:rPr>
          <w:lang w:val="fr-FR"/>
        </w:rPr>
        <w:t xml:space="preserve"> le document </w:t>
      </w:r>
      <w:hyperlink r:id="rId77" w:history="1">
        <w:r w:rsidRPr="00503070">
          <w:rPr>
            <w:rStyle w:val="Hyperlink"/>
            <w:lang w:val="fr-FR"/>
          </w:rPr>
          <w:t>LHE/25/20.COM/8</w:t>
        </w:r>
      </w:hyperlink>
      <w:r w:rsidRPr="00503070">
        <w:rPr>
          <w:lang w:val="fr-FR"/>
        </w:rPr>
        <w:t xml:space="preserve"> et son annexe,</w:t>
      </w:r>
    </w:p>
    <w:p w14:paraId="4A8E20C2" w14:textId="3D60C168" w:rsidR="004A07F8" w:rsidRPr="00503070" w:rsidRDefault="004A07F8" w:rsidP="004A07F8">
      <w:pPr>
        <w:pStyle w:val="Style1"/>
        <w:numPr>
          <w:ilvl w:val="0"/>
          <w:numId w:val="17"/>
        </w:numPr>
        <w:ind w:left="567" w:hanging="567"/>
        <w:rPr>
          <w:lang w:val="fr-FR"/>
        </w:rPr>
      </w:pPr>
      <w:r w:rsidRPr="00503070">
        <w:rPr>
          <w:u w:val="single"/>
          <w:lang w:val="fr-FR"/>
        </w:rPr>
        <w:t>Rappelant</w:t>
      </w:r>
      <w:r w:rsidRPr="00503070">
        <w:rPr>
          <w:lang w:val="fr-FR"/>
        </w:rPr>
        <w:t xml:space="preserve"> le sous-chapitre</w:t>
      </w:r>
      <w:r w:rsidR="007B515F" w:rsidRPr="00503070">
        <w:rPr>
          <w:lang w:val="fr-FR"/>
        </w:rPr>
        <w:t xml:space="preserve"> </w:t>
      </w:r>
      <w:r w:rsidRPr="00503070">
        <w:rPr>
          <w:lang w:val="fr-FR"/>
        </w:rPr>
        <w:t>I.15 des Directives opérationnelles,</w:t>
      </w:r>
    </w:p>
    <w:p w14:paraId="498B9B60" w14:textId="77777777" w:rsidR="004A07F8" w:rsidRPr="00503070" w:rsidRDefault="004A07F8" w:rsidP="004A07F8">
      <w:pPr>
        <w:pStyle w:val="Style1"/>
        <w:numPr>
          <w:ilvl w:val="0"/>
          <w:numId w:val="17"/>
        </w:numPr>
        <w:ind w:left="567" w:hanging="567"/>
        <w:rPr>
          <w:lang w:val="fr-FR"/>
        </w:rPr>
      </w:pPr>
      <w:r w:rsidRPr="00503070">
        <w:rPr>
          <w:u w:val="single"/>
          <w:lang w:val="fr-FR"/>
        </w:rPr>
        <w:t>Rappelant en outre</w:t>
      </w:r>
      <w:r w:rsidRPr="00503070">
        <w:rPr>
          <w:lang w:val="fr-FR"/>
        </w:rPr>
        <w:t xml:space="preserve"> la décision </w:t>
      </w:r>
      <w:hyperlink r:id="rId78" w:history="1">
        <w:r w:rsidRPr="00503070">
          <w:rPr>
            <w:rStyle w:val="Hyperlink"/>
            <w:lang w:val="fr-FR"/>
          </w:rPr>
          <w:t>19.COM 15</w:t>
        </w:r>
      </w:hyperlink>
      <w:r w:rsidRPr="00503070">
        <w:rPr>
          <w:color w:val="000000" w:themeColor="text1"/>
          <w:lang w:val="fr-FR"/>
        </w:rPr>
        <w:t>,</w:t>
      </w:r>
    </w:p>
    <w:p w14:paraId="0BD4971B" w14:textId="77777777" w:rsidR="004A07F8" w:rsidRPr="00503070" w:rsidRDefault="004A07F8" w:rsidP="004A07F8">
      <w:pPr>
        <w:pStyle w:val="Style1"/>
        <w:numPr>
          <w:ilvl w:val="0"/>
          <w:numId w:val="17"/>
        </w:numPr>
        <w:ind w:left="567" w:hanging="567"/>
        <w:rPr>
          <w:lang w:val="fr-FR"/>
        </w:rPr>
      </w:pPr>
      <w:r w:rsidRPr="00503070">
        <w:rPr>
          <w:u w:val="single"/>
          <w:lang w:val="fr-FR"/>
        </w:rPr>
        <w:t>Prend note</w:t>
      </w:r>
      <w:r w:rsidRPr="00503070">
        <w:rPr>
          <w:lang w:val="fr-FR"/>
        </w:rPr>
        <w:t xml:space="preserve"> des questions soulevées concernant le traitement des dossiers pour les mécanismes d’inscription sur les listes de la Convention, </w:t>
      </w:r>
      <w:r w:rsidRPr="00503070">
        <w:rPr>
          <w:u w:val="single"/>
          <w:lang w:val="fr-FR"/>
        </w:rPr>
        <w:t>apprécie</w:t>
      </w:r>
      <w:r w:rsidRPr="00503070">
        <w:rPr>
          <w:lang w:val="fr-FR"/>
        </w:rPr>
        <w:t xml:space="preserve"> les effets positifs de l’approche actuelle pour soutenir les efforts des États et des communautés et </w:t>
      </w:r>
      <w:r w:rsidRPr="00503070">
        <w:rPr>
          <w:u w:val="single"/>
          <w:lang w:val="fr-FR"/>
        </w:rPr>
        <w:t>recommande</w:t>
      </w:r>
      <w:r w:rsidRPr="00503070">
        <w:rPr>
          <w:lang w:val="fr-FR"/>
        </w:rPr>
        <w:t xml:space="preserve"> que l’Assemblée générale, lors de sa onzième session, approuve les amendements aux Directives opérationnelles pour la mise en œuvre de la Convention, tels qu’annexés à la présente décision ;</w:t>
      </w:r>
    </w:p>
    <w:p w14:paraId="62270761" w14:textId="6FDC5BA0" w:rsidR="007A49ED" w:rsidRPr="00503070" w:rsidRDefault="007A49ED" w:rsidP="002654A4">
      <w:pPr>
        <w:pStyle w:val="Style1"/>
        <w:numPr>
          <w:ilvl w:val="0"/>
          <w:numId w:val="17"/>
        </w:numPr>
        <w:ind w:left="567" w:hanging="567"/>
        <w:rPr>
          <w:lang w:val="fr-FR"/>
        </w:rPr>
      </w:pPr>
      <w:r w:rsidRPr="00503070">
        <w:rPr>
          <w:u w:val="single"/>
          <w:lang w:val="fr-FR"/>
        </w:rPr>
        <w:t>Invite</w:t>
      </w:r>
      <w:r w:rsidRPr="00503070">
        <w:rPr>
          <w:lang w:val="fr-FR"/>
        </w:rPr>
        <w:t xml:space="preserve"> les Etats parties à s’abstenir d’apporter des modifications substantielles lors du processus de vérification </w:t>
      </w:r>
      <w:r w:rsidR="008A4FB9" w:rsidRPr="00503070">
        <w:rPr>
          <w:lang w:val="fr-FR"/>
        </w:rPr>
        <w:t xml:space="preserve">de </w:t>
      </w:r>
      <w:r w:rsidRPr="00503070">
        <w:rPr>
          <w:lang w:val="fr-FR"/>
        </w:rPr>
        <w:t>complétude</w:t>
      </w:r>
      <w:r w:rsidR="00076220" w:rsidRPr="00503070">
        <w:rPr>
          <w:lang w:val="fr-FR"/>
        </w:rPr>
        <w:t xml:space="preserve"> technique</w:t>
      </w:r>
      <w:r w:rsidRPr="00503070">
        <w:rPr>
          <w:lang w:val="fr-FR"/>
        </w:rPr>
        <w:t xml:space="preserve">, et </w:t>
      </w:r>
      <w:r w:rsidRPr="00503070">
        <w:rPr>
          <w:u w:val="single"/>
          <w:lang w:val="fr-FR"/>
        </w:rPr>
        <w:t>demande</w:t>
      </w:r>
      <w:r w:rsidRPr="00503070">
        <w:rPr>
          <w:lang w:val="fr-FR"/>
        </w:rPr>
        <w:t xml:space="preserve"> </w:t>
      </w:r>
      <w:r w:rsidR="00076220" w:rsidRPr="00503070">
        <w:rPr>
          <w:lang w:val="fr-FR"/>
        </w:rPr>
        <w:t>en</w:t>
      </w:r>
      <w:r w:rsidRPr="00503070">
        <w:rPr>
          <w:lang w:val="fr-FR"/>
        </w:rPr>
        <w:t xml:space="preserve"> même temps au </w:t>
      </w:r>
      <w:r w:rsidR="008A4FB9" w:rsidRPr="00503070">
        <w:rPr>
          <w:lang w:val="fr-FR"/>
        </w:rPr>
        <w:t>Secrétariat</w:t>
      </w:r>
      <w:r w:rsidRPr="00503070">
        <w:rPr>
          <w:lang w:val="fr-FR"/>
        </w:rPr>
        <w:t xml:space="preserve"> d’étudier les moyens de fournir des informations au Comité et à l’Organe d’évaluation sur les changements </w:t>
      </w:r>
      <w:r w:rsidR="00295029" w:rsidRPr="00503070">
        <w:rPr>
          <w:lang w:val="fr-FR"/>
        </w:rPr>
        <w:t>effectués</w:t>
      </w:r>
      <w:r w:rsidRPr="00503070">
        <w:rPr>
          <w:lang w:val="fr-FR"/>
        </w:rPr>
        <w:t xml:space="preserve"> lors du processus de vérification de complétude technique</w:t>
      </w:r>
      <w:r w:rsidR="003C2464" w:rsidRPr="00503070">
        <w:rPr>
          <w:lang w:val="fr-FR"/>
        </w:rPr>
        <w:t> ;</w:t>
      </w:r>
      <w:r w:rsidRPr="00503070">
        <w:rPr>
          <w:lang w:val="fr-FR"/>
        </w:rPr>
        <w:t xml:space="preserve"> </w:t>
      </w:r>
    </w:p>
    <w:p w14:paraId="75B5A97E" w14:textId="13A97321" w:rsidR="004A07F8" w:rsidRPr="00503070" w:rsidRDefault="004A07F8" w:rsidP="004A07F8">
      <w:pPr>
        <w:pStyle w:val="Style1"/>
        <w:numPr>
          <w:ilvl w:val="0"/>
          <w:numId w:val="17"/>
        </w:numPr>
        <w:ind w:left="567" w:hanging="567"/>
        <w:rPr>
          <w:lang w:val="fr-FR"/>
        </w:rPr>
      </w:pPr>
      <w:r w:rsidRPr="00503070">
        <w:rPr>
          <w:u w:val="single"/>
          <w:lang w:val="fr-FR"/>
        </w:rPr>
        <w:t>Prend note</w:t>
      </w:r>
      <w:r w:rsidRPr="00503070">
        <w:rPr>
          <w:lang w:val="fr-FR"/>
        </w:rPr>
        <w:t xml:space="preserve"> en outre des mesures prises pour promouvoir l’accès et accroître la visibilité du Registre de bonnes pratiques de sauvegarde, </w:t>
      </w:r>
      <w:r w:rsidRPr="00503070">
        <w:rPr>
          <w:u w:val="single"/>
          <w:lang w:val="fr-FR"/>
        </w:rPr>
        <w:t>demande</w:t>
      </w:r>
      <w:r w:rsidRPr="00503070">
        <w:rPr>
          <w:lang w:val="fr-FR"/>
        </w:rPr>
        <w:t xml:space="preserve"> au Secrétariat de continuer à suivre les tendances concernant le traitement des propositions au Registre de bonnes pratiques de sauvegarde tout en rendant opérationnelle la plateforme en ligne en cours de mise en place pour une mise en œuvre plus large de l’article 18, et </w:t>
      </w:r>
      <w:r w:rsidRPr="00503070">
        <w:rPr>
          <w:u w:val="single"/>
          <w:lang w:val="fr-FR"/>
        </w:rPr>
        <w:t>demande en outre</w:t>
      </w:r>
      <w:r w:rsidRPr="00503070">
        <w:rPr>
          <w:lang w:val="fr-FR"/>
        </w:rPr>
        <w:t xml:space="preserve"> au Secrétariat de rendre compte de la situation pour examen par le Comité lors de sa vingt-deuxième session</w:t>
      </w:r>
      <w:r w:rsidR="003C2464" w:rsidRPr="00503070">
        <w:rPr>
          <w:lang w:val="fr-FR"/>
        </w:rPr>
        <w:t> ;</w:t>
      </w:r>
    </w:p>
    <w:p w14:paraId="62E8DDF3" w14:textId="36801A0E" w:rsidR="008A4FB9" w:rsidRDefault="008A4FB9" w:rsidP="004A07F8">
      <w:pPr>
        <w:pStyle w:val="Style1"/>
        <w:numPr>
          <w:ilvl w:val="0"/>
          <w:numId w:val="17"/>
        </w:numPr>
        <w:ind w:left="567" w:hanging="567"/>
        <w:rPr>
          <w:lang w:val="fr-FR"/>
        </w:rPr>
      </w:pPr>
      <w:r w:rsidRPr="00503070">
        <w:rPr>
          <w:u w:val="single"/>
          <w:lang w:val="fr-FR"/>
        </w:rPr>
        <w:t>Demande</w:t>
      </w:r>
      <w:r w:rsidRPr="00503070">
        <w:rPr>
          <w:lang w:val="fr-FR"/>
        </w:rPr>
        <w:t xml:space="preserve"> au Secrétariat de publier, dès que possible après l’établissement du cycle suivant, la liste des dossiers de candidature en attente.</w:t>
      </w:r>
    </w:p>
    <w:p w14:paraId="0D00235E" w14:textId="321EC08D" w:rsidR="00021E9F" w:rsidRPr="00796D2C" w:rsidRDefault="009825B1" w:rsidP="00796D2C">
      <w:pPr>
        <w:jc w:val="center"/>
        <w:rPr>
          <w:rFonts w:ascii="Arial" w:hAnsi="Arial" w:cs="Arial"/>
          <w:b/>
          <w:bCs/>
          <w:sz w:val="22"/>
          <w:szCs w:val="22"/>
        </w:rPr>
      </w:pPr>
      <w:r w:rsidRPr="00796D2C">
        <w:rPr>
          <w:rFonts w:ascii="Arial" w:hAnsi="Arial" w:cs="Arial"/>
          <w:b/>
          <w:bCs/>
          <w:sz w:val="22"/>
          <w:szCs w:val="22"/>
        </w:rPr>
        <w:t>ANNEXE</w:t>
      </w:r>
      <w:r w:rsidR="00730BDA" w:rsidRPr="00796D2C">
        <w:rPr>
          <w:rFonts w:ascii="Arial" w:hAnsi="Arial" w:cs="Arial"/>
          <w:b/>
          <w:bCs/>
          <w:sz w:val="22"/>
          <w:szCs w:val="22"/>
        </w:rPr>
        <w:br/>
      </w:r>
      <w:r w:rsidRPr="00796D2C">
        <w:rPr>
          <w:rFonts w:ascii="Arial" w:hAnsi="Arial" w:cs="Arial"/>
          <w:b/>
          <w:bCs/>
          <w:sz w:val="22"/>
          <w:szCs w:val="22"/>
        </w:rPr>
        <w:t>Propositions d’amendements aux Directives opérationnelles</w:t>
      </w:r>
    </w:p>
    <w:p w14:paraId="4EB9700E" w14:textId="548A2F1C" w:rsidR="00730BDA" w:rsidRPr="00107BBF" w:rsidRDefault="00730BDA" w:rsidP="00796D2C">
      <w:pPr>
        <w:jc w:val="center"/>
        <w:rPr>
          <w:rFonts w:ascii="Arial" w:hAnsi="Arial" w:cs="Arial"/>
          <w:sz w:val="20"/>
          <w:szCs w:val="20"/>
          <w:u w:val="single"/>
        </w:rPr>
      </w:pPr>
      <w:r w:rsidRPr="00107BBF">
        <w:rPr>
          <w:rFonts w:ascii="Arial" w:hAnsi="Arial" w:cs="Arial"/>
          <w:b/>
          <w:bCs/>
          <w:sz w:val="20"/>
          <w:szCs w:val="20"/>
          <w:u w:val="single"/>
        </w:rPr>
        <w:t>Note :</w:t>
      </w:r>
      <w:r w:rsidRPr="00107BBF">
        <w:rPr>
          <w:rFonts w:ascii="Arial" w:hAnsi="Arial" w:cs="Arial"/>
          <w:sz w:val="20"/>
          <w:szCs w:val="20"/>
          <w:u w:val="single"/>
        </w:rPr>
        <w:t xml:space="preserve"> </w:t>
      </w:r>
      <w:r w:rsidR="004135EA" w:rsidRPr="00107BBF">
        <w:rPr>
          <w:rFonts w:ascii="Arial" w:hAnsi="Arial" w:cs="Arial"/>
          <w:sz w:val="20"/>
          <w:szCs w:val="20"/>
          <w:u w:val="single"/>
        </w:rPr>
        <w:t xml:space="preserve">Les parties surlignées en gris correspondent aux révisions proposées aux </w:t>
      </w:r>
      <w:r w:rsidR="004135EA" w:rsidRPr="00107BBF">
        <w:rPr>
          <w:rFonts w:ascii="Arial" w:hAnsi="Arial" w:cs="Arial"/>
          <w:sz w:val="20"/>
          <w:szCs w:val="20"/>
          <w:u w:val="single"/>
        </w:rPr>
        <w:br/>
        <w:t xml:space="preserve">Directives opérationnelles visées par la décision 20.COM </w:t>
      </w:r>
      <w:r w:rsidR="00FC23AA" w:rsidRPr="00107BBF">
        <w:rPr>
          <w:rFonts w:ascii="Arial" w:hAnsi="Arial" w:cs="Arial"/>
          <w:sz w:val="20"/>
          <w:szCs w:val="20"/>
          <w:u w:val="single"/>
        </w:rPr>
        <w:t>6.c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7"/>
        <w:gridCol w:w="8681"/>
      </w:tblGrid>
      <w:tr w:rsidR="00EC6347" w:rsidRPr="00291FC3" w14:paraId="3CACB8FD" w14:textId="77777777" w:rsidTr="00097CD3">
        <w:tc>
          <w:tcPr>
            <w:tcW w:w="248" w:type="pct"/>
          </w:tcPr>
          <w:p w14:paraId="41BAC277" w14:textId="77777777" w:rsidR="00EC6347" w:rsidRPr="00291FC3" w:rsidRDefault="00EC6347" w:rsidP="00097CD3">
            <w:pPr>
              <w:spacing w:before="120" w:after="120"/>
              <w:jc w:val="both"/>
              <w:rPr>
                <w:rFonts w:ascii="Arial" w:hAnsi="Arial" w:cs="Arial"/>
                <w:b/>
                <w:bCs/>
                <w:sz w:val="22"/>
                <w:szCs w:val="22"/>
              </w:rPr>
            </w:pPr>
            <w:r w:rsidRPr="00291FC3">
              <w:rPr>
                <w:rFonts w:ascii="Arial" w:hAnsi="Arial"/>
                <w:b/>
                <w:sz w:val="22"/>
              </w:rPr>
              <w:t>I.15</w:t>
            </w:r>
          </w:p>
        </w:tc>
        <w:tc>
          <w:tcPr>
            <w:tcW w:w="2271" w:type="pct"/>
          </w:tcPr>
          <w:p w14:paraId="34C31FEE" w14:textId="77777777" w:rsidR="00EC6347" w:rsidRPr="00291FC3" w:rsidRDefault="00EC6347" w:rsidP="00097CD3">
            <w:pPr>
              <w:spacing w:before="120" w:after="120"/>
              <w:jc w:val="both"/>
              <w:rPr>
                <w:rFonts w:ascii="Arial" w:hAnsi="Arial" w:cs="Arial"/>
                <w:sz w:val="22"/>
                <w:szCs w:val="22"/>
              </w:rPr>
            </w:pPr>
            <w:r w:rsidRPr="00291FC3">
              <w:rPr>
                <w:rFonts w:ascii="Arial" w:hAnsi="Arial"/>
                <w:sz w:val="22"/>
              </w:rPr>
              <w:t>Aucun changement.</w:t>
            </w:r>
          </w:p>
        </w:tc>
      </w:tr>
      <w:tr w:rsidR="00EC6347" w:rsidRPr="00291FC3" w14:paraId="5A632CB7" w14:textId="77777777" w:rsidTr="00097CD3">
        <w:tc>
          <w:tcPr>
            <w:tcW w:w="248" w:type="pct"/>
            <w:tcBorders>
              <w:top w:val="single" w:sz="4" w:space="0" w:color="auto"/>
              <w:left w:val="single" w:sz="4" w:space="0" w:color="auto"/>
              <w:bottom w:val="single" w:sz="4" w:space="0" w:color="auto"/>
              <w:right w:val="single" w:sz="4" w:space="0" w:color="auto"/>
            </w:tcBorders>
          </w:tcPr>
          <w:p w14:paraId="49419F58" w14:textId="77777777" w:rsidR="00EC6347" w:rsidRPr="00291FC3" w:rsidRDefault="00EC6347" w:rsidP="00097CD3">
            <w:pPr>
              <w:spacing w:before="120" w:after="120"/>
              <w:jc w:val="both"/>
              <w:rPr>
                <w:rFonts w:ascii="Arial" w:hAnsi="Arial" w:cs="Arial"/>
                <w:b/>
                <w:bCs/>
                <w:sz w:val="22"/>
                <w:szCs w:val="22"/>
              </w:rPr>
            </w:pPr>
            <w:r w:rsidRPr="00291FC3">
              <w:rPr>
                <w:rFonts w:ascii="Arial" w:hAnsi="Arial"/>
                <w:b/>
                <w:sz w:val="22"/>
              </w:rPr>
              <w:lastRenderedPageBreak/>
              <w:t>54</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98"/>
            </w:tblGrid>
            <w:tr w:rsidR="00EC6347" w:rsidRPr="00291FC3" w14:paraId="03B25029" w14:textId="77777777" w:rsidTr="00EC6347">
              <w:trPr>
                <w:cantSplit/>
              </w:trPr>
              <w:tc>
                <w:tcPr>
                  <w:tcW w:w="1596" w:type="dxa"/>
                </w:tcPr>
                <w:p w14:paraId="758AE036"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Phase 1 :</w:t>
                  </w:r>
                </w:p>
              </w:tc>
              <w:tc>
                <w:tcPr>
                  <w:tcW w:w="6698" w:type="dxa"/>
                </w:tcPr>
                <w:p w14:paraId="6BC87160"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r w:rsidR="00EC6347" w:rsidRPr="00291FC3" w14:paraId="583FC81C" w14:textId="77777777" w:rsidTr="00EC6347">
              <w:trPr>
                <w:cantSplit/>
              </w:trPr>
              <w:tc>
                <w:tcPr>
                  <w:tcW w:w="1596" w:type="dxa"/>
                </w:tcPr>
                <w:p w14:paraId="6AB9F81A"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31 mars</w:t>
                  </w:r>
                </w:p>
                <w:p w14:paraId="7B6FFB06"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0</w:t>
                  </w:r>
                </w:p>
              </w:tc>
              <w:tc>
                <w:tcPr>
                  <w:tcW w:w="6698" w:type="dxa"/>
                </w:tcPr>
                <w:p w14:paraId="11FDFF82"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r w:rsidR="00EC6347" w:rsidRPr="00291FC3" w14:paraId="79E23F6B" w14:textId="77777777" w:rsidTr="00EC6347">
              <w:trPr>
                <w:cantSplit/>
              </w:trPr>
              <w:tc>
                <w:tcPr>
                  <w:tcW w:w="1596" w:type="dxa"/>
                </w:tcPr>
                <w:p w14:paraId="21ECC89E" w14:textId="77777777" w:rsidR="00EC6347" w:rsidRPr="00291FC3" w:rsidRDefault="00EC6347" w:rsidP="00097CD3">
                  <w:pPr>
                    <w:spacing w:before="60" w:after="60"/>
                    <w:jc w:val="right"/>
                    <w:rPr>
                      <w:rFonts w:ascii="Arial" w:hAnsi="Arial" w:cs="Arial"/>
                      <w:strike/>
                      <w:sz w:val="22"/>
                      <w:szCs w:val="22"/>
                      <w:highlight w:val="lightGray"/>
                    </w:rPr>
                  </w:pPr>
                  <w:r w:rsidRPr="00291FC3">
                    <w:rPr>
                      <w:rFonts w:ascii="Arial" w:hAnsi="Arial"/>
                      <w:strike/>
                      <w:sz w:val="22"/>
                      <w:highlight w:val="lightGray"/>
                    </w:rPr>
                    <w:t>15 décembre</w:t>
                  </w:r>
                </w:p>
                <w:p w14:paraId="13D92533" w14:textId="77777777" w:rsidR="00EC6347" w:rsidRPr="00291FC3" w:rsidRDefault="00EC6347" w:rsidP="00097CD3">
                  <w:pPr>
                    <w:spacing w:before="60" w:after="60"/>
                    <w:jc w:val="right"/>
                    <w:rPr>
                      <w:rFonts w:ascii="Arial" w:hAnsi="Arial" w:cs="Arial"/>
                      <w:sz w:val="22"/>
                      <w:szCs w:val="22"/>
                      <w:highlight w:val="lightGray"/>
                    </w:rPr>
                  </w:pPr>
                  <w:proofErr w:type="gramStart"/>
                  <w:r w:rsidRPr="00291FC3">
                    <w:rPr>
                      <w:rFonts w:ascii="Arial" w:hAnsi="Arial"/>
                      <w:strike/>
                      <w:sz w:val="22"/>
                      <w:highlight w:val="lightGray"/>
                    </w:rPr>
                    <w:t>année</w:t>
                  </w:r>
                  <w:proofErr w:type="gramEnd"/>
                  <w:r w:rsidRPr="00291FC3">
                    <w:rPr>
                      <w:rFonts w:ascii="Arial" w:hAnsi="Arial"/>
                      <w:strike/>
                      <w:sz w:val="22"/>
                      <w:highlight w:val="lightGray"/>
                    </w:rPr>
                    <w:t xml:space="preserve"> 0</w:t>
                  </w:r>
                </w:p>
              </w:tc>
              <w:tc>
                <w:tcPr>
                  <w:tcW w:w="6698" w:type="dxa"/>
                </w:tcPr>
                <w:p w14:paraId="0C74DA2A" w14:textId="77777777" w:rsidR="00EC6347" w:rsidRPr="00291FC3" w:rsidRDefault="00EC6347" w:rsidP="00097CD3">
                  <w:pPr>
                    <w:spacing w:before="60" w:after="60"/>
                    <w:jc w:val="both"/>
                    <w:rPr>
                      <w:rFonts w:ascii="Arial" w:hAnsi="Arial" w:cs="Arial"/>
                      <w:strike/>
                      <w:sz w:val="22"/>
                      <w:szCs w:val="22"/>
                      <w:highlight w:val="lightGray"/>
                    </w:rPr>
                  </w:pPr>
                  <w:r w:rsidRPr="00291FC3">
                    <w:rPr>
                      <w:rFonts w:ascii="Arial" w:hAnsi="Arial"/>
                      <w:strike/>
                      <w:sz w:val="22"/>
                      <w:highlight w:val="lightGray"/>
                    </w:rPr>
                    <w:t>Date limite pour la soumission des demandes de transfert de la Liste du patrimoine culturel immatériel nécessitant une sauvegarde urgente à la Liste représentative du patrimoine culturel immatériel de l’humanité.</w:t>
                  </w:r>
                </w:p>
              </w:tc>
            </w:tr>
            <w:tr w:rsidR="00EC6347" w:rsidRPr="00291FC3" w14:paraId="29DA4F6B" w14:textId="77777777" w:rsidTr="00EC6347">
              <w:trPr>
                <w:cantSplit/>
              </w:trPr>
              <w:tc>
                <w:tcPr>
                  <w:tcW w:w="1596" w:type="dxa"/>
                </w:tcPr>
                <w:p w14:paraId="77A7D49E"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31 mars</w:t>
                  </w:r>
                </w:p>
                <w:p w14:paraId="7C94AF33"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1</w:t>
                  </w:r>
                </w:p>
              </w:tc>
              <w:tc>
                <w:tcPr>
                  <w:tcW w:w="6698" w:type="dxa"/>
                </w:tcPr>
                <w:p w14:paraId="6F1236D4" w14:textId="77777777" w:rsidR="00EC6347" w:rsidRPr="00291FC3" w:rsidRDefault="00EC6347" w:rsidP="00097CD3">
                  <w:pPr>
                    <w:spacing w:before="60" w:after="60"/>
                    <w:jc w:val="both"/>
                    <w:rPr>
                      <w:rFonts w:ascii="Arial" w:hAnsi="Arial"/>
                      <w:sz w:val="22"/>
                    </w:rPr>
                  </w:pPr>
                  <w:r w:rsidRPr="00291FC3">
                    <w:rPr>
                      <w:rFonts w:ascii="Arial" w:hAnsi="Arial"/>
                      <w:sz w:val="22"/>
                    </w:rPr>
                    <w:t>Aucun changement</w:t>
                  </w:r>
                </w:p>
                <w:p w14:paraId="3782A3FF" w14:textId="77777777" w:rsidR="00EC6347" w:rsidRPr="00291FC3" w:rsidRDefault="00EC6347" w:rsidP="00097CD3">
                  <w:pPr>
                    <w:jc w:val="both"/>
                    <w:rPr>
                      <w:rFonts w:ascii="Arial" w:hAnsi="Arial" w:cs="Arial"/>
                      <w:sz w:val="22"/>
                      <w:szCs w:val="22"/>
                    </w:rPr>
                  </w:pPr>
                </w:p>
              </w:tc>
            </w:tr>
            <w:tr w:rsidR="00EC6347" w:rsidRPr="00291FC3" w14:paraId="7923EC69" w14:textId="77777777" w:rsidTr="00EC6347">
              <w:trPr>
                <w:cantSplit/>
              </w:trPr>
              <w:tc>
                <w:tcPr>
                  <w:tcW w:w="1596" w:type="dxa"/>
                </w:tcPr>
                <w:p w14:paraId="37259749" w14:textId="77777777" w:rsidR="00EC6347" w:rsidRPr="00291FC3" w:rsidRDefault="00EC6347" w:rsidP="00097CD3">
                  <w:pPr>
                    <w:spacing w:before="60" w:after="60"/>
                    <w:jc w:val="right"/>
                    <w:rPr>
                      <w:rFonts w:ascii="Arial" w:hAnsi="Arial" w:cs="Arial"/>
                      <w:b/>
                      <w:bCs/>
                      <w:sz w:val="22"/>
                      <w:szCs w:val="22"/>
                      <w:highlight w:val="lightGray"/>
                      <w:u w:val="single"/>
                    </w:rPr>
                  </w:pPr>
                  <w:r w:rsidRPr="00291FC3">
                    <w:rPr>
                      <w:rFonts w:ascii="Arial" w:hAnsi="Arial"/>
                      <w:b/>
                      <w:sz w:val="22"/>
                      <w:highlight w:val="lightGray"/>
                      <w:u w:val="single"/>
                    </w:rPr>
                    <w:t>30 juin</w:t>
                  </w:r>
                </w:p>
                <w:p w14:paraId="38299613" w14:textId="77777777" w:rsidR="00EC6347" w:rsidRPr="00291FC3" w:rsidRDefault="00EC6347" w:rsidP="00097CD3">
                  <w:pPr>
                    <w:spacing w:before="60" w:after="60"/>
                    <w:jc w:val="right"/>
                    <w:rPr>
                      <w:rFonts w:ascii="Arial" w:hAnsi="Arial" w:cs="Arial"/>
                      <w:sz w:val="22"/>
                      <w:szCs w:val="22"/>
                      <w:highlight w:val="lightGray"/>
                    </w:rPr>
                  </w:pPr>
                  <w:proofErr w:type="gramStart"/>
                  <w:r w:rsidRPr="00291FC3">
                    <w:rPr>
                      <w:rFonts w:ascii="Arial" w:hAnsi="Arial"/>
                      <w:b/>
                      <w:sz w:val="22"/>
                      <w:highlight w:val="lightGray"/>
                      <w:u w:val="single"/>
                    </w:rPr>
                    <w:t>année</w:t>
                  </w:r>
                  <w:proofErr w:type="gramEnd"/>
                  <w:r w:rsidRPr="00291FC3">
                    <w:rPr>
                      <w:rFonts w:ascii="Arial" w:hAnsi="Arial"/>
                      <w:b/>
                      <w:sz w:val="22"/>
                      <w:highlight w:val="lightGray"/>
                      <w:u w:val="single"/>
                    </w:rPr>
                    <w:t xml:space="preserve"> 1</w:t>
                  </w:r>
                </w:p>
              </w:tc>
              <w:tc>
                <w:tcPr>
                  <w:tcW w:w="6698" w:type="dxa"/>
                </w:tcPr>
                <w:p w14:paraId="2E6F267A" w14:textId="77777777" w:rsidR="00EC6347" w:rsidRPr="00291FC3" w:rsidRDefault="00EC6347" w:rsidP="00097CD3">
                  <w:pPr>
                    <w:spacing w:before="60" w:after="60"/>
                    <w:jc w:val="both"/>
                    <w:rPr>
                      <w:rFonts w:ascii="Arial" w:hAnsi="Arial" w:cs="Arial"/>
                      <w:b/>
                      <w:bCs/>
                      <w:sz w:val="22"/>
                      <w:szCs w:val="22"/>
                      <w:highlight w:val="lightGray"/>
                      <w:u w:val="single"/>
                    </w:rPr>
                  </w:pPr>
                  <w:r w:rsidRPr="00291FC3">
                    <w:rPr>
                      <w:rFonts w:ascii="Arial" w:hAnsi="Arial"/>
                      <w:b/>
                      <w:sz w:val="22"/>
                      <w:highlight w:val="lightGray"/>
                      <w:u w:val="single"/>
                    </w:rPr>
                    <w:t>Date limite pour la soumission des demandes de transfert de la Liste du patrimoine culturel immatériel nécessitant une sauvegarde urgente à la Liste représentative du patrimoine culturel immatériel de l’humanité.</w:t>
                  </w:r>
                </w:p>
              </w:tc>
            </w:tr>
            <w:tr w:rsidR="00EC6347" w:rsidRPr="00291FC3" w14:paraId="572D9F67" w14:textId="77777777" w:rsidTr="00EC6347">
              <w:trPr>
                <w:cantSplit/>
              </w:trPr>
              <w:tc>
                <w:tcPr>
                  <w:tcW w:w="1596" w:type="dxa"/>
                </w:tcPr>
                <w:p w14:paraId="72316D08" w14:textId="77777777" w:rsidR="00EC6347" w:rsidRPr="00291FC3" w:rsidRDefault="00EC6347" w:rsidP="00097CD3">
                  <w:pPr>
                    <w:spacing w:before="60" w:after="60"/>
                    <w:jc w:val="right"/>
                    <w:rPr>
                      <w:rFonts w:ascii="Arial" w:hAnsi="Arial" w:cs="Arial"/>
                      <w:strike/>
                      <w:sz w:val="22"/>
                      <w:szCs w:val="22"/>
                      <w:u w:val="single"/>
                    </w:rPr>
                  </w:pPr>
                  <w:r w:rsidRPr="00291FC3">
                    <w:rPr>
                      <w:rFonts w:ascii="Arial" w:hAnsi="Arial"/>
                      <w:strike/>
                      <w:sz w:val="22"/>
                    </w:rPr>
                    <w:t>30 juin</w:t>
                  </w:r>
                  <w:r w:rsidRPr="00291FC3">
                    <w:rPr>
                      <w:rFonts w:ascii="Arial" w:hAnsi="Arial"/>
                      <w:strike/>
                      <w:sz w:val="22"/>
                      <w:u w:val="single"/>
                    </w:rPr>
                    <w:t xml:space="preserve"> </w:t>
                  </w:r>
                </w:p>
                <w:p w14:paraId="6D30B388" w14:textId="77777777" w:rsidR="00EC6347" w:rsidRPr="00291FC3" w:rsidRDefault="00EC6347" w:rsidP="00097CD3">
                  <w:pPr>
                    <w:spacing w:before="60" w:after="60"/>
                    <w:jc w:val="right"/>
                    <w:rPr>
                      <w:rFonts w:ascii="Arial" w:hAnsi="Arial" w:cs="Arial"/>
                      <w:sz w:val="22"/>
                      <w:szCs w:val="22"/>
                    </w:rPr>
                  </w:pPr>
                  <w:r w:rsidRPr="00291FC3">
                    <w:rPr>
                      <w:rFonts w:ascii="Arial" w:hAnsi="Arial"/>
                      <w:b/>
                      <w:sz w:val="22"/>
                      <w:u w:val="single"/>
                    </w:rPr>
                    <w:t>31 août</w:t>
                  </w:r>
                </w:p>
                <w:p w14:paraId="00644A57"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1</w:t>
                  </w:r>
                </w:p>
              </w:tc>
              <w:tc>
                <w:tcPr>
                  <w:tcW w:w="6698" w:type="dxa"/>
                </w:tcPr>
                <w:p w14:paraId="2284AEAB" w14:textId="77777777" w:rsidR="00EC6347" w:rsidRPr="005E71C1" w:rsidRDefault="00EC6347" w:rsidP="00097CD3">
                  <w:pPr>
                    <w:spacing w:before="60" w:after="60"/>
                    <w:jc w:val="both"/>
                    <w:rPr>
                      <w:rFonts w:ascii="Arial" w:hAnsi="Arial"/>
                      <w:sz w:val="22"/>
                    </w:rPr>
                  </w:pPr>
                  <w:r w:rsidRPr="00291FC3">
                    <w:rPr>
                      <w:rFonts w:ascii="Arial" w:hAnsi="Arial"/>
                      <w:sz w:val="22"/>
                    </w:rPr>
                    <w:t>Date limite à laquelle le Secrétariat doit avoir traité les dossiers, y compris l’enregistrement et l’accusé de réception. Si un dossier est incomplet, l’État partie est invité à le compléter.</w:t>
                  </w:r>
                </w:p>
              </w:tc>
            </w:tr>
            <w:tr w:rsidR="00EC6347" w:rsidRPr="00291FC3" w14:paraId="276E4846" w14:textId="77777777" w:rsidTr="00EC6347">
              <w:trPr>
                <w:cantSplit/>
              </w:trPr>
              <w:tc>
                <w:tcPr>
                  <w:tcW w:w="1596" w:type="dxa"/>
                </w:tcPr>
                <w:p w14:paraId="0C490D02" w14:textId="77777777" w:rsidR="00EC6347" w:rsidRPr="00291FC3" w:rsidRDefault="00EC6347" w:rsidP="00097CD3">
                  <w:pPr>
                    <w:spacing w:before="60" w:after="60"/>
                    <w:jc w:val="right"/>
                    <w:rPr>
                      <w:rFonts w:ascii="Arial" w:hAnsi="Arial" w:cs="Arial"/>
                      <w:strike/>
                      <w:sz w:val="22"/>
                      <w:szCs w:val="22"/>
                    </w:rPr>
                  </w:pPr>
                  <w:r w:rsidRPr="00291FC3">
                    <w:rPr>
                      <w:rFonts w:ascii="Arial" w:hAnsi="Arial"/>
                      <w:strike/>
                      <w:sz w:val="22"/>
                    </w:rPr>
                    <w:t>30 septembre</w:t>
                  </w:r>
                </w:p>
                <w:p w14:paraId="6984D05A" w14:textId="77777777" w:rsidR="00EC6347" w:rsidRPr="00291FC3" w:rsidRDefault="00EC6347" w:rsidP="00097CD3">
                  <w:pPr>
                    <w:spacing w:before="60" w:after="60"/>
                    <w:jc w:val="right"/>
                    <w:rPr>
                      <w:rFonts w:ascii="Arial" w:hAnsi="Arial" w:cs="Arial"/>
                      <w:b/>
                      <w:bCs/>
                      <w:sz w:val="22"/>
                      <w:szCs w:val="22"/>
                      <w:u w:val="single"/>
                    </w:rPr>
                  </w:pPr>
                  <w:r w:rsidRPr="00291FC3">
                    <w:rPr>
                      <w:rFonts w:ascii="Arial" w:hAnsi="Arial"/>
                      <w:b/>
                      <w:sz w:val="22"/>
                      <w:u w:val="single"/>
                    </w:rPr>
                    <w:t>30 novembre</w:t>
                  </w:r>
                </w:p>
                <w:p w14:paraId="273A099A"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1</w:t>
                  </w:r>
                </w:p>
              </w:tc>
              <w:tc>
                <w:tcPr>
                  <w:tcW w:w="6698" w:type="dxa"/>
                </w:tcPr>
                <w:p w14:paraId="788F2AEA"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 xml:space="preserve">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w:t>
                  </w:r>
                  <w:proofErr w:type="gramStart"/>
                  <w:r w:rsidRPr="00291FC3">
                    <w:rPr>
                      <w:rFonts w:ascii="Arial" w:hAnsi="Arial"/>
                      <w:sz w:val="22"/>
                    </w:rPr>
                    <w:t>suite à</w:t>
                  </w:r>
                  <w:proofErr w:type="gramEnd"/>
                  <w:r w:rsidRPr="00291FC3">
                    <w:rPr>
                      <w:rFonts w:ascii="Arial" w:hAnsi="Arial"/>
                      <w:sz w:val="22"/>
                    </w:rPr>
                    <w:t xml:space="preserve"> ses demandes d’informations complémentaires sont publiés sur le site et remplacent les dossiers initialement reçus. Leurs traductions en anglais ou en français sont également publiées sur le site dès qu’elles sont disponibles.</w:t>
                  </w:r>
                </w:p>
              </w:tc>
            </w:tr>
            <w:tr w:rsidR="00EC6347" w:rsidRPr="00291FC3" w14:paraId="5C43F4AB" w14:textId="77777777" w:rsidTr="00EC6347">
              <w:trPr>
                <w:cantSplit/>
              </w:trPr>
              <w:tc>
                <w:tcPr>
                  <w:tcW w:w="1596" w:type="dxa"/>
                </w:tcPr>
                <w:p w14:paraId="4CD7633F"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31 janvier</w:t>
                  </w:r>
                </w:p>
                <w:p w14:paraId="7E073C1A"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2</w:t>
                  </w:r>
                </w:p>
              </w:tc>
              <w:tc>
                <w:tcPr>
                  <w:tcW w:w="6698" w:type="dxa"/>
                </w:tcPr>
                <w:p w14:paraId="7699B7F0" w14:textId="77777777" w:rsidR="00EC6347" w:rsidRDefault="00EC6347" w:rsidP="00097CD3">
                  <w:pPr>
                    <w:spacing w:before="60" w:after="60"/>
                    <w:jc w:val="both"/>
                    <w:rPr>
                      <w:rFonts w:ascii="Arial" w:hAnsi="Arial"/>
                      <w:sz w:val="22"/>
                    </w:rPr>
                  </w:pPr>
                  <w:r w:rsidRPr="00291FC3">
                    <w:rPr>
                      <w:rFonts w:ascii="Arial" w:hAnsi="Arial"/>
                      <w:sz w:val="22"/>
                    </w:rPr>
                    <w:t>Aucun changement.</w:t>
                  </w:r>
                </w:p>
                <w:p w14:paraId="48F78F5E" w14:textId="77777777" w:rsidR="00EC6347" w:rsidRPr="00291FC3" w:rsidRDefault="00EC6347" w:rsidP="00097CD3">
                  <w:pPr>
                    <w:spacing w:before="60" w:after="60"/>
                    <w:jc w:val="both"/>
                    <w:rPr>
                      <w:rFonts w:ascii="Arial" w:hAnsi="Arial" w:cs="Arial"/>
                      <w:sz w:val="22"/>
                      <w:szCs w:val="22"/>
                    </w:rPr>
                  </w:pPr>
                </w:p>
              </w:tc>
            </w:tr>
          </w:tbl>
          <w:p w14:paraId="360E3710" w14:textId="77777777" w:rsidR="00EC6347" w:rsidRPr="00291FC3" w:rsidRDefault="00EC6347" w:rsidP="00097CD3">
            <w:pPr>
              <w:spacing w:before="120" w:after="120"/>
              <w:jc w:val="both"/>
              <w:rPr>
                <w:rFonts w:ascii="Arial" w:hAnsi="Arial" w:cs="Arial"/>
                <w:sz w:val="22"/>
                <w:szCs w:val="22"/>
              </w:rPr>
            </w:pPr>
          </w:p>
        </w:tc>
      </w:tr>
      <w:tr w:rsidR="00EC6347" w:rsidRPr="00291FC3" w14:paraId="4CDCDD3E" w14:textId="77777777" w:rsidTr="00097CD3">
        <w:tc>
          <w:tcPr>
            <w:tcW w:w="248" w:type="pct"/>
            <w:tcBorders>
              <w:top w:val="single" w:sz="4" w:space="0" w:color="auto"/>
              <w:left w:val="single" w:sz="4" w:space="0" w:color="auto"/>
              <w:bottom w:val="single" w:sz="4" w:space="0" w:color="auto"/>
              <w:right w:val="single" w:sz="4" w:space="0" w:color="auto"/>
            </w:tcBorders>
          </w:tcPr>
          <w:p w14:paraId="29B74265" w14:textId="77777777" w:rsidR="00EC6347" w:rsidRPr="00291FC3" w:rsidRDefault="00EC6347" w:rsidP="00097CD3">
            <w:pPr>
              <w:spacing w:before="120" w:after="120"/>
              <w:jc w:val="both"/>
              <w:rPr>
                <w:rFonts w:ascii="Arial" w:hAnsi="Arial" w:cs="Arial"/>
                <w:b/>
                <w:bCs/>
                <w:sz w:val="22"/>
                <w:szCs w:val="22"/>
              </w:rPr>
            </w:pPr>
            <w:r>
              <w:rPr>
                <w:rFonts w:ascii="Arial" w:hAnsi="Arial" w:cs="Arial"/>
                <w:b/>
                <w:bCs/>
                <w:sz w:val="22"/>
                <w:szCs w:val="22"/>
              </w:rPr>
              <w:t>55</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8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6930"/>
            </w:tblGrid>
            <w:tr w:rsidR="00EC6347" w:rsidRPr="00291FC3" w14:paraId="5773E78E" w14:textId="77777777" w:rsidTr="008F746B">
              <w:trPr>
                <w:cantSplit/>
              </w:trPr>
              <w:tc>
                <w:tcPr>
                  <w:tcW w:w="1364" w:type="dxa"/>
                </w:tcPr>
                <w:p w14:paraId="767AF554"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Phase 2 :</w:t>
                  </w:r>
                </w:p>
              </w:tc>
              <w:tc>
                <w:tcPr>
                  <w:tcW w:w="6930" w:type="dxa"/>
                </w:tcPr>
                <w:p w14:paraId="66229325"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r w:rsidR="00EC6347" w:rsidRPr="00291FC3" w14:paraId="72E282D0" w14:textId="77777777" w:rsidTr="008F746B">
              <w:trPr>
                <w:cantSplit/>
              </w:trPr>
              <w:tc>
                <w:tcPr>
                  <w:tcW w:w="1364" w:type="dxa"/>
                </w:tcPr>
                <w:p w14:paraId="148708C2"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décembre</w:t>
                  </w:r>
                  <w:proofErr w:type="gramEnd"/>
                  <w:r w:rsidRPr="00291FC3">
                    <w:rPr>
                      <w:rFonts w:ascii="Arial" w:hAnsi="Arial"/>
                      <w:sz w:val="22"/>
                    </w:rPr>
                    <w:t xml:space="preserve"> année 1 à </w:t>
                  </w:r>
                  <w:r w:rsidRPr="00291FC3">
                    <w:rPr>
                      <w:rFonts w:ascii="Arial" w:hAnsi="Arial"/>
                      <w:strike/>
                      <w:sz w:val="22"/>
                    </w:rPr>
                    <w:t>mai</w:t>
                  </w:r>
                  <w:r w:rsidRPr="00291FC3">
                    <w:rPr>
                      <w:rFonts w:ascii="Arial" w:hAnsi="Arial"/>
                      <w:sz w:val="22"/>
                    </w:rPr>
                    <w:t xml:space="preserve"> </w:t>
                  </w:r>
                  <w:r w:rsidRPr="00291FC3">
                    <w:rPr>
                      <w:rFonts w:ascii="Arial" w:hAnsi="Arial"/>
                      <w:b/>
                      <w:bCs/>
                      <w:sz w:val="22"/>
                      <w:u w:val="single"/>
                    </w:rPr>
                    <w:t>juin</w:t>
                  </w:r>
                  <w:r w:rsidRPr="00291FC3">
                    <w:rPr>
                      <w:rFonts w:ascii="Arial" w:hAnsi="Arial"/>
                      <w:sz w:val="22"/>
                    </w:rPr>
                    <w:t xml:space="preserve"> année 2</w:t>
                  </w:r>
                </w:p>
              </w:tc>
              <w:tc>
                <w:tcPr>
                  <w:tcW w:w="6930" w:type="dxa"/>
                </w:tcPr>
                <w:p w14:paraId="1B67A99C"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Évaluation individuelle des dossiers par les membres de l’Organe d’évaluation.</w:t>
                  </w:r>
                </w:p>
              </w:tc>
            </w:tr>
            <w:tr w:rsidR="00EC6347" w:rsidRPr="00291FC3" w14:paraId="491F59F8" w14:textId="77777777" w:rsidTr="008F746B">
              <w:trPr>
                <w:cantSplit/>
              </w:trPr>
              <w:tc>
                <w:tcPr>
                  <w:tcW w:w="1364" w:type="dxa"/>
                </w:tcPr>
                <w:p w14:paraId="76C147CA"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juin</w:t>
                  </w:r>
                  <w:proofErr w:type="gramEnd"/>
                  <w:r w:rsidRPr="00291FC3">
                    <w:rPr>
                      <w:rFonts w:ascii="Arial" w:hAnsi="Arial"/>
                      <w:sz w:val="22"/>
                    </w:rPr>
                    <w:t xml:space="preserve"> </w:t>
                  </w:r>
                </w:p>
                <w:p w14:paraId="6FEC15AD"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2</w:t>
                  </w:r>
                </w:p>
              </w:tc>
              <w:tc>
                <w:tcPr>
                  <w:tcW w:w="6930" w:type="dxa"/>
                </w:tcPr>
                <w:p w14:paraId="4F089372"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p w14:paraId="08FF6701" w14:textId="77777777" w:rsidR="00EC6347" w:rsidRPr="00291FC3" w:rsidRDefault="00EC6347" w:rsidP="00097CD3">
                  <w:pPr>
                    <w:spacing w:before="60" w:after="60"/>
                    <w:jc w:val="both"/>
                    <w:rPr>
                      <w:rFonts w:ascii="Arial" w:hAnsi="Arial" w:cs="Arial"/>
                      <w:sz w:val="22"/>
                      <w:szCs w:val="22"/>
                    </w:rPr>
                  </w:pPr>
                </w:p>
              </w:tc>
            </w:tr>
            <w:tr w:rsidR="00EC6347" w:rsidRPr="00291FC3" w14:paraId="396B517B" w14:textId="77777777" w:rsidTr="008F746B">
              <w:trPr>
                <w:cantSplit/>
              </w:trPr>
              <w:tc>
                <w:tcPr>
                  <w:tcW w:w="1364" w:type="dxa"/>
                </w:tcPr>
                <w:p w14:paraId="52CB594E"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Deux semaines après la réunion de juin année 2</w:t>
                  </w:r>
                </w:p>
              </w:tc>
              <w:tc>
                <w:tcPr>
                  <w:tcW w:w="6930" w:type="dxa"/>
                </w:tcPr>
                <w:p w14:paraId="5E2DF9D9"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p w14:paraId="4806A7C0" w14:textId="77777777" w:rsidR="00EC6347" w:rsidRDefault="00EC6347" w:rsidP="00097CD3">
                  <w:pPr>
                    <w:spacing w:before="60" w:after="60"/>
                    <w:jc w:val="both"/>
                    <w:rPr>
                      <w:rFonts w:ascii="Arial" w:hAnsi="Arial" w:cs="Arial"/>
                      <w:sz w:val="22"/>
                      <w:szCs w:val="22"/>
                    </w:rPr>
                  </w:pPr>
                </w:p>
                <w:p w14:paraId="425E5EE5" w14:textId="77777777" w:rsidR="00EC6347" w:rsidRPr="00291FC3" w:rsidRDefault="00EC6347" w:rsidP="00097CD3">
                  <w:pPr>
                    <w:spacing w:before="60"/>
                    <w:jc w:val="both"/>
                    <w:rPr>
                      <w:rFonts w:ascii="Arial" w:hAnsi="Arial" w:cs="Arial"/>
                      <w:sz w:val="22"/>
                      <w:szCs w:val="22"/>
                    </w:rPr>
                  </w:pPr>
                </w:p>
              </w:tc>
            </w:tr>
            <w:tr w:rsidR="00EC6347" w:rsidRPr="00291FC3" w14:paraId="09F5F1FA" w14:textId="77777777" w:rsidTr="008F746B">
              <w:trPr>
                <w:cantSplit/>
              </w:trPr>
              <w:tc>
                <w:tcPr>
                  <w:tcW w:w="1364" w:type="dxa"/>
                </w:tcPr>
                <w:p w14:paraId="6521B0CD"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Au plus tard en septembre année 2</w:t>
                  </w:r>
                </w:p>
              </w:tc>
              <w:tc>
                <w:tcPr>
                  <w:tcW w:w="6930" w:type="dxa"/>
                </w:tcPr>
                <w:p w14:paraId="58888F7F"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r w:rsidR="00EC6347" w:rsidRPr="00291FC3" w14:paraId="54C8F2F4" w14:textId="77777777" w:rsidTr="008F746B">
              <w:trPr>
                <w:cantSplit/>
              </w:trPr>
              <w:tc>
                <w:tcPr>
                  <w:tcW w:w="1364" w:type="dxa"/>
                </w:tcPr>
                <w:p w14:paraId="3B50BA72"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lastRenderedPageBreak/>
                    <w:t>Quatre semaines avant la session du Comité</w:t>
                  </w:r>
                </w:p>
              </w:tc>
              <w:tc>
                <w:tcPr>
                  <w:tcW w:w="6930" w:type="dxa"/>
                </w:tcPr>
                <w:p w14:paraId="230D6ADA"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bl>
          <w:p w14:paraId="3C1D589A" w14:textId="77777777" w:rsidR="00EC6347" w:rsidRPr="00291FC3" w:rsidRDefault="00EC6347" w:rsidP="00097CD3">
            <w:pPr>
              <w:spacing w:before="60" w:after="60"/>
              <w:jc w:val="right"/>
              <w:rPr>
                <w:rFonts w:ascii="Arial" w:hAnsi="Arial" w:cs="Arial"/>
                <w:sz w:val="22"/>
                <w:szCs w:val="22"/>
              </w:rPr>
            </w:pPr>
          </w:p>
        </w:tc>
      </w:tr>
      <w:tr w:rsidR="00EC6347" w:rsidRPr="00291FC3" w14:paraId="70E54F00" w14:textId="77777777" w:rsidTr="00097CD3">
        <w:tc>
          <w:tcPr>
            <w:tcW w:w="248" w:type="pct"/>
            <w:tcBorders>
              <w:top w:val="single" w:sz="4" w:space="0" w:color="auto"/>
              <w:left w:val="single" w:sz="4" w:space="0" w:color="auto"/>
              <w:bottom w:val="single" w:sz="4" w:space="0" w:color="auto"/>
              <w:right w:val="single" w:sz="4" w:space="0" w:color="auto"/>
            </w:tcBorders>
          </w:tcPr>
          <w:p w14:paraId="5020706F" w14:textId="77777777" w:rsidR="00EC6347" w:rsidRPr="00291FC3" w:rsidRDefault="00EC6347" w:rsidP="00097CD3">
            <w:pPr>
              <w:spacing w:before="120" w:after="120"/>
              <w:jc w:val="both"/>
              <w:rPr>
                <w:rFonts w:ascii="Arial" w:hAnsi="Arial" w:cs="Arial"/>
                <w:b/>
                <w:bCs/>
                <w:sz w:val="22"/>
                <w:szCs w:val="22"/>
              </w:rPr>
            </w:pPr>
            <w:r w:rsidRPr="00291FC3">
              <w:rPr>
                <w:rFonts w:ascii="Arial" w:hAnsi="Arial"/>
                <w:b/>
                <w:sz w:val="22"/>
              </w:rPr>
              <w:lastRenderedPageBreak/>
              <w:t>56</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8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6930"/>
            </w:tblGrid>
            <w:tr w:rsidR="00EC6347" w:rsidRPr="00291FC3" w14:paraId="431FDEBB" w14:textId="77777777" w:rsidTr="008F746B">
              <w:trPr>
                <w:cantSplit/>
              </w:trPr>
              <w:tc>
                <w:tcPr>
                  <w:tcW w:w="1364" w:type="dxa"/>
                </w:tcPr>
                <w:p w14:paraId="07863529" w14:textId="77777777" w:rsidR="00EC6347" w:rsidRPr="00291FC3" w:rsidRDefault="00EC6347" w:rsidP="00097CD3">
                  <w:pPr>
                    <w:spacing w:before="60" w:after="60"/>
                    <w:jc w:val="right"/>
                    <w:rPr>
                      <w:rFonts w:ascii="Arial" w:hAnsi="Arial" w:cs="Arial"/>
                      <w:sz w:val="22"/>
                      <w:szCs w:val="22"/>
                    </w:rPr>
                  </w:pPr>
                  <w:r w:rsidRPr="00291FC3">
                    <w:rPr>
                      <w:rFonts w:ascii="Arial" w:hAnsi="Arial"/>
                      <w:sz w:val="22"/>
                    </w:rPr>
                    <w:t>Phase 3 :</w:t>
                  </w:r>
                </w:p>
              </w:tc>
              <w:tc>
                <w:tcPr>
                  <w:tcW w:w="6930" w:type="dxa"/>
                </w:tcPr>
                <w:p w14:paraId="42B20969" w14:textId="77777777" w:rsidR="00EC6347" w:rsidRPr="00291FC3" w:rsidRDefault="00EC6347" w:rsidP="00097CD3">
                  <w:pPr>
                    <w:spacing w:before="60" w:after="60"/>
                    <w:jc w:val="both"/>
                    <w:rPr>
                      <w:rFonts w:ascii="Arial" w:hAnsi="Arial" w:cs="Arial"/>
                      <w:sz w:val="22"/>
                      <w:szCs w:val="22"/>
                    </w:rPr>
                  </w:pPr>
                  <w:r w:rsidRPr="00291FC3">
                    <w:rPr>
                      <w:rFonts w:ascii="Arial" w:hAnsi="Arial"/>
                      <w:sz w:val="22"/>
                    </w:rPr>
                    <w:t>Aucun changement.</w:t>
                  </w:r>
                </w:p>
              </w:tc>
            </w:tr>
            <w:tr w:rsidR="00EC6347" w:rsidRPr="00291FC3" w14:paraId="3AD89273" w14:textId="77777777" w:rsidTr="008F746B">
              <w:trPr>
                <w:cantSplit/>
              </w:trPr>
              <w:tc>
                <w:tcPr>
                  <w:tcW w:w="1364" w:type="dxa"/>
                </w:tcPr>
                <w:p w14:paraId="38B080C1"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novembre</w:t>
                  </w:r>
                  <w:proofErr w:type="gramEnd"/>
                </w:p>
                <w:p w14:paraId="66483744" w14:textId="77777777" w:rsidR="00EC6347" w:rsidRPr="00291FC3" w:rsidRDefault="00EC6347" w:rsidP="00097CD3">
                  <w:pPr>
                    <w:spacing w:before="60" w:after="60"/>
                    <w:jc w:val="right"/>
                    <w:rPr>
                      <w:rFonts w:ascii="Arial" w:hAnsi="Arial" w:cs="Arial"/>
                      <w:sz w:val="22"/>
                      <w:szCs w:val="22"/>
                    </w:rPr>
                  </w:pPr>
                  <w:proofErr w:type="gramStart"/>
                  <w:r w:rsidRPr="00291FC3">
                    <w:rPr>
                      <w:rFonts w:ascii="Arial" w:hAnsi="Arial"/>
                      <w:sz w:val="22"/>
                    </w:rPr>
                    <w:t>année</w:t>
                  </w:r>
                  <w:proofErr w:type="gramEnd"/>
                  <w:r w:rsidRPr="00291FC3">
                    <w:rPr>
                      <w:rFonts w:ascii="Arial" w:hAnsi="Arial"/>
                      <w:sz w:val="22"/>
                    </w:rPr>
                    <w:t xml:space="preserve"> 2</w:t>
                  </w:r>
                </w:p>
              </w:tc>
              <w:tc>
                <w:tcPr>
                  <w:tcW w:w="6930" w:type="dxa"/>
                </w:tcPr>
                <w:p w14:paraId="7B7D0CA8" w14:textId="77777777" w:rsidR="00EC6347" w:rsidRDefault="00EC6347" w:rsidP="00097CD3">
                  <w:pPr>
                    <w:spacing w:before="60" w:after="60"/>
                    <w:jc w:val="both"/>
                    <w:rPr>
                      <w:rFonts w:ascii="Arial" w:hAnsi="Arial"/>
                      <w:sz w:val="22"/>
                    </w:rPr>
                  </w:pPr>
                  <w:r w:rsidRPr="00291FC3">
                    <w:rPr>
                      <w:rFonts w:ascii="Arial" w:hAnsi="Arial"/>
                      <w:sz w:val="22"/>
                    </w:rPr>
                    <w:t>Aucun changement.</w:t>
                  </w:r>
                </w:p>
                <w:p w14:paraId="075B8AE3" w14:textId="77777777" w:rsidR="00EC6347" w:rsidRDefault="00EC6347" w:rsidP="00097CD3">
                  <w:pPr>
                    <w:spacing w:before="60"/>
                    <w:jc w:val="both"/>
                    <w:rPr>
                      <w:rFonts w:ascii="Arial" w:hAnsi="Arial"/>
                      <w:sz w:val="22"/>
                    </w:rPr>
                  </w:pPr>
                </w:p>
                <w:p w14:paraId="5DEBD1B2" w14:textId="77777777" w:rsidR="00EC6347" w:rsidRPr="00291FC3" w:rsidRDefault="00EC6347" w:rsidP="00097CD3">
                  <w:pPr>
                    <w:jc w:val="both"/>
                    <w:rPr>
                      <w:rFonts w:ascii="Arial" w:hAnsi="Arial" w:cs="Arial"/>
                      <w:sz w:val="22"/>
                      <w:szCs w:val="22"/>
                    </w:rPr>
                  </w:pPr>
                </w:p>
              </w:tc>
            </w:tr>
          </w:tbl>
          <w:p w14:paraId="21771820" w14:textId="77777777" w:rsidR="00EC6347" w:rsidRPr="00291FC3" w:rsidRDefault="00EC6347" w:rsidP="00097CD3">
            <w:pPr>
              <w:spacing w:before="60" w:after="60"/>
              <w:jc w:val="right"/>
              <w:rPr>
                <w:rFonts w:ascii="Arial" w:hAnsi="Arial" w:cs="Arial"/>
                <w:sz w:val="22"/>
                <w:szCs w:val="22"/>
              </w:rPr>
            </w:pPr>
          </w:p>
        </w:tc>
      </w:tr>
    </w:tbl>
    <w:p w14:paraId="79918A44" w14:textId="7AF46629" w:rsidR="00691945" w:rsidRPr="00882882" w:rsidRDefault="00691945" w:rsidP="00691945">
      <w:pPr>
        <w:pStyle w:val="COMTitleDecision"/>
      </w:pPr>
      <w:r w:rsidRPr="00882882">
        <w:t xml:space="preserve">DÉCISION </w:t>
      </w:r>
      <w:r>
        <w:t>20</w:t>
      </w:r>
      <w:r w:rsidRPr="00882882">
        <w:t>.COM 9</w:t>
      </w:r>
      <w:r>
        <w:t>.a</w:t>
      </w:r>
    </w:p>
    <w:p w14:paraId="5F7252FB" w14:textId="77777777" w:rsidR="00691945" w:rsidRPr="00F946F3" w:rsidRDefault="00691945" w:rsidP="00691945">
      <w:pPr>
        <w:pStyle w:val="COMPreambulaDecisions"/>
        <w:ind w:left="0"/>
        <w:rPr>
          <w:rFonts w:eastAsia="SimSun"/>
        </w:rPr>
      </w:pPr>
      <w:r w:rsidRPr="00F946F3">
        <w:t>Le Comité,</w:t>
      </w:r>
    </w:p>
    <w:p w14:paraId="3FE63FD3" w14:textId="77777777" w:rsidR="00691945" w:rsidRPr="00F946F3" w:rsidRDefault="00691945" w:rsidP="001E17AF">
      <w:pPr>
        <w:pStyle w:val="COMParaDecision"/>
        <w:numPr>
          <w:ilvl w:val="0"/>
          <w:numId w:val="114"/>
        </w:numPr>
        <w:ind w:left="567" w:hanging="567"/>
      </w:pPr>
      <w:r w:rsidRPr="00F946F3">
        <w:t>Ayant examiné</w:t>
      </w:r>
      <w:r w:rsidRPr="00F946F3">
        <w:rPr>
          <w:u w:val="none"/>
        </w:rPr>
        <w:t xml:space="preserve"> le document </w:t>
      </w:r>
      <w:hyperlink r:id="rId79" w:history="1">
        <w:r w:rsidRPr="008E7504">
          <w:rPr>
            <w:rStyle w:val="Hyperlink"/>
          </w:rPr>
          <w:t>LHE/25/20.COM/9</w:t>
        </w:r>
      </w:hyperlink>
      <w:r w:rsidRPr="00F946F3">
        <w:rPr>
          <w:u w:val="none"/>
        </w:rPr>
        <w:t xml:space="preserve">, </w:t>
      </w:r>
    </w:p>
    <w:p w14:paraId="7F2B56EB" w14:textId="77777777" w:rsidR="00691945" w:rsidRPr="00F946F3" w:rsidRDefault="00691945" w:rsidP="001E17AF">
      <w:pPr>
        <w:pStyle w:val="COMParaDecision"/>
        <w:numPr>
          <w:ilvl w:val="0"/>
          <w:numId w:val="114"/>
        </w:numPr>
        <w:ind w:left="567" w:hanging="567"/>
      </w:pPr>
      <w:r w:rsidRPr="00F946F3">
        <w:t>Rappelant</w:t>
      </w:r>
      <w:r w:rsidRPr="00F946F3">
        <w:rPr>
          <w:u w:val="none"/>
        </w:rPr>
        <w:t xml:space="preserve"> les décisions </w:t>
      </w:r>
      <w:hyperlink r:id="rId80" w:history="1">
        <w:r w:rsidRPr="00F946F3">
          <w:rPr>
            <w:rStyle w:val="Hyperlink"/>
          </w:rPr>
          <w:t>7.COM 15</w:t>
        </w:r>
      </w:hyperlink>
      <w:r w:rsidRPr="00F946F3">
        <w:rPr>
          <w:u w:val="none"/>
        </w:rPr>
        <w:t xml:space="preserve">, </w:t>
      </w:r>
      <w:hyperlink r:id="rId81" w:history="1">
        <w:r w:rsidRPr="00F946F3">
          <w:rPr>
            <w:rStyle w:val="Hyperlink"/>
          </w:rPr>
          <w:t>13.COM 9</w:t>
        </w:r>
      </w:hyperlink>
      <w:r w:rsidRPr="00F946F3">
        <w:rPr>
          <w:u w:val="none"/>
        </w:rPr>
        <w:t xml:space="preserve"> et </w:t>
      </w:r>
      <w:hyperlink r:id="rId82" w:history="1">
        <w:r w:rsidRPr="00F946F3">
          <w:rPr>
            <w:rStyle w:val="Hyperlink"/>
          </w:rPr>
          <w:t>19.COM 8</w:t>
        </w:r>
      </w:hyperlink>
      <w:r w:rsidRPr="00F946F3">
        <w:rPr>
          <w:u w:val="none"/>
        </w:rPr>
        <w:t xml:space="preserve">, </w:t>
      </w:r>
    </w:p>
    <w:p w14:paraId="3CB26A56" w14:textId="77777777" w:rsidR="00691945" w:rsidRPr="00F946F3" w:rsidRDefault="00691945" w:rsidP="001E17AF">
      <w:pPr>
        <w:pStyle w:val="COMParaDecision"/>
        <w:numPr>
          <w:ilvl w:val="0"/>
          <w:numId w:val="114"/>
        </w:numPr>
        <w:ind w:left="567" w:hanging="567"/>
      </w:pPr>
      <w:r w:rsidRPr="00F946F3">
        <w:t>Prend note</w:t>
      </w:r>
      <w:r w:rsidRPr="00F946F3">
        <w:rPr>
          <w:u w:val="none"/>
        </w:rPr>
        <w:t xml:space="preserve"> de la correspondance concernant six éléments inscrits et trois candidatures en cours portée à l’attention du Secrétariat au cours de la période couverte par le rapport, comme indiqué dans le document susmentionné ; </w:t>
      </w:r>
    </w:p>
    <w:p w14:paraId="507B57E0" w14:textId="08A42448" w:rsidR="00CE6F21" w:rsidRPr="00CE6F21" w:rsidRDefault="00691945" w:rsidP="001E17AF">
      <w:pPr>
        <w:pStyle w:val="COMParaDecision"/>
        <w:numPr>
          <w:ilvl w:val="0"/>
          <w:numId w:val="114"/>
        </w:numPr>
        <w:ind w:left="567" w:hanging="567"/>
        <w:rPr>
          <w:rFonts w:eastAsia="SimSun"/>
        </w:rPr>
      </w:pPr>
      <w:r w:rsidRPr="00E8796A">
        <w:t>Demande</w:t>
      </w:r>
      <w:r w:rsidRPr="00E8796A">
        <w:rPr>
          <w:u w:val="none"/>
        </w:rPr>
        <w:t xml:space="preserve"> que le Secrétariat continue de porter à l’attention du Comité les informations de tierces parties reçues et traitées concernant des éléments déjà </w:t>
      </w:r>
      <w:r w:rsidRPr="001D5CE9">
        <w:rPr>
          <w:u w:val="none"/>
        </w:rPr>
        <w:t>inscrits et les candidatures en cours, sous la forme d’un résumé inclus dans un document de travail</w:t>
      </w:r>
      <w:r w:rsidR="00CE6F21" w:rsidRPr="001D5CE9">
        <w:rPr>
          <w:u w:val="none"/>
        </w:rPr>
        <w:t xml:space="preserve">, </w:t>
      </w:r>
      <w:r w:rsidR="00CE6F21" w:rsidRPr="001D5CE9">
        <w:rPr>
          <w:rFonts w:eastAsia="SimSun"/>
          <w:u w:val="none"/>
        </w:rPr>
        <w:t xml:space="preserve">et fournisse aux membres du Comité, par courriel à titre d’information uniquement, le lien vers la correspondance spécifique reçue, avec le consentement préalable de l’Etat partie concerné, et </w:t>
      </w:r>
      <w:r w:rsidR="00CE6F21" w:rsidRPr="001D5CE9">
        <w:rPr>
          <w:rFonts w:eastAsia="SimSun"/>
        </w:rPr>
        <w:t>souligne</w:t>
      </w:r>
      <w:r w:rsidR="00CE6F21" w:rsidRPr="001D5CE9">
        <w:rPr>
          <w:rFonts w:eastAsia="SimSun"/>
          <w:u w:val="none"/>
        </w:rPr>
        <w:t xml:space="preserve"> la nécessité de garantir la confidentialité du processus</w:t>
      </w:r>
      <w:r w:rsidR="00CE6F21" w:rsidRPr="001D5CE9">
        <w:rPr>
          <w:rFonts w:eastAsia="SimSun"/>
          <w:u w:val="none"/>
        </w:rPr>
        <w:t>.</w:t>
      </w:r>
    </w:p>
    <w:p w14:paraId="030C4144" w14:textId="77777777" w:rsidR="00942574" w:rsidRPr="00503070" w:rsidRDefault="00942574" w:rsidP="00942574">
      <w:pPr>
        <w:pStyle w:val="COMTitleDecision"/>
        <w:keepNext/>
      </w:pPr>
      <w:bookmarkStart w:id="5" w:name="_Hlk212400387"/>
      <w:r w:rsidRPr="00503070">
        <w:t>DÉCISION 20.COM 9.b.1</w:t>
      </w:r>
    </w:p>
    <w:bookmarkEnd w:id="5"/>
    <w:p w14:paraId="08308AD9" w14:textId="77777777" w:rsidR="00942574" w:rsidRPr="00503070" w:rsidRDefault="00942574" w:rsidP="00942574">
      <w:pPr>
        <w:pStyle w:val="COMPreambulaDecisions"/>
        <w:ind w:left="0"/>
        <w:rPr>
          <w:rFonts w:eastAsia="SimSun"/>
        </w:rPr>
      </w:pPr>
      <w:r w:rsidRPr="00503070">
        <w:t>Le Comité,</w:t>
      </w:r>
    </w:p>
    <w:p w14:paraId="494B62B4" w14:textId="77777777" w:rsidR="00942574" w:rsidRPr="00503070" w:rsidRDefault="00942574" w:rsidP="001E17AF">
      <w:pPr>
        <w:pStyle w:val="COMParaDecision"/>
        <w:numPr>
          <w:ilvl w:val="0"/>
          <w:numId w:val="115"/>
        </w:numPr>
        <w:ind w:left="567" w:hanging="567"/>
      </w:pPr>
      <w:r w:rsidRPr="00503070">
        <w:t>Ayant examiné</w:t>
      </w:r>
      <w:r w:rsidRPr="00503070">
        <w:rPr>
          <w:u w:val="none"/>
        </w:rPr>
        <w:t xml:space="preserve"> le document </w:t>
      </w:r>
      <w:hyperlink r:id="rId83" w:history="1">
        <w:r w:rsidRPr="00503070">
          <w:rPr>
            <w:rStyle w:val="Hyperlink"/>
          </w:rPr>
          <w:t>LHE/25/20.COM/9</w:t>
        </w:r>
      </w:hyperlink>
      <w:r w:rsidRPr="00503070">
        <w:rPr>
          <w:u w:val="none"/>
        </w:rPr>
        <w:t>,</w:t>
      </w:r>
    </w:p>
    <w:p w14:paraId="6C1662E1" w14:textId="77777777" w:rsidR="00942574" w:rsidRPr="00503070" w:rsidRDefault="00942574" w:rsidP="00942574">
      <w:pPr>
        <w:pStyle w:val="COMParaDecision"/>
        <w:numPr>
          <w:ilvl w:val="0"/>
          <w:numId w:val="2"/>
        </w:numPr>
        <w:ind w:left="567" w:hanging="567"/>
      </w:pPr>
      <w:r w:rsidRPr="00503070">
        <w:t>Rappelant</w:t>
      </w:r>
      <w:r w:rsidRPr="00503070">
        <w:rPr>
          <w:u w:val="none"/>
        </w:rPr>
        <w:t xml:space="preserve"> la décision </w:t>
      </w:r>
      <w:hyperlink r:id="rId84" w:history="1">
        <w:r w:rsidRPr="00503070">
          <w:rPr>
            <w:rStyle w:val="Hyperlink"/>
          </w:rPr>
          <w:t>7.COM 11.1</w:t>
        </w:r>
      </w:hyperlink>
      <w:r w:rsidRPr="00503070">
        <w:rPr>
          <w:rStyle w:val="Hyperlink"/>
          <w:u w:val="none"/>
        </w:rPr>
        <w:t xml:space="preserve"> </w:t>
      </w:r>
      <w:r w:rsidRPr="00503070">
        <w:rPr>
          <w:u w:val="none"/>
        </w:rPr>
        <w:t>et le chapitre I.12 des Directives opérationnelles,</w:t>
      </w:r>
    </w:p>
    <w:p w14:paraId="31DC37F1" w14:textId="77777777" w:rsidR="00942574" w:rsidRPr="00503070" w:rsidRDefault="00942574" w:rsidP="00942574">
      <w:pPr>
        <w:pStyle w:val="COMParaDecision"/>
        <w:numPr>
          <w:ilvl w:val="0"/>
          <w:numId w:val="2"/>
        </w:numPr>
        <w:ind w:left="567" w:hanging="567"/>
      </w:pPr>
      <w:r w:rsidRPr="00503070">
        <w:t>Prend note</w:t>
      </w:r>
      <w:r w:rsidRPr="00503070">
        <w:rPr>
          <w:u w:val="none"/>
        </w:rPr>
        <w:t xml:space="preserve"> que l’Algérie a demandé la modification du nom « Les rites et les savoir-faire artisanaux associés à la tradition du costume nuptial de Tlemcen », élément inscrit en 2012 sur la Liste représentative du patrimoine culturel immatériel de l’humanité ;</w:t>
      </w:r>
    </w:p>
    <w:p w14:paraId="685AE919" w14:textId="77777777" w:rsidR="00942574" w:rsidRPr="00503070" w:rsidRDefault="00942574" w:rsidP="00942574">
      <w:pPr>
        <w:pStyle w:val="COMParaDecision"/>
        <w:numPr>
          <w:ilvl w:val="0"/>
          <w:numId w:val="2"/>
        </w:numPr>
        <w:ind w:left="567" w:hanging="567"/>
        <w:rPr>
          <w:u w:val="none"/>
        </w:rPr>
      </w:pPr>
      <w:r w:rsidRPr="00503070">
        <w:t>Approuve</w:t>
      </w:r>
      <w:r w:rsidRPr="00503070">
        <w:rPr>
          <w:u w:val="none"/>
        </w:rPr>
        <w:t xml:space="preserve"> la modification proposée par l’Algérie et </w:t>
      </w:r>
      <w:r w:rsidRPr="00503070">
        <w:t>décide</w:t>
      </w:r>
      <w:r w:rsidRPr="00503070">
        <w:rPr>
          <w:u w:val="none"/>
        </w:rPr>
        <w:t xml:space="preserve"> d’ajouter la mention « (le Port du Caftan) » à la section B.3 du formulaire ICH-02 tel que décrit dans le document LHE/25/20.COM/9 ;</w:t>
      </w:r>
    </w:p>
    <w:p w14:paraId="02AD480A" w14:textId="77777777" w:rsidR="00942574" w:rsidRPr="00503070" w:rsidRDefault="00942574" w:rsidP="00942574">
      <w:pPr>
        <w:pStyle w:val="COMParaDecision"/>
        <w:numPr>
          <w:ilvl w:val="0"/>
          <w:numId w:val="2"/>
        </w:numPr>
        <w:ind w:left="567" w:hanging="567"/>
        <w:rPr>
          <w:u w:val="none"/>
        </w:rPr>
      </w:pPr>
      <w:r w:rsidRPr="00503070">
        <w:t>Demande</w:t>
      </w:r>
      <w:r w:rsidRPr="00503070">
        <w:rPr>
          <w:u w:val="none"/>
        </w:rPr>
        <w:t xml:space="preserve"> au Secrétariat d’intégrer cette modification dans toutes ses communications relatives à l’élément concerné.</w:t>
      </w:r>
    </w:p>
    <w:p w14:paraId="4CB166F2" w14:textId="77777777" w:rsidR="00942574" w:rsidRPr="00503070" w:rsidRDefault="00942574" w:rsidP="002009B4">
      <w:pPr>
        <w:pStyle w:val="COMTitleDecision"/>
        <w:keepNext/>
      </w:pPr>
      <w:r w:rsidRPr="00503070">
        <w:t>DÉCISION 20.COM 9.b.2</w:t>
      </w:r>
    </w:p>
    <w:p w14:paraId="4CC73E6A" w14:textId="77777777" w:rsidR="00942574" w:rsidRPr="00503070" w:rsidRDefault="00942574" w:rsidP="00942574">
      <w:pPr>
        <w:pStyle w:val="COMPreambulaDecisions"/>
        <w:ind w:left="0"/>
        <w:rPr>
          <w:rFonts w:eastAsia="SimSun"/>
        </w:rPr>
      </w:pPr>
      <w:r w:rsidRPr="00503070">
        <w:t>Le Comité,</w:t>
      </w:r>
    </w:p>
    <w:p w14:paraId="12B23397" w14:textId="77777777" w:rsidR="00942574" w:rsidRPr="00503070" w:rsidRDefault="00942574" w:rsidP="001E17AF">
      <w:pPr>
        <w:pStyle w:val="COMParaDecision"/>
        <w:numPr>
          <w:ilvl w:val="0"/>
          <w:numId w:val="116"/>
        </w:numPr>
        <w:ind w:left="567" w:hanging="567"/>
      </w:pPr>
      <w:r w:rsidRPr="00503070">
        <w:t>Ayant examiné</w:t>
      </w:r>
      <w:r w:rsidRPr="00503070">
        <w:rPr>
          <w:u w:val="none"/>
        </w:rPr>
        <w:t xml:space="preserve"> le document </w:t>
      </w:r>
      <w:hyperlink r:id="rId85" w:history="1">
        <w:r w:rsidRPr="00503070">
          <w:rPr>
            <w:rStyle w:val="Hyperlink"/>
          </w:rPr>
          <w:t>LHE/25/20.COM/9</w:t>
        </w:r>
      </w:hyperlink>
      <w:r w:rsidRPr="00503070">
        <w:rPr>
          <w:u w:val="none"/>
        </w:rPr>
        <w:t>,</w:t>
      </w:r>
    </w:p>
    <w:p w14:paraId="5971DB7B" w14:textId="77777777" w:rsidR="00942574" w:rsidRPr="00503070" w:rsidRDefault="00942574" w:rsidP="00942574">
      <w:pPr>
        <w:pStyle w:val="COMParaDecision"/>
        <w:numPr>
          <w:ilvl w:val="0"/>
          <w:numId w:val="2"/>
        </w:numPr>
        <w:ind w:left="567" w:hanging="567"/>
      </w:pPr>
      <w:r w:rsidRPr="00503070">
        <w:t>Rappelant</w:t>
      </w:r>
      <w:r w:rsidRPr="00503070">
        <w:rPr>
          <w:u w:val="none"/>
        </w:rPr>
        <w:t xml:space="preserve"> la décision </w:t>
      </w:r>
      <w:hyperlink r:id="rId86" w:history="1">
        <w:r w:rsidRPr="00503070">
          <w:rPr>
            <w:rStyle w:val="Hyperlink"/>
          </w:rPr>
          <w:t>19.COM </w:t>
        </w:r>
        <w:proofErr w:type="gramStart"/>
        <w:r w:rsidRPr="00503070">
          <w:rPr>
            <w:rStyle w:val="Hyperlink"/>
          </w:rPr>
          <w:t>7.b.</w:t>
        </w:r>
        <w:proofErr w:type="gramEnd"/>
        <w:r w:rsidRPr="00503070">
          <w:rPr>
            <w:rStyle w:val="Hyperlink"/>
          </w:rPr>
          <w:t>20</w:t>
        </w:r>
      </w:hyperlink>
      <w:r w:rsidRPr="00503070">
        <w:rPr>
          <w:rStyle w:val="Hyperlink"/>
          <w:u w:val="none"/>
        </w:rPr>
        <w:t xml:space="preserve"> </w:t>
      </w:r>
      <w:r w:rsidRPr="00503070">
        <w:rPr>
          <w:u w:val="none"/>
        </w:rPr>
        <w:t>et le chapitre I.12 des Directives opérationnelles,</w:t>
      </w:r>
    </w:p>
    <w:p w14:paraId="7FFDDD4A" w14:textId="77777777" w:rsidR="00942574" w:rsidRPr="00503070" w:rsidRDefault="00942574" w:rsidP="00942574">
      <w:pPr>
        <w:pStyle w:val="COMParaDecision"/>
        <w:numPr>
          <w:ilvl w:val="0"/>
          <w:numId w:val="2"/>
        </w:numPr>
        <w:ind w:left="567" w:hanging="567"/>
      </w:pPr>
      <w:r w:rsidRPr="00503070">
        <w:t>Prend note</w:t>
      </w:r>
      <w:r w:rsidRPr="00503070">
        <w:rPr>
          <w:u w:val="none"/>
        </w:rPr>
        <w:t xml:space="preserve"> que l’Algérie a demandé la modification du nom « Le costume féminin de cérémonie dans le Grand Est de l’Algérie : savoir-faire associés à la confection et à la parure </w:t>
      </w:r>
      <w:r w:rsidRPr="00503070">
        <w:rPr>
          <w:u w:val="none"/>
        </w:rPr>
        <w:lastRenderedPageBreak/>
        <w:t>de la “Gandoura” et de la “</w:t>
      </w:r>
      <w:proofErr w:type="spellStart"/>
      <w:r w:rsidRPr="00503070">
        <w:rPr>
          <w:u w:val="none"/>
        </w:rPr>
        <w:t>Melehfa</w:t>
      </w:r>
      <w:proofErr w:type="spellEnd"/>
      <w:r w:rsidRPr="00503070">
        <w:rPr>
          <w:u w:val="none"/>
        </w:rPr>
        <w:t>” », élément inscrit en 2024 sur la Liste représentative du patrimoine culturel immatériel de l’humanité ;</w:t>
      </w:r>
    </w:p>
    <w:p w14:paraId="491F5765" w14:textId="77777777" w:rsidR="00942574" w:rsidRPr="00503070" w:rsidRDefault="00942574" w:rsidP="00942574">
      <w:pPr>
        <w:pStyle w:val="COMParaDecision"/>
        <w:keepLines/>
        <w:numPr>
          <w:ilvl w:val="0"/>
          <w:numId w:val="2"/>
        </w:numPr>
        <w:ind w:left="567" w:hanging="567"/>
        <w:rPr>
          <w:u w:val="none"/>
        </w:rPr>
      </w:pPr>
      <w:r w:rsidRPr="00503070">
        <w:t>Approuve</w:t>
      </w:r>
      <w:r w:rsidRPr="00503070">
        <w:rPr>
          <w:u w:val="none"/>
        </w:rPr>
        <w:t xml:space="preserve"> la modification proposée par l’Algérie et </w:t>
      </w:r>
      <w:r w:rsidRPr="00503070">
        <w:t>décide</w:t>
      </w:r>
      <w:r w:rsidRPr="00503070">
        <w:rPr>
          <w:u w:val="none"/>
        </w:rPr>
        <w:t xml:space="preserve"> de modifier le nom de l’élément en « The </w:t>
      </w:r>
      <w:proofErr w:type="spellStart"/>
      <w:r w:rsidRPr="00503070">
        <w:rPr>
          <w:u w:val="none"/>
        </w:rPr>
        <w:t>women’s</w:t>
      </w:r>
      <w:proofErr w:type="spellEnd"/>
      <w:r w:rsidRPr="00503070">
        <w:rPr>
          <w:u w:val="none"/>
        </w:rPr>
        <w:t xml:space="preserve"> </w:t>
      </w:r>
      <w:proofErr w:type="spellStart"/>
      <w:r w:rsidRPr="00503070">
        <w:rPr>
          <w:u w:val="none"/>
        </w:rPr>
        <w:t>ceremonial</w:t>
      </w:r>
      <w:proofErr w:type="spellEnd"/>
      <w:r w:rsidRPr="00503070">
        <w:rPr>
          <w:u w:val="none"/>
        </w:rPr>
        <w:t xml:space="preserve"> costume in the </w:t>
      </w:r>
      <w:proofErr w:type="spellStart"/>
      <w:r w:rsidRPr="00503070">
        <w:rPr>
          <w:u w:val="none"/>
        </w:rPr>
        <w:t>Eastern</w:t>
      </w:r>
      <w:proofErr w:type="spellEnd"/>
      <w:r w:rsidRPr="00503070">
        <w:rPr>
          <w:u w:val="none"/>
        </w:rPr>
        <w:t xml:space="preserve"> </w:t>
      </w:r>
      <w:proofErr w:type="spellStart"/>
      <w:r w:rsidRPr="00503070">
        <w:rPr>
          <w:u w:val="none"/>
        </w:rPr>
        <w:t>region</w:t>
      </w:r>
      <w:proofErr w:type="spellEnd"/>
      <w:r w:rsidRPr="00503070">
        <w:rPr>
          <w:u w:val="none"/>
        </w:rPr>
        <w:t xml:space="preserve"> of Algeria: </w:t>
      </w:r>
      <w:proofErr w:type="spellStart"/>
      <w:r w:rsidRPr="00503070">
        <w:rPr>
          <w:u w:val="none"/>
        </w:rPr>
        <w:t>knowledge</w:t>
      </w:r>
      <w:proofErr w:type="spellEnd"/>
      <w:r w:rsidRPr="00503070">
        <w:rPr>
          <w:u w:val="none"/>
        </w:rPr>
        <w:t xml:space="preserve"> and </w:t>
      </w:r>
      <w:proofErr w:type="spellStart"/>
      <w:r w:rsidRPr="00503070">
        <w:rPr>
          <w:u w:val="none"/>
        </w:rPr>
        <w:t>skills</w:t>
      </w:r>
      <w:proofErr w:type="spellEnd"/>
      <w:r w:rsidRPr="00503070">
        <w:rPr>
          <w:u w:val="none"/>
        </w:rPr>
        <w:t xml:space="preserve"> </w:t>
      </w:r>
      <w:proofErr w:type="spellStart"/>
      <w:r w:rsidRPr="00503070">
        <w:rPr>
          <w:u w:val="none"/>
        </w:rPr>
        <w:t>associated</w:t>
      </w:r>
      <w:proofErr w:type="spellEnd"/>
      <w:r w:rsidRPr="00503070">
        <w:rPr>
          <w:u w:val="none"/>
        </w:rPr>
        <w:t xml:space="preserve"> </w:t>
      </w:r>
      <w:proofErr w:type="spellStart"/>
      <w:r w:rsidRPr="00503070">
        <w:rPr>
          <w:u w:val="none"/>
        </w:rPr>
        <w:t>with</w:t>
      </w:r>
      <w:proofErr w:type="spellEnd"/>
      <w:r w:rsidRPr="00503070">
        <w:rPr>
          <w:u w:val="none"/>
        </w:rPr>
        <w:t xml:space="preserve"> the </w:t>
      </w:r>
      <w:proofErr w:type="spellStart"/>
      <w:r w:rsidRPr="00503070">
        <w:rPr>
          <w:u w:val="none"/>
        </w:rPr>
        <w:t>making</w:t>
      </w:r>
      <w:proofErr w:type="spellEnd"/>
      <w:r w:rsidRPr="00503070">
        <w:rPr>
          <w:u w:val="none"/>
        </w:rPr>
        <w:t xml:space="preserve"> and </w:t>
      </w:r>
      <w:proofErr w:type="spellStart"/>
      <w:r w:rsidRPr="00503070">
        <w:rPr>
          <w:u w:val="none"/>
        </w:rPr>
        <w:t>adornment</w:t>
      </w:r>
      <w:proofErr w:type="spellEnd"/>
      <w:r w:rsidRPr="00503070">
        <w:rPr>
          <w:u w:val="none"/>
        </w:rPr>
        <w:t xml:space="preserve"> of the Gandoura, the </w:t>
      </w:r>
      <w:proofErr w:type="spellStart"/>
      <w:r w:rsidRPr="00503070">
        <w:rPr>
          <w:u w:val="none"/>
        </w:rPr>
        <w:t>Melehfa</w:t>
      </w:r>
      <w:proofErr w:type="spellEnd"/>
      <w:r w:rsidRPr="00503070">
        <w:rPr>
          <w:u w:val="none"/>
        </w:rPr>
        <w:t xml:space="preserve">, the Caftan, the Quat and the </w:t>
      </w:r>
      <w:proofErr w:type="spellStart"/>
      <w:r w:rsidRPr="00503070">
        <w:rPr>
          <w:u w:val="none"/>
        </w:rPr>
        <w:t>Lhef</w:t>
      </w:r>
      <w:proofErr w:type="spellEnd"/>
      <w:r w:rsidRPr="00503070">
        <w:rPr>
          <w:u w:val="none"/>
        </w:rPr>
        <w:t xml:space="preserve"> » en anglais et « Le costume féminin de cérémonies dans le Grand Est de l’Algérie : savoirs et savoir-faire associés à la confection et à la parure de la Gandoura, la </w:t>
      </w:r>
      <w:proofErr w:type="spellStart"/>
      <w:r w:rsidRPr="00503070">
        <w:rPr>
          <w:u w:val="none"/>
        </w:rPr>
        <w:t>Melehfa</w:t>
      </w:r>
      <w:proofErr w:type="spellEnd"/>
      <w:r w:rsidRPr="00503070">
        <w:rPr>
          <w:u w:val="none"/>
        </w:rPr>
        <w:t xml:space="preserve">, le Caftan, le Quat et le </w:t>
      </w:r>
      <w:proofErr w:type="spellStart"/>
      <w:r w:rsidRPr="00503070">
        <w:rPr>
          <w:u w:val="none"/>
        </w:rPr>
        <w:t>Lhef</w:t>
      </w:r>
      <w:proofErr w:type="spellEnd"/>
      <w:r w:rsidRPr="00503070">
        <w:rPr>
          <w:u w:val="none"/>
        </w:rPr>
        <w:t> » en français ;</w:t>
      </w:r>
    </w:p>
    <w:p w14:paraId="52688CBD" w14:textId="77777777" w:rsidR="00942574" w:rsidRPr="00503070" w:rsidRDefault="00942574" w:rsidP="00942574">
      <w:pPr>
        <w:pStyle w:val="COMParaDecision"/>
        <w:numPr>
          <w:ilvl w:val="0"/>
          <w:numId w:val="2"/>
        </w:numPr>
        <w:ind w:left="567" w:hanging="567"/>
      </w:pPr>
      <w:r w:rsidRPr="00503070">
        <w:t>Demande</w:t>
      </w:r>
      <w:r w:rsidRPr="00503070">
        <w:rPr>
          <w:u w:val="none"/>
        </w:rPr>
        <w:t xml:space="preserve"> au Secrétariat d’intégrer cette modification dans toutes ses communications relatives à l’élément concerné.</w:t>
      </w:r>
    </w:p>
    <w:p w14:paraId="26BA6529" w14:textId="77777777" w:rsidR="00E50FBA" w:rsidRPr="00503070" w:rsidRDefault="00E50FBA" w:rsidP="00E50FBA">
      <w:pPr>
        <w:pStyle w:val="COMTitleDecision"/>
        <w:keepNext/>
        <w:rPr>
          <w:bCs/>
        </w:rPr>
      </w:pPr>
      <w:r w:rsidRPr="00503070">
        <w:t>DÉCISION</w:t>
      </w:r>
      <w:r w:rsidRPr="00503070">
        <w:rPr>
          <w:bCs/>
        </w:rPr>
        <w:t xml:space="preserve"> 20.COM 9.b.3 </w:t>
      </w:r>
    </w:p>
    <w:p w14:paraId="57C79B21" w14:textId="77777777" w:rsidR="00E50FBA" w:rsidRPr="00503070" w:rsidRDefault="00E50FBA" w:rsidP="00E50FBA">
      <w:pPr>
        <w:pStyle w:val="COMPreambulaDecisions"/>
        <w:ind w:left="0"/>
        <w:rPr>
          <w:rFonts w:eastAsia="SimSun"/>
        </w:rPr>
      </w:pPr>
      <w:r w:rsidRPr="00503070">
        <w:t>Le Comité,</w:t>
      </w:r>
    </w:p>
    <w:p w14:paraId="1F971489" w14:textId="77777777" w:rsidR="00E50FBA" w:rsidRPr="00503070" w:rsidRDefault="00E50FBA" w:rsidP="001E17AF">
      <w:pPr>
        <w:pStyle w:val="COMParaDecision"/>
        <w:numPr>
          <w:ilvl w:val="0"/>
          <w:numId w:val="125"/>
        </w:numPr>
        <w:ind w:left="567" w:hanging="567"/>
        <w:rPr>
          <w:u w:val="none"/>
        </w:rPr>
      </w:pPr>
      <w:r w:rsidRPr="00503070">
        <w:t>Ayant examiné</w:t>
      </w:r>
      <w:r w:rsidRPr="00503070">
        <w:rPr>
          <w:u w:val="none"/>
        </w:rPr>
        <w:t xml:space="preserve"> le document </w:t>
      </w:r>
      <w:hyperlink r:id="rId87" w:history="1">
        <w:r w:rsidRPr="00503070">
          <w:rPr>
            <w:rStyle w:val="Hyperlink"/>
          </w:rPr>
          <w:t>LHE/25/20.COM/9</w:t>
        </w:r>
      </w:hyperlink>
      <w:r w:rsidRPr="00503070">
        <w:rPr>
          <w:u w:val="none"/>
        </w:rPr>
        <w:t>,</w:t>
      </w:r>
    </w:p>
    <w:p w14:paraId="01FB938E" w14:textId="77777777" w:rsidR="00E50FBA" w:rsidRPr="00503070" w:rsidRDefault="00E50FBA" w:rsidP="001E17AF">
      <w:pPr>
        <w:pStyle w:val="COMParaDecision"/>
        <w:numPr>
          <w:ilvl w:val="0"/>
          <w:numId w:val="125"/>
        </w:numPr>
        <w:ind w:left="567" w:hanging="567"/>
        <w:rPr>
          <w:u w:val="none"/>
        </w:rPr>
      </w:pPr>
      <w:r w:rsidRPr="00503070">
        <w:t>Rappelant</w:t>
      </w:r>
      <w:r w:rsidRPr="00503070">
        <w:rPr>
          <w:u w:val="none"/>
        </w:rPr>
        <w:t xml:space="preserve"> le chapitre I.12 des Directives opérationnelles,</w:t>
      </w:r>
    </w:p>
    <w:p w14:paraId="0EC6FB7E" w14:textId="77777777" w:rsidR="007707C6" w:rsidRPr="00503070" w:rsidRDefault="00E50FBA" w:rsidP="001E17AF">
      <w:pPr>
        <w:pStyle w:val="COMParaDecision"/>
        <w:numPr>
          <w:ilvl w:val="0"/>
          <w:numId w:val="125"/>
        </w:numPr>
        <w:ind w:left="567" w:hanging="567"/>
        <w:rPr>
          <w:bCs/>
          <w:u w:val="none"/>
        </w:rPr>
      </w:pPr>
      <w:r w:rsidRPr="00503070">
        <w:rPr>
          <w:bCs/>
        </w:rPr>
        <w:t>Décide</w:t>
      </w:r>
      <w:r w:rsidRPr="00503070">
        <w:rPr>
          <w:bCs/>
          <w:u w:val="none"/>
        </w:rPr>
        <w:t xml:space="preserve"> d’établir un groupe de travail </w:t>
      </w:r>
      <w:r w:rsidR="00645E81" w:rsidRPr="00503070">
        <w:rPr>
          <w:bCs/>
          <w:u w:val="none"/>
        </w:rPr>
        <w:t xml:space="preserve">intergouvernemental </w:t>
      </w:r>
      <w:r w:rsidRPr="00503070">
        <w:rPr>
          <w:bCs/>
          <w:u w:val="none"/>
        </w:rPr>
        <w:t>à composition non-limitée pour envisager des amendements possibles au paragraphe 41 des Directives opérationnelles au sujet de la modification du</w:t>
      </w:r>
      <w:r w:rsidRPr="00503070">
        <w:rPr>
          <w:bCs/>
          <w:color w:val="FF0000"/>
          <w:u w:val="none"/>
        </w:rPr>
        <w:t xml:space="preserve"> </w:t>
      </w:r>
      <w:r w:rsidRPr="00503070">
        <w:rPr>
          <w:bCs/>
          <w:u w:val="none"/>
        </w:rPr>
        <w:t>nom d’un élément inscrit, afin de :</w:t>
      </w:r>
    </w:p>
    <w:p w14:paraId="78815A74" w14:textId="6401E608" w:rsidR="007707C6" w:rsidRPr="00503070" w:rsidRDefault="00E50FBA" w:rsidP="00C451D4">
      <w:pPr>
        <w:pStyle w:val="COMParaDecision"/>
        <w:ind w:left="709"/>
        <w:rPr>
          <w:bCs/>
          <w:u w:val="none"/>
        </w:rPr>
      </w:pPr>
      <w:r w:rsidRPr="00503070">
        <w:rPr>
          <w:bCs/>
          <w:u w:val="none"/>
        </w:rPr>
        <w:t xml:space="preserve">(i) garantir que toute demande de modification de nom soit soumise à la participation </w:t>
      </w:r>
      <w:proofErr w:type="gramStart"/>
      <w:r w:rsidRPr="00503070">
        <w:rPr>
          <w:bCs/>
          <w:u w:val="none"/>
        </w:rPr>
        <w:t>l</w:t>
      </w:r>
      <w:r w:rsidR="008E491B" w:rsidRPr="00503070">
        <w:rPr>
          <w:bCs/>
          <w:u w:val="none"/>
        </w:rPr>
        <w:t>a</w:t>
      </w:r>
      <w:r w:rsidRPr="00503070">
        <w:rPr>
          <w:bCs/>
          <w:u w:val="none"/>
        </w:rPr>
        <w:t xml:space="preserve"> plus large possible</w:t>
      </w:r>
      <w:proofErr w:type="gramEnd"/>
      <w:r w:rsidRPr="00503070">
        <w:rPr>
          <w:bCs/>
          <w:u w:val="none"/>
        </w:rPr>
        <w:t xml:space="preserve"> des communautés, des groupes ou, le cas échéant, des individus concernés et avec leur consentement libre, préalable, et éclairé ;</w:t>
      </w:r>
    </w:p>
    <w:p w14:paraId="2F384323" w14:textId="2A805D9D" w:rsidR="007707C6" w:rsidRPr="00503070" w:rsidRDefault="00E50FBA" w:rsidP="00C451D4">
      <w:pPr>
        <w:pStyle w:val="COMParaDecision"/>
        <w:ind w:left="709"/>
        <w:rPr>
          <w:bCs/>
          <w:u w:val="none"/>
        </w:rPr>
      </w:pPr>
      <w:r w:rsidRPr="00503070">
        <w:rPr>
          <w:bCs/>
          <w:u w:val="none"/>
        </w:rPr>
        <w:t>(ii) transmettre la demande à l’Organe d’évaluation pour avis avant s</w:t>
      </w:r>
      <w:r w:rsidR="00C451D4" w:rsidRPr="00503070">
        <w:rPr>
          <w:bCs/>
          <w:u w:val="none"/>
        </w:rPr>
        <w:t>on</w:t>
      </w:r>
      <w:r w:rsidRPr="00503070">
        <w:rPr>
          <w:bCs/>
          <w:u w:val="none"/>
        </w:rPr>
        <w:t xml:space="preserve"> </w:t>
      </w:r>
      <w:r w:rsidR="00C451D4" w:rsidRPr="00503070">
        <w:rPr>
          <w:bCs/>
          <w:u w:val="none"/>
        </w:rPr>
        <w:t>examen</w:t>
      </w:r>
      <w:r w:rsidRPr="00503070">
        <w:rPr>
          <w:bCs/>
          <w:u w:val="none"/>
        </w:rPr>
        <w:t xml:space="preserve"> par le Comité</w:t>
      </w:r>
      <w:r w:rsidR="001E671B" w:rsidRPr="00503070">
        <w:rPr>
          <w:bCs/>
          <w:u w:val="none"/>
        </w:rPr>
        <w:t> </w:t>
      </w:r>
      <w:r w:rsidRPr="00503070">
        <w:rPr>
          <w:bCs/>
          <w:u w:val="none"/>
        </w:rPr>
        <w:t>; et</w:t>
      </w:r>
    </w:p>
    <w:p w14:paraId="65EFFF93" w14:textId="6DE33F9F" w:rsidR="00E50FBA" w:rsidRPr="00503070" w:rsidRDefault="00E50FBA" w:rsidP="00C451D4">
      <w:pPr>
        <w:pStyle w:val="COMParaDecision"/>
        <w:ind w:left="709"/>
        <w:rPr>
          <w:bCs/>
          <w:u w:val="none"/>
        </w:rPr>
      </w:pPr>
      <w:r w:rsidRPr="00503070">
        <w:rPr>
          <w:bCs/>
          <w:u w:val="none"/>
        </w:rPr>
        <w:t xml:space="preserve">(iii) </w:t>
      </w:r>
      <w:r w:rsidR="00964936" w:rsidRPr="00503070">
        <w:rPr>
          <w:bCs/>
          <w:u w:val="none"/>
        </w:rPr>
        <w:t>s’</w:t>
      </w:r>
      <w:r w:rsidRPr="00503070">
        <w:rPr>
          <w:bCs/>
          <w:u w:val="none"/>
        </w:rPr>
        <w:t>assurer que toute la documentation fournie</w:t>
      </w:r>
      <w:r w:rsidRPr="00503070">
        <w:rPr>
          <w:bCs/>
          <w:color w:val="FF0000"/>
          <w:u w:val="none"/>
        </w:rPr>
        <w:t xml:space="preserve"> </w:t>
      </w:r>
      <w:r w:rsidRPr="00503070">
        <w:rPr>
          <w:bCs/>
          <w:u w:val="none"/>
        </w:rPr>
        <w:t xml:space="preserve">à l’appui de cette demande, ainsi que l’avis de l’Organe d’évaluation, soient </w:t>
      </w:r>
      <w:proofErr w:type="gramStart"/>
      <w:r w:rsidR="00542D4D" w:rsidRPr="00503070">
        <w:rPr>
          <w:bCs/>
          <w:u w:val="none"/>
        </w:rPr>
        <w:t>transmis</w:t>
      </w:r>
      <w:proofErr w:type="gramEnd"/>
      <w:r w:rsidRPr="00503070">
        <w:rPr>
          <w:bCs/>
          <w:u w:val="none"/>
        </w:rPr>
        <w:t xml:space="preserve"> au Comité préalablement à sa décision</w:t>
      </w:r>
      <w:r w:rsidR="008069BA" w:rsidRPr="00503070">
        <w:rPr>
          <w:bCs/>
          <w:u w:val="none"/>
        </w:rPr>
        <w:t xml:space="preserve"> </w:t>
      </w:r>
      <w:r w:rsidR="00964936" w:rsidRPr="00503070">
        <w:rPr>
          <w:bCs/>
          <w:u w:val="none"/>
        </w:rPr>
        <w:t>à ce sujet</w:t>
      </w:r>
      <w:r w:rsidRPr="00503070">
        <w:rPr>
          <w:bCs/>
          <w:u w:val="none"/>
        </w:rPr>
        <w:t> ;</w:t>
      </w:r>
    </w:p>
    <w:p w14:paraId="432C9626" w14:textId="0F82D28F" w:rsidR="00E50FBA" w:rsidRPr="00503070" w:rsidRDefault="00E50FBA" w:rsidP="001E17AF">
      <w:pPr>
        <w:pStyle w:val="COMParaDecision"/>
        <w:numPr>
          <w:ilvl w:val="0"/>
          <w:numId w:val="125"/>
        </w:numPr>
        <w:ind w:left="567" w:hanging="567"/>
        <w:rPr>
          <w:bCs/>
          <w:u w:val="none"/>
        </w:rPr>
      </w:pPr>
      <w:r w:rsidRPr="00503070">
        <w:rPr>
          <w:bCs/>
        </w:rPr>
        <w:t>Demande</w:t>
      </w:r>
      <w:r w:rsidRPr="00503070">
        <w:rPr>
          <w:bCs/>
          <w:u w:val="none"/>
        </w:rPr>
        <w:t xml:space="preserve"> au Secrétariat de soumettre les amendements proposés par le groupe de travail intergouvernemental à composition non-limitée à l’Assemblée générale, pour </w:t>
      </w:r>
      <w:r w:rsidR="001F6343" w:rsidRPr="00503070">
        <w:rPr>
          <w:bCs/>
          <w:u w:val="none"/>
        </w:rPr>
        <w:t xml:space="preserve">examen </w:t>
      </w:r>
      <w:r w:rsidRPr="00503070">
        <w:rPr>
          <w:bCs/>
          <w:u w:val="none"/>
        </w:rPr>
        <w:t xml:space="preserve">lors de sa onzième session, sous réserve que des fonds supplémentaires au Fonds du patrimoine culturel immatériel soient reçus en temps voulu, et en attendant, </w:t>
      </w:r>
      <w:r w:rsidRPr="00503070">
        <w:rPr>
          <w:bCs/>
        </w:rPr>
        <w:t>décide en outre</w:t>
      </w:r>
      <w:r w:rsidRPr="00503070">
        <w:rPr>
          <w:bCs/>
          <w:u w:val="none"/>
        </w:rPr>
        <w:t xml:space="preserve"> d’encourager les Etats parties à s’abstenir de demander des modifications de noms jusqu’à ce que des procédures claires soient mises en place et que les Directives opérationnelles soient révisées conséquemment ;</w:t>
      </w:r>
    </w:p>
    <w:p w14:paraId="2089114A" w14:textId="77777777" w:rsidR="00E50FBA" w:rsidRPr="00503070" w:rsidRDefault="00E50FBA" w:rsidP="001E17AF">
      <w:pPr>
        <w:pStyle w:val="COMParaDecision"/>
        <w:numPr>
          <w:ilvl w:val="0"/>
          <w:numId w:val="125"/>
        </w:numPr>
        <w:ind w:left="567" w:hanging="567"/>
        <w:rPr>
          <w:rFonts w:eastAsia="SimSun"/>
          <w:bCs/>
          <w:u w:val="none"/>
        </w:rPr>
      </w:pPr>
      <w:r w:rsidRPr="00503070">
        <w:rPr>
          <w:bCs/>
        </w:rPr>
        <w:t>Demande également</w:t>
      </w:r>
      <w:r w:rsidRPr="00503070">
        <w:rPr>
          <w:bCs/>
          <w:u w:val="none"/>
        </w:rPr>
        <w:t xml:space="preserve"> au Secrétariat de faire rapport de cette situation pour examen par le Comité lors de sa vingt-et-unième session.</w:t>
      </w:r>
    </w:p>
    <w:p w14:paraId="611C8A66" w14:textId="77777777" w:rsidR="00F80B17" w:rsidRPr="00503070" w:rsidRDefault="00F80B17" w:rsidP="002009B4">
      <w:pPr>
        <w:pStyle w:val="COMTitleDecision"/>
        <w:keepNext/>
      </w:pPr>
      <w:r w:rsidRPr="00503070">
        <w:t>DÉCISION 20.COM 10</w:t>
      </w:r>
    </w:p>
    <w:p w14:paraId="1EF66185" w14:textId="77777777" w:rsidR="00F80B17" w:rsidRPr="00503070" w:rsidRDefault="00F80B17" w:rsidP="00F80B17">
      <w:pPr>
        <w:pStyle w:val="COMPreambulaDecisions"/>
        <w:ind w:left="0"/>
        <w:rPr>
          <w:rFonts w:eastAsia="SimSun"/>
        </w:rPr>
      </w:pPr>
      <w:r w:rsidRPr="00503070">
        <w:t>Le Comité,</w:t>
      </w:r>
    </w:p>
    <w:p w14:paraId="6D07E575" w14:textId="77777777" w:rsidR="00F80B17" w:rsidRPr="00503070" w:rsidRDefault="00F80B17" w:rsidP="001E17AF">
      <w:pPr>
        <w:pStyle w:val="COMParaDecision"/>
        <w:numPr>
          <w:ilvl w:val="0"/>
          <w:numId w:val="117"/>
        </w:numPr>
        <w:ind w:left="567" w:hanging="567"/>
      </w:pPr>
      <w:r w:rsidRPr="00503070">
        <w:t>Ayant examiné</w:t>
      </w:r>
      <w:r w:rsidRPr="00503070">
        <w:rPr>
          <w:u w:val="none"/>
        </w:rPr>
        <w:t xml:space="preserve"> le document </w:t>
      </w:r>
      <w:hyperlink r:id="rId88" w:history="1">
        <w:r w:rsidRPr="00503070">
          <w:rPr>
            <w:rStyle w:val="Hyperlink"/>
          </w:rPr>
          <w:t>LHE/25/20.COM/10</w:t>
        </w:r>
      </w:hyperlink>
      <w:r w:rsidRPr="00503070">
        <w:rPr>
          <w:u w:val="none"/>
        </w:rPr>
        <w:t xml:space="preserve"> et ses annexes,</w:t>
      </w:r>
    </w:p>
    <w:p w14:paraId="62FAB7E8" w14:textId="77777777" w:rsidR="00F80B17" w:rsidRPr="00503070" w:rsidRDefault="00F80B17" w:rsidP="001E17AF">
      <w:pPr>
        <w:pStyle w:val="COMParaDecision"/>
        <w:numPr>
          <w:ilvl w:val="0"/>
          <w:numId w:val="117"/>
        </w:numPr>
        <w:ind w:left="567" w:hanging="567"/>
      </w:pPr>
      <w:r w:rsidRPr="00503070">
        <w:t>Rappelant</w:t>
      </w:r>
      <w:r w:rsidRPr="00503070">
        <w:rPr>
          <w:u w:val="none"/>
        </w:rPr>
        <w:t xml:space="preserve"> les articles 20 et 24.3 de la Convention, </w:t>
      </w:r>
    </w:p>
    <w:p w14:paraId="476E299B" w14:textId="77777777" w:rsidR="00F80B17" w:rsidRPr="00503070" w:rsidRDefault="00F80B17" w:rsidP="001E17AF">
      <w:pPr>
        <w:pStyle w:val="COMParaDecision"/>
        <w:numPr>
          <w:ilvl w:val="0"/>
          <w:numId w:val="117"/>
        </w:numPr>
        <w:ind w:left="567" w:hanging="567"/>
      </w:pPr>
      <w:r w:rsidRPr="00503070">
        <w:t>Rappelant en outre</w:t>
      </w:r>
      <w:r w:rsidRPr="00503070">
        <w:rPr>
          <w:u w:val="none"/>
        </w:rPr>
        <w:t xml:space="preserve"> la résolution </w:t>
      </w:r>
      <w:hyperlink r:id="rId89" w:history="1">
        <w:r w:rsidRPr="00503070">
          <w:rPr>
            <w:rStyle w:val="Hyperlink"/>
            <w:rFonts w:eastAsia="Calibri"/>
          </w:rPr>
          <w:t>10.GA 7</w:t>
        </w:r>
      </w:hyperlink>
      <w:r w:rsidRPr="00503070">
        <w:rPr>
          <w:u w:val="none"/>
        </w:rPr>
        <w:t xml:space="preserve"> et les décisions </w:t>
      </w:r>
      <w:hyperlink r:id="rId90" w:history="1">
        <w:r w:rsidRPr="00503070">
          <w:rPr>
            <w:rStyle w:val="Hyperlink"/>
            <w:rFonts w:eastAsia="Calibri"/>
          </w:rPr>
          <w:t>17.COM 11</w:t>
        </w:r>
      </w:hyperlink>
      <w:r w:rsidRPr="00503070">
        <w:rPr>
          <w:u w:val="none"/>
        </w:rPr>
        <w:t xml:space="preserve"> et </w:t>
      </w:r>
      <w:hyperlink r:id="rId91" w:history="1">
        <w:r w:rsidRPr="00503070">
          <w:rPr>
            <w:rStyle w:val="Hyperlink"/>
            <w:rFonts w:eastAsia="Calibri"/>
          </w:rPr>
          <w:t>19.COM 9</w:t>
        </w:r>
      </w:hyperlink>
      <w:r w:rsidRPr="00503070">
        <w:rPr>
          <w:u w:val="none"/>
        </w:rPr>
        <w:t>,</w:t>
      </w:r>
    </w:p>
    <w:p w14:paraId="683EEF7B" w14:textId="77777777" w:rsidR="00F80B17" w:rsidRPr="00503070" w:rsidRDefault="00F80B17" w:rsidP="001E17AF">
      <w:pPr>
        <w:pStyle w:val="COMParaDecision"/>
        <w:numPr>
          <w:ilvl w:val="0"/>
          <w:numId w:val="117"/>
        </w:numPr>
        <w:tabs>
          <w:tab w:val="left" w:pos="567"/>
        </w:tabs>
        <w:ind w:left="567" w:hanging="567"/>
      </w:pPr>
      <w:r w:rsidRPr="00503070">
        <w:t>Apprécie</w:t>
      </w:r>
      <w:r w:rsidRPr="00503070">
        <w:rPr>
          <w:u w:val="none"/>
        </w:rPr>
        <w:t xml:space="preserve"> la diversité des activités et des champs d’application des projets financés par le Fonds ainsi que l’impact de l’assistance sur les États bénéficiaires en termes de renforcement de leurs capacités de sauvegarde, et </w:t>
      </w:r>
      <w:r w:rsidRPr="00503070">
        <w:t>encourage</w:t>
      </w:r>
      <w:r w:rsidRPr="00503070">
        <w:rPr>
          <w:u w:val="none"/>
        </w:rPr>
        <w:t xml:space="preserve"> ces États à continuer d’assurer la durabilité des résultats des projets ;</w:t>
      </w:r>
    </w:p>
    <w:p w14:paraId="51762929" w14:textId="77777777" w:rsidR="00F80B17" w:rsidRPr="00503070" w:rsidRDefault="00F80B17" w:rsidP="001E17AF">
      <w:pPr>
        <w:pStyle w:val="COMParaDecision"/>
        <w:numPr>
          <w:ilvl w:val="0"/>
          <w:numId w:val="117"/>
        </w:numPr>
        <w:ind w:left="567" w:hanging="567"/>
        <w:rPr>
          <w:u w:val="none"/>
        </w:rPr>
      </w:pPr>
      <w:r w:rsidRPr="00503070">
        <w:t>Note avec satisfaction</w:t>
      </w:r>
      <w:r w:rsidRPr="00503070">
        <w:rPr>
          <w:u w:val="none"/>
        </w:rPr>
        <w:t xml:space="preserve"> que les États parties du Groupe électoral V(a) continuent d’être les principaux bénéficiaires de l’assistance internationale du Fonds du patrimoine culturel </w:t>
      </w:r>
      <w:r w:rsidRPr="00503070">
        <w:rPr>
          <w:u w:val="none"/>
        </w:rPr>
        <w:lastRenderedPageBreak/>
        <w:t xml:space="preserve">immatériel, conformément à la Priorité globale Afrique, et </w:t>
      </w:r>
      <w:r w:rsidRPr="00503070">
        <w:t>se félicite</w:t>
      </w:r>
      <w:r w:rsidRPr="00503070">
        <w:rPr>
          <w:u w:val="none"/>
        </w:rPr>
        <w:t xml:space="preserve"> du nombre croissant de demandes soumises par les petits États insulaires en développement ;</w:t>
      </w:r>
    </w:p>
    <w:p w14:paraId="3D15DDD1" w14:textId="77777777" w:rsidR="00F80B17" w:rsidRPr="00503070" w:rsidRDefault="00F80B17" w:rsidP="001E17AF">
      <w:pPr>
        <w:pStyle w:val="COMParaDecision"/>
        <w:numPr>
          <w:ilvl w:val="0"/>
          <w:numId w:val="117"/>
        </w:numPr>
        <w:ind w:left="567" w:hanging="567"/>
      </w:pPr>
      <w:r w:rsidRPr="00503070">
        <w:t>Félicite</w:t>
      </w:r>
      <w:r w:rsidRPr="00503070">
        <w:rPr>
          <w:u w:val="none"/>
        </w:rPr>
        <w:t xml:space="preserve"> les États parties ayant bénéficié de l’assistance internationale pour la première fois, et </w:t>
      </w:r>
      <w:r w:rsidRPr="00503070">
        <w:t>encourage</w:t>
      </w:r>
      <w:r w:rsidRPr="00503070">
        <w:rPr>
          <w:u w:val="none"/>
        </w:rPr>
        <w:t xml:space="preserve"> les États qui n’en ont jamais bénéficié à envisager ce mécanisme d’assistance pour compléter et soutenir leurs efforts de sauvegarde du patrimoine culturel immatériel présent sur leur territoire ;</w:t>
      </w:r>
    </w:p>
    <w:p w14:paraId="0AEB5F30" w14:textId="77777777" w:rsidR="00F80B17" w:rsidRPr="00503070" w:rsidRDefault="00F80B17" w:rsidP="001E17AF">
      <w:pPr>
        <w:pStyle w:val="COMParaDecision"/>
        <w:numPr>
          <w:ilvl w:val="0"/>
          <w:numId w:val="117"/>
        </w:numPr>
        <w:tabs>
          <w:tab w:val="left" w:pos="567"/>
        </w:tabs>
        <w:ind w:left="567" w:hanging="567"/>
        <w:rPr>
          <w:rStyle w:val="Aucun"/>
          <w:u w:val="none"/>
        </w:rPr>
      </w:pPr>
      <w:r w:rsidRPr="00503070">
        <w:rPr>
          <w:rStyle w:val="Aucun"/>
        </w:rPr>
        <w:t>Encourage en outre</w:t>
      </w:r>
      <w:r w:rsidRPr="00503070">
        <w:rPr>
          <w:rStyle w:val="Aucun"/>
          <w:u w:val="none"/>
        </w:rPr>
        <w:t xml:space="preserve"> les États parties à continuer de tirer parti de l’assistance technique organisée par le Secrétariat, qui vise à faciliter l’élaboration des demandes d’assistance internationale ou leur révision, afin de garantir leur conformité avec les critères de sélection énoncés aux paragraphes 10 à 12 des Directives opérationnelles ;</w:t>
      </w:r>
    </w:p>
    <w:p w14:paraId="02AF7A20" w14:textId="77777777" w:rsidR="00F80B17" w:rsidRPr="00503070" w:rsidRDefault="00F80B17" w:rsidP="001E17AF">
      <w:pPr>
        <w:pStyle w:val="COMParaDecision"/>
        <w:keepLines/>
        <w:numPr>
          <w:ilvl w:val="0"/>
          <w:numId w:val="117"/>
        </w:numPr>
        <w:ind w:left="567" w:hanging="567"/>
      </w:pPr>
      <w:r w:rsidRPr="00503070">
        <w:rPr>
          <w:rStyle w:val="Aucun"/>
        </w:rPr>
        <w:t>Encourage également</w:t>
      </w:r>
      <w:r w:rsidRPr="00503070">
        <w:rPr>
          <w:rStyle w:val="Aucun"/>
          <w:u w:val="none"/>
        </w:rPr>
        <w:t xml:space="preserve"> les États parties à demander l’assistance préparatoire du Fonds pour l’élaboration des dossiers de candidature tels que décrits au paragraphe 21 des Directives opérationnelles, en gardant à l’esprit la prochaine échéance, qui est le 31 mars 2026 ; </w:t>
      </w:r>
    </w:p>
    <w:p w14:paraId="20ECCE41" w14:textId="77777777" w:rsidR="00F80B17" w:rsidRPr="00503070" w:rsidRDefault="00F80B17" w:rsidP="001E17AF">
      <w:pPr>
        <w:pStyle w:val="COMParaDecision"/>
        <w:numPr>
          <w:ilvl w:val="0"/>
          <w:numId w:val="117"/>
        </w:numPr>
        <w:tabs>
          <w:tab w:val="left" w:pos="567"/>
        </w:tabs>
        <w:ind w:left="567" w:hanging="567"/>
        <w:rPr>
          <w:u w:val="none"/>
        </w:rPr>
      </w:pPr>
      <w:r w:rsidRPr="00503070">
        <w:rPr>
          <w:rStyle w:val="Aucun"/>
        </w:rPr>
        <w:t>Remercie</w:t>
      </w:r>
      <w:r w:rsidRPr="00503070">
        <w:rPr>
          <w:u w:val="none"/>
        </w:rPr>
        <w:t xml:space="preserve"> les États bénéficiaires d’avoir soumis en temps voulu leurs rapports d’avancement ou finaux sur les projets bénéficiant de l’assistance internationale au titre du Fonds du patrimoine culturel immatériel, et </w:t>
      </w:r>
      <w:r w:rsidRPr="00503070">
        <w:t>demande</w:t>
      </w:r>
      <w:r w:rsidRPr="00503070">
        <w:rPr>
          <w:u w:val="none"/>
        </w:rPr>
        <w:t xml:space="preserve"> aux États bénéficiaires dont les projets ont connu des retards de mise en œuvre de prendre des mesures correctives pour assurer la mise en œuvre des projets dans les délais et de respecter leurs obligations en matière de rapports ;</w:t>
      </w:r>
    </w:p>
    <w:p w14:paraId="37B16909" w14:textId="77777777" w:rsidR="00F80B17" w:rsidRPr="00503070" w:rsidRDefault="00F80B17" w:rsidP="001E17AF">
      <w:pPr>
        <w:pStyle w:val="COMParaDecision"/>
        <w:numPr>
          <w:ilvl w:val="0"/>
          <w:numId w:val="117"/>
        </w:numPr>
        <w:ind w:left="567" w:hanging="567"/>
        <w:rPr>
          <w:u w:val="none"/>
        </w:rPr>
      </w:pPr>
      <w:r w:rsidRPr="00503070">
        <w:rPr>
          <w:rStyle w:val="Aucun"/>
        </w:rPr>
        <w:t>Rappelle</w:t>
      </w:r>
      <w:r w:rsidRPr="00503070">
        <w:rPr>
          <w:rStyle w:val="Aucun"/>
          <w:u w:val="none"/>
        </w:rPr>
        <w:t xml:space="preserve"> que les désignations employées dans les demandes d’assistance internationale et les rapports connexes présentés par les États parties bénéficiaires n’impliquent l’expression d’aucune opinion de la part du Comité ou de l’UNESCO concernant a) le statut juridique de tout pays, territoire, ville ou région, b) le statut juridique de ses autorités, c) la délimitation de ses frontières ou limites, ou d) des références à des événements historiques spécifiques ;</w:t>
      </w:r>
    </w:p>
    <w:p w14:paraId="2C174B72" w14:textId="77777777" w:rsidR="00F80B17" w:rsidRPr="00503070" w:rsidRDefault="00F80B17" w:rsidP="001E17AF">
      <w:pPr>
        <w:pStyle w:val="COMParaDecision"/>
        <w:numPr>
          <w:ilvl w:val="0"/>
          <w:numId w:val="117"/>
        </w:numPr>
        <w:tabs>
          <w:tab w:val="left" w:pos="567"/>
        </w:tabs>
        <w:ind w:left="567" w:hanging="567"/>
        <w:rPr>
          <w:u w:val="none"/>
        </w:rPr>
      </w:pPr>
      <w:r w:rsidRPr="00503070">
        <w:t>Exprime son appréciation</w:t>
      </w:r>
      <w:r w:rsidRPr="00503070">
        <w:rPr>
          <w:u w:val="none"/>
        </w:rPr>
        <w:t xml:space="preserve"> pour le travail du Secrétariat qui soutient les États parties dans la mise en œuvre et le suivi des projets d’assistance internationale, et </w:t>
      </w:r>
      <w:r w:rsidRPr="00503070">
        <w:t>invite</w:t>
      </w:r>
      <w:r w:rsidRPr="00503070">
        <w:rPr>
          <w:u w:val="none"/>
        </w:rPr>
        <w:t xml:space="preserve"> le Secrétariat à poursuivre ses efforts pour renforcer, contrôler et évaluer les mécanismes.</w:t>
      </w:r>
    </w:p>
    <w:p w14:paraId="06970F0C" w14:textId="77777777" w:rsidR="00691945" w:rsidRPr="006A3B5E" w:rsidRDefault="00691945" w:rsidP="002009B4">
      <w:pPr>
        <w:pStyle w:val="COMTitleDecision"/>
        <w:keepNext/>
      </w:pPr>
      <w:r>
        <w:t>DÉCISION 20.COM 11</w:t>
      </w:r>
    </w:p>
    <w:p w14:paraId="6C28F3E2" w14:textId="77777777" w:rsidR="00691945" w:rsidRPr="006A3B5E" w:rsidRDefault="00691945" w:rsidP="00691945">
      <w:pPr>
        <w:pStyle w:val="COMPreambulaDecisions"/>
        <w:ind w:left="0"/>
        <w:rPr>
          <w:rFonts w:asciiTheme="minorBidi" w:eastAsia="SimSun" w:hAnsiTheme="minorBidi" w:cstheme="minorBidi"/>
        </w:rPr>
      </w:pPr>
      <w:r>
        <w:rPr>
          <w:rFonts w:asciiTheme="minorBidi" w:hAnsiTheme="minorBidi"/>
        </w:rPr>
        <w:t>Le Comité,</w:t>
      </w:r>
    </w:p>
    <w:p w14:paraId="7A210B9A" w14:textId="77777777" w:rsidR="00691945" w:rsidRPr="006A3B5E" w:rsidRDefault="00691945" w:rsidP="001E17AF">
      <w:pPr>
        <w:pStyle w:val="COMParaDecision"/>
        <w:numPr>
          <w:ilvl w:val="0"/>
          <w:numId w:val="118"/>
        </w:numPr>
        <w:ind w:left="567" w:hanging="567"/>
        <w:rPr>
          <w:rFonts w:asciiTheme="minorBidi" w:hAnsiTheme="minorBidi" w:cstheme="minorBidi"/>
        </w:rPr>
      </w:pPr>
      <w:r>
        <w:rPr>
          <w:rFonts w:asciiTheme="minorBidi" w:hAnsiTheme="minorBidi"/>
        </w:rPr>
        <w:t>Ayant examiné</w:t>
      </w:r>
      <w:r>
        <w:rPr>
          <w:rFonts w:asciiTheme="minorBidi" w:hAnsiTheme="minorBidi"/>
          <w:u w:val="none"/>
        </w:rPr>
        <w:t xml:space="preserve"> le document </w:t>
      </w:r>
      <w:hyperlink r:id="rId92" w:history="1">
        <w:r w:rsidRPr="008036A2">
          <w:rPr>
            <w:rStyle w:val="Hyperlink"/>
          </w:rPr>
          <w:t>LHE/25/20.COM/11</w:t>
        </w:r>
      </w:hyperlink>
      <w:r>
        <w:rPr>
          <w:u w:val="none"/>
        </w:rPr>
        <w:t xml:space="preserve"> </w:t>
      </w:r>
      <w:r>
        <w:rPr>
          <w:rFonts w:asciiTheme="minorBidi" w:hAnsiTheme="minorBidi"/>
          <w:u w:val="none"/>
        </w:rPr>
        <w:t>et ses annexes,</w:t>
      </w:r>
    </w:p>
    <w:p w14:paraId="60C6FF5D" w14:textId="77777777" w:rsidR="00691945" w:rsidRPr="004C5A31" w:rsidRDefault="00691945" w:rsidP="001E17AF">
      <w:pPr>
        <w:pStyle w:val="COMParaDecision"/>
        <w:numPr>
          <w:ilvl w:val="0"/>
          <w:numId w:val="118"/>
        </w:numPr>
        <w:ind w:left="567" w:hanging="567"/>
        <w:rPr>
          <w:rStyle w:val="Hyperlink"/>
          <w:rFonts w:asciiTheme="minorBidi" w:hAnsiTheme="minorBidi" w:cstheme="minorBidi"/>
          <w:color w:val="auto"/>
          <w:u w:val="none"/>
        </w:rPr>
      </w:pPr>
      <w:r>
        <w:rPr>
          <w:rFonts w:asciiTheme="minorBidi" w:hAnsiTheme="minorBidi"/>
        </w:rPr>
        <w:t>Rappelant</w:t>
      </w:r>
      <w:r>
        <w:rPr>
          <w:rFonts w:asciiTheme="minorBidi" w:hAnsiTheme="minorBidi"/>
          <w:u w:val="none"/>
        </w:rPr>
        <w:t xml:space="preserve"> les décisions</w:t>
      </w:r>
      <w:r>
        <w:rPr>
          <w:rStyle w:val="Hyperlink"/>
          <w:rFonts w:asciiTheme="minorBidi" w:hAnsiTheme="minorBidi"/>
          <w:u w:val="none"/>
        </w:rPr>
        <w:t xml:space="preserve"> </w:t>
      </w:r>
      <w:hyperlink r:id="rId93" w:history="1">
        <w:r>
          <w:rPr>
            <w:rStyle w:val="Hyperlink"/>
            <w:rFonts w:asciiTheme="minorBidi" w:hAnsiTheme="minorBidi"/>
          </w:rPr>
          <w:t>18.COM 11</w:t>
        </w:r>
      </w:hyperlink>
      <w:r>
        <w:rPr>
          <w:rStyle w:val="Hyperlink"/>
          <w:rFonts w:asciiTheme="minorBidi" w:hAnsiTheme="minorBidi"/>
          <w:color w:val="auto"/>
          <w:u w:val="none"/>
        </w:rPr>
        <w:t xml:space="preserve">, </w:t>
      </w:r>
      <w:hyperlink r:id="rId94" w:history="1">
        <w:r>
          <w:rPr>
            <w:rStyle w:val="Hyperlink"/>
            <w:rFonts w:asciiTheme="minorBidi" w:hAnsiTheme="minorBidi"/>
          </w:rPr>
          <w:t>19.COM 10</w:t>
        </w:r>
      </w:hyperlink>
      <w:r>
        <w:rPr>
          <w:rStyle w:val="Hyperlink"/>
          <w:rFonts w:asciiTheme="minorBidi" w:hAnsiTheme="minorBidi"/>
          <w:color w:val="auto"/>
          <w:u w:val="none"/>
        </w:rPr>
        <w:t xml:space="preserve">, </w:t>
      </w:r>
      <w:hyperlink r:id="rId95" w:history="1">
        <w:r>
          <w:rPr>
            <w:rStyle w:val="Hyperlink"/>
            <w:rFonts w:asciiTheme="minorBidi" w:hAnsiTheme="minorBidi"/>
          </w:rPr>
          <w:t>19.COM 15</w:t>
        </w:r>
      </w:hyperlink>
      <w:r>
        <w:rPr>
          <w:rStyle w:val="Hyperlink"/>
          <w:rFonts w:asciiTheme="minorBidi" w:hAnsiTheme="minorBidi"/>
          <w:color w:val="auto"/>
          <w:u w:val="none"/>
        </w:rPr>
        <w:t xml:space="preserve">, et la Résolution </w:t>
      </w:r>
      <w:hyperlink r:id="rId96" w:history="1">
        <w:r>
          <w:rPr>
            <w:rStyle w:val="Hyperlink"/>
            <w:rFonts w:asciiTheme="minorBidi" w:hAnsiTheme="minorBidi"/>
          </w:rPr>
          <w:t>10.GA 7</w:t>
        </w:r>
      </w:hyperlink>
      <w:r>
        <w:t>,</w:t>
      </w:r>
    </w:p>
    <w:p w14:paraId="4D3F8CB1" w14:textId="77777777" w:rsidR="00691945" w:rsidRPr="006A3B5E" w:rsidRDefault="00691945" w:rsidP="001E17AF">
      <w:pPr>
        <w:pStyle w:val="COMParaDecision"/>
        <w:numPr>
          <w:ilvl w:val="0"/>
          <w:numId w:val="118"/>
        </w:numPr>
        <w:ind w:left="567" w:hanging="567"/>
        <w:rPr>
          <w:rFonts w:asciiTheme="minorBidi" w:hAnsiTheme="minorBidi" w:cstheme="minorBidi"/>
          <w:u w:val="none"/>
        </w:rPr>
      </w:pPr>
      <w:r>
        <w:rPr>
          <w:rFonts w:asciiTheme="minorBidi" w:hAnsiTheme="minorBidi"/>
        </w:rPr>
        <w:t>Reconnaît</w:t>
      </w:r>
      <w:r w:rsidRPr="00F752EF">
        <w:rPr>
          <w:rFonts w:asciiTheme="minorBidi" w:hAnsiTheme="minorBidi"/>
          <w:u w:val="none"/>
        </w:rPr>
        <w:t xml:space="preserve"> </w:t>
      </w:r>
      <w:r>
        <w:rPr>
          <w:rFonts w:asciiTheme="minorBidi" w:hAnsiTheme="minorBidi"/>
          <w:u w:val="none"/>
        </w:rPr>
        <w:t xml:space="preserve">les interventions du Secrétariat depuis sa dernière session concernant une mise en œuvre plus large de l’article 18, et </w:t>
      </w:r>
      <w:r>
        <w:rPr>
          <w:rFonts w:asciiTheme="minorBidi" w:hAnsiTheme="minorBidi"/>
        </w:rPr>
        <w:t>prend note avec satisfaction</w:t>
      </w:r>
      <w:r>
        <w:rPr>
          <w:rFonts w:asciiTheme="minorBidi" w:hAnsiTheme="minorBidi"/>
          <w:u w:val="none"/>
        </w:rPr>
        <w:t xml:space="preserve"> des progrès constants vers la mise en place de la plateforme en ligne dédiée au partage des bonnes expériences de sauvegarde des communautés à travers le monde ;</w:t>
      </w:r>
    </w:p>
    <w:p w14:paraId="1A055073" w14:textId="5D10EDEB" w:rsidR="00691945" w:rsidRPr="006A3B5E" w:rsidRDefault="00691945" w:rsidP="001E17AF">
      <w:pPr>
        <w:pStyle w:val="COMParaDecision"/>
        <w:numPr>
          <w:ilvl w:val="0"/>
          <w:numId w:val="118"/>
        </w:numPr>
        <w:ind w:left="567" w:hanging="567"/>
        <w:rPr>
          <w:rFonts w:asciiTheme="minorBidi" w:hAnsiTheme="minorBidi" w:cstheme="minorBidi"/>
          <w:u w:val="none"/>
        </w:rPr>
      </w:pPr>
      <w:r>
        <w:rPr>
          <w:rFonts w:asciiTheme="minorBidi" w:hAnsiTheme="minorBidi"/>
        </w:rPr>
        <w:t>Prend également note</w:t>
      </w:r>
      <w:r>
        <w:rPr>
          <w:rFonts w:asciiTheme="minorBidi" w:hAnsiTheme="minorBidi"/>
          <w:u w:val="none"/>
        </w:rPr>
        <w:t xml:space="preserve"> de la feuille de route révisée pour la mise en service complète de la plateforme en ligne, annexée au document </w:t>
      </w:r>
      <w:hyperlink r:id="rId97" w:history="1">
        <w:r w:rsidRPr="007616BE">
          <w:rPr>
            <w:rStyle w:val="Hyperlink"/>
          </w:rPr>
          <w:t>LHE/25/20.COM/11</w:t>
        </w:r>
      </w:hyperlink>
      <w:r w:rsidRPr="003833AD">
        <w:rPr>
          <w:u w:val="none"/>
        </w:rPr>
        <w:t xml:space="preserve"> </w:t>
      </w:r>
      <w:r w:rsidRPr="00660C15">
        <w:rPr>
          <w:rFonts w:asciiTheme="minorBidi" w:hAnsiTheme="minorBidi"/>
          <w:u w:val="none"/>
        </w:rPr>
        <w:t>;</w:t>
      </w:r>
    </w:p>
    <w:p w14:paraId="58EBFFB4" w14:textId="77777777" w:rsidR="00691945" w:rsidRPr="006A3B5E" w:rsidRDefault="00691945" w:rsidP="001E17AF">
      <w:pPr>
        <w:pStyle w:val="COMParaDecision"/>
        <w:keepLines/>
        <w:numPr>
          <w:ilvl w:val="0"/>
          <w:numId w:val="118"/>
        </w:numPr>
        <w:ind w:left="567" w:hanging="567"/>
        <w:rPr>
          <w:rFonts w:asciiTheme="minorBidi" w:hAnsiTheme="minorBidi" w:cstheme="minorBidi"/>
          <w:u w:val="none"/>
        </w:rPr>
      </w:pPr>
      <w:r>
        <w:t xml:space="preserve">Remercie </w:t>
      </w:r>
      <w:r w:rsidRPr="00F752EF">
        <w:rPr>
          <w:u w:val="none"/>
        </w:rPr>
        <w:t>le</w:t>
      </w:r>
      <w:r w:rsidRPr="003833AD">
        <w:rPr>
          <w:u w:val="none"/>
        </w:rPr>
        <w:t xml:space="preserve"> </w:t>
      </w:r>
      <w:r>
        <w:rPr>
          <w:u w:val="none"/>
        </w:rPr>
        <w:t xml:space="preserve">Royaume des Pays-Bas, le Royaume d’Arabie saoudite et la République de Corée d’avoir apporté des contributions financières pour soutenir le développement de la plateforme, et </w:t>
      </w:r>
      <w:r>
        <w:t>encourage</w:t>
      </w:r>
      <w:r>
        <w:rPr>
          <w:u w:val="none"/>
        </w:rPr>
        <w:t xml:space="preserve"> les autres États parties et partenaires potentiels à soutenir financièrement cette initiative par la modalité de leur choix </w:t>
      </w:r>
      <w:r>
        <w:rPr>
          <w:rFonts w:asciiTheme="minorBidi" w:hAnsiTheme="minorBidi"/>
          <w:u w:val="none"/>
        </w:rPr>
        <w:t>;</w:t>
      </w:r>
    </w:p>
    <w:p w14:paraId="70BD7182" w14:textId="77777777" w:rsidR="00691945" w:rsidRPr="003F20F4" w:rsidRDefault="00691945" w:rsidP="001E17AF">
      <w:pPr>
        <w:pStyle w:val="COMParaDecision"/>
        <w:numPr>
          <w:ilvl w:val="0"/>
          <w:numId w:val="118"/>
        </w:numPr>
        <w:ind w:left="567" w:hanging="567"/>
        <w:rPr>
          <w:u w:val="none"/>
        </w:rPr>
      </w:pPr>
      <w:r>
        <w:t>Demande</w:t>
      </w:r>
      <w:r>
        <w:rPr>
          <w:rFonts w:asciiTheme="minorBidi" w:hAnsiTheme="minorBidi"/>
          <w:u w:val="none"/>
        </w:rPr>
        <w:t xml:space="preserve"> au Secrétariat de faire un rapport sur l’état d’avancement de la réflexion sur </w:t>
      </w:r>
      <w:r w:rsidRPr="00E22722">
        <w:rPr>
          <w:rFonts w:asciiTheme="minorBidi" w:hAnsiTheme="minorBidi"/>
          <w:u w:val="none"/>
        </w:rPr>
        <w:t>une</w:t>
      </w:r>
      <w:r>
        <w:rPr>
          <w:rFonts w:asciiTheme="minorBidi" w:hAnsiTheme="minorBidi"/>
          <w:u w:val="none"/>
        </w:rPr>
        <w:t xml:space="preserve"> mise en œuvre plus large de l’article 18 de la Convention pour examen par le Comité lors de sa vingt-et-unième session.</w:t>
      </w:r>
    </w:p>
    <w:p w14:paraId="2EB86F41" w14:textId="77777777" w:rsidR="00691945" w:rsidRPr="00DC32BD" w:rsidRDefault="00691945" w:rsidP="009B76C5">
      <w:pPr>
        <w:pStyle w:val="COMTitleDecision"/>
        <w:keepNext/>
      </w:pPr>
      <w:r w:rsidRPr="00DC32BD">
        <w:lastRenderedPageBreak/>
        <w:t>DÉCISION 20.COM 12</w:t>
      </w:r>
    </w:p>
    <w:p w14:paraId="7490E129" w14:textId="77777777" w:rsidR="00691945" w:rsidRPr="00DC32BD" w:rsidRDefault="00691945" w:rsidP="00691945">
      <w:pPr>
        <w:pStyle w:val="COMPreambulaDecisions"/>
        <w:ind w:hanging="567"/>
        <w:rPr>
          <w:rFonts w:eastAsia="SimSun"/>
        </w:rPr>
      </w:pPr>
      <w:r w:rsidRPr="00DC32BD">
        <w:t>Le Comité,</w:t>
      </w:r>
    </w:p>
    <w:p w14:paraId="751AC5D9" w14:textId="77777777" w:rsidR="00691945" w:rsidRPr="00DC32BD" w:rsidRDefault="00691945" w:rsidP="001E17AF">
      <w:pPr>
        <w:pStyle w:val="COMParaDecision"/>
        <w:numPr>
          <w:ilvl w:val="0"/>
          <w:numId w:val="119"/>
        </w:numPr>
        <w:ind w:left="567" w:hanging="567"/>
      </w:pPr>
      <w:r w:rsidRPr="00DC32BD">
        <w:t>Ayant examiné</w:t>
      </w:r>
      <w:r w:rsidRPr="00DC32BD">
        <w:rPr>
          <w:u w:val="none"/>
        </w:rPr>
        <w:t xml:space="preserve"> le document </w:t>
      </w:r>
      <w:hyperlink r:id="rId98" w:history="1">
        <w:r w:rsidRPr="008036A2">
          <w:rPr>
            <w:rStyle w:val="Hyperlink"/>
          </w:rPr>
          <w:t>LHE/25/20.COM/12</w:t>
        </w:r>
      </w:hyperlink>
      <w:r w:rsidRPr="00DC32BD">
        <w:rPr>
          <w:u w:val="none"/>
        </w:rPr>
        <w:t xml:space="preserve"> et son annexe,</w:t>
      </w:r>
    </w:p>
    <w:p w14:paraId="1F24FBA9" w14:textId="77777777" w:rsidR="00691945" w:rsidRPr="00DC32BD" w:rsidRDefault="00691945" w:rsidP="001E17AF">
      <w:pPr>
        <w:pStyle w:val="COMParaDecision"/>
        <w:numPr>
          <w:ilvl w:val="0"/>
          <w:numId w:val="119"/>
        </w:numPr>
        <w:ind w:left="567" w:hanging="567"/>
        <w:rPr>
          <w:u w:val="none"/>
        </w:rPr>
      </w:pPr>
      <w:r w:rsidRPr="00DC32BD">
        <w:t>Rappelant</w:t>
      </w:r>
      <w:r w:rsidRPr="00DC32BD">
        <w:rPr>
          <w:u w:val="none"/>
        </w:rPr>
        <w:t xml:space="preserve"> le chapitre VI des Directives opérationnelles, la décision</w:t>
      </w:r>
      <w:hyperlink r:id="rId99" w:history="1">
        <w:r w:rsidRPr="00DC32BD">
          <w:rPr>
            <w:rStyle w:val="Hyperlink"/>
            <w:u w:val="none"/>
          </w:rPr>
          <w:t xml:space="preserve"> </w:t>
        </w:r>
        <w:r w:rsidRPr="00DC32BD">
          <w:rPr>
            <w:rStyle w:val="Hyperlink"/>
          </w:rPr>
          <w:t>19.COM 11</w:t>
        </w:r>
      </w:hyperlink>
      <w:r w:rsidRPr="00DC32BD">
        <w:rPr>
          <w:u w:val="none"/>
        </w:rPr>
        <w:t xml:space="preserve">, les </w:t>
      </w:r>
      <w:hyperlink r:id="rId100" w:history="1">
        <w:r w:rsidRPr="00DC32BD">
          <w:rPr>
            <w:rStyle w:val="Hyperlink"/>
          </w:rPr>
          <w:t xml:space="preserve">Principes et modalités </w:t>
        </w:r>
        <w:r>
          <w:rPr>
            <w:rStyle w:val="Hyperlink"/>
          </w:rPr>
          <w:t xml:space="preserve">opérationnels </w:t>
        </w:r>
        <w:r w:rsidRPr="00DC32BD">
          <w:rPr>
            <w:rStyle w:val="Hyperlink"/>
          </w:rPr>
          <w:t>pour la sauvegarde du patrimoine culturel immatériel en situation</w:t>
        </w:r>
        <w:r>
          <w:rPr>
            <w:rStyle w:val="Hyperlink"/>
          </w:rPr>
          <w:t>s</w:t>
        </w:r>
        <w:r w:rsidRPr="00DC32BD">
          <w:rPr>
            <w:rStyle w:val="Hyperlink"/>
          </w:rPr>
          <w:t xml:space="preserve"> d’urgence</w:t>
        </w:r>
      </w:hyperlink>
      <w:r w:rsidRPr="00DC32BD">
        <w:rPr>
          <w:u w:val="none"/>
        </w:rPr>
        <w:t xml:space="preserve">, ainsi que les </w:t>
      </w:r>
      <w:hyperlink r:id="rId101" w:history="1">
        <w:r w:rsidRPr="00DC32BD">
          <w:rPr>
            <w:rStyle w:val="Hyperlink"/>
          </w:rPr>
          <w:t>Principes éthiques pour la sauvegarde du patrimoine culturel immatériel</w:t>
        </w:r>
      </w:hyperlink>
      <w:r w:rsidRPr="00DC32BD">
        <w:rPr>
          <w:u w:val="none"/>
        </w:rPr>
        <w:t>,</w:t>
      </w:r>
    </w:p>
    <w:p w14:paraId="68D75689" w14:textId="77777777" w:rsidR="00691945" w:rsidRPr="00DC32BD" w:rsidRDefault="00691945" w:rsidP="001E17AF">
      <w:pPr>
        <w:pStyle w:val="COMParaDecision"/>
        <w:numPr>
          <w:ilvl w:val="0"/>
          <w:numId w:val="119"/>
        </w:numPr>
        <w:ind w:left="567" w:hanging="567"/>
        <w:rPr>
          <w:u w:val="none"/>
        </w:rPr>
      </w:pPr>
      <w:r w:rsidRPr="00DC32BD">
        <w:t>Rappelant en outre</w:t>
      </w:r>
      <w:r w:rsidRPr="00DC32BD">
        <w:rPr>
          <w:u w:val="none"/>
        </w:rPr>
        <w:t xml:space="preserve"> le </w:t>
      </w:r>
      <w:hyperlink r:id="rId102" w:history="1">
        <w:r w:rsidRPr="00DC32BD">
          <w:rPr>
            <w:rStyle w:val="Hyperlink"/>
          </w:rPr>
          <w:t>Document final</w:t>
        </w:r>
      </w:hyperlink>
      <w:r w:rsidRPr="00DC32BD">
        <w:rPr>
          <w:u w:val="none"/>
        </w:rPr>
        <w:t xml:space="preserve"> de la Conférence mondiale de l’UNESCO sur les politiques culturelles et le développement durable (MONDIACULT 2025) et le </w:t>
      </w:r>
      <w:hyperlink r:id="rId103" w:history="1">
        <w:r w:rsidRPr="00DC32BD">
          <w:rPr>
            <w:rStyle w:val="Hyperlink"/>
          </w:rPr>
          <w:t>Pacte pour l’avenir</w:t>
        </w:r>
      </w:hyperlink>
      <w:r w:rsidRPr="00DC32BD">
        <w:rPr>
          <w:u w:val="none"/>
        </w:rPr>
        <w:t>, qui invite les États, entre autres, à veiller à ce que la culture puisse contribuer à un développement plus efficace, inclusif, équitable et durable, ainsi qu’à intégrer la culture dans leurs politiques économiques, sociales et environnementales ;</w:t>
      </w:r>
    </w:p>
    <w:p w14:paraId="281FC54D" w14:textId="77777777" w:rsidR="00691945" w:rsidRPr="00DC32BD" w:rsidRDefault="00691945" w:rsidP="001E17AF">
      <w:pPr>
        <w:pStyle w:val="COMParaDecision"/>
        <w:numPr>
          <w:ilvl w:val="0"/>
          <w:numId w:val="119"/>
        </w:numPr>
        <w:ind w:left="567" w:hanging="567"/>
        <w:rPr>
          <w:u w:val="none"/>
        </w:rPr>
      </w:pPr>
      <w:r w:rsidRPr="00DC32BD">
        <w:rPr>
          <w:shd w:val="clear" w:color="auto" w:fill="FFFFFF"/>
        </w:rPr>
        <w:t>Se félicite</w:t>
      </w:r>
      <w:r w:rsidRPr="00DC32BD">
        <w:rPr>
          <w:u w:val="none"/>
          <w:shd w:val="clear" w:color="auto" w:fill="FFFFFF"/>
        </w:rPr>
        <w:t xml:space="preserve"> des progrès </w:t>
      </w:r>
      <w:r>
        <w:rPr>
          <w:u w:val="none"/>
          <w:shd w:val="clear" w:color="auto" w:fill="FFFFFF"/>
        </w:rPr>
        <w:t>réalisés</w:t>
      </w:r>
      <w:r w:rsidRPr="00DC32BD">
        <w:rPr>
          <w:u w:val="none"/>
          <w:shd w:val="clear" w:color="auto" w:fill="FFFFFF"/>
        </w:rPr>
        <w:t xml:space="preserve"> dans la mise en œuvre des initiatives thématiques sur (i) les dimensions économiques de la sauvegarde du patrimoine culturel immatériel, (ii) la sauvegarde du patrimoine culturel immatériel et le changement climatique, et (iii) la sauvegarde du patrimoine culturel immatériel </w:t>
      </w:r>
      <w:r>
        <w:rPr>
          <w:u w:val="none"/>
          <w:shd w:val="clear" w:color="auto" w:fill="FFFFFF"/>
        </w:rPr>
        <w:t>en milieu</w:t>
      </w:r>
      <w:r w:rsidRPr="00DC32BD">
        <w:rPr>
          <w:u w:val="none"/>
          <w:shd w:val="clear" w:color="auto" w:fill="FFFFFF"/>
        </w:rPr>
        <w:t xml:space="preserve"> urbain ;</w:t>
      </w:r>
    </w:p>
    <w:p w14:paraId="65E0D44A" w14:textId="77777777" w:rsidR="00691945" w:rsidRPr="00DC32BD" w:rsidRDefault="00691945" w:rsidP="00691945">
      <w:pPr>
        <w:keepNext/>
        <w:spacing w:before="240" w:after="120"/>
        <w:ind w:left="567"/>
        <w:jc w:val="both"/>
        <w:rPr>
          <w:rFonts w:ascii="Arial" w:eastAsia="SimSun" w:hAnsi="Arial"/>
          <w:b/>
          <w:bCs/>
          <w:sz w:val="22"/>
          <w:szCs w:val="22"/>
          <w:lang w:eastAsia="zh-CN"/>
        </w:rPr>
      </w:pPr>
      <w:r w:rsidRPr="00DC32BD">
        <w:rPr>
          <w:rFonts w:ascii="Arial" w:eastAsia="SimSun" w:hAnsi="Arial"/>
          <w:b/>
          <w:bCs/>
          <w:sz w:val="22"/>
          <w:szCs w:val="22"/>
          <w:lang w:eastAsia="zh-CN"/>
        </w:rPr>
        <w:t>Dimensions économiques de la sauvegarde du patrimoine culturel immatériel</w:t>
      </w:r>
    </w:p>
    <w:p w14:paraId="7D3D195C" w14:textId="77777777" w:rsidR="00691945" w:rsidRPr="00DC32BD" w:rsidRDefault="00691945" w:rsidP="001E17AF">
      <w:pPr>
        <w:pStyle w:val="COMParaDecision"/>
        <w:numPr>
          <w:ilvl w:val="0"/>
          <w:numId w:val="119"/>
        </w:numPr>
        <w:ind w:left="567" w:hanging="567"/>
      </w:pPr>
      <w:r w:rsidRPr="00DC32BD">
        <w:t>Prend note</w:t>
      </w:r>
      <w:r w:rsidRPr="00DC32BD">
        <w:rPr>
          <w:u w:val="none"/>
        </w:rPr>
        <w:t xml:space="preserve"> des progrès </w:t>
      </w:r>
      <w:r>
        <w:rPr>
          <w:u w:val="none"/>
        </w:rPr>
        <w:t>réalisés</w:t>
      </w:r>
      <w:r w:rsidRPr="00DC32BD">
        <w:rPr>
          <w:u w:val="none"/>
        </w:rPr>
        <w:t xml:space="preserve"> dans l’élaboration de directives sectorielles sur les dimensions économiques de la sauvegarde du patrimoine culturel immatériel, et </w:t>
      </w:r>
      <w:r w:rsidRPr="00DC32BD">
        <w:t>encourage</w:t>
      </w:r>
      <w:r w:rsidRPr="00DC32BD">
        <w:rPr>
          <w:u w:val="none"/>
        </w:rPr>
        <w:t xml:space="preserve"> le Secrétariat à poursuivre ses efforts pour concevoir des outils pouvant aider les communautés, les groupes et les individus à cet égard, tout en explorant les moyens de lutter</w:t>
      </w:r>
      <w:r>
        <w:rPr>
          <w:u w:val="none"/>
        </w:rPr>
        <w:t xml:space="preserve"> en particulier</w:t>
      </w:r>
      <w:r w:rsidRPr="00DC32BD">
        <w:rPr>
          <w:u w:val="none"/>
        </w:rPr>
        <w:t xml:space="preserve"> contre</w:t>
      </w:r>
      <w:r>
        <w:rPr>
          <w:u w:val="none"/>
        </w:rPr>
        <w:t xml:space="preserve"> le « détournement » et</w:t>
      </w:r>
      <w:r w:rsidRPr="00DC32BD">
        <w:rPr>
          <w:u w:val="none"/>
        </w:rPr>
        <w:t xml:space="preserve"> l’«</w:t>
      </w:r>
      <w:r>
        <w:rPr>
          <w:u w:val="none"/>
        </w:rPr>
        <w:t> </w:t>
      </w:r>
      <w:r w:rsidRPr="00DC32BD">
        <w:rPr>
          <w:u w:val="none"/>
        </w:rPr>
        <w:t>utilisation abusive</w:t>
      </w:r>
      <w:r>
        <w:rPr>
          <w:u w:val="none"/>
        </w:rPr>
        <w:t> </w:t>
      </w:r>
      <w:r w:rsidRPr="00DC32BD">
        <w:rPr>
          <w:u w:val="none"/>
        </w:rPr>
        <w:t>» du patrimoine vivant, en synergie avec les conventions culturelles pertinentes de l’UNESCO et d’autres instruments internationaux ;</w:t>
      </w:r>
    </w:p>
    <w:p w14:paraId="2C02CFA4" w14:textId="77777777" w:rsidR="00691945" w:rsidRPr="00DC32BD" w:rsidRDefault="00691945" w:rsidP="001E17AF">
      <w:pPr>
        <w:pStyle w:val="COMParaDecision"/>
        <w:numPr>
          <w:ilvl w:val="0"/>
          <w:numId w:val="119"/>
        </w:numPr>
        <w:ind w:left="567" w:hanging="567"/>
        <w:rPr>
          <w:u w:val="none"/>
        </w:rPr>
      </w:pPr>
      <w:r w:rsidRPr="00DC32BD">
        <w:t>Encourage en outre</w:t>
      </w:r>
      <w:r w:rsidRPr="00DC32BD">
        <w:rPr>
          <w:u w:val="none"/>
        </w:rPr>
        <w:t xml:space="preserve"> les États parties et les parties prenantes concernées à continuer d’intégrer des approches sensibles au patrimoine et fondées sur les droits dans les dimensions économiques de la sauvegarde du patrimoine culturel immatériel, et à renforcer l’échange de bonnes pratiques ;</w:t>
      </w:r>
    </w:p>
    <w:p w14:paraId="02E48BBE" w14:textId="77777777" w:rsidR="00691945" w:rsidRPr="00DC32BD" w:rsidRDefault="00691945" w:rsidP="00691945">
      <w:pPr>
        <w:keepNext/>
        <w:spacing w:before="240" w:after="120"/>
        <w:ind w:left="567"/>
        <w:jc w:val="both"/>
        <w:rPr>
          <w:rFonts w:ascii="Arial" w:eastAsia="SimSun" w:hAnsi="Arial"/>
          <w:b/>
          <w:bCs/>
          <w:sz w:val="22"/>
          <w:szCs w:val="22"/>
          <w:lang w:eastAsia="zh-CN"/>
        </w:rPr>
      </w:pPr>
      <w:r w:rsidRPr="00DC32BD">
        <w:rPr>
          <w:rFonts w:ascii="Arial" w:eastAsia="SimSun" w:hAnsi="Arial"/>
          <w:b/>
          <w:bCs/>
          <w:sz w:val="22"/>
          <w:szCs w:val="22"/>
          <w:lang w:eastAsia="zh-CN"/>
        </w:rPr>
        <w:t>Sauvegarde du patrimoine culturel immatériel et changement climatique</w:t>
      </w:r>
    </w:p>
    <w:p w14:paraId="14D19E3D" w14:textId="77777777" w:rsidR="00691945" w:rsidRPr="00DC32BD" w:rsidRDefault="00691945" w:rsidP="001E17AF">
      <w:pPr>
        <w:pStyle w:val="COMParaDecision"/>
        <w:numPr>
          <w:ilvl w:val="0"/>
          <w:numId w:val="119"/>
        </w:numPr>
        <w:ind w:left="567" w:hanging="567"/>
        <w:rPr>
          <w:u w:val="none"/>
        </w:rPr>
      </w:pPr>
      <w:r w:rsidRPr="00DC32BD">
        <w:t>Prend note</w:t>
      </w:r>
      <w:r w:rsidRPr="00B75C12">
        <w:rPr>
          <w:u w:val="none"/>
        </w:rPr>
        <w:t xml:space="preserve"> </w:t>
      </w:r>
      <w:r w:rsidRPr="00DC32BD">
        <w:rPr>
          <w:u w:val="none"/>
        </w:rPr>
        <w:t xml:space="preserve">des progrès </w:t>
      </w:r>
      <w:r>
        <w:rPr>
          <w:u w:val="none"/>
        </w:rPr>
        <w:t>réalisés</w:t>
      </w:r>
      <w:r w:rsidRPr="00DC32BD">
        <w:rPr>
          <w:u w:val="none"/>
        </w:rPr>
        <w:t xml:space="preserve"> dans l’intégration des principes de la </w:t>
      </w:r>
      <w:r>
        <w:rPr>
          <w:u w:val="none"/>
        </w:rPr>
        <w:t>N</w:t>
      </w:r>
      <w:r w:rsidRPr="00DC32BD">
        <w:rPr>
          <w:u w:val="none"/>
        </w:rPr>
        <w:t xml:space="preserve">ote d’orientation sur l’action climatique pour le patrimoine vivant dans les cadres internationaux, et </w:t>
      </w:r>
      <w:r w:rsidRPr="00DC32BD">
        <w:t>invite</w:t>
      </w:r>
      <w:r w:rsidRPr="00B75C12">
        <w:rPr>
          <w:u w:val="none"/>
        </w:rPr>
        <w:t xml:space="preserve"> </w:t>
      </w:r>
      <w:r w:rsidRPr="00DC32BD">
        <w:rPr>
          <w:u w:val="none"/>
        </w:rPr>
        <w:t>le Secrétariat à élaborer des études et des interventions spécifiques à certains domaines qui puissent contribuer à une meilleure compréhension et à un meilleur suivi des dimensions du changement climatique dans la sauvegarde du patrimoine vivant ;</w:t>
      </w:r>
    </w:p>
    <w:p w14:paraId="48B05611" w14:textId="77777777" w:rsidR="00691945" w:rsidRPr="00DC32BD" w:rsidRDefault="00691945" w:rsidP="00691945">
      <w:pPr>
        <w:pStyle w:val="COMParaDecision"/>
        <w:keepNext/>
        <w:spacing w:before="240"/>
        <w:ind w:left="567"/>
        <w:rPr>
          <w:rFonts w:cs="Times New Roman"/>
          <w:b/>
          <w:bCs/>
          <w:u w:val="none"/>
          <w:lang w:eastAsia="zh-CN"/>
        </w:rPr>
      </w:pPr>
      <w:r w:rsidRPr="00DC32BD">
        <w:rPr>
          <w:rFonts w:cs="Times New Roman"/>
          <w:b/>
          <w:bCs/>
          <w:u w:val="none"/>
          <w:lang w:eastAsia="zh-CN"/>
        </w:rPr>
        <w:t xml:space="preserve">Sauvegarde du patrimoine culturel immatériel </w:t>
      </w:r>
      <w:r>
        <w:rPr>
          <w:rFonts w:cs="Times New Roman"/>
          <w:b/>
          <w:bCs/>
          <w:u w:val="none"/>
          <w:lang w:eastAsia="zh-CN"/>
        </w:rPr>
        <w:t>en milieu</w:t>
      </w:r>
      <w:r w:rsidRPr="00DC32BD">
        <w:rPr>
          <w:rFonts w:cs="Times New Roman"/>
          <w:b/>
          <w:bCs/>
          <w:u w:val="none"/>
          <w:lang w:eastAsia="zh-CN"/>
        </w:rPr>
        <w:t xml:space="preserve"> urbain </w:t>
      </w:r>
    </w:p>
    <w:p w14:paraId="2FE294BB" w14:textId="77777777" w:rsidR="00691945" w:rsidRPr="00DC32BD" w:rsidRDefault="00691945" w:rsidP="001E17AF">
      <w:pPr>
        <w:pStyle w:val="COMParaDecision"/>
        <w:numPr>
          <w:ilvl w:val="0"/>
          <w:numId w:val="119"/>
        </w:numPr>
        <w:ind w:left="567" w:hanging="567"/>
        <w:rPr>
          <w:u w:val="none"/>
        </w:rPr>
      </w:pPr>
      <w:r w:rsidRPr="00DC32BD">
        <w:t>Se félicite</w:t>
      </w:r>
      <w:r w:rsidRPr="00DC32BD">
        <w:rPr>
          <w:u w:val="none"/>
        </w:rPr>
        <w:t xml:space="preserve"> des résultats de la réunion d’experts sur la sauvegarde du patrimoine culturel immatériel </w:t>
      </w:r>
      <w:r>
        <w:rPr>
          <w:u w:val="none"/>
        </w:rPr>
        <w:t>en milieu</w:t>
      </w:r>
      <w:r w:rsidRPr="00DC32BD">
        <w:rPr>
          <w:u w:val="none"/>
        </w:rPr>
        <w:t xml:space="preserve"> urbain et </w:t>
      </w:r>
      <w:r w:rsidRPr="00DC32BD">
        <w:t>exprime sa gratitude</w:t>
      </w:r>
      <w:r w:rsidRPr="00DC32BD">
        <w:rPr>
          <w:u w:val="none"/>
        </w:rPr>
        <w:t xml:space="preserve"> aux experts pour leurs efforts et leurs contributions pertinentes ;</w:t>
      </w:r>
    </w:p>
    <w:p w14:paraId="22709982" w14:textId="7CCF4E15" w:rsidR="00691945" w:rsidRPr="00DC32BD" w:rsidRDefault="00691945" w:rsidP="001E17AF">
      <w:pPr>
        <w:pStyle w:val="COMParaDecision"/>
        <w:numPr>
          <w:ilvl w:val="0"/>
          <w:numId w:val="119"/>
        </w:numPr>
        <w:ind w:left="567" w:hanging="567"/>
      </w:pPr>
      <w:r w:rsidRPr="00DC32BD">
        <w:t>Prend note</w:t>
      </w:r>
      <w:r w:rsidRPr="00DC32BD">
        <w:rPr>
          <w:u w:val="none"/>
        </w:rPr>
        <w:t xml:space="preserve"> de la </w:t>
      </w:r>
      <w:r>
        <w:rPr>
          <w:u w:val="none"/>
        </w:rPr>
        <w:t>N</w:t>
      </w:r>
      <w:r w:rsidRPr="00DC32BD">
        <w:rPr>
          <w:u w:val="none"/>
        </w:rPr>
        <w:t xml:space="preserve">ote d’orientation sur la sauvegarde du patrimoine culturel immatériel </w:t>
      </w:r>
      <w:r>
        <w:rPr>
          <w:u w:val="none"/>
        </w:rPr>
        <w:t>en milieu</w:t>
      </w:r>
      <w:r w:rsidRPr="00DC32BD">
        <w:rPr>
          <w:u w:val="none"/>
        </w:rPr>
        <w:t xml:space="preserve"> </w:t>
      </w:r>
      <w:r w:rsidRPr="00862390">
        <w:rPr>
          <w:u w:val="none"/>
        </w:rPr>
        <w:t xml:space="preserve">urbain </w:t>
      </w:r>
      <w:r w:rsidR="00693187" w:rsidRPr="00862390">
        <w:rPr>
          <w:u w:val="none"/>
        </w:rPr>
        <w:t>tel</w:t>
      </w:r>
      <w:r w:rsidR="003871D2" w:rsidRPr="00862390">
        <w:rPr>
          <w:u w:val="none"/>
        </w:rPr>
        <w:t>le</w:t>
      </w:r>
      <w:r w:rsidR="00693187" w:rsidRPr="00862390">
        <w:rPr>
          <w:u w:val="none"/>
        </w:rPr>
        <w:t xml:space="preserve"> qu’elle figure à l’annexe du document </w:t>
      </w:r>
      <w:hyperlink r:id="rId104" w:history="1">
        <w:r w:rsidR="00542EF4" w:rsidRPr="00862390">
          <w:rPr>
            <w:rStyle w:val="Hyperlink"/>
          </w:rPr>
          <w:t>LHE/25/20.COM/12</w:t>
        </w:r>
      </w:hyperlink>
      <w:r w:rsidRPr="00862390">
        <w:rPr>
          <w:u w:val="none"/>
        </w:rPr>
        <w:t>,</w:t>
      </w:r>
      <w:r w:rsidRPr="00DC32BD">
        <w:rPr>
          <w:u w:val="none"/>
        </w:rPr>
        <w:t xml:space="preserve"> et </w:t>
      </w:r>
      <w:r w:rsidRPr="00DC32BD">
        <w:t>encourage</w:t>
      </w:r>
      <w:r w:rsidRPr="00DC32BD">
        <w:rPr>
          <w:u w:val="none"/>
        </w:rPr>
        <w:t xml:space="preserve"> le Secrétariat à poursuivre ses efforts de sensibilisation et de promotion de la mise en œuvre de la </w:t>
      </w:r>
      <w:r>
        <w:rPr>
          <w:u w:val="none"/>
        </w:rPr>
        <w:t>N</w:t>
      </w:r>
      <w:r w:rsidRPr="00DC32BD">
        <w:rPr>
          <w:u w:val="none"/>
        </w:rPr>
        <w:t>ote d’orientation auprès d’un large éventail de parties prenantes ;</w:t>
      </w:r>
    </w:p>
    <w:p w14:paraId="54BDE651" w14:textId="77777777" w:rsidR="00691945" w:rsidRPr="00DC32BD" w:rsidRDefault="00691945" w:rsidP="00691945">
      <w:pPr>
        <w:pStyle w:val="COMParaDecision"/>
        <w:spacing w:before="240"/>
        <w:ind w:left="567"/>
        <w:rPr>
          <w:rFonts w:asciiTheme="minorBidi" w:hAnsiTheme="minorBidi" w:cstheme="minorBidi"/>
          <w:b/>
          <w:bCs/>
          <w:u w:val="none"/>
        </w:rPr>
      </w:pPr>
      <w:r w:rsidRPr="00DC32BD">
        <w:rPr>
          <w:rFonts w:asciiTheme="minorBidi" w:hAnsiTheme="minorBidi" w:cstheme="minorBidi"/>
          <w:b/>
          <w:bCs/>
          <w:u w:val="none"/>
        </w:rPr>
        <w:t>Voies à suivre</w:t>
      </w:r>
    </w:p>
    <w:p w14:paraId="1439A651" w14:textId="77777777" w:rsidR="00691945" w:rsidRPr="00DC32BD" w:rsidRDefault="00691945" w:rsidP="001E17AF">
      <w:pPr>
        <w:pStyle w:val="COMParaDecision"/>
        <w:numPr>
          <w:ilvl w:val="0"/>
          <w:numId w:val="119"/>
        </w:numPr>
        <w:ind w:left="567" w:hanging="567"/>
        <w:rPr>
          <w:u w:val="none"/>
        </w:rPr>
      </w:pPr>
      <w:r>
        <w:t>Apprécie</w:t>
      </w:r>
      <w:r w:rsidRPr="00DC32BD">
        <w:rPr>
          <w:u w:val="none"/>
        </w:rPr>
        <w:t xml:space="preserve"> la mise à disposition des trois notes d’orientation sur les thèmes initialement définis en 2021 et </w:t>
      </w:r>
      <w:r w:rsidRPr="00DC32BD">
        <w:t>encourage</w:t>
      </w:r>
      <w:r w:rsidRPr="00DC32BD">
        <w:rPr>
          <w:u w:val="none"/>
        </w:rPr>
        <w:t xml:space="preserve"> le Secrétariat à les utiliser dans les programmes de la Convention tout en renforçant sa collaboration avec d’autres institutions et le réseau plus large des </w:t>
      </w:r>
      <w:r w:rsidRPr="00C72656">
        <w:rPr>
          <w:u w:val="none"/>
        </w:rPr>
        <w:t xml:space="preserve">Nations </w:t>
      </w:r>
      <w:r w:rsidRPr="00C72656">
        <w:rPr>
          <w:u w:val="none"/>
        </w:rPr>
        <w:lastRenderedPageBreak/>
        <w:t>Unies</w:t>
      </w:r>
      <w:r w:rsidRPr="00DC32BD">
        <w:rPr>
          <w:u w:val="none"/>
        </w:rPr>
        <w:t xml:space="preserve"> afin de renforcer la contribution de la Convention à la promotion des objectifs de développement durable ;</w:t>
      </w:r>
    </w:p>
    <w:p w14:paraId="02AE32B1" w14:textId="77777777" w:rsidR="00691945" w:rsidRPr="00DC32BD" w:rsidRDefault="00691945" w:rsidP="001E17AF">
      <w:pPr>
        <w:pStyle w:val="COMParaDecision"/>
        <w:numPr>
          <w:ilvl w:val="0"/>
          <w:numId w:val="119"/>
        </w:numPr>
        <w:ind w:left="567" w:hanging="567"/>
        <w:rPr>
          <w:u w:val="none"/>
        </w:rPr>
      </w:pPr>
      <w:r w:rsidRPr="00DC32BD">
        <w:t>Encourage en outre</w:t>
      </w:r>
      <w:r w:rsidRPr="00DC32BD">
        <w:rPr>
          <w:u w:val="none"/>
        </w:rPr>
        <w:t xml:space="preserve"> le Secrétariat à poursuivre ses efforts pour explorer les implications des technologies numériques sur le patrimoine vivant et à prendre des mesures en vue d’élaborer des orientations sur la manière d’utiliser efficacement les outils numériques à des fins de sauvegarde tout en tenant compte des </w:t>
      </w:r>
      <w:proofErr w:type="gramStart"/>
      <w:r w:rsidRPr="00DC32BD">
        <w:rPr>
          <w:u w:val="none"/>
        </w:rPr>
        <w:t>risques potentiels</w:t>
      </w:r>
      <w:proofErr w:type="gramEnd"/>
      <w:r w:rsidRPr="00DC32BD">
        <w:rPr>
          <w:u w:val="none"/>
        </w:rPr>
        <w:t xml:space="preserve"> pour les communautés ;</w:t>
      </w:r>
    </w:p>
    <w:p w14:paraId="6FDB6BCB" w14:textId="77777777" w:rsidR="00691945" w:rsidRPr="00DC32BD" w:rsidRDefault="00691945" w:rsidP="001E17AF">
      <w:pPr>
        <w:pStyle w:val="COMParaDecision"/>
        <w:numPr>
          <w:ilvl w:val="0"/>
          <w:numId w:val="119"/>
        </w:numPr>
        <w:ind w:left="567" w:hanging="567"/>
        <w:rPr>
          <w:u w:val="none"/>
        </w:rPr>
      </w:pPr>
      <w:r>
        <w:t>Appelle</w:t>
      </w:r>
      <w:r w:rsidRPr="00DC32BD">
        <w:rPr>
          <w:u w:val="none"/>
        </w:rPr>
        <w:t xml:space="preserve"> </w:t>
      </w:r>
      <w:r>
        <w:rPr>
          <w:u w:val="none"/>
        </w:rPr>
        <w:t>les</w:t>
      </w:r>
      <w:r w:rsidRPr="00DC32BD">
        <w:rPr>
          <w:u w:val="none"/>
        </w:rPr>
        <w:t xml:space="preserve"> États parties et </w:t>
      </w:r>
      <w:r>
        <w:rPr>
          <w:u w:val="none"/>
        </w:rPr>
        <w:t>les</w:t>
      </w:r>
      <w:r w:rsidRPr="00DC32BD">
        <w:rPr>
          <w:u w:val="none"/>
        </w:rPr>
        <w:t xml:space="preserve"> partenaires potentiels </w:t>
      </w:r>
      <w:r>
        <w:rPr>
          <w:u w:val="none"/>
        </w:rPr>
        <w:t xml:space="preserve">à </w:t>
      </w:r>
      <w:r w:rsidRPr="00DC32BD">
        <w:rPr>
          <w:u w:val="none"/>
        </w:rPr>
        <w:t>apporter des contributions financières selon la modalité de leur choix afin de soutenir les initiatives thématiques en cours ainsi que la nouvelle initiative relative aux implications des technologies numériques sur le patrimoine vivant ;</w:t>
      </w:r>
    </w:p>
    <w:p w14:paraId="4FC32D21" w14:textId="77777777" w:rsidR="00691945" w:rsidRDefault="00691945" w:rsidP="001E17AF">
      <w:pPr>
        <w:pStyle w:val="COMParaDecision"/>
        <w:numPr>
          <w:ilvl w:val="0"/>
          <w:numId w:val="119"/>
        </w:numPr>
        <w:ind w:left="567" w:hanging="567"/>
        <w:rPr>
          <w:u w:val="none"/>
        </w:rPr>
      </w:pPr>
      <w:r w:rsidRPr="00DC32BD">
        <w:t>Demande</w:t>
      </w:r>
      <w:r w:rsidRPr="00DC32BD">
        <w:rPr>
          <w:u w:val="none"/>
        </w:rPr>
        <w:t xml:space="preserve"> au Secrétariat de </w:t>
      </w:r>
      <w:r>
        <w:rPr>
          <w:u w:val="none"/>
        </w:rPr>
        <w:t>faire un rapport sur l</w:t>
      </w:r>
      <w:r w:rsidRPr="00DC32BD">
        <w:rPr>
          <w:u w:val="none"/>
        </w:rPr>
        <w:t xml:space="preserve">es progrès </w:t>
      </w:r>
      <w:r>
        <w:rPr>
          <w:u w:val="none"/>
        </w:rPr>
        <w:t>réalisés</w:t>
      </w:r>
      <w:r w:rsidRPr="00DC32BD">
        <w:rPr>
          <w:u w:val="none"/>
        </w:rPr>
        <w:t xml:space="preserve"> dans la mise en œuvre des initiatives thématiques </w:t>
      </w:r>
      <w:r>
        <w:rPr>
          <w:u w:val="none"/>
        </w:rPr>
        <w:t>pour examen par</w:t>
      </w:r>
      <w:r w:rsidRPr="00DC32BD">
        <w:rPr>
          <w:u w:val="none"/>
        </w:rPr>
        <w:t xml:space="preserve"> le Comité lors de sa vingt-et-unième session en 2026.</w:t>
      </w:r>
    </w:p>
    <w:p w14:paraId="0DA7286D" w14:textId="77777777" w:rsidR="00691945" w:rsidRPr="00D913C7" w:rsidRDefault="00691945" w:rsidP="009B76C5">
      <w:pPr>
        <w:pStyle w:val="COMTitleDecision"/>
        <w:keepNext/>
      </w:pPr>
      <w:r>
        <w:t>DÉCISION 20.COM 13</w:t>
      </w:r>
    </w:p>
    <w:p w14:paraId="60C6A47A" w14:textId="77777777" w:rsidR="00691945" w:rsidRPr="00F06183" w:rsidRDefault="00691945" w:rsidP="00691945">
      <w:pPr>
        <w:pStyle w:val="COMPreambulaDecisions"/>
        <w:ind w:left="0"/>
        <w:rPr>
          <w:rFonts w:eastAsia="SimSun"/>
        </w:rPr>
      </w:pPr>
      <w:r>
        <w:t>Le Comité</w:t>
      </w:r>
    </w:p>
    <w:p w14:paraId="3FA0D614" w14:textId="77777777" w:rsidR="00691945" w:rsidRPr="00D250B8" w:rsidRDefault="00691945" w:rsidP="001E17AF">
      <w:pPr>
        <w:pStyle w:val="COMParaDecision"/>
        <w:numPr>
          <w:ilvl w:val="0"/>
          <w:numId w:val="120"/>
        </w:numPr>
        <w:ind w:left="567" w:hanging="567"/>
      </w:pPr>
      <w:r w:rsidRPr="00D250B8">
        <w:t>Ayant examiné</w:t>
      </w:r>
      <w:r w:rsidRPr="00EB6F0C">
        <w:rPr>
          <w:u w:val="none"/>
        </w:rPr>
        <w:t xml:space="preserve"> le</w:t>
      </w:r>
      <w:r w:rsidRPr="00D250B8">
        <w:rPr>
          <w:u w:val="none"/>
        </w:rPr>
        <w:t xml:space="preserve"> document </w:t>
      </w:r>
      <w:hyperlink r:id="rId105" w:history="1">
        <w:r w:rsidRPr="00352F4E">
          <w:rPr>
            <w:rStyle w:val="Hyperlink"/>
          </w:rPr>
          <w:t>LHE/25/20.COM/13</w:t>
        </w:r>
      </w:hyperlink>
      <w:r w:rsidRPr="00D250B8">
        <w:rPr>
          <w:u w:val="none"/>
        </w:rPr>
        <w:t xml:space="preserve"> et ses annexes, ainsi que les documents </w:t>
      </w:r>
      <w:hyperlink r:id="rId106" w:history="1">
        <w:r w:rsidRPr="00EB6F0C">
          <w:rPr>
            <w:rStyle w:val="Hyperlink"/>
          </w:rPr>
          <w:t>LHE/25/20.COM/INF.13.1</w:t>
        </w:r>
      </w:hyperlink>
      <w:r w:rsidRPr="00D250B8">
        <w:rPr>
          <w:u w:val="none"/>
        </w:rPr>
        <w:t xml:space="preserve"> et </w:t>
      </w:r>
      <w:hyperlink r:id="rId107" w:history="1">
        <w:r w:rsidRPr="00D250B8">
          <w:rPr>
            <w:rStyle w:val="Hyperlink"/>
          </w:rPr>
          <w:t>LHE/25/20.COM/INF.13.2</w:t>
        </w:r>
      </w:hyperlink>
      <w:r w:rsidRPr="00D250B8">
        <w:rPr>
          <w:u w:val="none"/>
        </w:rPr>
        <w:t>,</w:t>
      </w:r>
    </w:p>
    <w:p w14:paraId="18419D7A" w14:textId="77777777" w:rsidR="00691945" w:rsidRPr="00D913C7" w:rsidRDefault="00691945" w:rsidP="001E17AF">
      <w:pPr>
        <w:pStyle w:val="COMParaDecision"/>
        <w:numPr>
          <w:ilvl w:val="0"/>
          <w:numId w:val="120"/>
        </w:numPr>
        <w:ind w:left="567" w:hanging="567"/>
        <w:rPr>
          <w:rFonts w:asciiTheme="minorBidi" w:hAnsiTheme="minorBidi" w:cstheme="minorBidi"/>
        </w:rPr>
      </w:pPr>
      <w:r>
        <w:t>Rappelant</w:t>
      </w:r>
      <w:r>
        <w:rPr>
          <w:u w:val="none"/>
        </w:rPr>
        <w:t xml:space="preserve"> </w:t>
      </w:r>
      <w:r>
        <w:rPr>
          <w:rFonts w:asciiTheme="minorBidi" w:hAnsiTheme="minorBidi"/>
          <w:u w:val="none"/>
        </w:rPr>
        <w:t>l’article 25.5 de la Convention et le chapitre II des Directives opérationnelles,</w:t>
      </w:r>
    </w:p>
    <w:p w14:paraId="28430D7D" w14:textId="77777777" w:rsidR="00691945" w:rsidRPr="00366FF7" w:rsidRDefault="00691945" w:rsidP="001E17AF">
      <w:pPr>
        <w:pStyle w:val="COMParaDecision"/>
        <w:numPr>
          <w:ilvl w:val="0"/>
          <w:numId w:val="120"/>
        </w:numPr>
        <w:ind w:left="567" w:hanging="567"/>
        <w:rPr>
          <w:rFonts w:asciiTheme="minorBidi" w:hAnsiTheme="minorBidi" w:cstheme="minorBidi"/>
        </w:rPr>
      </w:pPr>
      <w:r>
        <w:rPr>
          <w:rFonts w:asciiTheme="minorBidi" w:hAnsiTheme="minorBidi"/>
        </w:rPr>
        <w:t>Rappelant en outre</w:t>
      </w:r>
      <w:r w:rsidRPr="00EB6F0C">
        <w:rPr>
          <w:rFonts w:asciiTheme="minorBidi" w:hAnsiTheme="minorBidi"/>
          <w:u w:val="none"/>
        </w:rPr>
        <w:t xml:space="preserve"> </w:t>
      </w:r>
      <w:r w:rsidRPr="008548A0">
        <w:rPr>
          <w:rFonts w:asciiTheme="minorBidi" w:hAnsiTheme="minorBidi"/>
          <w:u w:val="none"/>
        </w:rPr>
        <w:t>ses</w:t>
      </w:r>
      <w:r>
        <w:rPr>
          <w:rFonts w:asciiTheme="minorBidi" w:hAnsiTheme="minorBidi"/>
          <w:u w:val="none"/>
        </w:rPr>
        <w:t xml:space="preserve"> décisions précédentes concernant les contributions volontaires supplémentaires au Fonds du patrimoine culturel immatériel, et plus récemment sa décision </w:t>
      </w:r>
      <w:hyperlink r:id="rId108" w:history="1">
        <w:r>
          <w:rPr>
            <w:rStyle w:val="Hyperlink"/>
            <w:rFonts w:asciiTheme="minorBidi" w:hAnsiTheme="minorBidi"/>
          </w:rPr>
          <w:t>19.COM 12</w:t>
        </w:r>
      </w:hyperlink>
      <w:r>
        <w:rPr>
          <w:rFonts w:asciiTheme="minorBidi" w:hAnsiTheme="minorBidi"/>
          <w:u w:val="none"/>
        </w:rPr>
        <w:t>,</w:t>
      </w:r>
    </w:p>
    <w:p w14:paraId="2F6948C8" w14:textId="715CC3B4" w:rsidR="00691945" w:rsidRPr="00D913C7" w:rsidRDefault="00691945" w:rsidP="001E17AF">
      <w:pPr>
        <w:pStyle w:val="COMParaDecision"/>
        <w:numPr>
          <w:ilvl w:val="0"/>
          <w:numId w:val="120"/>
        </w:numPr>
        <w:ind w:left="567" w:hanging="567"/>
        <w:rPr>
          <w:rFonts w:asciiTheme="minorBidi" w:hAnsiTheme="minorBidi" w:cstheme="minorBidi"/>
          <w:u w:val="none"/>
        </w:rPr>
      </w:pPr>
      <w:r>
        <w:rPr>
          <w:rFonts w:asciiTheme="minorBidi" w:hAnsiTheme="minorBidi"/>
        </w:rPr>
        <w:t>Remercie</w:t>
      </w:r>
      <w:r>
        <w:rPr>
          <w:rFonts w:asciiTheme="minorBidi" w:hAnsiTheme="minorBidi"/>
          <w:u w:val="none"/>
        </w:rPr>
        <w:t xml:space="preserve"> tous les donateurs qui ont généreusement soutenu la Convention et son Secrétariat depuis la dernière session, à savoir la </w:t>
      </w:r>
      <w:r w:rsidRPr="001B150A">
        <w:rPr>
          <w:rFonts w:asciiTheme="minorBidi" w:hAnsiTheme="minorBidi"/>
          <w:u w:val="none"/>
        </w:rPr>
        <w:t xml:space="preserve">France, la Lituanie, Monaco, le Royaume des Pays-Bas, Saint Vincent-et-les Grenadines, la Slovénie, </w:t>
      </w:r>
      <w:r w:rsidR="008413B6" w:rsidRPr="001B150A">
        <w:rPr>
          <w:rFonts w:asciiTheme="minorBidi" w:hAnsiTheme="minorBidi"/>
          <w:u w:val="none"/>
        </w:rPr>
        <w:t xml:space="preserve">la Suède </w:t>
      </w:r>
      <w:r w:rsidRPr="001B150A">
        <w:rPr>
          <w:rFonts w:asciiTheme="minorBidi" w:hAnsiTheme="minorBidi"/>
          <w:u w:val="none"/>
        </w:rPr>
        <w:t>et le Royaume-Uni de Grande-Bretagne et d’Irlande du Nord, ainsi que l’Allemagne dans le</w:t>
      </w:r>
      <w:r>
        <w:rPr>
          <w:rFonts w:asciiTheme="minorBidi" w:hAnsiTheme="minorBidi"/>
          <w:u w:val="none"/>
        </w:rPr>
        <w:t xml:space="preserve"> cadre du programme JPO et la République populaire de Chine pour sa contribution en nature ;</w:t>
      </w:r>
    </w:p>
    <w:p w14:paraId="7519E85C" w14:textId="77777777" w:rsidR="00691945" w:rsidRPr="00D913C7" w:rsidRDefault="00691945" w:rsidP="001E17AF">
      <w:pPr>
        <w:pStyle w:val="COMParaDecision"/>
        <w:numPr>
          <w:ilvl w:val="0"/>
          <w:numId w:val="120"/>
        </w:numPr>
        <w:ind w:left="567" w:hanging="567"/>
        <w:rPr>
          <w:u w:val="none"/>
        </w:rPr>
      </w:pPr>
      <w:r>
        <w:t xml:space="preserve">Prend </w:t>
      </w:r>
      <w:r w:rsidRPr="002B12AA">
        <w:t>note</w:t>
      </w:r>
      <w:r>
        <w:rPr>
          <w:u w:val="none"/>
        </w:rPr>
        <w:t xml:space="preserve"> que si les objectifs de mobilisation pour les deux priorités de financement n’ont pas été atteints en termes de contributions volontaires supplémentaires au </w:t>
      </w:r>
      <w:r>
        <w:rPr>
          <w:rFonts w:asciiTheme="minorBidi" w:hAnsiTheme="minorBidi"/>
          <w:u w:val="none"/>
        </w:rPr>
        <w:t>Fonds du patrimoine culturel immatériel, la Convention a reçu un soutien important par le biais du Fonds en dépôt et d’autres modalités affectées</w:t>
      </w:r>
      <w:r w:rsidRPr="002B12AA">
        <w:rPr>
          <w:u w:val="none"/>
        </w:rPr>
        <w:t xml:space="preserve"> </w:t>
      </w:r>
      <w:r w:rsidRPr="00D30CFD">
        <w:rPr>
          <w:u w:val="none"/>
        </w:rPr>
        <w:t>à des fins spécifiques</w:t>
      </w:r>
      <w:r>
        <w:rPr>
          <w:rFonts w:asciiTheme="minorBidi" w:hAnsiTheme="minorBidi"/>
          <w:u w:val="none"/>
        </w:rPr>
        <w:t xml:space="preserve">, et </w:t>
      </w:r>
      <w:r>
        <w:t>exprime sa gratitude</w:t>
      </w:r>
      <w:r>
        <w:rPr>
          <w:u w:val="none"/>
        </w:rPr>
        <w:t xml:space="preserve"> à tous les contributeurs qui ont généreusement soutenu la Convention au cours de la période quadriennale 2022</w:t>
      </w:r>
      <w:r w:rsidRPr="00CC47F1">
        <w:rPr>
          <w:u w:val="none"/>
        </w:rPr>
        <w:t>–</w:t>
      </w:r>
      <w:r>
        <w:rPr>
          <w:u w:val="none"/>
        </w:rPr>
        <w:t xml:space="preserve">2025 </w:t>
      </w:r>
      <w:r>
        <w:rPr>
          <w:rFonts w:asciiTheme="minorBidi" w:hAnsiTheme="minorBidi"/>
          <w:u w:val="none"/>
        </w:rPr>
        <w:t>;</w:t>
      </w:r>
    </w:p>
    <w:p w14:paraId="7DF40B1A" w14:textId="77777777" w:rsidR="00691945" w:rsidRPr="00EB6F0C" w:rsidRDefault="00691945" w:rsidP="001E17AF">
      <w:pPr>
        <w:pStyle w:val="COMParaDecision"/>
        <w:numPr>
          <w:ilvl w:val="0"/>
          <w:numId w:val="120"/>
        </w:numPr>
        <w:ind w:left="567" w:hanging="567"/>
        <w:rPr>
          <w:u w:val="none"/>
        </w:rPr>
      </w:pPr>
      <w:r>
        <w:t>Approuve</w:t>
      </w:r>
      <w:r>
        <w:rPr>
          <w:u w:val="none"/>
        </w:rPr>
        <w:t xml:space="preserve"> les deux priorités de financement pour la période 2026</w:t>
      </w:r>
      <w:r w:rsidRPr="00CC47F1">
        <w:rPr>
          <w:u w:val="none"/>
        </w:rPr>
        <w:t>–</w:t>
      </w:r>
      <w:r>
        <w:rPr>
          <w:u w:val="none"/>
        </w:rPr>
        <w:t>2029 intitulées « </w:t>
      </w:r>
      <w:r w:rsidRPr="00404BB8">
        <w:rPr>
          <w:u w:val="none"/>
        </w:rPr>
        <w:t>Améliorer les approches de renforcement des capacités pour la sauvegarde du patrimoine culturel immatér</w:t>
      </w:r>
      <w:r>
        <w:rPr>
          <w:u w:val="none"/>
        </w:rPr>
        <w:t>i</w:t>
      </w:r>
      <w:r w:rsidRPr="00404BB8">
        <w:rPr>
          <w:u w:val="none"/>
        </w:rPr>
        <w:t>el en mettant l’accent sur le bien-être humain et l’autonomisation des communautés</w:t>
      </w:r>
      <w:r>
        <w:rPr>
          <w:u w:val="none"/>
        </w:rPr>
        <w:t xml:space="preserve">» (Priorité de financement A) et « Affiner les approches de sauvegarde du patrimoine culturel immatériel » (Priorité de financement B), </w:t>
      </w:r>
      <w:r>
        <w:t>accepte</w:t>
      </w:r>
      <w:r>
        <w:rPr>
          <w:u w:val="none"/>
        </w:rPr>
        <w:t xml:space="preserve"> toute contribution volontaire supplémentaire future faite pour soutenir les activités dans le cadre de ces priorités, et </w:t>
      </w:r>
      <w:r>
        <w:t>autorise</w:t>
      </w:r>
      <w:r w:rsidRPr="00EB6F0C">
        <w:rPr>
          <w:u w:val="none"/>
        </w:rPr>
        <w:t xml:space="preserve"> le</w:t>
      </w:r>
      <w:r>
        <w:rPr>
          <w:u w:val="none"/>
        </w:rPr>
        <w:t xml:space="preserve"> Secrétariat à en faire un usage </w:t>
      </w:r>
      <w:r w:rsidRPr="008548A0">
        <w:rPr>
          <w:u w:val="none"/>
        </w:rPr>
        <w:t>immédiat</w:t>
      </w:r>
      <w:r w:rsidRPr="00EB6F0C">
        <w:rPr>
          <w:u w:val="none"/>
        </w:rPr>
        <w:t xml:space="preserve"> ;</w:t>
      </w:r>
    </w:p>
    <w:p w14:paraId="165AE40D" w14:textId="5D42933B" w:rsidR="00691945" w:rsidRPr="008F09CC" w:rsidRDefault="00691945" w:rsidP="001E17AF">
      <w:pPr>
        <w:pStyle w:val="COMParaDecision"/>
        <w:numPr>
          <w:ilvl w:val="0"/>
          <w:numId w:val="120"/>
        </w:numPr>
        <w:ind w:left="567" w:hanging="567"/>
        <w:rPr>
          <w:rFonts w:asciiTheme="minorBidi" w:hAnsiTheme="minorBidi" w:cstheme="minorBidi"/>
          <w:u w:val="none"/>
        </w:rPr>
      </w:pPr>
      <w:r w:rsidRPr="008F09CC">
        <w:rPr>
          <w:rFonts w:asciiTheme="minorBidi" w:hAnsiTheme="minorBidi"/>
        </w:rPr>
        <w:t>Félicite</w:t>
      </w:r>
      <w:r w:rsidRPr="008F09CC">
        <w:rPr>
          <w:rFonts w:asciiTheme="minorBidi" w:hAnsiTheme="minorBidi"/>
          <w:u w:val="none"/>
        </w:rPr>
        <w:t xml:space="preserve"> le Royaume des Pays-Bas </w:t>
      </w:r>
      <w:r w:rsidR="00B26AFA" w:rsidRPr="008F09CC">
        <w:rPr>
          <w:rFonts w:asciiTheme="minorBidi" w:hAnsiTheme="minorBidi"/>
          <w:u w:val="none"/>
        </w:rPr>
        <w:t xml:space="preserve">et la Suède </w:t>
      </w:r>
      <w:r w:rsidRPr="008F09CC">
        <w:rPr>
          <w:rFonts w:asciiTheme="minorBidi" w:hAnsiTheme="minorBidi"/>
          <w:u w:val="none"/>
        </w:rPr>
        <w:t>pour leur</w:t>
      </w:r>
      <w:r w:rsidR="00B26AFA" w:rsidRPr="008F09CC">
        <w:rPr>
          <w:rFonts w:asciiTheme="minorBidi" w:hAnsiTheme="minorBidi"/>
          <w:u w:val="none"/>
        </w:rPr>
        <w:t>s</w:t>
      </w:r>
      <w:r w:rsidRPr="008F09CC">
        <w:rPr>
          <w:rFonts w:asciiTheme="minorBidi" w:hAnsiTheme="minorBidi"/>
          <w:u w:val="none"/>
        </w:rPr>
        <w:t xml:space="preserve"> offre</w:t>
      </w:r>
      <w:r w:rsidR="00B26AFA" w:rsidRPr="008F09CC">
        <w:rPr>
          <w:rFonts w:asciiTheme="minorBidi" w:hAnsiTheme="minorBidi"/>
          <w:u w:val="none"/>
        </w:rPr>
        <w:t>s</w:t>
      </w:r>
      <w:r w:rsidRPr="008F09CC">
        <w:rPr>
          <w:rFonts w:asciiTheme="minorBidi" w:hAnsiTheme="minorBidi"/>
          <w:u w:val="none"/>
        </w:rPr>
        <w:t xml:space="preserve"> généreuse</w:t>
      </w:r>
      <w:r w:rsidR="00B26AFA" w:rsidRPr="008F09CC">
        <w:rPr>
          <w:rFonts w:asciiTheme="minorBidi" w:hAnsiTheme="minorBidi"/>
          <w:u w:val="none"/>
        </w:rPr>
        <w:t>s</w:t>
      </w:r>
      <w:r w:rsidRPr="008F09CC">
        <w:rPr>
          <w:rFonts w:asciiTheme="minorBidi" w:hAnsiTheme="minorBidi"/>
          <w:u w:val="none"/>
        </w:rPr>
        <w:t xml:space="preserve"> d</w:t>
      </w:r>
      <w:r w:rsidR="00B26AFA" w:rsidRPr="008F09CC">
        <w:rPr>
          <w:rFonts w:asciiTheme="minorBidi" w:hAnsiTheme="minorBidi"/>
          <w:u w:val="none"/>
        </w:rPr>
        <w:t xml:space="preserve">e </w:t>
      </w:r>
      <w:r w:rsidRPr="008F09CC">
        <w:rPr>
          <w:rFonts w:asciiTheme="minorBidi" w:hAnsiTheme="minorBidi"/>
          <w:u w:val="none"/>
        </w:rPr>
        <w:t>contribution</w:t>
      </w:r>
      <w:r w:rsidR="00C27128" w:rsidRPr="008F09CC">
        <w:rPr>
          <w:rFonts w:asciiTheme="minorBidi" w:hAnsiTheme="minorBidi"/>
          <w:u w:val="none"/>
        </w:rPr>
        <w:t>s</w:t>
      </w:r>
      <w:r w:rsidRPr="008F09CC">
        <w:rPr>
          <w:rFonts w:asciiTheme="minorBidi" w:hAnsiTheme="minorBidi"/>
          <w:u w:val="none"/>
        </w:rPr>
        <w:t xml:space="preserve"> volontaire</w:t>
      </w:r>
      <w:r w:rsidR="00C27128" w:rsidRPr="008F09CC">
        <w:rPr>
          <w:rFonts w:asciiTheme="minorBidi" w:hAnsiTheme="minorBidi"/>
          <w:u w:val="none"/>
        </w:rPr>
        <w:t>s</w:t>
      </w:r>
      <w:r w:rsidRPr="008F09CC">
        <w:rPr>
          <w:rFonts w:asciiTheme="minorBidi" w:hAnsiTheme="minorBidi"/>
          <w:u w:val="none"/>
        </w:rPr>
        <w:t xml:space="preserve"> supplémentaire</w:t>
      </w:r>
      <w:r w:rsidR="00C27128" w:rsidRPr="008F09CC">
        <w:rPr>
          <w:rFonts w:asciiTheme="minorBidi" w:hAnsiTheme="minorBidi"/>
          <w:u w:val="none"/>
        </w:rPr>
        <w:t>s</w:t>
      </w:r>
      <w:r w:rsidRPr="008F09CC">
        <w:rPr>
          <w:rFonts w:asciiTheme="minorBidi" w:hAnsiTheme="minorBidi"/>
          <w:u w:val="none"/>
        </w:rPr>
        <w:t xml:space="preserve"> au Fonds du patrimoine culturel immatériel visant à soutenir l’initiative thématique sur l’intelligence artificielle et le patrimoine vivant ;</w:t>
      </w:r>
    </w:p>
    <w:p w14:paraId="37EB8716" w14:textId="3866D774" w:rsidR="00691945" w:rsidRPr="008F09CC" w:rsidRDefault="00691945" w:rsidP="001E17AF">
      <w:pPr>
        <w:pStyle w:val="COMParaDecision"/>
        <w:numPr>
          <w:ilvl w:val="0"/>
          <w:numId w:val="120"/>
        </w:numPr>
        <w:ind w:left="567" w:hanging="567"/>
        <w:rPr>
          <w:rFonts w:asciiTheme="minorBidi" w:hAnsiTheme="minorBidi" w:cstheme="minorBidi"/>
          <w:u w:val="none"/>
        </w:rPr>
      </w:pPr>
      <w:r w:rsidRPr="008F09CC">
        <w:rPr>
          <w:rFonts w:asciiTheme="minorBidi" w:hAnsiTheme="minorBidi"/>
        </w:rPr>
        <w:t>Accepte avec gratitude</w:t>
      </w:r>
      <w:r w:rsidRPr="008F09CC">
        <w:rPr>
          <w:rFonts w:asciiTheme="minorBidi" w:hAnsiTheme="minorBidi"/>
          <w:u w:val="none"/>
        </w:rPr>
        <w:t xml:space="preserve"> </w:t>
      </w:r>
      <w:r w:rsidR="00C27128" w:rsidRPr="008F09CC">
        <w:rPr>
          <w:rFonts w:asciiTheme="minorBidi" w:hAnsiTheme="minorBidi"/>
          <w:u w:val="none"/>
        </w:rPr>
        <w:t>les</w:t>
      </w:r>
      <w:r w:rsidRPr="008F09CC">
        <w:rPr>
          <w:rFonts w:asciiTheme="minorBidi" w:hAnsiTheme="minorBidi"/>
          <w:u w:val="none"/>
        </w:rPr>
        <w:t xml:space="preserve"> contribution</w:t>
      </w:r>
      <w:r w:rsidR="00C27128" w:rsidRPr="008F09CC">
        <w:rPr>
          <w:rFonts w:asciiTheme="minorBidi" w:hAnsiTheme="minorBidi"/>
          <w:u w:val="none"/>
        </w:rPr>
        <w:t>s</w:t>
      </w:r>
      <w:r w:rsidRPr="008F09CC">
        <w:rPr>
          <w:rFonts w:asciiTheme="minorBidi" w:hAnsiTheme="minorBidi"/>
          <w:u w:val="none"/>
        </w:rPr>
        <w:t xml:space="preserve"> généreuse</w:t>
      </w:r>
      <w:r w:rsidR="00C27128" w:rsidRPr="008F09CC">
        <w:rPr>
          <w:rFonts w:asciiTheme="minorBidi" w:hAnsiTheme="minorBidi"/>
          <w:u w:val="none"/>
        </w:rPr>
        <w:t>s</w:t>
      </w:r>
      <w:r w:rsidRPr="008F09CC">
        <w:rPr>
          <w:rFonts w:asciiTheme="minorBidi" w:hAnsiTheme="minorBidi"/>
          <w:u w:val="none"/>
        </w:rPr>
        <w:t xml:space="preserve"> du Royaume des Pays-Bas</w:t>
      </w:r>
      <w:r w:rsidR="00C27128" w:rsidRPr="008F09CC">
        <w:rPr>
          <w:rFonts w:asciiTheme="minorBidi" w:hAnsiTheme="minorBidi"/>
          <w:u w:val="none"/>
        </w:rPr>
        <w:t xml:space="preserve"> et de la Suède</w:t>
      </w:r>
      <w:r w:rsidRPr="008F09CC">
        <w:rPr>
          <w:rFonts w:asciiTheme="minorBidi" w:hAnsiTheme="minorBidi"/>
          <w:u w:val="none"/>
        </w:rPr>
        <w:t xml:space="preserve">, </w:t>
      </w:r>
      <w:r w:rsidRPr="008F09CC">
        <w:rPr>
          <w:rFonts w:asciiTheme="minorBidi" w:hAnsiTheme="minorBidi"/>
        </w:rPr>
        <w:t>approuve</w:t>
      </w:r>
      <w:r w:rsidRPr="008F09CC">
        <w:rPr>
          <w:rFonts w:asciiTheme="minorBidi" w:hAnsiTheme="minorBidi"/>
          <w:u w:val="none"/>
        </w:rPr>
        <w:t xml:space="preserve"> </w:t>
      </w:r>
      <w:r w:rsidR="002B695C" w:rsidRPr="008F09CC">
        <w:rPr>
          <w:rFonts w:asciiTheme="minorBidi" w:hAnsiTheme="minorBidi"/>
          <w:u w:val="none"/>
        </w:rPr>
        <w:t xml:space="preserve">leur </w:t>
      </w:r>
      <w:r w:rsidRPr="008F09CC">
        <w:rPr>
          <w:rFonts w:asciiTheme="minorBidi" w:hAnsiTheme="minorBidi"/>
          <w:u w:val="none"/>
        </w:rPr>
        <w:t xml:space="preserve">objectif spécifique et </w:t>
      </w:r>
      <w:r w:rsidRPr="008F09CC">
        <w:rPr>
          <w:rFonts w:asciiTheme="minorBidi" w:hAnsiTheme="minorBidi"/>
        </w:rPr>
        <w:t>demande</w:t>
      </w:r>
      <w:r w:rsidRPr="008F09CC">
        <w:rPr>
          <w:rFonts w:asciiTheme="minorBidi" w:hAnsiTheme="minorBidi"/>
          <w:u w:val="none"/>
        </w:rPr>
        <w:t xml:space="preserve"> au Secrétariat d’en assurer la planification et la mise en œuvre adéquates ;</w:t>
      </w:r>
    </w:p>
    <w:p w14:paraId="61AA31F4" w14:textId="77777777" w:rsidR="00691945" w:rsidRPr="00D913C7" w:rsidRDefault="00691945" w:rsidP="001E17AF">
      <w:pPr>
        <w:pStyle w:val="COMParaDecision"/>
        <w:numPr>
          <w:ilvl w:val="0"/>
          <w:numId w:val="120"/>
        </w:numPr>
        <w:ind w:left="567" w:hanging="567"/>
        <w:rPr>
          <w:rFonts w:asciiTheme="minorBidi" w:hAnsiTheme="minorBidi" w:cstheme="minorBidi"/>
        </w:rPr>
      </w:pPr>
      <w:r>
        <w:t>Encourage</w:t>
      </w:r>
      <w:r>
        <w:rPr>
          <w:rFonts w:asciiTheme="minorBidi" w:hAnsiTheme="minorBidi"/>
        </w:rPr>
        <w:t xml:space="preserve"> </w:t>
      </w:r>
      <w:r w:rsidRPr="00EB6F0C">
        <w:rPr>
          <w:rFonts w:asciiTheme="minorBidi" w:hAnsiTheme="minorBidi"/>
          <w:u w:val="none"/>
        </w:rPr>
        <w:t>les contributeurs potentiels à soutenir la Convention, en particulier dans le cadre des deux priorités de financement définies pour la période 2026</w:t>
      </w:r>
      <w:r w:rsidRPr="00CC47F1">
        <w:rPr>
          <w:u w:val="none"/>
        </w:rPr>
        <w:t>–</w:t>
      </w:r>
      <w:r w:rsidRPr="00EB6F0C">
        <w:rPr>
          <w:rFonts w:asciiTheme="minorBidi" w:hAnsiTheme="minorBidi"/>
          <w:u w:val="none"/>
        </w:rPr>
        <w:t xml:space="preserve">2029 et du sous-fonds pour le renforcement des </w:t>
      </w:r>
      <w:r>
        <w:rPr>
          <w:rFonts w:asciiTheme="minorBidi" w:hAnsiTheme="minorBidi"/>
          <w:u w:val="none"/>
        </w:rPr>
        <w:t xml:space="preserve">ressources </w:t>
      </w:r>
      <w:r w:rsidRPr="00EB6F0C">
        <w:rPr>
          <w:rFonts w:asciiTheme="minorBidi" w:hAnsiTheme="minorBidi"/>
          <w:u w:val="none"/>
        </w:rPr>
        <w:t>humaines du Secrétariat ;</w:t>
      </w:r>
    </w:p>
    <w:p w14:paraId="594B4B1C" w14:textId="77777777" w:rsidR="00691945" w:rsidRPr="00D913C7" w:rsidRDefault="00691945" w:rsidP="001E17AF">
      <w:pPr>
        <w:pStyle w:val="COMParaDecision"/>
        <w:numPr>
          <w:ilvl w:val="0"/>
          <w:numId w:val="120"/>
        </w:numPr>
        <w:ind w:left="567" w:hanging="567"/>
        <w:rPr>
          <w:rFonts w:asciiTheme="minorBidi" w:hAnsiTheme="minorBidi" w:cstheme="minorBidi"/>
          <w:u w:val="none"/>
        </w:rPr>
      </w:pPr>
      <w:r>
        <w:rPr>
          <w:rFonts w:asciiTheme="minorBidi" w:hAnsiTheme="minorBidi"/>
        </w:rPr>
        <w:lastRenderedPageBreak/>
        <w:t>Encourage en outre</w:t>
      </w:r>
      <w:r>
        <w:rPr>
          <w:rFonts w:asciiTheme="minorBidi" w:hAnsiTheme="minorBidi"/>
          <w:u w:val="none"/>
        </w:rPr>
        <w:t xml:space="preserve"> le Secrétariat à poursuivre ses efforts pour mobiliser des fonds afin de soutenir la mise en œuvre de la Convention et de répondre positivement aux besoins exprimés par les États parties conformément aux deux priorités de financement ;</w:t>
      </w:r>
    </w:p>
    <w:p w14:paraId="388D5979" w14:textId="77777777" w:rsidR="00691945" w:rsidRPr="00EB0282" w:rsidRDefault="00691945" w:rsidP="001E17AF">
      <w:pPr>
        <w:pStyle w:val="COMParaDecision"/>
        <w:numPr>
          <w:ilvl w:val="0"/>
          <w:numId w:val="120"/>
        </w:numPr>
        <w:ind w:left="567" w:hanging="567"/>
        <w:rPr>
          <w:rFonts w:asciiTheme="minorBidi" w:hAnsiTheme="minorBidi" w:cstheme="minorBidi"/>
        </w:rPr>
      </w:pPr>
      <w:r>
        <w:rPr>
          <w:rFonts w:asciiTheme="minorBidi" w:hAnsiTheme="minorBidi"/>
        </w:rPr>
        <w:t>Demande</w:t>
      </w:r>
      <w:r>
        <w:rPr>
          <w:rFonts w:asciiTheme="minorBidi" w:hAnsiTheme="minorBidi"/>
          <w:u w:val="none"/>
        </w:rPr>
        <w:t xml:space="preserve"> au Secrétariat de lui faire rapport, lors de sa vingt-et-unième session, sur les progrès accomplis dans la mise en œuvre des contributions volontaires supplémentaires reçues depuis la vingtième session.</w:t>
      </w:r>
    </w:p>
    <w:p w14:paraId="21AE4ACE" w14:textId="77777777" w:rsidR="00691945" w:rsidRPr="00522608" w:rsidRDefault="00691945" w:rsidP="009B76C5">
      <w:pPr>
        <w:pStyle w:val="COMTitleDecision"/>
        <w:keepNext/>
      </w:pPr>
      <w:r>
        <w:t>DÉCISION 20.COM 14</w:t>
      </w:r>
    </w:p>
    <w:p w14:paraId="36787E21" w14:textId="77777777" w:rsidR="00691945" w:rsidRPr="00522608" w:rsidRDefault="00691945" w:rsidP="00691945">
      <w:pPr>
        <w:pStyle w:val="COMPreambulaDecisions"/>
        <w:ind w:left="0"/>
        <w:rPr>
          <w:rFonts w:eastAsia="SimSun"/>
        </w:rPr>
      </w:pPr>
      <w:r>
        <w:t>Le Comité,</w:t>
      </w:r>
    </w:p>
    <w:p w14:paraId="478B81CB" w14:textId="77777777" w:rsidR="00691945" w:rsidRPr="0006070C" w:rsidRDefault="00691945" w:rsidP="001E17AF">
      <w:pPr>
        <w:pStyle w:val="COMParaDecision"/>
        <w:numPr>
          <w:ilvl w:val="0"/>
          <w:numId w:val="121"/>
        </w:numPr>
        <w:ind w:left="567" w:hanging="567"/>
      </w:pPr>
      <w:r w:rsidRPr="0006070C">
        <w:t>Ayant examiné</w:t>
      </w:r>
      <w:r w:rsidRPr="0006070C">
        <w:rPr>
          <w:u w:val="none"/>
        </w:rPr>
        <w:t xml:space="preserve"> les documents </w:t>
      </w:r>
      <w:hyperlink r:id="rId109" w:history="1">
        <w:r w:rsidRPr="00352F4E">
          <w:rPr>
            <w:rStyle w:val="Hyperlink"/>
          </w:rPr>
          <w:t>LHE/25/20.COM/14</w:t>
        </w:r>
      </w:hyperlink>
      <w:r w:rsidRPr="0006070C">
        <w:rPr>
          <w:u w:val="none"/>
        </w:rPr>
        <w:t xml:space="preserve">, </w:t>
      </w:r>
      <w:hyperlink r:id="rId110" w:history="1">
        <w:r w:rsidRPr="00C019B6">
          <w:rPr>
            <w:rStyle w:val="Hyperlink"/>
          </w:rPr>
          <w:t>LHE/25/20.COM/INF.14</w:t>
        </w:r>
      </w:hyperlink>
      <w:r w:rsidRPr="0006070C">
        <w:rPr>
          <w:u w:val="none"/>
        </w:rPr>
        <w:t xml:space="preserve"> et leurs annexes respectives, </w:t>
      </w:r>
    </w:p>
    <w:p w14:paraId="4DFF1F5D" w14:textId="77777777" w:rsidR="00691945" w:rsidRPr="00522608" w:rsidRDefault="00691945" w:rsidP="001E17AF">
      <w:pPr>
        <w:pStyle w:val="COMParaDecision"/>
        <w:numPr>
          <w:ilvl w:val="0"/>
          <w:numId w:val="121"/>
        </w:numPr>
        <w:ind w:left="567" w:hanging="567"/>
      </w:pPr>
      <w:r>
        <w:t>Rappelant</w:t>
      </w:r>
      <w:r>
        <w:rPr>
          <w:u w:val="none"/>
        </w:rPr>
        <w:t xml:space="preserve"> l’article 7(c), la résolution </w:t>
      </w:r>
      <w:hyperlink r:id="rId111" w:history="1">
        <w:r>
          <w:rPr>
            <w:rStyle w:val="Hyperlink"/>
          </w:rPr>
          <w:t>10.GA 8</w:t>
        </w:r>
      </w:hyperlink>
      <w:r>
        <w:rPr>
          <w:u w:val="none"/>
        </w:rPr>
        <w:t xml:space="preserve"> et la décision </w:t>
      </w:r>
      <w:hyperlink r:id="rId112" w:history="1">
        <w:r>
          <w:rPr>
            <w:rStyle w:val="Hyperlink"/>
          </w:rPr>
          <w:t>18.COM 14</w:t>
        </w:r>
      </w:hyperlink>
      <w:r>
        <w:rPr>
          <w:u w:val="none"/>
        </w:rPr>
        <w:t xml:space="preserve">; </w:t>
      </w:r>
    </w:p>
    <w:p w14:paraId="4F630BB9" w14:textId="77777777" w:rsidR="00691945" w:rsidRPr="00522608" w:rsidRDefault="00691945" w:rsidP="001E17AF">
      <w:pPr>
        <w:pStyle w:val="COMParaDecision"/>
        <w:numPr>
          <w:ilvl w:val="0"/>
          <w:numId w:val="121"/>
        </w:numPr>
        <w:ind w:left="567" w:hanging="567"/>
        <w:rPr>
          <w:u w:val="none"/>
        </w:rPr>
      </w:pPr>
      <w:r>
        <w:t>Rappelant en outre</w:t>
      </w:r>
      <w:r>
        <w:rPr>
          <w:u w:val="none"/>
        </w:rPr>
        <w:t xml:space="preserve"> </w:t>
      </w:r>
      <w:hyperlink r:id="rId113" w:history="1">
        <w:r>
          <w:rPr>
            <w:rStyle w:val="Hyperlink"/>
          </w:rPr>
          <w:t xml:space="preserve">la </w:t>
        </w:r>
        <w:r w:rsidRPr="008622E7">
          <w:rPr>
            <w:rStyle w:val="Hyperlink"/>
          </w:rPr>
          <w:t>résolution</w:t>
        </w:r>
        <w:r>
          <w:rPr>
            <w:rStyle w:val="Hyperlink"/>
          </w:rPr>
          <w:t xml:space="preserve"> portant ouverture de crédits pour 2026-2027</w:t>
        </w:r>
      </w:hyperlink>
      <w:r>
        <w:t xml:space="preserve"> </w:t>
      </w:r>
      <w:r>
        <w:rPr>
          <w:u w:val="none"/>
        </w:rPr>
        <w:t xml:space="preserve">de la Conférence générale de l’UNESCO adoptée en novembre 2025 ; </w:t>
      </w:r>
    </w:p>
    <w:p w14:paraId="25C5A95A" w14:textId="77777777" w:rsidR="00691945" w:rsidRPr="00522608" w:rsidRDefault="00691945" w:rsidP="001E17AF">
      <w:pPr>
        <w:pStyle w:val="COMParaDecision"/>
        <w:numPr>
          <w:ilvl w:val="0"/>
          <w:numId w:val="121"/>
        </w:numPr>
        <w:ind w:left="567" w:hanging="567"/>
        <w:rPr>
          <w:u w:val="none"/>
        </w:rPr>
      </w:pPr>
      <w:r>
        <w:t>Prend note</w:t>
      </w:r>
      <w:r>
        <w:rPr>
          <w:u w:val="none"/>
        </w:rPr>
        <w:t xml:space="preserve"> de l’état des comptes du Fonds pour 2024–2025 au 30 juin 2025, </w:t>
      </w:r>
      <w:r>
        <w:t>rappelle</w:t>
      </w:r>
      <w:r>
        <w:rPr>
          <w:u w:val="none"/>
        </w:rPr>
        <w:t xml:space="preserve"> que le paiement des contributions obligatoires et volontaires mises en recouvrement est, en vertu de l’article 26 de la Convention, une obligation qui incombe à tous les États parties ayant ratifié la Convention, et </w:t>
      </w:r>
      <w:r>
        <w:t>appelle</w:t>
      </w:r>
      <w:r>
        <w:rPr>
          <w:u w:val="none"/>
        </w:rPr>
        <w:t xml:space="preserve"> tous les États parties qui n’ont pas encore réglé la totalité de leurs contributions mises en recouvrement pour 2024–2025 ou pour des années antérieures, y compris leurs contributions volontaires mises en recouvrement, à s’assurer du règlement de leurs contributions le plus tôt possible ;</w:t>
      </w:r>
    </w:p>
    <w:p w14:paraId="2AFE9FD0" w14:textId="77777777" w:rsidR="00691945" w:rsidRPr="00522608" w:rsidRDefault="00691945" w:rsidP="001E17AF">
      <w:pPr>
        <w:pStyle w:val="COMParaDecision"/>
        <w:numPr>
          <w:ilvl w:val="0"/>
          <w:numId w:val="121"/>
        </w:numPr>
        <w:ind w:left="567" w:hanging="567"/>
        <w:rPr>
          <w:u w:val="none"/>
        </w:rPr>
      </w:pPr>
      <w:r>
        <w:t>Prend note en outre</w:t>
      </w:r>
      <w:r>
        <w:rPr>
          <w:u w:val="none"/>
        </w:rPr>
        <w:t xml:space="preserve"> des transferts effectués en 2025, entre les lignes budgétaires 4, 5, 6 et 7, pour permettre à des experts et à des organisations non gouvernementales d’États en développement de participer à sa présente session ; </w:t>
      </w:r>
    </w:p>
    <w:p w14:paraId="0545B84C" w14:textId="77777777" w:rsidR="00691945" w:rsidRPr="00522608" w:rsidRDefault="00691945" w:rsidP="001E17AF">
      <w:pPr>
        <w:pStyle w:val="COMParaDecision"/>
        <w:numPr>
          <w:ilvl w:val="0"/>
          <w:numId w:val="121"/>
        </w:numPr>
        <w:ind w:left="567" w:hanging="567"/>
        <w:rPr>
          <w:u w:val="none"/>
        </w:rPr>
      </w:pPr>
      <w:r>
        <w:t>Décide</w:t>
      </w:r>
      <w:r>
        <w:rPr>
          <w:u w:val="none"/>
        </w:rPr>
        <w:t xml:space="preserve"> de fonder le projet de plan d’utilisation des ressources du Fonds pour les périodes du 1er janvier 2026 au 31 décembre 2027 et du 1er janvier 2028 au 30 juin 2028 sur la totalité des réserves d’exploitation non restreintes disponibles au 31 décembre 2025 ;</w:t>
      </w:r>
    </w:p>
    <w:p w14:paraId="5EBBE4E5" w14:textId="7764A17B" w:rsidR="00691945" w:rsidRPr="00522608" w:rsidRDefault="00691945" w:rsidP="001E17AF">
      <w:pPr>
        <w:pStyle w:val="COMParaDecision"/>
        <w:keepLines/>
        <w:numPr>
          <w:ilvl w:val="0"/>
          <w:numId w:val="121"/>
        </w:numPr>
        <w:ind w:left="567" w:hanging="567"/>
        <w:rPr>
          <w:u w:val="none"/>
        </w:rPr>
      </w:pPr>
      <w:r>
        <w:t>Soumet</w:t>
      </w:r>
      <w:r>
        <w:rPr>
          <w:u w:val="none"/>
        </w:rPr>
        <w:t xml:space="preserve"> à l’approbation de la onzième session de l’Assemblée générale le projet de plan d’utilisation des ressources du Fonds, tel qu’il figure à l’annexe du document </w:t>
      </w:r>
      <w:hyperlink r:id="rId114" w:history="1">
        <w:r w:rsidR="00D031E8" w:rsidRPr="00352F4E">
          <w:rPr>
            <w:rStyle w:val="Hyperlink"/>
          </w:rPr>
          <w:t>LHE/25/20.COM/14</w:t>
        </w:r>
      </w:hyperlink>
      <w:r>
        <w:rPr>
          <w:u w:val="none"/>
        </w:rPr>
        <w:t xml:space="preserve">, et </w:t>
      </w:r>
      <w:r>
        <w:t>propose</w:t>
      </w:r>
      <w:r>
        <w:rPr>
          <w:u w:val="none"/>
        </w:rPr>
        <w:t xml:space="preserve"> à l’Assemblée générale qu’un quart du montant fixé pour la période de deux ans du 1er janvier 2026 au 31 décembre 2027 soit provisoirement alloué au premier semestre de 2028 ;</w:t>
      </w:r>
    </w:p>
    <w:p w14:paraId="69490240" w14:textId="77777777" w:rsidR="00691945" w:rsidRPr="00522608" w:rsidRDefault="00691945" w:rsidP="001E17AF">
      <w:pPr>
        <w:pStyle w:val="COMParaDecision"/>
        <w:numPr>
          <w:ilvl w:val="0"/>
          <w:numId w:val="121"/>
        </w:numPr>
        <w:ind w:left="567" w:hanging="567"/>
        <w:rPr>
          <w:u w:val="none"/>
        </w:rPr>
      </w:pPr>
      <w:r>
        <w:t>Autorise</w:t>
      </w:r>
      <w:r>
        <w:rPr>
          <w:u w:val="none"/>
        </w:rPr>
        <w:t xml:space="preserve"> le Secrétariat à utiliser un montant ne dépassant pas 10 % du budget approuvé de chaque projet d’assistance internationale identifié, en plus du montant accordé par le Comité ou son Bureau pour chaque projet, afin de suivre et d’évaluer l’impact des projets soutenus par le Fonds, et </w:t>
      </w:r>
      <w:r>
        <w:t>demande</w:t>
      </w:r>
      <w:r>
        <w:rPr>
          <w:u w:val="none"/>
        </w:rPr>
        <w:t xml:space="preserve"> au Secrétariat de faire un rapport sur l’utilisation des fonds à cette fin lors de sa vingt-deuxième session ; </w:t>
      </w:r>
    </w:p>
    <w:p w14:paraId="30E84205" w14:textId="77777777" w:rsidR="00691945" w:rsidRPr="00522608" w:rsidRDefault="00691945" w:rsidP="001E17AF">
      <w:pPr>
        <w:pStyle w:val="COMParaDecision"/>
        <w:numPr>
          <w:ilvl w:val="0"/>
          <w:numId w:val="121"/>
        </w:numPr>
        <w:ind w:left="567" w:hanging="567"/>
      </w:pPr>
      <w:r>
        <w:t>Autorise en outre</w:t>
      </w:r>
      <w:r>
        <w:rPr>
          <w:u w:val="none"/>
        </w:rPr>
        <w:t xml:space="preserve"> le Secrétariat, lors de l’utilisation des fonds alloués au titre de la ligne budgétaire 3 du plan, à effectuer des transferts entre les activités figurant dans les propositions spécifiques de la ligne budgétaire 3 à concurrence d’un montant cumulé équivalent à 5 % de l’allocation initiale totale proposée à l’Assemblée générale à cette fin, et </w:t>
      </w:r>
      <w:r>
        <w:t>demande en outre</w:t>
      </w:r>
      <w:r>
        <w:rPr>
          <w:u w:val="none"/>
        </w:rPr>
        <w:t xml:space="preserve"> au Secrétariat d’informer par écrit le Comité, lors de la session suivant cette action, des détails et motifs de ces transferts ;</w:t>
      </w:r>
    </w:p>
    <w:p w14:paraId="59397B74" w14:textId="77777777" w:rsidR="00691945" w:rsidRPr="00E8796A" w:rsidRDefault="00691945" w:rsidP="001E17AF">
      <w:pPr>
        <w:pStyle w:val="COMParaDecision"/>
        <w:numPr>
          <w:ilvl w:val="0"/>
          <w:numId w:val="121"/>
        </w:numPr>
        <w:ind w:left="567" w:hanging="567"/>
        <w:rPr>
          <w:rFonts w:eastAsia="SimSun"/>
        </w:rPr>
      </w:pPr>
      <w:r>
        <w:t>Recommande</w:t>
      </w:r>
      <w:r>
        <w:rPr>
          <w:u w:val="none"/>
        </w:rPr>
        <w:t xml:space="preserve"> à l’Assemblée générale d’autoriser le Secrétariat à opérer des transferts entre les lignes budgétaires 4, 5, 6 et 7, jusqu’à un montant équivalent à 30 % de leur allocation initiale totale, et </w:t>
      </w:r>
      <w:r>
        <w:t>demande également</w:t>
      </w:r>
      <w:r>
        <w:rPr>
          <w:u w:val="none"/>
        </w:rPr>
        <w:t xml:space="preserve"> au Secrétariat d’informer par écrit le Comité et l’Assemblée générale, lors de la session suivant cette action, des détails et des motifs de ces transferts.</w:t>
      </w:r>
    </w:p>
    <w:p w14:paraId="0D41EF7B" w14:textId="77777777" w:rsidR="00691945" w:rsidRPr="006B5FDE" w:rsidRDefault="00691945" w:rsidP="009B76C5">
      <w:pPr>
        <w:pStyle w:val="COMTitleDecision"/>
        <w:keepNext/>
      </w:pPr>
      <w:r w:rsidRPr="006B5FDE">
        <w:lastRenderedPageBreak/>
        <w:t>DÉCISION 20.COM 15</w:t>
      </w:r>
    </w:p>
    <w:p w14:paraId="358CE919" w14:textId="77777777" w:rsidR="00691945" w:rsidRPr="006B5FDE" w:rsidRDefault="00691945" w:rsidP="00691945">
      <w:pPr>
        <w:pStyle w:val="COMPreambulaDecisions"/>
        <w:ind w:left="0"/>
        <w:rPr>
          <w:rFonts w:eastAsia="SimSun"/>
        </w:rPr>
      </w:pPr>
      <w:r w:rsidRPr="006B5FDE">
        <w:t>Le Comité,</w:t>
      </w:r>
    </w:p>
    <w:p w14:paraId="79D72C62" w14:textId="77777777" w:rsidR="00691945" w:rsidRPr="006B5FDE" w:rsidRDefault="00691945" w:rsidP="001E17AF">
      <w:pPr>
        <w:pStyle w:val="COMParaDecision"/>
        <w:numPr>
          <w:ilvl w:val="0"/>
          <w:numId w:val="122"/>
        </w:numPr>
        <w:ind w:left="567" w:hanging="567"/>
      </w:pPr>
      <w:r w:rsidRPr="006B5FDE">
        <w:t>Ayant examiné</w:t>
      </w:r>
      <w:r w:rsidRPr="006B5FDE">
        <w:rPr>
          <w:u w:val="none"/>
        </w:rPr>
        <w:t xml:space="preserve"> le document </w:t>
      </w:r>
      <w:hyperlink r:id="rId115" w:history="1">
        <w:r w:rsidRPr="0088402B">
          <w:rPr>
            <w:rStyle w:val="Hyperlink"/>
          </w:rPr>
          <w:t>LHE/25/20.COM/15</w:t>
        </w:r>
      </w:hyperlink>
      <w:r w:rsidRPr="006B5FDE">
        <w:rPr>
          <w:u w:val="none"/>
        </w:rPr>
        <w:t xml:space="preserve"> et son annexe,</w:t>
      </w:r>
    </w:p>
    <w:p w14:paraId="4ECEB6AB" w14:textId="77777777" w:rsidR="00691945" w:rsidRPr="006B5FDE" w:rsidRDefault="00691945" w:rsidP="001E17AF">
      <w:pPr>
        <w:pStyle w:val="COMParaDecision"/>
        <w:numPr>
          <w:ilvl w:val="0"/>
          <w:numId w:val="122"/>
        </w:numPr>
        <w:ind w:left="567" w:hanging="567"/>
      </w:pPr>
      <w:r w:rsidRPr="006B5FDE">
        <w:t>Rappelant</w:t>
      </w:r>
      <w:r w:rsidRPr="004E33E4">
        <w:rPr>
          <w:u w:val="none"/>
        </w:rPr>
        <w:t xml:space="preserve"> </w:t>
      </w:r>
      <w:r w:rsidRPr="006B5FDE">
        <w:rPr>
          <w:u w:val="none"/>
        </w:rPr>
        <w:t>la résolution</w:t>
      </w:r>
      <w:hyperlink r:id="rId116" w:history="1">
        <w:r w:rsidRPr="006B5FDE">
          <w:rPr>
            <w:rStyle w:val="Hyperlink"/>
            <w:u w:val="none"/>
          </w:rPr>
          <w:t xml:space="preserve"> </w:t>
        </w:r>
        <w:r w:rsidRPr="006B5FDE">
          <w:rPr>
            <w:rStyle w:val="Hyperlink"/>
          </w:rPr>
          <w:t xml:space="preserve">10.GA 9 </w:t>
        </w:r>
        <w:proofErr w:type="spellStart"/>
        <w:r w:rsidRPr="006B5FDE">
          <w:rPr>
            <w:rStyle w:val="Hyperlink"/>
          </w:rPr>
          <w:t>Add</w:t>
        </w:r>
        <w:proofErr w:type="spellEnd"/>
        <w:r w:rsidRPr="006B5FDE">
          <w:rPr>
            <w:rStyle w:val="Hyperlink"/>
          </w:rPr>
          <w:t>.</w:t>
        </w:r>
      </w:hyperlink>
      <w:r w:rsidRPr="006B5FDE">
        <w:rPr>
          <w:u w:val="none"/>
        </w:rPr>
        <w:t xml:space="preserve"> ainsi que les décisions</w:t>
      </w:r>
      <w:hyperlink r:id="rId117" w:history="1">
        <w:r w:rsidRPr="006B5FDE">
          <w:rPr>
            <w:rStyle w:val="Hyperlink"/>
            <w:u w:val="none"/>
          </w:rPr>
          <w:t xml:space="preserve"> </w:t>
        </w:r>
        <w:r w:rsidRPr="006B5FDE">
          <w:rPr>
            <w:rStyle w:val="Hyperlink"/>
          </w:rPr>
          <w:t>14.COM 15</w:t>
        </w:r>
      </w:hyperlink>
      <w:r w:rsidRPr="006B5FDE">
        <w:rPr>
          <w:u w:val="none"/>
        </w:rPr>
        <w:t xml:space="preserve"> et</w:t>
      </w:r>
      <w:hyperlink r:id="rId118" w:history="1">
        <w:r w:rsidRPr="006B5FDE">
          <w:rPr>
            <w:rStyle w:val="Hyperlink"/>
            <w:u w:val="none"/>
          </w:rPr>
          <w:t xml:space="preserve"> </w:t>
        </w:r>
        <w:r w:rsidRPr="006B5FDE">
          <w:rPr>
            <w:rStyle w:val="Hyperlink"/>
          </w:rPr>
          <w:t>19.COM 13</w:t>
        </w:r>
      </w:hyperlink>
      <w:r w:rsidRPr="006B5FDE">
        <w:rPr>
          <w:u w:val="none"/>
        </w:rPr>
        <w:t>,</w:t>
      </w:r>
    </w:p>
    <w:p w14:paraId="6B429CC1" w14:textId="77777777" w:rsidR="00691945" w:rsidRPr="006B5FDE" w:rsidRDefault="00691945" w:rsidP="001E17AF">
      <w:pPr>
        <w:pStyle w:val="COMParaDecision"/>
        <w:numPr>
          <w:ilvl w:val="0"/>
          <w:numId w:val="122"/>
        </w:numPr>
        <w:ind w:left="567" w:hanging="567"/>
        <w:rPr>
          <w:u w:val="none"/>
        </w:rPr>
      </w:pPr>
      <w:r w:rsidRPr="006B5FDE">
        <w:t>Prend note</w:t>
      </w:r>
      <w:r w:rsidRPr="006B5FDE">
        <w:rPr>
          <w:u w:val="none"/>
        </w:rPr>
        <w:t xml:space="preserve"> des activités entreprises par le Forum des ONG du PCI, à la suite du rapport présenté à la session précédente du Comité, notamment celles qui sont susceptibles de renforcer le rôle consultatif des ONG accréditées auprès du Comité, tout en appréciant le soutien apporté par le Secrétariat pour faciliter les activités du Forum ;</w:t>
      </w:r>
    </w:p>
    <w:p w14:paraId="758481C2" w14:textId="77777777" w:rsidR="00691945" w:rsidRPr="006B5FDE" w:rsidRDefault="00691945" w:rsidP="001E17AF">
      <w:pPr>
        <w:pStyle w:val="COMParaDecision"/>
        <w:numPr>
          <w:ilvl w:val="0"/>
          <w:numId w:val="122"/>
        </w:numPr>
        <w:ind w:left="567" w:hanging="567"/>
        <w:rPr>
          <w:u w:val="none"/>
        </w:rPr>
      </w:pPr>
      <w:r w:rsidRPr="006B5FDE">
        <w:t>Félicite</w:t>
      </w:r>
      <w:r w:rsidRPr="006B5FDE">
        <w:rPr>
          <w:u w:val="none"/>
        </w:rPr>
        <w:t xml:space="preserve"> le Forum des ONG du PCI pour les activités visant à augmenter le nombre d</w:t>
      </w:r>
      <w:r>
        <w:rPr>
          <w:u w:val="none"/>
        </w:rPr>
        <w:t>’</w:t>
      </w:r>
      <w:r w:rsidRPr="006B5FDE">
        <w:rPr>
          <w:u w:val="none"/>
        </w:rPr>
        <w:t xml:space="preserve">ONG basées dans les régions sous-représentées, et </w:t>
      </w:r>
      <w:r w:rsidRPr="006B5FDE">
        <w:t>encourage</w:t>
      </w:r>
      <w:r w:rsidRPr="006B5FDE">
        <w:rPr>
          <w:u w:val="none"/>
        </w:rPr>
        <w:t xml:space="preserve"> le Forum à poursuivre ses efforts à cet égard, en étroite coopération avec les États parties, les centres de catégorie 2 et les chaires UNESCO, et en étroite coordination avec le Secrétariat ;</w:t>
      </w:r>
    </w:p>
    <w:p w14:paraId="7772F42C" w14:textId="77777777" w:rsidR="00691945" w:rsidRPr="006B5FDE" w:rsidRDefault="00691945" w:rsidP="001E17AF">
      <w:pPr>
        <w:pStyle w:val="COMParaDecision"/>
        <w:numPr>
          <w:ilvl w:val="0"/>
          <w:numId w:val="122"/>
        </w:numPr>
        <w:ind w:left="567" w:hanging="567"/>
        <w:rPr>
          <w:u w:val="none"/>
        </w:rPr>
      </w:pPr>
      <w:r w:rsidRPr="006B5FDE">
        <w:t>Apprécie</w:t>
      </w:r>
      <w:r w:rsidRPr="006B5FDE">
        <w:rPr>
          <w:u w:val="none"/>
        </w:rPr>
        <w:t xml:space="preserve"> la volonté constante du Forum des ONG du PCI de contribuer activement à la mise en œuvre de la Convention et de soutenir ses organes directeurs, notamment en ce qui concerne les initiatives thématiques de la Convention et d</w:t>
      </w:r>
      <w:r>
        <w:rPr>
          <w:u w:val="none"/>
        </w:rPr>
        <w:t>’</w:t>
      </w:r>
      <w:r w:rsidRPr="006B5FDE">
        <w:rPr>
          <w:u w:val="none"/>
        </w:rPr>
        <w:t>autres domaines d</w:t>
      </w:r>
      <w:r>
        <w:rPr>
          <w:u w:val="none"/>
        </w:rPr>
        <w:t>’</w:t>
      </w:r>
      <w:r w:rsidRPr="006B5FDE">
        <w:rPr>
          <w:u w:val="none"/>
        </w:rPr>
        <w:t>intervention clés ;</w:t>
      </w:r>
    </w:p>
    <w:p w14:paraId="100E3034" w14:textId="77777777" w:rsidR="00691945" w:rsidRPr="006B5FDE" w:rsidDel="00184012" w:rsidRDefault="00691945" w:rsidP="001E17AF">
      <w:pPr>
        <w:pStyle w:val="COMParaDecision"/>
        <w:numPr>
          <w:ilvl w:val="0"/>
          <w:numId w:val="122"/>
        </w:numPr>
        <w:ind w:left="567" w:hanging="567"/>
      </w:pPr>
      <w:r w:rsidRPr="006B5FDE" w:rsidDel="00184012">
        <w:t>Se félicite</w:t>
      </w:r>
      <w:r w:rsidRPr="006B5FDE" w:rsidDel="00184012">
        <w:rPr>
          <w:u w:val="none"/>
        </w:rPr>
        <w:t xml:space="preserve"> de la poursuite de la cartographie des compétences </w:t>
      </w:r>
      <w:r w:rsidRPr="006B5FDE">
        <w:rPr>
          <w:u w:val="none"/>
        </w:rPr>
        <w:t>des ONG</w:t>
      </w:r>
      <w:r w:rsidRPr="006B5FDE" w:rsidDel="00184012">
        <w:rPr>
          <w:u w:val="none"/>
        </w:rPr>
        <w:t xml:space="preserve"> accréditées et de leur visualisation sur la page </w:t>
      </w:r>
      <w:r w:rsidRPr="006B5FDE">
        <w:rPr>
          <w:u w:val="none"/>
        </w:rPr>
        <w:t>Internet</w:t>
      </w:r>
      <w:r w:rsidRPr="006B5FDE" w:rsidDel="00184012">
        <w:rPr>
          <w:u w:val="none"/>
        </w:rPr>
        <w:t xml:space="preserve"> de la Convention, et </w:t>
      </w:r>
      <w:r w:rsidRPr="006B5FDE" w:rsidDel="00184012">
        <w:t>demande</w:t>
      </w:r>
      <w:r w:rsidRPr="006B5FDE" w:rsidDel="00184012">
        <w:rPr>
          <w:u w:val="none"/>
        </w:rPr>
        <w:t xml:space="preserve"> au Secrétariat de poursuivre sa collaboration avec le Forum des ONG du PCI</w:t>
      </w:r>
      <w:bookmarkStart w:id="6" w:name="_Hlk178685989"/>
      <w:r w:rsidRPr="006B5FDE" w:rsidDel="00184012">
        <w:rPr>
          <w:u w:val="none"/>
        </w:rPr>
        <w:t xml:space="preserve"> afin de garantir que l</w:t>
      </w:r>
      <w:r>
        <w:rPr>
          <w:u w:val="none"/>
        </w:rPr>
        <w:t>’</w:t>
      </w:r>
      <w:r w:rsidRPr="006B5FDE" w:rsidDel="00184012">
        <w:rPr>
          <w:u w:val="none"/>
        </w:rPr>
        <w:t xml:space="preserve">exercice de cartographie couvre les </w:t>
      </w:r>
      <w:r w:rsidRPr="006B5FDE">
        <w:rPr>
          <w:u w:val="none"/>
        </w:rPr>
        <w:t>ONG</w:t>
      </w:r>
      <w:r w:rsidRPr="006B5FDE" w:rsidDel="00184012">
        <w:rPr>
          <w:u w:val="none"/>
        </w:rPr>
        <w:t xml:space="preserve"> accréditées restantes ;</w:t>
      </w:r>
    </w:p>
    <w:bookmarkEnd w:id="6"/>
    <w:p w14:paraId="0B5BE3E1" w14:textId="77777777" w:rsidR="00691945" w:rsidRPr="006B5FDE" w:rsidRDefault="00691945" w:rsidP="001E17AF">
      <w:pPr>
        <w:pStyle w:val="COMParaDecision"/>
        <w:numPr>
          <w:ilvl w:val="0"/>
          <w:numId w:val="122"/>
        </w:numPr>
        <w:ind w:left="567" w:hanging="567"/>
        <w:rPr>
          <w:u w:val="none"/>
        </w:rPr>
      </w:pPr>
      <w:r w:rsidRPr="006B5FDE">
        <w:t>Décide</w:t>
      </w:r>
      <w:r w:rsidRPr="006B5FDE">
        <w:rPr>
          <w:u w:val="none"/>
        </w:rPr>
        <w:t xml:space="preserve"> d</w:t>
      </w:r>
      <w:r>
        <w:rPr>
          <w:u w:val="none"/>
        </w:rPr>
        <w:t>’</w:t>
      </w:r>
      <w:r w:rsidRPr="006B5FDE">
        <w:rPr>
          <w:u w:val="none"/>
        </w:rPr>
        <w:t xml:space="preserve">inscrire un point distinct intitulé « Rapport du </w:t>
      </w:r>
      <w:r w:rsidRPr="006B5FDE">
        <w:rPr>
          <w:bCs/>
          <w:u w:val="none"/>
        </w:rPr>
        <w:t xml:space="preserve">Forum des organisations non gouvernementales </w:t>
      </w:r>
      <w:r w:rsidRPr="006B5FDE">
        <w:rPr>
          <w:u w:val="none"/>
        </w:rPr>
        <w:t>» à l</w:t>
      </w:r>
      <w:r>
        <w:rPr>
          <w:u w:val="none"/>
        </w:rPr>
        <w:t>’</w:t>
      </w:r>
      <w:r w:rsidRPr="006B5FDE">
        <w:rPr>
          <w:u w:val="none"/>
        </w:rPr>
        <w:t>ordre du jour provisoire de sa vingt-et-unième session.</w:t>
      </w:r>
    </w:p>
    <w:p w14:paraId="5F41EFED" w14:textId="77777777" w:rsidR="00691945" w:rsidRPr="00215043" w:rsidRDefault="00691945" w:rsidP="009B76C5">
      <w:pPr>
        <w:pStyle w:val="COMTitleDecision"/>
        <w:keepNext/>
      </w:pPr>
      <w:r w:rsidRPr="00215043">
        <w:t>DÉCISION 20.COM 16</w:t>
      </w:r>
    </w:p>
    <w:p w14:paraId="7F9E31FB" w14:textId="77777777" w:rsidR="00691945" w:rsidRPr="00215043" w:rsidRDefault="00691945" w:rsidP="00691945">
      <w:pPr>
        <w:pStyle w:val="COMPreambulaDecisions"/>
        <w:ind w:left="0"/>
        <w:rPr>
          <w:rFonts w:eastAsia="SimSun"/>
        </w:rPr>
      </w:pPr>
      <w:r w:rsidRPr="00215043">
        <w:t>Le Comité,</w:t>
      </w:r>
    </w:p>
    <w:p w14:paraId="70CB4428" w14:textId="77777777" w:rsidR="00493F87" w:rsidRPr="006C163B" w:rsidRDefault="00691945" w:rsidP="001E17AF">
      <w:pPr>
        <w:pStyle w:val="COMParaDecision"/>
        <w:numPr>
          <w:ilvl w:val="0"/>
          <w:numId w:val="126"/>
        </w:numPr>
        <w:ind w:left="567" w:hanging="567"/>
      </w:pPr>
      <w:r w:rsidRPr="00215043">
        <w:t>Ayant examiné</w:t>
      </w:r>
      <w:r w:rsidRPr="00215043">
        <w:rPr>
          <w:u w:val="none"/>
        </w:rPr>
        <w:t xml:space="preserve"> le document </w:t>
      </w:r>
      <w:hyperlink r:id="rId119" w:history="1">
        <w:r w:rsidRPr="0044005C">
          <w:rPr>
            <w:rStyle w:val="Hyperlink"/>
          </w:rPr>
          <w:t>LHE/25/20.COM/16</w:t>
        </w:r>
        <w:r w:rsidR="008F0224" w:rsidRPr="0044005C">
          <w:rPr>
            <w:rStyle w:val="Hyperlink"/>
          </w:rPr>
          <w:t xml:space="preserve"> </w:t>
        </w:r>
        <w:proofErr w:type="spellStart"/>
        <w:r w:rsidR="008F0224" w:rsidRPr="0044005C">
          <w:rPr>
            <w:rStyle w:val="Hyperlink"/>
          </w:rPr>
          <w:t>Rev</w:t>
        </w:r>
        <w:proofErr w:type="spellEnd"/>
        <w:r w:rsidR="008F0224" w:rsidRPr="0044005C">
          <w:rPr>
            <w:rStyle w:val="Hyperlink"/>
          </w:rPr>
          <w:t>.</w:t>
        </w:r>
      </w:hyperlink>
      <w:r w:rsidRPr="00215043">
        <w:rPr>
          <w:u w:val="none"/>
        </w:rPr>
        <w:t xml:space="preserve">, </w:t>
      </w:r>
      <w:r w:rsidR="00493F87" w:rsidRPr="006C163B">
        <w:rPr>
          <w:u w:val="none"/>
        </w:rPr>
        <w:t xml:space="preserve">les demandes d’accréditation et les rapports quadriennaux soumis par les organisations non gouvernementales accréditées par l’Assemblée générale à ses quatrième, </w:t>
      </w:r>
      <w:proofErr w:type="gramStart"/>
      <w:r w:rsidR="00493F87" w:rsidRPr="006C163B">
        <w:rPr>
          <w:u w:val="none"/>
        </w:rPr>
        <w:t>sixième et huitième sessions</w:t>
      </w:r>
      <w:proofErr w:type="gramEnd"/>
      <w:r w:rsidR="00493F87" w:rsidRPr="006C163B">
        <w:rPr>
          <w:u w:val="none"/>
        </w:rPr>
        <w:t xml:space="preserve"> en 2012, 2016 et 2020, respectivement, </w:t>
      </w:r>
    </w:p>
    <w:p w14:paraId="4102AA7E" w14:textId="77777777" w:rsidR="00493F87" w:rsidRPr="006C163B" w:rsidRDefault="00493F87" w:rsidP="001E17AF">
      <w:pPr>
        <w:pStyle w:val="COMParaDecision"/>
        <w:numPr>
          <w:ilvl w:val="0"/>
          <w:numId w:val="126"/>
        </w:numPr>
        <w:ind w:left="567" w:hanging="567"/>
      </w:pPr>
      <w:r w:rsidRPr="006C163B">
        <w:t>Rappelant</w:t>
      </w:r>
      <w:r w:rsidRPr="006C163B">
        <w:rPr>
          <w:u w:val="none"/>
        </w:rPr>
        <w:t xml:space="preserve"> l’article 9 de la Convention et le chapitre III.2.2 des Directives opérationnelles,</w:t>
      </w:r>
    </w:p>
    <w:p w14:paraId="1E537646" w14:textId="77777777" w:rsidR="00493F87" w:rsidRPr="006C163B" w:rsidRDefault="00493F87" w:rsidP="001E17AF">
      <w:pPr>
        <w:pStyle w:val="COMParaDecision"/>
        <w:numPr>
          <w:ilvl w:val="0"/>
          <w:numId w:val="126"/>
        </w:numPr>
        <w:ind w:left="567" w:hanging="567"/>
        <w:rPr>
          <w:u w:val="none"/>
        </w:rPr>
      </w:pPr>
      <w:r w:rsidRPr="006C163B">
        <w:t>Rappelant en outre</w:t>
      </w:r>
      <w:r w:rsidRPr="006C163B">
        <w:rPr>
          <w:u w:val="none"/>
        </w:rPr>
        <w:t xml:space="preserve"> les résolutions </w:t>
      </w:r>
      <w:hyperlink r:id="rId120" w:history="1">
        <w:r w:rsidRPr="006C163B">
          <w:rPr>
            <w:rStyle w:val="Hyperlink"/>
          </w:rPr>
          <w:t>4.GA 6</w:t>
        </w:r>
      </w:hyperlink>
      <w:r w:rsidRPr="006C163B">
        <w:rPr>
          <w:u w:val="none"/>
        </w:rPr>
        <w:t xml:space="preserve">, </w:t>
      </w:r>
      <w:hyperlink r:id="rId121" w:history="1">
        <w:r w:rsidRPr="006C163B">
          <w:rPr>
            <w:rStyle w:val="Hyperlink"/>
          </w:rPr>
          <w:t>6.GA 8</w:t>
        </w:r>
      </w:hyperlink>
      <w:r w:rsidRPr="006C163B">
        <w:t>,</w:t>
      </w:r>
      <w:r w:rsidRPr="006C163B">
        <w:rPr>
          <w:u w:val="none"/>
        </w:rPr>
        <w:t xml:space="preserve"> </w:t>
      </w:r>
      <w:hyperlink r:id="rId122" w:history="1">
        <w:r w:rsidRPr="006C163B">
          <w:rPr>
            <w:rStyle w:val="Hyperlink"/>
          </w:rPr>
          <w:t>8.GA 13</w:t>
        </w:r>
      </w:hyperlink>
      <w:r w:rsidRPr="006C163B">
        <w:rPr>
          <w:u w:val="none"/>
        </w:rPr>
        <w:t xml:space="preserve"> et </w:t>
      </w:r>
      <w:hyperlink r:id="rId123" w:history="1">
        <w:r w:rsidRPr="006C163B">
          <w:rPr>
            <w:rStyle w:val="Hyperlink"/>
          </w:rPr>
          <w:t>9.GA 7</w:t>
        </w:r>
      </w:hyperlink>
      <w:r w:rsidRPr="006C163B">
        <w:rPr>
          <w:u w:val="none"/>
        </w:rPr>
        <w:t xml:space="preserve"> de l’Assemblée générale et les décisions </w:t>
      </w:r>
      <w:hyperlink r:id="rId124" w:history="1">
        <w:r w:rsidRPr="006C163B">
          <w:rPr>
            <w:rStyle w:val="Hyperlink"/>
          </w:rPr>
          <w:t>12.COM 17</w:t>
        </w:r>
      </w:hyperlink>
      <w:r w:rsidRPr="006C163B">
        <w:t>,</w:t>
      </w:r>
      <w:r w:rsidRPr="006C163B">
        <w:rPr>
          <w:u w:val="none"/>
        </w:rPr>
        <w:t xml:space="preserve"> </w:t>
      </w:r>
      <w:hyperlink r:id="rId125" w:history="1">
        <w:r w:rsidRPr="006C163B">
          <w:rPr>
            <w:rStyle w:val="Hyperlink"/>
          </w:rPr>
          <w:t>16.COM 15</w:t>
        </w:r>
      </w:hyperlink>
      <w:r w:rsidRPr="006C163B">
        <w:rPr>
          <w:u w:val="none"/>
        </w:rPr>
        <w:t xml:space="preserve"> et </w:t>
      </w:r>
      <w:hyperlink r:id="rId126" w:history="1">
        <w:r w:rsidRPr="006C163B">
          <w:rPr>
            <w:rStyle w:val="Hyperlink"/>
          </w:rPr>
          <w:t>18.COM 16</w:t>
        </w:r>
      </w:hyperlink>
      <w:r w:rsidRPr="006C163B">
        <w:rPr>
          <w:u w:val="none"/>
        </w:rPr>
        <w:t xml:space="preserve"> du Comité,</w:t>
      </w:r>
    </w:p>
    <w:p w14:paraId="02ED0E63" w14:textId="77777777" w:rsidR="00493F87" w:rsidRPr="006C163B" w:rsidRDefault="00493F87" w:rsidP="001E17AF">
      <w:pPr>
        <w:pStyle w:val="COMParaDecision"/>
        <w:numPr>
          <w:ilvl w:val="0"/>
          <w:numId w:val="126"/>
        </w:numPr>
        <w:ind w:left="567" w:hanging="567"/>
        <w:rPr>
          <w:u w:val="none"/>
        </w:rPr>
      </w:pPr>
      <w:r w:rsidRPr="006C163B">
        <w:t>Considère</w:t>
      </w:r>
      <w:r w:rsidRPr="006C163B">
        <w:rPr>
          <w:u w:val="none"/>
        </w:rPr>
        <w:t xml:space="preserve"> que les 59 organisations figurant à l’annexe I du présent document satisfont aux critères énoncés au paragraphe 91 des Directives opérationnelles et </w:t>
      </w:r>
      <w:r w:rsidRPr="006C163B">
        <w:t>recommande</w:t>
      </w:r>
      <w:r w:rsidRPr="006C163B">
        <w:rPr>
          <w:u w:val="none"/>
        </w:rPr>
        <w:t xml:space="preserve"> à l’Assemblée générale de les accréditer pour exercer des fonctions consultatives auprès du Comité ;</w:t>
      </w:r>
    </w:p>
    <w:p w14:paraId="5B4D8CDB" w14:textId="77777777" w:rsidR="00493F87" w:rsidRPr="006C163B" w:rsidRDefault="00493F87" w:rsidP="001E17AF">
      <w:pPr>
        <w:pStyle w:val="COMParaDecision"/>
        <w:numPr>
          <w:ilvl w:val="0"/>
          <w:numId w:val="126"/>
        </w:numPr>
        <w:ind w:left="567" w:hanging="567"/>
        <w:rPr>
          <w:u w:val="none"/>
        </w:rPr>
      </w:pPr>
      <w:r w:rsidRPr="006C163B">
        <w:t>Considère en outre</w:t>
      </w:r>
      <w:r w:rsidRPr="006C163B">
        <w:rPr>
          <w:u w:val="none"/>
        </w:rPr>
        <w:t xml:space="preserve"> que les 37 organisations énumérées à l’annexe II du présent document ne satisfont pas aux critères énoncés au paragraphe 91 des Directives opérationnelles ;</w:t>
      </w:r>
    </w:p>
    <w:p w14:paraId="4921A3CC" w14:textId="77777777" w:rsidR="00493F87" w:rsidRPr="006C163B" w:rsidRDefault="00493F87" w:rsidP="001E17AF">
      <w:pPr>
        <w:pStyle w:val="COMParaDecision"/>
        <w:numPr>
          <w:ilvl w:val="0"/>
          <w:numId w:val="126"/>
        </w:numPr>
        <w:ind w:left="567" w:hanging="567"/>
        <w:rPr>
          <w:u w:val="none"/>
        </w:rPr>
      </w:pPr>
      <w:r w:rsidRPr="006C163B">
        <w:t>Considère également</w:t>
      </w:r>
      <w:r w:rsidRPr="006C163B">
        <w:rPr>
          <w:u w:val="none"/>
        </w:rPr>
        <w:t xml:space="preserve"> que les 87 organisations énumérées à l’annexe III du présent document satisfont aux critères énoncés dans les Directives opérationnelles et </w:t>
      </w:r>
      <w:r w:rsidRPr="006C163B">
        <w:t>décide</w:t>
      </w:r>
      <w:r w:rsidRPr="006C163B">
        <w:rPr>
          <w:u w:val="none"/>
        </w:rPr>
        <w:t xml:space="preserve"> de maintenir leur accréditation pour exercer des fonctions consultatives pour le Comité ;</w:t>
      </w:r>
    </w:p>
    <w:p w14:paraId="2A95ABB7" w14:textId="77777777" w:rsidR="00493F87" w:rsidRPr="006C163B" w:rsidRDefault="00493F87" w:rsidP="001E17AF">
      <w:pPr>
        <w:pStyle w:val="COMParaDecision"/>
        <w:numPr>
          <w:ilvl w:val="0"/>
          <w:numId w:val="126"/>
        </w:numPr>
        <w:ind w:left="567" w:hanging="567"/>
        <w:rPr>
          <w:u w:val="none"/>
        </w:rPr>
      </w:pPr>
      <w:r w:rsidRPr="006C163B">
        <w:t>Décide</w:t>
      </w:r>
      <w:r w:rsidRPr="006C163B">
        <w:rPr>
          <w:u w:val="none"/>
        </w:rPr>
        <w:t xml:space="preserve"> de mettre fin à l’accréditation des 2 organisations figurant à l’annexe IV a) et des 4 organisations figurant à l’annexe IV b) du présent document, dans la mesure où elles n’ont pas présenté de rapport quadriennal illustrant leur contribution et leur engagement à l’égard des travaux du Comité ;</w:t>
      </w:r>
    </w:p>
    <w:p w14:paraId="4AE966D1" w14:textId="77777777" w:rsidR="00493F87" w:rsidRPr="006C163B" w:rsidRDefault="00493F87" w:rsidP="001E17AF">
      <w:pPr>
        <w:pStyle w:val="COMParaDecision"/>
        <w:numPr>
          <w:ilvl w:val="0"/>
          <w:numId w:val="126"/>
        </w:numPr>
        <w:ind w:left="567" w:hanging="567"/>
        <w:rPr>
          <w:u w:val="none"/>
        </w:rPr>
      </w:pPr>
      <w:r w:rsidRPr="006C163B">
        <w:t>Prend note</w:t>
      </w:r>
      <w:r w:rsidRPr="006C163B">
        <w:rPr>
          <w:u w:val="none"/>
        </w:rPr>
        <w:t xml:space="preserve"> des nouvelles informations soumises par les 6 ONG accréditées figurant aux annexes V a) et b) concernant leur statut juridique ; </w:t>
      </w:r>
    </w:p>
    <w:p w14:paraId="771A49DF" w14:textId="77777777" w:rsidR="00493F87" w:rsidRPr="006C163B" w:rsidRDefault="00493F87" w:rsidP="001E17AF">
      <w:pPr>
        <w:pStyle w:val="COMParaDecision"/>
        <w:numPr>
          <w:ilvl w:val="0"/>
          <w:numId w:val="126"/>
        </w:numPr>
        <w:ind w:left="567" w:hanging="567"/>
        <w:rPr>
          <w:u w:val="none"/>
        </w:rPr>
      </w:pPr>
      <w:r w:rsidRPr="006C163B">
        <w:lastRenderedPageBreak/>
        <w:t>Prend note en outre</w:t>
      </w:r>
      <w:r w:rsidRPr="006C163B">
        <w:rPr>
          <w:u w:val="none"/>
        </w:rPr>
        <w:t xml:space="preserve"> de la collaboration entre le Secrétariat et les bureaux hors-Siège de l’UNESCO pour l’examen des demandes d’accréditation et de renouvellement des ONG, et </w:t>
      </w:r>
      <w:r w:rsidRPr="006C163B">
        <w:t>encourage</w:t>
      </w:r>
      <w:r w:rsidRPr="006C163B">
        <w:rPr>
          <w:u w:val="none"/>
        </w:rPr>
        <w:t xml:space="preserve"> le Secrétariat à poursuivre cette procédure adaptée lors des prochains cycles d’accréditation ;</w:t>
      </w:r>
    </w:p>
    <w:p w14:paraId="6B57B848" w14:textId="4690EA12" w:rsidR="00691945" w:rsidRPr="003873FD" w:rsidRDefault="00493F87" w:rsidP="001E17AF">
      <w:pPr>
        <w:pStyle w:val="COMParaDecision"/>
        <w:numPr>
          <w:ilvl w:val="0"/>
          <w:numId w:val="126"/>
        </w:numPr>
        <w:ind w:left="567" w:hanging="567"/>
      </w:pPr>
      <w:r w:rsidRPr="006C163B">
        <w:t>Prend note également</w:t>
      </w:r>
      <w:r w:rsidRPr="006C163B">
        <w:rPr>
          <w:u w:val="none"/>
        </w:rPr>
        <w:t xml:space="preserve"> des résultats des mesures prises pour améliorer la répartition géographique des ONG accréditées au titre de la Convention de 2003, </w:t>
      </w:r>
      <w:r w:rsidRPr="006C163B">
        <w:t>encourage</w:t>
      </w:r>
      <w:r w:rsidRPr="006C163B">
        <w:rPr>
          <w:u w:val="none"/>
        </w:rPr>
        <w:t xml:space="preserve"> le Secrétariat, le Forum des ONG du PCI, les centres de catégorie 2 et les autres parties prenantes à poursuivre leurs efforts, et </w:t>
      </w:r>
      <w:r w:rsidRPr="006C163B">
        <w:t>réitère son invitation</w:t>
      </w:r>
      <w:r w:rsidRPr="006C163B">
        <w:rPr>
          <w:u w:val="none"/>
        </w:rPr>
        <w:t xml:space="preserve"> aux États parties appartenant à des groupes électoraux sous-représentés à encourager les ONG opérant sur leur territoire et répondant aux critères d’accréditation à soumettre des demandes d’accréditation dans les meilleurs délais</w:t>
      </w:r>
      <w:r w:rsidR="00691945">
        <w:rPr>
          <w:u w:val="none"/>
        </w:rPr>
        <w:t>.</w:t>
      </w:r>
    </w:p>
    <w:p w14:paraId="66CD1688" w14:textId="77777777" w:rsidR="0064406D" w:rsidRPr="0064406D" w:rsidRDefault="0064406D" w:rsidP="0024344F">
      <w:pPr>
        <w:pStyle w:val="ListParagraph"/>
        <w:spacing w:after="240"/>
        <w:ind w:left="153"/>
        <w:rPr>
          <w:rFonts w:ascii="Arial" w:hAnsi="Arial" w:cs="Arial"/>
          <w:b/>
          <w:bCs/>
          <w:sz w:val="22"/>
          <w:szCs w:val="22"/>
        </w:rPr>
      </w:pPr>
      <w:r w:rsidRPr="0064406D">
        <w:rPr>
          <w:rFonts w:ascii="Arial" w:hAnsi="Arial" w:cs="Arial"/>
          <w:b/>
          <w:bCs/>
          <w:sz w:val="22"/>
          <w:szCs w:val="22"/>
        </w:rPr>
        <w:t>Annexe I : Organisations non gouvernementales recommandées pour accréditation</w:t>
      </w:r>
    </w:p>
    <w:tbl>
      <w:tblPr>
        <w:tblStyle w:val="TableGrid"/>
        <w:tblW w:w="5000" w:type="pct"/>
        <w:tblLayout w:type="fixed"/>
        <w:tblLook w:val="04A0" w:firstRow="1" w:lastRow="0" w:firstColumn="1" w:lastColumn="0" w:noHBand="0" w:noVBand="1"/>
      </w:tblPr>
      <w:tblGrid>
        <w:gridCol w:w="6019"/>
        <w:gridCol w:w="6"/>
        <w:gridCol w:w="2103"/>
        <w:gridCol w:w="1500"/>
      </w:tblGrid>
      <w:tr w:rsidR="0064406D" w:rsidRPr="006C163B" w14:paraId="09B0358F" w14:textId="77777777" w:rsidTr="00B77B0C">
        <w:trPr>
          <w:trHeight w:val="624"/>
        </w:trPr>
        <w:tc>
          <w:tcPr>
            <w:tcW w:w="3129" w:type="pct"/>
            <w:gridSpan w:val="2"/>
            <w:shd w:val="clear" w:color="auto" w:fill="73A0DD"/>
            <w:noWrap/>
            <w:vAlign w:val="center"/>
            <w:hideMark/>
          </w:tcPr>
          <w:p w14:paraId="64E63A98" w14:textId="77777777" w:rsidR="0064406D" w:rsidRPr="006C163B" w:rsidRDefault="0064406D" w:rsidP="00B77B0C">
            <w:pPr>
              <w:spacing w:before="120" w:after="120"/>
              <w:jc w:val="center"/>
              <w:rPr>
                <w:rFonts w:ascii="Arial" w:hAnsi="Arial" w:cs="Arial"/>
                <w:b/>
                <w:bCs/>
                <w:sz w:val="20"/>
                <w:szCs w:val="20"/>
              </w:rPr>
            </w:pPr>
            <w:r w:rsidRPr="006C163B">
              <w:rPr>
                <w:rFonts w:ascii="Arial" w:hAnsi="Arial" w:cs="Arial"/>
                <w:b/>
                <w:bCs/>
                <w:sz w:val="20"/>
                <w:szCs w:val="20"/>
              </w:rPr>
              <w:t>Nom de l’organisation</w:t>
            </w:r>
          </w:p>
        </w:tc>
        <w:tc>
          <w:tcPr>
            <w:tcW w:w="1092" w:type="pct"/>
            <w:shd w:val="clear" w:color="auto" w:fill="73A0DD"/>
            <w:noWrap/>
            <w:vAlign w:val="center"/>
            <w:hideMark/>
          </w:tcPr>
          <w:p w14:paraId="6F62B53A" w14:textId="77777777" w:rsidR="0064406D" w:rsidRPr="006C163B" w:rsidRDefault="0064406D" w:rsidP="00B77B0C">
            <w:pPr>
              <w:spacing w:before="120" w:after="120"/>
              <w:jc w:val="center"/>
              <w:rPr>
                <w:rFonts w:ascii="Arial" w:hAnsi="Arial" w:cs="Arial"/>
                <w:b/>
                <w:bCs/>
                <w:sz w:val="20"/>
                <w:szCs w:val="20"/>
              </w:rPr>
            </w:pPr>
            <w:r w:rsidRPr="006C163B">
              <w:rPr>
                <w:rFonts w:ascii="Arial" w:hAnsi="Arial" w:cs="Arial"/>
                <w:b/>
                <w:bCs/>
                <w:sz w:val="20"/>
                <w:szCs w:val="20"/>
              </w:rPr>
              <w:t>Pays du siège social</w:t>
            </w:r>
          </w:p>
        </w:tc>
        <w:tc>
          <w:tcPr>
            <w:tcW w:w="779" w:type="pct"/>
            <w:shd w:val="clear" w:color="auto" w:fill="73A0DD"/>
            <w:noWrap/>
            <w:vAlign w:val="center"/>
            <w:hideMark/>
          </w:tcPr>
          <w:p w14:paraId="38CF745F" w14:textId="77777777" w:rsidR="0064406D" w:rsidRPr="006C163B" w:rsidRDefault="0064406D" w:rsidP="00B77B0C">
            <w:pPr>
              <w:spacing w:before="120" w:after="120"/>
              <w:jc w:val="center"/>
              <w:rPr>
                <w:rFonts w:ascii="Arial" w:hAnsi="Arial" w:cs="Arial"/>
                <w:b/>
                <w:bCs/>
                <w:sz w:val="20"/>
                <w:szCs w:val="20"/>
              </w:rPr>
            </w:pPr>
            <w:r w:rsidRPr="006C163B">
              <w:rPr>
                <w:rFonts w:ascii="Arial" w:hAnsi="Arial" w:cs="Arial"/>
                <w:b/>
                <w:bCs/>
                <w:sz w:val="20"/>
                <w:szCs w:val="20"/>
              </w:rPr>
              <w:t>Numéro de demande</w:t>
            </w:r>
          </w:p>
        </w:tc>
      </w:tr>
      <w:tr w:rsidR="0064406D" w:rsidRPr="006C163B" w14:paraId="30B8508F" w14:textId="77777777" w:rsidTr="00B77B0C">
        <w:trPr>
          <w:trHeight w:val="290"/>
        </w:trPr>
        <w:tc>
          <w:tcPr>
            <w:tcW w:w="3126" w:type="pct"/>
            <w:noWrap/>
            <w:vAlign w:val="center"/>
            <w:hideMark/>
          </w:tcPr>
          <w:p w14:paraId="480368A5"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94GREEN </w:t>
            </w:r>
            <w:proofErr w:type="spellStart"/>
            <w:r w:rsidRPr="006C163B">
              <w:rPr>
                <w:rFonts w:ascii="Arial" w:hAnsi="Arial" w:cs="Arial"/>
                <w:b/>
                <w:bCs/>
                <w:sz w:val="20"/>
                <w:szCs w:val="20"/>
              </w:rPr>
              <w:t>Foundation</w:t>
            </w:r>
            <w:proofErr w:type="spellEnd"/>
          </w:p>
        </w:tc>
        <w:tc>
          <w:tcPr>
            <w:tcW w:w="1095" w:type="pct"/>
            <w:gridSpan w:val="2"/>
            <w:noWrap/>
            <w:vAlign w:val="center"/>
            <w:hideMark/>
          </w:tcPr>
          <w:p w14:paraId="45D2568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Suriname</w:t>
            </w:r>
          </w:p>
        </w:tc>
        <w:tc>
          <w:tcPr>
            <w:tcW w:w="779" w:type="pct"/>
            <w:noWrap/>
            <w:vAlign w:val="center"/>
            <w:hideMark/>
          </w:tcPr>
          <w:p w14:paraId="314EA26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NGO-90665</w:t>
            </w:r>
          </w:p>
        </w:tc>
      </w:tr>
      <w:tr w:rsidR="0064406D" w:rsidRPr="006C163B" w14:paraId="4F2BF3F7" w14:textId="77777777" w:rsidTr="00B77B0C">
        <w:trPr>
          <w:trHeight w:val="624"/>
        </w:trPr>
        <w:tc>
          <w:tcPr>
            <w:tcW w:w="3129" w:type="pct"/>
            <w:gridSpan w:val="2"/>
            <w:noWrap/>
            <w:vAlign w:val="center"/>
            <w:hideMark/>
          </w:tcPr>
          <w:p w14:paraId="29F75850"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w:t>
            </w:r>
            <w:proofErr w:type="spellStart"/>
            <w:r w:rsidRPr="006C163B">
              <w:rPr>
                <w:rFonts w:ascii="Arial" w:hAnsi="Arial" w:cs="Arial"/>
                <w:b/>
                <w:bCs/>
                <w:sz w:val="20"/>
                <w:szCs w:val="20"/>
              </w:rPr>
              <w:t>Umrboqiy</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meros</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O’zbekiston</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madaniyati</w:t>
            </w:r>
            <w:proofErr w:type="spellEnd"/>
            <w:r w:rsidRPr="006C163B">
              <w:rPr>
                <w:rFonts w:ascii="Arial" w:hAnsi="Arial" w:cs="Arial"/>
                <w:b/>
                <w:bCs/>
                <w:sz w:val="20"/>
                <w:szCs w:val="20"/>
              </w:rPr>
              <w:t xml:space="preserve"> va </w:t>
            </w:r>
            <w:proofErr w:type="spellStart"/>
            <w:r w:rsidRPr="006C163B">
              <w:rPr>
                <w:rFonts w:ascii="Arial" w:hAnsi="Arial" w:cs="Arial"/>
                <w:b/>
                <w:bCs/>
                <w:sz w:val="20"/>
                <w:szCs w:val="20"/>
              </w:rPr>
              <w:t>san’ati</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targï</w:t>
            </w:r>
            <w:proofErr w:type="spellEnd"/>
            <w:r w:rsidRPr="006C163B">
              <w:rPr>
                <w:rFonts w:ascii="Arial" w:hAnsi="Arial" w:cs="Arial"/>
                <w:b/>
                <w:bCs/>
                <w:sz w:val="20"/>
                <w:szCs w:val="20"/>
              </w:rPr>
              <w:t xml:space="preserve"> bot </w:t>
            </w:r>
            <w:proofErr w:type="spellStart"/>
            <w:r w:rsidRPr="006C163B">
              <w:rPr>
                <w:rFonts w:ascii="Arial" w:hAnsi="Arial" w:cs="Arial"/>
                <w:b/>
                <w:bCs/>
                <w:sz w:val="20"/>
                <w:szCs w:val="20"/>
              </w:rPr>
              <w:t>Markazi</w:t>
            </w:r>
            <w:proofErr w:type="spellEnd"/>
          </w:p>
        </w:tc>
        <w:tc>
          <w:tcPr>
            <w:tcW w:w="1092" w:type="pct"/>
            <w:noWrap/>
            <w:vAlign w:val="center"/>
            <w:hideMark/>
          </w:tcPr>
          <w:p w14:paraId="1103D12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Ouzbékistan</w:t>
            </w:r>
          </w:p>
        </w:tc>
        <w:tc>
          <w:tcPr>
            <w:tcW w:w="779" w:type="pct"/>
            <w:noWrap/>
            <w:vAlign w:val="center"/>
            <w:hideMark/>
          </w:tcPr>
          <w:p w14:paraId="5A7B81B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NGO-90616</w:t>
            </w:r>
          </w:p>
        </w:tc>
      </w:tr>
      <w:tr w:rsidR="0064406D" w:rsidRPr="006C163B" w14:paraId="6BBF716F" w14:textId="77777777" w:rsidTr="00B77B0C">
        <w:trPr>
          <w:trHeight w:val="290"/>
        </w:trPr>
        <w:tc>
          <w:tcPr>
            <w:tcW w:w="3126" w:type="pct"/>
            <w:noWrap/>
            <w:vAlign w:val="center"/>
          </w:tcPr>
          <w:p w14:paraId="643B2431"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Akademsko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društvo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za</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negovanje</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muzike</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Gusle</w:t>
            </w:r>
            <w:proofErr w:type="spellEnd"/>
            <w:r w:rsidRPr="006C163B">
              <w:rPr>
                <w:rFonts w:ascii="Arial" w:hAnsi="Arial" w:cs="Arial"/>
                <w:b/>
                <w:bCs/>
                <w:sz w:val="20"/>
                <w:szCs w:val="20"/>
              </w:rPr>
              <w:t>“ Kikinda - ADZNM „</w:t>
            </w:r>
            <w:proofErr w:type="spellStart"/>
            <w:r w:rsidRPr="006C163B">
              <w:rPr>
                <w:rFonts w:ascii="Arial" w:hAnsi="Arial" w:cs="Arial"/>
                <w:b/>
                <w:bCs/>
                <w:sz w:val="20"/>
                <w:szCs w:val="20"/>
              </w:rPr>
              <w:t>Gusle</w:t>
            </w:r>
            <w:proofErr w:type="spellEnd"/>
            <w:r w:rsidRPr="006C163B">
              <w:rPr>
                <w:rFonts w:ascii="Arial" w:hAnsi="Arial" w:cs="Arial"/>
                <w:b/>
                <w:bCs/>
                <w:sz w:val="20"/>
                <w:szCs w:val="20"/>
              </w:rPr>
              <w:t>“ Kikinda</w:t>
            </w:r>
            <w:r w:rsidRPr="006C163B">
              <w:rPr>
                <w:rFonts w:ascii="Arial" w:hAnsi="Arial" w:cs="Arial"/>
                <w:b/>
                <w:bCs/>
                <w:sz w:val="20"/>
                <w:szCs w:val="20"/>
              </w:rPr>
              <w:br/>
            </w:r>
            <w:r w:rsidRPr="006C163B">
              <w:rPr>
                <w:rFonts w:ascii="Arial" w:hAnsi="Arial" w:cs="Arial"/>
                <w:sz w:val="20"/>
                <w:szCs w:val="20"/>
              </w:rPr>
              <w:t xml:space="preserve">Academic Society for music </w:t>
            </w:r>
            <w:proofErr w:type="spellStart"/>
            <w:r w:rsidRPr="006C163B">
              <w:rPr>
                <w:rFonts w:ascii="Arial" w:hAnsi="Arial" w:cs="Arial"/>
                <w:sz w:val="20"/>
                <w:szCs w:val="20"/>
              </w:rPr>
              <w:t>cherishing</w:t>
            </w:r>
            <w:proofErr w:type="spellEnd"/>
            <w:r w:rsidRPr="006C163B">
              <w:rPr>
                <w:rFonts w:ascii="Arial" w:hAnsi="Arial" w:cs="Arial"/>
                <w:sz w:val="20"/>
                <w:szCs w:val="20"/>
              </w:rPr>
              <w:t xml:space="preserve"> “</w:t>
            </w:r>
            <w:proofErr w:type="spellStart"/>
            <w:r w:rsidRPr="006C163B">
              <w:rPr>
                <w:rFonts w:ascii="Arial" w:hAnsi="Arial" w:cs="Arial"/>
                <w:sz w:val="20"/>
                <w:szCs w:val="20"/>
              </w:rPr>
              <w:t>Gusle</w:t>
            </w:r>
            <w:proofErr w:type="spellEnd"/>
            <w:r w:rsidRPr="006C163B">
              <w:rPr>
                <w:rFonts w:ascii="Arial" w:hAnsi="Arial" w:cs="Arial"/>
                <w:sz w:val="20"/>
                <w:szCs w:val="20"/>
              </w:rPr>
              <w:t>“ Kikinda</w:t>
            </w:r>
          </w:p>
        </w:tc>
        <w:tc>
          <w:tcPr>
            <w:tcW w:w="1095" w:type="pct"/>
            <w:gridSpan w:val="2"/>
            <w:noWrap/>
            <w:vAlign w:val="center"/>
          </w:tcPr>
          <w:p w14:paraId="4BE8675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Serbie</w:t>
            </w:r>
          </w:p>
        </w:tc>
        <w:tc>
          <w:tcPr>
            <w:tcW w:w="779" w:type="pct"/>
            <w:noWrap/>
            <w:vAlign w:val="center"/>
          </w:tcPr>
          <w:p w14:paraId="2DD1FC0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NGO-90668</w:t>
            </w:r>
          </w:p>
        </w:tc>
      </w:tr>
      <w:tr w:rsidR="0064406D" w:rsidRPr="006C163B" w14:paraId="6351AE8C" w14:textId="77777777" w:rsidTr="00B77B0C">
        <w:trPr>
          <w:trHeight w:val="290"/>
        </w:trPr>
        <w:tc>
          <w:tcPr>
            <w:tcW w:w="3126" w:type="pct"/>
            <w:noWrap/>
            <w:vAlign w:val="center"/>
          </w:tcPr>
          <w:p w14:paraId="2A6FB30D" w14:textId="77777777" w:rsidR="0064406D" w:rsidRPr="00E06CBD" w:rsidRDefault="0064406D" w:rsidP="00B77B0C">
            <w:pPr>
              <w:spacing w:before="120" w:after="120"/>
              <w:rPr>
                <w:rFonts w:ascii="Arial" w:hAnsi="Arial" w:cs="Arial"/>
                <w:b/>
                <w:bCs/>
                <w:sz w:val="20"/>
                <w:szCs w:val="20"/>
                <w:lang w:val="en-US"/>
              </w:rPr>
            </w:pPr>
            <w:proofErr w:type="spellStart"/>
            <w:r w:rsidRPr="00E06CBD">
              <w:rPr>
                <w:rFonts w:ascii="Arial" w:hAnsi="Arial" w:cs="Arial"/>
                <w:b/>
                <w:bCs/>
                <w:sz w:val="20"/>
                <w:szCs w:val="20"/>
                <w:lang w:val="en-US"/>
              </w:rPr>
              <w:t>Associação</w:t>
            </w:r>
            <w:proofErr w:type="spellEnd"/>
            <w:r w:rsidRPr="00E06CBD">
              <w:rPr>
                <w:rFonts w:ascii="Arial" w:hAnsi="Arial" w:cs="Arial"/>
                <w:b/>
                <w:bCs/>
                <w:sz w:val="20"/>
                <w:szCs w:val="20"/>
                <w:lang w:val="en-US"/>
              </w:rPr>
              <w:t xml:space="preserve"> Portuguesa para a </w:t>
            </w:r>
            <w:proofErr w:type="spellStart"/>
            <w:r w:rsidRPr="00E06CBD">
              <w:rPr>
                <w:rFonts w:ascii="Arial" w:hAnsi="Arial" w:cs="Arial"/>
                <w:b/>
                <w:bCs/>
                <w:sz w:val="20"/>
                <w:szCs w:val="20"/>
                <w:lang w:val="en-US"/>
              </w:rPr>
              <w:t>Salvaguarda</w:t>
            </w:r>
            <w:proofErr w:type="spellEnd"/>
            <w:r w:rsidRPr="00E06CBD">
              <w:rPr>
                <w:rFonts w:ascii="Arial" w:hAnsi="Arial" w:cs="Arial"/>
                <w:b/>
                <w:bCs/>
                <w:sz w:val="20"/>
                <w:szCs w:val="20"/>
                <w:lang w:val="en-US"/>
              </w:rPr>
              <w:t xml:space="preserve"> do </w:t>
            </w:r>
            <w:proofErr w:type="spellStart"/>
            <w:r w:rsidRPr="00E06CBD">
              <w:rPr>
                <w:rFonts w:ascii="Arial" w:hAnsi="Arial" w:cs="Arial"/>
                <w:b/>
                <w:bCs/>
                <w:sz w:val="20"/>
                <w:szCs w:val="20"/>
                <w:lang w:val="en-US"/>
              </w:rPr>
              <w:t>Património</w:t>
            </w:r>
            <w:proofErr w:type="spellEnd"/>
            <w:r w:rsidRPr="00E06CBD">
              <w:rPr>
                <w:rFonts w:ascii="Arial" w:hAnsi="Arial" w:cs="Arial"/>
                <w:b/>
                <w:bCs/>
                <w:sz w:val="20"/>
                <w:szCs w:val="20"/>
                <w:lang w:val="en-US"/>
              </w:rPr>
              <w:t xml:space="preserve"> Cultural </w:t>
            </w:r>
            <w:proofErr w:type="spellStart"/>
            <w:r w:rsidRPr="00E06CBD">
              <w:rPr>
                <w:rFonts w:ascii="Arial" w:hAnsi="Arial" w:cs="Arial"/>
                <w:b/>
                <w:bCs/>
                <w:sz w:val="20"/>
                <w:szCs w:val="20"/>
                <w:lang w:val="en-US"/>
              </w:rPr>
              <w:t>Imaterial</w:t>
            </w:r>
            <w:proofErr w:type="spellEnd"/>
            <w:r w:rsidRPr="00E06CBD">
              <w:rPr>
                <w:rFonts w:ascii="Arial" w:hAnsi="Arial" w:cs="Arial"/>
                <w:b/>
                <w:bCs/>
                <w:sz w:val="20"/>
                <w:szCs w:val="20"/>
                <w:lang w:val="en-US"/>
              </w:rPr>
              <w:br/>
            </w:r>
            <w:r w:rsidRPr="00E06CBD">
              <w:rPr>
                <w:rFonts w:ascii="Arial" w:hAnsi="Arial" w:cs="Arial"/>
                <w:sz w:val="20"/>
                <w:szCs w:val="20"/>
                <w:lang w:val="en-US"/>
              </w:rPr>
              <w:t>Portuguese Association for the Safeguard of the Intangible Cultural Heritage</w:t>
            </w:r>
          </w:p>
        </w:tc>
        <w:tc>
          <w:tcPr>
            <w:tcW w:w="1095" w:type="pct"/>
            <w:gridSpan w:val="2"/>
            <w:noWrap/>
            <w:vAlign w:val="center"/>
          </w:tcPr>
          <w:p w14:paraId="1A34B9C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Portugal</w:t>
            </w:r>
          </w:p>
        </w:tc>
        <w:tc>
          <w:tcPr>
            <w:tcW w:w="779" w:type="pct"/>
            <w:noWrap/>
            <w:vAlign w:val="center"/>
          </w:tcPr>
          <w:p w14:paraId="73C8397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NGO-90686</w:t>
            </w:r>
          </w:p>
        </w:tc>
      </w:tr>
      <w:tr w:rsidR="0064406D" w:rsidRPr="006C163B" w14:paraId="701ACC60" w14:textId="77777777" w:rsidTr="00B77B0C">
        <w:trPr>
          <w:trHeight w:val="290"/>
        </w:trPr>
        <w:tc>
          <w:tcPr>
            <w:tcW w:w="3126" w:type="pct"/>
            <w:noWrap/>
            <w:vAlign w:val="center"/>
            <w:hideMark/>
          </w:tcPr>
          <w:p w14:paraId="4FA217BC"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Association Culturelle de Wilaya "Biskra </w:t>
            </w:r>
            <w:proofErr w:type="spellStart"/>
            <w:r w:rsidRPr="006C163B">
              <w:rPr>
                <w:rFonts w:ascii="Arial" w:hAnsi="Arial" w:cs="Arial"/>
                <w:b/>
                <w:bCs/>
                <w:sz w:val="20"/>
                <w:szCs w:val="20"/>
              </w:rPr>
              <w:t>Takraa</w:t>
            </w:r>
            <w:proofErr w:type="spellEnd"/>
            <w:r w:rsidRPr="006C163B">
              <w:rPr>
                <w:rFonts w:ascii="Arial" w:hAnsi="Arial" w:cs="Arial"/>
                <w:b/>
                <w:bCs/>
                <w:sz w:val="20"/>
                <w:szCs w:val="20"/>
              </w:rPr>
              <w:t>"</w:t>
            </w:r>
          </w:p>
        </w:tc>
        <w:tc>
          <w:tcPr>
            <w:tcW w:w="1095" w:type="pct"/>
            <w:gridSpan w:val="2"/>
            <w:noWrap/>
            <w:vAlign w:val="center"/>
            <w:hideMark/>
          </w:tcPr>
          <w:p w14:paraId="1875703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hideMark/>
          </w:tcPr>
          <w:p w14:paraId="6C5E136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NGO-90688</w:t>
            </w:r>
          </w:p>
        </w:tc>
      </w:tr>
      <w:tr w:rsidR="0064406D" w:rsidRPr="006C163B" w14:paraId="618EDE01" w14:textId="77777777" w:rsidTr="00B77B0C">
        <w:trPr>
          <w:trHeight w:val="624"/>
        </w:trPr>
        <w:tc>
          <w:tcPr>
            <w:tcW w:w="3129" w:type="pct"/>
            <w:gridSpan w:val="2"/>
            <w:noWrap/>
            <w:vAlign w:val="center"/>
            <w:hideMark/>
          </w:tcPr>
          <w:p w14:paraId="4F1F7230"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Association El </w:t>
            </w:r>
            <w:proofErr w:type="spellStart"/>
            <w:r w:rsidRPr="006C163B">
              <w:rPr>
                <w:rFonts w:ascii="Arial" w:hAnsi="Arial" w:cs="Arial"/>
                <w:b/>
                <w:bCs/>
                <w:sz w:val="20"/>
                <w:szCs w:val="20"/>
              </w:rPr>
              <w:t>Mouahidia</w:t>
            </w:r>
            <w:proofErr w:type="spellEnd"/>
            <w:r w:rsidRPr="006C163B">
              <w:rPr>
                <w:rFonts w:ascii="Arial" w:hAnsi="Arial" w:cs="Arial"/>
                <w:b/>
                <w:bCs/>
                <w:sz w:val="20"/>
                <w:szCs w:val="20"/>
              </w:rPr>
              <w:t xml:space="preserve"> de sauvegarde du patrimoine historique, culturel et touristique. </w:t>
            </w:r>
            <w:proofErr w:type="spellStart"/>
            <w:r w:rsidRPr="006C163B">
              <w:rPr>
                <w:rFonts w:ascii="Arial" w:hAnsi="Arial" w:cs="Arial"/>
                <w:b/>
                <w:bCs/>
                <w:sz w:val="20"/>
                <w:szCs w:val="20"/>
              </w:rPr>
              <w:t>Nédroma</w:t>
            </w:r>
            <w:proofErr w:type="spellEnd"/>
            <w:r w:rsidRPr="006C163B">
              <w:rPr>
                <w:rFonts w:ascii="Arial" w:hAnsi="Arial" w:cs="Arial"/>
                <w:b/>
                <w:bCs/>
                <w:sz w:val="20"/>
                <w:szCs w:val="20"/>
              </w:rPr>
              <w:t xml:space="preserve"> Wilaya de Tlemcen – Algérie</w:t>
            </w:r>
          </w:p>
        </w:tc>
        <w:tc>
          <w:tcPr>
            <w:tcW w:w="1092" w:type="pct"/>
            <w:noWrap/>
            <w:vAlign w:val="center"/>
            <w:hideMark/>
          </w:tcPr>
          <w:p w14:paraId="046C8A4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hideMark/>
          </w:tcPr>
          <w:p w14:paraId="5300D24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NGO-90620</w:t>
            </w:r>
          </w:p>
        </w:tc>
      </w:tr>
      <w:tr w:rsidR="0064406D" w:rsidRPr="006C163B" w14:paraId="5A49576D" w14:textId="77777777" w:rsidTr="00B77B0C">
        <w:trPr>
          <w:trHeight w:val="624"/>
        </w:trPr>
        <w:tc>
          <w:tcPr>
            <w:tcW w:w="3129" w:type="pct"/>
            <w:gridSpan w:val="2"/>
            <w:noWrap/>
            <w:vAlign w:val="center"/>
            <w:hideMark/>
          </w:tcPr>
          <w:p w14:paraId="40E7B6C3"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Association for the Protection of Gastronomic Heritage</w:t>
            </w:r>
          </w:p>
        </w:tc>
        <w:tc>
          <w:tcPr>
            <w:tcW w:w="1092" w:type="pct"/>
            <w:noWrap/>
            <w:vAlign w:val="center"/>
            <w:hideMark/>
          </w:tcPr>
          <w:p w14:paraId="145B2DF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Espagne</w:t>
            </w:r>
          </w:p>
        </w:tc>
        <w:tc>
          <w:tcPr>
            <w:tcW w:w="779" w:type="pct"/>
            <w:noWrap/>
            <w:vAlign w:val="center"/>
            <w:hideMark/>
          </w:tcPr>
          <w:p w14:paraId="08FFD98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NGO-90615</w:t>
            </w:r>
          </w:p>
        </w:tc>
      </w:tr>
      <w:tr w:rsidR="0064406D" w:rsidRPr="006C163B" w14:paraId="63C323AD" w14:textId="77777777" w:rsidTr="00B77B0C">
        <w:trPr>
          <w:trHeight w:val="290"/>
        </w:trPr>
        <w:tc>
          <w:tcPr>
            <w:tcW w:w="3126" w:type="pct"/>
            <w:noWrap/>
            <w:vAlign w:val="center"/>
          </w:tcPr>
          <w:p w14:paraId="4AABD7B3"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Association </w:t>
            </w:r>
            <w:proofErr w:type="spellStart"/>
            <w:r w:rsidRPr="006C163B">
              <w:rPr>
                <w:rFonts w:ascii="Arial" w:hAnsi="Arial" w:cs="Arial"/>
                <w:b/>
                <w:bCs/>
                <w:sz w:val="20"/>
                <w:szCs w:val="20"/>
              </w:rPr>
              <w:t>imekres</w:t>
            </w:r>
            <w:proofErr w:type="spellEnd"/>
            <w:r w:rsidRPr="006C163B">
              <w:rPr>
                <w:rFonts w:ascii="Arial" w:hAnsi="Arial" w:cs="Arial"/>
                <w:b/>
                <w:bCs/>
                <w:sz w:val="20"/>
                <w:szCs w:val="20"/>
              </w:rPr>
              <w:t xml:space="preserve"> pour le patrimoine et le folklore</w:t>
            </w:r>
          </w:p>
        </w:tc>
        <w:tc>
          <w:tcPr>
            <w:tcW w:w="1095" w:type="pct"/>
            <w:gridSpan w:val="2"/>
            <w:noWrap/>
            <w:vAlign w:val="center"/>
          </w:tcPr>
          <w:p w14:paraId="3D7EC57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tcPr>
          <w:p w14:paraId="436A657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NGO-90619</w:t>
            </w:r>
          </w:p>
        </w:tc>
      </w:tr>
      <w:tr w:rsidR="0064406D" w:rsidRPr="006C163B" w14:paraId="0B56E7FC" w14:textId="77777777" w:rsidTr="00B77B0C">
        <w:trPr>
          <w:trHeight w:val="290"/>
        </w:trPr>
        <w:tc>
          <w:tcPr>
            <w:tcW w:w="3126" w:type="pct"/>
            <w:noWrap/>
            <w:vAlign w:val="center"/>
          </w:tcPr>
          <w:p w14:paraId="503C8C72"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Association Métis</w:t>
            </w:r>
          </w:p>
        </w:tc>
        <w:tc>
          <w:tcPr>
            <w:tcW w:w="1095" w:type="pct"/>
            <w:gridSpan w:val="2"/>
            <w:noWrap/>
            <w:vAlign w:val="center"/>
          </w:tcPr>
          <w:p w14:paraId="3DE4E12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tcPr>
          <w:p w14:paraId="109DA886" w14:textId="4DA6888C"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NGO-90679</w:t>
            </w:r>
          </w:p>
        </w:tc>
      </w:tr>
      <w:tr w:rsidR="0064406D" w:rsidRPr="006C163B" w14:paraId="64BFDEB1" w14:textId="77777777" w:rsidTr="00B77B0C">
        <w:trPr>
          <w:trHeight w:val="290"/>
        </w:trPr>
        <w:tc>
          <w:tcPr>
            <w:tcW w:w="3126" w:type="pct"/>
            <w:noWrap/>
            <w:vAlign w:val="center"/>
          </w:tcPr>
          <w:p w14:paraId="200E7714"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Association Nationale du Patrimoine </w:t>
            </w:r>
            <w:proofErr w:type="spellStart"/>
            <w:r w:rsidRPr="006C163B">
              <w:rPr>
                <w:rFonts w:ascii="Arial" w:hAnsi="Arial" w:cs="Arial"/>
                <w:b/>
                <w:bCs/>
                <w:sz w:val="20"/>
                <w:szCs w:val="20"/>
              </w:rPr>
              <w:t>Tourath</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Djazairna</w:t>
            </w:r>
            <w:proofErr w:type="spellEnd"/>
          </w:p>
        </w:tc>
        <w:tc>
          <w:tcPr>
            <w:tcW w:w="1095" w:type="pct"/>
            <w:gridSpan w:val="2"/>
            <w:noWrap/>
            <w:vAlign w:val="center"/>
          </w:tcPr>
          <w:p w14:paraId="65FB0D8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tcPr>
          <w:p w14:paraId="6B422CD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NGO-90628</w:t>
            </w:r>
          </w:p>
        </w:tc>
      </w:tr>
      <w:tr w:rsidR="0064406D" w:rsidRPr="006C163B" w14:paraId="4BDF317E" w14:textId="77777777" w:rsidTr="00B77B0C">
        <w:trPr>
          <w:trHeight w:val="624"/>
        </w:trPr>
        <w:tc>
          <w:tcPr>
            <w:tcW w:w="3129" w:type="pct"/>
            <w:gridSpan w:val="2"/>
            <w:noWrap/>
            <w:vAlign w:val="center"/>
            <w:hideMark/>
          </w:tcPr>
          <w:p w14:paraId="2FCF265C"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Association Les Savoir-faire du </w:t>
            </w:r>
            <w:proofErr w:type="gramStart"/>
            <w:r w:rsidRPr="006C163B">
              <w:rPr>
                <w:rFonts w:ascii="Arial" w:hAnsi="Arial" w:cs="Arial"/>
                <w:b/>
                <w:bCs/>
                <w:sz w:val="20"/>
                <w:szCs w:val="20"/>
              </w:rPr>
              <w:t>Cognac</w:t>
            </w:r>
            <w:proofErr w:type="gramEnd"/>
            <w:r w:rsidRPr="006C163B">
              <w:rPr>
                <w:rFonts w:ascii="Arial" w:hAnsi="Arial" w:cs="Arial"/>
                <w:b/>
                <w:bCs/>
                <w:sz w:val="20"/>
                <w:szCs w:val="20"/>
              </w:rPr>
              <w:t xml:space="preserve"> - ASFC </w:t>
            </w:r>
            <w:r w:rsidRPr="006C163B">
              <w:rPr>
                <w:rFonts w:ascii="Arial" w:hAnsi="Arial" w:cs="Arial"/>
                <w:b/>
                <w:bCs/>
                <w:sz w:val="20"/>
                <w:szCs w:val="20"/>
              </w:rPr>
              <w:br/>
            </w:r>
            <w:r w:rsidRPr="006C163B">
              <w:rPr>
                <w:rFonts w:ascii="Arial" w:hAnsi="Arial" w:cs="Arial"/>
                <w:sz w:val="20"/>
                <w:szCs w:val="20"/>
              </w:rPr>
              <w:t xml:space="preserve">Cognac </w:t>
            </w:r>
            <w:proofErr w:type="spellStart"/>
            <w:r w:rsidRPr="006C163B">
              <w:rPr>
                <w:rFonts w:ascii="Arial" w:hAnsi="Arial" w:cs="Arial"/>
                <w:sz w:val="20"/>
                <w:szCs w:val="20"/>
              </w:rPr>
              <w:t>Heritage</w:t>
            </w:r>
            <w:proofErr w:type="spellEnd"/>
            <w:r w:rsidRPr="006C163B">
              <w:rPr>
                <w:rFonts w:ascii="Arial" w:hAnsi="Arial" w:cs="Arial"/>
                <w:sz w:val="20"/>
                <w:szCs w:val="20"/>
              </w:rPr>
              <w:t xml:space="preserve"> and Know-How Association</w:t>
            </w:r>
          </w:p>
        </w:tc>
        <w:tc>
          <w:tcPr>
            <w:tcW w:w="1092" w:type="pct"/>
            <w:noWrap/>
            <w:vAlign w:val="center"/>
            <w:hideMark/>
          </w:tcPr>
          <w:p w14:paraId="38FF6D2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3A0AD02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NGO-90635</w:t>
            </w:r>
          </w:p>
        </w:tc>
      </w:tr>
      <w:tr w:rsidR="0064406D" w:rsidRPr="006C163B" w14:paraId="13253F4C" w14:textId="77777777" w:rsidTr="00B77B0C">
        <w:trPr>
          <w:trHeight w:val="290"/>
        </w:trPr>
        <w:tc>
          <w:tcPr>
            <w:tcW w:w="3126" w:type="pct"/>
            <w:noWrap/>
            <w:vAlign w:val="center"/>
          </w:tcPr>
          <w:p w14:paraId="4C7A8EC2"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Associazione</w:t>
            </w:r>
            <w:proofErr w:type="spellEnd"/>
            <w:r w:rsidRPr="006C163B">
              <w:rPr>
                <w:rFonts w:ascii="Arial" w:hAnsi="Arial" w:cs="Arial"/>
                <w:b/>
                <w:bCs/>
                <w:sz w:val="20"/>
                <w:szCs w:val="20"/>
              </w:rPr>
              <w:t xml:space="preserve"> Polo </w:t>
            </w:r>
            <w:proofErr w:type="spellStart"/>
            <w:r w:rsidRPr="006C163B">
              <w:rPr>
                <w:rFonts w:ascii="Arial" w:hAnsi="Arial" w:cs="Arial"/>
                <w:b/>
                <w:bCs/>
                <w:sz w:val="20"/>
                <w:szCs w:val="20"/>
              </w:rPr>
              <w:t>Poschiavo</w:t>
            </w:r>
            <w:proofErr w:type="spellEnd"/>
            <w:r w:rsidRPr="006C163B">
              <w:rPr>
                <w:rFonts w:ascii="Arial" w:hAnsi="Arial" w:cs="Arial"/>
                <w:b/>
                <w:bCs/>
                <w:sz w:val="20"/>
                <w:szCs w:val="20"/>
              </w:rPr>
              <w:tab/>
            </w:r>
          </w:p>
        </w:tc>
        <w:tc>
          <w:tcPr>
            <w:tcW w:w="1095" w:type="pct"/>
            <w:gridSpan w:val="2"/>
            <w:noWrap/>
            <w:vAlign w:val="center"/>
          </w:tcPr>
          <w:p w14:paraId="14C3761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Suisse</w:t>
            </w:r>
          </w:p>
        </w:tc>
        <w:tc>
          <w:tcPr>
            <w:tcW w:w="779" w:type="pct"/>
            <w:noWrap/>
            <w:vAlign w:val="center"/>
          </w:tcPr>
          <w:p w14:paraId="2996A42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NGO-90631</w:t>
            </w:r>
          </w:p>
        </w:tc>
      </w:tr>
      <w:tr w:rsidR="0064406D" w:rsidRPr="006C163B" w14:paraId="6EAB38FA" w14:textId="77777777" w:rsidTr="00B77B0C">
        <w:trPr>
          <w:trHeight w:val="624"/>
        </w:trPr>
        <w:tc>
          <w:tcPr>
            <w:tcW w:w="3129" w:type="pct"/>
            <w:gridSpan w:val="2"/>
            <w:noWrap/>
            <w:vAlign w:val="center"/>
            <w:hideMark/>
          </w:tcPr>
          <w:p w14:paraId="16F9FE22"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Babatunde Development </w:t>
            </w:r>
            <w:proofErr w:type="gramStart"/>
            <w:r w:rsidRPr="006C163B">
              <w:rPr>
                <w:rFonts w:ascii="Arial" w:hAnsi="Arial" w:cs="Arial"/>
                <w:b/>
                <w:bCs/>
                <w:sz w:val="20"/>
                <w:szCs w:val="20"/>
                <w:lang w:val="en-GB"/>
              </w:rPr>
              <w:t>And</w:t>
            </w:r>
            <w:proofErr w:type="gramEnd"/>
            <w:r w:rsidRPr="006C163B">
              <w:rPr>
                <w:rFonts w:ascii="Arial" w:hAnsi="Arial" w:cs="Arial"/>
                <w:b/>
                <w:bCs/>
                <w:sz w:val="20"/>
                <w:szCs w:val="20"/>
                <w:lang w:val="en-GB"/>
              </w:rPr>
              <w:t xml:space="preserve"> Empowerment Initiative - BDEI</w:t>
            </w:r>
          </w:p>
        </w:tc>
        <w:tc>
          <w:tcPr>
            <w:tcW w:w="1092" w:type="pct"/>
            <w:noWrap/>
            <w:vAlign w:val="center"/>
            <w:hideMark/>
          </w:tcPr>
          <w:p w14:paraId="0F9728A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779" w:type="pct"/>
            <w:noWrap/>
            <w:vAlign w:val="center"/>
            <w:hideMark/>
          </w:tcPr>
          <w:p w14:paraId="35007C3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NGO-90608</w:t>
            </w:r>
          </w:p>
        </w:tc>
      </w:tr>
      <w:tr w:rsidR="0064406D" w:rsidRPr="006C163B" w14:paraId="35335EF3" w14:textId="77777777" w:rsidTr="00B77B0C">
        <w:trPr>
          <w:trHeight w:val="290"/>
        </w:trPr>
        <w:tc>
          <w:tcPr>
            <w:tcW w:w="3126" w:type="pct"/>
            <w:noWrap/>
            <w:vAlign w:val="center"/>
            <w:hideMark/>
          </w:tcPr>
          <w:p w14:paraId="39B5C296"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Cenan </w:t>
            </w:r>
            <w:proofErr w:type="spellStart"/>
            <w:r w:rsidRPr="006C163B">
              <w:rPr>
                <w:rFonts w:ascii="Arial" w:hAnsi="Arial" w:cs="Arial"/>
                <w:b/>
                <w:bCs/>
                <w:sz w:val="20"/>
                <w:szCs w:val="20"/>
                <w:lang w:val="en-GB"/>
              </w:rPr>
              <w:t>Eğitim</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Kültür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Sağlık</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Vakfı</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r w:rsidRPr="006C163B">
              <w:rPr>
                <w:rFonts w:ascii="Arial" w:hAnsi="Arial" w:cs="Arial"/>
                <w:sz w:val="20"/>
                <w:szCs w:val="20"/>
                <w:lang w:val="en-GB"/>
              </w:rPr>
              <w:t>Cenan Foundation for Education, Culture and Health</w:t>
            </w:r>
          </w:p>
        </w:tc>
        <w:tc>
          <w:tcPr>
            <w:tcW w:w="1095" w:type="pct"/>
            <w:gridSpan w:val="2"/>
            <w:noWrap/>
            <w:vAlign w:val="center"/>
            <w:hideMark/>
          </w:tcPr>
          <w:p w14:paraId="0CF6C06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713FBC9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NGO-90653</w:t>
            </w:r>
          </w:p>
        </w:tc>
      </w:tr>
      <w:tr w:rsidR="0064406D" w:rsidRPr="006C163B" w14:paraId="7BF3F204" w14:textId="77777777" w:rsidTr="00B77B0C">
        <w:trPr>
          <w:trHeight w:val="624"/>
        </w:trPr>
        <w:tc>
          <w:tcPr>
            <w:tcW w:w="3129" w:type="pct"/>
            <w:gridSpan w:val="2"/>
            <w:noWrap/>
            <w:vAlign w:val="center"/>
            <w:hideMark/>
          </w:tcPr>
          <w:p w14:paraId="0ECE65A0"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Centre régional d’études des populations alpines - CREPA</w:t>
            </w:r>
          </w:p>
        </w:tc>
        <w:tc>
          <w:tcPr>
            <w:tcW w:w="1092" w:type="pct"/>
            <w:noWrap/>
            <w:vAlign w:val="center"/>
            <w:hideMark/>
          </w:tcPr>
          <w:p w14:paraId="1F1D5A5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Suisse</w:t>
            </w:r>
          </w:p>
        </w:tc>
        <w:tc>
          <w:tcPr>
            <w:tcW w:w="779" w:type="pct"/>
            <w:noWrap/>
            <w:vAlign w:val="center"/>
            <w:hideMark/>
          </w:tcPr>
          <w:p w14:paraId="441F32FD"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NGO-90618</w:t>
            </w:r>
          </w:p>
        </w:tc>
      </w:tr>
      <w:tr w:rsidR="0064406D" w:rsidRPr="006C163B" w14:paraId="77380685" w14:textId="77777777" w:rsidTr="00B77B0C">
        <w:trPr>
          <w:trHeight w:val="290"/>
        </w:trPr>
        <w:tc>
          <w:tcPr>
            <w:tcW w:w="3126" w:type="pct"/>
            <w:noWrap/>
            <w:vAlign w:val="center"/>
          </w:tcPr>
          <w:p w14:paraId="5898890D"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lastRenderedPageBreak/>
              <w:t xml:space="preserve">Centrum </w:t>
            </w:r>
            <w:proofErr w:type="spellStart"/>
            <w:r w:rsidRPr="006C163B">
              <w:rPr>
                <w:rFonts w:ascii="Arial" w:hAnsi="Arial" w:cs="Arial"/>
                <w:b/>
                <w:bCs/>
                <w:sz w:val="20"/>
                <w:szCs w:val="20"/>
                <w:lang w:val="en-GB"/>
              </w:rPr>
              <w:t>voor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Muziek</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en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Podiumerfgoed</w:t>
            </w:r>
            <w:proofErr w:type="spellEnd"/>
            <w:r w:rsidRPr="006C163B">
              <w:rPr>
                <w:rFonts w:ascii="Arial" w:hAnsi="Arial" w:cs="Arial"/>
                <w:b/>
                <w:bCs/>
                <w:sz w:val="20"/>
                <w:szCs w:val="20"/>
                <w:lang w:val="en-GB"/>
              </w:rPr>
              <w:t xml:space="preserve"> – CEMPER</w:t>
            </w:r>
            <w:r w:rsidRPr="006C163B">
              <w:rPr>
                <w:rFonts w:ascii="Arial" w:hAnsi="Arial" w:cs="Arial"/>
                <w:b/>
                <w:bCs/>
                <w:sz w:val="20"/>
                <w:szCs w:val="20"/>
                <w:lang w:val="en-GB"/>
              </w:rPr>
              <w:br/>
            </w:r>
            <w:r w:rsidRPr="006C163B">
              <w:rPr>
                <w:rFonts w:ascii="Arial" w:hAnsi="Arial" w:cs="Arial"/>
                <w:sz w:val="20"/>
                <w:szCs w:val="20"/>
                <w:lang w:val="en-GB"/>
              </w:rPr>
              <w:t>Centre for Music and Performing Arts Heritage – CEMPER</w:t>
            </w:r>
          </w:p>
        </w:tc>
        <w:tc>
          <w:tcPr>
            <w:tcW w:w="1095" w:type="pct"/>
            <w:gridSpan w:val="2"/>
            <w:noWrap/>
            <w:vAlign w:val="center"/>
          </w:tcPr>
          <w:p w14:paraId="6ECE8C7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779" w:type="pct"/>
            <w:noWrap/>
            <w:vAlign w:val="center"/>
          </w:tcPr>
          <w:p w14:paraId="04EF9BC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NGO-90613</w:t>
            </w:r>
          </w:p>
        </w:tc>
      </w:tr>
      <w:tr w:rsidR="0064406D" w:rsidRPr="006C163B" w14:paraId="6C5FB752" w14:textId="77777777" w:rsidTr="00B77B0C">
        <w:trPr>
          <w:trHeight w:val="290"/>
        </w:trPr>
        <w:tc>
          <w:tcPr>
            <w:tcW w:w="3126" w:type="pct"/>
            <w:noWrap/>
            <w:vAlign w:val="center"/>
            <w:hideMark/>
          </w:tcPr>
          <w:p w14:paraId="3B5F055E"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Clean Climate </w:t>
            </w:r>
            <w:proofErr w:type="gramStart"/>
            <w:r w:rsidRPr="006C163B">
              <w:rPr>
                <w:rFonts w:ascii="Arial" w:hAnsi="Arial" w:cs="Arial"/>
                <w:b/>
                <w:bCs/>
                <w:sz w:val="20"/>
                <w:szCs w:val="20"/>
                <w:lang w:val="en-GB"/>
              </w:rPr>
              <w:t>And</w:t>
            </w:r>
            <w:proofErr w:type="gramEnd"/>
            <w:r w:rsidRPr="006C163B">
              <w:rPr>
                <w:rFonts w:ascii="Arial" w:hAnsi="Arial" w:cs="Arial"/>
                <w:b/>
                <w:bCs/>
                <w:sz w:val="20"/>
                <w:szCs w:val="20"/>
                <w:lang w:val="en-GB"/>
              </w:rPr>
              <w:t xml:space="preserve"> Environment Campaign Initiative - CCAECI</w:t>
            </w:r>
          </w:p>
        </w:tc>
        <w:tc>
          <w:tcPr>
            <w:tcW w:w="1095" w:type="pct"/>
            <w:gridSpan w:val="2"/>
            <w:noWrap/>
            <w:vAlign w:val="center"/>
            <w:hideMark/>
          </w:tcPr>
          <w:p w14:paraId="475DB41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779" w:type="pct"/>
            <w:noWrap/>
            <w:vAlign w:val="center"/>
            <w:hideMark/>
          </w:tcPr>
          <w:p w14:paraId="70D311D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NGO-90599</w:t>
            </w:r>
          </w:p>
        </w:tc>
      </w:tr>
      <w:tr w:rsidR="0064406D" w:rsidRPr="006C163B" w14:paraId="6FDB107A" w14:textId="77777777" w:rsidTr="00B77B0C">
        <w:trPr>
          <w:trHeight w:val="290"/>
        </w:trPr>
        <w:tc>
          <w:tcPr>
            <w:tcW w:w="3126" w:type="pct"/>
            <w:noWrap/>
            <w:vAlign w:val="center"/>
            <w:hideMark/>
          </w:tcPr>
          <w:p w14:paraId="2F08C5BE"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Cultural Association </w:t>
            </w:r>
            <w:proofErr w:type="spellStart"/>
            <w:r w:rsidRPr="006C163B">
              <w:rPr>
                <w:rFonts w:ascii="Arial" w:hAnsi="Arial" w:cs="Arial"/>
                <w:b/>
                <w:bCs/>
                <w:sz w:val="20"/>
                <w:szCs w:val="20"/>
              </w:rPr>
              <w:t>Baizara</w:t>
            </w:r>
            <w:proofErr w:type="spellEnd"/>
          </w:p>
        </w:tc>
        <w:tc>
          <w:tcPr>
            <w:tcW w:w="1095" w:type="pct"/>
            <w:gridSpan w:val="2"/>
            <w:noWrap/>
            <w:vAlign w:val="center"/>
            <w:hideMark/>
          </w:tcPr>
          <w:p w14:paraId="7E96D4B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Espagne</w:t>
            </w:r>
          </w:p>
        </w:tc>
        <w:tc>
          <w:tcPr>
            <w:tcW w:w="779" w:type="pct"/>
            <w:noWrap/>
            <w:vAlign w:val="center"/>
            <w:hideMark/>
          </w:tcPr>
          <w:p w14:paraId="7B6BC114" w14:textId="3CC5C8A9"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NGO-90657</w:t>
            </w:r>
          </w:p>
        </w:tc>
      </w:tr>
      <w:tr w:rsidR="0064406D" w:rsidRPr="006C163B" w14:paraId="72B6F3B8" w14:textId="77777777" w:rsidTr="00B77B0C">
        <w:trPr>
          <w:trHeight w:val="624"/>
        </w:trPr>
        <w:tc>
          <w:tcPr>
            <w:tcW w:w="3129" w:type="pct"/>
            <w:gridSpan w:val="2"/>
            <w:noWrap/>
            <w:vAlign w:val="center"/>
            <w:hideMark/>
          </w:tcPr>
          <w:p w14:paraId="42140E08"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Doğu </w:t>
            </w:r>
            <w:proofErr w:type="spellStart"/>
            <w:r w:rsidRPr="006C163B">
              <w:rPr>
                <w:rFonts w:ascii="Arial" w:hAnsi="Arial" w:cs="Arial"/>
                <w:b/>
                <w:bCs/>
                <w:sz w:val="20"/>
                <w:szCs w:val="20"/>
                <w:lang w:val="en-GB"/>
              </w:rPr>
              <w:t>Kültür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ve</w:t>
            </w:r>
            <w:proofErr w:type="spellEnd"/>
            <w:r w:rsidRPr="006C163B">
              <w:rPr>
                <w:rFonts w:ascii="Arial" w:hAnsi="Arial" w:cs="Arial"/>
                <w:b/>
                <w:bCs/>
                <w:sz w:val="20"/>
                <w:szCs w:val="20"/>
                <w:lang w:val="en-GB"/>
              </w:rPr>
              <w:t xml:space="preserve"> Sanat </w:t>
            </w:r>
            <w:proofErr w:type="spellStart"/>
            <w:r w:rsidRPr="006C163B">
              <w:rPr>
                <w:rFonts w:ascii="Arial" w:hAnsi="Arial" w:cs="Arial"/>
                <w:b/>
                <w:bCs/>
                <w:sz w:val="20"/>
                <w:szCs w:val="20"/>
                <w:lang w:val="en-GB"/>
              </w:rPr>
              <w:t>Merkezi</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Derneği</w:t>
            </w:r>
            <w:proofErr w:type="spellEnd"/>
            <w:r w:rsidRPr="006C163B">
              <w:rPr>
                <w:rFonts w:ascii="Arial" w:hAnsi="Arial" w:cs="Arial"/>
                <w:b/>
                <w:bCs/>
                <w:sz w:val="20"/>
                <w:szCs w:val="20"/>
                <w:lang w:val="en-GB"/>
              </w:rPr>
              <w:t xml:space="preserve"> - DKSM </w:t>
            </w:r>
            <w:r w:rsidRPr="006C163B">
              <w:rPr>
                <w:rFonts w:ascii="Arial" w:hAnsi="Arial" w:cs="Arial"/>
                <w:b/>
                <w:bCs/>
                <w:sz w:val="20"/>
                <w:szCs w:val="20"/>
                <w:lang w:val="en-GB"/>
              </w:rPr>
              <w:br/>
            </w:r>
            <w:r w:rsidRPr="006C163B">
              <w:rPr>
                <w:rFonts w:ascii="Arial" w:hAnsi="Arial" w:cs="Arial"/>
                <w:sz w:val="20"/>
                <w:szCs w:val="20"/>
                <w:lang w:val="en-GB"/>
              </w:rPr>
              <w:t xml:space="preserve">Eastern Culture and Art </w:t>
            </w:r>
            <w:proofErr w:type="spellStart"/>
            <w:r w:rsidRPr="006C163B">
              <w:rPr>
                <w:rFonts w:ascii="Arial" w:hAnsi="Arial" w:cs="Arial"/>
                <w:sz w:val="20"/>
                <w:szCs w:val="20"/>
                <w:lang w:val="en-GB"/>
              </w:rPr>
              <w:t>Center</w:t>
            </w:r>
            <w:proofErr w:type="spellEnd"/>
            <w:r w:rsidRPr="006C163B">
              <w:rPr>
                <w:rFonts w:ascii="Arial" w:hAnsi="Arial" w:cs="Arial"/>
                <w:sz w:val="20"/>
                <w:szCs w:val="20"/>
                <w:lang w:val="en-GB"/>
              </w:rPr>
              <w:t xml:space="preserve"> Association - DKSM</w:t>
            </w:r>
          </w:p>
        </w:tc>
        <w:tc>
          <w:tcPr>
            <w:tcW w:w="1092" w:type="pct"/>
            <w:noWrap/>
            <w:vAlign w:val="center"/>
            <w:hideMark/>
          </w:tcPr>
          <w:p w14:paraId="166B308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2931B34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NGO-90661</w:t>
            </w:r>
          </w:p>
        </w:tc>
      </w:tr>
      <w:tr w:rsidR="0064406D" w:rsidRPr="006C163B" w14:paraId="20AC9944" w14:textId="77777777" w:rsidTr="00B77B0C">
        <w:trPr>
          <w:trHeight w:val="290"/>
        </w:trPr>
        <w:tc>
          <w:tcPr>
            <w:tcW w:w="3126" w:type="pct"/>
            <w:noWrap/>
            <w:vAlign w:val="center"/>
            <w:hideMark/>
          </w:tcPr>
          <w:p w14:paraId="6FB0C6A3"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Dünya </w:t>
            </w:r>
            <w:proofErr w:type="spellStart"/>
            <w:r w:rsidRPr="006C163B">
              <w:rPr>
                <w:rFonts w:ascii="Arial" w:hAnsi="Arial" w:cs="Arial"/>
                <w:b/>
                <w:bCs/>
                <w:sz w:val="20"/>
                <w:szCs w:val="20"/>
                <w:lang w:val="en-GB"/>
              </w:rPr>
              <w:t>Etnospor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Konfederasyonu</w:t>
            </w:r>
            <w:proofErr w:type="spellEnd"/>
            <w:r w:rsidRPr="006C163B">
              <w:rPr>
                <w:rFonts w:ascii="Arial" w:hAnsi="Arial" w:cs="Arial"/>
                <w:b/>
                <w:bCs/>
                <w:sz w:val="20"/>
                <w:szCs w:val="20"/>
                <w:lang w:val="en-GB"/>
              </w:rPr>
              <w:t xml:space="preserve"> - DEK </w:t>
            </w:r>
            <w:r w:rsidRPr="006C163B">
              <w:rPr>
                <w:rFonts w:ascii="Arial" w:hAnsi="Arial" w:cs="Arial"/>
                <w:b/>
                <w:bCs/>
                <w:sz w:val="20"/>
                <w:szCs w:val="20"/>
                <w:lang w:val="en-GB"/>
              </w:rPr>
              <w:br/>
            </w:r>
            <w:r w:rsidRPr="006C163B">
              <w:rPr>
                <w:rFonts w:ascii="Arial" w:hAnsi="Arial" w:cs="Arial"/>
                <w:sz w:val="20"/>
                <w:szCs w:val="20"/>
                <w:lang w:val="en-GB"/>
              </w:rPr>
              <w:t>World</w:t>
            </w:r>
            <w:r w:rsidRPr="006C163B">
              <w:rPr>
                <w:rFonts w:ascii="Arial" w:hAnsi="Arial" w:cs="Arial"/>
                <w:b/>
                <w:bCs/>
                <w:sz w:val="20"/>
                <w:szCs w:val="20"/>
                <w:lang w:val="en-GB"/>
              </w:rPr>
              <w:t xml:space="preserve"> </w:t>
            </w:r>
            <w:proofErr w:type="spellStart"/>
            <w:r w:rsidRPr="006C163B">
              <w:rPr>
                <w:rFonts w:ascii="Arial" w:hAnsi="Arial" w:cs="Arial"/>
                <w:sz w:val="20"/>
                <w:szCs w:val="20"/>
                <w:lang w:val="en-GB"/>
              </w:rPr>
              <w:t>Ethnosport</w:t>
            </w:r>
            <w:proofErr w:type="spellEnd"/>
            <w:r w:rsidRPr="006C163B">
              <w:rPr>
                <w:rFonts w:ascii="Arial" w:hAnsi="Arial" w:cs="Arial"/>
                <w:sz w:val="20"/>
                <w:szCs w:val="20"/>
                <w:lang w:val="en-GB"/>
              </w:rPr>
              <w:t xml:space="preserve"> Confederation - WEC</w:t>
            </w:r>
          </w:p>
        </w:tc>
        <w:tc>
          <w:tcPr>
            <w:tcW w:w="1095" w:type="pct"/>
            <w:gridSpan w:val="2"/>
            <w:noWrap/>
            <w:vAlign w:val="center"/>
            <w:hideMark/>
          </w:tcPr>
          <w:p w14:paraId="6BC1518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72617AB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NGO-90659</w:t>
            </w:r>
          </w:p>
        </w:tc>
      </w:tr>
      <w:tr w:rsidR="0064406D" w:rsidRPr="006C163B" w14:paraId="6A333BC8" w14:textId="77777777" w:rsidTr="00B77B0C">
        <w:trPr>
          <w:trHeight w:val="624"/>
        </w:trPr>
        <w:tc>
          <w:tcPr>
            <w:tcW w:w="3129" w:type="pct"/>
            <w:gridSpan w:val="2"/>
            <w:noWrap/>
            <w:vAlign w:val="center"/>
            <w:hideMark/>
          </w:tcPr>
          <w:p w14:paraId="18808BC4" w14:textId="77777777" w:rsidR="0064406D" w:rsidRPr="006C163B" w:rsidRDefault="0064406D"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Folkdansringen</w:t>
            </w:r>
            <w:proofErr w:type="spellEnd"/>
            <w:r w:rsidRPr="006C163B">
              <w:rPr>
                <w:rFonts w:ascii="Arial" w:hAnsi="Arial" w:cs="Arial"/>
                <w:b/>
                <w:bCs/>
                <w:sz w:val="20"/>
                <w:szCs w:val="20"/>
                <w:lang w:val="en-GB"/>
              </w:rPr>
              <w:t xml:space="preserve"> Dalarna - </w:t>
            </w:r>
            <w:proofErr w:type="spellStart"/>
            <w:r w:rsidRPr="006C163B">
              <w:rPr>
                <w:rFonts w:ascii="Arial" w:hAnsi="Arial" w:cs="Arial"/>
                <w:b/>
                <w:bCs/>
                <w:sz w:val="20"/>
                <w:szCs w:val="20"/>
                <w:lang w:val="en-GB"/>
              </w:rPr>
              <w:t>Polskmärkesuppdansningen</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r w:rsidRPr="006C163B">
              <w:rPr>
                <w:rFonts w:ascii="Arial" w:hAnsi="Arial" w:cs="Arial"/>
                <w:sz w:val="20"/>
                <w:szCs w:val="20"/>
                <w:lang w:val="en-GB"/>
              </w:rPr>
              <w:t>Folk dance society in Dalarna County - The Polska Medal &amp; Reward</w:t>
            </w:r>
          </w:p>
        </w:tc>
        <w:tc>
          <w:tcPr>
            <w:tcW w:w="1092" w:type="pct"/>
            <w:noWrap/>
            <w:vAlign w:val="center"/>
            <w:hideMark/>
          </w:tcPr>
          <w:p w14:paraId="167E8B5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Suède</w:t>
            </w:r>
          </w:p>
        </w:tc>
        <w:tc>
          <w:tcPr>
            <w:tcW w:w="779" w:type="pct"/>
            <w:noWrap/>
            <w:vAlign w:val="center"/>
            <w:hideMark/>
          </w:tcPr>
          <w:p w14:paraId="0FB33CE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NGO-90633</w:t>
            </w:r>
          </w:p>
        </w:tc>
      </w:tr>
      <w:tr w:rsidR="0064406D" w:rsidRPr="006C163B" w14:paraId="2E0ED51C" w14:textId="77777777" w:rsidTr="00B77B0C">
        <w:trPr>
          <w:trHeight w:val="624"/>
        </w:trPr>
        <w:tc>
          <w:tcPr>
            <w:tcW w:w="3129" w:type="pct"/>
            <w:gridSpan w:val="2"/>
            <w:noWrap/>
            <w:vAlign w:val="center"/>
            <w:hideMark/>
          </w:tcPr>
          <w:p w14:paraId="4A8962C3"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Folklor</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Kurumu</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Derneği</w:t>
            </w:r>
            <w:proofErr w:type="spellEnd"/>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Folklore Institution Association</w:t>
            </w:r>
          </w:p>
        </w:tc>
        <w:tc>
          <w:tcPr>
            <w:tcW w:w="1092" w:type="pct"/>
            <w:noWrap/>
            <w:vAlign w:val="center"/>
            <w:hideMark/>
          </w:tcPr>
          <w:p w14:paraId="139EBD6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4BD4640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NGO-90643</w:t>
            </w:r>
          </w:p>
        </w:tc>
      </w:tr>
      <w:tr w:rsidR="0064406D" w:rsidRPr="006C163B" w14:paraId="1818A7C2" w14:textId="77777777" w:rsidTr="00B77B0C">
        <w:trPr>
          <w:trHeight w:val="290"/>
        </w:trPr>
        <w:tc>
          <w:tcPr>
            <w:tcW w:w="3126" w:type="pct"/>
            <w:noWrap/>
            <w:vAlign w:val="center"/>
            <w:hideMark/>
          </w:tcPr>
          <w:p w14:paraId="0A126838"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Groupe d’Etudes sur l’Histoire des Mathématiques à Béjaïa - GEHIMAB</w:t>
            </w:r>
          </w:p>
        </w:tc>
        <w:tc>
          <w:tcPr>
            <w:tcW w:w="1095" w:type="pct"/>
            <w:gridSpan w:val="2"/>
            <w:noWrap/>
            <w:vAlign w:val="center"/>
            <w:hideMark/>
          </w:tcPr>
          <w:p w14:paraId="7F34E60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hideMark/>
          </w:tcPr>
          <w:p w14:paraId="2B69E23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NGO-90621</w:t>
            </w:r>
          </w:p>
        </w:tc>
      </w:tr>
      <w:tr w:rsidR="0064406D" w:rsidRPr="006C163B" w14:paraId="1C4CA7F2" w14:textId="77777777" w:rsidTr="00B77B0C">
        <w:trPr>
          <w:trHeight w:val="624"/>
        </w:trPr>
        <w:tc>
          <w:tcPr>
            <w:tcW w:w="3129" w:type="pct"/>
            <w:gridSpan w:val="2"/>
            <w:noWrap/>
            <w:vAlign w:val="center"/>
            <w:hideMark/>
          </w:tcPr>
          <w:p w14:paraId="04E88B68" w14:textId="77777777" w:rsidR="0064406D" w:rsidRPr="006C163B" w:rsidRDefault="0064406D" w:rsidP="00B77B0C">
            <w:pPr>
              <w:spacing w:before="120" w:after="120"/>
              <w:rPr>
                <w:rFonts w:ascii="Arial" w:hAnsi="Arial" w:cs="Arial"/>
                <w:b/>
                <w:bCs/>
                <w:sz w:val="20"/>
                <w:szCs w:val="20"/>
              </w:rPr>
            </w:pPr>
            <w:proofErr w:type="gramStart"/>
            <w:r w:rsidRPr="006C163B">
              <w:rPr>
                <w:rFonts w:ascii="Arial" w:hAnsi="Arial" w:cs="Arial"/>
                <w:b/>
                <w:bCs/>
                <w:sz w:val="20"/>
                <w:szCs w:val="20"/>
              </w:rPr>
              <w:t>Histories</w:t>
            </w:r>
            <w:proofErr w:type="gramEnd"/>
            <w:r w:rsidRPr="006C163B">
              <w:rPr>
                <w:rFonts w:ascii="Arial" w:hAnsi="Arial" w:cs="Arial"/>
                <w:b/>
                <w:bCs/>
                <w:sz w:val="20"/>
                <w:szCs w:val="20"/>
              </w:rPr>
              <w:t xml:space="preserve"> </w:t>
            </w:r>
            <w:proofErr w:type="spellStart"/>
            <w:r w:rsidRPr="006C163B">
              <w:rPr>
                <w:rFonts w:ascii="Arial" w:hAnsi="Arial" w:cs="Arial"/>
                <w:b/>
                <w:bCs/>
                <w:sz w:val="20"/>
                <w:szCs w:val="20"/>
              </w:rPr>
              <w:t>vzw</w:t>
            </w:r>
            <w:proofErr w:type="spellEnd"/>
          </w:p>
        </w:tc>
        <w:tc>
          <w:tcPr>
            <w:tcW w:w="1092" w:type="pct"/>
            <w:noWrap/>
            <w:vAlign w:val="center"/>
            <w:hideMark/>
          </w:tcPr>
          <w:p w14:paraId="6838C4A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779" w:type="pct"/>
            <w:noWrap/>
            <w:vAlign w:val="center"/>
            <w:hideMark/>
          </w:tcPr>
          <w:p w14:paraId="64DD63D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NGO-90634</w:t>
            </w:r>
          </w:p>
        </w:tc>
      </w:tr>
      <w:tr w:rsidR="0064406D" w:rsidRPr="006C163B" w14:paraId="0A7A2F48" w14:textId="77777777" w:rsidTr="00B77B0C">
        <w:trPr>
          <w:trHeight w:val="624"/>
        </w:trPr>
        <w:tc>
          <w:tcPr>
            <w:tcW w:w="3129" w:type="pct"/>
            <w:gridSpan w:val="2"/>
            <w:noWrap/>
            <w:vAlign w:val="center"/>
            <w:hideMark/>
          </w:tcPr>
          <w:p w14:paraId="43D3AB28" w14:textId="77777777" w:rsidR="0064406D" w:rsidRPr="000802E3" w:rsidRDefault="0064406D" w:rsidP="00B77B0C">
            <w:pPr>
              <w:spacing w:before="120" w:after="120"/>
              <w:rPr>
                <w:rFonts w:ascii="Arial" w:hAnsi="Arial" w:cs="Arial"/>
                <w:b/>
                <w:bCs/>
                <w:sz w:val="20"/>
                <w:szCs w:val="20"/>
                <w:lang w:val="en-US"/>
              </w:rPr>
            </w:pPr>
            <w:proofErr w:type="spellStart"/>
            <w:r w:rsidRPr="000802E3">
              <w:rPr>
                <w:rFonts w:ascii="Arial" w:hAnsi="Arial" w:cs="Arial"/>
                <w:b/>
                <w:bCs/>
                <w:sz w:val="20"/>
                <w:szCs w:val="20"/>
                <w:lang w:val="en-US"/>
              </w:rPr>
              <w:t>Hrvatsko</w:t>
            </w:r>
            <w:proofErr w:type="spellEnd"/>
            <w:r w:rsidRPr="000802E3">
              <w:rPr>
                <w:rFonts w:ascii="Arial" w:hAnsi="Arial" w:cs="Arial"/>
                <w:b/>
                <w:bCs/>
                <w:sz w:val="20"/>
                <w:szCs w:val="20"/>
                <w:lang w:val="en-US"/>
              </w:rPr>
              <w:t xml:space="preserve"> </w:t>
            </w:r>
            <w:proofErr w:type="spellStart"/>
            <w:r w:rsidRPr="000802E3">
              <w:rPr>
                <w:rFonts w:ascii="Arial" w:hAnsi="Arial" w:cs="Arial"/>
                <w:b/>
                <w:bCs/>
                <w:sz w:val="20"/>
                <w:szCs w:val="20"/>
                <w:lang w:val="en-US"/>
              </w:rPr>
              <w:t>kulturno-umjetničko</w:t>
            </w:r>
            <w:proofErr w:type="spellEnd"/>
            <w:r w:rsidRPr="000802E3">
              <w:rPr>
                <w:rFonts w:ascii="Arial" w:hAnsi="Arial" w:cs="Arial"/>
                <w:b/>
                <w:bCs/>
                <w:sz w:val="20"/>
                <w:szCs w:val="20"/>
                <w:lang w:val="en-US"/>
              </w:rPr>
              <w:t xml:space="preserve"> </w:t>
            </w:r>
            <w:proofErr w:type="spellStart"/>
            <w:r w:rsidRPr="000802E3">
              <w:rPr>
                <w:rFonts w:ascii="Arial" w:hAnsi="Arial" w:cs="Arial"/>
                <w:b/>
                <w:bCs/>
                <w:sz w:val="20"/>
                <w:szCs w:val="20"/>
                <w:lang w:val="en-US"/>
              </w:rPr>
              <w:t>društvo</w:t>
            </w:r>
            <w:proofErr w:type="spellEnd"/>
            <w:r w:rsidRPr="000802E3">
              <w:rPr>
                <w:rFonts w:ascii="Arial" w:hAnsi="Arial" w:cs="Arial"/>
                <w:b/>
                <w:bCs/>
                <w:sz w:val="20"/>
                <w:szCs w:val="20"/>
                <w:lang w:val="en-US"/>
              </w:rPr>
              <w:t xml:space="preserve"> "</w:t>
            </w:r>
            <w:proofErr w:type="spellStart"/>
            <w:r w:rsidRPr="000802E3">
              <w:rPr>
                <w:rFonts w:ascii="Arial" w:hAnsi="Arial" w:cs="Arial"/>
                <w:b/>
                <w:bCs/>
                <w:sz w:val="20"/>
                <w:szCs w:val="20"/>
                <w:lang w:val="en-US"/>
              </w:rPr>
              <w:t>Rodoč</w:t>
            </w:r>
            <w:proofErr w:type="spellEnd"/>
            <w:r w:rsidRPr="000802E3">
              <w:rPr>
                <w:rFonts w:ascii="Arial" w:hAnsi="Arial" w:cs="Arial"/>
                <w:b/>
                <w:bCs/>
                <w:sz w:val="20"/>
                <w:szCs w:val="20"/>
                <w:lang w:val="en-US"/>
              </w:rPr>
              <w:t xml:space="preserve">" </w:t>
            </w:r>
            <w:r w:rsidRPr="000802E3">
              <w:rPr>
                <w:rFonts w:ascii="Arial" w:hAnsi="Arial" w:cs="Arial"/>
                <w:b/>
                <w:bCs/>
                <w:sz w:val="20"/>
                <w:szCs w:val="20"/>
                <w:lang w:val="en-US"/>
              </w:rPr>
              <w:br/>
            </w:r>
            <w:r w:rsidRPr="000802E3">
              <w:rPr>
                <w:rFonts w:ascii="Arial" w:hAnsi="Arial" w:cs="Arial"/>
                <w:sz w:val="20"/>
                <w:szCs w:val="20"/>
                <w:lang w:val="en-US"/>
              </w:rPr>
              <w:t>Croatian Cultural and Artistic Society - HKUD "</w:t>
            </w:r>
            <w:proofErr w:type="spellStart"/>
            <w:r w:rsidRPr="000802E3">
              <w:rPr>
                <w:rFonts w:ascii="Arial" w:hAnsi="Arial" w:cs="Arial"/>
                <w:sz w:val="20"/>
                <w:szCs w:val="20"/>
                <w:lang w:val="en-US"/>
              </w:rPr>
              <w:t>Rodoč</w:t>
            </w:r>
            <w:proofErr w:type="spellEnd"/>
            <w:r w:rsidRPr="000802E3">
              <w:rPr>
                <w:rFonts w:ascii="Arial" w:hAnsi="Arial" w:cs="Arial"/>
                <w:sz w:val="20"/>
                <w:szCs w:val="20"/>
                <w:lang w:val="en-US"/>
              </w:rPr>
              <w:t>"</w:t>
            </w:r>
          </w:p>
        </w:tc>
        <w:tc>
          <w:tcPr>
            <w:tcW w:w="1092" w:type="pct"/>
            <w:noWrap/>
            <w:vAlign w:val="center"/>
            <w:hideMark/>
          </w:tcPr>
          <w:p w14:paraId="2A59F8D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Bosnie-Herzégovine</w:t>
            </w:r>
          </w:p>
        </w:tc>
        <w:tc>
          <w:tcPr>
            <w:tcW w:w="779" w:type="pct"/>
            <w:noWrap/>
            <w:vAlign w:val="center"/>
            <w:hideMark/>
          </w:tcPr>
          <w:p w14:paraId="58AD469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NGO-90638</w:t>
            </w:r>
          </w:p>
        </w:tc>
      </w:tr>
      <w:tr w:rsidR="0064406D" w:rsidRPr="006C163B" w14:paraId="3D9363C3" w14:textId="77777777" w:rsidTr="00B77B0C">
        <w:trPr>
          <w:trHeight w:val="624"/>
        </w:trPr>
        <w:tc>
          <w:tcPr>
            <w:tcW w:w="3129" w:type="pct"/>
            <w:gridSpan w:val="2"/>
            <w:noWrap/>
            <w:vAlign w:val="center"/>
            <w:hideMark/>
          </w:tcPr>
          <w:p w14:paraId="0C748C84"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Intangible </w:t>
            </w:r>
            <w:proofErr w:type="spellStart"/>
            <w:r w:rsidRPr="006C163B">
              <w:rPr>
                <w:rFonts w:ascii="Arial" w:hAnsi="Arial" w:cs="Arial"/>
                <w:b/>
                <w:bCs/>
                <w:sz w:val="20"/>
                <w:szCs w:val="20"/>
              </w:rPr>
              <w:t>Heritage</w:t>
            </w:r>
            <w:proofErr w:type="spellEnd"/>
            <w:r w:rsidRPr="006C163B">
              <w:rPr>
                <w:rFonts w:ascii="Arial" w:hAnsi="Arial" w:cs="Arial"/>
                <w:b/>
                <w:bCs/>
                <w:sz w:val="20"/>
                <w:szCs w:val="20"/>
              </w:rPr>
              <w:t xml:space="preserve"> Association</w:t>
            </w:r>
          </w:p>
        </w:tc>
        <w:tc>
          <w:tcPr>
            <w:tcW w:w="1092" w:type="pct"/>
            <w:noWrap/>
            <w:vAlign w:val="center"/>
            <w:hideMark/>
          </w:tcPr>
          <w:p w14:paraId="6E3F4FA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Arabie saoudite</w:t>
            </w:r>
          </w:p>
        </w:tc>
        <w:tc>
          <w:tcPr>
            <w:tcW w:w="779" w:type="pct"/>
            <w:noWrap/>
            <w:vAlign w:val="center"/>
            <w:hideMark/>
          </w:tcPr>
          <w:p w14:paraId="0DDEF61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NGO-90610</w:t>
            </w:r>
          </w:p>
        </w:tc>
      </w:tr>
      <w:tr w:rsidR="0064406D" w:rsidRPr="006C163B" w14:paraId="080590AA" w14:textId="77777777" w:rsidTr="00B77B0C">
        <w:trPr>
          <w:trHeight w:val="624"/>
        </w:trPr>
        <w:tc>
          <w:tcPr>
            <w:tcW w:w="3129" w:type="pct"/>
            <w:gridSpan w:val="2"/>
            <w:noWrap/>
            <w:vAlign w:val="center"/>
            <w:hideMark/>
          </w:tcPr>
          <w:p w14:paraId="5A670B67"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İstanbul </w:t>
            </w:r>
            <w:proofErr w:type="spellStart"/>
            <w:r w:rsidRPr="006C163B">
              <w:rPr>
                <w:rFonts w:ascii="Arial" w:hAnsi="Arial" w:cs="Arial"/>
                <w:b/>
                <w:bCs/>
                <w:sz w:val="20"/>
                <w:szCs w:val="20"/>
              </w:rPr>
              <w:t>Kültürlerarası</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Sanat</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Diyalogları</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Derneği</w:t>
            </w:r>
            <w:proofErr w:type="spellEnd"/>
            <w:r w:rsidRPr="006C163B">
              <w:rPr>
                <w:rFonts w:ascii="Arial" w:hAnsi="Arial" w:cs="Arial"/>
                <w:b/>
                <w:bCs/>
                <w:sz w:val="20"/>
                <w:szCs w:val="20"/>
              </w:rPr>
              <w:t xml:space="preserve"> - IKASD </w:t>
            </w:r>
            <w:r w:rsidRPr="006C163B">
              <w:rPr>
                <w:rFonts w:ascii="Arial" w:hAnsi="Arial" w:cs="Arial"/>
                <w:b/>
                <w:bCs/>
                <w:sz w:val="20"/>
                <w:szCs w:val="20"/>
              </w:rPr>
              <w:br/>
            </w:r>
            <w:r w:rsidRPr="006C163B">
              <w:rPr>
                <w:rFonts w:ascii="Arial" w:hAnsi="Arial" w:cs="Arial"/>
                <w:sz w:val="20"/>
                <w:szCs w:val="20"/>
              </w:rPr>
              <w:t xml:space="preserve">Istanbul </w:t>
            </w:r>
            <w:proofErr w:type="spellStart"/>
            <w:r w:rsidRPr="006C163B">
              <w:rPr>
                <w:rFonts w:ascii="Arial" w:hAnsi="Arial" w:cs="Arial"/>
                <w:sz w:val="20"/>
                <w:szCs w:val="20"/>
              </w:rPr>
              <w:t>Intercultural</w:t>
            </w:r>
            <w:proofErr w:type="spellEnd"/>
            <w:r w:rsidRPr="006C163B">
              <w:rPr>
                <w:rFonts w:ascii="Arial" w:hAnsi="Arial" w:cs="Arial"/>
                <w:sz w:val="20"/>
                <w:szCs w:val="20"/>
              </w:rPr>
              <w:t xml:space="preserve"> Art Dialogues Association - IKASD</w:t>
            </w:r>
          </w:p>
        </w:tc>
        <w:tc>
          <w:tcPr>
            <w:tcW w:w="1092" w:type="pct"/>
            <w:noWrap/>
            <w:vAlign w:val="center"/>
            <w:hideMark/>
          </w:tcPr>
          <w:p w14:paraId="3E2D46E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6A061FF9"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NGO-90641</w:t>
            </w:r>
          </w:p>
        </w:tc>
      </w:tr>
      <w:tr w:rsidR="0064406D" w:rsidRPr="006C163B" w14:paraId="03C933EA" w14:textId="77777777" w:rsidTr="00B77B0C">
        <w:trPr>
          <w:trHeight w:val="624"/>
        </w:trPr>
        <w:tc>
          <w:tcPr>
            <w:tcW w:w="3129" w:type="pct"/>
            <w:gridSpan w:val="2"/>
            <w:noWrap/>
            <w:vAlign w:val="center"/>
            <w:hideMark/>
          </w:tcPr>
          <w:p w14:paraId="588B913D"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Itinérance Méditerranée</w:t>
            </w:r>
          </w:p>
        </w:tc>
        <w:tc>
          <w:tcPr>
            <w:tcW w:w="1092" w:type="pct"/>
            <w:noWrap/>
            <w:vAlign w:val="center"/>
            <w:hideMark/>
          </w:tcPr>
          <w:p w14:paraId="7D4FB5E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76039DC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NGO-90650</w:t>
            </w:r>
          </w:p>
        </w:tc>
      </w:tr>
      <w:tr w:rsidR="0064406D" w:rsidRPr="006C163B" w14:paraId="2FACA200" w14:textId="77777777" w:rsidTr="00B77B0C">
        <w:trPr>
          <w:trHeight w:val="624"/>
        </w:trPr>
        <w:tc>
          <w:tcPr>
            <w:tcW w:w="3129" w:type="pct"/>
            <w:gridSpan w:val="2"/>
            <w:noWrap/>
            <w:vAlign w:val="center"/>
            <w:hideMark/>
          </w:tcPr>
          <w:p w14:paraId="58D95047"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KADAM</w:t>
            </w:r>
          </w:p>
        </w:tc>
        <w:tc>
          <w:tcPr>
            <w:tcW w:w="1092" w:type="pct"/>
            <w:noWrap/>
            <w:vAlign w:val="center"/>
            <w:hideMark/>
          </w:tcPr>
          <w:p w14:paraId="23E99D7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Inde</w:t>
            </w:r>
          </w:p>
        </w:tc>
        <w:tc>
          <w:tcPr>
            <w:tcW w:w="779" w:type="pct"/>
            <w:noWrap/>
            <w:vAlign w:val="center"/>
            <w:hideMark/>
          </w:tcPr>
          <w:p w14:paraId="5449D63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NGO-90602</w:t>
            </w:r>
          </w:p>
        </w:tc>
      </w:tr>
      <w:tr w:rsidR="0064406D" w:rsidRPr="006C163B" w14:paraId="0FF9DDA9" w14:textId="77777777" w:rsidTr="00B77B0C">
        <w:trPr>
          <w:trHeight w:val="290"/>
        </w:trPr>
        <w:tc>
          <w:tcPr>
            <w:tcW w:w="3126" w:type="pct"/>
            <w:noWrap/>
            <w:vAlign w:val="center"/>
            <w:hideMark/>
          </w:tcPr>
          <w:p w14:paraId="0CCFAA8D"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Karagöz</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Derneği</w:t>
            </w:r>
            <w:proofErr w:type="spellEnd"/>
            <w:r w:rsidRPr="006C163B">
              <w:rPr>
                <w:rFonts w:ascii="Arial" w:hAnsi="Arial" w:cs="Arial"/>
                <w:b/>
                <w:bCs/>
                <w:sz w:val="20"/>
                <w:szCs w:val="20"/>
              </w:rPr>
              <w:br/>
            </w:r>
            <w:proofErr w:type="spellStart"/>
            <w:r w:rsidRPr="006C163B">
              <w:rPr>
                <w:rFonts w:ascii="Arial" w:hAnsi="Arial" w:cs="Arial"/>
                <w:sz w:val="20"/>
                <w:szCs w:val="20"/>
              </w:rPr>
              <w:t>Karagöz</w:t>
            </w:r>
            <w:proofErr w:type="spellEnd"/>
            <w:r w:rsidRPr="006C163B">
              <w:rPr>
                <w:rFonts w:ascii="Arial" w:hAnsi="Arial" w:cs="Arial"/>
                <w:sz w:val="20"/>
                <w:szCs w:val="20"/>
              </w:rPr>
              <w:t xml:space="preserve"> Association</w:t>
            </w:r>
          </w:p>
        </w:tc>
        <w:tc>
          <w:tcPr>
            <w:tcW w:w="1095" w:type="pct"/>
            <w:gridSpan w:val="2"/>
            <w:noWrap/>
            <w:vAlign w:val="center"/>
            <w:hideMark/>
          </w:tcPr>
          <w:p w14:paraId="15CEA0D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32FC313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NGO-90677</w:t>
            </w:r>
          </w:p>
        </w:tc>
      </w:tr>
      <w:tr w:rsidR="0064406D" w:rsidRPr="006C163B" w14:paraId="7E674451" w14:textId="77777777" w:rsidTr="00B77B0C">
        <w:trPr>
          <w:trHeight w:val="624"/>
        </w:trPr>
        <w:tc>
          <w:tcPr>
            <w:tcW w:w="3129" w:type="pct"/>
            <w:gridSpan w:val="2"/>
            <w:noWrap/>
            <w:vAlign w:val="center"/>
            <w:hideMark/>
          </w:tcPr>
          <w:p w14:paraId="7FB95077"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Kattaikkuttu</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Sangam</w:t>
            </w:r>
            <w:proofErr w:type="spellEnd"/>
          </w:p>
        </w:tc>
        <w:tc>
          <w:tcPr>
            <w:tcW w:w="1092" w:type="pct"/>
            <w:noWrap/>
            <w:vAlign w:val="center"/>
            <w:hideMark/>
          </w:tcPr>
          <w:p w14:paraId="0350EEA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Inde</w:t>
            </w:r>
          </w:p>
        </w:tc>
        <w:tc>
          <w:tcPr>
            <w:tcW w:w="779" w:type="pct"/>
            <w:noWrap/>
            <w:vAlign w:val="center"/>
            <w:hideMark/>
          </w:tcPr>
          <w:p w14:paraId="52E0353D"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NGO-90612</w:t>
            </w:r>
          </w:p>
        </w:tc>
      </w:tr>
      <w:tr w:rsidR="0064406D" w:rsidRPr="006C163B" w14:paraId="0817A726" w14:textId="77777777" w:rsidTr="00B77B0C">
        <w:trPr>
          <w:trHeight w:val="290"/>
        </w:trPr>
        <w:tc>
          <w:tcPr>
            <w:tcW w:w="3126" w:type="pct"/>
            <w:noWrap/>
            <w:vAlign w:val="center"/>
          </w:tcPr>
          <w:p w14:paraId="5AB4E27E"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Kgosi Sechele I Museum Trust</w:t>
            </w:r>
          </w:p>
        </w:tc>
        <w:tc>
          <w:tcPr>
            <w:tcW w:w="1095" w:type="pct"/>
            <w:gridSpan w:val="2"/>
            <w:noWrap/>
            <w:vAlign w:val="center"/>
          </w:tcPr>
          <w:p w14:paraId="6861DA6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Botswana</w:t>
            </w:r>
          </w:p>
        </w:tc>
        <w:tc>
          <w:tcPr>
            <w:tcW w:w="779" w:type="pct"/>
            <w:noWrap/>
            <w:vAlign w:val="center"/>
          </w:tcPr>
          <w:p w14:paraId="0D04B16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NGO-90647</w:t>
            </w:r>
          </w:p>
        </w:tc>
      </w:tr>
      <w:tr w:rsidR="0064406D" w:rsidRPr="006C163B" w14:paraId="36B17E77" w14:textId="77777777" w:rsidTr="00B77B0C">
        <w:trPr>
          <w:trHeight w:val="624"/>
        </w:trPr>
        <w:tc>
          <w:tcPr>
            <w:tcW w:w="3129" w:type="pct"/>
            <w:gridSpan w:val="2"/>
            <w:noWrap/>
            <w:vAlign w:val="center"/>
            <w:hideMark/>
          </w:tcPr>
          <w:p w14:paraId="0E741CA6"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Les Gardiens du Patrimoine Culturel de </w:t>
            </w:r>
            <w:proofErr w:type="spellStart"/>
            <w:r w:rsidRPr="006C163B">
              <w:rPr>
                <w:rFonts w:ascii="Arial" w:hAnsi="Arial" w:cs="Arial"/>
                <w:b/>
                <w:bCs/>
                <w:sz w:val="20"/>
                <w:szCs w:val="20"/>
              </w:rPr>
              <w:t>Domoni</w:t>
            </w:r>
            <w:proofErr w:type="spellEnd"/>
            <w:r w:rsidRPr="006C163B">
              <w:rPr>
                <w:rFonts w:ascii="Arial" w:hAnsi="Arial" w:cs="Arial"/>
                <w:b/>
                <w:bCs/>
                <w:sz w:val="20"/>
                <w:szCs w:val="20"/>
              </w:rPr>
              <w:t xml:space="preserve"> - GPCD</w:t>
            </w:r>
          </w:p>
        </w:tc>
        <w:tc>
          <w:tcPr>
            <w:tcW w:w="1092" w:type="pct"/>
            <w:noWrap/>
            <w:vAlign w:val="center"/>
            <w:hideMark/>
          </w:tcPr>
          <w:p w14:paraId="177BB67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Comores</w:t>
            </w:r>
          </w:p>
        </w:tc>
        <w:tc>
          <w:tcPr>
            <w:tcW w:w="779" w:type="pct"/>
            <w:noWrap/>
            <w:vAlign w:val="center"/>
            <w:hideMark/>
          </w:tcPr>
          <w:p w14:paraId="0014BD5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NGO-90676</w:t>
            </w:r>
          </w:p>
        </w:tc>
      </w:tr>
      <w:tr w:rsidR="0064406D" w:rsidRPr="006C163B" w14:paraId="4DA577B9" w14:textId="77777777" w:rsidTr="00B77B0C">
        <w:trPr>
          <w:trHeight w:val="624"/>
        </w:trPr>
        <w:tc>
          <w:tcPr>
            <w:tcW w:w="3129" w:type="pct"/>
            <w:gridSpan w:val="2"/>
            <w:noWrap/>
            <w:vAlign w:val="center"/>
            <w:hideMark/>
          </w:tcPr>
          <w:p w14:paraId="524D615D"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Lietuvos</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antropologų</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asociacija</w:t>
            </w:r>
            <w:proofErr w:type="spellEnd"/>
            <w:r w:rsidRPr="006C163B">
              <w:rPr>
                <w:rFonts w:ascii="Arial" w:hAnsi="Arial" w:cs="Arial"/>
                <w:b/>
                <w:bCs/>
                <w:sz w:val="20"/>
                <w:szCs w:val="20"/>
              </w:rPr>
              <w:t xml:space="preserve"> - LAA </w:t>
            </w:r>
            <w:r w:rsidRPr="006C163B">
              <w:rPr>
                <w:rFonts w:ascii="Arial" w:hAnsi="Arial" w:cs="Arial"/>
                <w:b/>
                <w:bCs/>
                <w:sz w:val="20"/>
                <w:szCs w:val="20"/>
              </w:rPr>
              <w:br/>
            </w:r>
            <w:proofErr w:type="spellStart"/>
            <w:r w:rsidRPr="006C163B">
              <w:rPr>
                <w:rFonts w:ascii="Arial" w:hAnsi="Arial" w:cs="Arial"/>
                <w:sz w:val="20"/>
                <w:szCs w:val="20"/>
              </w:rPr>
              <w:t>Lithuanian</w:t>
            </w:r>
            <w:proofErr w:type="spellEnd"/>
            <w:r w:rsidRPr="006C163B">
              <w:rPr>
                <w:rFonts w:ascii="Arial" w:hAnsi="Arial" w:cs="Arial"/>
                <w:sz w:val="20"/>
                <w:szCs w:val="20"/>
              </w:rPr>
              <w:t xml:space="preserve"> </w:t>
            </w:r>
            <w:proofErr w:type="spellStart"/>
            <w:r w:rsidRPr="006C163B">
              <w:rPr>
                <w:rFonts w:ascii="Arial" w:hAnsi="Arial" w:cs="Arial"/>
                <w:sz w:val="20"/>
                <w:szCs w:val="20"/>
              </w:rPr>
              <w:t>Anthropological</w:t>
            </w:r>
            <w:proofErr w:type="spellEnd"/>
            <w:r w:rsidRPr="006C163B">
              <w:rPr>
                <w:rFonts w:ascii="Arial" w:hAnsi="Arial" w:cs="Arial"/>
                <w:sz w:val="20"/>
                <w:szCs w:val="20"/>
              </w:rPr>
              <w:t xml:space="preserve"> Association - LAA</w:t>
            </w:r>
          </w:p>
        </w:tc>
        <w:tc>
          <w:tcPr>
            <w:tcW w:w="1092" w:type="pct"/>
            <w:noWrap/>
            <w:vAlign w:val="center"/>
            <w:hideMark/>
          </w:tcPr>
          <w:p w14:paraId="7D9D14D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Lituanie</w:t>
            </w:r>
          </w:p>
        </w:tc>
        <w:tc>
          <w:tcPr>
            <w:tcW w:w="779" w:type="pct"/>
            <w:noWrap/>
            <w:vAlign w:val="center"/>
            <w:hideMark/>
          </w:tcPr>
          <w:p w14:paraId="0E36213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NGO-90655</w:t>
            </w:r>
          </w:p>
        </w:tc>
      </w:tr>
      <w:tr w:rsidR="0064406D" w:rsidRPr="006C163B" w14:paraId="50114B37" w14:textId="77777777" w:rsidTr="00B77B0C">
        <w:trPr>
          <w:trHeight w:val="290"/>
        </w:trPr>
        <w:tc>
          <w:tcPr>
            <w:tcW w:w="3126" w:type="pct"/>
            <w:noWrap/>
            <w:vAlign w:val="center"/>
            <w:hideMark/>
          </w:tcPr>
          <w:p w14:paraId="5FEEE340"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Memoar</w:t>
            </w:r>
            <w:proofErr w:type="spellEnd"/>
          </w:p>
        </w:tc>
        <w:tc>
          <w:tcPr>
            <w:tcW w:w="1095" w:type="pct"/>
            <w:gridSpan w:val="2"/>
            <w:noWrap/>
            <w:vAlign w:val="center"/>
            <w:hideMark/>
          </w:tcPr>
          <w:p w14:paraId="6A90EF6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Norvège</w:t>
            </w:r>
          </w:p>
        </w:tc>
        <w:tc>
          <w:tcPr>
            <w:tcW w:w="779" w:type="pct"/>
            <w:noWrap/>
            <w:vAlign w:val="center"/>
            <w:hideMark/>
          </w:tcPr>
          <w:p w14:paraId="553E3F5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NGO-90652</w:t>
            </w:r>
          </w:p>
        </w:tc>
      </w:tr>
      <w:tr w:rsidR="0064406D" w:rsidRPr="006C163B" w14:paraId="5670F1A1" w14:textId="77777777" w:rsidTr="00B77B0C">
        <w:trPr>
          <w:trHeight w:val="624"/>
        </w:trPr>
        <w:tc>
          <w:tcPr>
            <w:tcW w:w="3129" w:type="pct"/>
            <w:gridSpan w:val="2"/>
            <w:noWrap/>
            <w:vAlign w:val="center"/>
            <w:hideMark/>
          </w:tcPr>
          <w:p w14:paraId="427F6FEC"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Mim </w:t>
            </w:r>
            <w:proofErr w:type="spellStart"/>
            <w:r w:rsidRPr="006C163B">
              <w:rPr>
                <w:rFonts w:ascii="Arial" w:hAnsi="Arial" w:cs="Arial"/>
                <w:b/>
                <w:bCs/>
                <w:sz w:val="20"/>
                <w:szCs w:val="20"/>
              </w:rPr>
              <w:t>Sanat</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Derneği</w:t>
            </w:r>
            <w:proofErr w:type="spellEnd"/>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Mim Art Association</w:t>
            </w:r>
          </w:p>
        </w:tc>
        <w:tc>
          <w:tcPr>
            <w:tcW w:w="1092" w:type="pct"/>
            <w:noWrap/>
            <w:vAlign w:val="center"/>
            <w:hideMark/>
          </w:tcPr>
          <w:p w14:paraId="2DF57CA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3DBB532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NGO-90654</w:t>
            </w:r>
          </w:p>
        </w:tc>
      </w:tr>
      <w:tr w:rsidR="0064406D" w:rsidRPr="006C163B" w14:paraId="5EB063DF" w14:textId="77777777" w:rsidTr="00B77B0C">
        <w:trPr>
          <w:trHeight w:val="290"/>
        </w:trPr>
        <w:tc>
          <w:tcPr>
            <w:tcW w:w="3126" w:type="pct"/>
            <w:noWrap/>
            <w:vAlign w:val="center"/>
            <w:hideMark/>
          </w:tcPr>
          <w:p w14:paraId="45F282C2"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lastRenderedPageBreak/>
              <w:t xml:space="preserve">National Association of Garinagu Teachers - Garinagu </w:t>
            </w:r>
            <w:proofErr w:type="spellStart"/>
            <w:r w:rsidRPr="006C163B">
              <w:rPr>
                <w:rFonts w:ascii="Arial" w:hAnsi="Arial" w:cs="Arial"/>
                <w:b/>
                <w:bCs/>
                <w:sz w:val="20"/>
                <w:szCs w:val="20"/>
                <w:lang w:val="en-GB"/>
              </w:rPr>
              <w:t>Dundei</w:t>
            </w:r>
            <w:proofErr w:type="spellEnd"/>
          </w:p>
        </w:tc>
        <w:tc>
          <w:tcPr>
            <w:tcW w:w="1095" w:type="pct"/>
            <w:gridSpan w:val="2"/>
            <w:noWrap/>
            <w:vAlign w:val="center"/>
            <w:hideMark/>
          </w:tcPr>
          <w:p w14:paraId="038F1B1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Guatemala</w:t>
            </w:r>
          </w:p>
        </w:tc>
        <w:tc>
          <w:tcPr>
            <w:tcW w:w="779" w:type="pct"/>
            <w:noWrap/>
            <w:vAlign w:val="center"/>
            <w:hideMark/>
          </w:tcPr>
          <w:p w14:paraId="240E968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NGO-90603</w:t>
            </w:r>
          </w:p>
        </w:tc>
      </w:tr>
      <w:tr w:rsidR="0064406D" w:rsidRPr="006C163B" w14:paraId="29DBFEFD" w14:textId="77777777" w:rsidTr="00B77B0C">
        <w:trPr>
          <w:trHeight w:val="290"/>
        </w:trPr>
        <w:tc>
          <w:tcPr>
            <w:tcW w:w="3126" w:type="pct"/>
            <w:noWrap/>
            <w:vAlign w:val="center"/>
          </w:tcPr>
          <w:p w14:paraId="2FF444C5"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Norsk </w:t>
            </w:r>
            <w:proofErr w:type="spellStart"/>
            <w:r w:rsidRPr="006C163B">
              <w:rPr>
                <w:rFonts w:ascii="Arial" w:hAnsi="Arial" w:cs="Arial"/>
                <w:b/>
                <w:bCs/>
                <w:sz w:val="20"/>
                <w:szCs w:val="20"/>
                <w:lang w:val="en-GB"/>
              </w:rPr>
              <w:t>folkedraktforum</w:t>
            </w:r>
            <w:proofErr w:type="spellEnd"/>
            <w:r w:rsidRPr="006C163B">
              <w:rPr>
                <w:rFonts w:ascii="Arial" w:hAnsi="Arial" w:cs="Arial"/>
                <w:b/>
                <w:bCs/>
                <w:sz w:val="20"/>
                <w:szCs w:val="20"/>
                <w:lang w:val="en-GB"/>
              </w:rPr>
              <w:br/>
            </w:r>
            <w:r w:rsidRPr="006C163B">
              <w:rPr>
                <w:rFonts w:ascii="Arial" w:hAnsi="Arial" w:cs="Arial"/>
                <w:sz w:val="20"/>
                <w:szCs w:val="20"/>
                <w:lang w:val="en-GB"/>
              </w:rPr>
              <w:t>Forum for National Costumes in Norway</w:t>
            </w:r>
          </w:p>
        </w:tc>
        <w:tc>
          <w:tcPr>
            <w:tcW w:w="1095" w:type="pct"/>
            <w:gridSpan w:val="2"/>
            <w:noWrap/>
            <w:vAlign w:val="center"/>
          </w:tcPr>
          <w:p w14:paraId="48FEFC7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Norvège</w:t>
            </w:r>
          </w:p>
        </w:tc>
        <w:tc>
          <w:tcPr>
            <w:tcW w:w="779" w:type="pct"/>
            <w:noWrap/>
            <w:vAlign w:val="center"/>
          </w:tcPr>
          <w:p w14:paraId="7928B60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NGO-90598</w:t>
            </w:r>
          </w:p>
        </w:tc>
      </w:tr>
      <w:tr w:rsidR="0064406D" w:rsidRPr="006C163B" w14:paraId="660CCE14" w14:textId="77777777" w:rsidTr="00B77B0C">
        <w:trPr>
          <w:trHeight w:val="624"/>
        </w:trPr>
        <w:tc>
          <w:tcPr>
            <w:tcW w:w="3129" w:type="pct"/>
            <w:gridSpan w:val="2"/>
            <w:noWrap/>
            <w:vAlign w:val="center"/>
            <w:hideMark/>
          </w:tcPr>
          <w:p w14:paraId="77D1FEA8"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ONG Génération </w:t>
            </w:r>
            <w:proofErr w:type="spellStart"/>
            <w:r w:rsidRPr="006C163B">
              <w:rPr>
                <w:rFonts w:ascii="Arial" w:hAnsi="Arial" w:cs="Arial"/>
                <w:b/>
                <w:bCs/>
                <w:sz w:val="20"/>
                <w:szCs w:val="20"/>
              </w:rPr>
              <w:t>Ekang</w:t>
            </w:r>
            <w:proofErr w:type="spellEnd"/>
            <w:r w:rsidRPr="006C163B">
              <w:rPr>
                <w:rFonts w:ascii="Arial" w:hAnsi="Arial" w:cs="Arial"/>
                <w:b/>
                <w:bCs/>
                <w:sz w:val="20"/>
                <w:szCs w:val="20"/>
              </w:rPr>
              <w:t xml:space="preserve"> - GEK</w:t>
            </w:r>
          </w:p>
        </w:tc>
        <w:tc>
          <w:tcPr>
            <w:tcW w:w="1092" w:type="pct"/>
            <w:noWrap/>
            <w:vAlign w:val="center"/>
            <w:hideMark/>
          </w:tcPr>
          <w:p w14:paraId="4E236F9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Gabon</w:t>
            </w:r>
          </w:p>
        </w:tc>
        <w:tc>
          <w:tcPr>
            <w:tcW w:w="779" w:type="pct"/>
            <w:noWrap/>
            <w:vAlign w:val="center"/>
            <w:hideMark/>
          </w:tcPr>
          <w:p w14:paraId="407BBCF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NGO-90649</w:t>
            </w:r>
          </w:p>
        </w:tc>
      </w:tr>
      <w:tr w:rsidR="0064406D" w:rsidRPr="006C163B" w14:paraId="4AE9C759" w14:textId="77777777" w:rsidTr="00B77B0C">
        <w:trPr>
          <w:trHeight w:val="290"/>
        </w:trPr>
        <w:tc>
          <w:tcPr>
            <w:tcW w:w="3126" w:type="pct"/>
            <w:noWrap/>
            <w:vAlign w:val="center"/>
          </w:tcPr>
          <w:p w14:paraId="144AD59F" w14:textId="77777777" w:rsidR="0064406D" w:rsidRPr="006C163B" w:rsidRDefault="0064406D"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Persatuan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Penggiat</w:t>
            </w:r>
            <w:proofErr w:type="spellEnd"/>
            <w:r w:rsidRPr="006C163B">
              <w:rPr>
                <w:rFonts w:ascii="Arial" w:hAnsi="Arial" w:cs="Arial"/>
                <w:b/>
                <w:bCs/>
                <w:sz w:val="20"/>
                <w:szCs w:val="20"/>
                <w:lang w:val="en-GB"/>
              </w:rPr>
              <w:t xml:space="preserve"> Seni Dan Kebudayaan Malaysia Kuching</w:t>
            </w:r>
            <w:r w:rsidRPr="006C163B">
              <w:rPr>
                <w:rFonts w:ascii="Arial" w:hAnsi="Arial" w:cs="Arial"/>
                <w:b/>
                <w:bCs/>
                <w:sz w:val="20"/>
                <w:szCs w:val="20"/>
                <w:lang w:val="en-GB"/>
              </w:rPr>
              <w:br/>
            </w:r>
            <w:r w:rsidRPr="006C163B">
              <w:rPr>
                <w:rFonts w:ascii="Arial" w:hAnsi="Arial" w:cs="Arial"/>
                <w:sz w:val="20"/>
                <w:szCs w:val="20"/>
                <w:lang w:val="en-GB"/>
              </w:rPr>
              <w:t xml:space="preserve">Malaysia Arts </w:t>
            </w:r>
            <w:proofErr w:type="gramStart"/>
            <w:r w:rsidRPr="006C163B">
              <w:rPr>
                <w:rFonts w:ascii="Arial" w:hAnsi="Arial" w:cs="Arial"/>
                <w:sz w:val="20"/>
                <w:szCs w:val="20"/>
                <w:lang w:val="en-GB"/>
              </w:rPr>
              <w:t>And</w:t>
            </w:r>
            <w:proofErr w:type="gramEnd"/>
            <w:r w:rsidRPr="006C163B">
              <w:rPr>
                <w:rFonts w:ascii="Arial" w:hAnsi="Arial" w:cs="Arial"/>
                <w:sz w:val="20"/>
                <w:szCs w:val="20"/>
                <w:lang w:val="en-GB"/>
              </w:rPr>
              <w:t xml:space="preserve"> Cultural Practitioners Association Kuching – MACPA</w:t>
            </w:r>
          </w:p>
        </w:tc>
        <w:tc>
          <w:tcPr>
            <w:tcW w:w="1095" w:type="pct"/>
            <w:gridSpan w:val="2"/>
            <w:noWrap/>
            <w:vAlign w:val="center"/>
          </w:tcPr>
          <w:p w14:paraId="15F1EE0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Malaisie</w:t>
            </w:r>
          </w:p>
        </w:tc>
        <w:tc>
          <w:tcPr>
            <w:tcW w:w="779" w:type="pct"/>
            <w:noWrap/>
            <w:vAlign w:val="center"/>
          </w:tcPr>
          <w:p w14:paraId="7D4493D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NGO-90669</w:t>
            </w:r>
          </w:p>
        </w:tc>
      </w:tr>
      <w:tr w:rsidR="0064406D" w:rsidRPr="006C163B" w14:paraId="2CABB281" w14:textId="77777777" w:rsidTr="00B77B0C">
        <w:trPr>
          <w:trHeight w:val="624"/>
        </w:trPr>
        <w:tc>
          <w:tcPr>
            <w:tcW w:w="3129" w:type="pct"/>
            <w:gridSpan w:val="2"/>
            <w:noWrap/>
            <w:vAlign w:val="center"/>
            <w:hideMark/>
          </w:tcPr>
          <w:p w14:paraId="05918C8F" w14:textId="77777777" w:rsidR="0064406D" w:rsidRPr="006C163B" w:rsidRDefault="0064406D"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Persatuan</w:t>
            </w:r>
            <w:proofErr w:type="spellEnd"/>
            <w:r w:rsidRPr="006C163B">
              <w:rPr>
                <w:rFonts w:ascii="Arial" w:hAnsi="Arial" w:cs="Arial"/>
                <w:b/>
                <w:bCs/>
                <w:sz w:val="20"/>
                <w:szCs w:val="20"/>
                <w:lang w:val="en-GB"/>
              </w:rPr>
              <w:t xml:space="preserve"> Peranakan Baba Nyonya Malaysia </w:t>
            </w:r>
            <w:r w:rsidRPr="006C163B">
              <w:rPr>
                <w:rFonts w:ascii="Arial" w:hAnsi="Arial" w:cs="Arial"/>
                <w:b/>
                <w:bCs/>
                <w:sz w:val="20"/>
                <w:szCs w:val="20"/>
                <w:lang w:val="en-GB"/>
              </w:rPr>
              <w:br/>
            </w:r>
            <w:r w:rsidRPr="006C163B">
              <w:rPr>
                <w:rFonts w:ascii="Arial" w:hAnsi="Arial" w:cs="Arial"/>
                <w:sz w:val="20"/>
                <w:szCs w:val="20"/>
                <w:lang w:val="en-GB"/>
              </w:rPr>
              <w:t>Baba Nyonya Association of Malaysia</w:t>
            </w:r>
          </w:p>
        </w:tc>
        <w:tc>
          <w:tcPr>
            <w:tcW w:w="1092" w:type="pct"/>
            <w:noWrap/>
            <w:vAlign w:val="center"/>
            <w:hideMark/>
          </w:tcPr>
          <w:p w14:paraId="3BC9FAA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Malaisie</w:t>
            </w:r>
          </w:p>
        </w:tc>
        <w:tc>
          <w:tcPr>
            <w:tcW w:w="779" w:type="pct"/>
            <w:noWrap/>
            <w:vAlign w:val="center"/>
            <w:hideMark/>
          </w:tcPr>
          <w:p w14:paraId="4EA1B50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NGO-90651</w:t>
            </w:r>
          </w:p>
        </w:tc>
      </w:tr>
      <w:tr w:rsidR="0064406D" w:rsidRPr="006C163B" w14:paraId="5C16922C" w14:textId="77777777" w:rsidTr="00B77B0C">
        <w:trPr>
          <w:trHeight w:val="624"/>
        </w:trPr>
        <w:tc>
          <w:tcPr>
            <w:tcW w:w="3129" w:type="pct"/>
            <w:gridSpan w:val="2"/>
            <w:noWrap/>
            <w:vAlign w:val="center"/>
            <w:hideMark/>
          </w:tcPr>
          <w:p w14:paraId="51EBBF3A"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Pinelands</w:t>
            </w:r>
            <w:proofErr w:type="spellEnd"/>
            <w:r w:rsidRPr="006C163B">
              <w:rPr>
                <w:rFonts w:ascii="Arial" w:hAnsi="Arial" w:cs="Arial"/>
                <w:b/>
                <w:bCs/>
                <w:sz w:val="20"/>
                <w:szCs w:val="20"/>
              </w:rPr>
              <w:t xml:space="preserve"> Creative Workshop - PCW</w:t>
            </w:r>
          </w:p>
        </w:tc>
        <w:tc>
          <w:tcPr>
            <w:tcW w:w="1092" w:type="pct"/>
            <w:noWrap/>
            <w:vAlign w:val="center"/>
            <w:hideMark/>
          </w:tcPr>
          <w:p w14:paraId="5C13EF0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Barbade</w:t>
            </w:r>
          </w:p>
        </w:tc>
        <w:tc>
          <w:tcPr>
            <w:tcW w:w="779" w:type="pct"/>
            <w:noWrap/>
            <w:vAlign w:val="center"/>
            <w:hideMark/>
          </w:tcPr>
          <w:p w14:paraId="03C5F36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NGO-90607</w:t>
            </w:r>
          </w:p>
        </w:tc>
      </w:tr>
      <w:tr w:rsidR="0064406D" w:rsidRPr="006C163B" w14:paraId="5756D651" w14:textId="77777777" w:rsidTr="00B77B0C">
        <w:trPr>
          <w:trHeight w:val="290"/>
        </w:trPr>
        <w:tc>
          <w:tcPr>
            <w:tcW w:w="3126" w:type="pct"/>
            <w:noWrap/>
            <w:vAlign w:val="center"/>
          </w:tcPr>
          <w:p w14:paraId="68F29C31"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Poetawango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Spoken</w:t>
            </w:r>
            <w:proofErr w:type="spellEnd"/>
            <w:r w:rsidRPr="006C163B">
              <w:rPr>
                <w:rFonts w:ascii="Arial" w:hAnsi="Arial" w:cs="Arial"/>
                <w:b/>
                <w:bCs/>
                <w:sz w:val="20"/>
                <w:szCs w:val="20"/>
              </w:rPr>
              <w:t xml:space="preserve"> Word </w:t>
            </w:r>
            <w:proofErr w:type="spellStart"/>
            <w:r w:rsidRPr="006C163B">
              <w:rPr>
                <w:rFonts w:ascii="Arial" w:hAnsi="Arial" w:cs="Arial"/>
                <w:b/>
                <w:bCs/>
                <w:sz w:val="20"/>
                <w:szCs w:val="20"/>
              </w:rPr>
              <w:t>Poetry</w:t>
            </w:r>
            <w:proofErr w:type="spellEnd"/>
          </w:p>
        </w:tc>
        <w:tc>
          <w:tcPr>
            <w:tcW w:w="1095" w:type="pct"/>
            <w:gridSpan w:val="2"/>
            <w:noWrap/>
            <w:vAlign w:val="center"/>
          </w:tcPr>
          <w:p w14:paraId="3E5EE77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Botswana</w:t>
            </w:r>
          </w:p>
        </w:tc>
        <w:tc>
          <w:tcPr>
            <w:tcW w:w="779" w:type="pct"/>
            <w:noWrap/>
            <w:vAlign w:val="center"/>
          </w:tcPr>
          <w:p w14:paraId="59E23D4F"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NGO-90646</w:t>
            </w:r>
          </w:p>
        </w:tc>
      </w:tr>
      <w:tr w:rsidR="0064406D" w:rsidRPr="006C163B" w14:paraId="28FE4180" w14:textId="77777777" w:rsidTr="00B77B0C">
        <w:trPr>
          <w:trHeight w:val="624"/>
        </w:trPr>
        <w:tc>
          <w:tcPr>
            <w:tcW w:w="3129" w:type="pct"/>
            <w:gridSpan w:val="2"/>
            <w:noWrap/>
            <w:vAlign w:val="center"/>
            <w:hideMark/>
          </w:tcPr>
          <w:p w14:paraId="3968BA5E"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Proyecto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Impacto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Consultores</w:t>
            </w:r>
            <w:proofErr w:type="spellEnd"/>
          </w:p>
        </w:tc>
        <w:tc>
          <w:tcPr>
            <w:tcW w:w="1092" w:type="pct"/>
            <w:noWrap/>
            <w:vAlign w:val="center"/>
            <w:hideMark/>
          </w:tcPr>
          <w:p w14:paraId="01C272E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Mexique</w:t>
            </w:r>
          </w:p>
        </w:tc>
        <w:tc>
          <w:tcPr>
            <w:tcW w:w="779" w:type="pct"/>
            <w:noWrap/>
            <w:vAlign w:val="center"/>
            <w:hideMark/>
          </w:tcPr>
          <w:p w14:paraId="1BBFD29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NGO-90663</w:t>
            </w:r>
          </w:p>
        </w:tc>
      </w:tr>
      <w:tr w:rsidR="0064406D" w:rsidRPr="006C163B" w14:paraId="57199928" w14:textId="77777777" w:rsidTr="00B77B0C">
        <w:trPr>
          <w:trHeight w:val="624"/>
        </w:trPr>
        <w:tc>
          <w:tcPr>
            <w:tcW w:w="3129" w:type="pct"/>
            <w:gridSpan w:val="2"/>
            <w:noWrap/>
            <w:vAlign w:val="center"/>
            <w:hideMark/>
          </w:tcPr>
          <w:p w14:paraId="3D238BCA"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Sevenadurioù</w:t>
            </w:r>
            <w:proofErr w:type="spellEnd"/>
            <w:r w:rsidRPr="006C163B">
              <w:rPr>
                <w:rFonts w:ascii="Arial" w:hAnsi="Arial" w:cs="Arial"/>
                <w:b/>
                <w:bCs/>
                <w:sz w:val="20"/>
                <w:szCs w:val="20"/>
              </w:rPr>
              <w:t xml:space="preserve"> Breizh </w:t>
            </w:r>
            <w:r w:rsidRPr="006C163B">
              <w:rPr>
                <w:rFonts w:ascii="Arial" w:hAnsi="Arial" w:cs="Arial"/>
                <w:b/>
                <w:bCs/>
                <w:sz w:val="20"/>
                <w:szCs w:val="20"/>
              </w:rPr>
              <w:br/>
            </w:r>
            <w:r w:rsidRPr="006C163B">
              <w:rPr>
                <w:rFonts w:ascii="Arial" w:hAnsi="Arial" w:cs="Arial"/>
                <w:sz w:val="20"/>
                <w:szCs w:val="20"/>
              </w:rPr>
              <w:t>Bretagne Culture Diversité - BCD</w:t>
            </w:r>
          </w:p>
        </w:tc>
        <w:tc>
          <w:tcPr>
            <w:tcW w:w="1092" w:type="pct"/>
            <w:noWrap/>
            <w:vAlign w:val="center"/>
            <w:hideMark/>
          </w:tcPr>
          <w:p w14:paraId="17B6986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53008C7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NGO-90614</w:t>
            </w:r>
          </w:p>
        </w:tc>
      </w:tr>
      <w:tr w:rsidR="0064406D" w:rsidRPr="006C163B" w14:paraId="7C813FC3" w14:textId="77777777" w:rsidTr="00B77B0C">
        <w:trPr>
          <w:trHeight w:val="290"/>
        </w:trPr>
        <w:tc>
          <w:tcPr>
            <w:tcW w:w="3126" w:type="pct"/>
            <w:noWrap/>
            <w:vAlign w:val="center"/>
            <w:hideMark/>
          </w:tcPr>
          <w:p w14:paraId="0C156AE7"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Slow Food Bergen</w:t>
            </w:r>
          </w:p>
        </w:tc>
        <w:tc>
          <w:tcPr>
            <w:tcW w:w="1095" w:type="pct"/>
            <w:gridSpan w:val="2"/>
            <w:noWrap/>
            <w:vAlign w:val="center"/>
            <w:hideMark/>
          </w:tcPr>
          <w:p w14:paraId="2CB2CB7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Norvège</w:t>
            </w:r>
          </w:p>
        </w:tc>
        <w:tc>
          <w:tcPr>
            <w:tcW w:w="779" w:type="pct"/>
            <w:noWrap/>
            <w:vAlign w:val="center"/>
            <w:hideMark/>
          </w:tcPr>
          <w:p w14:paraId="6233E912" w14:textId="7ED45C8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NGO-90660</w:t>
            </w:r>
          </w:p>
        </w:tc>
      </w:tr>
      <w:tr w:rsidR="0064406D" w:rsidRPr="006C163B" w14:paraId="0A7A0085" w14:textId="77777777" w:rsidTr="00B77B0C">
        <w:trPr>
          <w:trHeight w:val="624"/>
        </w:trPr>
        <w:tc>
          <w:tcPr>
            <w:tcW w:w="3129" w:type="pct"/>
            <w:gridSpan w:val="2"/>
            <w:noWrap/>
            <w:vAlign w:val="center"/>
            <w:hideMark/>
          </w:tcPr>
          <w:p w14:paraId="05780F15"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Stichting</w:t>
            </w:r>
            <w:proofErr w:type="spellEnd"/>
            <w:r w:rsidRPr="006C163B">
              <w:rPr>
                <w:rFonts w:ascii="Arial" w:hAnsi="Arial" w:cs="Arial"/>
                <w:b/>
                <w:bCs/>
                <w:sz w:val="20"/>
                <w:szCs w:val="20"/>
              </w:rPr>
              <w:t xml:space="preserve"> Caravane </w:t>
            </w:r>
            <w:proofErr w:type="spellStart"/>
            <w:r w:rsidRPr="006C163B">
              <w:rPr>
                <w:rFonts w:ascii="Arial" w:hAnsi="Arial" w:cs="Arial"/>
                <w:b/>
                <w:bCs/>
                <w:sz w:val="20"/>
                <w:szCs w:val="20"/>
              </w:rPr>
              <w:t>Earth</w:t>
            </w:r>
            <w:proofErr w:type="spellEnd"/>
          </w:p>
        </w:tc>
        <w:tc>
          <w:tcPr>
            <w:tcW w:w="1092" w:type="pct"/>
            <w:noWrap/>
            <w:vAlign w:val="center"/>
            <w:hideMark/>
          </w:tcPr>
          <w:p w14:paraId="69E75A30"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 xml:space="preserve">Pays-Bas </w:t>
            </w:r>
            <w:r w:rsidRPr="006C163B">
              <w:rPr>
                <w:rFonts w:ascii="Arial" w:hAnsi="Arial" w:cs="Arial"/>
                <w:sz w:val="20"/>
                <w:szCs w:val="20"/>
              </w:rPr>
              <w:br/>
              <w:t>(Royaume des)</w:t>
            </w:r>
          </w:p>
        </w:tc>
        <w:tc>
          <w:tcPr>
            <w:tcW w:w="779" w:type="pct"/>
            <w:noWrap/>
            <w:vAlign w:val="center"/>
            <w:hideMark/>
          </w:tcPr>
          <w:p w14:paraId="6B7BE12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NGO-90601</w:t>
            </w:r>
          </w:p>
        </w:tc>
      </w:tr>
      <w:tr w:rsidR="0064406D" w:rsidRPr="006C163B" w14:paraId="65CFD41F" w14:textId="77777777" w:rsidTr="00B77B0C">
        <w:trPr>
          <w:trHeight w:val="290"/>
        </w:trPr>
        <w:tc>
          <w:tcPr>
            <w:tcW w:w="3126" w:type="pct"/>
            <w:noWrap/>
            <w:vAlign w:val="center"/>
          </w:tcPr>
          <w:p w14:paraId="0572B654" w14:textId="77777777" w:rsidR="0064406D" w:rsidRPr="006C163B" w:rsidRDefault="0064406D"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Stiftelsen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Länsmuseet</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Västernorrland</w:t>
            </w:r>
            <w:proofErr w:type="spellEnd"/>
            <w:r w:rsidRPr="006C163B">
              <w:rPr>
                <w:rFonts w:ascii="Arial" w:hAnsi="Arial" w:cs="Arial"/>
                <w:b/>
                <w:bCs/>
                <w:sz w:val="20"/>
                <w:szCs w:val="20"/>
                <w:lang w:val="en-GB"/>
              </w:rPr>
              <w:br/>
            </w:r>
            <w:proofErr w:type="spellStart"/>
            <w:r w:rsidRPr="006C163B">
              <w:rPr>
                <w:rFonts w:ascii="Arial" w:hAnsi="Arial" w:cs="Arial"/>
                <w:sz w:val="20"/>
                <w:szCs w:val="20"/>
                <w:lang w:val="en-GB"/>
              </w:rPr>
              <w:t>Västernorrland</w:t>
            </w:r>
            <w:proofErr w:type="spellEnd"/>
            <w:r w:rsidRPr="006C163B">
              <w:rPr>
                <w:rFonts w:ascii="Arial" w:hAnsi="Arial" w:cs="Arial"/>
                <w:sz w:val="20"/>
                <w:szCs w:val="20"/>
                <w:lang w:val="en-GB"/>
              </w:rPr>
              <w:t xml:space="preserve"> County Museum Foundation</w:t>
            </w:r>
          </w:p>
        </w:tc>
        <w:tc>
          <w:tcPr>
            <w:tcW w:w="1095" w:type="pct"/>
            <w:gridSpan w:val="2"/>
            <w:noWrap/>
            <w:vAlign w:val="center"/>
          </w:tcPr>
          <w:p w14:paraId="1CC956F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Suède</w:t>
            </w:r>
          </w:p>
        </w:tc>
        <w:tc>
          <w:tcPr>
            <w:tcW w:w="779" w:type="pct"/>
            <w:noWrap/>
            <w:vAlign w:val="center"/>
          </w:tcPr>
          <w:p w14:paraId="731ACA4D"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NGO-90626</w:t>
            </w:r>
          </w:p>
        </w:tc>
      </w:tr>
      <w:tr w:rsidR="0064406D" w:rsidRPr="006C163B" w14:paraId="722A8D22" w14:textId="77777777" w:rsidTr="00B77B0C">
        <w:trPr>
          <w:trHeight w:val="624"/>
        </w:trPr>
        <w:tc>
          <w:tcPr>
            <w:tcW w:w="3129" w:type="pct"/>
            <w:gridSpan w:val="2"/>
            <w:noWrap/>
            <w:vAlign w:val="center"/>
            <w:hideMark/>
          </w:tcPr>
          <w:p w14:paraId="710995AE"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Sylvia Lanka </w:t>
            </w:r>
            <w:proofErr w:type="spellStart"/>
            <w:r w:rsidRPr="006C163B">
              <w:rPr>
                <w:rFonts w:ascii="Arial" w:hAnsi="Arial" w:cs="Arial"/>
                <w:b/>
                <w:bCs/>
                <w:sz w:val="20"/>
                <w:szCs w:val="20"/>
              </w:rPr>
              <w:t>Foundation</w:t>
            </w:r>
            <w:proofErr w:type="spellEnd"/>
            <w:r w:rsidRPr="006C163B">
              <w:rPr>
                <w:rFonts w:ascii="Arial" w:hAnsi="Arial" w:cs="Arial"/>
                <w:b/>
                <w:bCs/>
                <w:sz w:val="20"/>
                <w:szCs w:val="20"/>
              </w:rPr>
              <w:t xml:space="preserve"> - SLF</w:t>
            </w:r>
          </w:p>
        </w:tc>
        <w:tc>
          <w:tcPr>
            <w:tcW w:w="1092" w:type="pct"/>
            <w:noWrap/>
            <w:vAlign w:val="center"/>
            <w:hideMark/>
          </w:tcPr>
          <w:p w14:paraId="17C02E0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779" w:type="pct"/>
            <w:noWrap/>
            <w:vAlign w:val="center"/>
            <w:hideMark/>
          </w:tcPr>
          <w:p w14:paraId="42B34353"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NGO-90605</w:t>
            </w:r>
          </w:p>
        </w:tc>
      </w:tr>
      <w:tr w:rsidR="0064406D" w:rsidRPr="006C163B" w14:paraId="7C6F692B" w14:textId="77777777" w:rsidTr="00B77B0C">
        <w:trPr>
          <w:trHeight w:val="624"/>
        </w:trPr>
        <w:tc>
          <w:tcPr>
            <w:tcW w:w="3129" w:type="pct"/>
            <w:gridSpan w:val="2"/>
            <w:noWrap/>
            <w:vAlign w:val="center"/>
            <w:hideMark/>
          </w:tcPr>
          <w:p w14:paraId="65754437"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t xml:space="preserve">Théâtre des Arts Vivants - TAV </w:t>
            </w:r>
            <w:r w:rsidRPr="006C163B">
              <w:rPr>
                <w:rFonts w:ascii="Arial" w:hAnsi="Arial" w:cs="Arial"/>
                <w:b/>
                <w:bCs/>
                <w:sz w:val="20"/>
                <w:szCs w:val="20"/>
              </w:rPr>
              <w:br/>
            </w:r>
            <w:r w:rsidRPr="006C163B">
              <w:rPr>
                <w:rFonts w:ascii="Arial" w:hAnsi="Arial" w:cs="Arial"/>
                <w:sz w:val="20"/>
                <w:szCs w:val="20"/>
              </w:rPr>
              <w:t xml:space="preserve">Living Arts </w:t>
            </w:r>
            <w:proofErr w:type="spellStart"/>
            <w:r w:rsidRPr="006C163B">
              <w:rPr>
                <w:rFonts w:ascii="Arial" w:hAnsi="Arial" w:cs="Arial"/>
                <w:sz w:val="20"/>
                <w:szCs w:val="20"/>
              </w:rPr>
              <w:t>Theatre</w:t>
            </w:r>
            <w:proofErr w:type="spellEnd"/>
          </w:p>
        </w:tc>
        <w:tc>
          <w:tcPr>
            <w:tcW w:w="1092" w:type="pct"/>
            <w:noWrap/>
            <w:vAlign w:val="center"/>
            <w:hideMark/>
          </w:tcPr>
          <w:p w14:paraId="5EC6DD5A"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0E26AAB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NGO-90680</w:t>
            </w:r>
          </w:p>
        </w:tc>
      </w:tr>
      <w:tr w:rsidR="0064406D" w:rsidRPr="006C163B" w14:paraId="0C7607AE" w14:textId="77777777" w:rsidTr="00B77B0C">
        <w:trPr>
          <w:trHeight w:val="290"/>
        </w:trPr>
        <w:tc>
          <w:tcPr>
            <w:tcW w:w="3126" w:type="pct"/>
            <w:noWrap/>
            <w:vAlign w:val="center"/>
            <w:hideMark/>
          </w:tcPr>
          <w:p w14:paraId="59229626"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Trung </w:t>
            </w:r>
            <w:proofErr w:type="spellStart"/>
            <w:r w:rsidRPr="006C163B">
              <w:rPr>
                <w:rFonts w:ascii="Arial" w:hAnsi="Arial" w:cs="Arial"/>
                <w:b/>
                <w:bCs/>
                <w:sz w:val="20"/>
                <w:szCs w:val="20"/>
                <w:lang w:val="en-GB"/>
              </w:rPr>
              <w:t>tâm</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Nghiên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cứu</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và</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Phát</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huy</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giá</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trị</w:t>
            </w:r>
            <w:proofErr w:type="spellEnd"/>
            <w:r w:rsidRPr="006C163B">
              <w:rPr>
                <w:rFonts w:ascii="Arial" w:hAnsi="Arial" w:cs="Arial"/>
                <w:b/>
                <w:bCs/>
                <w:sz w:val="20"/>
                <w:szCs w:val="20"/>
                <w:lang w:val="en-GB"/>
              </w:rPr>
              <w:t xml:space="preserve"> di </w:t>
            </w:r>
            <w:proofErr w:type="spellStart"/>
            <w:r w:rsidRPr="006C163B">
              <w:rPr>
                <w:rFonts w:ascii="Arial" w:hAnsi="Arial" w:cs="Arial"/>
                <w:b/>
                <w:bCs/>
                <w:sz w:val="20"/>
                <w:szCs w:val="20"/>
                <w:lang w:val="en-GB"/>
              </w:rPr>
              <w:t>sản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văn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hóa</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proofErr w:type="spellStart"/>
            <w:r w:rsidRPr="006C163B">
              <w:rPr>
                <w:rFonts w:ascii="Arial" w:hAnsi="Arial" w:cs="Arial"/>
                <w:sz w:val="20"/>
                <w:szCs w:val="20"/>
                <w:lang w:val="en-GB"/>
              </w:rPr>
              <w:t>Center</w:t>
            </w:r>
            <w:proofErr w:type="spellEnd"/>
            <w:r w:rsidRPr="006C163B">
              <w:rPr>
                <w:rFonts w:ascii="Arial" w:hAnsi="Arial" w:cs="Arial"/>
                <w:sz w:val="20"/>
                <w:szCs w:val="20"/>
                <w:lang w:val="en-GB"/>
              </w:rPr>
              <w:t xml:space="preserve"> for Research and Promotion of Cultural Heritage - CCH</w:t>
            </w:r>
          </w:p>
        </w:tc>
        <w:tc>
          <w:tcPr>
            <w:tcW w:w="1095" w:type="pct"/>
            <w:gridSpan w:val="2"/>
            <w:noWrap/>
            <w:vAlign w:val="center"/>
            <w:hideMark/>
          </w:tcPr>
          <w:p w14:paraId="1EE70FA4"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Viet Nam</w:t>
            </w:r>
          </w:p>
        </w:tc>
        <w:tc>
          <w:tcPr>
            <w:tcW w:w="779" w:type="pct"/>
            <w:noWrap/>
            <w:vAlign w:val="center"/>
            <w:hideMark/>
          </w:tcPr>
          <w:p w14:paraId="214FC64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NGO-90666</w:t>
            </w:r>
          </w:p>
        </w:tc>
      </w:tr>
      <w:tr w:rsidR="0064406D" w:rsidRPr="006C163B" w14:paraId="5D6E15B7" w14:textId="77777777" w:rsidTr="00B77B0C">
        <w:trPr>
          <w:trHeight w:val="290"/>
        </w:trPr>
        <w:tc>
          <w:tcPr>
            <w:tcW w:w="3126" w:type="pct"/>
            <w:noWrap/>
            <w:vAlign w:val="center"/>
          </w:tcPr>
          <w:p w14:paraId="2711640C" w14:textId="77777777" w:rsidR="0064406D" w:rsidRPr="006C163B" w:rsidRDefault="0064406D"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Udruženje</w:t>
            </w:r>
            <w:proofErr w:type="spellEnd"/>
            <w:r w:rsidRPr="006C163B">
              <w:rPr>
                <w:rFonts w:ascii="Arial" w:hAnsi="Arial" w:cs="Arial"/>
                <w:b/>
                <w:bCs/>
                <w:sz w:val="20"/>
                <w:szCs w:val="20"/>
                <w:lang w:val="en-GB"/>
              </w:rPr>
              <w:t xml:space="preserve"> za </w:t>
            </w:r>
            <w:proofErr w:type="spellStart"/>
            <w:r w:rsidRPr="006C163B">
              <w:rPr>
                <w:rFonts w:ascii="Arial" w:hAnsi="Arial" w:cs="Arial"/>
                <w:b/>
                <w:bCs/>
                <w:sz w:val="20"/>
                <w:szCs w:val="20"/>
                <w:lang w:val="en-GB"/>
              </w:rPr>
              <w:t>istraživanje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očuvanje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i</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prezentaciju</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tradicije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i</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kulturne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baštine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naroda</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i</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nacionalnih</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manjina</w:t>
            </w:r>
            <w:proofErr w:type="spellEnd"/>
            <w:r w:rsidRPr="006C163B">
              <w:rPr>
                <w:rFonts w:ascii="Arial" w:hAnsi="Arial" w:cs="Arial"/>
                <w:b/>
                <w:bCs/>
                <w:sz w:val="20"/>
                <w:szCs w:val="20"/>
                <w:lang w:val="en-GB"/>
              </w:rPr>
              <w:br/>
            </w:r>
            <w:r w:rsidRPr="006C163B">
              <w:rPr>
                <w:rFonts w:ascii="Arial" w:hAnsi="Arial" w:cs="Arial"/>
                <w:sz w:val="20"/>
                <w:szCs w:val="20"/>
                <w:lang w:val="en-GB"/>
              </w:rPr>
              <w:t>Association for research, preservation and presentation of the tradition and cultural heritage of the people and national minorities</w:t>
            </w:r>
          </w:p>
        </w:tc>
        <w:tc>
          <w:tcPr>
            <w:tcW w:w="1095" w:type="pct"/>
            <w:gridSpan w:val="2"/>
            <w:noWrap/>
            <w:vAlign w:val="center"/>
          </w:tcPr>
          <w:p w14:paraId="6137DEEC"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Bosnie-Herzégovine</w:t>
            </w:r>
          </w:p>
        </w:tc>
        <w:tc>
          <w:tcPr>
            <w:tcW w:w="779" w:type="pct"/>
            <w:noWrap/>
            <w:vAlign w:val="center"/>
          </w:tcPr>
          <w:p w14:paraId="376FF74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NGO-90636</w:t>
            </w:r>
          </w:p>
        </w:tc>
      </w:tr>
      <w:tr w:rsidR="0064406D" w:rsidRPr="006C163B" w14:paraId="4491AF01" w14:textId="77777777" w:rsidTr="00B77B0C">
        <w:trPr>
          <w:trHeight w:val="290"/>
        </w:trPr>
        <w:tc>
          <w:tcPr>
            <w:tcW w:w="3126" w:type="pct"/>
            <w:noWrap/>
            <w:vAlign w:val="center"/>
            <w:hideMark/>
          </w:tcPr>
          <w:p w14:paraId="6343ECCA" w14:textId="77777777" w:rsidR="0064406D" w:rsidRPr="0064406D" w:rsidRDefault="0064406D" w:rsidP="00B77B0C">
            <w:pPr>
              <w:spacing w:before="120" w:after="120"/>
              <w:rPr>
                <w:rFonts w:ascii="Arial" w:hAnsi="Arial" w:cs="Arial"/>
                <w:b/>
                <w:bCs/>
                <w:sz w:val="20"/>
                <w:szCs w:val="20"/>
                <w:lang w:val="it-IT"/>
              </w:rPr>
            </w:pPr>
            <w:r w:rsidRPr="0064406D">
              <w:rPr>
                <w:rFonts w:ascii="Arial" w:hAnsi="Arial" w:cs="Arial"/>
                <w:b/>
                <w:bCs/>
                <w:sz w:val="20"/>
                <w:szCs w:val="20"/>
                <w:lang w:val="it-IT"/>
              </w:rPr>
              <w:t xml:space="preserve">UNIMA Türkiye Millî Merkezi </w:t>
            </w:r>
            <w:r w:rsidRPr="0064406D">
              <w:rPr>
                <w:rFonts w:ascii="Arial" w:hAnsi="Arial" w:cs="Arial"/>
                <w:b/>
                <w:bCs/>
                <w:sz w:val="20"/>
                <w:szCs w:val="20"/>
                <w:lang w:val="it-IT"/>
              </w:rPr>
              <w:br/>
            </w:r>
            <w:r w:rsidRPr="0064406D">
              <w:rPr>
                <w:rFonts w:ascii="Arial" w:hAnsi="Arial" w:cs="Arial"/>
                <w:sz w:val="20"/>
                <w:szCs w:val="20"/>
                <w:lang w:val="it-IT"/>
              </w:rPr>
              <w:t>UNIMA Türkiye National Center</w:t>
            </w:r>
          </w:p>
        </w:tc>
        <w:tc>
          <w:tcPr>
            <w:tcW w:w="1095" w:type="pct"/>
            <w:gridSpan w:val="2"/>
            <w:noWrap/>
            <w:vAlign w:val="center"/>
            <w:hideMark/>
          </w:tcPr>
          <w:p w14:paraId="3FDFDD05"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0A2EE84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NGO-90673</w:t>
            </w:r>
          </w:p>
        </w:tc>
      </w:tr>
      <w:tr w:rsidR="0064406D" w:rsidRPr="006C163B" w14:paraId="255CC485" w14:textId="77777777" w:rsidTr="00B77B0C">
        <w:trPr>
          <w:trHeight w:val="290"/>
        </w:trPr>
        <w:tc>
          <w:tcPr>
            <w:tcW w:w="3126" w:type="pct"/>
            <w:noWrap/>
            <w:vAlign w:val="center"/>
            <w:hideMark/>
          </w:tcPr>
          <w:p w14:paraId="23F39095" w14:textId="77777777" w:rsidR="0064406D" w:rsidRPr="006C163B" w:rsidRDefault="0064406D" w:rsidP="00B77B0C">
            <w:pPr>
              <w:spacing w:before="120" w:after="120"/>
              <w:rPr>
                <w:rFonts w:ascii="Arial" w:hAnsi="Arial" w:cs="Arial"/>
                <w:b/>
                <w:bCs/>
                <w:sz w:val="20"/>
                <w:szCs w:val="20"/>
                <w:lang w:val="en-GB"/>
              </w:rPr>
            </w:pPr>
            <w:r w:rsidRPr="006C163B">
              <w:rPr>
                <w:rFonts w:ascii="Arial" w:hAnsi="Arial" w:cs="Arial"/>
                <w:b/>
                <w:bCs/>
                <w:sz w:val="20"/>
                <w:szCs w:val="20"/>
                <w:lang w:val="en-GB"/>
              </w:rPr>
              <w:t>World Intangible Cultural Heritage Protection and Development Foundation, Inc. - WICHPDF</w:t>
            </w:r>
          </w:p>
        </w:tc>
        <w:tc>
          <w:tcPr>
            <w:tcW w:w="1095" w:type="pct"/>
            <w:gridSpan w:val="2"/>
            <w:noWrap/>
            <w:vAlign w:val="center"/>
            <w:hideMark/>
          </w:tcPr>
          <w:p w14:paraId="51FE6817"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États-Unis d’Amérique</w:t>
            </w:r>
          </w:p>
        </w:tc>
        <w:tc>
          <w:tcPr>
            <w:tcW w:w="779" w:type="pct"/>
            <w:noWrap/>
            <w:vAlign w:val="center"/>
            <w:hideMark/>
          </w:tcPr>
          <w:p w14:paraId="27EC0A88"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NGO-90685</w:t>
            </w:r>
          </w:p>
        </w:tc>
      </w:tr>
      <w:tr w:rsidR="0064406D" w:rsidRPr="006C163B" w14:paraId="2236883C" w14:textId="77777777" w:rsidTr="00B77B0C">
        <w:trPr>
          <w:trHeight w:val="290"/>
        </w:trPr>
        <w:tc>
          <w:tcPr>
            <w:tcW w:w="3126" w:type="pct"/>
            <w:noWrap/>
            <w:vAlign w:val="center"/>
          </w:tcPr>
          <w:p w14:paraId="72EBF63C"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Yolda</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Derneği</w:t>
            </w:r>
            <w:proofErr w:type="spellEnd"/>
            <w:r w:rsidRPr="006C163B">
              <w:rPr>
                <w:rFonts w:ascii="Arial" w:hAnsi="Arial" w:cs="Arial"/>
                <w:b/>
                <w:bCs/>
                <w:sz w:val="20"/>
                <w:szCs w:val="20"/>
              </w:rPr>
              <w:br/>
            </w:r>
            <w:proofErr w:type="spellStart"/>
            <w:r w:rsidRPr="006C163B">
              <w:rPr>
                <w:rFonts w:ascii="Arial" w:hAnsi="Arial" w:cs="Arial"/>
                <w:sz w:val="20"/>
                <w:szCs w:val="20"/>
              </w:rPr>
              <w:t>Yolda</w:t>
            </w:r>
            <w:proofErr w:type="spellEnd"/>
            <w:r w:rsidRPr="006C163B">
              <w:rPr>
                <w:rFonts w:ascii="Arial" w:hAnsi="Arial" w:cs="Arial"/>
                <w:sz w:val="20"/>
                <w:szCs w:val="20"/>
              </w:rPr>
              <w:t xml:space="preserve"> Association</w:t>
            </w:r>
            <w:r w:rsidRPr="006C163B">
              <w:rPr>
                <w:rFonts w:ascii="Arial" w:hAnsi="Arial" w:cs="Arial"/>
                <w:b/>
                <w:bCs/>
                <w:sz w:val="20"/>
                <w:szCs w:val="20"/>
              </w:rPr>
              <w:tab/>
            </w:r>
          </w:p>
        </w:tc>
        <w:tc>
          <w:tcPr>
            <w:tcW w:w="1095" w:type="pct"/>
            <w:gridSpan w:val="2"/>
            <w:noWrap/>
            <w:vAlign w:val="center"/>
          </w:tcPr>
          <w:p w14:paraId="6152466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tcPr>
          <w:p w14:paraId="2C6462F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NGO-90622</w:t>
            </w:r>
          </w:p>
        </w:tc>
      </w:tr>
      <w:tr w:rsidR="0064406D" w:rsidRPr="006C163B" w14:paraId="34AC1AAB" w14:textId="77777777" w:rsidTr="00B77B0C">
        <w:trPr>
          <w:trHeight w:val="624"/>
        </w:trPr>
        <w:tc>
          <w:tcPr>
            <w:tcW w:w="3129" w:type="pct"/>
            <w:gridSpan w:val="2"/>
            <w:noWrap/>
            <w:vAlign w:val="center"/>
            <w:hideMark/>
          </w:tcPr>
          <w:p w14:paraId="21153719" w14:textId="77777777" w:rsidR="0064406D" w:rsidRPr="006C163B" w:rsidRDefault="0064406D" w:rsidP="00B77B0C">
            <w:pPr>
              <w:spacing w:before="120" w:after="120"/>
              <w:rPr>
                <w:rFonts w:ascii="Arial" w:hAnsi="Arial" w:cs="Arial"/>
                <w:b/>
                <w:bCs/>
                <w:sz w:val="20"/>
                <w:szCs w:val="20"/>
              </w:rPr>
            </w:pPr>
            <w:r w:rsidRPr="006C163B">
              <w:rPr>
                <w:rFonts w:ascii="Arial" w:hAnsi="Arial" w:cs="Arial"/>
                <w:b/>
                <w:bCs/>
                <w:sz w:val="20"/>
                <w:szCs w:val="20"/>
              </w:rPr>
              <w:lastRenderedPageBreak/>
              <w:t xml:space="preserve">АЛЄМ </w:t>
            </w:r>
            <w:r w:rsidRPr="006C163B">
              <w:rPr>
                <w:rFonts w:ascii="Arial" w:hAnsi="Arial" w:cs="Arial"/>
                <w:b/>
                <w:bCs/>
                <w:sz w:val="20"/>
                <w:szCs w:val="20"/>
              </w:rPr>
              <w:br/>
            </w:r>
            <w:r w:rsidRPr="006C163B">
              <w:rPr>
                <w:rFonts w:ascii="Arial" w:hAnsi="Arial" w:cs="Arial"/>
                <w:sz w:val="20"/>
                <w:szCs w:val="20"/>
              </w:rPr>
              <w:t>ALEM</w:t>
            </w:r>
          </w:p>
        </w:tc>
        <w:tc>
          <w:tcPr>
            <w:tcW w:w="1092" w:type="pct"/>
            <w:noWrap/>
            <w:vAlign w:val="center"/>
            <w:hideMark/>
          </w:tcPr>
          <w:p w14:paraId="45EF70A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Ukraine</w:t>
            </w:r>
          </w:p>
        </w:tc>
        <w:tc>
          <w:tcPr>
            <w:tcW w:w="779" w:type="pct"/>
            <w:noWrap/>
            <w:vAlign w:val="center"/>
            <w:hideMark/>
          </w:tcPr>
          <w:p w14:paraId="0DC0B35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NGO-90609</w:t>
            </w:r>
          </w:p>
        </w:tc>
      </w:tr>
      <w:tr w:rsidR="0064406D" w:rsidRPr="006C163B" w14:paraId="1ED6B19F" w14:textId="77777777" w:rsidTr="00B77B0C">
        <w:trPr>
          <w:trHeight w:val="624"/>
        </w:trPr>
        <w:tc>
          <w:tcPr>
            <w:tcW w:w="3129" w:type="pct"/>
            <w:gridSpan w:val="2"/>
            <w:noWrap/>
            <w:vAlign w:val="center"/>
            <w:hideMark/>
          </w:tcPr>
          <w:p w14:paraId="4987EFB5" w14:textId="77777777" w:rsidR="0064406D" w:rsidRPr="006C163B" w:rsidRDefault="0064406D" w:rsidP="00B77B0C">
            <w:pPr>
              <w:spacing w:before="120" w:after="120"/>
              <w:rPr>
                <w:rFonts w:ascii="Arial" w:hAnsi="Arial" w:cs="Arial"/>
                <w:b/>
                <w:bCs/>
                <w:sz w:val="20"/>
                <w:szCs w:val="20"/>
              </w:rPr>
            </w:pPr>
            <w:proofErr w:type="spellStart"/>
            <w:r w:rsidRPr="006C163B">
              <w:rPr>
                <w:rFonts w:ascii="Arial" w:hAnsi="Arial" w:cs="Arial"/>
                <w:b/>
                <w:bCs/>
                <w:sz w:val="20"/>
                <w:szCs w:val="20"/>
              </w:rPr>
              <w:t>Մշակույթը</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հանուն</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կայուն</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զարգացման</w:t>
            </w:r>
            <w:proofErr w:type="spellEnd"/>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 xml:space="preserve">Culture for </w:t>
            </w:r>
            <w:proofErr w:type="spellStart"/>
            <w:r w:rsidRPr="006C163B">
              <w:rPr>
                <w:rFonts w:ascii="Arial" w:hAnsi="Arial" w:cs="Arial"/>
                <w:sz w:val="20"/>
                <w:szCs w:val="20"/>
              </w:rPr>
              <w:t>Sustainable</w:t>
            </w:r>
            <w:proofErr w:type="spellEnd"/>
            <w:r w:rsidRPr="006C163B">
              <w:rPr>
                <w:rFonts w:ascii="Arial" w:hAnsi="Arial" w:cs="Arial"/>
                <w:sz w:val="20"/>
                <w:szCs w:val="20"/>
              </w:rPr>
              <w:t xml:space="preserve"> </w:t>
            </w:r>
            <w:proofErr w:type="spellStart"/>
            <w:r w:rsidRPr="006C163B">
              <w:rPr>
                <w:rFonts w:ascii="Arial" w:hAnsi="Arial" w:cs="Arial"/>
                <w:sz w:val="20"/>
                <w:szCs w:val="20"/>
              </w:rPr>
              <w:t>Development</w:t>
            </w:r>
            <w:proofErr w:type="spellEnd"/>
          </w:p>
        </w:tc>
        <w:tc>
          <w:tcPr>
            <w:tcW w:w="1092" w:type="pct"/>
            <w:noWrap/>
            <w:vAlign w:val="center"/>
            <w:hideMark/>
          </w:tcPr>
          <w:p w14:paraId="7F03C792"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Arménie</w:t>
            </w:r>
          </w:p>
        </w:tc>
        <w:tc>
          <w:tcPr>
            <w:tcW w:w="779" w:type="pct"/>
            <w:noWrap/>
            <w:vAlign w:val="center"/>
            <w:hideMark/>
          </w:tcPr>
          <w:p w14:paraId="4F0C1D8E"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NGO-90632</w:t>
            </w:r>
          </w:p>
        </w:tc>
      </w:tr>
      <w:tr w:rsidR="0064406D" w:rsidRPr="006C163B" w14:paraId="6498101C" w14:textId="77777777" w:rsidTr="00B77B0C">
        <w:trPr>
          <w:trHeight w:val="624"/>
        </w:trPr>
        <w:tc>
          <w:tcPr>
            <w:tcW w:w="3129" w:type="pct"/>
            <w:gridSpan w:val="2"/>
            <w:noWrap/>
            <w:vAlign w:val="center"/>
            <w:hideMark/>
          </w:tcPr>
          <w:p w14:paraId="2D68DCDB" w14:textId="77777777" w:rsidR="0064406D" w:rsidRPr="006C163B" w:rsidRDefault="0064406D" w:rsidP="00B77B0C">
            <w:pPr>
              <w:spacing w:before="120" w:after="120"/>
              <w:rPr>
                <w:rFonts w:ascii="Arial" w:hAnsi="Arial" w:cs="Arial"/>
                <w:b/>
                <w:bCs/>
                <w:sz w:val="20"/>
                <w:szCs w:val="20"/>
              </w:rPr>
            </w:pPr>
            <w:r w:rsidRPr="006C163B">
              <w:rPr>
                <w:rFonts w:ascii="Nirmala UI" w:hAnsi="Nirmala UI" w:cs="Nirmala UI"/>
                <w:b/>
                <w:bCs/>
                <w:sz w:val="20"/>
                <w:szCs w:val="20"/>
                <w:cs/>
                <w:lang w:bidi="hi-IN"/>
              </w:rPr>
              <w:t>राजस्थान</w:t>
            </w:r>
            <w:r w:rsidRPr="006C163B">
              <w:rPr>
                <w:rFonts w:ascii="Arial" w:hAnsi="Arial" w:cs="Arial"/>
                <w:b/>
                <w:bCs/>
                <w:sz w:val="20"/>
                <w:szCs w:val="20"/>
              </w:rPr>
              <w:t xml:space="preserve"> </w:t>
            </w:r>
            <w:r w:rsidRPr="006C163B">
              <w:rPr>
                <w:rFonts w:ascii="Nirmala UI" w:hAnsi="Nirmala UI" w:cs="Nirmala UI"/>
                <w:b/>
                <w:bCs/>
                <w:sz w:val="20"/>
                <w:szCs w:val="20"/>
                <w:cs/>
                <w:lang w:bidi="hi-IN"/>
              </w:rPr>
              <w:t>समग्र</w:t>
            </w:r>
            <w:r w:rsidRPr="006C163B">
              <w:rPr>
                <w:rFonts w:ascii="Arial" w:hAnsi="Arial" w:cs="Arial"/>
                <w:b/>
                <w:bCs/>
                <w:sz w:val="20"/>
                <w:szCs w:val="20"/>
              </w:rPr>
              <w:t xml:space="preserve"> </w:t>
            </w:r>
            <w:r w:rsidRPr="006C163B">
              <w:rPr>
                <w:rFonts w:ascii="Nirmala UI" w:hAnsi="Nirmala UI" w:cs="Nirmala UI"/>
                <w:b/>
                <w:bCs/>
                <w:sz w:val="20"/>
                <w:szCs w:val="20"/>
                <w:cs/>
                <w:lang w:bidi="hi-IN"/>
              </w:rPr>
              <w:t>कल्याण</w:t>
            </w:r>
            <w:r w:rsidRPr="006C163B">
              <w:rPr>
                <w:rFonts w:ascii="Arial" w:hAnsi="Arial" w:cs="Arial"/>
                <w:b/>
                <w:bCs/>
                <w:sz w:val="20"/>
                <w:szCs w:val="20"/>
              </w:rPr>
              <w:t xml:space="preserve"> </w:t>
            </w:r>
            <w:r w:rsidRPr="006C163B">
              <w:rPr>
                <w:rFonts w:ascii="Nirmala UI" w:hAnsi="Nirmala UI" w:cs="Nirmala UI"/>
                <w:b/>
                <w:bCs/>
                <w:sz w:val="20"/>
                <w:szCs w:val="20"/>
                <w:cs/>
                <w:lang w:bidi="hi-IN"/>
              </w:rPr>
              <w:t>संस्थान</w:t>
            </w:r>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 xml:space="preserve">Rajasthan </w:t>
            </w:r>
            <w:proofErr w:type="spellStart"/>
            <w:r w:rsidRPr="006C163B">
              <w:rPr>
                <w:rFonts w:ascii="Arial" w:hAnsi="Arial" w:cs="Arial"/>
                <w:sz w:val="20"/>
                <w:szCs w:val="20"/>
              </w:rPr>
              <w:t>Samgrah</w:t>
            </w:r>
            <w:proofErr w:type="spellEnd"/>
            <w:r w:rsidRPr="006C163B">
              <w:rPr>
                <w:rFonts w:ascii="Arial" w:hAnsi="Arial" w:cs="Arial"/>
                <w:sz w:val="20"/>
                <w:szCs w:val="20"/>
              </w:rPr>
              <w:t xml:space="preserve"> Kalyan </w:t>
            </w:r>
            <w:proofErr w:type="spellStart"/>
            <w:r w:rsidRPr="006C163B">
              <w:rPr>
                <w:rFonts w:ascii="Arial" w:hAnsi="Arial" w:cs="Arial"/>
                <w:sz w:val="20"/>
                <w:szCs w:val="20"/>
              </w:rPr>
              <w:t>Sansthan</w:t>
            </w:r>
            <w:proofErr w:type="spellEnd"/>
            <w:r w:rsidRPr="006C163B">
              <w:rPr>
                <w:rFonts w:ascii="Arial" w:hAnsi="Arial" w:cs="Arial"/>
                <w:sz w:val="20"/>
                <w:szCs w:val="20"/>
              </w:rPr>
              <w:t xml:space="preserve"> - RSKS </w:t>
            </w:r>
            <w:proofErr w:type="spellStart"/>
            <w:r w:rsidRPr="006C163B">
              <w:rPr>
                <w:rFonts w:ascii="Arial" w:hAnsi="Arial" w:cs="Arial"/>
                <w:sz w:val="20"/>
                <w:szCs w:val="20"/>
              </w:rPr>
              <w:t>India</w:t>
            </w:r>
            <w:proofErr w:type="spellEnd"/>
          </w:p>
        </w:tc>
        <w:tc>
          <w:tcPr>
            <w:tcW w:w="1092" w:type="pct"/>
            <w:noWrap/>
            <w:vAlign w:val="center"/>
            <w:hideMark/>
          </w:tcPr>
          <w:p w14:paraId="2AED8AF6"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Inde</w:t>
            </w:r>
          </w:p>
        </w:tc>
        <w:tc>
          <w:tcPr>
            <w:tcW w:w="779" w:type="pct"/>
            <w:noWrap/>
            <w:vAlign w:val="center"/>
            <w:hideMark/>
          </w:tcPr>
          <w:p w14:paraId="75F8CB31"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NGO-90625</w:t>
            </w:r>
          </w:p>
        </w:tc>
      </w:tr>
      <w:tr w:rsidR="0064406D" w:rsidRPr="006C163B" w14:paraId="0BDF67C6" w14:textId="77777777" w:rsidTr="00B77B0C">
        <w:trPr>
          <w:trHeight w:val="290"/>
        </w:trPr>
        <w:tc>
          <w:tcPr>
            <w:tcW w:w="3126" w:type="pct"/>
            <w:noWrap/>
            <w:vAlign w:val="center"/>
            <w:hideMark/>
          </w:tcPr>
          <w:p w14:paraId="38AEDF02" w14:textId="77777777" w:rsidR="0064406D" w:rsidRPr="000802E3" w:rsidRDefault="0064406D" w:rsidP="00B77B0C">
            <w:pPr>
              <w:spacing w:before="120" w:after="120"/>
              <w:rPr>
                <w:rFonts w:ascii="Arial" w:hAnsi="Arial" w:cs="Arial"/>
                <w:b/>
                <w:bCs/>
                <w:sz w:val="20"/>
                <w:szCs w:val="20"/>
                <w:lang w:val="en-US"/>
              </w:rPr>
            </w:pPr>
            <w:proofErr w:type="spellStart"/>
            <w:r w:rsidRPr="006C163B">
              <w:rPr>
                <w:rFonts w:ascii="Arial" w:hAnsi="Arial" w:cs="Arial"/>
                <w:b/>
                <w:bCs/>
                <w:sz w:val="20"/>
                <w:szCs w:val="20"/>
                <w:rtl/>
              </w:rPr>
              <w:t>میراث</w:t>
            </w:r>
            <w:proofErr w:type="spellEnd"/>
            <w:r w:rsidRPr="006C163B">
              <w:rPr>
                <w:rFonts w:ascii="Arial" w:hAnsi="Arial" w:cs="Arial"/>
                <w:b/>
                <w:bCs/>
                <w:sz w:val="20"/>
                <w:szCs w:val="20"/>
                <w:rtl/>
              </w:rPr>
              <w:t xml:space="preserve"> داران </w:t>
            </w:r>
            <w:proofErr w:type="spellStart"/>
            <w:r w:rsidRPr="006C163B">
              <w:rPr>
                <w:rFonts w:ascii="Arial" w:hAnsi="Arial" w:cs="Arial"/>
                <w:b/>
                <w:bCs/>
                <w:sz w:val="20"/>
                <w:szCs w:val="20"/>
                <w:rtl/>
              </w:rPr>
              <w:t>فرهنگ</w:t>
            </w:r>
            <w:proofErr w:type="spellEnd"/>
            <w:r w:rsidRPr="006C163B">
              <w:rPr>
                <w:rFonts w:ascii="Arial" w:hAnsi="Arial" w:cs="Arial"/>
                <w:b/>
                <w:bCs/>
                <w:sz w:val="20"/>
                <w:szCs w:val="20"/>
                <w:rtl/>
              </w:rPr>
              <w:t xml:space="preserve"> </w:t>
            </w:r>
            <w:proofErr w:type="spellStart"/>
            <w:r w:rsidRPr="006C163B">
              <w:rPr>
                <w:rFonts w:ascii="Arial" w:hAnsi="Arial" w:cs="Arial"/>
                <w:b/>
                <w:bCs/>
                <w:sz w:val="20"/>
                <w:szCs w:val="20"/>
                <w:rtl/>
              </w:rPr>
              <w:t>هرمزگان</w:t>
            </w:r>
            <w:proofErr w:type="spellEnd"/>
            <w:r w:rsidRPr="006C163B">
              <w:rPr>
                <w:rFonts w:ascii="Arial" w:hAnsi="Arial" w:cs="Arial"/>
                <w:b/>
                <w:bCs/>
                <w:sz w:val="20"/>
                <w:szCs w:val="20"/>
                <w:rtl/>
              </w:rPr>
              <w:t xml:space="preserve"> </w:t>
            </w:r>
            <w:r w:rsidRPr="000802E3">
              <w:rPr>
                <w:rFonts w:ascii="Arial" w:hAnsi="Arial" w:cs="Arial"/>
                <w:b/>
                <w:bCs/>
                <w:sz w:val="20"/>
                <w:szCs w:val="20"/>
                <w:lang w:val="en-US"/>
              </w:rPr>
              <w:br/>
            </w:r>
            <w:r w:rsidRPr="000802E3">
              <w:rPr>
                <w:rFonts w:ascii="Arial" w:hAnsi="Arial" w:cs="Arial"/>
                <w:sz w:val="20"/>
                <w:szCs w:val="20"/>
                <w:lang w:val="en-US"/>
              </w:rPr>
              <w:t>Hormozgan Cultural Heritage Custodians</w:t>
            </w:r>
            <w:r w:rsidRPr="006C163B">
              <w:rPr>
                <w:rFonts w:ascii="Arial" w:hAnsi="Arial" w:cs="Arial"/>
                <w:sz w:val="20"/>
                <w:szCs w:val="20"/>
                <w:rtl/>
              </w:rPr>
              <w:t xml:space="preserve"> </w:t>
            </w:r>
            <w:r w:rsidRPr="000802E3">
              <w:rPr>
                <w:rFonts w:ascii="Arial" w:hAnsi="Arial" w:cs="Arial"/>
                <w:sz w:val="20"/>
                <w:szCs w:val="20"/>
                <w:lang w:val="en-US"/>
              </w:rPr>
              <w:t>Association - HCHCA</w:t>
            </w:r>
          </w:p>
        </w:tc>
        <w:tc>
          <w:tcPr>
            <w:tcW w:w="1095" w:type="pct"/>
            <w:gridSpan w:val="2"/>
            <w:noWrap/>
            <w:vAlign w:val="center"/>
            <w:hideMark/>
          </w:tcPr>
          <w:p w14:paraId="27AE2B97" w14:textId="77777777" w:rsidR="0064406D" w:rsidRPr="006C163B" w:rsidRDefault="0064406D" w:rsidP="00B77B0C">
            <w:pPr>
              <w:spacing w:before="120" w:after="120"/>
              <w:jc w:val="center"/>
              <w:rPr>
                <w:rFonts w:ascii="Arial" w:hAnsi="Arial" w:cs="Arial"/>
                <w:sz w:val="20"/>
                <w:szCs w:val="20"/>
                <w:rtl/>
              </w:rPr>
            </w:pPr>
            <w:r w:rsidRPr="006C163B">
              <w:rPr>
                <w:rFonts w:ascii="Arial" w:hAnsi="Arial" w:cs="Arial"/>
                <w:sz w:val="20"/>
                <w:szCs w:val="20"/>
              </w:rPr>
              <w:t>Iran (République islamique d’)</w:t>
            </w:r>
          </w:p>
        </w:tc>
        <w:tc>
          <w:tcPr>
            <w:tcW w:w="779" w:type="pct"/>
            <w:noWrap/>
            <w:vAlign w:val="center"/>
            <w:hideMark/>
          </w:tcPr>
          <w:p w14:paraId="5FCB0DDB" w14:textId="77777777" w:rsidR="0064406D" w:rsidRPr="006C163B" w:rsidRDefault="0064406D" w:rsidP="00B77B0C">
            <w:pPr>
              <w:spacing w:before="120" w:after="120"/>
              <w:jc w:val="center"/>
              <w:rPr>
                <w:rFonts w:ascii="Arial" w:hAnsi="Arial" w:cs="Arial"/>
                <w:sz w:val="20"/>
                <w:szCs w:val="20"/>
              </w:rPr>
            </w:pPr>
            <w:r w:rsidRPr="006C163B">
              <w:rPr>
                <w:rFonts w:ascii="Arial" w:hAnsi="Arial" w:cs="Arial"/>
                <w:sz w:val="20"/>
                <w:szCs w:val="20"/>
              </w:rPr>
              <w:t>NGO-90644</w:t>
            </w:r>
          </w:p>
        </w:tc>
      </w:tr>
    </w:tbl>
    <w:p w14:paraId="50CF257E" w14:textId="77777777" w:rsidR="0024344F" w:rsidRPr="006C163B" w:rsidRDefault="0024344F" w:rsidP="0024344F">
      <w:pPr>
        <w:keepNext/>
        <w:spacing w:before="360" w:after="240"/>
        <w:rPr>
          <w:rFonts w:ascii="Arial" w:hAnsi="Arial" w:cs="Arial"/>
          <w:b/>
          <w:bCs/>
          <w:sz w:val="22"/>
          <w:szCs w:val="22"/>
        </w:rPr>
      </w:pPr>
      <w:r w:rsidRPr="006C163B">
        <w:rPr>
          <w:rFonts w:ascii="Arial" w:hAnsi="Arial" w:cs="Arial"/>
          <w:b/>
          <w:bCs/>
          <w:sz w:val="22"/>
          <w:szCs w:val="22"/>
        </w:rPr>
        <w:t>Annexe II : Organisations non gouvernementales non recommandées pour accréditation</w:t>
      </w:r>
    </w:p>
    <w:tbl>
      <w:tblPr>
        <w:tblStyle w:val="TableGrid"/>
        <w:tblW w:w="5000" w:type="pct"/>
        <w:tblLayout w:type="fixed"/>
        <w:tblLook w:val="04A0" w:firstRow="1" w:lastRow="0" w:firstColumn="1" w:lastColumn="0" w:noHBand="0" w:noVBand="1"/>
      </w:tblPr>
      <w:tblGrid>
        <w:gridCol w:w="6019"/>
        <w:gridCol w:w="6"/>
        <w:gridCol w:w="2103"/>
        <w:gridCol w:w="1500"/>
      </w:tblGrid>
      <w:tr w:rsidR="0024344F" w:rsidRPr="006C163B" w14:paraId="6300BF6C" w14:textId="77777777" w:rsidTr="00B77B0C">
        <w:trPr>
          <w:trHeight w:val="290"/>
        </w:trPr>
        <w:tc>
          <w:tcPr>
            <w:tcW w:w="3126" w:type="pct"/>
            <w:shd w:val="clear" w:color="auto" w:fill="73A0DD"/>
            <w:noWrap/>
            <w:vAlign w:val="center"/>
            <w:hideMark/>
          </w:tcPr>
          <w:p w14:paraId="35DE2B6A" w14:textId="77777777" w:rsidR="0024344F" w:rsidRPr="006C163B" w:rsidRDefault="0024344F" w:rsidP="00B77B0C">
            <w:pPr>
              <w:spacing w:before="120" w:after="120"/>
              <w:jc w:val="center"/>
              <w:rPr>
                <w:rFonts w:ascii="Arial" w:hAnsi="Arial" w:cs="Arial"/>
                <w:b/>
                <w:bCs/>
                <w:sz w:val="20"/>
                <w:szCs w:val="20"/>
              </w:rPr>
            </w:pPr>
            <w:r w:rsidRPr="006C163B">
              <w:rPr>
                <w:rFonts w:ascii="Arial" w:hAnsi="Arial" w:cs="Arial"/>
                <w:b/>
                <w:bCs/>
                <w:sz w:val="20"/>
                <w:szCs w:val="20"/>
              </w:rPr>
              <w:t>Nom de l’organisation</w:t>
            </w:r>
          </w:p>
        </w:tc>
        <w:tc>
          <w:tcPr>
            <w:tcW w:w="1095" w:type="pct"/>
            <w:gridSpan w:val="2"/>
            <w:shd w:val="clear" w:color="auto" w:fill="73A0DD"/>
            <w:noWrap/>
            <w:vAlign w:val="center"/>
            <w:hideMark/>
          </w:tcPr>
          <w:p w14:paraId="273456C7" w14:textId="77777777" w:rsidR="0024344F" w:rsidRPr="006C163B" w:rsidRDefault="0024344F" w:rsidP="00B77B0C">
            <w:pPr>
              <w:spacing w:before="120" w:after="120"/>
              <w:jc w:val="center"/>
              <w:rPr>
                <w:rFonts w:ascii="Arial" w:hAnsi="Arial" w:cs="Arial"/>
                <w:b/>
                <w:bCs/>
                <w:sz w:val="20"/>
                <w:szCs w:val="20"/>
              </w:rPr>
            </w:pPr>
            <w:r w:rsidRPr="006C163B">
              <w:rPr>
                <w:rFonts w:ascii="Arial" w:hAnsi="Arial" w:cs="Arial"/>
                <w:b/>
                <w:bCs/>
                <w:sz w:val="20"/>
                <w:szCs w:val="20"/>
              </w:rPr>
              <w:t>Pays du siège social</w:t>
            </w:r>
          </w:p>
        </w:tc>
        <w:tc>
          <w:tcPr>
            <w:tcW w:w="779" w:type="pct"/>
            <w:shd w:val="clear" w:color="auto" w:fill="73A0DD"/>
            <w:noWrap/>
            <w:vAlign w:val="center"/>
            <w:hideMark/>
          </w:tcPr>
          <w:p w14:paraId="1DF1DEE5" w14:textId="77777777" w:rsidR="0024344F" w:rsidRPr="006C163B" w:rsidRDefault="0024344F" w:rsidP="00B77B0C">
            <w:pPr>
              <w:spacing w:before="120" w:after="120"/>
              <w:jc w:val="center"/>
              <w:rPr>
                <w:rFonts w:ascii="Arial" w:hAnsi="Arial" w:cs="Arial"/>
                <w:b/>
                <w:bCs/>
                <w:sz w:val="20"/>
                <w:szCs w:val="20"/>
              </w:rPr>
            </w:pPr>
            <w:r w:rsidRPr="006C163B">
              <w:rPr>
                <w:rFonts w:ascii="Arial" w:hAnsi="Arial" w:cs="Arial"/>
                <w:b/>
                <w:bCs/>
                <w:sz w:val="20"/>
                <w:szCs w:val="20"/>
              </w:rPr>
              <w:t>Numéro de demande</w:t>
            </w:r>
          </w:p>
        </w:tc>
      </w:tr>
      <w:tr w:rsidR="0024344F" w:rsidRPr="006C163B" w14:paraId="17737A85" w14:textId="77777777" w:rsidTr="00B77B0C">
        <w:trPr>
          <w:trHeight w:val="290"/>
        </w:trPr>
        <w:tc>
          <w:tcPr>
            <w:tcW w:w="3126" w:type="pct"/>
            <w:noWrap/>
            <w:vAlign w:val="center"/>
            <w:hideMark/>
          </w:tcPr>
          <w:p w14:paraId="2EBC6FF9"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lang w:val="en-GB"/>
              </w:rPr>
              <w:t xml:space="preserve">Algerian National Association of Geography, Territory Development. </w:t>
            </w:r>
            <w:r w:rsidRPr="006C163B">
              <w:rPr>
                <w:rFonts w:ascii="Arial" w:hAnsi="Arial" w:cs="Arial"/>
                <w:b/>
                <w:bCs/>
                <w:sz w:val="20"/>
                <w:szCs w:val="20"/>
              </w:rPr>
              <w:t xml:space="preserve">Planning and </w:t>
            </w:r>
            <w:proofErr w:type="spellStart"/>
            <w:r w:rsidRPr="006C163B">
              <w:rPr>
                <w:rFonts w:ascii="Arial" w:hAnsi="Arial" w:cs="Arial"/>
                <w:b/>
                <w:bCs/>
                <w:sz w:val="20"/>
                <w:szCs w:val="20"/>
              </w:rPr>
              <w:t>Forecasting</w:t>
            </w:r>
            <w:proofErr w:type="spellEnd"/>
          </w:p>
        </w:tc>
        <w:tc>
          <w:tcPr>
            <w:tcW w:w="1095" w:type="pct"/>
            <w:gridSpan w:val="2"/>
            <w:noWrap/>
            <w:vAlign w:val="center"/>
            <w:hideMark/>
          </w:tcPr>
          <w:p w14:paraId="0E205FDA"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Algérie</w:t>
            </w:r>
          </w:p>
        </w:tc>
        <w:tc>
          <w:tcPr>
            <w:tcW w:w="779" w:type="pct"/>
            <w:noWrap/>
            <w:vAlign w:val="center"/>
            <w:hideMark/>
          </w:tcPr>
          <w:p w14:paraId="0B09F11C"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NGO-90662</w:t>
            </w:r>
          </w:p>
        </w:tc>
      </w:tr>
      <w:tr w:rsidR="0024344F" w:rsidRPr="006C163B" w14:paraId="286E080B" w14:textId="77777777" w:rsidTr="00B77B0C">
        <w:trPr>
          <w:trHeight w:val="290"/>
        </w:trPr>
        <w:tc>
          <w:tcPr>
            <w:tcW w:w="3126" w:type="pct"/>
            <w:noWrap/>
            <w:vAlign w:val="center"/>
            <w:hideMark/>
          </w:tcPr>
          <w:p w14:paraId="442FEE66"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AlQalam</w:t>
            </w:r>
            <w:proofErr w:type="spellEnd"/>
          </w:p>
        </w:tc>
        <w:tc>
          <w:tcPr>
            <w:tcW w:w="1095" w:type="pct"/>
            <w:gridSpan w:val="2"/>
            <w:noWrap/>
            <w:vAlign w:val="center"/>
            <w:hideMark/>
          </w:tcPr>
          <w:p w14:paraId="7DD98DBA"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Égypte</w:t>
            </w:r>
          </w:p>
        </w:tc>
        <w:tc>
          <w:tcPr>
            <w:tcW w:w="779" w:type="pct"/>
            <w:noWrap/>
            <w:vAlign w:val="center"/>
            <w:hideMark/>
          </w:tcPr>
          <w:p w14:paraId="1E1F0E2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NGO-90640</w:t>
            </w:r>
          </w:p>
        </w:tc>
      </w:tr>
      <w:tr w:rsidR="0024344F" w:rsidRPr="006C163B" w14:paraId="10D306F8" w14:textId="77777777" w:rsidTr="00B77B0C">
        <w:trPr>
          <w:trHeight w:val="290"/>
        </w:trPr>
        <w:tc>
          <w:tcPr>
            <w:tcW w:w="3126" w:type="pct"/>
            <w:noWrap/>
            <w:vAlign w:val="center"/>
            <w:hideMark/>
          </w:tcPr>
          <w:p w14:paraId="203751BC"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 xml:space="preserve">Association </w:t>
            </w:r>
            <w:proofErr w:type="spellStart"/>
            <w:r w:rsidRPr="006C163B">
              <w:rPr>
                <w:rFonts w:ascii="Arial" w:hAnsi="Arial" w:cs="Arial"/>
                <w:b/>
                <w:bCs/>
                <w:sz w:val="20"/>
                <w:szCs w:val="20"/>
              </w:rPr>
              <w:t>Africa</w:t>
            </w:r>
            <w:proofErr w:type="spellEnd"/>
            <w:r w:rsidRPr="006C163B">
              <w:rPr>
                <w:rFonts w:ascii="Arial" w:hAnsi="Arial" w:cs="Arial"/>
                <w:b/>
                <w:bCs/>
                <w:sz w:val="20"/>
                <w:szCs w:val="20"/>
              </w:rPr>
              <w:t xml:space="preserve"> Ecologie</w:t>
            </w:r>
          </w:p>
        </w:tc>
        <w:tc>
          <w:tcPr>
            <w:tcW w:w="1095" w:type="pct"/>
            <w:gridSpan w:val="2"/>
            <w:noWrap/>
            <w:vAlign w:val="center"/>
            <w:hideMark/>
          </w:tcPr>
          <w:p w14:paraId="05475492"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Burkina Faso</w:t>
            </w:r>
          </w:p>
        </w:tc>
        <w:tc>
          <w:tcPr>
            <w:tcW w:w="779" w:type="pct"/>
            <w:noWrap/>
            <w:vAlign w:val="center"/>
            <w:hideMark/>
          </w:tcPr>
          <w:p w14:paraId="1C840C2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NGO-90693</w:t>
            </w:r>
          </w:p>
        </w:tc>
      </w:tr>
      <w:tr w:rsidR="0024344F" w:rsidRPr="006C163B" w14:paraId="497677A5" w14:textId="77777777" w:rsidTr="00B77B0C">
        <w:trPr>
          <w:trHeight w:val="290"/>
        </w:trPr>
        <w:tc>
          <w:tcPr>
            <w:tcW w:w="3126" w:type="pct"/>
            <w:noWrap/>
            <w:vAlign w:val="center"/>
            <w:hideMark/>
          </w:tcPr>
          <w:p w14:paraId="0ABF008F"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Association Culturelle d’Azerbaïdjan en Mayenne - ACAM</w:t>
            </w:r>
          </w:p>
        </w:tc>
        <w:tc>
          <w:tcPr>
            <w:tcW w:w="1095" w:type="pct"/>
            <w:gridSpan w:val="2"/>
            <w:noWrap/>
            <w:vAlign w:val="center"/>
            <w:hideMark/>
          </w:tcPr>
          <w:p w14:paraId="5C8524B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7ADE9E9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NGO-90624</w:t>
            </w:r>
          </w:p>
        </w:tc>
      </w:tr>
      <w:tr w:rsidR="0024344F" w:rsidRPr="006C163B" w14:paraId="447A32F7" w14:textId="77777777" w:rsidTr="00B77B0C">
        <w:trPr>
          <w:trHeight w:val="290"/>
        </w:trPr>
        <w:tc>
          <w:tcPr>
            <w:tcW w:w="3126" w:type="pct"/>
            <w:noWrap/>
            <w:vAlign w:val="center"/>
            <w:hideMark/>
          </w:tcPr>
          <w:p w14:paraId="60D8D3B9"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Association de Sauvegarde du village Amazighe de "</w:t>
            </w:r>
            <w:proofErr w:type="spellStart"/>
            <w:r w:rsidRPr="006C163B">
              <w:rPr>
                <w:rFonts w:ascii="Arial" w:hAnsi="Arial" w:cs="Arial"/>
                <w:b/>
                <w:bCs/>
                <w:sz w:val="20"/>
                <w:szCs w:val="20"/>
              </w:rPr>
              <w:t>Taoujout</w:t>
            </w:r>
            <w:proofErr w:type="spellEnd"/>
            <w:r w:rsidRPr="006C163B">
              <w:rPr>
                <w:rFonts w:ascii="Arial" w:hAnsi="Arial" w:cs="Arial"/>
                <w:b/>
                <w:bCs/>
                <w:sz w:val="20"/>
                <w:szCs w:val="20"/>
              </w:rPr>
              <w:t>"</w:t>
            </w:r>
          </w:p>
        </w:tc>
        <w:tc>
          <w:tcPr>
            <w:tcW w:w="1095" w:type="pct"/>
            <w:gridSpan w:val="2"/>
            <w:noWrap/>
            <w:vAlign w:val="center"/>
            <w:hideMark/>
          </w:tcPr>
          <w:p w14:paraId="793F57CA"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Tunisie</w:t>
            </w:r>
          </w:p>
        </w:tc>
        <w:tc>
          <w:tcPr>
            <w:tcW w:w="779" w:type="pct"/>
            <w:noWrap/>
            <w:vAlign w:val="center"/>
            <w:hideMark/>
          </w:tcPr>
          <w:p w14:paraId="0E17DCB1"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NGO-90611</w:t>
            </w:r>
          </w:p>
        </w:tc>
      </w:tr>
      <w:tr w:rsidR="0024344F" w:rsidRPr="006C163B" w14:paraId="0034481C" w14:textId="77777777" w:rsidTr="00B77B0C">
        <w:trPr>
          <w:trHeight w:val="290"/>
        </w:trPr>
        <w:tc>
          <w:tcPr>
            <w:tcW w:w="3126" w:type="pct"/>
            <w:noWrap/>
            <w:vAlign w:val="center"/>
            <w:hideMark/>
          </w:tcPr>
          <w:p w14:paraId="1F01FE35"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Association Pen League Médenine</w:t>
            </w:r>
          </w:p>
        </w:tc>
        <w:tc>
          <w:tcPr>
            <w:tcW w:w="1095" w:type="pct"/>
            <w:gridSpan w:val="2"/>
            <w:noWrap/>
            <w:vAlign w:val="center"/>
            <w:hideMark/>
          </w:tcPr>
          <w:p w14:paraId="2A81EDE1"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Tunisie</w:t>
            </w:r>
          </w:p>
        </w:tc>
        <w:tc>
          <w:tcPr>
            <w:tcW w:w="779" w:type="pct"/>
            <w:noWrap/>
            <w:vAlign w:val="center"/>
            <w:hideMark/>
          </w:tcPr>
          <w:p w14:paraId="558F942C"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NGO-90623</w:t>
            </w:r>
          </w:p>
        </w:tc>
      </w:tr>
      <w:tr w:rsidR="0024344F" w:rsidRPr="006C163B" w14:paraId="0BF4321D" w14:textId="77777777" w:rsidTr="00B77B0C">
        <w:trPr>
          <w:trHeight w:val="290"/>
        </w:trPr>
        <w:tc>
          <w:tcPr>
            <w:tcW w:w="3126" w:type="pct"/>
            <w:noWrap/>
            <w:vAlign w:val="center"/>
            <w:hideMark/>
          </w:tcPr>
          <w:p w14:paraId="70BF11C4"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Association pour la Sauvegarde de la Culture d’</w:t>
            </w:r>
            <w:proofErr w:type="spellStart"/>
            <w:r w:rsidRPr="006C163B">
              <w:rPr>
                <w:rFonts w:ascii="Arial" w:hAnsi="Arial" w:cs="Arial"/>
                <w:b/>
                <w:bCs/>
                <w:sz w:val="20"/>
                <w:szCs w:val="20"/>
              </w:rPr>
              <w:t>Ankarabe</w:t>
            </w:r>
            <w:proofErr w:type="spellEnd"/>
            <w:r w:rsidRPr="006C163B">
              <w:rPr>
                <w:rFonts w:ascii="Arial" w:hAnsi="Arial" w:cs="Arial"/>
                <w:b/>
                <w:bCs/>
                <w:sz w:val="20"/>
                <w:szCs w:val="20"/>
              </w:rPr>
              <w:t xml:space="preserve"> - ASCA</w:t>
            </w:r>
          </w:p>
        </w:tc>
        <w:tc>
          <w:tcPr>
            <w:tcW w:w="1095" w:type="pct"/>
            <w:gridSpan w:val="2"/>
            <w:noWrap/>
            <w:vAlign w:val="center"/>
            <w:hideMark/>
          </w:tcPr>
          <w:p w14:paraId="6D1983D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Madagascar</w:t>
            </w:r>
          </w:p>
        </w:tc>
        <w:tc>
          <w:tcPr>
            <w:tcW w:w="779" w:type="pct"/>
            <w:noWrap/>
            <w:vAlign w:val="center"/>
            <w:hideMark/>
          </w:tcPr>
          <w:p w14:paraId="06E4A0A9"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NGO-90692</w:t>
            </w:r>
          </w:p>
        </w:tc>
      </w:tr>
      <w:tr w:rsidR="0024344F" w:rsidRPr="006C163B" w14:paraId="33E9F542" w14:textId="77777777" w:rsidTr="00B77B0C">
        <w:trPr>
          <w:trHeight w:val="290"/>
        </w:trPr>
        <w:tc>
          <w:tcPr>
            <w:tcW w:w="3126" w:type="pct"/>
            <w:noWrap/>
            <w:vAlign w:val="center"/>
            <w:hideMark/>
          </w:tcPr>
          <w:p w14:paraId="32333749"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Cannabis and Hemp Argentine Federation</w:t>
            </w:r>
          </w:p>
        </w:tc>
        <w:tc>
          <w:tcPr>
            <w:tcW w:w="1095" w:type="pct"/>
            <w:gridSpan w:val="2"/>
            <w:noWrap/>
            <w:vAlign w:val="center"/>
            <w:hideMark/>
          </w:tcPr>
          <w:p w14:paraId="71DCC08F"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Argentine</w:t>
            </w:r>
          </w:p>
        </w:tc>
        <w:tc>
          <w:tcPr>
            <w:tcW w:w="779" w:type="pct"/>
            <w:noWrap/>
            <w:vAlign w:val="center"/>
            <w:hideMark/>
          </w:tcPr>
          <w:p w14:paraId="3CD4345F"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NGO-90687</w:t>
            </w:r>
          </w:p>
        </w:tc>
      </w:tr>
      <w:tr w:rsidR="0024344F" w:rsidRPr="006C163B" w14:paraId="4B9AB315" w14:textId="77777777" w:rsidTr="00B77B0C">
        <w:trPr>
          <w:trHeight w:val="290"/>
        </w:trPr>
        <w:tc>
          <w:tcPr>
            <w:tcW w:w="3126" w:type="pct"/>
            <w:noWrap/>
            <w:vAlign w:val="center"/>
            <w:hideMark/>
          </w:tcPr>
          <w:p w14:paraId="3172A92A"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Centre du Patrimoine de la Facture Instrumentale et des Savoirs des Peuples Premiers - CPFI</w:t>
            </w:r>
          </w:p>
        </w:tc>
        <w:tc>
          <w:tcPr>
            <w:tcW w:w="1095" w:type="pct"/>
            <w:gridSpan w:val="2"/>
            <w:noWrap/>
            <w:vAlign w:val="center"/>
            <w:hideMark/>
          </w:tcPr>
          <w:p w14:paraId="16D06EFA"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553E2192"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NGO-90629</w:t>
            </w:r>
          </w:p>
        </w:tc>
      </w:tr>
      <w:tr w:rsidR="0024344F" w:rsidRPr="006C163B" w14:paraId="760A1CC5" w14:textId="77777777" w:rsidTr="00B77B0C">
        <w:trPr>
          <w:trHeight w:val="290"/>
        </w:trPr>
        <w:tc>
          <w:tcPr>
            <w:tcW w:w="3126" w:type="pct"/>
            <w:noWrap/>
            <w:vAlign w:val="center"/>
            <w:hideMark/>
          </w:tcPr>
          <w:p w14:paraId="08D50CB1"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Constellation sociale</w:t>
            </w:r>
          </w:p>
        </w:tc>
        <w:tc>
          <w:tcPr>
            <w:tcW w:w="1095" w:type="pct"/>
            <w:gridSpan w:val="2"/>
            <w:noWrap/>
            <w:vAlign w:val="center"/>
            <w:hideMark/>
          </w:tcPr>
          <w:p w14:paraId="7054908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77398E0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NGO-90681</w:t>
            </w:r>
          </w:p>
        </w:tc>
      </w:tr>
      <w:tr w:rsidR="0024344F" w:rsidRPr="006C163B" w14:paraId="0C1367D6" w14:textId="77777777" w:rsidTr="00B77B0C">
        <w:trPr>
          <w:trHeight w:val="290"/>
        </w:trPr>
        <w:tc>
          <w:tcPr>
            <w:tcW w:w="3126" w:type="pct"/>
            <w:noWrap/>
            <w:vAlign w:val="center"/>
            <w:hideMark/>
          </w:tcPr>
          <w:p w14:paraId="7CFEB25D"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 xml:space="preserve">Crus et Terroirs - Académie du Pays </w:t>
            </w:r>
            <w:proofErr w:type="spellStart"/>
            <w:r w:rsidRPr="006C163B">
              <w:rPr>
                <w:rFonts w:ascii="Arial" w:hAnsi="Arial" w:cs="Arial"/>
                <w:b/>
                <w:bCs/>
                <w:sz w:val="20"/>
                <w:szCs w:val="20"/>
              </w:rPr>
              <w:t>Gabaye</w:t>
            </w:r>
            <w:proofErr w:type="spellEnd"/>
          </w:p>
        </w:tc>
        <w:tc>
          <w:tcPr>
            <w:tcW w:w="1095" w:type="pct"/>
            <w:gridSpan w:val="2"/>
            <w:noWrap/>
            <w:vAlign w:val="center"/>
            <w:hideMark/>
          </w:tcPr>
          <w:p w14:paraId="520DA34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703DC09E"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NGO-90606</w:t>
            </w:r>
          </w:p>
        </w:tc>
      </w:tr>
      <w:tr w:rsidR="0024344F" w:rsidRPr="006C163B" w14:paraId="45C1986B" w14:textId="77777777" w:rsidTr="00B77B0C">
        <w:trPr>
          <w:trHeight w:val="290"/>
        </w:trPr>
        <w:tc>
          <w:tcPr>
            <w:tcW w:w="3126" w:type="pct"/>
            <w:noWrap/>
            <w:vAlign w:val="center"/>
          </w:tcPr>
          <w:p w14:paraId="5F8328B9" w14:textId="77777777" w:rsidR="0024344F" w:rsidRPr="006C163B" w:rsidRDefault="0024344F"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Daami</w:t>
            </w:r>
            <w:proofErr w:type="spellEnd"/>
            <w:r w:rsidRPr="006C163B">
              <w:rPr>
                <w:rFonts w:ascii="Arial" w:hAnsi="Arial" w:cs="Arial"/>
                <w:b/>
                <w:bCs/>
                <w:sz w:val="20"/>
                <w:szCs w:val="20"/>
                <w:lang w:val="en-GB"/>
              </w:rPr>
              <w:t xml:space="preserve"> Youth Development Organization – DYDO</w:t>
            </w:r>
          </w:p>
        </w:tc>
        <w:tc>
          <w:tcPr>
            <w:tcW w:w="1095" w:type="pct"/>
            <w:gridSpan w:val="2"/>
            <w:noWrap/>
            <w:vAlign w:val="center"/>
          </w:tcPr>
          <w:p w14:paraId="45BE32F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Somalie</w:t>
            </w:r>
          </w:p>
        </w:tc>
        <w:tc>
          <w:tcPr>
            <w:tcW w:w="779" w:type="pct"/>
            <w:noWrap/>
            <w:vAlign w:val="center"/>
          </w:tcPr>
          <w:p w14:paraId="2CB563C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NGO-90658</w:t>
            </w:r>
          </w:p>
        </w:tc>
      </w:tr>
      <w:tr w:rsidR="0024344F" w:rsidRPr="006C163B" w14:paraId="6D74DDB0" w14:textId="77777777" w:rsidTr="00B77B0C">
        <w:trPr>
          <w:trHeight w:val="290"/>
        </w:trPr>
        <w:tc>
          <w:tcPr>
            <w:tcW w:w="3126" w:type="pct"/>
            <w:noWrap/>
            <w:vAlign w:val="center"/>
            <w:hideMark/>
          </w:tcPr>
          <w:p w14:paraId="2F011385"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Dar Al Muheet Publishing House</w:t>
            </w:r>
          </w:p>
        </w:tc>
        <w:tc>
          <w:tcPr>
            <w:tcW w:w="1095" w:type="pct"/>
            <w:gridSpan w:val="2"/>
            <w:noWrap/>
            <w:vAlign w:val="center"/>
            <w:hideMark/>
          </w:tcPr>
          <w:p w14:paraId="5756963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Émirats arabes unis</w:t>
            </w:r>
          </w:p>
        </w:tc>
        <w:tc>
          <w:tcPr>
            <w:tcW w:w="779" w:type="pct"/>
            <w:noWrap/>
            <w:vAlign w:val="center"/>
            <w:hideMark/>
          </w:tcPr>
          <w:p w14:paraId="2FCD2E45"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NGO-90642</w:t>
            </w:r>
          </w:p>
        </w:tc>
      </w:tr>
      <w:tr w:rsidR="0024344F" w:rsidRPr="006C163B" w14:paraId="55AB199B" w14:textId="77777777" w:rsidTr="00B77B0C">
        <w:trPr>
          <w:trHeight w:val="290"/>
        </w:trPr>
        <w:tc>
          <w:tcPr>
            <w:tcW w:w="3126" w:type="pct"/>
            <w:noWrap/>
            <w:vAlign w:val="center"/>
            <w:hideMark/>
          </w:tcPr>
          <w:p w14:paraId="376993DC"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Ensemble pour la petite enfance - EPE</w:t>
            </w:r>
          </w:p>
        </w:tc>
        <w:tc>
          <w:tcPr>
            <w:tcW w:w="1095" w:type="pct"/>
            <w:gridSpan w:val="2"/>
            <w:noWrap/>
            <w:vAlign w:val="center"/>
            <w:hideMark/>
          </w:tcPr>
          <w:p w14:paraId="685A408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hideMark/>
          </w:tcPr>
          <w:p w14:paraId="696B550F"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NGO-90637</w:t>
            </w:r>
          </w:p>
        </w:tc>
      </w:tr>
      <w:tr w:rsidR="0024344F" w:rsidRPr="006C163B" w14:paraId="0C7E135B" w14:textId="77777777" w:rsidTr="00B77B0C">
        <w:trPr>
          <w:trHeight w:val="290"/>
        </w:trPr>
        <w:tc>
          <w:tcPr>
            <w:tcW w:w="3126" w:type="pct"/>
            <w:noWrap/>
            <w:vAlign w:val="center"/>
            <w:hideMark/>
          </w:tcPr>
          <w:p w14:paraId="20024480"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Every</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Woman</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Treaty</w:t>
            </w:r>
            <w:proofErr w:type="spellEnd"/>
          </w:p>
        </w:tc>
        <w:tc>
          <w:tcPr>
            <w:tcW w:w="1095" w:type="pct"/>
            <w:gridSpan w:val="2"/>
            <w:noWrap/>
            <w:vAlign w:val="center"/>
            <w:hideMark/>
          </w:tcPr>
          <w:p w14:paraId="120A994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États-Unis d’Amérique</w:t>
            </w:r>
          </w:p>
        </w:tc>
        <w:tc>
          <w:tcPr>
            <w:tcW w:w="779" w:type="pct"/>
            <w:noWrap/>
            <w:vAlign w:val="center"/>
            <w:hideMark/>
          </w:tcPr>
          <w:p w14:paraId="3BA6E3C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NGO-90630</w:t>
            </w:r>
          </w:p>
        </w:tc>
      </w:tr>
      <w:tr w:rsidR="0024344F" w:rsidRPr="006C163B" w14:paraId="5329D49B" w14:textId="77777777" w:rsidTr="00B77B0C">
        <w:trPr>
          <w:trHeight w:val="290"/>
        </w:trPr>
        <w:tc>
          <w:tcPr>
            <w:tcW w:w="3126" w:type="pct"/>
            <w:noWrap/>
            <w:vAlign w:val="center"/>
            <w:hideMark/>
          </w:tcPr>
          <w:p w14:paraId="5BB94267"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Fields of Green for ALL NPC - FGA</w:t>
            </w:r>
          </w:p>
        </w:tc>
        <w:tc>
          <w:tcPr>
            <w:tcW w:w="1095" w:type="pct"/>
            <w:gridSpan w:val="2"/>
            <w:noWrap/>
            <w:vAlign w:val="center"/>
            <w:hideMark/>
          </w:tcPr>
          <w:p w14:paraId="6D355A0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Afrique du Sud</w:t>
            </w:r>
          </w:p>
        </w:tc>
        <w:tc>
          <w:tcPr>
            <w:tcW w:w="779" w:type="pct"/>
            <w:noWrap/>
            <w:vAlign w:val="center"/>
            <w:hideMark/>
          </w:tcPr>
          <w:p w14:paraId="32CBE556"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NGO-90674</w:t>
            </w:r>
          </w:p>
        </w:tc>
      </w:tr>
      <w:tr w:rsidR="0024344F" w:rsidRPr="006C163B" w14:paraId="5BDC1762" w14:textId="77777777" w:rsidTr="00B77B0C">
        <w:trPr>
          <w:trHeight w:val="290"/>
        </w:trPr>
        <w:tc>
          <w:tcPr>
            <w:tcW w:w="3126" w:type="pct"/>
            <w:noWrap/>
            <w:vAlign w:val="center"/>
            <w:hideMark/>
          </w:tcPr>
          <w:p w14:paraId="06CE1946"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Fondation Mexicaine René Mey</w:t>
            </w:r>
          </w:p>
        </w:tc>
        <w:tc>
          <w:tcPr>
            <w:tcW w:w="1095" w:type="pct"/>
            <w:gridSpan w:val="2"/>
            <w:noWrap/>
            <w:vAlign w:val="center"/>
            <w:hideMark/>
          </w:tcPr>
          <w:p w14:paraId="2BAC598A"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Mexique</w:t>
            </w:r>
          </w:p>
        </w:tc>
        <w:tc>
          <w:tcPr>
            <w:tcW w:w="779" w:type="pct"/>
            <w:noWrap/>
            <w:vAlign w:val="center"/>
            <w:hideMark/>
          </w:tcPr>
          <w:p w14:paraId="0DF3C51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NGO-90696</w:t>
            </w:r>
          </w:p>
        </w:tc>
      </w:tr>
      <w:tr w:rsidR="0024344F" w:rsidRPr="006C163B" w14:paraId="1137045F" w14:textId="77777777" w:rsidTr="00B77B0C">
        <w:trPr>
          <w:trHeight w:val="290"/>
        </w:trPr>
        <w:tc>
          <w:tcPr>
            <w:tcW w:w="3126" w:type="pct"/>
            <w:noWrap/>
            <w:vAlign w:val="center"/>
            <w:hideMark/>
          </w:tcPr>
          <w:p w14:paraId="2579EE42"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 xml:space="preserve">Fondation </w:t>
            </w:r>
            <w:proofErr w:type="spellStart"/>
            <w:r w:rsidRPr="006C163B">
              <w:rPr>
                <w:rFonts w:ascii="Arial" w:hAnsi="Arial" w:cs="Arial"/>
                <w:b/>
                <w:bCs/>
                <w:sz w:val="20"/>
                <w:szCs w:val="20"/>
              </w:rPr>
              <w:t>Nguon</w:t>
            </w:r>
            <w:proofErr w:type="spellEnd"/>
          </w:p>
        </w:tc>
        <w:tc>
          <w:tcPr>
            <w:tcW w:w="1095" w:type="pct"/>
            <w:gridSpan w:val="2"/>
            <w:noWrap/>
            <w:vAlign w:val="center"/>
            <w:hideMark/>
          </w:tcPr>
          <w:p w14:paraId="51B623C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Cameroun</w:t>
            </w:r>
          </w:p>
        </w:tc>
        <w:tc>
          <w:tcPr>
            <w:tcW w:w="779" w:type="pct"/>
            <w:noWrap/>
            <w:vAlign w:val="center"/>
            <w:hideMark/>
          </w:tcPr>
          <w:p w14:paraId="53878646"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NGO-90682</w:t>
            </w:r>
          </w:p>
        </w:tc>
      </w:tr>
      <w:tr w:rsidR="0024344F" w:rsidRPr="006C163B" w14:paraId="44F4469A" w14:textId="77777777" w:rsidTr="00B77B0C">
        <w:trPr>
          <w:trHeight w:val="290"/>
        </w:trPr>
        <w:tc>
          <w:tcPr>
            <w:tcW w:w="3126" w:type="pct"/>
            <w:noWrap/>
            <w:vAlign w:val="center"/>
            <w:hideMark/>
          </w:tcPr>
          <w:p w14:paraId="06AF7B4B"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lastRenderedPageBreak/>
              <w:t xml:space="preserve">Formation pour l’Assistance et le Développement Communautaire - FADEC </w:t>
            </w:r>
            <w:r w:rsidRPr="006C163B">
              <w:rPr>
                <w:rFonts w:ascii="Arial" w:hAnsi="Arial" w:cs="Arial"/>
                <w:b/>
                <w:bCs/>
                <w:sz w:val="20"/>
                <w:szCs w:val="20"/>
              </w:rPr>
              <w:br/>
            </w:r>
            <w:r w:rsidRPr="006C163B">
              <w:rPr>
                <w:rFonts w:ascii="Arial" w:hAnsi="Arial" w:cs="Arial"/>
                <w:sz w:val="20"/>
                <w:szCs w:val="20"/>
              </w:rPr>
              <w:t xml:space="preserve">Group for assistance and </w:t>
            </w:r>
            <w:proofErr w:type="spellStart"/>
            <w:r w:rsidRPr="006C163B">
              <w:rPr>
                <w:rFonts w:ascii="Arial" w:hAnsi="Arial" w:cs="Arial"/>
                <w:sz w:val="20"/>
                <w:szCs w:val="20"/>
              </w:rPr>
              <w:t>community</w:t>
            </w:r>
            <w:proofErr w:type="spellEnd"/>
            <w:r w:rsidRPr="006C163B">
              <w:rPr>
                <w:rFonts w:ascii="Arial" w:hAnsi="Arial" w:cs="Arial"/>
                <w:sz w:val="20"/>
                <w:szCs w:val="20"/>
              </w:rPr>
              <w:t xml:space="preserve"> </w:t>
            </w:r>
            <w:proofErr w:type="spellStart"/>
            <w:r w:rsidRPr="006C163B">
              <w:rPr>
                <w:rFonts w:ascii="Arial" w:hAnsi="Arial" w:cs="Arial"/>
                <w:sz w:val="20"/>
                <w:szCs w:val="20"/>
              </w:rPr>
              <w:t>development</w:t>
            </w:r>
            <w:proofErr w:type="spellEnd"/>
          </w:p>
        </w:tc>
        <w:tc>
          <w:tcPr>
            <w:tcW w:w="1095" w:type="pct"/>
            <w:gridSpan w:val="2"/>
            <w:noWrap/>
            <w:vAlign w:val="center"/>
            <w:hideMark/>
          </w:tcPr>
          <w:p w14:paraId="1519AA5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Gabon</w:t>
            </w:r>
          </w:p>
        </w:tc>
        <w:tc>
          <w:tcPr>
            <w:tcW w:w="779" w:type="pct"/>
            <w:noWrap/>
            <w:vAlign w:val="center"/>
            <w:hideMark/>
          </w:tcPr>
          <w:p w14:paraId="14A97B8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NGO-90604</w:t>
            </w:r>
          </w:p>
        </w:tc>
      </w:tr>
      <w:tr w:rsidR="0024344F" w:rsidRPr="006C163B" w14:paraId="39B9873F" w14:textId="77777777" w:rsidTr="00B77B0C">
        <w:trPr>
          <w:trHeight w:val="290"/>
        </w:trPr>
        <w:tc>
          <w:tcPr>
            <w:tcW w:w="3126" w:type="pct"/>
            <w:noWrap/>
            <w:vAlign w:val="center"/>
            <w:hideMark/>
          </w:tcPr>
          <w:p w14:paraId="6A455F01"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Foundation For Comfort of Senior Citizens in Nigeria - FOCOSCIN</w:t>
            </w:r>
          </w:p>
        </w:tc>
        <w:tc>
          <w:tcPr>
            <w:tcW w:w="1095" w:type="pct"/>
            <w:gridSpan w:val="2"/>
            <w:noWrap/>
            <w:vAlign w:val="center"/>
            <w:hideMark/>
          </w:tcPr>
          <w:p w14:paraId="025A9A22"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779" w:type="pct"/>
            <w:noWrap/>
            <w:vAlign w:val="center"/>
            <w:hideMark/>
          </w:tcPr>
          <w:p w14:paraId="68D7CBF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NGO-90617</w:t>
            </w:r>
          </w:p>
        </w:tc>
      </w:tr>
      <w:tr w:rsidR="0024344F" w:rsidRPr="006C163B" w14:paraId="1E99F5D7" w14:textId="77777777" w:rsidTr="00B77B0C">
        <w:trPr>
          <w:trHeight w:val="290"/>
        </w:trPr>
        <w:tc>
          <w:tcPr>
            <w:tcW w:w="3126" w:type="pct"/>
            <w:noWrap/>
            <w:vAlign w:val="center"/>
            <w:hideMark/>
          </w:tcPr>
          <w:p w14:paraId="1D8660AB" w14:textId="77777777" w:rsidR="0024344F" w:rsidRPr="006C163B" w:rsidRDefault="0024344F"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Fundacja</w:t>
            </w:r>
            <w:proofErr w:type="spellEnd"/>
            <w:r w:rsidRPr="006C163B">
              <w:rPr>
                <w:rFonts w:ascii="Arial" w:hAnsi="Arial" w:cs="Arial"/>
                <w:b/>
                <w:bCs/>
                <w:sz w:val="20"/>
                <w:szCs w:val="20"/>
                <w:lang w:val="en-GB"/>
              </w:rPr>
              <w:t xml:space="preserve"> Ars </w:t>
            </w:r>
            <w:proofErr w:type="spellStart"/>
            <w:r w:rsidRPr="006C163B">
              <w:rPr>
                <w:rFonts w:ascii="Arial" w:hAnsi="Arial" w:cs="Arial"/>
                <w:b/>
                <w:bCs/>
                <w:sz w:val="20"/>
                <w:szCs w:val="20"/>
                <w:lang w:val="en-GB"/>
              </w:rPr>
              <w:t>Celebrandi</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r w:rsidRPr="006C163B">
              <w:rPr>
                <w:rFonts w:ascii="Arial" w:hAnsi="Arial" w:cs="Arial"/>
                <w:sz w:val="20"/>
                <w:szCs w:val="20"/>
                <w:lang w:val="en-GB"/>
              </w:rPr>
              <w:t xml:space="preserve">Ars </w:t>
            </w:r>
            <w:proofErr w:type="spellStart"/>
            <w:r w:rsidRPr="006C163B">
              <w:rPr>
                <w:rFonts w:ascii="Arial" w:hAnsi="Arial" w:cs="Arial"/>
                <w:sz w:val="20"/>
                <w:szCs w:val="20"/>
                <w:lang w:val="en-GB"/>
              </w:rPr>
              <w:t>Celebrandi</w:t>
            </w:r>
            <w:proofErr w:type="spellEnd"/>
            <w:r w:rsidRPr="006C163B">
              <w:rPr>
                <w:rFonts w:ascii="Arial" w:hAnsi="Arial" w:cs="Arial"/>
                <w:sz w:val="20"/>
                <w:szCs w:val="20"/>
                <w:lang w:val="en-GB"/>
              </w:rPr>
              <w:t xml:space="preserve"> Foundation</w:t>
            </w:r>
          </w:p>
        </w:tc>
        <w:tc>
          <w:tcPr>
            <w:tcW w:w="1095" w:type="pct"/>
            <w:gridSpan w:val="2"/>
            <w:noWrap/>
            <w:vAlign w:val="center"/>
            <w:hideMark/>
          </w:tcPr>
          <w:p w14:paraId="47373F5C"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Pologne</w:t>
            </w:r>
          </w:p>
        </w:tc>
        <w:tc>
          <w:tcPr>
            <w:tcW w:w="779" w:type="pct"/>
            <w:noWrap/>
            <w:vAlign w:val="center"/>
            <w:hideMark/>
          </w:tcPr>
          <w:p w14:paraId="2D8691F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NGO-90667</w:t>
            </w:r>
          </w:p>
        </w:tc>
      </w:tr>
      <w:tr w:rsidR="0024344F" w:rsidRPr="006C163B" w14:paraId="305A3A70" w14:textId="77777777" w:rsidTr="00B77B0C">
        <w:trPr>
          <w:trHeight w:val="290"/>
        </w:trPr>
        <w:tc>
          <w:tcPr>
            <w:tcW w:w="3126" w:type="pct"/>
            <w:noWrap/>
            <w:vAlign w:val="center"/>
            <w:hideMark/>
          </w:tcPr>
          <w:p w14:paraId="1378F56D"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International Islamic Youth League - IIYL</w:t>
            </w:r>
          </w:p>
        </w:tc>
        <w:tc>
          <w:tcPr>
            <w:tcW w:w="1095" w:type="pct"/>
            <w:gridSpan w:val="2"/>
            <w:noWrap/>
            <w:vAlign w:val="center"/>
            <w:hideMark/>
          </w:tcPr>
          <w:p w14:paraId="226C128B"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Ghana</w:t>
            </w:r>
          </w:p>
        </w:tc>
        <w:tc>
          <w:tcPr>
            <w:tcW w:w="779" w:type="pct"/>
            <w:noWrap/>
            <w:vAlign w:val="center"/>
            <w:hideMark/>
          </w:tcPr>
          <w:p w14:paraId="27101DF6"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NGO-90600</w:t>
            </w:r>
          </w:p>
        </w:tc>
      </w:tr>
      <w:tr w:rsidR="0024344F" w:rsidRPr="006C163B" w14:paraId="0497458F" w14:textId="77777777" w:rsidTr="00B77B0C">
        <w:trPr>
          <w:trHeight w:val="290"/>
        </w:trPr>
        <w:tc>
          <w:tcPr>
            <w:tcW w:w="3126" w:type="pct"/>
            <w:noWrap/>
            <w:vAlign w:val="center"/>
          </w:tcPr>
          <w:p w14:paraId="1080ACE3" w14:textId="77777777" w:rsidR="0024344F" w:rsidRPr="006C163B" w:rsidRDefault="0024344F"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Magyarok</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Öröksége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Alapítvány</w:t>
            </w:r>
            <w:proofErr w:type="spellEnd"/>
            <w:r w:rsidRPr="006C163B">
              <w:rPr>
                <w:rFonts w:ascii="Arial" w:hAnsi="Arial" w:cs="Arial"/>
                <w:b/>
                <w:bCs/>
                <w:sz w:val="20"/>
                <w:szCs w:val="20"/>
                <w:lang w:val="en-GB"/>
              </w:rPr>
              <w:br/>
            </w:r>
            <w:r w:rsidRPr="006C163B">
              <w:rPr>
                <w:rFonts w:ascii="Arial" w:hAnsi="Arial" w:cs="Arial"/>
                <w:sz w:val="20"/>
                <w:szCs w:val="20"/>
                <w:lang w:val="en-GB"/>
              </w:rPr>
              <w:t>Hungarian Heritage Foundation</w:t>
            </w:r>
          </w:p>
        </w:tc>
        <w:tc>
          <w:tcPr>
            <w:tcW w:w="1095" w:type="pct"/>
            <w:gridSpan w:val="2"/>
            <w:noWrap/>
            <w:vAlign w:val="center"/>
          </w:tcPr>
          <w:p w14:paraId="33753DE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Hongrie</w:t>
            </w:r>
          </w:p>
        </w:tc>
        <w:tc>
          <w:tcPr>
            <w:tcW w:w="779" w:type="pct"/>
            <w:noWrap/>
            <w:vAlign w:val="center"/>
          </w:tcPr>
          <w:p w14:paraId="33D4C506"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NGO-90675</w:t>
            </w:r>
          </w:p>
        </w:tc>
      </w:tr>
      <w:tr w:rsidR="0024344F" w:rsidRPr="006C163B" w14:paraId="6675BF52" w14:textId="77777777" w:rsidTr="00B77B0C">
        <w:trPr>
          <w:trHeight w:val="290"/>
        </w:trPr>
        <w:tc>
          <w:tcPr>
            <w:tcW w:w="3126" w:type="pct"/>
            <w:noWrap/>
            <w:vAlign w:val="center"/>
            <w:hideMark/>
          </w:tcPr>
          <w:p w14:paraId="3A543247" w14:textId="77777777" w:rsidR="0024344F" w:rsidRPr="006C163B" w:rsidRDefault="0024344F" w:rsidP="00B77B0C">
            <w:pPr>
              <w:spacing w:before="120" w:after="120"/>
              <w:rPr>
                <w:rFonts w:ascii="Arial" w:hAnsi="Arial" w:cs="Arial"/>
                <w:b/>
                <w:bCs/>
                <w:sz w:val="20"/>
                <w:szCs w:val="20"/>
              </w:rPr>
            </w:pPr>
            <w:r w:rsidRPr="0024344F">
              <w:rPr>
                <w:rFonts w:ascii="Arial" w:hAnsi="Arial" w:cs="Arial"/>
                <w:b/>
                <w:bCs/>
                <w:sz w:val="20"/>
                <w:szCs w:val="20"/>
                <w:lang w:val="it-IT"/>
              </w:rPr>
              <w:t xml:space="preserve">Mijoro Mandroso Madagascar - Mi. Ma. </w:t>
            </w:r>
            <w:r w:rsidRPr="006C163B">
              <w:rPr>
                <w:rFonts w:ascii="Arial" w:hAnsi="Arial" w:cs="Arial"/>
                <w:b/>
                <w:bCs/>
                <w:sz w:val="20"/>
                <w:szCs w:val="20"/>
              </w:rPr>
              <w:t>Madagascar</w:t>
            </w:r>
          </w:p>
        </w:tc>
        <w:tc>
          <w:tcPr>
            <w:tcW w:w="1095" w:type="pct"/>
            <w:gridSpan w:val="2"/>
            <w:noWrap/>
            <w:vAlign w:val="center"/>
            <w:hideMark/>
          </w:tcPr>
          <w:p w14:paraId="4B19918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Madagascar</w:t>
            </w:r>
          </w:p>
        </w:tc>
        <w:tc>
          <w:tcPr>
            <w:tcW w:w="779" w:type="pct"/>
            <w:noWrap/>
            <w:vAlign w:val="center"/>
            <w:hideMark/>
          </w:tcPr>
          <w:p w14:paraId="2EF0C9A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NGO-90678</w:t>
            </w:r>
          </w:p>
        </w:tc>
      </w:tr>
      <w:tr w:rsidR="0024344F" w:rsidRPr="006C163B" w14:paraId="33C89981" w14:textId="77777777" w:rsidTr="00B77B0C">
        <w:trPr>
          <w:trHeight w:val="290"/>
        </w:trPr>
        <w:tc>
          <w:tcPr>
            <w:tcW w:w="3126" w:type="pct"/>
            <w:noWrap/>
            <w:vAlign w:val="center"/>
            <w:hideMark/>
          </w:tcPr>
          <w:p w14:paraId="4E39A5F3"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ONG Change Human’s Life - CHL</w:t>
            </w:r>
          </w:p>
        </w:tc>
        <w:tc>
          <w:tcPr>
            <w:tcW w:w="1095" w:type="pct"/>
            <w:gridSpan w:val="2"/>
            <w:noWrap/>
            <w:vAlign w:val="center"/>
            <w:hideMark/>
          </w:tcPr>
          <w:p w14:paraId="14A02A1B"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Côte d’Ivoire</w:t>
            </w:r>
          </w:p>
        </w:tc>
        <w:tc>
          <w:tcPr>
            <w:tcW w:w="779" w:type="pct"/>
            <w:noWrap/>
            <w:vAlign w:val="center"/>
            <w:hideMark/>
          </w:tcPr>
          <w:p w14:paraId="5F7C049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NGO-90684</w:t>
            </w:r>
          </w:p>
        </w:tc>
      </w:tr>
      <w:tr w:rsidR="0024344F" w:rsidRPr="006C163B" w14:paraId="2E4C4179" w14:textId="77777777" w:rsidTr="00B77B0C">
        <w:trPr>
          <w:trHeight w:val="624"/>
        </w:trPr>
        <w:tc>
          <w:tcPr>
            <w:tcW w:w="3129" w:type="pct"/>
            <w:gridSpan w:val="2"/>
            <w:noWrap/>
            <w:vAlign w:val="center"/>
            <w:hideMark/>
          </w:tcPr>
          <w:p w14:paraId="31B5A761"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ONG Min-</w:t>
            </w:r>
            <w:proofErr w:type="spellStart"/>
            <w:r w:rsidRPr="006C163B">
              <w:rPr>
                <w:rFonts w:ascii="Arial" w:hAnsi="Arial" w:cs="Arial"/>
                <w:b/>
                <w:bCs/>
                <w:sz w:val="20"/>
                <w:szCs w:val="20"/>
              </w:rPr>
              <w:t>dja</w:t>
            </w:r>
            <w:proofErr w:type="spellEnd"/>
            <w:r w:rsidRPr="006C163B">
              <w:rPr>
                <w:rFonts w:ascii="Arial" w:hAnsi="Arial" w:cs="Arial"/>
                <w:b/>
                <w:bCs/>
                <w:sz w:val="20"/>
                <w:szCs w:val="20"/>
              </w:rPr>
              <w:t xml:space="preserve"> (Mon héritage)</w:t>
            </w:r>
          </w:p>
        </w:tc>
        <w:tc>
          <w:tcPr>
            <w:tcW w:w="1092" w:type="pct"/>
            <w:noWrap/>
            <w:vAlign w:val="center"/>
            <w:hideMark/>
          </w:tcPr>
          <w:p w14:paraId="20E312F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Côte d’Ivoire</w:t>
            </w:r>
          </w:p>
        </w:tc>
        <w:tc>
          <w:tcPr>
            <w:tcW w:w="779" w:type="pct"/>
            <w:noWrap/>
            <w:vAlign w:val="center"/>
            <w:hideMark/>
          </w:tcPr>
          <w:p w14:paraId="425ABE8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NGO-90670</w:t>
            </w:r>
          </w:p>
        </w:tc>
      </w:tr>
      <w:tr w:rsidR="0024344F" w:rsidRPr="006C163B" w14:paraId="5E18723D" w14:textId="77777777" w:rsidTr="00B77B0C">
        <w:trPr>
          <w:trHeight w:val="290"/>
        </w:trPr>
        <w:tc>
          <w:tcPr>
            <w:tcW w:w="3126" w:type="pct"/>
            <w:noWrap/>
            <w:vAlign w:val="center"/>
            <w:hideMark/>
          </w:tcPr>
          <w:p w14:paraId="3E787F2C" w14:textId="77777777" w:rsidR="0024344F" w:rsidRPr="006C163B" w:rsidRDefault="0024344F" w:rsidP="00B77B0C">
            <w:pPr>
              <w:spacing w:before="120" w:after="120"/>
              <w:rPr>
                <w:rFonts w:ascii="Arial" w:hAnsi="Arial" w:cs="Arial"/>
                <w:b/>
                <w:bCs/>
                <w:sz w:val="20"/>
                <w:szCs w:val="20"/>
              </w:rPr>
            </w:pPr>
            <w:r w:rsidRPr="006C163B">
              <w:rPr>
                <w:rFonts w:ascii="Arial" w:hAnsi="Arial" w:cs="Arial"/>
                <w:b/>
                <w:bCs/>
                <w:sz w:val="20"/>
                <w:szCs w:val="20"/>
              </w:rPr>
              <w:t>ONG Vision d’amour</w:t>
            </w:r>
          </w:p>
        </w:tc>
        <w:tc>
          <w:tcPr>
            <w:tcW w:w="1095" w:type="pct"/>
            <w:gridSpan w:val="2"/>
            <w:noWrap/>
            <w:vAlign w:val="center"/>
            <w:hideMark/>
          </w:tcPr>
          <w:p w14:paraId="2FB3880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Côte d’Ivoire</w:t>
            </w:r>
          </w:p>
        </w:tc>
        <w:tc>
          <w:tcPr>
            <w:tcW w:w="779" w:type="pct"/>
            <w:noWrap/>
            <w:vAlign w:val="center"/>
            <w:hideMark/>
          </w:tcPr>
          <w:p w14:paraId="1575AA71"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NGO-90664</w:t>
            </w:r>
          </w:p>
        </w:tc>
      </w:tr>
      <w:tr w:rsidR="0024344F" w:rsidRPr="006C163B" w14:paraId="7C0AA66F" w14:textId="77777777" w:rsidTr="00B77B0C">
        <w:trPr>
          <w:trHeight w:val="290"/>
        </w:trPr>
        <w:tc>
          <w:tcPr>
            <w:tcW w:w="3126" w:type="pct"/>
            <w:noWrap/>
            <w:vAlign w:val="center"/>
            <w:hideMark/>
          </w:tcPr>
          <w:p w14:paraId="6AE3690C"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Palestinian</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Heritage</w:t>
            </w:r>
            <w:proofErr w:type="spellEnd"/>
            <w:r w:rsidRPr="006C163B">
              <w:rPr>
                <w:rFonts w:ascii="Arial" w:hAnsi="Arial" w:cs="Arial"/>
                <w:b/>
                <w:bCs/>
                <w:sz w:val="20"/>
                <w:szCs w:val="20"/>
              </w:rPr>
              <w:t xml:space="preserve"> Costume Association</w:t>
            </w:r>
          </w:p>
        </w:tc>
        <w:tc>
          <w:tcPr>
            <w:tcW w:w="1095" w:type="pct"/>
            <w:gridSpan w:val="2"/>
            <w:noWrap/>
            <w:vAlign w:val="center"/>
            <w:hideMark/>
          </w:tcPr>
          <w:p w14:paraId="3141D7D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État de Palestine</w:t>
            </w:r>
          </w:p>
        </w:tc>
        <w:tc>
          <w:tcPr>
            <w:tcW w:w="779" w:type="pct"/>
            <w:noWrap/>
            <w:vAlign w:val="center"/>
            <w:hideMark/>
          </w:tcPr>
          <w:p w14:paraId="4602FF5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NGO-90694</w:t>
            </w:r>
          </w:p>
        </w:tc>
      </w:tr>
      <w:tr w:rsidR="0024344F" w:rsidRPr="006C163B" w14:paraId="54D19438" w14:textId="77777777" w:rsidTr="00B77B0C">
        <w:trPr>
          <w:trHeight w:val="290"/>
        </w:trPr>
        <w:tc>
          <w:tcPr>
            <w:tcW w:w="3126" w:type="pct"/>
            <w:noWrap/>
            <w:vAlign w:val="center"/>
            <w:hideMark/>
          </w:tcPr>
          <w:p w14:paraId="3F9FFDDD"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Persekutuan Tarian Singa Dan Naga Malaysia </w:t>
            </w:r>
            <w:r w:rsidRPr="006C163B">
              <w:rPr>
                <w:rFonts w:ascii="Arial" w:hAnsi="Arial" w:cs="Arial"/>
                <w:b/>
                <w:bCs/>
                <w:sz w:val="20"/>
                <w:szCs w:val="20"/>
                <w:lang w:val="en-GB"/>
              </w:rPr>
              <w:br/>
            </w:r>
            <w:r w:rsidRPr="006C163B">
              <w:rPr>
                <w:rFonts w:ascii="Arial" w:hAnsi="Arial" w:cs="Arial"/>
                <w:sz w:val="20"/>
                <w:szCs w:val="20"/>
                <w:lang w:val="en-GB"/>
              </w:rPr>
              <w:t>The Lion and Dragon Dances Federation Malaysia</w:t>
            </w:r>
          </w:p>
        </w:tc>
        <w:tc>
          <w:tcPr>
            <w:tcW w:w="1095" w:type="pct"/>
            <w:gridSpan w:val="2"/>
            <w:noWrap/>
            <w:vAlign w:val="center"/>
            <w:hideMark/>
          </w:tcPr>
          <w:p w14:paraId="77DAE5C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Malaisie</w:t>
            </w:r>
          </w:p>
        </w:tc>
        <w:tc>
          <w:tcPr>
            <w:tcW w:w="779" w:type="pct"/>
            <w:noWrap/>
            <w:vAlign w:val="center"/>
            <w:hideMark/>
          </w:tcPr>
          <w:p w14:paraId="23AD9248"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NGO-90648</w:t>
            </w:r>
          </w:p>
        </w:tc>
      </w:tr>
      <w:tr w:rsidR="0024344F" w:rsidRPr="006C163B" w14:paraId="7BC38DF2" w14:textId="77777777" w:rsidTr="00B77B0C">
        <w:trPr>
          <w:trHeight w:val="290"/>
        </w:trPr>
        <w:tc>
          <w:tcPr>
            <w:tcW w:w="3126" w:type="pct"/>
            <w:noWrap/>
            <w:vAlign w:val="center"/>
          </w:tcPr>
          <w:p w14:paraId="07300DCD"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Phuthadikobo</w:t>
            </w:r>
            <w:proofErr w:type="spellEnd"/>
            <w:r w:rsidRPr="006C163B">
              <w:rPr>
                <w:rFonts w:ascii="Arial" w:hAnsi="Arial" w:cs="Arial"/>
                <w:b/>
                <w:bCs/>
                <w:sz w:val="20"/>
                <w:szCs w:val="20"/>
              </w:rPr>
              <w:t xml:space="preserve"> Museum Trust</w:t>
            </w:r>
          </w:p>
        </w:tc>
        <w:tc>
          <w:tcPr>
            <w:tcW w:w="1095" w:type="pct"/>
            <w:gridSpan w:val="2"/>
            <w:noWrap/>
            <w:vAlign w:val="center"/>
          </w:tcPr>
          <w:p w14:paraId="598E22B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Botswana</w:t>
            </w:r>
          </w:p>
        </w:tc>
        <w:tc>
          <w:tcPr>
            <w:tcW w:w="779" w:type="pct"/>
            <w:noWrap/>
            <w:vAlign w:val="center"/>
          </w:tcPr>
          <w:p w14:paraId="3CD613D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NGO-90645</w:t>
            </w:r>
          </w:p>
        </w:tc>
      </w:tr>
      <w:tr w:rsidR="0024344F" w:rsidRPr="006C163B" w14:paraId="2F176320" w14:textId="77777777" w:rsidTr="00B77B0C">
        <w:trPr>
          <w:trHeight w:val="290"/>
        </w:trPr>
        <w:tc>
          <w:tcPr>
            <w:tcW w:w="3126" w:type="pct"/>
            <w:noWrap/>
            <w:vAlign w:val="center"/>
            <w:hideMark/>
          </w:tcPr>
          <w:p w14:paraId="18296644"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Sanat </w:t>
            </w:r>
            <w:proofErr w:type="spellStart"/>
            <w:r w:rsidRPr="006C163B">
              <w:rPr>
                <w:rFonts w:ascii="Arial" w:hAnsi="Arial" w:cs="Arial"/>
                <w:b/>
                <w:bCs/>
                <w:sz w:val="20"/>
                <w:szCs w:val="20"/>
                <w:lang w:val="en-GB"/>
              </w:rPr>
              <w:t>Tarihi</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Araştırmaları</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Derneği</w:t>
            </w:r>
            <w:proofErr w:type="spellEnd"/>
            <w:r w:rsidRPr="006C163B">
              <w:rPr>
                <w:rFonts w:ascii="Arial" w:hAnsi="Arial" w:cs="Arial"/>
                <w:b/>
                <w:bCs/>
                <w:sz w:val="20"/>
                <w:szCs w:val="20"/>
                <w:lang w:val="en-GB"/>
              </w:rPr>
              <w:t xml:space="preserve"> - STA </w:t>
            </w:r>
            <w:r w:rsidRPr="006C163B">
              <w:rPr>
                <w:rFonts w:ascii="Arial" w:hAnsi="Arial" w:cs="Arial"/>
                <w:b/>
                <w:bCs/>
                <w:sz w:val="20"/>
                <w:szCs w:val="20"/>
                <w:lang w:val="en-GB"/>
              </w:rPr>
              <w:br/>
            </w:r>
            <w:r w:rsidRPr="006C163B">
              <w:rPr>
                <w:rFonts w:ascii="Arial" w:hAnsi="Arial" w:cs="Arial"/>
                <w:sz w:val="20"/>
                <w:szCs w:val="20"/>
                <w:lang w:val="en-GB"/>
              </w:rPr>
              <w:t>Art History Research Association - STA</w:t>
            </w:r>
          </w:p>
        </w:tc>
        <w:tc>
          <w:tcPr>
            <w:tcW w:w="1095" w:type="pct"/>
            <w:gridSpan w:val="2"/>
            <w:noWrap/>
            <w:vAlign w:val="center"/>
            <w:hideMark/>
          </w:tcPr>
          <w:p w14:paraId="0745012B"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7D4A868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NGO-90672</w:t>
            </w:r>
          </w:p>
        </w:tc>
      </w:tr>
      <w:tr w:rsidR="0024344F" w:rsidRPr="006C163B" w14:paraId="0BBC7DD6" w14:textId="77777777" w:rsidTr="00B77B0C">
        <w:trPr>
          <w:trHeight w:val="290"/>
        </w:trPr>
        <w:tc>
          <w:tcPr>
            <w:tcW w:w="3126" w:type="pct"/>
            <w:noWrap/>
            <w:vAlign w:val="center"/>
            <w:hideMark/>
          </w:tcPr>
          <w:p w14:paraId="2F428F21"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Şefik</w:t>
            </w:r>
            <w:proofErr w:type="spellEnd"/>
            <w:r w:rsidRPr="006C163B">
              <w:rPr>
                <w:rFonts w:ascii="Arial" w:hAnsi="Arial" w:cs="Arial"/>
                <w:b/>
                <w:bCs/>
                <w:sz w:val="20"/>
                <w:szCs w:val="20"/>
              </w:rPr>
              <w:t xml:space="preserve"> Can </w:t>
            </w:r>
            <w:proofErr w:type="spellStart"/>
            <w:r w:rsidRPr="006C163B">
              <w:rPr>
                <w:rFonts w:ascii="Arial" w:hAnsi="Arial" w:cs="Arial"/>
                <w:b/>
                <w:bCs/>
                <w:sz w:val="20"/>
                <w:szCs w:val="20"/>
              </w:rPr>
              <w:t>Uluslararası</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Mevlana</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Eğitim</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ve</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Kültür</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Vakfı</w:t>
            </w:r>
            <w:proofErr w:type="spellEnd"/>
            <w:r w:rsidRPr="006C163B">
              <w:rPr>
                <w:rFonts w:ascii="Arial" w:hAnsi="Arial" w:cs="Arial"/>
                <w:b/>
                <w:bCs/>
                <w:sz w:val="20"/>
                <w:szCs w:val="20"/>
              </w:rPr>
              <w:t xml:space="preserve"> </w:t>
            </w:r>
            <w:r w:rsidRPr="006C163B">
              <w:rPr>
                <w:rFonts w:ascii="Arial" w:hAnsi="Arial" w:cs="Arial"/>
                <w:b/>
                <w:bCs/>
                <w:sz w:val="20"/>
                <w:szCs w:val="20"/>
              </w:rPr>
              <w:br/>
            </w:r>
            <w:proofErr w:type="spellStart"/>
            <w:r w:rsidRPr="006C163B">
              <w:rPr>
                <w:rFonts w:ascii="Arial" w:hAnsi="Arial" w:cs="Arial"/>
                <w:sz w:val="20"/>
                <w:szCs w:val="20"/>
              </w:rPr>
              <w:t>Rumi</w:t>
            </w:r>
            <w:proofErr w:type="spellEnd"/>
            <w:r w:rsidRPr="006C163B">
              <w:rPr>
                <w:rFonts w:ascii="Arial" w:hAnsi="Arial" w:cs="Arial"/>
                <w:sz w:val="20"/>
                <w:szCs w:val="20"/>
              </w:rPr>
              <w:t xml:space="preserve"> and </w:t>
            </w:r>
            <w:proofErr w:type="spellStart"/>
            <w:r w:rsidRPr="006C163B">
              <w:rPr>
                <w:rFonts w:ascii="Arial" w:hAnsi="Arial" w:cs="Arial"/>
                <w:sz w:val="20"/>
                <w:szCs w:val="20"/>
              </w:rPr>
              <w:t>Şefik</w:t>
            </w:r>
            <w:proofErr w:type="spellEnd"/>
            <w:r w:rsidRPr="006C163B">
              <w:rPr>
                <w:rFonts w:ascii="Arial" w:hAnsi="Arial" w:cs="Arial"/>
                <w:sz w:val="20"/>
                <w:szCs w:val="20"/>
              </w:rPr>
              <w:t xml:space="preserve"> Can </w:t>
            </w:r>
            <w:proofErr w:type="spellStart"/>
            <w:r w:rsidRPr="006C163B">
              <w:rPr>
                <w:rFonts w:ascii="Arial" w:hAnsi="Arial" w:cs="Arial"/>
                <w:sz w:val="20"/>
                <w:szCs w:val="20"/>
              </w:rPr>
              <w:t>Foundation</w:t>
            </w:r>
            <w:proofErr w:type="spellEnd"/>
          </w:p>
        </w:tc>
        <w:tc>
          <w:tcPr>
            <w:tcW w:w="1095" w:type="pct"/>
            <w:gridSpan w:val="2"/>
            <w:noWrap/>
            <w:vAlign w:val="center"/>
            <w:hideMark/>
          </w:tcPr>
          <w:p w14:paraId="2779A9E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779" w:type="pct"/>
            <w:noWrap/>
            <w:vAlign w:val="center"/>
            <w:hideMark/>
          </w:tcPr>
          <w:p w14:paraId="0178A0C6"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NGO-90683</w:t>
            </w:r>
          </w:p>
        </w:tc>
      </w:tr>
      <w:tr w:rsidR="0024344F" w:rsidRPr="006C163B" w14:paraId="01808E24" w14:textId="77777777" w:rsidTr="00B77B0C">
        <w:trPr>
          <w:trHeight w:val="290"/>
        </w:trPr>
        <w:tc>
          <w:tcPr>
            <w:tcW w:w="3126" w:type="pct"/>
            <w:noWrap/>
            <w:vAlign w:val="center"/>
          </w:tcPr>
          <w:p w14:paraId="59342D2B"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Tchendukua</w:t>
            </w:r>
            <w:proofErr w:type="spellEnd"/>
            <w:r w:rsidRPr="006C163B">
              <w:rPr>
                <w:rFonts w:ascii="Arial" w:hAnsi="Arial" w:cs="Arial"/>
                <w:b/>
                <w:bCs/>
                <w:sz w:val="20"/>
                <w:szCs w:val="20"/>
              </w:rPr>
              <w:t xml:space="preserve"> - Ici et Ailleurs</w:t>
            </w:r>
          </w:p>
        </w:tc>
        <w:tc>
          <w:tcPr>
            <w:tcW w:w="1095" w:type="pct"/>
            <w:gridSpan w:val="2"/>
            <w:noWrap/>
            <w:vAlign w:val="center"/>
          </w:tcPr>
          <w:p w14:paraId="41B5B954"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79" w:type="pct"/>
            <w:noWrap/>
            <w:vAlign w:val="center"/>
          </w:tcPr>
          <w:p w14:paraId="7393A07B"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NGO-90671</w:t>
            </w:r>
          </w:p>
        </w:tc>
      </w:tr>
      <w:tr w:rsidR="0024344F" w:rsidRPr="006C163B" w14:paraId="6C61FDBF" w14:textId="77777777" w:rsidTr="00B77B0C">
        <w:trPr>
          <w:trHeight w:val="290"/>
        </w:trPr>
        <w:tc>
          <w:tcPr>
            <w:tcW w:w="3126" w:type="pct"/>
            <w:noWrap/>
            <w:vAlign w:val="center"/>
            <w:hideMark/>
          </w:tcPr>
          <w:p w14:paraId="3BD9AD81"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The Hope and Well Being Foundation</w:t>
            </w:r>
          </w:p>
        </w:tc>
        <w:tc>
          <w:tcPr>
            <w:tcW w:w="1095" w:type="pct"/>
            <w:gridSpan w:val="2"/>
            <w:noWrap/>
            <w:vAlign w:val="center"/>
            <w:hideMark/>
          </w:tcPr>
          <w:p w14:paraId="28E21112"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779" w:type="pct"/>
            <w:noWrap/>
            <w:vAlign w:val="center"/>
            <w:hideMark/>
          </w:tcPr>
          <w:p w14:paraId="03B5B15D"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NGO-90627</w:t>
            </w:r>
          </w:p>
        </w:tc>
      </w:tr>
      <w:tr w:rsidR="0024344F" w:rsidRPr="006C163B" w14:paraId="7B78AC98" w14:textId="77777777" w:rsidTr="00B77B0C">
        <w:trPr>
          <w:trHeight w:val="290"/>
        </w:trPr>
        <w:tc>
          <w:tcPr>
            <w:tcW w:w="3126" w:type="pct"/>
            <w:noWrap/>
            <w:vAlign w:val="center"/>
          </w:tcPr>
          <w:p w14:paraId="065074BD" w14:textId="77777777" w:rsidR="0024344F" w:rsidRPr="006C163B" w:rsidRDefault="0024344F"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Yayasan </w:t>
            </w:r>
            <w:proofErr w:type="spellStart"/>
            <w:r w:rsidRPr="006C163B">
              <w:rPr>
                <w:rFonts w:ascii="Arial" w:hAnsi="Arial" w:cs="Arial"/>
                <w:b/>
                <w:bCs/>
                <w:sz w:val="20"/>
                <w:szCs w:val="20"/>
                <w:lang w:val="en-GB"/>
              </w:rPr>
              <w:t>Noken</w:t>
            </w:r>
            <w:proofErr w:type="spellEnd"/>
            <w:r w:rsidRPr="006C163B">
              <w:rPr>
                <w:rFonts w:ascii="Arial" w:hAnsi="Arial" w:cs="Arial"/>
                <w:b/>
                <w:bCs/>
                <w:sz w:val="20"/>
                <w:szCs w:val="20"/>
                <w:lang w:val="en-GB"/>
              </w:rPr>
              <w:t xml:space="preserve"> Papua - YNP Papua </w:t>
            </w:r>
            <w:proofErr w:type="spellStart"/>
            <w:r w:rsidRPr="006C163B">
              <w:rPr>
                <w:rFonts w:ascii="Arial" w:hAnsi="Arial" w:cs="Arial"/>
                <w:b/>
                <w:bCs/>
                <w:sz w:val="20"/>
                <w:szCs w:val="20"/>
                <w:lang w:val="en-GB"/>
              </w:rPr>
              <w:t>Noken</w:t>
            </w:r>
            <w:proofErr w:type="spellEnd"/>
            <w:r w:rsidRPr="006C163B">
              <w:rPr>
                <w:rFonts w:ascii="Arial" w:hAnsi="Arial" w:cs="Arial"/>
                <w:b/>
                <w:bCs/>
                <w:sz w:val="20"/>
                <w:szCs w:val="20"/>
                <w:lang w:val="en-GB"/>
              </w:rPr>
              <w:t xml:space="preserve"> Foundation - PNF</w:t>
            </w:r>
          </w:p>
        </w:tc>
        <w:tc>
          <w:tcPr>
            <w:tcW w:w="1095" w:type="pct"/>
            <w:gridSpan w:val="2"/>
            <w:noWrap/>
            <w:vAlign w:val="center"/>
          </w:tcPr>
          <w:p w14:paraId="579B1CF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Indonésie</w:t>
            </w:r>
          </w:p>
        </w:tc>
        <w:tc>
          <w:tcPr>
            <w:tcW w:w="779" w:type="pct"/>
            <w:noWrap/>
            <w:vAlign w:val="center"/>
          </w:tcPr>
          <w:p w14:paraId="74B26925"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NGO-90639</w:t>
            </w:r>
          </w:p>
        </w:tc>
      </w:tr>
      <w:tr w:rsidR="0024344F" w:rsidRPr="006C163B" w14:paraId="67B43492" w14:textId="77777777" w:rsidTr="00B77B0C">
        <w:trPr>
          <w:trHeight w:val="290"/>
        </w:trPr>
        <w:tc>
          <w:tcPr>
            <w:tcW w:w="3126" w:type="pct"/>
            <w:noWrap/>
            <w:vAlign w:val="center"/>
            <w:hideMark/>
          </w:tcPr>
          <w:p w14:paraId="5F8242AC" w14:textId="77777777" w:rsidR="0024344F" w:rsidRPr="006C163B" w:rsidRDefault="0024344F" w:rsidP="00B77B0C">
            <w:pPr>
              <w:spacing w:before="120" w:after="120"/>
              <w:rPr>
                <w:rFonts w:ascii="Arial" w:hAnsi="Arial" w:cs="Arial"/>
                <w:b/>
                <w:bCs/>
                <w:sz w:val="20"/>
                <w:szCs w:val="20"/>
              </w:rPr>
            </w:pPr>
            <w:proofErr w:type="spellStart"/>
            <w:r w:rsidRPr="006C163B">
              <w:rPr>
                <w:rFonts w:ascii="Arial" w:hAnsi="Arial" w:cs="Arial"/>
                <w:b/>
                <w:bCs/>
                <w:sz w:val="20"/>
                <w:szCs w:val="20"/>
              </w:rPr>
              <w:t>Yinka</w:t>
            </w:r>
            <w:proofErr w:type="spellEnd"/>
            <w:r w:rsidRPr="006C163B">
              <w:rPr>
                <w:rFonts w:ascii="Arial" w:hAnsi="Arial" w:cs="Arial"/>
                <w:b/>
                <w:bCs/>
                <w:sz w:val="20"/>
                <w:szCs w:val="20"/>
              </w:rPr>
              <w:t xml:space="preserve"> Law</w:t>
            </w:r>
          </w:p>
        </w:tc>
        <w:tc>
          <w:tcPr>
            <w:tcW w:w="1095" w:type="pct"/>
            <w:gridSpan w:val="2"/>
            <w:noWrap/>
            <w:vAlign w:val="center"/>
            <w:hideMark/>
          </w:tcPr>
          <w:p w14:paraId="2344994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Canada</w:t>
            </w:r>
          </w:p>
        </w:tc>
        <w:tc>
          <w:tcPr>
            <w:tcW w:w="779" w:type="pct"/>
            <w:noWrap/>
            <w:vAlign w:val="center"/>
            <w:hideMark/>
          </w:tcPr>
          <w:p w14:paraId="19B8F5A3"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NGO-90695</w:t>
            </w:r>
          </w:p>
        </w:tc>
      </w:tr>
      <w:tr w:rsidR="0024344F" w:rsidRPr="006C163B" w14:paraId="70E60830" w14:textId="77777777" w:rsidTr="00B77B0C">
        <w:trPr>
          <w:trHeight w:val="290"/>
        </w:trPr>
        <w:tc>
          <w:tcPr>
            <w:tcW w:w="3126" w:type="pct"/>
            <w:noWrap/>
            <w:vAlign w:val="center"/>
            <w:hideMark/>
          </w:tcPr>
          <w:p w14:paraId="0751B463" w14:textId="77777777" w:rsidR="0024344F" w:rsidRPr="006C163B" w:rsidRDefault="0024344F" w:rsidP="00B77B0C">
            <w:pPr>
              <w:spacing w:before="120" w:after="120"/>
              <w:rPr>
                <w:rFonts w:ascii="Arial" w:hAnsi="Arial" w:cs="Arial"/>
                <w:b/>
                <w:bCs/>
                <w:sz w:val="20"/>
                <w:szCs w:val="20"/>
                <w:lang w:val="en-GB"/>
              </w:rPr>
            </w:pPr>
            <w:proofErr w:type="spellStart"/>
            <w:proofErr w:type="gramStart"/>
            <w:r w:rsidRPr="006C163B">
              <w:rPr>
                <w:rFonts w:ascii="Arial" w:eastAsia="Malgun Gothic" w:hAnsi="Arial" w:cs="Arial"/>
                <w:b/>
                <w:bCs/>
                <w:sz w:val="20"/>
                <w:szCs w:val="20"/>
              </w:rPr>
              <w:t>한국외국어대학교</w:t>
            </w:r>
            <w:proofErr w:type="spellEnd"/>
            <w:proofErr w:type="gramEnd"/>
            <w:r w:rsidRPr="006C163B">
              <w:rPr>
                <w:rFonts w:ascii="Arial" w:hAnsi="Arial" w:cs="Arial"/>
                <w:b/>
                <w:bCs/>
                <w:sz w:val="20"/>
                <w:szCs w:val="20"/>
                <w:lang w:val="en-GB"/>
              </w:rPr>
              <w:t xml:space="preserve"> </w:t>
            </w:r>
            <w:proofErr w:type="spellStart"/>
            <w:r w:rsidRPr="006C163B">
              <w:rPr>
                <w:rFonts w:ascii="Arial" w:eastAsia="Malgun Gothic" w:hAnsi="Arial" w:cs="Arial"/>
                <w:b/>
                <w:bCs/>
                <w:sz w:val="20"/>
                <w:szCs w:val="20"/>
              </w:rPr>
              <w:t>문화유산연구센터</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r w:rsidRPr="006C163B">
              <w:rPr>
                <w:rFonts w:ascii="Arial" w:hAnsi="Arial" w:cs="Arial"/>
                <w:sz w:val="20"/>
                <w:szCs w:val="20"/>
                <w:lang w:val="en-GB"/>
              </w:rPr>
              <w:t>Research Institute for Cultural Heritage at Hankuk University of Foreign Studies - HUFSRICH</w:t>
            </w:r>
          </w:p>
        </w:tc>
        <w:tc>
          <w:tcPr>
            <w:tcW w:w="1095" w:type="pct"/>
            <w:gridSpan w:val="2"/>
            <w:noWrap/>
            <w:vAlign w:val="center"/>
            <w:hideMark/>
          </w:tcPr>
          <w:p w14:paraId="6481EA4B"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République de Corée</w:t>
            </w:r>
          </w:p>
        </w:tc>
        <w:tc>
          <w:tcPr>
            <w:tcW w:w="779" w:type="pct"/>
            <w:noWrap/>
            <w:vAlign w:val="center"/>
            <w:hideMark/>
          </w:tcPr>
          <w:p w14:paraId="67061F27" w14:textId="77777777" w:rsidR="0024344F" w:rsidRPr="006C163B" w:rsidRDefault="0024344F" w:rsidP="00B77B0C">
            <w:pPr>
              <w:spacing w:before="120" w:after="120"/>
              <w:jc w:val="center"/>
              <w:rPr>
                <w:rFonts w:ascii="Arial" w:hAnsi="Arial" w:cs="Arial"/>
                <w:sz w:val="20"/>
                <w:szCs w:val="20"/>
              </w:rPr>
            </w:pPr>
            <w:r w:rsidRPr="006C163B">
              <w:rPr>
                <w:rFonts w:ascii="Arial" w:hAnsi="Arial" w:cs="Arial"/>
                <w:sz w:val="20"/>
                <w:szCs w:val="20"/>
              </w:rPr>
              <w:t>NGO-90656</w:t>
            </w:r>
          </w:p>
        </w:tc>
      </w:tr>
    </w:tbl>
    <w:p w14:paraId="2F741493" w14:textId="459373C5" w:rsidR="00C60CC8" w:rsidRPr="006C163B" w:rsidRDefault="00C60CC8" w:rsidP="008123D6">
      <w:pPr>
        <w:keepNext/>
        <w:spacing w:before="360" w:after="120"/>
        <w:ind w:left="1276" w:hanging="1276"/>
        <w:rPr>
          <w:rFonts w:ascii="Arial" w:hAnsi="Arial" w:cs="Arial"/>
          <w:b/>
          <w:bCs/>
          <w:sz w:val="22"/>
          <w:szCs w:val="22"/>
        </w:rPr>
      </w:pPr>
      <w:r w:rsidRPr="006C163B">
        <w:rPr>
          <w:rFonts w:ascii="Arial" w:hAnsi="Arial" w:cs="Arial"/>
          <w:b/>
          <w:bCs/>
          <w:sz w:val="22"/>
          <w:szCs w:val="22"/>
        </w:rPr>
        <w:lastRenderedPageBreak/>
        <w:t>Annexe III :</w:t>
      </w:r>
      <w:r w:rsidRPr="006C163B">
        <w:rPr>
          <w:rFonts w:ascii="Arial" w:hAnsi="Arial" w:cs="Arial"/>
          <w:b/>
          <w:bCs/>
          <w:sz w:val="22"/>
          <w:szCs w:val="22"/>
        </w:rPr>
        <w:tab/>
        <w:t>Organisations non gouvernementales accréditées dont le renouvellement d’accréditation est recommandé</w:t>
      </w:r>
    </w:p>
    <w:tbl>
      <w:tblPr>
        <w:tblStyle w:val="TableGrid"/>
        <w:tblW w:w="9632" w:type="dxa"/>
        <w:tblLayout w:type="fixed"/>
        <w:tblLook w:val="04A0" w:firstRow="1" w:lastRow="0" w:firstColumn="1" w:lastColumn="0" w:noHBand="0" w:noVBand="1"/>
      </w:tblPr>
      <w:tblGrid>
        <w:gridCol w:w="6021"/>
        <w:gridCol w:w="2109"/>
        <w:gridCol w:w="1502"/>
      </w:tblGrid>
      <w:tr w:rsidR="00C60CC8" w:rsidRPr="006C163B" w14:paraId="25C2AEB3" w14:textId="77777777" w:rsidTr="00B77B0C">
        <w:trPr>
          <w:cantSplit/>
          <w:trHeight w:val="290"/>
        </w:trPr>
        <w:tc>
          <w:tcPr>
            <w:tcW w:w="6021" w:type="dxa"/>
            <w:shd w:val="clear" w:color="auto" w:fill="73A0DD"/>
            <w:vAlign w:val="center"/>
            <w:hideMark/>
          </w:tcPr>
          <w:p w14:paraId="13461CB4" w14:textId="77777777" w:rsidR="00C60CC8" w:rsidRPr="006C163B" w:rsidRDefault="00C60CC8" w:rsidP="008123D6">
            <w:pPr>
              <w:keepNext/>
              <w:spacing w:before="120" w:after="120"/>
              <w:jc w:val="center"/>
              <w:rPr>
                <w:rFonts w:ascii="Arial" w:hAnsi="Arial" w:cs="Arial"/>
                <w:b/>
                <w:bCs/>
                <w:sz w:val="20"/>
                <w:szCs w:val="20"/>
              </w:rPr>
            </w:pPr>
            <w:r w:rsidRPr="006C163B">
              <w:rPr>
                <w:rFonts w:ascii="Arial" w:hAnsi="Arial" w:cs="Arial"/>
                <w:b/>
                <w:bCs/>
                <w:sz w:val="20"/>
                <w:szCs w:val="20"/>
              </w:rPr>
              <w:t>Nom de l’organisation</w:t>
            </w:r>
          </w:p>
        </w:tc>
        <w:tc>
          <w:tcPr>
            <w:tcW w:w="2109" w:type="dxa"/>
            <w:shd w:val="clear" w:color="auto" w:fill="73A0DD"/>
            <w:vAlign w:val="center"/>
            <w:hideMark/>
          </w:tcPr>
          <w:p w14:paraId="03C7DBF1" w14:textId="77777777" w:rsidR="00C60CC8" w:rsidRPr="006C163B" w:rsidRDefault="00C60CC8" w:rsidP="00B77B0C">
            <w:pPr>
              <w:spacing w:before="120" w:after="120"/>
              <w:jc w:val="center"/>
              <w:rPr>
                <w:rFonts w:ascii="Arial" w:hAnsi="Arial" w:cs="Arial"/>
                <w:b/>
                <w:bCs/>
                <w:sz w:val="20"/>
                <w:szCs w:val="20"/>
              </w:rPr>
            </w:pPr>
            <w:r w:rsidRPr="006C163B">
              <w:rPr>
                <w:rFonts w:ascii="Arial" w:hAnsi="Arial" w:cs="Arial"/>
                <w:b/>
                <w:bCs/>
                <w:sz w:val="20"/>
                <w:szCs w:val="20"/>
              </w:rPr>
              <w:t>Pays du siège social</w:t>
            </w:r>
          </w:p>
        </w:tc>
        <w:tc>
          <w:tcPr>
            <w:tcW w:w="1502" w:type="dxa"/>
            <w:shd w:val="clear" w:color="auto" w:fill="73A0DD"/>
            <w:vAlign w:val="center"/>
            <w:hideMark/>
          </w:tcPr>
          <w:p w14:paraId="254D6905" w14:textId="77777777" w:rsidR="00C60CC8" w:rsidRPr="006C163B" w:rsidRDefault="00C60CC8" w:rsidP="00B77B0C">
            <w:pPr>
              <w:spacing w:before="120" w:after="120"/>
              <w:jc w:val="center"/>
              <w:rPr>
                <w:rFonts w:ascii="Arial" w:hAnsi="Arial" w:cs="Arial"/>
                <w:b/>
                <w:bCs/>
                <w:sz w:val="20"/>
                <w:szCs w:val="20"/>
              </w:rPr>
            </w:pPr>
            <w:r w:rsidRPr="006C163B">
              <w:rPr>
                <w:rFonts w:ascii="Arial" w:hAnsi="Arial" w:cs="Arial"/>
                <w:b/>
                <w:bCs/>
                <w:sz w:val="20"/>
                <w:szCs w:val="20"/>
              </w:rPr>
              <w:t>Numéro de demande</w:t>
            </w:r>
          </w:p>
        </w:tc>
      </w:tr>
      <w:tr w:rsidR="00C60CC8" w:rsidRPr="006C163B" w14:paraId="34345C42" w14:textId="77777777" w:rsidTr="00B77B0C">
        <w:trPr>
          <w:cantSplit/>
          <w:trHeight w:val="290"/>
        </w:trPr>
        <w:tc>
          <w:tcPr>
            <w:tcW w:w="6021" w:type="dxa"/>
            <w:vAlign w:val="center"/>
            <w:hideMark/>
          </w:tcPr>
          <w:p w14:paraId="38B4C040"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ABAIM</w:t>
            </w:r>
          </w:p>
        </w:tc>
        <w:tc>
          <w:tcPr>
            <w:tcW w:w="2109" w:type="dxa"/>
            <w:vAlign w:val="center"/>
            <w:hideMark/>
          </w:tcPr>
          <w:p w14:paraId="09402C1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Maurice</w:t>
            </w:r>
          </w:p>
        </w:tc>
        <w:tc>
          <w:tcPr>
            <w:tcW w:w="1502" w:type="dxa"/>
            <w:vAlign w:val="center"/>
            <w:hideMark/>
          </w:tcPr>
          <w:p w14:paraId="7DE779B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NGO-90443</w:t>
            </w:r>
          </w:p>
        </w:tc>
      </w:tr>
      <w:tr w:rsidR="00C60CC8" w:rsidRPr="006C163B" w14:paraId="6017D98C" w14:textId="77777777" w:rsidTr="00B77B0C">
        <w:trPr>
          <w:cantSplit/>
          <w:trHeight w:val="290"/>
        </w:trPr>
        <w:tc>
          <w:tcPr>
            <w:tcW w:w="6021" w:type="dxa"/>
            <w:vAlign w:val="center"/>
            <w:hideMark/>
          </w:tcPr>
          <w:p w14:paraId="57C42B9D"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Aigine</w:t>
            </w:r>
            <w:proofErr w:type="spellEnd"/>
            <w:r w:rsidRPr="006C163B">
              <w:rPr>
                <w:rFonts w:ascii="Arial" w:hAnsi="Arial" w:cs="Arial"/>
                <w:b/>
                <w:bCs/>
                <w:sz w:val="20"/>
                <w:szCs w:val="20"/>
              </w:rPr>
              <w:t xml:space="preserve"> Cultural </w:t>
            </w:r>
            <w:proofErr w:type="spellStart"/>
            <w:r w:rsidRPr="006C163B">
              <w:rPr>
                <w:rFonts w:ascii="Arial" w:hAnsi="Arial" w:cs="Arial"/>
                <w:b/>
                <w:bCs/>
                <w:sz w:val="20"/>
                <w:szCs w:val="20"/>
              </w:rPr>
              <w:t>Research</w:t>
            </w:r>
            <w:proofErr w:type="spellEnd"/>
            <w:r w:rsidRPr="006C163B">
              <w:rPr>
                <w:rFonts w:ascii="Arial" w:hAnsi="Arial" w:cs="Arial"/>
                <w:b/>
                <w:bCs/>
                <w:sz w:val="20"/>
                <w:szCs w:val="20"/>
              </w:rPr>
              <w:t xml:space="preserve"> Center - </w:t>
            </w:r>
            <w:proofErr w:type="spellStart"/>
            <w:r w:rsidRPr="006C163B">
              <w:rPr>
                <w:rFonts w:ascii="Arial" w:hAnsi="Arial" w:cs="Arial"/>
                <w:b/>
                <w:bCs/>
                <w:sz w:val="20"/>
                <w:szCs w:val="20"/>
              </w:rPr>
              <w:t>Aigine</w:t>
            </w:r>
            <w:proofErr w:type="spellEnd"/>
            <w:r w:rsidRPr="006C163B">
              <w:rPr>
                <w:rFonts w:ascii="Arial" w:hAnsi="Arial" w:cs="Arial"/>
                <w:b/>
                <w:bCs/>
                <w:sz w:val="20"/>
                <w:szCs w:val="20"/>
              </w:rPr>
              <w:t xml:space="preserve"> CRC</w:t>
            </w:r>
          </w:p>
        </w:tc>
        <w:tc>
          <w:tcPr>
            <w:tcW w:w="2109" w:type="dxa"/>
            <w:vAlign w:val="center"/>
            <w:hideMark/>
          </w:tcPr>
          <w:p w14:paraId="1BCA057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Kirghizistan</w:t>
            </w:r>
          </w:p>
        </w:tc>
        <w:tc>
          <w:tcPr>
            <w:tcW w:w="1502" w:type="dxa"/>
            <w:vAlign w:val="center"/>
            <w:hideMark/>
          </w:tcPr>
          <w:p w14:paraId="30419C5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NGO-90335</w:t>
            </w:r>
          </w:p>
        </w:tc>
      </w:tr>
      <w:tr w:rsidR="00C60CC8" w:rsidRPr="006C163B" w14:paraId="00E750C9" w14:textId="77777777" w:rsidTr="00B77B0C">
        <w:trPr>
          <w:cantSplit/>
          <w:trHeight w:val="290"/>
        </w:trPr>
        <w:tc>
          <w:tcPr>
            <w:tcW w:w="6021" w:type="dxa"/>
            <w:vAlign w:val="center"/>
          </w:tcPr>
          <w:p w14:paraId="0E01BA30"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Ålakustens</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kulturarvsförening</w:t>
            </w:r>
            <w:proofErr w:type="spellEnd"/>
            <w:r w:rsidRPr="006C163B">
              <w:rPr>
                <w:rFonts w:ascii="Arial" w:hAnsi="Arial" w:cs="Arial"/>
                <w:b/>
                <w:bCs/>
                <w:sz w:val="20"/>
                <w:szCs w:val="20"/>
                <w:lang w:val="en-GB"/>
              </w:rPr>
              <w:t xml:space="preserve"> </w:t>
            </w:r>
            <w:r w:rsidRPr="006C163B">
              <w:rPr>
                <w:rFonts w:ascii="Arial" w:hAnsi="Arial" w:cs="Arial"/>
                <w:b/>
                <w:bCs/>
                <w:sz w:val="20"/>
                <w:szCs w:val="20"/>
                <w:lang w:val="en-GB"/>
              </w:rPr>
              <w:br/>
            </w:r>
            <w:r w:rsidRPr="006C163B">
              <w:rPr>
                <w:rFonts w:ascii="Arial" w:hAnsi="Arial" w:cs="Arial"/>
                <w:sz w:val="20"/>
                <w:szCs w:val="20"/>
                <w:lang w:val="en-GB"/>
              </w:rPr>
              <w:t>The Eel Coast Cultural Heritage NGO</w:t>
            </w:r>
          </w:p>
        </w:tc>
        <w:tc>
          <w:tcPr>
            <w:tcW w:w="2109" w:type="dxa"/>
            <w:vAlign w:val="center"/>
          </w:tcPr>
          <w:p w14:paraId="73506D3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Suède</w:t>
            </w:r>
          </w:p>
        </w:tc>
        <w:tc>
          <w:tcPr>
            <w:tcW w:w="1502" w:type="dxa"/>
            <w:vAlign w:val="center"/>
          </w:tcPr>
          <w:p w14:paraId="6F7BF15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NGO-90428</w:t>
            </w:r>
          </w:p>
        </w:tc>
      </w:tr>
      <w:tr w:rsidR="00C60CC8" w:rsidRPr="006C163B" w14:paraId="150EE4F6" w14:textId="77777777" w:rsidTr="00B77B0C">
        <w:trPr>
          <w:cantSplit/>
          <w:trHeight w:val="520"/>
        </w:trPr>
        <w:tc>
          <w:tcPr>
            <w:tcW w:w="6021" w:type="dxa"/>
            <w:vAlign w:val="center"/>
            <w:hideMark/>
          </w:tcPr>
          <w:p w14:paraId="4512D3F6"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Aşıq</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Şəmşir</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Mədəniyyət</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Ocağı</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İctimai</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Birliyi</w:t>
            </w:r>
            <w:proofErr w:type="spellEnd"/>
            <w:r w:rsidRPr="006C163B">
              <w:rPr>
                <w:rFonts w:ascii="Arial" w:hAnsi="Arial" w:cs="Arial"/>
                <w:b/>
                <w:bCs/>
                <w:sz w:val="20"/>
                <w:szCs w:val="20"/>
              </w:rPr>
              <w:br/>
            </w:r>
            <w:proofErr w:type="spellStart"/>
            <w:r w:rsidRPr="006C163B">
              <w:rPr>
                <w:rFonts w:ascii="Arial" w:hAnsi="Arial" w:cs="Arial"/>
                <w:sz w:val="20"/>
                <w:szCs w:val="20"/>
              </w:rPr>
              <w:t>Ashiq</w:t>
            </w:r>
            <w:proofErr w:type="spellEnd"/>
            <w:r w:rsidRPr="006C163B">
              <w:rPr>
                <w:rFonts w:ascii="Arial" w:hAnsi="Arial" w:cs="Arial"/>
                <w:sz w:val="20"/>
                <w:szCs w:val="20"/>
              </w:rPr>
              <w:t xml:space="preserve"> </w:t>
            </w:r>
            <w:proofErr w:type="spellStart"/>
            <w:r w:rsidRPr="006C163B">
              <w:rPr>
                <w:rFonts w:ascii="Arial" w:hAnsi="Arial" w:cs="Arial"/>
                <w:sz w:val="20"/>
                <w:szCs w:val="20"/>
              </w:rPr>
              <w:t>Shamshir</w:t>
            </w:r>
            <w:proofErr w:type="spellEnd"/>
            <w:r w:rsidRPr="006C163B">
              <w:rPr>
                <w:rFonts w:ascii="Arial" w:hAnsi="Arial" w:cs="Arial"/>
                <w:sz w:val="20"/>
                <w:szCs w:val="20"/>
              </w:rPr>
              <w:t xml:space="preserve"> Cultural Center Public Union</w:t>
            </w:r>
          </w:p>
        </w:tc>
        <w:tc>
          <w:tcPr>
            <w:tcW w:w="2109" w:type="dxa"/>
            <w:vAlign w:val="center"/>
            <w:hideMark/>
          </w:tcPr>
          <w:p w14:paraId="7E5A4CE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Azerbaïdjan</w:t>
            </w:r>
          </w:p>
        </w:tc>
        <w:tc>
          <w:tcPr>
            <w:tcW w:w="1502" w:type="dxa"/>
            <w:vAlign w:val="center"/>
            <w:hideMark/>
          </w:tcPr>
          <w:p w14:paraId="6944F24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NGO-90327</w:t>
            </w:r>
          </w:p>
        </w:tc>
      </w:tr>
      <w:tr w:rsidR="00C60CC8" w:rsidRPr="006C163B" w14:paraId="5221C45F" w14:textId="77777777" w:rsidTr="00B77B0C">
        <w:trPr>
          <w:cantSplit/>
          <w:trHeight w:val="520"/>
        </w:trPr>
        <w:tc>
          <w:tcPr>
            <w:tcW w:w="6021" w:type="dxa"/>
            <w:vAlign w:val="center"/>
            <w:hideMark/>
          </w:tcPr>
          <w:p w14:paraId="77726511" w14:textId="77777777" w:rsidR="00C60CC8" w:rsidRPr="006C163B" w:rsidRDefault="00C60CC8" w:rsidP="00B77B0C">
            <w:pPr>
              <w:spacing w:before="120" w:after="120"/>
              <w:rPr>
                <w:rFonts w:ascii="Arial" w:hAnsi="Arial" w:cs="Arial"/>
                <w:b/>
                <w:bCs/>
                <w:sz w:val="20"/>
                <w:szCs w:val="20"/>
                <w:lang w:val="es-ES"/>
              </w:rPr>
            </w:pPr>
            <w:r w:rsidRPr="006C163B">
              <w:rPr>
                <w:rFonts w:ascii="Arial" w:hAnsi="Arial" w:cs="Arial"/>
                <w:b/>
                <w:bCs/>
                <w:sz w:val="20"/>
                <w:szCs w:val="20"/>
                <w:lang w:val="es-ES"/>
              </w:rPr>
              <w:t xml:space="preserve">Asociación Cultural e </w:t>
            </w:r>
            <w:proofErr w:type="spellStart"/>
            <w:r w:rsidRPr="006C163B">
              <w:rPr>
                <w:rFonts w:ascii="Arial" w:hAnsi="Arial" w:cs="Arial"/>
                <w:b/>
                <w:bCs/>
                <w:sz w:val="20"/>
                <w:szCs w:val="20"/>
                <w:lang w:val="es-ES"/>
              </w:rPr>
              <w:t>Pedagóxica</w:t>
            </w:r>
            <w:proofErr w:type="spellEnd"/>
            <w:r w:rsidRPr="006C163B">
              <w:rPr>
                <w:rFonts w:ascii="Arial" w:hAnsi="Arial" w:cs="Arial"/>
                <w:b/>
                <w:bCs/>
                <w:sz w:val="20"/>
                <w:szCs w:val="20"/>
                <w:lang w:val="es-ES"/>
              </w:rPr>
              <w:t xml:space="preserve"> ‘Ponte ... </w:t>
            </w:r>
            <w:proofErr w:type="spellStart"/>
            <w:r w:rsidRPr="006C163B">
              <w:rPr>
                <w:rFonts w:ascii="Arial" w:hAnsi="Arial" w:cs="Arial"/>
                <w:b/>
                <w:bCs/>
                <w:sz w:val="20"/>
                <w:szCs w:val="20"/>
                <w:lang w:val="es-ES"/>
              </w:rPr>
              <w:t>nas</w:t>
            </w:r>
            <w:proofErr w:type="spellEnd"/>
            <w:r w:rsidRPr="006C163B">
              <w:rPr>
                <w:rFonts w:ascii="Arial" w:hAnsi="Arial" w:cs="Arial"/>
                <w:b/>
                <w:bCs/>
                <w:sz w:val="20"/>
                <w:szCs w:val="20"/>
                <w:lang w:val="es-ES"/>
              </w:rPr>
              <w:t xml:space="preserve"> Ondas’</w:t>
            </w:r>
            <w:r w:rsidRPr="006C163B">
              <w:rPr>
                <w:rFonts w:ascii="Arial" w:hAnsi="Arial" w:cs="Arial"/>
                <w:b/>
                <w:bCs/>
                <w:sz w:val="20"/>
                <w:szCs w:val="20"/>
                <w:lang w:val="es-ES"/>
              </w:rPr>
              <w:br/>
            </w:r>
            <w:r w:rsidRPr="006C163B">
              <w:rPr>
                <w:rFonts w:ascii="Arial" w:hAnsi="Arial" w:cs="Arial"/>
                <w:sz w:val="20"/>
                <w:szCs w:val="20"/>
                <w:lang w:val="es-ES"/>
              </w:rPr>
              <w:t xml:space="preserve">Cultural and </w:t>
            </w:r>
            <w:proofErr w:type="spellStart"/>
            <w:r w:rsidRPr="006C163B">
              <w:rPr>
                <w:rFonts w:ascii="Arial" w:hAnsi="Arial" w:cs="Arial"/>
                <w:sz w:val="20"/>
                <w:szCs w:val="20"/>
                <w:lang w:val="es-ES"/>
              </w:rPr>
              <w:t>Educational</w:t>
            </w:r>
            <w:proofErr w:type="spellEnd"/>
            <w:r w:rsidRPr="006C163B">
              <w:rPr>
                <w:rFonts w:ascii="Arial" w:hAnsi="Arial" w:cs="Arial"/>
                <w:sz w:val="20"/>
                <w:szCs w:val="20"/>
                <w:lang w:val="es-ES"/>
              </w:rPr>
              <w:t xml:space="preserve"> </w:t>
            </w:r>
            <w:proofErr w:type="spellStart"/>
            <w:r w:rsidRPr="006C163B">
              <w:rPr>
                <w:rFonts w:ascii="Arial" w:hAnsi="Arial" w:cs="Arial"/>
                <w:sz w:val="20"/>
                <w:szCs w:val="20"/>
                <w:lang w:val="es-ES"/>
              </w:rPr>
              <w:t>Association</w:t>
            </w:r>
            <w:proofErr w:type="spellEnd"/>
            <w:r w:rsidRPr="006C163B">
              <w:rPr>
                <w:rFonts w:ascii="Arial" w:hAnsi="Arial" w:cs="Arial"/>
                <w:sz w:val="20"/>
                <w:szCs w:val="20"/>
                <w:lang w:val="es-ES"/>
              </w:rPr>
              <w:t xml:space="preserve"> ‘Ponte ... </w:t>
            </w:r>
            <w:proofErr w:type="spellStart"/>
            <w:r w:rsidRPr="006C163B">
              <w:rPr>
                <w:rFonts w:ascii="Arial" w:hAnsi="Arial" w:cs="Arial"/>
                <w:sz w:val="20"/>
                <w:szCs w:val="20"/>
                <w:lang w:val="es-ES"/>
              </w:rPr>
              <w:t>nas</w:t>
            </w:r>
            <w:proofErr w:type="spellEnd"/>
            <w:r w:rsidRPr="006C163B">
              <w:rPr>
                <w:rFonts w:ascii="Arial" w:hAnsi="Arial" w:cs="Arial"/>
                <w:sz w:val="20"/>
                <w:szCs w:val="20"/>
                <w:lang w:val="es-ES"/>
              </w:rPr>
              <w:t xml:space="preserve"> Ondas’</w:t>
            </w:r>
          </w:p>
        </w:tc>
        <w:tc>
          <w:tcPr>
            <w:tcW w:w="2109" w:type="dxa"/>
            <w:vAlign w:val="center"/>
            <w:hideMark/>
          </w:tcPr>
          <w:p w14:paraId="7A9C23C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Espagne</w:t>
            </w:r>
          </w:p>
        </w:tc>
        <w:tc>
          <w:tcPr>
            <w:tcW w:w="1502" w:type="dxa"/>
            <w:vAlign w:val="center"/>
            <w:hideMark/>
          </w:tcPr>
          <w:p w14:paraId="5314703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NGO-90355</w:t>
            </w:r>
          </w:p>
        </w:tc>
      </w:tr>
      <w:tr w:rsidR="00C60CC8" w:rsidRPr="006C163B" w14:paraId="27AA1C0B" w14:textId="77777777" w:rsidTr="00B77B0C">
        <w:trPr>
          <w:cantSplit/>
          <w:trHeight w:val="520"/>
        </w:trPr>
        <w:tc>
          <w:tcPr>
            <w:tcW w:w="6021" w:type="dxa"/>
            <w:vAlign w:val="center"/>
            <w:hideMark/>
          </w:tcPr>
          <w:p w14:paraId="74775AE8"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Asosiasi</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Tradisi</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Lisan</w:t>
            </w:r>
            <w:proofErr w:type="spellEnd"/>
            <w:r w:rsidRPr="006C163B">
              <w:rPr>
                <w:rFonts w:ascii="Arial" w:hAnsi="Arial" w:cs="Arial"/>
                <w:b/>
                <w:bCs/>
                <w:sz w:val="20"/>
                <w:szCs w:val="20"/>
              </w:rPr>
              <w:t xml:space="preserve"> (ATL)</w:t>
            </w:r>
            <w:r w:rsidRPr="006C163B">
              <w:rPr>
                <w:rFonts w:ascii="Arial" w:hAnsi="Arial" w:cs="Arial"/>
                <w:b/>
                <w:bCs/>
                <w:sz w:val="20"/>
                <w:szCs w:val="20"/>
              </w:rPr>
              <w:br/>
            </w:r>
            <w:r w:rsidRPr="006C163B">
              <w:rPr>
                <w:rFonts w:ascii="Arial" w:hAnsi="Arial" w:cs="Arial"/>
                <w:sz w:val="20"/>
                <w:szCs w:val="20"/>
              </w:rPr>
              <w:t>Oral Tradition Association (OTA) - ATL</w:t>
            </w:r>
          </w:p>
        </w:tc>
        <w:tc>
          <w:tcPr>
            <w:tcW w:w="2109" w:type="dxa"/>
            <w:vAlign w:val="center"/>
            <w:hideMark/>
          </w:tcPr>
          <w:p w14:paraId="21E773C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Indonésie</w:t>
            </w:r>
          </w:p>
        </w:tc>
        <w:tc>
          <w:tcPr>
            <w:tcW w:w="1502" w:type="dxa"/>
            <w:vAlign w:val="center"/>
            <w:hideMark/>
          </w:tcPr>
          <w:p w14:paraId="4751C97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NGO-90223</w:t>
            </w:r>
          </w:p>
        </w:tc>
      </w:tr>
      <w:tr w:rsidR="00C60CC8" w:rsidRPr="006C163B" w14:paraId="639997B3" w14:textId="77777777" w:rsidTr="00B77B0C">
        <w:trPr>
          <w:cantSplit/>
          <w:trHeight w:val="520"/>
        </w:trPr>
        <w:tc>
          <w:tcPr>
            <w:tcW w:w="6021" w:type="dxa"/>
            <w:vAlign w:val="center"/>
            <w:hideMark/>
          </w:tcPr>
          <w:p w14:paraId="44028E9D"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Associació</w:t>
            </w:r>
            <w:proofErr w:type="spellEnd"/>
            <w:r w:rsidRPr="006C163B">
              <w:rPr>
                <w:rFonts w:ascii="Arial" w:hAnsi="Arial" w:cs="Arial"/>
                <w:b/>
                <w:bCs/>
                <w:sz w:val="20"/>
                <w:szCs w:val="20"/>
              </w:rPr>
              <w:t xml:space="preserve"> d’</w:t>
            </w:r>
            <w:proofErr w:type="spellStart"/>
            <w:r w:rsidRPr="006C163B">
              <w:rPr>
                <w:rFonts w:ascii="Arial" w:hAnsi="Arial" w:cs="Arial"/>
                <w:b/>
                <w:bCs/>
                <w:sz w:val="20"/>
                <w:szCs w:val="20"/>
              </w:rPr>
              <w:t>Estudis</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Fallers</w:t>
            </w:r>
            <w:proofErr w:type="spellEnd"/>
            <w:r w:rsidRPr="006C163B">
              <w:rPr>
                <w:rFonts w:ascii="Arial" w:hAnsi="Arial" w:cs="Arial"/>
                <w:b/>
                <w:bCs/>
                <w:sz w:val="20"/>
                <w:szCs w:val="20"/>
              </w:rPr>
              <w:t xml:space="preserve"> (ADEF)</w:t>
            </w:r>
            <w:r w:rsidRPr="006C163B">
              <w:rPr>
                <w:rFonts w:ascii="Arial" w:hAnsi="Arial" w:cs="Arial"/>
                <w:b/>
                <w:bCs/>
                <w:sz w:val="20"/>
                <w:szCs w:val="20"/>
              </w:rPr>
              <w:br/>
            </w:r>
            <w:proofErr w:type="spellStart"/>
            <w:r w:rsidRPr="006C163B">
              <w:rPr>
                <w:rFonts w:ascii="Arial" w:hAnsi="Arial" w:cs="Arial"/>
                <w:sz w:val="20"/>
                <w:szCs w:val="20"/>
              </w:rPr>
              <w:t>Fallas</w:t>
            </w:r>
            <w:proofErr w:type="spellEnd"/>
            <w:r w:rsidRPr="006C163B">
              <w:rPr>
                <w:rFonts w:ascii="Arial" w:hAnsi="Arial" w:cs="Arial"/>
                <w:sz w:val="20"/>
                <w:szCs w:val="20"/>
              </w:rPr>
              <w:t xml:space="preserve"> </w:t>
            </w:r>
            <w:proofErr w:type="spellStart"/>
            <w:r w:rsidRPr="006C163B">
              <w:rPr>
                <w:rFonts w:ascii="Arial" w:hAnsi="Arial" w:cs="Arial"/>
                <w:sz w:val="20"/>
                <w:szCs w:val="20"/>
              </w:rPr>
              <w:t>studies</w:t>
            </w:r>
            <w:proofErr w:type="spellEnd"/>
            <w:r w:rsidRPr="006C163B">
              <w:rPr>
                <w:rFonts w:ascii="Arial" w:hAnsi="Arial" w:cs="Arial"/>
                <w:sz w:val="20"/>
                <w:szCs w:val="20"/>
              </w:rPr>
              <w:t xml:space="preserve"> association</w:t>
            </w:r>
          </w:p>
        </w:tc>
        <w:tc>
          <w:tcPr>
            <w:tcW w:w="2109" w:type="dxa"/>
            <w:vAlign w:val="center"/>
            <w:hideMark/>
          </w:tcPr>
          <w:p w14:paraId="3125F4D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Espagne</w:t>
            </w:r>
          </w:p>
        </w:tc>
        <w:tc>
          <w:tcPr>
            <w:tcW w:w="1502" w:type="dxa"/>
            <w:vAlign w:val="center"/>
            <w:hideMark/>
          </w:tcPr>
          <w:p w14:paraId="182F248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NGO-90350</w:t>
            </w:r>
          </w:p>
        </w:tc>
      </w:tr>
      <w:tr w:rsidR="00C60CC8" w:rsidRPr="006C163B" w14:paraId="184DDFF4" w14:textId="77777777" w:rsidTr="00B77B0C">
        <w:trPr>
          <w:cantSplit/>
          <w:trHeight w:val="290"/>
        </w:trPr>
        <w:tc>
          <w:tcPr>
            <w:tcW w:w="6021" w:type="dxa"/>
            <w:vAlign w:val="center"/>
            <w:hideMark/>
          </w:tcPr>
          <w:p w14:paraId="165D9881"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Association Culturelle </w:t>
            </w:r>
            <w:proofErr w:type="spellStart"/>
            <w:r w:rsidRPr="006C163B">
              <w:rPr>
                <w:rFonts w:ascii="Arial" w:hAnsi="Arial" w:cs="Arial"/>
                <w:b/>
                <w:bCs/>
                <w:sz w:val="20"/>
                <w:szCs w:val="20"/>
              </w:rPr>
              <w:t>Passaté</w:t>
            </w:r>
            <w:proofErr w:type="spellEnd"/>
          </w:p>
        </w:tc>
        <w:tc>
          <w:tcPr>
            <w:tcW w:w="2109" w:type="dxa"/>
            <w:vAlign w:val="center"/>
            <w:hideMark/>
          </w:tcPr>
          <w:p w14:paraId="1FB0449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Burkina Faso</w:t>
            </w:r>
          </w:p>
        </w:tc>
        <w:tc>
          <w:tcPr>
            <w:tcW w:w="1502" w:type="dxa"/>
            <w:vAlign w:val="center"/>
            <w:hideMark/>
          </w:tcPr>
          <w:p w14:paraId="4844F3E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NGO-90450</w:t>
            </w:r>
          </w:p>
        </w:tc>
      </w:tr>
      <w:tr w:rsidR="00C60CC8" w:rsidRPr="006C163B" w14:paraId="2121C98C" w14:textId="77777777" w:rsidTr="00B77B0C">
        <w:trPr>
          <w:cantSplit/>
          <w:trHeight w:val="290"/>
        </w:trPr>
        <w:tc>
          <w:tcPr>
            <w:tcW w:w="6021" w:type="dxa"/>
            <w:vAlign w:val="center"/>
            <w:hideMark/>
          </w:tcPr>
          <w:p w14:paraId="7E9550DB"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Association </w:t>
            </w:r>
            <w:proofErr w:type="spellStart"/>
            <w:r w:rsidRPr="006C163B">
              <w:rPr>
                <w:rFonts w:ascii="Arial" w:hAnsi="Arial" w:cs="Arial"/>
                <w:b/>
                <w:bCs/>
                <w:sz w:val="20"/>
                <w:szCs w:val="20"/>
              </w:rPr>
              <w:t>Mamelomaso</w:t>
            </w:r>
            <w:proofErr w:type="spellEnd"/>
            <w:r w:rsidRPr="006C163B">
              <w:rPr>
                <w:rFonts w:ascii="Arial" w:hAnsi="Arial" w:cs="Arial"/>
                <w:b/>
                <w:bCs/>
                <w:sz w:val="20"/>
                <w:szCs w:val="20"/>
              </w:rPr>
              <w:t xml:space="preserve"> (MM)</w:t>
            </w:r>
          </w:p>
        </w:tc>
        <w:tc>
          <w:tcPr>
            <w:tcW w:w="2109" w:type="dxa"/>
            <w:vAlign w:val="center"/>
            <w:hideMark/>
          </w:tcPr>
          <w:p w14:paraId="414BCAC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Madagascar</w:t>
            </w:r>
          </w:p>
        </w:tc>
        <w:tc>
          <w:tcPr>
            <w:tcW w:w="1502" w:type="dxa"/>
            <w:vAlign w:val="center"/>
            <w:hideMark/>
          </w:tcPr>
          <w:p w14:paraId="13AE4F3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NGO-90419</w:t>
            </w:r>
          </w:p>
        </w:tc>
      </w:tr>
      <w:tr w:rsidR="00C60CC8" w:rsidRPr="006C163B" w14:paraId="481714DF" w14:textId="77777777" w:rsidTr="00B77B0C">
        <w:trPr>
          <w:cantSplit/>
          <w:trHeight w:val="520"/>
        </w:trPr>
        <w:tc>
          <w:tcPr>
            <w:tcW w:w="6021" w:type="dxa"/>
            <w:vAlign w:val="center"/>
            <w:hideMark/>
          </w:tcPr>
          <w:p w14:paraId="283DCE29"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Association mauritanienne pour la sauvegarde du patrimoine culturel immatériel - AMS - PCI</w:t>
            </w:r>
          </w:p>
        </w:tc>
        <w:tc>
          <w:tcPr>
            <w:tcW w:w="2109" w:type="dxa"/>
            <w:vAlign w:val="center"/>
            <w:hideMark/>
          </w:tcPr>
          <w:p w14:paraId="661ACD9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Mauritanie</w:t>
            </w:r>
          </w:p>
        </w:tc>
        <w:tc>
          <w:tcPr>
            <w:tcW w:w="1502" w:type="dxa"/>
            <w:vAlign w:val="center"/>
            <w:hideMark/>
          </w:tcPr>
          <w:p w14:paraId="2D4EEE4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NGO-90347</w:t>
            </w:r>
          </w:p>
        </w:tc>
      </w:tr>
      <w:tr w:rsidR="00C60CC8" w:rsidRPr="006C163B" w14:paraId="1A433FEF" w14:textId="77777777" w:rsidTr="00B77B0C">
        <w:trPr>
          <w:cantSplit/>
          <w:trHeight w:val="290"/>
        </w:trPr>
        <w:tc>
          <w:tcPr>
            <w:tcW w:w="6021" w:type="dxa"/>
            <w:vAlign w:val="center"/>
            <w:hideMark/>
          </w:tcPr>
          <w:p w14:paraId="38888003"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Association pour la sauvegarde des masques - ASAMA</w:t>
            </w:r>
          </w:p>
        </w:tc>
        <w:tc>
          <w:tcPr>
            <w:tcW w:w="2109" w:type="dxa"/>
            <w:vAlign w:val="center"/>
            <w:hideMark/>
          </w:tcPr>
          <w:p w14:paraId="67A3B42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Burkina Faso</w:t>
            </w:r>
          </w:p>
        </w:tc>
        <w:tc>
          <w:tcPr>
            <w:tcW w:w="1502" w:type="dxa"/>
            <w:vAlign w:val="center"/>
            <w:hideMark/>
          </w:tcPr>
          <w:p w14:paraId="0E4222F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NGO-90209</w:t>
            </w:r>
          </w:p>
        </w:tc>
      </w:tr>
      <w:tr w:rsidR="00C60CC8" w:rsidRPr="006C163B" w14:paraId="5D24F870" w14:textId="77777777" w:rsidTr="00B77B0C">
        <w:trPr>
          <w:cantSplit/>
          <w:trHeight w:val="520"/>
        </w:trPr>
        <w:tc>
          <w:tcPr>
            <w:tcW w:w="6021" w:type="dxa"/>
            <w:vAlign w:val="center"/>
            <w:hideMark/>
          </w:tcPr>
          <w:p w14:paraId="20F87923" w14:textId="77777777" w:rsidR="00C60CC8" w:rsidRPr="00C60CC8" w:rsidRDefault="00C60CC8" w:rsidP="00B77B0C">
            <w:pPr>
              <w:spacing w:before="120" w:after="120"/>
              <w:rPr>
                <w:rFonts w:ascii="Arial" w:hAnsi="Arial" w:cs="Arial"/>
                <w:b/>
                <w:bCs/>
                <w:sz w:val="20"/>
                <w:szCs w:val="20"/>
                <w:lang w:val="it-IT"/>
              </w:rPr>
            </w:pPr>
            <w:r w:rsidRPr="00C60CC8">
              <w:rPr>
                <w:rFonts w:ascii="Arial" w:hAnsi="Arial" w:cs="Arial"/>
                <w:b/>
                <w:bCs/>
                <w:sz w:val="20"/>
                <w:szCs w:val="20"/>
                <w:lang w:val="it-IT"/>
              </w:rPr>
              <w:t>Associazione Culturale ‘Circolo della Zampogna’</w:t>
            </w:r>
            <w:r w:rsidRPr="00C60CC8">
              <w:rPr>
                <w:rFonts w:ascii="Arial" w:hAnsi="Arial" w:cs="Arial"/>
                <w:b/>
                <w:bCs/>
                <w:sz w:val="20"/>
                <w:szCs w:val="20"/>
                <w:lang w:val="it-IT"/>
              </w:rPr>
              <w:br/>
            </w:r>
            <w:r w:rsidRPr="00C60CC8">
              <w:rPr>
                <w:rFonts w:ascii="Arial" w:hAnsi="Arial" w:cs="Arial"/>
                <w:sz w:val="20"/>
                <w:szCs w:val="20"/>
                <w:lang w:val="it-IT"/>
              </w:rPr>
              <w:t>Cultural Association ‘Bagpipe Club’</w:t>
            </w:r>
          </w:p>
        </w:tc>
        <w:tc>
          <w:tcPr>
            <w:tcW w:w="2109" w:type="dxa"/>
            <w:vAlign w:val="center"/>
            <w:hideMark/>
          </w:tcPr>
          <w:p w14:paraId="774BE7D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Italie</w:t>
            </w:r>
          </w:p>
        </w:tc>
        <w:tc>
          <w:tcPr>
            <w:tcW w:w="1502" w:type="dxa"/>
            <w:vAlign w:val="center"/>
            <w:hideMark/>
          </w:tcPr>
          <w:p w14:paraId="360AF34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NGO-90222</w:t>
            </w:r>
          </w:p>
        </w:tc>
      </w:tr>
      <w:tr w:rsidR="00C60CC8" w:rsidRPr="006C163B" w14:paraId="00E7E4AA" w14:textId="77777777" w:rsidTr="00B77B0C">
        <w:trPr>
          <w:cantSplit/>
          <w:trHeight w:val="520"/>
        </w:trPr>
        <w:tc>
          <w:tcPr>
            <w:tcW w:w="6021" w:type="dxa"/>
            <w:vAlign w:val="center"/>
            <w:hideMark/>
          </w:tcPr>
          <w:p w14:paraId="6E5BB940"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Azərbaycan</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Xalçaçıları</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İctimai</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Birliyi</w:t>
            </w:r>
            <w:proofErr w:type="spellEnd"/>
            <w:r w:rsidRPr="006C163B">
              <w:rPr>
                <w:rFonts w:ascii="Arial" w:hAnsi="Arial" w:cs="Arial"/>
                <w:b/>
                <w:bCs/>
                <w:sz w:val="20"/>
                <w:szCs w:val="20"/>
              </w:rPr>
              <w:br/>
            </w:r>
            <w:proofErr w:type="spellStart"/>
            <w:r w:rsidRPr="006C163B">
              <w:rPr>
                <w:rFonts w:ascii="Arial" w:hAnsi="Arial" w:cs="Arial"/>
                <w:sz w:val="20"/>
                <w:szCs w:val="20"/>
              </w:rPr>
              <w:t>Azerbaijani</w:t>
            </w:r>
            <w:proofErr w:type="spellEnd"/>
            <w:r w:rsidRPr="006C163B">
              <w:rPr>
                <w:rFonts w:ascii="Arial" w:hAnsi="Arial" w:cs="Arial"/>
                <w:sz w:val="20"/>
                <w:szCs w:val="20"/>
              </w:rPr>
              <w:t xml:space="preserve"> </w:t>
            </w:r>
            <w:proofErr w:type="spellStart"/>
            <w:r w:rsidRPr="006C163B">
              <w:rPr>
                <w:rFonts w:ascii="Arial" w:hAnsi="Arial" w:cs="Arial"/>
                <w:sz w:val="20"/>
                <w:szCs w:val="20"/>
              </w:rPr>
              <w:t>Carpetmakers</w:t>
            </w:r>
            <w:proofErr w:type="spellEnd"/>
            <w:r w:rsidRPr="006C163B">
              <w:rPr>
                <w:rFonts w:ascii="Arial" w:hAnsi="Arial" w:cs="Arial"/>
                <w:sz w:val="20"/>
                <w:szCs w:val="20"/>
              </w:rPr>
              <w:t>’ Union</w:t>
            </w:r>
          </w:p>
        </w:tc>
        <w:tc>
          <w:tcPr>
            <w:tcW w:w="2109" w:type="dxa"/>
            <w:vAlign w:val="center"/>
            <w:hideMark/>
          </w:tcPr>
          <w:p w14:paraId="4FDEC0E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Azerbaïdjan</w:t>
            </w:r>
          </w:p>
        </w:tc>
        <w:tc>
          <w:tcPr>
            <w:tcW w:w="1502" w:type="dxa"/>
            <w:vAlign w:val="center"/>
            <w:hideMark/>
          </w:tcPr>
          <w:p w14:paraId="2F9BA3C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NGO-90266</w:t>
            </w:r>
          </w:p>
        </w:tc>
      </w:tr>
      <w:tr w:rsidR="00C60CC8" w:rsidRPr="006C163B" w14:paraId="6699B6E8" w14:textId="77777777" w:rsidTr="00B77B0C">
        <w:trPr>
          <w:cantSplit/>
          <w:trHeight w:val="1040"/>
        </w:trPr>
        <w:tc>
          <w:tcPr>
            <w:tcW w:w="6021" w:type="dxa"/>
            <w:vAlign w:val="center"/>
            <w:hideMark/>
          </w:tcPr>
          <w:p w14:paraId="5B3C0487"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Bund Heimat und Umwelt in Deutschland, </w:t>
            </w:r>
            <w:proofErr w:type="spellStart"/>
            <w:r w:rsidRPr="006C163B">
              <w:rPr>
                <w:rFonts w:ascii="Arial" w:hAnsi="Arial" w:cs="Arial"/>
                <w:b/>
                <w:bCs/>
                <w:sz w:val="20"/>
                <w:szCs w:val="20"/>
                <w:lang w:val="en-GB"/>
              </w:rPr>
              <w:t>Bundesverband</w:t>
            </w:r>
            <w:proofErr w:type="spellEnd"/>
            <w:r w:rsidRPr="006C163B">
              <w:rPr>
                <w:rFonts w:ascii="Arial" w:hAnsi="Arial" w:cs="Arial"/>
                <w:b/>
                <w:bCs/>
                <w:sz w:val="20"/>
                <w:szCs w:val="20"/>
                <w:lang w:val="en-GB"/>
              </w:rPr>
              <w:t xml:space="preserve"> für Kultur, </w:t>
            </w:r>
            <w:proofErr w:type="spellStart"/>
            <w:r w:rsidRPr="006C163B">
              <w:rPr>
                <w:rFonts w:ascii="Arial" w:hAnsi="Arial" w:cs="Arial"/>
                <w:b/>
                <w:bCs/>
                <w:sz w:val="20"/>
                <w:szCs w:val="20"/>
                <w:lang w:val="en-GB"/>
              </w:rPr>
              <w:t>Natur</w:t>
            </w:r>
            <w:proofErr w:type="spellEnd"/>
            <w:r w:rsidRPr="006C163B">
              <w:rPr>
                <w:rFonts w:ascii="Arial" w:hAnsi="Arial" w:cs="Arial"/>
                <w:b/>
                <w:bCs/>
                <w:sz w:val="20"/>
                <w:szCs w:val="20"/>
                <w:lang w:val="en-GB"/>
              </w:rPr>
              <w:t xml:space="preserve"> und Heimat </w:t>
            </w:r>
            <w:proofErr w:type="spellStart"/>
            <w:r w:rsidRPr="006C163B">
              <w:rPr>
                <w:rFonts w:ascii="Arial" w:hAnsi="Arial" w:cs="Arial"/>
                <w:b/>
                <w:bCs/>
                <w:sz w:val="20"/>
                <w:szCs w:val="20"/>
                <w:lang w:val="en-GB"/>
              </w:rPr>
              <w:t>e.V.</w:t>
            </w:r>
            <w:proofErr w:type="spellEnd"/>
            <w:r w:rsidRPr="006C163B">
              <w:rPr>
                <w:rFonts w:ascii="Arial" w:hAnsi="Arial" w:cs="Arial"/>
                <w:b/>
                <w:bCs/>
                <w:sz w:val="20"/>
                <w:szCs w:val="20"/>
                <w:lang w:val="en-GB"/>
              </w:rPr>
              <w:br/>
            </w:r>
            <w:r w:rsidRPr="006C163B">
              <w:rPr>
                <w:rFonts w:ascii="Arial" w:hAnsi="Arial" w:cs="Arial"/>
                <w:sz w:val="20"/>
                <w:szCs w:val="20"/>
                <w:lang w:val="en-GB"/>
              </w:rPr>
              <w:t>Federal Organisation of the Local Heritage Organisations in Germany</w:t>
            </w:r>
          </w:p>
        </w:tc>
        <w:tc>
          <w:tcPr>
            <w:tcW w:w="2109" w:type="dxa"/>
            <w:vAlign w:val="center"/>
            <w:hideMark/>
          </w:tcPr>
          <w:p w14:paraId="2886A6C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Allemagne</w:t>
            </w:r>
          </w:p>
        </w:tc>
        <w:tc>
          <w:tcPr>
            <w:tcW w:w="1502" w:type="dxa"/>
            <w:vAlign w:val="center"/>
            <w:hideMark/>
          </w:tcPr>
          <w:p w14:paraId="50B90FA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NGO-90353</w:t>
            </w:r>
          </w:p>
        </w:tc>
      </w:tr>
      <w:tr w:rsidR="00C60CC8" w:rsidRPr="006C163B" w14:paraId="400D80A1" w14:textId="77777777" w:rsidTr="00B77B0C">
        <w:trPr>
          <w:cantSplit/>
          <w:trHeight w:val="290"/>
        </w:trPr>
        <w:tc>
          <w:tcPr>
            <w:tcW w:w="6021" w:type="dxa"/>
            <w:vAlign w:val="center"/>
            <w:hideMark/>
          </w:tcPr>
          <w:p w14:paraId="320AC231"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Carrefour mondial de l’accordéon</w:t>
            </w:r>
          </w:p>
        </w:tc>
        <w:tc>
          <w:tcPr>
            <w:tcW w:w="2109" w:type="dxa"/>
            <w:vAlign w:val="center"/>
            <w:hideMark/>
          </w:tcPr>
          <w:p w14:paraId="61C8987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678DA55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NGO-90439</w:t>
            </w:r>
          </w:p>
        </w:tc>
      </w:tr>
      <w:tr w:rsidR="00C60CC8" w:rsidRPr="006C163B" w14:paraId="0B54E3B9" w14:textId="77777777" w:rsidTr="00B77B0C">
        <w:trPr>
          <w:cantSplit/>
          <w:trHeight w:val="290"/>
        </w:trPr>
        <w:tc>
          <w:tcPr>
            <w:tcW w:w="6021" w:type="dxa"/>
            <w:vAlign w:val="center"/>
            <w:hideMark/>
          </w:tcPr>
          <w:p w14:paraId="610C81E5"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Centre Albert </w:t>
            </w:r>
            <w:proofErr w:type="spellStart"/>
            <w:r w:rsidRPr="006C163B">
              <w:rPr>
                <w:rFonts w:ascii="Arial" w:hAnsi="Arial" w:cs="Arial"/>
                <w:b/>
                <w:bCs/>
                <w:sz w:val="20"/>
                <w:szCs w:val="20"/>
              </w:rPr>
              <w:t>Marinus</w:t>
            </w:r>
            <w:proofErr w:type="spellEnd"/>
          </w:p>
        </w:tc>
        <w:tc>
          <w:tcPr>
            <w:tcW w:w="2109" w:type="dxa"/>
            <w:vAlign w:val="center"/>
            <w:hideMark/>
          </w:tcPr>
          <w:p w14:paraId="37E00D2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1502" w:type="dxa"/>
            <w:vAlign w:val="center"/>
            <w:hideMark/>
          </w:tcPr>
          <w:p w14:paraId="296463C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NGO-90330</w:t>
            </w:r>
          </w:p>
        </w:tc>
      </w:tr>
      <w:tr w:rsidR="00C60CC8" w:rsidRPr="006C163B" w14:paraId="64E55B87" w14:textId="77777777" w:rsidTr="00B77B0C">
        <w:trPr>
          <w:cantSplit/>
          <w:trHeight w:val="520"/>
        </w:trPr>
        <w:tc>
          <w:tcPr>
            <w:tcW w:w="6021" w:type="dxa"/>
            <w:vAlign w:val="center"/>
            <w:hideMark/>
          </w:tcPr>
          <w:p w14:paraId="52B0F18B"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Centre for Black Culture and International Understanding, Osogbo</w:t>
            </w:r>
          </w:p>
        </w:tc>
        <w:tc>
          <w:tcPr>
            <w:tcW w:w="2109" w:type="dxa"/>
            <w:vAlign w:val="center"/>
            <w:hideMark/>
          </w:tcPr>
          <w:p w14:paraId="692F4A5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1502" w:type="dxa"/>
            <w:vAlign w:val="center"/>
            <w:hideMark/>
          </w:tcPr>
          <w:p w14:paraId="56430A0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NGO-90423</w:t>
            </w:r>
          </w:p>
        </w:tc>
      </w:tr>
      <w:tr w:rsidR="00C60CC8" w:rsidRPr="006C163B" w14:paraId="5589D289" w14:textId="77777777" w:rsidTr="00B77B0C">
        <w:trPr>
          <w:cantSplit/>
          <w:trHeight w:val="520"/>
        </w:trPr>
        <w:tc>
          <w:tcPr>
            <w:tcW w:w="6021" w:type="dxa"/>
            <w:vAlign w:val="center"/>
            <w:hideMark/>
          </w:tcPr>
          <w:p w14:paraId="4DF53CD5"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Centro </w:t>
            </w:r>
            <w:proofErr w:type="spellStart"/>
            <w:r w:rsidRPr="006C163B">
              <w:rPr>
                <w:rFonts w:ascii="Arial" w:hAnsi="Arial" w:cs="Arial"/>
                <w:b/>
                <w:bCs/>
                <w:sz w:val="20"/>
                <w:szCs w:val="20"/>
                <w:lang w:val="en-GB"/>
              </w:rPr>
              <w:t>Etnografico</w:t>
            </w:r>
            <w:proofErr w:type="spellEnd"/>
            <w:r w:rsidRPr="006C163B">
              <w:rPr>
                <w:rFonts w:ascii="Arial" w:hAnsi="Arial" w:cs="Arial"/>
                <w:b/>
                <w:bCs/>
                <w:sz w:val="20"/>
                <w:szCs w:val="20"/>
                <w:lang w:val="en-GB"/>
              </w:rPr>
              <w:t xml:space="preserve"> delle </w:t>
            </w:r>
            <w:proofErr w:type="spellStart"/>
            <w:r w:rsidRPr="006C163B">
              <w:rPr>
                <w:rFonts w:ascii="Arial" w:hAnsi="Arial" w:cs="Arial"/>
                <w:b/>
                <w:bCs/>
                <w:sz w:val="20"/>
                <w:szCs w:val="20"/>
                <w:lang w:val="en-GB"/>
              </w:rPr>
              <w:t>Isole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Campane</w:t>
            </w:r>
            <w:proofErr w:type="spellEnd"/>
            <w:r w:rsidRPr="006C163B">
              <w:rPr>
                <w:rFonts w:ascii="Arial" w:hAnsi="Arial" w:cs="Arial"/>
                <w:b/>
                <w:bCs/>
                <w:sz w:val="20"/>
                <w:szCs w:val="20"/>
                <w:lang w:val="en-GB"/>
              </w:rPr>
              <w:br/>
            </w:r>
            <w:r w:rsidRPr="006C163B">
              <w:rPr>
                <w:rFonts w:ascii="Arial" w:hAnsi="Arial" w:cs="Arial"/>
                <w:sz w:val="20"/>
                <w:szCs w:val="20"/>
                <w:lang w:val="en-GB"/>
              </w:rPr>
              <w:t xml:space="preserve">Ethnographic </w:t>
            </w:r>
            <w:proofErr w:type="spellStart"/>
            <w:r w:rsidRPr="006C163B">
              <w:rPr>
                <w:rFonts w:ascii="Arial" w:hAnsi="Arial" w:cs="Arial"/>
                <w:sz w:val="20"/>
                <w:szCs w:val="20"/>
                <w:lang w:val="en-GB"/>
              </w:rPr>
              <w:t>Center</w:t>
            </w:r>
            <w:proofErr w:type="spellEnd"/>
            <w:r w:rsidRPr="006C163B">
              <w:rPr>
                <w:rFonts w:ascii="Arial" w:hAnsi="Arial" w:cs="Arial"/>
                <w:sz w:val="20"/>
                <w:szCs w:val="20"/>
                <w:lang w:val="en-GB"/>
              </w:rPr>
              <w:t xml:space="preserve"> of the </w:t>
            </w:r>
            <w:proofErr w:type="spellStart"/>
            <w:r w:rsidRPr="006C163B">
              <w:rPr>
                <w:rFonts w:ascii="Arial" w:hAnsi="Arial" w:cs="Arial"/>
                <w:sz w:val="20"/>
                <w:szCs w:val="20"/>
                <w:lang w:val="en-GB"/>
              </w:rPr>
              <w:t>Campane</w:t>
            </w:r>
            <w:proofErr w:type="spellEnd"/>
            <w:r w:rsidRPr="006C163B">
              <w:rPr>
                <w:rFonts w:ascii="Arial" w:hAnsi="Arial" w:cs="Arial"/>
                <w:sz w:val="20"/>
                <w:szCs w:val="20"/>
                <w:lang w:val="en-GB"/>
              </w:rPr>
              <w:t xml:space="preserve"> Islands</w:t>
            </w:r>
          </w:p>
        </w:tc>
        <w:tc>
          <w:tcPr>
            <w:tcW w:w="2109" w:type="dxa"/>
            <w:vAlign w:val="center"/>
            <w:hideMark/>
          </w:tcPr>
          <w:p w14:paraId="542B9BB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Italie</w:t>
            </w:r>
          </w:p>
        </w:tc>
        <w:tc>
          <w:tcPr>
            <w:tcW w:w="1502" w:type="dxa"/>
            <w:vAlign w:val="center"/>
            <w:hideMark/>
          </w:tcPr>
          <w:p w14:paraId="280150E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NGO-90462</w:t>
            </w:r>
          </w:p>
        </w:tc>
      </w:tr>
      <w:tr w:rsidR="00C60CC8" w:rsidRPr="006C163B" w14:paraId="3AB07CA3" w14:textId="77777777" w:rsidTr="00B77B0C">
        <w:trPr>
          <w:cantSplit/>
          <w:trHeight w:val="520"/>
        </w:trPr>
        <w:tc>
          <w:tcPr>
            <w:tcW w:w="6021" w:type="dxa"/>
            <w:vAlign w:val="center"/>
            <w:hideMark/>
          </w:tcPr>
          <w:p w14:paraId="235EAE15" w14:textId="77777777" w:rsidR="00C60CC8" w:rsidRPr="006C163B" w:rsidRDefault="00C60CC8" w:rsidP="00B77B0C">
            <w:pPr>
              <w:spacing w:before="120"/>
              <w:rPr>
                <w:rFonts w:ascii="Arial" w:hAnsi="Arial" w:cs="Arial"/>
                <w:b/>
                <w:bCs/>
                <w:sz w:val="20"/>
                <w:szCs w:val="20"/>
              </w:rPr>
            </w:pPr>
            <w:r w:rsidRPr="006C163B">
              <w:rPr>
                <w:rFonts w:ascii="Arial" w:hAnsi="Arial" w:cs="Arial"/>
                <w:b/>
                <w:bCs/>
                <w:sz w:val="20"/>
                <w:szCs w:val="20"/>
              </w:rPr>
              <w:lastRenderedPageBreak/>
              <w:t>Conseil international des organisations de festivals de folklore et d’arts traditionnels - CIOFF</w:t>
            </w:r>
          </w:p>
          <w:p w14:paraId="02492D14" w14:textId="77777777" w:rsidR="00C60CC8" w:rsidRPr="006C163B" w:rsidRDefault="00C60CC8" w:rsidP="00B77B0C">
            <w:pPr>
              <w:spacing w:before="120" w:after="120"/>
              <w:contextualSpacing/>
              <w:rPr>
                <w:rFonts w:ascii="Arial" w:hAnsi="Arial" w:cs="Arial"/>
                <w:sz w:val="20"/>
                <w:szCs w:val="20"/>
                <w:lang w:val="en-GB"/>
              </w:rPr>
            </w:pPr>
            <w:r w:rsidRPr="006C163B">
              <w:rPr>
                <w:rFonts w:ascii="Arial" w:hAnsi="Arial" w:cs="Arial"/>
                <w:sz w:val="20"/>
                <w:szCs w:val="20"/>
                <w:lang w:val="en-GB"/>
              </w:rPr>
              <w:t>International Council of Organizations for Folklore Festivals and Folk Art - CIOFF</w:t>
            </w:r>
          </w:p>
          <w:p w14:paraId="4C531CC0" w14:textId="77777777" w:rsidR="00C60CC8" w:rsidRPr="006C163B" w:rsidRDefault="00C60CC8" w:rsidP="00B77B0C">
            <w:pPr>
              <w:spacing w:before="120" w:after="120"/>
              <w:rPr>
                <w:rFonts w:ascii="Arial" w:hAnsi="Arial" w:cs="Arial"/>
                <w:b/>
                <w:bCs/>
                <w:sz w:val="20"/>
                <w:szCs w:val="20"/>
                <w:lang w:val="es-ES"/>
              </w:rPr>
            </w:pPr>
            <w:r w:rsidRPr="006C163B">
              <w:rPr>
                <w:rFonts w:ascii="Arial" w:hAnsi="Arial" w:cs="Arial"/>
                <w:sz w:val="20"/>
                <w:szCs w:val="20"/>
                <w:lang w:val="es-ES"/>
              </w:rPr>
              <w:t>Consejo Internacional de las Organizaciones de Festivales de Folclor y de Artes Tradicionales - CIOFF</w:t>
            </w:r>
          </w:p>
        </w:tc>
        <w:tc>
          <w:tcPr>
            <w:tcW w:w="2109" w:type="dxa"/>
            <w:vAlign w:val="center"/>
            <w:hideMark/>
          </w:tcPr>
          <w:p w14:paraId="2B82CC5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1502" w:type="dxa"/>
            <w:vAlign w:val="center"/>
            <w:hideMark/>
          </w:tcPr>
          <w:p w14:paraId="53E6073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NGO-90129</w:t>
            </w:r>
          </w:p>
        </w:tc>
      </w:tr>
      <w:tr w:rsidR="00C60CC8" w:rsidRPr="006C163B" w14:paraId="6BE857D0" w14:textId="77777777" w:rsidTr="00B77B0C">
        <w:trPr>
          <w:cantSplit/>
          <w:trHeight w:val="290"/>
        </w:trPr>
        <w:tc>
          <w:tcPr>
            <w:tcW w:w="6021" w:type="dxa"/>
            <w:vAlign w:val="center"/>
            <w:hideMark/>
          </w:tcPr>
          <w:p w14:paraId="1FAA4C03"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Conseil québécois du patrimoine vivant</w:t>
            </w:r>
          </w:p>
        </w:tc>
        <w:tc>
          <w:tcPr>
            <w:tcW w:w="2109" w:type="dxa"/>
            <w:vAlign w:val="center"/>
            <w:hideMark/>
          </w:tcPr>
          <w:p w14:paraId="6332DDE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3178372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NGO-90243</w:t>
            </w:r>
          </w:p>
        </w:tc>
      </w:tr>
      <w:tr w:rsidR="00C60CC8" w:rsidRPr="006C163B" w14:paraId="260F3AAD" w14:textId="77777777" w:rsidTr="00B77B0C">
        <w:trPr>
          <w:cantSplit/>
          <w:trHeight w:val="520"/>
        </w:trPr>
        <w:tc>
          <w:tcPr>
            <w:tcW w:w="6021" w:type="dxa"/>
            <w:vAlign w:val="center"/>
            <w:hideMark/>
          </w:tcPr>
          <w:p w14:paraId="4B7DAA71" w14:textId="77777777" w:rsidR="00C60CC8" w:rsidRPr="0030217B" w:rsidRDefault="00C60CC8" w:rsidP="00B77B0C">
            <w:pPr>
              <w:spacing w:before="120" w:after="120"/>
              <w:rPr>
                <w:rFonts w:ascii="Arial" w:hAnsi="Arial" w:cs="Arial"/>
                <w:b/>
                <w:bCs/>
                <w:sz w:val="20"/>
                <w:szCs w:val="20"/>
              </w:rPr>
            </w:pPr>
            <w:r w:rsidRPr="0030217B">
              <w:rPr>
                <w:rFonts w:ascii="Arial" w:hAnsi="Arial" w:cs="Arial"/>
                <w:b/>
                <w:bCs/>
                <w:sz w:val="20"/>
                <w:szCs w:val="20"/>
              </w:rPr>
              <w:t xml:space="preserve">CRIA - Centro </w:t>
            </w:r>
            <w:proofErr w:type="spellStart"/>
            <w:r w:rsidRPr="0030217B">
              <w:rPr>
                <w:rFonts w:ascii="Arial" w:hAnsi="Arial" w:cs="Arial"/>
                <w:b/>
                <w:bCs/>
                <w:sz w:val="20"/>
                <w:szCs w:val="20"/>
              </w:rPr>
              <w:t>em</w:t>
            </w:r>
            <w:proofErr w:type="spellEnd"/>
            <w:r w:rsidRPr="0030217B">
              <w:rPr>
                <w:rFonts w:ascii="Arial" w:hAnsi="Arial" w:cs="Arial"/>
                <w:b/>
                <w:bCs/>
                <w:sz w:val="20"/>
                <w:szCs w:val="20"/>
              </w:rPr>
              <w:t xml:space="preserve"> </w:t>
            </w:r>
            <w:proofErr w:type="spellStart"/>
            <w:r w:rsidRPr="0030217B">
              <w:rPr>
                <w:rFonts w:ascii="Arial" w:hAnsi="Arial" w:cs="Arial"/>
                <w:b/>
                <w:bCs/>
                <w:sz w:val="20"/>
                <w:szCs w:val="20"/>
              </w:rPr>
              <w:t>Rede</w:t>
            </w:r>
            <w:proofErr w:type="spellEnd"/>
            <w:r w:rsidRPr="0030217B">
              <w:rPr>
                <w:rFonts w:ascii="Arial" w:hAnsi="Arial" w:cs="Arial"/>
                <w:b/>
                <w:bCs/>
                <w:sz w:val="20"/>
                <w:szCs w:val="20"/>
              </w:rPr>
              <w:t xml:space="preserve"> </w:t>
            </w:r>
            <w:proofErr w:type="spellStart"/>
            <w:r w:rsidRPr="0030217B">
              <w:rPr>
                <w:rFonts w:ascii="Arial" w:hAnsi="Arial" w:cs="Arial"/>
                <w:b/>
                <w:bCs/>
                <w:sz w:val="20"/>
                <w:szCs w:val="20"/>
              </w:rPr>
              <w:t>Investigaçao</w:t>
            </w:r>
            <w:proofErr w:type="spellEnd"/>
            <w:r w:rsidRPr="0030217B">
              <w:rPr>
                <w:rFonts w:ascii="Arial" w:hAnsi="Arial" w:cs="Arial"/>
                <w:b/>
                <w:bCs/>
                <w:sz w:val="20"/>
                <w:szCs w:val="20"/>
              </w:rPr>
              <w:t xml:space="preserve"> </w:t>
            </w:r>
            <w:proofErr w:type="spellStart"/>
            <w:r w:rsidRPr="0030217B">
              <w:rPr>
                <w:rFonts w:ascii="Arial" w:hAnsi="Arial" w:cs="Arial"/>
                <w:b/>
                <w:bCs/>
                <w:sz w:val="20"/>
                <w:szCs w:val="20"/>
              </w:rPr>
              <w:t>em</w:t>
            </w:r>
            <w:proofErr w:type="spellEnd"/>
            <w:r w:rsidRPr="0030217B">
              <w:rPr>
                <w:rFonts w:ascii="Arial" w:hAnsi="Arial" w:cs="Arial"/>
                <w:b/>
                <w:bCs/>
                <w:sz w:val="20"/>
                <w:szCs w:val="20"/>
              </w:rPr>
              <w:t xml:space="preserve"> </w:t>
            </w:r>
            <w:proofErr w:type="spellStart"/>
            <w:r w:rsidRPr="0030217B">
              <w:rPr>
                <w:rFonts w:ascii="Arial" w:hAnsi="Arial" w:cs="Arial"/>
                <w:b/>
                <w:bCs/>
                <w:sz w:val="20"/>
                <w:szCs w:val="20"/>
              </w:rPr>
              <w:t>Antropologia</w:t>
            </w:r>
            <w:proofErr w:type="spellEnd"/>
            <w:r w:rsidRPr="0030217B">
              <w:rPr>
                <w:rFonts w:ascii="Arial" w:hAnsi="Arial" w:cs="Arial"/>
                <w:b/>
                <w:bCs/>
                <w:sz w:val="20"/>
                <w:szCs w:val="20"/>
              </w:rPr>
              <w:br/>
            </w:r>
            <w:r w:rsidRPr="0030217B">
              <w:rPr>
                <w:rFonts w:ascii="Arial" w:hAnsi="Arial" w:cs="Arial"/>
                <w:sz w:val="20"/>
                <w:szCs w:val="20"/>
              </w:rPr>
              <w:t xml:space="preserve">Centre for </w:t>
            </w:r>
            <w:proofErr w:type="spellStart"/>
            <w:r w:rsidRPr="0030217B">
              <w:rPr>
                <w:rFonts w:ascii="Arial" w:hAnsi="Arial" w:cs="Arial"/>
                <w:sz w:val="20"/>
                <w:szCs w:val="20"/>
              </w:rPr>
              <w:t>Research</w:t>
            </w:r>
            <w:proofErr w:type="spellEnd"/>
            <w:r w:rsidRPr="0030217B">
              <w:rPr>
                <w:rFonts w:ascii="Arial" w:hAnsi="Arial" w:cs="Arial"/>
                <w:sz w:val="20"/>
                <w:szCs w:val="20"/>
              </w:rPr>
              <w:t xml:space="preserve"> in </w:t>
            </w:r>
            <w:proofErr w:type="spellStart"/>
            <w:r w:rsidRPr="0030217B">
              <w:rPr>
                <w:rFonts w:ascii="Arial" w:hAnsi="Arial" w:cs="Arial"/>
                <w:sz w:val="20"/>
                <w:szCs w:val="20"/>
              </w:rPr>
              <w:t>Anthropology</w:t>
            </w:r>
            <w:proofErr w:type="spellEnd"/>
            <w:r w:rsidRPr="0030217B">
              <w:rPr>
                <w:rFonts w:ascii="Arial" w:hAnsi="Arial" w:cs="Arial"/>
                <w:sz w:val="20"/>
                <w:szCs w:val="20"/>
              </w:rPr>
              <w:t xml:space="preserve"> (CRIA) - CRIA</w:t>
            </w:r>
          </w:p>
        </w:tc>
        <w:tc>
          <w:tcPr>
            <w:tcW w:w="2109" w:type="dxa"/>
            <w:vAlign w:val="center"/>
            <w:hideMark/>
          </w:tcPr>
          <w:p w14:paraId="2F008FD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Portugal</w:t>
            </w:r>
          </w:p>
        </w:tc>
        <w:tc>
          <w:tcPr>
            <w:tcW w:w="1502" w:type="dxa"/>
            <w:vAlign w:val="center"/>
            <w:hideMark/>
          </w:tcPr>
          <w:p w14:paraId="439AD5F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NGO-90164</w:t>
            </w:r>
          </w:p>
        </w:tc>
      </w:tr>
      <w:tr w:rsidR="00C60CC8" w:rsidRPr="006C163B" w14:paraId="478762B5" w14:textId="77777777" w:rsidTr="00B77B0C">
        <w:trPr>
          <w:cantSplit/>
          <w:trHeight w:val="290"/>
        </w:trPr>
        <w:tc>
          <w:tcPr>
            <w:tcW w:w="6021" w:type="dxa"/>
            <w:vAlign w:val="center"/>
            <w:hideMark/>
          </w:tcPr>
          <w:p w14:paraId="314ABF70"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Culture - Développement - CUL.DEV</w:t>
            </w:r>
          </w:p>
        </w:tc>
        <w:tc>
          <w:tcPr>
            <w:tcW w:w="2109" w:type="dxa"/>
            <w:vAlign w:val="center"/>
            <w:hideMark/>
          </w:tcPr>
          <w:p w14:paraId="1B9EF53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Togo</w:t>
            </w:r>
          </w:p>
        </w:tc>
        <w:tc>
          <w:tcPr>
            <w:tcW w:w="1502" w:type="dxa"/>
            <w:vAlign w:val="center"/>
            <w:hideMark/>
          </w:tcPr>
          <w:p w14:paraId="3C3139E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NGO-90454</w:t>
            </w:r>
          </w:p>
        </w:tc>
      </w:tr>
      <w:tr w:rsidR="00C60CC8" w:rsidRPr="006C163B" w14:paraId="364FA0C2" w14:textId="77777777" w:rsidTr="00B77B0C">
        <w:trPr>
          <w:cantSplit/>
          <w:trHeight w:val="520"/>
        </w:trPr>
        <w:tc>
          <w:tcPr>
            <w:tcW w:w="6021" w:type="dxa"/>
            <w:vAlign w:val="center"/>
            <w:hideMark/>
          </w:tcPr>
          <w:p w14:paraId="2FE28309"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Engabu</w:t>
            </w:r>
            <w:proofErr w:type="spellEnd"/>
            <w:r w:rsidRPr="006C163B">
              <w:rPr>
                <w:rFonts w:ascii="Arial" w:hAnsi="Arial" w:cs="Arial"/>
                <w:b/>
                <w:bCs/>
                <w:sz w:val="20"/>
                <w:szCs w:val="20"/>
                <w:lang w:val="en-GB"/>
              </w:rPr>
              <w:t xml:space="preserve"> Za Tooro - Tooro Youth Platform for Action</w:t>
            </w:r>
            <w:r w:rsidRPr="006C163B">
              <w:rPr>
                <w:rFonts w:ascii="Arial" w:hAnsi="Arial" w:cs="Arial"/>
                <w:b/>
                <w:bCs/>
                <w:sz w:val="20"/>
                <w:szCs w:val="20"/>
                <w:lang w:val="en-GB"/>
              </w:rPr>
              <w:br/>
            </w:r>
            <w:r w:rsidRPr="006C163B">
              <w:rPr>
                <w:rFonts w:ascii="Arial" w:hAnsi="Arial" w:cs="Arial"/>
                <w:sz w:val="20"/>
                <w:szCs w:val="20"/>
                <w:lang w:val="en-GB"/>
              </w:rPr>
              <w:t>Tooro Youth Platform for Action</w:t>
            </w:r>
          </w:p>
        </w:tc>
        <w:tc>
          <w:tcPr>
            <w:tcW w:w="2109" w:type="dxa"/>
            <w:vAlign w:val="center"/>
            <w:hideMark/>
          </w:tcPr>
          <w:p w14:paraId="1FC9BC7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Ouganda</w:t>
            </w:r>
          </w:p>
        </w:tc>
        <w:tc>
          <w:tcPr>
            <w:tcW w:w="1502" w:type="dxa"/>
            <w:vAlign w:val="center"/>
            <w:hideMark/>
          </w:tcPr>
          <w:p w14:paraId="19503D6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NGO-90198</w:t>
            </w:r>
          </w:p>
        </w:tc>
      </w:tr>
      <w:tr w:rsidR="00C60CC8" w:rsidRPr="006C163B" w14:paraId="0A89E8DF" w14:textId="77777777" w:rsidTr="00B77B0C">
        <w:trPr>
          <w:cantSplit/>
          <w:trHeight w:val="290"/>
        </w:trPr>
        <w:tc>
          <w:tcPr>
            <w:tcW w:w="6021" w:type="dxa"/>
            <w:vAlign w:val="center"/>
            <w:hideMark/>
          </w:tcPr>
          <w:p w14:paraId="27D7093F"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Ensemble artistique et culturel TOWARA - EAC</w:t>
            </w:r>
          </w:p>
        </w:tc>
        <w:tc>
          <w:tcPr>
            <w:tcW w:w="2109" w:type="dxa"/>
            <w:vAlign w:val="center"/>
            <w:hideMark/>
          </w:tcPr>
          <w:p w14:paraId="7F8A766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Bénin</w:t>
            </w:r>
          </w:p>
        </w:tc>
        <w:tc>
          <w:tcPr>
            <w:tcW w:w="1502" w:type="dxa"/>
            <w:vAlign w:val="center"/>
            <w:hideMark/>
          </w:tcPr>
          <w:p w14:paraId="7DED0FF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NGO-90346</w:t>
            </w:r>
          </w:p>
        </w:tc>
      </w:tr>
      <w:tr w:rsidR="00C60CC8" w:rsidRPr="006C163B" w14:paraId="1AAACD69" w14:textId="77777777" w:rsidTr="00B77B0C">
        <w:trPr>
          <w:cantSplit/>
          <w:trHeight w:val="520"/>
        </w:trPr>
        <w:tc>
          <w:tcPr>
            <w:tcW w:w="6021" w:type="dxa"/>
            <w:vAlign w:val="center"/>
            <w:hideMark/>
          </w:tcPr>
          <w:p w14:paraId="67B775C5" w14:textId="77777777" w:rsidR="00C60CC8" w:rsidRPr="0030217B" w:rsidRDefault="00C60CC8" w:rsidP="00B77B0C">
            <w:pPr>
              <w:spacing w:before="120" w:after="120"/>
              <w:rPr>
                <w:rFonts w:ascii="Arial" w:hAnsi="Arial" w:cs="Arial"/>
                <w:b/>
                <w:bCs/>
                <w:sz w:val="20"/>
                <w:szCs w:val="20"/>
                <w:lang w:val="en-GB"/>
              </w:rPr>
            </w:pPr>
            <w:proofErr w:type="spellStart"/>
            <w:r w:rsidRPr="0030217B">
              <w:rPr>
                <w:rFonts w:ascii="Arial" w:hAnsi="Arial" w:cs="Arial"/>
                <w:b/>
                <w:bCs/>
                <w:sz w:val="20"/>
                <w:szCs w:val="20"/>
                <w:lang w:val="en-GB"/>
              </w:rPr>
              <w:t>Federação</w:t>
            </w:r>
            <w:proofErr w:type="spellEnd"/>
            <w:r w:rsidRPr="0030217B">
              <w:rPr>
                <w:rFonts w:ascii="Arial" w:hAnsi="Arial" w:cs="Arial"/>
                <w:b/>
                <w:bCs/>
                <w:sz w:val="20"/>
                <w:szCs w:val="20"/>
                <w:lang w:val="en-GB"/>
              </w:rPr>
              <w:t xml:space="preserve"> do </w:t>
            </w:r>
            <w:proofErr w:type="spellStart"/>
            <w:r w:rsidRPr="0030217B">
              <w:rPr>
                <w:rFonts w:ascii="Arial" w:hAnsi="Arial" w:cs="Arial"/>
                <w:b/>
                <w:bCs/>
                <w:sz w:val="20"/>
                <w:szCs w:val="20"/>
                <w:lang w:val="en-GB"/>
              </w:rPr>
              <w:t>Folclore</w:t>
            </w:r>
            <w:proofErr w:type="spellEnd"/>
            <w:r w:rsidRPr="0030217B">
              <w:rPr>
                <w:rFonts w:ascii="Arial" w:hAnsi="Arial" w:cs="Arial"/>
                <w:b/>
                <w:bCs/>
                <w:sz w:val="20"/>
                <w:szCs w:val="20"/>
                <w:lang w:val="en-GB"/>
              </w:rPr>
              <w:t xml:space="preserve"> </w:t>
            </w:r>
            <w:proofErr w:type="spellStart"/>
            <w:r w:rsidRPr="0030217B">
              <w:rPr>
                <w:rFonts w:ascii="Arial" w:hAnsi="Arial" w:cs="Arial"/>
                <w:b/>
                <w:bCs/>
                <w:sz w:val="20"/>
                <w:szCs w:val="20"/>
                <w:lang w:val="en-GB"/>
              </w:rPr>
              <w:t>Português</w:t>
            </w:r>
            <w:proofErr w:type="spellEnd"/>
            <w:r w:rsidRPr="0030217B">
              <w:rPr>
                <w:rFonts w:ascii="Arial" w:hAnsi="Arial" w:cs="Arial"/>
                <w:b/>
                <w:bCs/>
                <w:sz w:val="20"/>
                <w:szCs w:val="20"/>
                <w:lang w:val="en-GB"/>
              </w:rPr>
              <w:br/>
            </w:r>
            <w:r w:rsidRPr="0030217B">
              <w:rPr>
                <w:rFonts w:ascii="Arial" w:hAnsi="Arial" w:cs="Arial"/>
                <w:sz w:val="20"/>
                <w:szCs w:val="20"/>
                <w:lang w:val="en-GB"/>
              </w:rPr>
              <w:t>Portuguese Folklore Federation</w:t>
            </w:r>
          </w:p>
        </w:tc>
        <w:tc>
          <w:tcPr>
            <w:tcW w:w="2109" w:type="dxa"/>
            <w:vAlign w:val="center"/>
            <w:hideMark/>
          </w:tcPr>
          <w:p w14:paraId="042E00B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Portugal</w:t>
            </w:r>
          </w:p>
        </w:tc>
        <w:tc>
          <w:tcPr>
            <w:tcW w:w="1502" w:type="dxa"/>
            <w:vAlign w:val="center"/>
            <w:hideMark/>
          </w:tcPr>
          <w:p w14:paraId="73DDAFB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NGO-90447</w:t>
            </w:r>
          </w:p>
        </w:tc>
      </w:tr>
      <w:tr w:rsidR="00C60CC8" w:rsidRPr="006C163B" w14:paraId="0899F4FA" w14:textId="77777777" w:rsidTr="00B77B0C">
        <w:trPr>
          <w:cantSplit/>
          <w:trHeight w:val="520"/>
        </w:trPr>
        <w:tc>
          <w:tcPr>
            <w:tcW w:w="6021" w:type="dxa"/>
            <w:vAlign w:val="center"/>
          </w:tcPr>
          <w:p w14:paraId="2596E507"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Federation</w:t>
            </w:r>
            <w:proofErr w:type="spellEnd"/>
            <w:r w:rsidRPr="006C163B">
              <w:rPr>
                <w:rFonts w:ascii="Arial" w:hAnsi="Arial" w:cs="Arial"/>
                <w:b/>
                <w:bCs/>
                <w:sz w:val="20"/>
                <w:szCs w:val="20"/>
              </w:rPr>
              <w:t xml:space="preserve"> of Associations for Hunting and Conservation of the EU (FACE) - FACE </w:t>
            </w:r>
            <w:r w:rsidRPr="006C163B">
              <w:rPr>
                <w:rFonts w:ascii="Arial" w:hAnsi="Arial" w:cs="Arial"/>
                <w:b/>
                <w:bCs/>
                <w:sz w:val="20"/>
                <w:szCs w:val="20"/>
              </w:rPr>
              <w:br/>
            </w:r>
            <w:r w:rsidRPr="006C163B">
              <w:rPr>
                <w:rFonts w:ascii="Arial" w:hAnsi="Arial" w:cs="Arial"/>
                <w:sz w:val="20"/>
                <w:szCs w:val="20"/>
              </w:rPr>
              <w:t>Fédération des associations de chasse et conservation de la faune sauvage de l’Union européenne</w:t>
            </w:r>
          </w:p>
        </w:tc>
        <w:tc>
          <w:tcPr>
            <w:tcW w:w="2109" w:type="dxa"/>
            <w:vAlign w:val="center"/>
          </w:tcPr>
          <w:p w14:paraId="28DCF3A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1502" w:type="dxa"/>
            <w:vAlign w:val="center"/>
          </w:tcPr>
          <w:p w14:paraId="3F7BB9F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NGO-90160</w:t>
            </w:r>
          </w:p>
        </w:tc>
      </w:tr>
      <w:tr w:rsidR="00C60CC8" w:rsidRPr="006C163B" w14:paraId="34A9E724" w14:textId="77777777" w:rsidTr="00B77B0C">
        <w:trPr>
          <w:cantSplit/>
          <w:trHeight w:val="520"/>
        </w:trPr>
        <w:tc>
          <w:tcPr>
            <w:tcW w:w="6021" w:type="dxa"/>
            <w:vAlign w:val="center"/>
            <w:hideMark/>
          </w:tcPr>
          <w:p w14:paraId="1557CFCC"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Fondashon</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Historiko</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Kultural</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Boneriano</w:t>
            </w:r>
            <w:proofErr w:type="spellEnd"/>
            <w:r w:rsidRPr="006C163B">
              <w:rPr>
                <w:rFonts w:ascii="Arial" w:hAnsi="Arial" w:cs="Arial"/>
                <w:b/>
                <w:bCs/>
                <w:sz w:val="20"/>
                <w:szCs w:val="20"/>
              </w:rPr>
              <w:t xml:space="preserve"> FUHIKUBO</w:t>
            </w:r>
            <w:r w:rsidRPr="006C163B">
              <w:rPr>
                <w:rFonts w:ascii="Arial" w:hAnsi="Arial" w:cs="Arial"/>
                <w:b/>
                <w:bCs/>
                <w:sz w:val="20"/>
                <w:szCs w:val="20"/>
              </w:rPr>
              <w:br/>
            </w:r>
            <w:proofErr w:type="spellStart"/>
            <w:r w:rsidRPr="006C163B">
              <w:rPr>
                <w:rFonts w:ascii="Arial" w:hAnsi="Arial" w:cs="Arial"/>
                <w:sz w:val="20"/>
                <w:szCs w:val="20"/>
              </w:rPr>
              <w:t>Bonairean</w:t>
            </w:r>
            <w:proofErr w:type="spellEnd"/>
            <w:r w:rsidRPr="006C163B">
              <w:rPr>
                <w:rFonts w:ascii="Arial" w:hAnsi="Arial" w:cs="Arial"/>
                <w:sz w:val="20"/>
                <w:szCs w:val="20"/>
              </w:rPr>
              <w:t xml:space="preserve"> </w:t>
            </w:r>
            <w:proofErr w:type="spellStart"/>
            <w:r w:rsidRPr="006C163B">
              <w:rPr>
                <w:rFonts w:ascii="Arial" w:hAnsi="Arial" w:cs="Arial"/>
                <w:sz w:val="20"/>
                <w:szCs w:val="20"/>
              </w:rPr>
              <w:t>Historical</w:t>
            </w:r>
            <w:proofErr w:type="spellEnd"/>
            <w:r w:rsidRPr="006C163B">
              <w:rPr>
                <w:rFonts w:ascii="Arial" w:hAnsi="Arial" w:cs="Arial"/>
                <w:sz w:val="20"/>
                <w:szCs w:val="20"/>
              </w:rPr>
              <w:t xml:space="preserve"> Cultural </w:t>
            </w:r>
            <w:proofErr w:type="spellStart"/>
            <w:r w:rsidRPr="006C163B">
              <w:rPr>
                <w:rFonts w:ascii="Arial" w:hAnsi="Arial" w:cs="Arial"/>
                <w:sz w:val="20"/>
                <w:szCs w:val="20"/>
              </w:rPr>
              <w:t>Foundation</w:t>
            </w:r>
            <w:proofErr w:type="spellEnd"/>
            <w:r w:rsidRPr="006C163B">
              <w:rPr>
                <w:rFonts w:ascii="Arial" w:hAnsi="Arial" w:cs="Arial"/>
                <w:sz w:val="20"/>
                <w:szCs w:val="20"/>
              </w:rPr>
              <w:t xml:space="preserve"> FUHIKUBO</w:t>
            </w:r>
          </w:p>
        </w:tc>
        <w:tc>
          <w:tcPr>
            <w:tcW w:w="2109" w:type="dxa"/>
            <w:vAlign w:val="center"/>
            <w:hideMark/>
          </w:tcPr>
          <w:p w14:paraId="64CB88B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Pays-Bas</w:t>
            </w:r>
            <w:r w:rsidRPr="006C163B">
              <w:rPr>
                <w:rFonts w:ascii="Arial" w:hAnsi="Arial" w:cs="Arial"/>
                <w:sz w:val="20"/>
                <w:szCs w:val="20"/>
              </w:rPr>
              <w:br/>
              <w:t>(Royaume des)</w:t>
            </w:r>
          </w:p>
        </w:tc>
        <w:tc>
          <w:tcPr>
            <w:tcW w:w="1502" w:type="dxa"/>
            <w:vAlign w:val="center"/>
            <w:hideMark/>
          </w:tcPr>
          <w:p w14:paraId="6F47E85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NGO-90466</w:t>
            </w:r>
          </w:p>
        </w:tc>
      </w:tr>
      <w:tr w:rsidR="00C60CC8" w:rsidRPr="006C163B" w14:paraId="620CCFD8" w14:textId="77777777" w:rsidTr="00B77B0C">
        <w:trPr>
          <w:cantSplit/>
          <w:trHeight w:val="520"/>
        </w:trPr>
        <w:tc>
          <w:tcPr>
            <w:tcW w:w="6021" w:type="dxa"/>
            <w:vAlign w:val="center"/>
            <w:hideMark/>
          </w:tcPr>
          <w:p w14:paraId="7515221F"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Forbundet</w:t>
            </w:r>
            <w:proofErr w:type="spellEnd"/>
            <w:r w:rsidRPr="006C163B">
              <w:rPr>
                <w:rFonts w:ascii="Arial" w:hAnsi="Arial" w:cs="Arial"/>
                <w:b/>
                <w:bCs/>
                <w:sz w:val="20"/>
                <w:szCs w:val="20"/>
                <w:lang w:val="en-GB"/>
              </w:rPr>
              <w:t xml:space="preserve"> KYSTEN</w:t>
            </w:r>
            <w:r w:rsidRPr="006C163B">
              <w:rPr>
                <w:rFonts w:ascii="Arial" w:hAnsi="Arial" w:cs="Arial"/>
                <w:b/>
                <w:bCs/>
                <w:sz w:val="20"/>
                <w:szCs w:val="20"/>
                <w:lang w:val="en-GB"/>
              </w:rPr>
              <w:br/>
            </w:r>
            <w:r w:rsidRPr="006C163B">
              <w:rPr>
                <w:rFonts w:ascii="Arial" w:hAnsi="Arial" w:cs="Arial"/>
                <w:sz w:val="20"/>
                <w:szCs w:val="20"/>
                <w:lang w:val="en-GB"/>
              </w:rPr>
              <w:t>The Norwegian Coastal Federation</w:t>
            </w:r>
          </w:p>
        </w:tc>
        <w:tc>
          <w:tcPr>
            <w:tcW w:w="2109" w:type="dxa"/>
            <w:vAlign w:val="center"/>
            <w:hideMark/>
          </w:tcPr>
          <w:p w14:paraId="46CAFB7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Norvège</w:t>
            </w:r>
          </w:p>
        </w:tc>
        <w:tc>
          <w:tcPr>
            <w:tcW w:w="1502" w:type="dxa"/>
            <w:vAlign w:val="center"/>
            <w:hideMark/>
          </w:tcPr>
          <w:p w14:paraId="741EF0E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NGO-90349</w:t>
            </w:r>
          </w:p>
        </w:tc>
      </w:tr>
      <w:tr w:rsidR="00C60CC8" w:rsidRPr="006C163B" w14:paraId="11193D4B" w14:textId="77777777" w:rsidTr="00B77B0C">
        <w:trPr>
          <w:cantSplit/>
          <w:trHeight w:val="290"/>
        </w:trPr>
        <w:tc>
          <w:tcPr>
            <w:tcW w:w="6021" w:type="dxa"/>
            <w:vAlign w:val="center"/>
            <w:hideMark/>
          </w:tcPr>
          <w:p w14:paraId="208E6A1C" w14:textId="77777777" w:rsidR="00C60CC8" w:rsidRPr="006C163B" w:rsidRDefault="00C60CC8" w:rsidP="00B77B0C">
            <w:pPr>
              <w:spacing w:before="120"/>
              <w:rPr>
                <w:rFonts w:ascii="Arial" w:hAnsi="Arial" w:cs="Arial"/>
                <w:b/>
                <w:bCs/>
                <w:sz w:val="20"/>
                <w:szCs w:val="20"/>
                <w:lang w:val="en-GB"/>
              </w:rPr>
            </w:pPr>
            <w:r w:rsidRPr="006C163B">
              <w:rPr>
                <w:rFonts w:ascii="Arial" w:hAnsi="Arial" w:cs="Arial"/>
                <w:b/>
                <w:bCs/>
                <w:sz w:val="20"/>
                <w:szCs w:val="20"/>
                <w:lang w:val="en-GB"/>
              </w:rPr>
              <w:t xml:space="preserve">Fundación </w:t>
            </w:r>
            <w:proofErr w:type="spellStart"/>
            <w:r w:rsidRPr="006C163B">
              <w:rPr>
                <w:rFonts w:ascii="Arial" w:hAnsi="Arial" w:cs="Arial"/>
                <w:b/>
                <w:bCs/>
                <w:sz w:val="20"/>
                <w:szCs w:val="20"/>
                <w:lang w:val="en-GB"/>
              </w:rPr>
              <w:t>Artesanías</w:t>
            </w:r>
            <w:proofErr w:type="spellEnd"/>
            <w:r w:rsidRPr="006C163B">
              <w:rPr>
                <w:rFonts w:ascii="Arial" w:hAnsi="Arial" w:cs="Arial"/>
                <w:b/>
                <w:bCs/>
                <w:sz w:val="20"/>
                <w:szCs w:val="20"/>
                <w:lang w:val="en-GB"/>
              </w:rPr>
              <w:t xml:space="preserve"> de Chile</w:t>
            </w:r>
          </w:p>
          <w:p w14:paraId="12898972" w14:textId="77777777" w:rsidR="00C60CC8" w:rsidRPr="006C163B" w:rsidRDefault="00C60CC8" w:rsidP="00B77B0C">
            <w:pPr>
              <w:spacing w:after="120"/>
              <w:rPr>
                <w:rFonts w:ascii="Arial" w:hAnsi="Arial" w:cs="Arial"/>
                <w:sz w:val="20"/>
                <w:szCs w:val="20"/>
                <w:lang w:val="en-GB"/>
              </w:rPr>
            </w:pPr>
            <w:r w:rsidRPr="006C163B">
              <w:rPr>
                <w:rFonts w:ascii="Arial" w:hAnsi="Arial" w:cs="Arial"/>
                <w:sz w:val="20"/>
                <w:szCs w:val="20"/>
                <w:lang w:val="en-GB"/>
              </w:rPr>
              <w:t>Crafts of Chile Foundation</w:t>
            </w:r>
          </w:p>
        </w:tc>
        <w:tc>
          <w:tcPr>
            <w:tcW w:w="2109" w:type="dxa"/>
            <w:vAlign w:val="center"/>
            <w:hideMark/>
          </w:tcPr>
          <w:p w14:paraId="416A82A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Chili</w:t>
            </w:r>
          </w:p>
        </w:tc>
        <w:tc>
          <w:tcPr>
            <w:tcW w:w="1502" w:type="dxa"/>
            <w:vAlign w:val="center"/>
            <w:hideMark/>
          </w:tcPr>
          <w:p w14:paraId="2E2308E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NGO-90458</w:t>
            </w:r>
          </w:p>
        </w:tc>
      </w:tr>
      <w:tr w:rsidR="00C60CC8" w:rsidRPr="006C163B" w14:paraId="6BCF8C57" w14:textId="77777777" w:rsidTr="00B77B0C">
        <w:trPr>
          <w:cantSplit/>
          <w:trHeight w:val="520"/>
        </w:trPr>
        <w:tc>
          <w:tcPr>
            <w:tcW w:w="6021" w:type="dxa"/>
            <w:vAlign w:val="center"/>
            <w:hideMark/>
          </w:tcPr>
          <w:p w14:paraId="105122A4"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Fundashon</w:t>
            </w:r>
            <w:proofErr w:type="spellEnd"/>
            <w:r w:rsidRPr="006C163B">
              <w:rPr>
                <w:rFonts w:ascii="Arial" w:hAnsi="Arial" w:cs="Arial"/>
                <w:b/>
                <w:bCs/>
                <w:sz w:val="20"/>
                <w:szCs w:val="20"/>
                <w:lang w:val="en-GB"/>
              </w:rPr>
              <w:t xml:space="preserve"> Museo Tula</w:t>
            </w:r>
            <w:r w:rsidRPr="006C163B">
              <w:rPr>
                <w:rFonts w:ascii="Arial" w:hAnsi="Arial" w:cs="Arial"/>
                <w:b/>
                <w:bCs/>
                <w:sz w:val="20"/>
                <w:szCs w:val="20"/>
                <w:lang w:val="en-GB"/>
              </w:rPr>
              <w:br/>
            </w:r>
            <w:r w:rsidRPr="006C163B">
              <w:rPr>
                <w:rFonts w:ascii="Arial" w:hAnsi="Arial" w:cs="Arial"/>
                <w:sz w:val="20"/>
                <w:szCs w:val="20"/>
                <w:lang w:val="en-GB"/>
              </w:rPr>
              <w:t>Foundation Museum Tula</w:t>
            </w:r>
          </w:p>
        </w:tc>
        <w:tc>
          <w:tcPr>
            <w:tcW w:w="2109" w:type="dxa"/>
            <w:vAlign w:val="center"/>
            <w:hideMark/>
          </w:tcPr>
          <w:p w14:paraId="13AAB07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Curaçao</w:t>
            </w:r>
          </w:p>
        </w:tc>
        <w:tc>
          <w:tcPr>
            <w:tcW w:w="1502" w:type="dxa"/>
            <w:vAlign w:val="center"/>
            <w:hideMark/>
          </w:tcPr>
          <w:p w14:paraId="16418D1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NGO-90460</w:t>
            </w:r>
          </w:p>
        </w:tc>
      </w:tr>
      <w:tr w:rsidR="00C60CC8" w:rsidRPr="006C163B" w14:paraId="75DD9636" w14:textId="77777777" w:rsidTr="00B77B0C">
        <w:trPr>
          <w:cantSplit/>
          <w:trHeight w:val="520"/>
        </w:trPr>
        <w:tc>
          <w:tcPr>
            <w:tcW w:w="6021" w:type="dxa"/>
            <w:vAlign w:val="center"/>
            <w:hideMark/>
          </w:tcPr>
          <w:p w14:paraId="1447DAA5"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Groupe audois de recherche et d’animation ethnographique - </w:t>
            </w:r>
            <w:proofErr w:type="spellStart"/>
            <w:r w:rsidRPr="006C163B">
              <w:rPr>
                <w:rFonts w:ascii="Arial" w:hAnsi="Arial" w:cs="Arial"/>
                <w:b/>
                <w:bCs/>
                <w:sz w:val="20"/>
                <w:szCs w:val="20"/>
              </w:rPr>
              <w:t>Ethnopôle</w:t>
            </w:r>
            <w:proofErr w:type="spellEnd"/>
            <w:r w:rsidRPr="006C163B">
              <w:rPr>
                <w:rFonts w:ascii="Arial" w:hAnsi="Arial" w:cs="Arial"/>
                <w:b/>
                <w:bCs/>
                <w:sz w:val="20"/>
                <w:szCs w:val="20"/>
              </w:rPr>
              <w:t xml:space="preserve"> GARAE</w:t>
            </w:r>
          </w:p>
        </w:tc>
        <w:tc>
          <w:tcPr>
            <w:tcW w:w="2109" w:type="dxa"/>
            <w:vAlign w:val="center"/>
            <w:hideMark/>
          </w:tcPr>
          <w:p w14:paraId="239BBB4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France</w:t>
            </w:r>
          </w:p>
        </w:tc>
        <w:tc>
          <w:tcPr>
            <w:tcW w:w="1502" w:type="dxa"/>
            <w:vAlign w:val="center"/>
            <w:hideMark/>
          </w:tcPr>
          <w:p w14:paraId="286CED6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NGO-90254</w:t>
            </w:r>
          </w:p>
        </w:tc>
      </w:tr>
      <w:tr w:rsidR="00C60CC8" w:rsidRPr="006C163B" w14:paraId="084AC328" w14:textId="77777777" w:rsidTr="00B77B0C">
        <w:trPr>
          <w:cantSplit/>
          <w:trHeight w:val="290"/>
        </w:trPr>
        <w:tc>
          <w:tcPr>
            <w:tcW w:w="6021" w:type="dxa"/>
            <w:vAlign w:val="center"/>
            <w:hideMark/>
          </w:tcPr>
          <w:p w14:paraId="50D87C1E"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Gulu </w:t>
            </w:r>
            <w:proofErr w:type="spellStart"/>
            <w:r w:rsidRPr="006C163B">
              <w:rPr>
                <w:rFonts w:ascii="Arial" w:hAnsi="Arial" w:cs="Arial"/>
                <w:b/>
                <w:bCs/>
                <w:sz w:val="20"/>
                <w:szCs w:val="20"/>
              </w:rPr>
              <w:t>Theatre</w:t>
            </w:r>
            <w:proofErr w:type="spellEnd"/>
            <w:r w:rsidRPr="006C163B">
              <w:rPr>
                <w:rFonts w:ascii="Arial" w:hAnsi="Arial" w:cs="Arial"/>
                <w:b/>
                <w:bCs/>
                <w:sz w:val="20"/>
                <w:szCs w:val="20"/>
              </w:rPr>
              <w:t xml:space="preserve"> Artists - GUTA</w:t>
            </w:r>
          </w:p>
        </w:tc>
        <w:tc>
          <w:tcPr>
            <w:tcW w:w="2109" w:type="dxa"/>
            <w:vAlign w:val="center"/>
            <w:hideMark/>
          </w:tcPr>
          <w:p w14:paraId="1C1E775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Ouganda</w:t>
            </w:r>
          </w:p>
        </w:tc>
        <w:tc>
          <w:tcPr>
            <w:tcW w:w="1502" w:type="dxa"/>
            <w:vAlign w:val="center"/>
            <w:hideMark/>
          </w:tcPr>
          <w:p w14:paraId="57D4584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NGO-90206</w:t>
            </w:r>
          </w:p>
        </w:tc>
      </w:tr>
      <w:tr w:rsidR="00C60CC8" w:rsidRPr="006C163B" w14:paraId="4AEF9502" w14:textId="77777777" w:rsidTr="00B77B0C">
        <w:trPr>
          <w:cantSplit/>
          <w:trHeight w:val="290"/>
        </w:trPr>
        <w:tc>
          <w:tcPr>
            <w:tcW w:w="6021" w:type="dxa"/>
            <w:vAlign w:val="center"/>
            <w:hideMark/>
          </w:tcPr>
          <w:p w14:paraId="372D8D94"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Heritage</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Crafts</w:t>
            </w:r>
            <w:proofErr w:type="spellEnd"/>
            <w:r w:rsidRPr="006C163B">
              <w:rPr>
                <w:rFonts w:ascii="Arial" w:hAnsi="Arial" w:cs="Arial"/>
                <w:b/>
                <w:bCs/>
                <w:sz w:val="20"/>
                <w:szCs w:val="20"/>
              </w:rPr>
              <w:t xml:space="preserve"> Association</w:t>
            </w:r>
          </w:p>
        </w:tc>
        <w:tc>
          <w:tcPr>
            <w:tcW w:w="2109" w:type="dxa"/>
            <w:vAlign w:val="center"/>
            <w:hideMark/>
          </w:tcPr>
          <w:p w14:paraId="699D3B8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1502" w:type="dxa"/>
            <w:vAlign w:val="center"/>
            <w:hideMark/>
          </w:tcPr>
          <w:p w14:paraId="5000D4C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NGO-90323</w:t>
            </w:r>
          </w:p>
        </w:tc>
      </w:tr>
      <w:tr w:rsidR="00C60CC8" w:rsidRPr="006C163B" w14:paraId="23B03CE2" w14:textId="77777777" w:rsidTr="00B77B0C">
        <w:trPr>
          <w:cantSplit/>
          <w:trHeight w:val="520"/>
        </w:trPr>
        <w:tc>
          <w:tcPr>
            <w:tcW w:w="6021" w:type="dxa"/>
            <w:vAlign w:val="center"/>
            <w:hideMark/>
          </w:tcPr>
          <w:p w14:paraId="643448D6"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Heritage Foundation of Newfoundland and Labrador - HFNL</w:t>
            </w:r>
          </w:p>
        </w:tc>
        <w:tc>
          <w:tcPr>
            <w:tcW w:w="2109" w:type="dxa"/>
            <w:vAlign w:val="center"/>
            <w:hideMark/>
          </w:tcPr>
          <w:p w14:paraId="44DB352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2892D2D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NGO-90202</w:t>
            </w:r>
          </w:p>
        </w:tc>
      </w:tr>
      <w:tr w:rsidR="00C60CC8" w:rsidRPr="006C163B" w14:paraId="31DA46FF" w14:textId="77777777" w:rsidTr="00B77B0C">
        <w:trPr>
          <w:cantSplit/>
          <w:trHeight w:val="290"/>
        </w:trPr>
        <w:tc>
          <w:tcPr>
            <w:tcW w:w="6021" w:type="dxa"/>
            <w:vAlign w:val="center"/>
            <w:hideMark/>
          </w:tcPr>
          <w:p w14:paraId="3B1C605A"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Heritage</w:t>
            </w:r>
            <w:proofErr w:type="spellEnd"/>
            <w:r w:rsidRPr="006C163B">
              <w:rPr>
                <w:rFonts w:ascii="Arial" w:hAnsi="Arial" w:cs="Arial"/>
                <w:b/>
                <w:bCs/>
                <w:sz w:val="20"/>
                <w:szCs w:val="20"/>
              </w:rPr>
              <w:t xml:space="preserve"> Saskatchewan Alliance Inc.</w:t>
            </w:r>
          </w:p>
        </w:tc>
        <w:tc>
          <w:tcPr>
            <w:tcW w:w="2109" w:type="dxa"/>
            <w:vAlign w:val="center"/>
            <w:hideMark/>
          </w:tcPr>
          <w:p w14:paraId="4AA923A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55C9980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NGO-90437</w:t>
            </w:r>
          </w:p>
        </w:tc>
      </w:tr>
      <w:tr w:rsidR="00C60CC8" w:rsidRPr="006C163B" w14:paraId="4B6884B3" w14:textId="77777777" w:rsidTr="00B77B0C">
        <w:trPr>
          <w:cantSplit/>
          <w:trHeight w:val="290"/>
        </w:trPr>
        <w:tc>
          <w:tcPr>
            <w:tcW w:w="6021" w:type="dxa"/>
            <w:vAlign w:val="center"/>
          </w:tcPr>
          <w:p w14:paraId="1DE2612E"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Indigenous</w:t>
            </w:r>
            <w:proofErr w:type="spellEnd"/>
            <w:r w:rsidRPr="006C163B">
              <w:rPr>
                <w:rFonts w:ascii="Arial" w:hAnsi="Arial" w:cs="Arial"/>
                <w:b/>
                <w:bCs/>
                <w:sz w:val="20"/>
                <w:szCs w:val="20"/>
              </w:rPr>
              <w:t xml:space="preserve"> Cultural Society</w:t>
            </w:r>
          </w:p>
        </w:tc>
        <w:tc>
          <w:tcPr>
            <w:tcW w:w="2109" w:type="dxa"/>
            <w:vAlign w:val="center"/>
          </w:tcPr>
          <w:p w14:paraId="10B6F29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Inde</w:t>
            </w:r>
          </w:p>
        </w:tc>
        <w:tc>
          <w:tcPr>
            <w:tcW w:w="1502" w:type="dxa"/>
            <w:vAlign w:val="center"/>
          </w:tcPr>
          <w:p w14:paraId="5584316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NGO-90178</w:t>
            </w:r>
          </w:p>
        </w:tc>
      </w:tr>
      <w:tr w:rsidR="00C60CC8" w:rsidRPr="006C163B" w14:paraId="549B167B" w14:textId="77777777" w:rsidTr="00B77B0C">
        <w:trPr>
          <w:cantSplit/>
          <w:trHeight w:val="290"/>
        </w:trPr>
        <w:tc>
          <w:tcPr>
            <w:tcW w:w="6021" w:type="dxa"/>
            <w:vAlign w:val="center"/>
            <w:hideMark/>
          </w:tcPr>
          <w:p w14:paraId="03B7B507"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Institut Tshakapesh</w:t>
            </w:r>
          </w:p>
        </w:tc>
        <w:tc>
          <w:tcPr>
            <w:tcW w:w="2109" w:type="dxa"/>
            <w:vAlign w:val="center"/>
            <w:hideMark/>
          </w:tcPr>
          <w:p w14:paraId="39A8738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0E6505C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NGO-90474</w:t>
            </w:r>
          </w:p>
        </w:tc>
      </w:tr>
      <w:tr w:rsidR="00C60CC8" w:rsidRPr="006C163B" w14:paraId="2F1D9615" w14:textId="77777777" w:rsidTr="00B77B0C">
        <w:trPr>
          <w:cantSplit/>
          <w:trHeight w:val="520"/>
        </w:trPr>
        <w:tc>
          <w:tcPr>
            <w:tcW w:w="6021" w:type="dxa"/>
            <w:vAlign w:val="center"/>
            <w:hideMark/>
          </w:tcPr>
          <w:p w14:paraId="5CBA4433"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Inter-City Intangible Cultural Cooperation Network (ICCN) - ICCN</w:t>
            </w:r>
          </w:p>
        </w:tc>
        <w:tc>
          <w:tcPr>
            <w:tcW w:w="2109" w:type="dxa"/>
            <w:vAlign w:val="center"/>
            <w:hideMark/>
          </w:tcPr>
          <w:p w14:paraId="70D7385C" w14:textId="447BAF49"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Espagne</w:t>
            </w:r>
          </w:p>
        </w:tc>
        <w:tc>
          <w:tcPr>
            <w:tcW w:w="1502" w:type="dxa"/>
            <w:vAlign w:val="center"/>
            <w:hideMark/>
          </w:tcPr>
          <w:p w14:paraId="0B9A077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NGO-90228</w:t>
            </w:r>
          </w:p>
        </w:tc>
      </w:tr>
      <w:tr w:rsidR="00C60CC8" w:rsidRPr="006C163B" w14:paraId="46D4E0C7" w14:textId="77777777" w:rsidTr="00B77B0C">
        <w:trPr>
          <w:cantSplit/>
          <w:trHeight w:val="520"/>
        </w:trPr>
        <w:tc>
          <w:tcPr>
            <w:tcW w:w="6021" w:type="dxa"/>
            <w:vAlign w:val="center"/>
            <w:hideMark/>
          </w:tcPr>
          <w:p w14:paraId="1D137767" w14:textId="77777777" w:rsidR="00C60CC8" w:rsidRPr="0030217B" w:rsidRDefault="00C60CC8" w:rsidP="00B77B0C">
            <w:pPr>
              <w:spacing w:before="120"/>
              <w:rPr>
                <w:rFonts w:ascii="Arial" w:hAnsi="Arial" w:cs="Arial"/>
                <w:b/>
                <w:bCs/>
                <w:sz w:val="20"/>
                <w:szCs w:val="20"/>
                <w:lang w:val="pt-PT"/>
              </w:rPr>
            </w:pPr>
            <w:r w:rsidRPr="0030217B">
              <w:rPr>
                <w:rFonts w:ascii="Arial" w:hAnsi="Arial" w:cs="Arial"/>
                <w:b/>
                <w:bCs/>
                <w:sz w:val="20"/>
                <w:szCs w:val="20"/>
                <w:lang w:val="pt-PT"/>
              </w:rPr>
              <w:lastRenderedPageBreak/>
              <w:t>International Association of Paremiology - IAP</w:t>
            </w:r>
          </w:p>
          <w:p w14:paraId="0ED860BF" w14:textId="77777777" w:rsidR="00C60CC8" w:rsidRPr="0030217B" w:rsidRDefault="00C60CC8" w:rsidP="00B77B0C">
            <w:pPr>
              <w:spacing w:after="120"/>
              <w:rPr>
                <w:rFonts w:ascii="Arial" w:hAnsi="Arial" w:cs="Arial"/>
                <w:sz w:val="20"/>
                <w:szCs w:val="20"/>
                <w:lang w:val="pt-PT"/>
              </w:rPr>
            </w:pPr>
            <w:r w:rsidRPr="0030217B">
              <w:rPr>
                <w:rFonts w:ascii="Arial" w:hAnsi="Arial" w:cs="Arial"/>
                <w:sz w:val="20"/>
                <w:szCs w:val="20"/>
                <w:lang w:val="pt-PT"/>
              </w:rPr>
              <w:t>Associação Internacional de Paremiologia</w:t>
            </w:r>
          </w:p>
        </w:tc>
        <w:tc>
          <w:tcPr>
            <w:tcW w:w="2109" w:type="dxa"/>
            <w:vAlign w:val="center"/>
            <w:hideMark/>
          </w:tcPr>
          <w:p w14:paraId="1E0426F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Portugal</w:t>
            </w:r>
          </w:p>
        </w:tc>
        <w:tc>
          <w:tcPr>
            <w:tcW w:w="1502" w:type="dxa"/>
            <w:vAlign w:val="center"/>
            <w:hideMark/>
          </w:tcPr>
          <w:p w14:paraId="20570E8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NGO-90322</w:t>
            </w:r>
          </w:p>
        </w:tc>
      </w:tr>
      <w:tr w:rsidR="00C60CC8" w:rsidRPr="006C163B" w14:paraId="1A7D3746" w14:textId="77777777" w:rsidTr="00B77B0C">
        <w:trPr>
          <w:cantSplit/>
          <w:trHeight w:val="520"/>
        </w:trPr>
        <w:tc>
          <w:tcPr>
            <w:tcW w:w="6021" w:type="dxa"/>
            <w:vAlign w:val="center"/>
            <w:hideMark/>
          </w:tcPr>
          <w:p w14:paraId="6FC011AD"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Kenniscentrum</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Immaterieel</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Erfgoed</w:t>
            </w:r>
            <w:proofErr w:type="spellEnd"/>
            <w:r w:rsidRPr="006C163B">
              <w:rPr>
                <w:rFonts w:ascii="Arial" w:hAnsi="Arial" w:cs="Arial"/>
                <w:b/>
                <w:bCs/>
                <w:sz w:val="20"/>
                <w:szCs w:val="20"/>
                <w:lang w:val="en-GB"/>
              </w:rPr>
              <w:t xml:space="preserve"> Nederland</w:t>
            </w:r>
            <w:r w:rsidRPr="006C163B">
              <w:rPr>
                <w:rFonts w:ascii="Arial" w:hAnsi="Arial" w:cs="Arial"/>
                <w:b/>
                <w:bCs/>
                <w:sz w:val="20"/>
                <w:szCs w:val="20"/>
                <w:lang w:val="en-GB"/>
              </w:rPr>
              <w:br/>
            </w:r>
            <w:r w:rsidRPr="006C163B">
              <w:rPr>
                <w:rFonts w:ascii="Arial" w:hAnsi="Arial" w:cs="Arial"/>
                <w:sz w:val="20"/>
                <w:szCs w:val="20"/>
                <w:lang w:val="en-GB"/>
              </w:rPr>
              <w:t>Dutch Centre for Intangible Cultural Heritage</w:t>
            </w:r>
          </w:p>
        </w:tc>
        <w:tc>
          <w:tcPr>
            <w:tcW w:w="2109" w:type="dxa"/>
            <w:vAlign w:val="center"/>
            <w:hideMark/>
          </w:tcPr>
          <w:p w14:paraId="3672FC7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Pays-Bas</w:t>
            </w:r>
            <w:r w:rsidRPr="006C163B">
              <w:rPr>
                <w:rFonts w:ascii="Arial" w:hAnsi="Arial" w:cs="Arial"/>
                <w:sz w:val="20"/>
                <w:szCs w:val="20"/>
              </w:rPr>
              <w:br/>
              <w:t>(Royaume des)</w:t>
            </w:r>
          </w:p>
        </w:tc>
        <w:tc>
          <w:tcPr>
            <w:tcW w:w="1502" w:type="dxa"/>
            <w:vAlign w:val="center"/>
            <w:hideMark/>
          </w:tcPr>
          <w:p w14:paraId="744BC97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NGO-90233</w:t>
            </w:r>
          </w:p>
        </w:tc>
      </w:tr>
      <w:tr w:rsidR="00C60CC8" w:rsidRPr="006C163B" w14:paraId="049046EA" w14:textId="77777777" w:rsidTr="00B77B0C">
        <w:trPr>
          <w:cantSplit/>
          <w:trHeight w:val="520"/>
        </w:trPr>
        <w:tc>
          <w:tcPr>
            <w:tcW w:w="6021" w:type="dxa"/>
            <w:vAlign w:val="center"/>
            <w:hideMark/>
          </w:tcPr>
          <w:p w14:paraId="50BE25E9"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Kültürel</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Araştırmalar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Vakfı</w:t>
            </w:r>
            <w:proofErr w:type="spellEnd"/>
            <w:r w:rsidRPr="006C163B">
              <w:rPr>
                <w:rFonts w:ascii="Arial" w:hAnsi="Arial" w:cs="Arial"/>
                <w:b/>
                <w:bCs/>
                <w:sz w:val="20"/>
                <w:szCs w:val="20"/>
                <w:lang w:val="en-GB"/>
              </w:rPr>
              <w:br/>
            </w:r>
            <w:r w:rsidRPr="006C163B">
              <w:rPr>
                <w:rFonts w:ascii="Arial" w:hAnsi="Arial" w:cs="Arial"/>
                <w:sz w:val="20"/>
                <w:szCs w:val="20"/>
                <w:lang w:val="en-GB"/>
              </w:rPr>
              <w:t>Cultural Research Foundation - KAV</w:t>
            </w:r>
          </w:p>
        </w:tc>
        <w:tc>
          <w:tcPr>
            <w:tcW w:w="2109" w:type="dxa"/>
            <w:vAlign w:val="center"/>
            <w:hideMark/>
          </w:tcPr>
          <w:p w14:paraId="29C13F4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Türkiye</w:t>
            </w:r>
          </w:p>
        </w:tc>
        <w:tc>
          <w:tcPr>
            <w:tcW w:w="1502" w:type="dxa"/>
            <w:vAlign w:val="center"/>
            <w:hideMark/>
          </w:tcPr>
          <w:p w14:paraId="75A636C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NGO-90142</w:t>
            </w:r>
          </w:p>
        </w:tc>
      </w:tr>
      <w:tr w:rsidR="00C60CC8" w:rsidRPr="006C163B" w14:paraId="50305597" w14:textId="77777777" w:rsidTr="00B77B0C">
        <w:trPr>
          <w:cantSplit/>
          <w:trHeight w:val="520"/>
        </w:trPr>
        <w:tc>
          <w:tcPr>
            <w:tcW w:w="6021" w:type="dxa"/>
            <w:vAlign w:val="center"/>
            <w:hideMark/>
          </w:tcPr>
          <w:p w14:paraId="2DFD3196"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L’Association canadienne d’ethnologie et de folklore</w:t>
            </w:r>
            <w:r w:rsidRPr="006C163B">
              <w:rPr>
                <w:rFonts w:ascii="Arial" w:hAnsi="Arial" w:cs="Arial"/>
                <w:b/>
                <w:bCs/>
                <w:sz w:val="20"/>
                <w:szCs w:val="20"/>
              </w:rPr>
              <w:br/>
            </w:r>
            <w:r w:rsidRPr="006C163B">
              <w:rPr>
                <w:rFonts w:ascii="Arial" w:hAnsi="Arial" w:cs="Arial"/>
                <w:sz w:val="20"/>
                <w:szCs w:val="20"/>
              </w:rPr>
              <w:t xml:space="preserve">The Folklore </w:t>
            </w:r>
            <w:proofErr w:type="spellStart"/>
            <w:r w:rsidRPr="006C163B">
              <w:rPr>
                <w:rFonts w:ascii="Arial" w:hAnsi="Arial" w:cs="Arial"/>
                <w:sz w:val="20"/>
                <w:szCs w:val="20"/>
              </w:rPr>
              <w:t>Studies</w:t>
            </w:r>
            <w:proofErr w:type="spellEnd"/>
            <w:r w:rsidRPr="006C163B">
              <w:rPr>
                <w:rFonts w:ascii="Arial" w:hAnsi="Arial" w:cs="Arial"/>
                <w:sz w:val="20"/>
                <w:szCs w:val="20"/>
              </w:rPr>
              <w:t xml:space="preserve"> Association of Canada</w:t>
            </w:r>
          </w:p>
        </w:tc>
        <w:tc>
          <w:tcPr>
            <w:tcW w:w="2109" w:type="dxa"/>
            <w:vAlign w:val="center"/>
            <w:hideMark/>
          </w:tcPr>
          <w:p w14:paraId="6564124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4B1DC58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NGO-90360</w:t>
            </w:r>
          </w:p>
        </w:tc>
      </w:tr>
      <w:tr w:rsidR="00C60CC8" w:rsidRPr="006C163B" w14:paraId="578D7A80" w14:textId="77777777" w:rsidTr="00B77B0C">
        <w:trPr>
          <w:cantSplit/>
          <w:trHeight w:val="520"/>
        </w:trPr>
        <w:tc>
          <w:tcPr>
            <w:tcW w:w="6021" w:type="dxa"/>
            <w:vAlign w:val="center"/>
          </w:tcPr>
          <w:p w14:paraId="69505181"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Lamar Kanuri </w:t>
            </w:r>
            <w:proofErr w:type="spellStart"/>
            <w:r w:rsidRPr="006C163B">
              <w:rPr>
                <w:rFonts w:ascii="Arial" w:hAnsi="Arial" w:cs="Arial"/>
                <w:b/>
                <w:bCs/>
                <w:sz w:val="20"/>
                <w:szCs w:val="20"/>
              </w:rPr>
              <w:t>Hutuye</w:t>
            </w:r>
            <w:proofErr w:type="spellEnd"/>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 xml:space="preserve">Kanuri </w:t>
            </w:r>
            <w:proofErr w:type="spellStart"/>
            <w:r w:rsidRPr="006C163B">
              <w:rPr>
                <w:rFonts w:ascii="Arial" w:hAnsi="Arial" w:cs="Arial"/>
                <w:sz w:val="20"/>
                <w:szCs w:val="20"/>
              </w:rPr>
              <w:t>Development</w:t>
            </w:r>
            <w:proofErr w:type="spellEnd"/>
            <w:r w:rsidRPr="006C163B">
              <w:rPr>
                <w:rFonts w:ascii="Arial" w:hAnsi="Arial" w:cs="Arial"/>
                <w:sz w:val="20"/>
                <w:szCs w:val="20"/>
              </w:rPr>
              <w:t xml:space="preserve"> Association</w:t>
            </w:r>
          </w:p>
        </w:tc>
        <w:tc>
          <w:tcPr>
            <w:tcW w:w="2109" w:type="dxa"/>
            <w:vAlign w:val="center"/>
          </w:tcPr>
          <w:p w14:paraId="49539EE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1502" w:type="dxa"/>
            <w:vAlign w:val="center"/>
          </w:tcPr>
          <w:p w14:paraId="2804B48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NGO-90171</w:t>
            </w:r>
          </w:p>
        </w:tc>
      </w:tr>
      <w:tr w:rsidR="00C60CC8" w:rsidRPr="006C163B" w14:paraId="447FC38A" w14:textId="77777777" w:rsidTr="00B77B0C">
        <w:trPr>
          <w:cantSplit/>
          <w:trHeight w:val="290"/>
        </w:trPr>
        <w:tc>
          <w:tcPr>
            <w:tcW w:w="6021" w:type="dxa"/>
            <w:vAlign w:val="center"/>
            <w:hideMark/>
          </w:tcPr>
          <w:p w14:paraId="69A15ED5"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Les Forges de Montréal</w:t>
            </w:r>
          </w:p>
        </w:tc>
        <w:tc>
          <w:tcPr>
            <w:tcW w:w="2109" w:type="dxa"/>
            <w:vAlign w:val="center"/>
            <w:hideMark/>
          </w:tcPr>
          <w:p w14:paraId="6EC0058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Canada</w:t>
            </w:r>
          </w:p>
        </w:tc>
        <w:tc>
          <w:tcPr>
            <w:tcW w:w="1502" w:type="dxa"/>
            <w:vAlign w:val="center"/>
            <w:hideMark/>
          </w:tcPr>
          <w:p w14:paraId="57A0879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NGO-90472</w:t>
            </w:r>
          </w:p>
        </w:tc>
      </w:tr>
      <w:tr w:rsidR="00C60CC8" w:rsidRPr="006C163B" w14:paraId="07DDAE2C" w14:textId="77777777" w:rsidTr="00B77B0C">
        <w:trPr>
          <w:cantSplit/>
          <w:trHeight w:val="290"/>
        </w:trPr>
        <w:tc>
          <w:tcPr>
            <w:tcW w:w="6021" w:type="dxa"/>
            <w:vAlign w:val="center"/>
            <w:hideMark/>
          </w:tcPr>
          <w:p w14:paraId="747D6ABC"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Maasai Cultural Heritage - M.C.H</w:t>
            </w:r>
          </w:p>
        </w:tc>
        <w:tc>
          <w:tcPr>
            <w:tcW w:w="2109" w:type="dxa"/>
            <w:vAlign w:val="center"/>
            <w:hideMark/>
          </w:tcPr>
          <w:p w14:paraId="0A7493D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Kenya</w:t>
            </w:r>
          </w:p>
        </w:tc>
        <w:tc>
          <w:tcPr>
            <w:tcW w:w="1502" w:type="dxa"/>
            <w:vAlign w:val="center"/>
            <w:hideMark/>
          </w:tcPr>
          <w:p w14:paraId="3557E44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NGO-90183</w:t>
            </w:r>
          </w:p>
        </w:tc>
      </w:tr>
      <w:tr w:rsidR="00C60CC8" w:rsidRPr="006C163B" w14:paraId="470B1EBD" w14:textId="77777777" w:rsidTr="00B77B0C">
        <w:trPr>
          <w:cantSplit/>
          <w:trHeight w:val="290"/>
        </w:trPr>
        <w:tc>
          <w:tcPr>
            <w:tcW w:w="6021" w:type="dxa"/>
            <w:vAlign w:val="center"/>
            <w:hideMark/>
          </w:tcPr>
          <w:p w14:paraId="5E6F85CE"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Maison du patrimoine oral de Bourgogne</w:t>
            </w:r>
          </w:p>
        </w:tc>
        <w:tc>
          <w:tcPr>
            <w:tcW w:w="2109" w:type="dxa"/>
            <w:vAlign w:val="center"/>
            <w:hideMark/>
          </w:tcPr>
          <w:p w14:paraId="776D160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France</w:t>
            </w:r>
          </w:p>
        </w:tc>
        <w:tc>
          <w:tcPr>
            <w:tcW w:w="1502" w:type="dxa"/>
            <w:vAlign w:val="center"/>
            <w:hideMark/>
          </w:tcPr>
          <w:p w14:paraId="2EF34E2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NGO-90272</w:t>
            </w:r>
          </w:p>
        </w:tc>
      </w:tr>
      <w:tr w:rsidR="00C60CC8" w:rsidRPr="006C163B" w14:paraId="2B373AFF" w14:textId="77777777" w:rsidTr="00B77B0C">
        <w:trPr>
          <w:cantSplit/>
          <w:trHeight w:val="290"/>
        </w:trPr>
        <w:tc>
          <w:tcPr>
            <w:tcW w:w="6021" w:type="dxa"/>
            <w:vAlign w:val="center"/>
            <w:hideMark/>
          </w:tcPr>
          <w:p w14:paraId="10A7254F"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Museums</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Galleries</w:t>
            </w:r>
            <w:proofErr w:type="spellEnd"/>
            <w:r w:rsidRPr="006C163B">
              <w:rPr>
                <w:rFonts w:ascii="Arial" w:hAnsi="Arial" w:cs="Arial"/>
                <w:b/>
                <w:bCs/>
                <w:sz w:val="20"/>
                <w:szCs w:val="20"/>
              </w:rPr>
              <w:t xml:space="preserve"> Scotland - MGS</w:t>
            </w:r>
          </w:p>
        </w:tc>
        <w:tc>
          <w:tcPr>
            <w:tcW w:w="2109" w:type="dxa"/>
            <w:vAlign w:val="center"/>
            <w:hideMark/>
          </w:tcPr>
          <w:p w14:paraId="774F09B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1502" w:type="dxa"/>
            <w:vAlign w:val="center"/>
            <w:hideMark/>
          </w:tcPr>
          <w:p w14:paraId="2E3465E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NGO-90257</w:t>
            </w:r>
          </w:p>
        </w:tc>
      </w:tr>
      <w:tr w:rsidR="00C60CC8" w:rsidRPr="006C163B" w14:paraId="1EB8C91C" w14:textId="77777777" w:rsidTr="00B77B0C">
        <w:trPr>
          <w:cantSplit/>
          <w:trHeight w:val="520"/>
        </w:trPr>
        <w:tc>
          <w:tcPr>
            <w:tcW w:w="6021" w:type="dxa"/>
            <w:vAlign w:val="center"/>
            <w:hideMark/>
          </w:tcPr>
          <w:p w14:paraId="00DF12D2"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National Archaeological-Anthropological Memory Management Foundation</w:t>
            </w:r>
          </w:p>
        </w:tc>
        <w:tc>
          <w:tcPr>
            <w:tcW w:w="2109" w:type="dxa"/>
            <w:vAlign w:val="center"/>
            <w:hideMark/>
          </w:tcPr>
          <w:p w14:paraId="08E1AF0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Curaçao</w:t>
            </w:r>
          </w:p>
        </w:tc>
        <w:tc>
          <w:tcPr>
            <w:tcW w:w="1502" w:type="dxa"/>
            <w:vAlign w:val="center"/>
            <w:hideMark/>
          </w:tcPr>
          <w:p w14:paraId="55043D8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NGO-90229</w:t>
            </w:r>
          </w:p>
        </w:tc>
      </w:tr>
      <w:tr w:rsidR="00C60CC8" w:rsidRPr="006C163B" w14:paraId="022CC5BB" w14:textId="77777777" w:rsidTr="00B77B0C">
        <w:trPr>
          <w:cantSplit/>
          <w:trHeight w:val="520"/>
        </w:trPr>
        <w:tc>
          <w:tcPr>
            <w:tcW w:w="6021" w:type="dxa"/>
            <w:vAlign w:val="center"/>
          </w:tcPr>
          <w:p w14:paraId="3207F25E"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Norsk </w:t>
            </w:r>
            <w:proofErr w:type="spellStart"/>
            <w:r w:rsidRPr="006C163B">
              <w:rPr>
                <w:rFonts w:ascii="Arial" w:hAnsi="Arial" w:cs="Arial"/>
                <w:b/>
                <w:bCs/>
                <w:sz w:val="20"/>
                <w:szCs w:val="20"/>
                <w:lang w:val="en-GB"/>
              </w:rPr>
              <w:t>Forening</w:t>
            </w:r>
            <w:proofErr w:type="spellEnd"/>
            <w:r w:rsidRPr="006C163B">
              <w:rPr>
                <w:rFonts w:ascii="Arial" w:hAnsi="Arial" w:cs="Arial"/>
                <w:b/>
                <w:bCs/>
                <w:sz w:val="20"/>
                <w:szCs w:val="20"/>
                <w:lang w:val="en-GB"/>
              </w:rPr>
              <w:t xml:space="preserve"> for </w:t>
            </w:r>
            <w:proofErr w:type="spellStart"/>
            <w:r w:rsidRPr="006C163B">
              <w:rPr>
                <w:rFonts w:ascii="Arial" w:hAnsi="Arial" w:cs="Arial"/>
                <w:b/>
                <w:bCs/>
                <w:sz w:val="20"/>
                <w:szCs w:val="20"/>
                <w:lang w:val="en-GB"/>
              </w:rPr>
              <w:t>Fartøyvern</w:t>
            </w:r>
            <w:proofErr w:type="spellEnd"/>
            <w:r w:rsidRPr="006C163B">
              <w:rPr>
                <w:rFonts w:ascii="Arial" w:hAnsi="Arial" w:cs="Arial"/>
                <w:b/>
                <w:bCs/>
                <w:sz w:val="20"/>
                <w:szCs w:val="20"/>
                <w:lang w:val="en-GB"/>
              </w:rPr>
              <w:br/>
            </w:r>
            <w:r w:rsidRPr="006C163B">
              <w:rPr>
                <w:rFonts w:ascii="Arial" w:hAnsi="Arial" w:cs="Arial"/>
                <w:sz w:val="20"/>
                <w:szCs w:val="20"/>
                <w:lang w:val="en-GB"/>
              </w:rPr>
              <w:t>Norwegian Ship Preservation Association</w:t>
            </w:r>
          </w:p>
        </w:tc>
        <w:tc>
          <w:tcPr>
            <w:tcW w:w="2109" w:type="dxa"/>
            <w:vAlign w:val="center"/>
          </w:tcPr>
          <w:p w14:paraId="75E9C6A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Norvège</w:t>
            </w:r>
          </w:p>
        </w:tc>
        <w:tc>
          <w:tcPr>
            <w:tcW w:w="1502" w:type="dxa"/>
            <w:vAlign w:val="center"/>
          </w:tcPr>
          <w:p w14:paraId="2476F1F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NGO-90448</w:t>
            </w:r>
          </w:p>
        </w:tc>
      </w:tr>
      <w:tr w:rsidR="00C60CC8" w:rsidRPr="006C163B" w14:paraId="05C05664" w14:textId="77777777" w:rsidTr="00B77B0C">
        <w:trPr>
          <w:cantSplit/>
          <w:trHeight w:val="290"/>
        </w:trPr>
        <w:tc>
          <w:tcPr>
            <w:tcW w:w="6021" w:type="dxa"/>
            <w:vAlign w:val="center"/>
          </w:tcPr>
          <w:p w14:paraId="0AAA513B"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ONG L’Homme et l’Environnement </w:t>
            </w:r>
            <w:r w:rsidRPr="006C163B">
              <w:rPr>
                <w:rFonts w:ascii="Arial" w:hAnsi="Arial" w:cs="Arial"/>
                <w:b/>
                <w:bCs/>
                <w:sz w:val="20"/>
                <w:szCs w:val="20"/>
              </w:rPr>
              <w:br/>
            </w:r>
            <w:r w:rsidRPr="006C163B">
              <w:rPr>
                <w:rFonts w:ascii="Arial" w:hAnsi="Arial" w:cs="Arial"/>
                <w:sz w:val="20"/>
                <w:szCs w:val="20"/>
              </w:rPr>
              <w:t xml:space="preserve">NGO Man and The </w:t>
            </w:r>
            <w:proofErr w:type="spellStart"/>
            <w:r w:rsidRPr="006C163B">
              <w:rPr>
                <w:rFonts w:ascii="Arial" w:hAnsi="Arial" w:cs="Arial"/>
                <w:sz w:val="20"/>
                <w:szCs w:val="20"/>
              </w:rPr>
              <w:t>Environment</w:t>
            </w:r>
            <w:proofErr w:type="spellEnd"/>
            <w:r w:rsidRPr="006C163B">
              <w:rPr>
                <w:rFonts w:ascii="Arial" w:hAnsi="Arial" w:cs="Arial"/>
                <w:sz w:val="20"/>
                <w:szCs w:val="20"/>
              </w:rPr>
              <w:t xml:space="preserve"> - MATE</w:t>
            </w:r>
          </w:p>
        </w:tc>
        <w:tc>
          <w:tcPr>
            <w:tcW w:w="2109" w:type="dxa"/>
            <w:vAlign w:val="center"/>
          </w:tcPr>
          <w:p w14:paraId="42FB040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Madagascar</w:t>
            </w:r>
          </w:p>
        </w:tc>
        <w:tc>
          <w:tcPr>
            <w:tcW w:w="1502" w:type="dxa"/>
            <w:vAlign w:val="center"/>
          </w:tcPr>
          <w:p w14:paraId="32D7395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NGO-90246</w:t>
            </w:r>
          </w:p>
        </w:tc>
      </w:tr>
      <w:tr w:rsidR="00C60CC8" w:rsidRPr="006C163B" w14:paraId="020A4A2D" w14:textId="77777777" w:rsidTr="00B77B0C">
        <w:trPr>
          <w:cantSplit/>
          <w:trHeight w:val="520"/>
        </w:trPr>
        <w:tc>
          <w:tcPr>
            <w:tcW w:w="6021" w:type="dxa"/>
            <w:vAlign w:val="center"/>
            <w:hideMark/>
          </w:tcPr>
          <w:p w14:paraId="3EBEF73F"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Organisatie</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voor</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Gemeenschapswerk</w:t>
            </w:r>
            <w:proofErr w:type="spellEnd"/>
            <w:r w:rsidRPr="006C163B">
              <w:rPr>
                <w:rFonts w:ascii="Arial" w:hAnsi="Arial" w:cs="Arial"/>
                <w:b/>
                <w:bCs/>
                <w:sz w:val="20"/>
                <w:szCs w:val="20"/>
                <w:lang w:val="en-GB"/>
              </w:rPr>
              <w:t xml:space="preserve"> NAKS</w:t>
            </w:r>
            <w:r w:rsidRPr="006C163B">
              <w:rPr>
                <w:rFonts w:ascii="Arial" w:hAnsi="Arial" w:cs="Arial"/>
                <w:b/>
                <w:bCs/>
                <w:sz w:val="20"/>
                <w:szCs w:val="20"/>
                <w:lang w:val="en-GB"/>
              </w:rPr>
              <w:br/>
            </w:r>
            <w:r w:rsidRPr="006C163B">
              <w:rPr>
                <w:rFonts w:ascii="Arial" w:hAnsi="Arial" w:cs="Arial"/>
                <w:sz w:val="20"/>
                <w:szCs w:val="20"/>
                <w:lang w:val="en-GB"/>
              </w:rPr>
              <w:t>Cultural and Community Organization NAKS</w:t>
            </w:r>
          </w:p>
        </w:tc>
        <w:tc>
          <w:tcPr>
            <w:tcW w:w="2109" w:type="dxa"/>
            <w:vAlign w:val="center"/>
            <w:hideMark/>
          </w:tcPr>
          <w:p w14:paraId="3F1FF93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Suriname</w:t>
            </w:r>
          </w:p>
        </w:tc>
        <w:tc>
          <w:tcPr>
            <w:tcW w:w="1502" w:type="dxa"/>
            <w:vAlign w:val="center"/>
            <w:hideMark/>
          </w:tcPr>
          <w:p w14:paraId="48A877D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NGO-90444</w:t>
            </w:r>
          </w:p>
        </w:tc>
      </w:tr>
      <w:tr w:rsidR="00C60CC8" w:rsidRPr="006C163B" w14:paraId="4525D5EA" w14:textId="77777777" w:rsidTr="00B77B0C">
        <w:trPr>
          <w:cantSplit/>
          <w:trHeight w:val="290"/>
        </w:trPr>
        <w:tc>
          <w:tcPr>
            <w:tcW w:w="6021" w:type="dxa"/>
            <w:vAlign w:val="center"/>
            <w:hideMark/>
          </w:tcPr>
          <w:p w14:paraId="5FCC565F"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Pacific Traditions Society</w:t>
            </w:r>
          </w:p>
        </w:tc>
        <w:tc>
          <w:tcPr>
            <w:tcW w:w="2109" w:type="dxa"/>
            <w:vAlign w:val="center"/>
            <w:hideMark/>
          </w:tcPr>
          <w:p w14:paraId="3D1A52E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États-Unis d’Amérique</w:t>
            </w:r>
          </w:p>
        </w:tc>
        <w:tc>
          <w:tcPr>
            <w:tcW w:w="1502" w:type="dxa"/>
            <w:vAlign w:val="center"/>
            <w:hideMark/>
          </w:tcPr>
          <w:p w14:paraId="35EC4BD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NGO-90425</w:t>
            </w:r>
          </w:p>
        </w:tc>
      </w:tr>
      <w:tr w:rsidR="00C60CC8" w:rsidRPr="006C163B" w14:paraId="42C85E61" w14:textId="77777777" w:rsidTr="00B77B0C">
        <w:trPr>
          <w:cantSplit/>
          <w:trHeight w:val="520"/>
        </w:trPr>
        <w:tc>
          <w:tcPr>
            <w:tcW w:w="6021" w:type="dxa"/>
            <w:vAlign w:val="center"/>
            <w:hideMark/>
          </w:tcPr>
          <w:p w14:paraId="578C39F0"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Patrimoine du Musée International du Carnaval et du Masque</w:t>
            </w:r>
          </w:p>
        </w:tc>
        <w:tc>
          <w:tcPr>
            <w:tcW w:w="2109" w:type="dxa"/>
            <w:vAlign w:val="center"/>
            <w:hideMark/>
          </w:tcPr>
          <w:p w14:paraId="3997946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1502" w:type="dxa"/>
            <w:vAlign w:val="center"/>
            <w:hideMark/>
          </w:tcPr>
          <w:p w14:paraId="0725736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NGO-90329</w:t>
            </w:r>
          </w:p>
        </w:tc>
      </w:tr>
      <w:tr w:rsidR="00C60CC8" w:rsidRPr="006C163B" w14:paraId="6DB7EC95" w14:textId="77777777" w:rsidTr="00B77B0C">
        <w:trPr>
          <w:cantSplit/>
          <w:trHeight w:val="520"/>
        </w:trPr>
        <w:tc>
          <w:tcPr>
            <w:tcW w:w="6021" w:type="dxa"/>
            <w:vAlign w:val="center"/>
            <w:hideMark/>
          </w:tcPr>
          <w:p w14:paraId="1BD978AC"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 xml:space="preserve">Polskie </w:t>
            </w:r>
            <w:proofErr w:type="spellStart"/>
            <w:r w:rsidRPr="006C163B">
              <w:rPr>
                <w:rFonts w:ascii="Arial" w:hAnsi="Arial" w:cs="Arial"/>
                <w:b/>
                <w:bCs/>
                <w:sz w:val="20"/>
                <w:szCs w:val="20"/>
                <w:lang w:val="en-GB"/>
              </w:rPr>
              <w:t>Towarzystwo</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Ludoznawcze</w:t>
            </w:r>
            <w:proofErr w:type="spellEnd"/>
            <w:r w:rsidRPr="006C163B">
              <w:rPr>
                <w:rFonts w:ascii="Arial" w:hAnsi="Arial" w:cs="Arial"/>
                <w:b/>
                <w:bCs/>
                <w:sz w:val="20"/>
                <w:szCs w:val="20"/>
                <w:lang w:val="en-GB"/>
              </w:rPr>
              <w:br/>
            </w:r>
            <w:r w:rsidRPr="006C163B">
              <w:rPr>
                <w:rFonts w:ascii="Arial" w:hAnsi="Arial" w:cs="Arial"/>
                <w:sz w:val="20"/>
                <w:szCs w:val="20"/>
                <w:lang w:val="en-GB"/>
              </w:rPr>
              <w:t>Polish Ethnological Society - PTL</w:t>
            </w:r>
          </w:p>
        </w:tc>
        <w:tc>
          <w:tcPr>
            <w:tcW w:w="2109" w:type="dxa"/>
            <w:vAlign w:val="center"/>
            <w:hideMark/>
          </w:tcPr>
          <w:p w14:paraId="00F7124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Pologne</w:t>
            </w:r>
          </w:p>
        </w:tc>
        <w:tc>
          <w:tcPr>
            <w:tcW w:w="1502" w:type="dxa"/>
            <w:vAlign w:val="center"/>
            <w:hideMark/>
          </w:tcPr>
          <w:p w14:paraId="21845B8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NGO-90188</w:t>
            </w:r>
          </w:p>
        </w:tc>
      </w:tr>
      <w:tr w:rsidR="00C60CC8" w:rsidRPr="006C163B" w14:paraId="3D11F5F5" w14:textId="77777777" w:rsidTr="00B77B0C">
        <w:trPr>
          <w:cantSplit/>
          <w:trHeight w:val="290"/>
        </w:trPr>
        <w:tc>
          <w:tcPr>
            <w:tcW w:w="6021" w:type="dxa"/>
            <w:vAlign w:val="center"/>
          </w:tcPr>
          <w:p w14:paraId="43FC11B8"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Rupayan</w:t>
            </w:r>
            <w:proofErr w:type="spellEnd"/>
            <w:r w:rsidRPr="006C163B">
              <w:rPr>
                <w:rFonts w:ascii="Arial" w:hAnsi="Arial" w:cs="Arial"/>
                <w:b/>
                <w:bCs/>
                <w:sz w:val="20"/>
                <w:szCs w:val="20"/>
                <w:lang w:val="en-GB"/>
              </w:rPr>
              <w:t xml:space="preserve"> Sansthan (Rajasthan Institute of Folklore)</w:t>
            </w:r>
          </w:p>
        </w:tc>
        <w:tc>
          <w:tcPr>
            <w:tcW w:w="2109" w:type="dxa"/>
            <w:vAlign w:val="center"/>
          </w:tcPr>
          <w:p w14:paraId="38408C3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Inde</w:t>
            </w:r>
          </w:p>
        </w:tc>
        <w:tc>
          <w:tcPr>
            <w:tcW w:w="1502" w:type="dxa"/>
            <w:vAlign w:val="center"/>
          </w:tcPr>
          <w:p w14:paraId="1F4F378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NGO-90459</w:t>
            </w:r>
          </w:p>
        </w:tc>
      </w:tr>
      <w:tr w:rsidR="00C60CC8" w:rsidRPr="006C163B" w14:paraId="6856FE67" w14:textId="77777777" w:rsidTr="00B77B0C">
        <w:trPr>
          <w:cantSplit/>
          <w:trHeight w:val="290"/>
        </w:trPr>
        <w:tc>
          <w:tcPr>
            <w:tcW w:w="6021" w:type="dxa"/>
            <w:vAlign w:val="center"/>
          </w:tcPr>
          <w:p w14:paraId="75158F84"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Société française d’</w:t>
            </w:r>
            <w:proofErr w:type="spellStart"/>
            <w:r w:rsidRPr="006C163B">
              <w:rPr>
                <w:rFonts w:ascii="Arial" w:hAnsi="Arial" w:cs="Arial"/>
                <w:b/>
                <w:bCs/>
                <w:sz w:val="20"/>
                <w:szCs w:val="20"/>
              </w:rPr>
              <w:t>ethnoscénologie</w:t>
            </w:r>
            <w:proofErr w:type="spellEnd"/>
            <w:r w:rsidRPr="006C163B">
              <w:rPr>
                <w:rFonts w:ascii="Arial" w:hAnsi="Arial" w:cs="Arial"/>
                <w:b/>
                <w:bCs/>
                <w:sz w:val="20"/>
                <w:szCs w:val="20"/>
              </w:rPr>
              <w:t xml:space="preserve"> - SOFETH</w:t>
            </w:r>
          </w:p>
        </w:tc>
        <w:tc>
          <w:tcPr>
            <w:tcW w:w="2109" w:type="dxa"/>
            <w:vAlign w:val="center"/>
          </w:tcPr>
          <w:p w14:paraId="572FC12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France</w:t>
            </w:r>
          </w:p>
        </w:tc>
        <w:tc>
          <w:tcPr>
            <w:tcW w:w="1502" w:type="dxa"/>
            <w:vAlign w:val="center"/>
          </w:tcPr>
          <w:p w14:paraId="5E11B4E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NGO-90314</w:t>
            </w:r>
          </w:p>
        </w:tc>
      </w:tr>
      <w:tr w:rsidR="00C60CC8" w:rsidRPr="006C163B" w14:paraId="52371E6A" w14:textId="77777777" w:rsidTr="00B77B0C">
        <w:trPr>
          <w:cantSplit/>
          <w:trHeight w:val="520"/>
        </w:trPr>
        <w:tc>
          <w:tcPr>
            <w:tcW w:w="6021" w:type="dxa"/>
            <w:vAlign w:val="center"/>
            <w:hideMark/>
          </w:tcPr>
          <w:p w14:paraId="6C6A9D7E" w14:textId="77777777" w:rsidR="00C60CC8" w:rsidRPr="006C163B" w:rsidRDefault="00C60CC8" w:rsidP="00B77B0C">
            <w:pPr>
              <w:spacing w:before="120" w:after="120"/>
              <w:rPr>
                <w:rFonts w:ascii="Arial" w:hAnsi="Arial" w:cs="Arial"/>
                <w:b/>
                <w:bCs/>
                <w:sz w:val="20"/>
                <w:szCs w:val="20"/>
                <w:lang w:val="es-ES"/>
              </w:rPr>
            </w:pPr>
            <w:proofErr w:type="spellStart"/>
            <w:r w:rsidRPr="006C163B">
              <w:rPr>
                <w:rFonts w:ascii="Arial" w:hAnsi="Arial" w:cs="Arial"/>
                <w:b/>
                <w:bCs/>
                <w:sz w:val="20"/>
                <w:szCs w:val="20"/>
                <w:lang w:val="es-ES"/>
              </w:rPr>
              <w:t>Starpnozaru</w:t>
            </w:r>
            <w:proofErr w:type="spellEnd"/>
            <w:r w:rsidRPr="006C163B">
              <w:rPr>
                <w:rFonts w:ascii="Arial" w:hAnsi="Arial" w:cs="Arial"/>
                <w:b/>
                <w:bCs/>
                <w:sz w:val="20"/>
                <w:szCs w:val="20"/>
                <w:lang w:val="es-ES"/>
              </w:rPr>
              <w:t xml:space="preserve"> </w:t>
            </w:r>
            <w:proofErr w:type="spellStart"/>
            <w:r w:rsidRPr="006C163B">
              <w:rPr>
                <w:rFonts w:ascii="Arial" w:hAnsi="Arial" w:cs="Arial"/>
                <w:b/>
                <w:bCs/>
                <w:sz w:val="20"/>
                <w:szCs w:val="20"/>
                <w:lang w:val="es-ES"/>
              </w:rPr>
              <w:t>mākslas</w:t>
            </w:r>
            <w:proofErr w:type="spellEnd"/>
            <w:r w:rsidRPr="006C163B">
              <w:rPr>
                <w:rFonts w:ascii="Arial" w:hAnsi="Arial" w:cs="Arial"/>
                <w:b/>
                <w:bCs/>
                <w:sz w:val="20"/>
                <w:szCs w:val="20"/>
                <w:lang w:val="es-ES"/>
              </w:rPr>
              <w:t xml:space="preserve"> grupa SERDE</w:t>
            </w:r>
            <w:r w:rsidRPr="006C163B">
              <w:rPr>
                <w:rFonts w:ascii="Arial" w:hAnsi="Arial" w:cs="Arial"/>
                <w:b/>
                <w:bCs/>
                <w:sz w:val="20"/>
                <w:szCs w:val="20"/>
                <w:lang w:val="es-ES"/>
              </w:rPr>
              <w:br/>
            </w:r>
            <w:proofErr w:type="spellStart"/>
            <w:r w:rsidRPr="006C163B">
              <w:rPr>
                <w:rFonts w:ascii="Arial" w:hAnsi="Arial" w:cs="Arial"/>
                <w:sz w:val="20"/>
                <w:szCs w:val="20"/>
                <w:lang w:val="es-ES"/>
              </w:rPr>
              <w:t>Interdisciplinary</w:t>
            </w:r>
            <w:proofErr w:type="spellEnd"/>
            <w:r w:rsidRPr="006C163B">
              <w:rPr>
                <w:rFonts w:ascii="Arial" w:hAnsi="Arial" w:cs="Arial"/>
                <w:sz w:val="20"/>
                <w:szCs w:val="20"/>
                <w:lang w:val="es-ES"/>
              </w:rPr>
              <w:t xml:space="preserve"> Art </w:t>
            </w:r>
            <w:proofErr w:type="spellStart"/>
            <w:r w:rsidRPr="006C163B">
              <w:rPr>
                <w:rFonts w:ascii="Arial" w:hAnsi="Arial" w:cs="Arial"/>
                <w:sz w:val="20"/>
                <w:szCs w:val="20"/>
                <w:lang w:val="es-ES"/>
              </w:rPr>
              <w:t>Group</w:t>
            </w:r>
            <w:proofErr w:type="spellEnd"/>
            <w:r w:rsidRPr="006C163B">
              <w:rPr>
                <w:rFonts w:ascii="Arial" w:hAnsi="Arial" w:cs="Arial"/>
                <w:sz w:val="20"/>
                <w:szCs w:val="20"/>
                <w:lang w:val="es-ES"/>
              </w:rPr>
              <w:t xml:space="preserve"> SERDE</w:t>
            </w:r>
          </w:p>
        </w:tc>
        <w:tc>
          <w:tcPr>
            <w:tcW w:w="2109" w:type="dxa"/>
            <w:vAlign w:val="center"/>
            <w:hideMark/>
          </w:tcPr>
          <w:p w14:paraId="5128D01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Lettonie</w:t>
            </w:r>
          </w:p>
        </w:tc>
        <w:tc>
          <w:tcPr>
            <w:tcW w:w="1502" w:type="dxa"/>
            <w:vAlign w:val="center"/>
            <w:hideMark/>
          </w:tcPr>
          <w:p w14:paraId="25C358E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NGO-90356</w:t>
            </w:r>
          </w:p>
        </w:tc>
      </w:tr>
      <w:tr w:rsidR="00C60CC8" w:rsidRPr="006C163B" w14:paraId="0985A337" w14:textId="77777777" w:rsidTr="00B77B0C">
        <w:trPr>
          <w:cantSplit/>
          <w:trHeight w:val="520"/>
        </w:trPr>
        <w:tc>
          <w:tcPr>
            <w:tcW w:w="6021" w:type="dxa"/>
            <w:vAlign w:val="center"/>
            <w:hideMark/>
          </w:tcPr>
          <w:p w14:paraId="2796A9B1" w14:textId="77777777" w:rsidR="00C60CC8" w:rsidRPr="000802E3" w:rsidRDefault="00C60CC8" w:rsidP="00B77B0C">
            <w:pPr>
              <w:spacing w:before="120" w:after="120"/>
              <w:rPr>
                <w:rFonts w:ascii="Arial" w:hAnsi="Arial" w:cs="Arial"/>
                <w:b/>
                <w:bCs/>
                <w:sz w:val="20"/>
                <w:szCs w:val="20"/>
                <w:lang w:val="en-US"/>
              </w:rPr>
            </w:pPr>
            <w:proofErr w:type="spellStart"/>
            <w:r w:rsidRPr="000802E3">
              <w:rPr>
                <w:rFonts w:ascii="Arial" w:hAnsi="Arial" w:cs="Arial"/>
                <w:b/>
                <w:bCs/>
                <w:sz w:val="20"/>
                <w:szCs w:val="20"/>
                <w:lang w:val="en-US"/>
              </w:rPr>
              <w:t>Taitoliitto</w:t>
            </w:r>
            <w:proofErr w:type="spellEnd"/>
            <w:r w:rsidRPr="000802E3">
              <w:rPr>
                <w:rFonts w:ascii="Arial" w:hAnsi="Arial" w:cs="Arial"/>
                <w:b/>
                <w:bCs/>
                <w:sz w:val="20"/>
                <w:szCs w:val="20"/>
                <w:lang w:val="en-US"/>
              </w:rPr>
              <w:t>/</w:t>
            </w:r>
            <w:proofErr w:type="spellStart"/>
            <w:r w:rsidRPr="000802E3">
              <w:rPr>
                <w:rFonts w:ascii="Arial" w:hAnsi="Arial" w:cs="Arial"/>
                <w:b/>
                <w:bCs/>
                <w:sz w:val="20"/>
                <w:szCs w:val="20"/>
                <w:lang w:val="en-US"/>
              </w:rPr>
              <w:t>Käsi</w:t>
            </w:r>
            <w:proofErr w:type="spellEnd"/>
            <w:r w:rsidRPr="000802E3">
              <w:rPr>
                <w:rFonts w:ascii="Arial" w:hAnsi="Arial" w:cs="Arial"/>
                <w:b/>
                <w:bCs/>
                <w:sz w:val="20"/>
                <w:szCs w:val="20"/>
                <w:lang w:val="en-US"/>
              </w:rPr>
              <w:t xml:space="preserve">- ja </w:t>
            </w:r>
            <w:proofErr w:type="spellStart"/>
            <w:r w:rsidRPr="000802E3">
              <w:rPr>
                <w:rFonts w:ascii="Arial" w:hAnsi="Arial" w:cs="Arial"/>
                <w:b/>
                <w:bCs/>
                <w:sz w:val="20"/>
                <w:szCs w:val="20"/>
                <w:lang w:val="en-US"/>
              </w:rPr>
              <w:t>taideteollisuusliitto</w:t>
            </w:r>
            <w:proofErr w:type="spellEnd"/>
            <w:r w:rsidRPr="000802E3">
              <w:rPr>
                <w:rFonts w:ascii="Arial" w:hAnsi="Arial" w:cs="Arial"/>
                <w:b/>
                <w:bCs/>
                <w:sz w:val="20"/>
                <w:szCs w:val="20"/>
                <w:lang w:val="en-US"/>
              </w:rPr>
              <w:t xml:space="preserve"> Taito </w:t>
            </w:r>
            <w:proofErr w:type="spellStart"/>
            <w:r w:rsidRPr="000802E3">
              <w:rPr>
                <w:rFonts w:ascii="Arial" w:hAnsi="Arial" w:cs="Arial"/>
                <w:b/>
                <w:bCs/>
                <w:sz w:val="20"/>
                <w:szCs w:val="20"/>
                <w:lang w:val="en-US"/>
              </w:rPr>
              <w:t>ry</w:t>
            </w:r>
            <w:proofErr w:type="spellEnd"/>
            <w:r w:rsidRPr="000802E3">
              <w:rPr>
                <w:rFonts w:ascii="Arial" w:hAnsi="Arial" w:cs="Arial"/>
                <w:b/>
                <w:bCs/>
                <w:sz w:val="20"/>
                <w:szCs w:val="20"/>
                <w:lang w:val="en-US"/>
              </w:rPr>
              <w:br/>
            </w:r>
            <w:r w:rsidRPr="000802E3">
              <w:rPr>
                <w:rFonts w:ascii="Arial" w:hAnsi="Arial" w:cs="Arial"/>
                <w:sz w:val="20"/>
                <w:szCs w:val="20"/>
                <w:lang w:val="en-US"/>
              </w:rPr>
              <w:t>Finnish Crafts Organization Taito</w:t>
            </w:r>
          </w:p>
        </w:tc>
        <w:tc>
          <w:tcPr>
            <w:tcW w:w="2109" w:type="dxa"/>
            <w:vAlign w:val="center"/>
            <w:hideMark/>
          </w:tcPr>
          <w:p w14:paraId="59F8B55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Finlande</w:t>
            </w:r>
          </w:p>
        </w:tc>
        <w:tc>
          <w:tcPr>
            <w:tcW w:w="1502" w:type="dxa"/>
            <w:vAlign w:val="center"/>
            <w:hideMark/>
          </w:tcPr>
          <w:p w14:paraId="3551430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NGO-90436</w:t>
            </w:r>
          </w:p>
        </w:tc>
      </w:tr>
      <w:tr w:rsidR="00C60CC8" w:rsidRPr="006C163B" w14:paraId="3EE5282C" w14:textId="77777777" w:rsidTr="00B77B0C">
        <w:trPr>
          <w:cantSplit/>
          <w:trHeight w:val="290"/>
        </w:trPr>
        <w:tc>
          <w:tcPr>
            <w:tcW w:w="6021" w:type="dxa"/>
            <w:vAlign w:val="center"/>
            <w:hideMark/>
          </w:tcPr>
          <w:p w14:paraId="66D31A84"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The Association for Cultural Equity</w:t>
            </w:r>
          </w:p>
        </w:tc>
        <w:tc>
          <w:tcPr>
            <w:tcW w:w="2109" w:type="dxa"/>
            <w:vAlign w:val="center"/>
            <w:hideMark/>
          </w:tcPr>
          <w:p w14:paraId="4BAD3A3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États-Unis d’Amérique</w:t>
            </w:r>
          </w:p>
        </w:tc>
        <w:tc>
          <w:tcPr>
            <w:tcW w:w="1502" w:type="dxa"/>
            <w:vAlign w:val="center"/>
            <w:hideMark/>
          </w:tcPr>
          <w:p w14:paraId="4F9FC21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NGO-90455</w:t>
            </w:r>
          </w:p>
        </w:tc>
      </w:tr>
      <w:tr w:rsidR="00C60CC8" w:rsidRPr="006C163B" w14:paraId="60DAF64E" w14:textId="77777777" w:rsidTr="00B77B0C">
        <w:trPr>
          <w:cantSplit/>
          <w:trHeight w:val="290"/>
        </w:trPr>
        <w:tc>
          <w:tcPr>
            <w:tcW w:w="6021" w:type="dxa"/>
            <w:vAlign w:val="center"/>
            <w:hideMark/>
          </w:tcPr>
          <w:p w14:paraId="7842EE95"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lastRenderedPageBreak/>
              <w:t>The Cross-Cultural Foundation of Uganda - CCFU</w:t>
            </w:r>
          </w:p>
        </w:tc>
        <w:tc>
          <w:tcPr>
            <w:tcW w:w="2109" w:type="dxa"/>
            <w:vAlign w:val="center"/>
            <w:hideMark/>
          </w:tcPr>
          <w:p w14:paraId="3AC7B8B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Ouganda</w:t>
            </w:r>
          </w:p>
        </w:tc>
        <w:tc>
          <w:tcPr>
            <w:tcW w:w="1502" w:type="dxa"/>
            <w:vAlign w:val="center"/>
            <w:hideMark/>
          </w:tcPr>
          <w:p w14:paraId="1B066EF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NGO-90274</w:t>
            </w:r>
          </w:p>
        </w:tc>
      </w:tr>
      <w:tr w:rsidR="00C60CC8" w:rsidRPr="006C163B" w14:paraId="1BD77640" w14:textId="77777777" w:rsidTr="00B77B0C">
        <w:trPr>
          <w:cantSplit/>
          <w:trHeight w:val="520"/>
        </w:trPr>
        <w:tc>
          <w:tcPr>
            <w:tcW w:w="6021" w:type="dxa"/>
            <w:vAlign w:val="center"/>
            <w:hideMark/>
          </w:tcPr>
          <w:p w14:paraId="4B27F79C" w14:textId="77777777" w:rsidR="00C60CC8" w:rsidRPr="00C60CC8" w:rsidRDefault="00C60CC8" w:rsidP="00B77B0C">
            <w:pPr>
              <w:spacing w:before="120" w:after="120"/>
              <w:rPr>
                <w:rFonts w:ascii="Arial" w:hAnsi="Arial" w:cs="Arial"/>
                <w:b/>
                <w:bCs/>
                <w:sz w:val="20"/>
                <w:szCs w:val="20"/>
                <w:lang w:val="it-IT"/>
              </w:rPr>
            </w:pPr>
            <w:r w:rsidRPr="00C60CC8">
              <w:rPr>
                <w:rFonts w:ascii="Arial" w:hAnsi="Arial" w:cs="Arial"/>
                <w:b/>
                <w:bCs/>
                <w:sz w:val="20"/>
                <w:szCs w:val="20"/>
                <w:lang w:val="it-IT"/>
              </w:rPr>
              <w:t>Udruga Kuća o batani-Casa della batana</w:t>
            </w:r>
            <w:r w:rsidRPr="00C60CC8">
              <w:rPr>
                <w:rFonts w:ascii="Arial" w:hAnsi="Arial" w:cs="Arial"/>
                <w:b/>
                <w:bCs/>
                <w:sz w:val="20"/>
                <w:szCs w:val="20"/>
                <w:lang w:val="it-IT"/>
              </w:rPr>
              <w:br/>
            </w:r>
            <w:r w:rsidRPr="00C60CC8">
              <w:rPr>
                <w:rFonts w:ascii="Arial" w:hAnsi="Arial" w:cs="Arial"/>
                <w:sz w:val="20"/>
                <w:szCs w:val="20"/>
                <w:lang w:val="it-IT"/>
              </w:rPr>
              <w:t>Association House of Batana</w:t>
            </w:r>
          </w:p>
        </w:tc>
        <w:tc>
          <w:tcPr>
            <w:tcW w:w="2109" w:type="dxa"/>
            <w:vAlign w:val="center"/>
            <w:hideMark/>
          </w:tcPr>
          <w:p w14:paraId="5752FD6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Croatie</w:t>
            </w:r>
          </w:p>
        </w:tc>
        <w:tc>
          <w:tcPr>
            <w:tcW w:w="1502" w:type="dxa"/>
            <w:vAlign w:val="center"/>
            <w:hideMark/>
          </w:tcPr>
          <w:p w14:paraId="25CF46A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NGO-90457</w:t>
            </w:r>
          </w:p>
        </w:tc>
      </w:tr>
      <w:tr w:rsidR="00C60CC8" w:rsidRPr="006C163B" w14:paraId="06F94243" w14:textId="77777777" w:rsidTr="00B77B0C">
        <w:trPr>
          <w:cantSplit/>
          <w:trHeight w:val="520"/>
        </w:trPr>
        <w:tc>
          <w:tcPr>
            <w:tcW w:w="6021" w:type="dxa"/>
            <w:vAlign w:val="center"/>
            <w:hideMark/>
          </w:tcPr>
          <w:p w14:paraId="33E04473" w14:textId="77777777" w:rsidR="00C60CC8" w:rsidRPr="00C60CC8" w:rsidRDefault="00C60CC8" w:rsidP="00B77B0C">
            <w:pPr>
              <w:spacing w:before="120" w:after="120"/>
              <w:rPr>
                <w:rFonts w:ascii="Arial" w:hAnsi="Arial" w:cs="Arial"/>
                <w:b/>
                <w:bCs/>
                <w:sz w:val="20"/>
                <w:szCs w:val="20"/>
                <w:lang w:val="it-IT"/>
              </w:rPr>
            </w:pPr>
            <w:r w:rsidRPr="00C60CC8">
              <w:rPr>
                <w:rFonts w:ascii="Arial" w:hAnsi="Arial" w:cs="Arial"/>
                <w:b/>
                <w:bCs/>
                <w:sz w:val="20"/>
                <w:szCs w:val="20"/>
                <w:lang w:val="it-IT"/>
              </w:rPr>
              <w:t>Unione Nazionale Pro Loco d’Italia</w:t>
            </w:r>
            <w:r w:rsidRPr="00C60CC8">
              <w:rPr>
                <w:rFonts w:ascii="Arial" w:hAnsi="Arial" w:cs="Arial"/>
                <w:b/>
                <w:bCs/>
                <w:sz w:val="20"/>
                <w:szCs w:val="20"/>
                <w:lang w:val="it-IT"/>
              </w:rPr>
              <w:br/>
            </w:r>
            <w:r w:rsidRPr="00C60CC8">
              <w:rPr>
                <w:rFonts w:ascii="Arial" w:hAnsi="Arial" w:cs="Arial"/>
                <w:sz w:val="20"/>
                <w:szCs w:val="20"/>
                <w:lang w:val="it-IT"/>
              </w:rPr>
              <w:t>Italian Network of Pro Loco Associations - UNPLI</w:t>
            </w:r>
          </w:p>
        </w:tc>
        <w:tc>
          <w:tcPr>
            <w:tcW w:w="2109" w:type="dxa"/>
            <w:vAlign w:val="center"/>
            <w:hideMark/>
          </w:tcPr>
          <w:p w14:paraId="3DAEC96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Italie</w:t>
            </w:r>
          </w:p>
        </w:tc>
        <w:tc>
          <w:tcPr>
            <w:tcW w:w="1502" w:type="dxa"/>
            <w:vAlign w:val="center"/>
            <w:hideMark/>
          </w:tcPr>
          <w:p w14:paraId="7570E47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NGO-90211</w:t>
            </w:r>
          </w:p>
        </w:tc>
      </w:tr>
      <w:tr w:rsidR="00C60CC8" w:rsidRPr="006C163B" w14:paraId="7225789D" w14:textId="77777777" w:rsidTr="00B77B0C">
        <w:trPr>
          <w:cantSplit/>
          <w:trHeight w:val="520"/>
        </w:trPr>
        <w:tc>
          <w:tcPr>
            <w:tcW w:w="6021" w:type="dxa"/>
            <w:vAlign w:val="center"/>
            <w:hideMark/>
          </w:tcPr>
          <w:p w14:paraId="236FAB3B"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vzw</w:t>
            </w:r>
            <w:proofErr w:type="spellEnd"/>
            <w:r w:rsidRPr="006C163B">
              <w:rPr>
                <w:rFonts w:ascii="Arial" w:hAnsi="Arial" w:cs="Arial"/>
                <w:b/>
                <w:bCs/>
                <w:sz w:val="20"/>
                <w:szCs w:val="20"/>
                <w:lang w:val="en-GB"/>
              </w:rPr>
              <w:t xml:space="preserve"> Het </w:t>
            </w:r>
            <w:proofErr w:type="spellStart"/>
            <w:r w:rsidRPr="006C163B">
              <w:rPr>
                <w:rFonts w:ascii="Arial" w:hAnsi="Arial" w:cs="Arial"/>
                <w:b/>
                <w:bCs/>
                <w:sz w:val="20"/>
                <w:szCs w:val="20"/>
                <w:lang w:val="en-GB"/>
              </w:rPr>
              <w:t>Domein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Bokrijk</w:t>
            </w:r>
            <w:proofErr w:type="spellEnd"/>
            <w:r w:rsidRPr="006C163B">
              <w:rPr>
                <w:rFonts w:ascii="Arial" w:hAnsi="Arial" w:cs="Arial"/>
                <w:b/>
                <w:bCs/>
                <w:sz w:val="20"/>
                <w:szCs w:val="20"/>
                <w:lang w:val="en-GB"/>
              </w:rPr>
              <w:br/>
            </w:r>
            <w:r w:rsidRPr="006C163B">
              <w:rPr>
                <w:rFonts w:ascii="Arial" w:hAnsi="Arial" w:cs="Arial"/>
                <w:sz w:val="20"/>
                <w:szCs w:val="20"/>
                <w:lang w:val="en-GB"/>
              </w:rPr>
              <w:t xml:space="preserve">The Domain </w:t>
            </w:r>
            <w:proofErr w:type="spellStart"/>
            <w:r w:rsidRPr="006C163B">
              <w:rPr>
                <w:rFonts w:ascii="Arial" w:hAnsi="Arial" w:cs="Arial"/>
                <w:sz w:val="20"/>
                <w:szCs w:val="20"/>
                <w:lang w:val="en-GB"/>
              </w:rPr>
              <w:t>Bokrijk</w:t>
            </w:r>
            <w:proofErr w:type="spellEnd"/>
          </w:p>
        </w:tc>
        <w:tc>
          <w:tcPr>
            <w:tcW w:w="2109" w:type="dxa"/>
            <w:vAlign w:val="center"/>
            <w:hideMark/>
          </w:tcPr>
          <w:p w14:paraId="0E08B45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1502" w:type="dxa"/>
            <w:vAlign w:val="center"/>
            <w:hideMark/>
          </w:tcPr>
          <w:p w14:paraId="7EFAAF5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NGO-90203</w:t>
            </w:r>
          </w:p>
        </w:tc>
      </w:tr>
      <w:tr w:rsidR="00C60CC8" w:rsidRPr="006C163B" w14:paraId="4950AF5C" w14:textId="77777777" w:rsidTr="00B77B0C">
        <w:trPr>
          <w:cantSplit/>
          <w:trHeight w:val="520"/>
        </w:trPr>
        <w:tc>
          <w:tcPr>
            <w:tcW w:w="6021" w:type="dxa"/>
            <w:vAlign w:val="center"/>
            <w:hideMark/>
          </w:tcPr>
          <w:p w14:paraId="22912156" w14:textId="77777777" w:rsidR="00C60CC8" w:rsidRPr="006C163B" w:rsidRDefault="00C60CC8" w:rsidP="00B77B0C">
            <w:pPr>
              <w:spacing w:before="120" w:after="120"/>
              <w:rPr>
                <w:rFonts w:ascii="Arial" w:hAnsi="Arial" w:cs="Arial"/>
                <w:b/>
                <w:bCs/>
                <w:sz w:val="20"/>
                <w:szCs w:val="20"/>
                <w:lang w:val="en-GB"/>
              </w:rPr>
            </w:pPr>
            <w:proofErr w:type="spellStart"/>
            <w:r w:rsidRPr="006C163B">
              <w:rPr>
                <w:rFonts w:ascii="Arial" w:hAnsi="Arial" w:cs="Arial"/>
                <w:b/>
                <w:bCs/>
                <w:sz w:val="20"/>
                <w:szCs w:val="20"/>
                <w:lang w:val="en-GB"/>
              </w:rPr>
              <w:t>Werkplaats</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immaterieel</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erfgoed</w:t>
            </w:r>
            <w:proofErr w:type="spellEnd"/>
            <w:r w:rsidRPr="006C163B">
              <w:rPr>
                <w:rFonts w:ascii="Arial" w:hAnsi="Arial" w:cs="Arial"/>
                <w:b/>
                <w:bCs/>
                <w:sz w:val="20"/>
                <w:szCs w:val="20"/>
                <w:lang w:val="en-GB"/>
              </w:rPr>
              <w:br/>
            </w:r>
            <w:r w:rsidRPr="006C163B">
              <w:rPr>
                <w:rFonts w:ascii="Arial" w:hAnsi="Arial" w:cs="Arial"/>
                <w:sz w:val="20"/>
                <w:szCs w:val="20"/>
                <w:lang w:val="en-GB"/>
              </w:rPr>
              <w:t>Workshop intangible heritage Flanders</w:t>
            </w:r>
          </w:p>
        </w:tc>
        <w:tc>
          <w:tcPr>
            <w:tcW w:w="2109" w:type="dxa"/>
            <w:vAlign w:val="center"/>
            <w:hideMark/>
          </w:tcPr>
          <w:p w14:paraId="34B8B54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Belgique</w:t>
            </w:r>
          </w:p>
        </w:tc>
        <w:tc>
          <w:tcPr>
            <w:tcW w:w="1502" w:type="dxa"/>
            <w:vAlign w:val="center"/>
            <w:hideMark/>
          </w:tcPr>
          <w:p w14:paraId="2D0F919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NGO-90186</w:t>
            </w:r>
          </w:p>
        </w:tc>
      </w:tr>
      <w:tr w:rsidR="00C60CC8" w:rsidRPr="006C163B" w14:paraId="0CC73A6A" w14:textId="77777777" w:rsidTr="00B77B0C">
        <w:trPr>
          <w:cantSplit/>
          <w:trHeight w:val="520"/>
        </w:trPr>
        <w:tc>
          <w:tcPr>
            <w:tcW w:w="6021" w:type="dxa"/>
            <w:vAlign w:val="center"/>
            <w:hideMark/>
          </w:tcPr>
          <w:p w14:paraId="37643909"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lang w:val="en-GB"/>
              </w:rPr>
              <w:t>West Africa Coalition for Indigenous Peoples’ Rights (WACIPR) - WACIPR</w:t>
            </w:r>
          </w:p>
        </w:tc>
        <w:tc>
          <w:tcPr>
            <w:tcW w:w="2109" w:type="dxa"/>
            <w:vAlign w:val="center"/>
            <w:hideMark/>
          </w:tcPr>
          <w:p w14:paraId="1AECD53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Nigéria</w:t>
            </w:r>
          </w:p>
        </w:tc>
        <w:tc>
          <w:tcPr>
            <w:tcW w:w="1502" w:type="dxa"/>
            <w:vAlign w:val="center"/>
            <w:hideMark/>
          </w:tcPr>
          <w:p w14:paraId="0ABCEC7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NGO-90217</w:t>
            </w:r>
          </w:p>
        </w:tc>
      </w:tr>
      <w:tr w:rsidR="00C60CC8" w:rsidRPr="006C163B" w14:paraId="07AB4C0F" w14:textId="77777777" w:rsidTr="00B77B0C">
        <w:trPr>
          <w:cantSplit/>
          <w:trHeight w:val="290"/>
        </w:trPr>
        <w:tc>
          <w:tcPr>
            <w:tcW w:w="6021" w:type="dxa"/>
            <w:vAlign w:val="center"/>
            <w:hideMark/>
          </w:tcPr>
          <w:p w14:paraId="5218B10D"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World </w:t>
            </w:r>
            <w:proofErr w:type="spellStart"/>
            <w:r w:rsidRPr="006C163B">
              <w:rPr>
                <w:rFonts w:ascii="Arial" w:hAnsi="Arial" w:cs="Arial"/>
                <w:b/>
                <w:bCs/>
                <w:sz w:val="20"/>
                <w:szCs w:val="20"/>
              </w:rPr>
              <w:t>Crafts</w:t>
            </w:r>
            <w:proofErr w:type="spellEnd"/>
            <w:r w:rsidRPr="006C163B">
              <w:rPr>
                <w:rFonts w:ascii="Arial" w:hAnsi="Arial" w:cs="Arial"/>
                <w:b/>
                <w:bCs/>
                <w:sz w:val="20"/>
                <w:szCs w:val="20"/>
              </w:rPr>
              <w:t xml:space="preserve"> Council AISBL</w:t>
            </w:r>
          </w:p>
        </w:tc>
        <w:tc>
          <w:tcPr>
            <w:tcW w:w="2109" w:type="dxa"/>
            <w:vAlign w:val="center"/>
            <w:hideMark/>
          </w:tcPr>
          <w:p w14:paraId="184D1093" w14:textId="38484021"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Royaume-Uni de Grande-Bretagne et d’Irlande du Nord</w:t>
            </w:r>
          </w:p>
        </w:tc>
        <w:tc>
          <w:tcPr>
            <w:tcW w:w="1502" w:type="dxa"/>
            <w:vAlign w:val="center"/>
            <w:hideMark/>
          </w:tcPr>
          <w:p w14:paraId="5F818A8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NGO-90435</w:t>
            </w:r>
          </w:p>
        </w:tc>
      </w:tr>
      <w:tr w:rsidR="00C60CC8" w:rsidRPr="006C163B" w14:paraId="063574C7" w14:textId="77777777" w:rsidTr="00B77B0C">
        <w:trPr>
          <w:cantSplit/>
          <w:trHeight w:val="520"/>
        </w:trPr>
        <w:tc>
          <w:tcPr>
            <w:tcW w:w="6021" w:type="dxa"/>
            <w:vAlign w:val="center"/>
          </w:tcPr>
          <w:p w14:paraId="5191A314"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World </w:t>
            </w:r>
            <w:proofErr w:type="spellStart"/>
            <w:r w:rsidRPr="006C163B">
              <w:rPr>
                <w:rFonts w:ascii="Arial" w:hAnsi="Arial" w:cs="Arial"/>
                <w:b/>
                <w:bCs/>
                <w:sz w:val="20"/>
                <w:szCs w:val="20"/>
              </w:rPr>
              <w:t>Ethnosport</w:t>
            </w:r>
            <w:proofErr w:type="spellEnd"/>
            <w:r w:rsidRPr="006C163B">
              <w:rPr>
                <w:rFonts w:ascii="Arial" w:hAnsi="Arial" w:cs="Arial"/>
                <w:b/>
                <w:bCs/>
                <w:sz w:val="20"/>
                <w:szCs w:val="20"/>
              </w:rPr>
              <w:t xml:space="preserve"> Society</w:t>
            </w:r>
          </w:p>
        </w:tc>
        <w:tc>
          <w:tcPr>
            <w:tcW w:w="2109" w:type="dxa"/>
            <w:vAlign w:val="center"/>
          </w:tcPr>
          <w:p w14:paraId="5B2A28F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Lettonie</w:t>
            </w:r>
          </w:p>
        </w:tc>
        <w:tc>
          <w:tcPr>
            <w:tcW w:w="1502" w:type="dxa"/>
            <w:vAlign w:val="center"/>
          </w:tcPr>
          <w:p w14:paraId="7B73028A"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NGO-90478</w:t>
            </w:r>
          </w:p>
        </w:tc>
      </w:tr>
      <w:tr w:rsidR="00C60CC8" w:rsidRPr="006C163B" w14:paraId="44410E5D" w14:textId="77777777" w:rsidTr="00B77B0C">
        <w:trPr>
          <w:cantSplit/>
          <w:trHeight w:val="520"/>
        </w:trPr>
        <w:tc>
          <w:tcPr>
            <w:tcW w:w="6021" w:type="dxa"/>
            <w:vAlign w:val="center"/>
          </w:tcPr>
          <w:p w14:paraId="4BCDA785"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Πελο</w:t>
            </w:r>
            <w:proofErr w:type="spellEnd"/>
            <w:r w:rsidRPr="006C163B">
              <w:rPr>
                <w:rFonts w:ascii="Arial" w:hAnsi="Arial" w:cs="Arial"/>
                <w:b/>
                <w:bCs/>
                <w:sz w:val="20"/>
                <w:szCs w:val="20"/>
              </w:rPr>
              <w:t>ποννησιακό Λα</w:t>
            </w:r>
            <w:proofErr w:type="spellStart"/>
            <w:r w:rsidRPr="006C163B">
              <w:rPr>
                <w:rFonts w:ascii="Arial" w:hAnsi="Arial" w:cs="Arial"/>
                <w:b/>
                <w:bCs/>
                <w:sz w:val="20"/>
                <w:szCs w:val="20"/>
              </w:rPr>
              <w:t>ογρ</w:t>
            </w:r>
            <w:proofErr w:type="spellEnd"/>
            <w:r w:rsidRPr="006C163B">
              <w:rPr>
                <w:rFonts w:ascii="Arial" w:hAnsi="Arial" w:cs="Arial"/>
                <w:b/>
                <w:bCs/>
                <w:sz w:val="20"/>
                <w:szCs w:val="20"/>
              </w:rPr>
              <w:t xml:space="preserve">αφικό </w:t>
            </w:r>
            <w:proofErr w:type="spellStart"/>
            <w:r w:rsidRPr="006C163B">
              <w:rPr>
                <w:rFonts w:ascii="Arial" w:hAnsi="Arial" w:cs="Arial"/>
                <w:b/>
                <w:bCs/>
                <w:sz w:val="20"/>
                <w:szCs w:val="20"/>
              </w:rPr>
              <w:t>Ίδρυμ</w:t>
            </w:r>
            <w:proofErr w:type="spellEnd"/>
            <w:r w:rsidRPr="006C163B">
              <w:rPr>
                <w:rFonts w:ascii="Arial" w:hAnsi="Arial" w:cs="Arial"/>
                <w:b/>
                <w:bCs/>
                <w:sz w:val="20"/>
                <w:szCs w:val="20"/>
              </w:rPr>
              <w:t>α ‘Β. Παπα</w:t>
            </w:r>
            <w:proofErr w:type="spellStart"/>
            <w:r w:rsidRPr="006C163B">
              <w:rPr>
                <w:rFonts w:ascii="Arial" w:hAnsi="Arial" w:cs="Arial"/>
                <w:b/>
                <w:bCs/>
                <w:sz w:val="20"/>
                <w:szCs w:val="20"/>
              </w:rPr>
              <w:t>ντωνίου</w:t>
            </w:r>
            <w:proofErr w:type="spellEnd"/>
            <w:r w:rsidRPr="006C163B">
              <w:rPr>
                <w:rFonts w:ascii="Arial" w:hAnsi="Arial" w:cs="Arial"/>
                <w:b/>
                <w:bCs/>
                <w:sz w:val="20"/>
                <w:szCs w:val="20"/>
              </w:rPr>
              <w:t xml:space="preserve">’ </w:t>
            </w:r>
            <w:r w:rsidRPr="006C163B">
              <w:rPr>
                <w:rFonts w:ascii="Arial" w:hAnsi="Arial" w:cs="Arial"/>
                <w:b/>
                <w:bCs/>
                <w:sz w:val="20"/>
                <w:szCs w:val="20"/>
              </w:rPr>
              <w:br/>
            </w:r>
            <w:r w:rsidRPr="006C163B">
              <w:rPr>
                <w:rFonts w:ascii="Arial" w:hAnsi="Arial" w:cs="Arial"/>
                <w:sz w:val="20"/>
                <w:szCs w:val="20"/>
              </w:rPr>
              <w:t xml:space="preserve">V. </w:t>
            </w:r>
            <w:proofErr w:type="spellStart"/>
            <w:r w:rsidRPr="006C163B">
              <w:rPr>
                <w:rFonts w:ascii="Arial" w:hAnsi="Arial" w:cs="Arial"/>
                <w:sz w:val="20"/>
                <w:szCs w:val="20"/>
              </w:rPr>
              <w:t>Papantoniou</w:t>
            </w:r>
            <w:proofErr w:type="spellEnd"/>
            <w:r w:rsidRPr="006C163B">
              <w:rPr>
                <w:rFonts w:ascii="Arial" w:hAnsi="Arial" w:cs="Arial"/>
                <w:sz w:val="20"/>
                <w:szCs w:val="20"/>
              </w:rPr>
              <w:t xml:space="preserve"> </w:t>
            </w:r>
            <w:proofErr w:type="spellStart"/>
            <w:r w:rsidRPr="006C163B">
              <w:rPr>
                <w:rFonts w:ascii="Arial" w:hAnsi="Arial" w:cs="Arial"/>
                <w:sz w:val="20"/>
                <w:szCs w:val="20"/>
              </w:rPr>
              <w:t>Peloponnesian</w:t>
            </w:r>
            <w:proofErr w:type="spellEnd"/>
            <w:r w:rsidRPr="006C163B">
              <w:rPr>
                <w:rFonts w:ascii="Arial" w:hAnsi="Arial" w:cs="Arial"/>
                <w:sz w:val="20"/>
                <w:szCs w:val="20"/>
              </w:rPr>
              <w:t xml:space="preserve"> Folklore </w:t>
            </w:r>
            <w:proofErr w:type="spellStart"/>
            <w:r w:rsidRPr="006C163B">
              <w:rPr>
                <w:rFonts w:ascii="Arial" w:hAnsi="Arial" w:cs="Arial"/>
                <w:sz w:val="20"/>
                <w:szCs w:val="20"/>
              </w:rPr>
              <w:t>Foundation</w:t>
            </w:r>
            <w:proofErr w:type="spellEnd"/>
            <w:r w:rsidRPr="006C163B">
              <w:rPr>
                <w:rFonts w:ascii="Arial" w:hAnsi="Arial" w:cs="Arial"/>
                <w:sz w:val="20"/>
                <w:szCs w:val="20"/>
              </w:rPr>
              <w:t xml:space="preserve"> - PFF</w:t>
            </w:r>
          </w:p>
        </w:tc>
        <w:tc>
          <w:tcPr>
            <w:tcW w:w="2109" w:type="dxa"/>
            <w:vAlign w:val="center"/>
          </w:tcPr>
          <w:p w14:paraId="2BA0801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Grèce</w:t>
            </w:r>
          </w:p>
        </w:tc>
        <w:tc>
          <w:tcPr>
            <w:tcW w:w="1502" w:type="dxa"/>
            <w:vAlign w:val="center"/>
          </w:tcPr>
          <w:p w14:paraId="475FE0D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NGO-90107</w:t>
            </w:r>
          </w:p>
        </w:tc>
      </w:tr>
      <w:tr w:rsidR="00C60CC8" w:rsidRPr="006C163B" w14:paraId="2CDCA1E0" w14:textId="77777777" w:rsidTr="00B77B0C">
        <w:trPr>
          <w:cantSplit/>
          <w:trHeight w:val="520"/>
        </w:trPr>
        <w:tc>
          <w:tcPr>
            <w:tcW w:w="6021" w:type="dxa"/>
            <w:vAlign w:val="center"/>
            <w:hideMark/>
          </w:tcPr>
          <w:p w14:paraId="0ED0EE77"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Πολιτιστικο</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Εργ</w:t>
            </w:r>
            <w:proofErr w:type="spellEnd"/>
            <w:r w:rsidRPr="006C163B">
              <w:rPr>
                <w:rFonts w:ascii="Arial" w:hAnsi="Arial" w:cs="Arial"/>
                <w:b/>
                <w:bCs/>
                <w:sz w:val="20"/>
                <w:szCs w:val="20"/>
              </w:rPr>
              <w:t xml:space="preserve">αστηρι </w:t>
            </w:r>
            <w:proofErr w:type="spellStart"/>
            <w:r w:rsidRPr="006C163B">
              <w:rPr>
                <w:rFonts w:ascii="Arial" w:hAnsi="Arial" w:cs="Arial"/>
                <w:b/>
                <w:bCs/>
                <w:sz w:val="20"/>
                <w:szCs w:val="20"/>
              </w:rPr>
              <w:t>Αγιων</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Ομολογητων</w:t>
            </w:r>
            <w:proofErr w:type="spellEnd"/>
            <w:r w:rsidRPr="006C163B">
              <w:rPr>
                <w:rFonts w:ascii="Arial" w:hAnsi="Arial" w:cs="Arial"/>
                <w:b/>
                <w:bCs/>
                <w:sz w:val="20"/>
                <w:szCs w:val="20"/>
              </w:rPr>
              <w:br/>
            </w:r>
            <w:proofErr w:type="spellStart"/>
            <w:r w:rsidRPr="006C163B">
              <w:rPr>
                <w:rFonts w:ascii="Arial" w:hAnsi="Arial" w:cs="Arial"/>
                <w:sz w:val="20"/>
                <w:szCs w:val="20"/>
              </w:rPr>
              <w:t>Politistiko</w:t>
            </w:r>
            <w:proofErr w:type="spellEnd"/>
            <w:r w:rsidRPr="006C163B">
              <w:rPr>
                <w:rFonts w:ascii="Arial" w:hAnsi="Arial" w:cs="Arial"/>
                <w:sz w:val="20"/>
                <w:szCs w:val="20"/>
              </w:rPr>
              <w:t xml:space="preserve"> </w:t>
            </w:r>
            <w:proofErr w:type="spellStart"/>
            <w:r w:rsidRPr="006C163B">
              <w:rPr>
                <w:rFonts w:ascii="Arial" w:hAnsi="Arial" w:cs="Arial"/>
                <w:sz w:val="20"/>
                <w:szCs w:val="20"/>
              </w:rPr>
              <w:t>Ergastiri</w:t>
            </w:r>
            <w:proofErr w:type="spellEnd"/>
            <w:r w:rsidRPr="006C163B">
              <w:rPr>
                <w:rFonts w:ascii="Arial" w:hAnsi="Arial" w:cs="Arial"/>
                <w:sz w:val="20"/>
                <w:szCs w:val="20"/>
              </w:rPr>
              <w:t xml:space="preserve"> </w:t>
            </w:r>
            <w:proofErr w:type="spellStart"/>
            <w:r w:rsidRPr="006C163B">
              <w:rPr>
                <w:rFonts w:ascii="Arial" w:hAnsi="Arial" w:cs="Arial"/>
                <w:sz w:val="20"/>
                <w:szCs w:val="20"/>
              </w:rPr>
              <w:t>Ayion</w:t>
            </w:r>
            <w:proofErr w:type="spellEnd"/>
            <w:r w:rsidRPr="006C163B">
              <w:rPr>
                <w:rFonts w:ascii="Arial" w:hAnsi="Arial" w:cs="Arial"/>
                <w:sz w:val="20"/>
                <w:szCs w:val="20"/>
              </w:rPr>
              <w:t xml:space="preserve"> </w:t>
            </w:r>
            <w:proofErr w:type="spellStart"/>
            <w:r w:rsidRPr="006C163B">
              <w:rPr>
                <w:rFonts w:ascii="Arial" w:hAnsi="Arial" w:cs="Arial"/>
                <w:sz w:val="20"/>
                <w:szCs w:val="20"/>
              </w:rPr>
              <w:t>Omoloyiton</w:t>
            </w:r>
            <w:proofErr w:type="spellEnd"/>
          </w:p>
        </w:tc>
        <w:tc>
          <w:tcPr>
            <w:tcW w:w="2109" w:type="dxa"/>
            <w:vAlign w:val="center"/>
            <w:hideMark/>
          </w:tcPr>
          <w:p w14:paraId="0058F532"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Chypre</w:t>
            </w:r>
          </w:p>
        </w:tc>
        <w:tc>
          <w:tcPr>
            <w:tcW w:w="1502" w:type="dxa"/>
            <w:vAlign w:val="center"/>
            <w:hideMark/>
          </w:tcPr>
          <w:p w14:paraId="6FC327D9"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NGO-90265</w:t>
            </w:r>
          </w:p>
        </w:tc>
      </w:tr>
      <w:tr w:rsidR="00C60CC8" w:rsidRPr="006C163B" w14:paraId="7D70CB3C" w14:textId="77777777" w:rsidTr="00B77B0C">
        <w:trPr>
          <w:cantSplit/>
          <w:trHeight w:val="520"/>
        </w:trPr>
        <w:tc>
          <w:tcPr>
            <w:tcW w:w="6021" w:type="dxa"/>
            <w:vAlign w:val="center"/>
            <w:hideMark/>
          </w:tcPr>
          <w:p w14:paraId="273AE1C6"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Πολιτιστικό</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Ίδρυμ</w:t>
            </w:r>
            <w:proofErr w:type="spellEnd"/>
            <w:r w:rsidRPr="006C163B">
              <w:rPr>
                <w:rFonts w:ascii="Arial" w:hAnsi="Arial" w:cs="Arial"/>
                <w:b/>
                <w:bCs/>
                <w:sz w:val="20"/>
                <w:szCs w:val="20"/>
              </w:rPr>
              <w:t xml:space="preserve">α </w:t>
            </w:r>
            <w:proofErr w:type="spellStart"/>
            <w:r w:rsidRPr="006C163B">
              <w:rPr>
                <w:rFonts w:ascii="Arial" w:hAnsi="Arial" w:cs="Arial"/>
                <w:b/>
                <w:bCs/>
                <w:sz w:val="20"/>
                <w:szCs w:val="20"/>
              </w:rPr>
              <w:t>Ομίλου</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Πειρ</w:t>
            </w:r>
            <w:proofErr w:type="spellEnd"/>
            <w:r w:rsidRPr="006C163B">
              <w:rPr>
                <w:rFonts w:ascii="Arial" w:hAnsi="Arial" w:cs="Arial"/>
                <w:b/>
                <w:bCs/>
                <w:sz w:val="20"/>
                <w:szCs w:val="20"/>
              </w:rPr>
              <w:t>αιώς (ΠΙΟΠ)</w:t>
            </w:r>
            <w:r w:rsidRPr="006C163B">
              <w:rPr>
                <w:rFonts w:ascii="Arial" w:hAnsi="Arial" w:cs="Arial"/>
                <w:b/>
                <w:bCs/>
                <w:sz w:val="20"/>
                <w:szCs w:val="20"/>
              </w:rPr>
              <w:br/>
            </w:r>
            <w:proofErr w:type="spellStart"/>
            <w:r w:rsidRPr="006C163B">
              <w:rPr>
                <w:rFonts w:ascii="Arial" w:hAnsi="Arial" w:cs="Arial"/>
                <w:sz w:val="20"/>
                <w:szCs w:val="20"/>
              </w:rPr>
              <w:t>Piraeus</w:t>
            </w:r>
            <w:proofErr w:type="spellEnd"/>
            <w:r w:rsidRPr="006C163B">
              <w:rPr>
                <w:rFonts w:ascii="Arial" w:hAnsi="Arial" w:cs="Arial"/>
                <w:sz w:val="20"/>
                <w:szCs w:val="20"/>
              </w:rPr>
              <w:t xml:space="preserve"> Bank Group Cultural </w:t>
            </w:r>
            <w:proofErr w:type="spellStart"/>
            <w:r w:rsidRPr="006C163B">
              <w:rPr>
                <w:rFonts w:ascii="Arial" w:hAnsi="Arial" w:cs="Arial"/>
                <w:sz w:val="20"/>
                <w:szCs w:val="20"/>
              </w:rPr>
              <w:t>Foundation</w:t>
            </w:r>
            <w:proofErr w:type="spellEnd"/>
            <w:r w:rsidRPr="006C163B">
              <w:rPr>
                <w:rFonts w:ascii="Arial" w:hAnsi="Arial" w:cs="Arial"/>
                <w:sz w:val="20"/>
                <w:szCs w:val="20"/>
              </w:rPr>
              <w:t xml:space="preserve"> - PIOP</w:t>
            </w:r>
          </w:p>
        </w:tc>
        <w:tc>
          <w:tcPr>
            <w:tcW w:w="2109" w:type="dxa"/>
            <w:vAlign w:val="center"/>
            <w:hideMark/>
          </w:tcPr>
          <w:p w14:paraId="18F422C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Grèce</w:t>
            </w:r>
          </w:p>
        </w:tc>
        <w:tc>
          <w:tcPr>
            <w:tcW w:w="1502" w:type="dxa"/>
            <w:vAlign w:val="center"/>
            <w:hideMark/>
          </w:tcPr>
          <w:p w14:paraId="68E6E875"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NGO-90287</w:t>
            </w:r>
          </w:p>
        </w:tc>
      </w:tr>
      <w:tr w:rsidR="00C60CC8" w:rsidRPr="006C163B" w14:paraId="60F3655E" w14:textId="77777777" w:rsidTr="00B77B0C">
        <w:trPr>
          <w:cantSplit/>
          <w:trHeight w:val="780"/>
        </w:trPr>
        <w:tc>
          <w:tcPr>
            <w:tcW w:w="6021" w:type="dxa"/>
            <w:vAlign w:val="center"/>
            <w:hideMark/>
          </w:tcPr>
          <w:p w14:paraId="6B31AADD"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Европейска</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Асоциация</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на</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Фолклорните</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Фестивали</w:t>
            </w:r>
            <w:proofErr w:type="spellEnd"/>
            <w:r w:rsidRPr="006C163B">
              <w:rPr>
                <w:rFonts w:ascii="Arial" w:hAnsi="Arial" w:cs="Arial"/>
                <w:b/>
                <w:bCs/>
                <w:sz w:val="20"/>
                <w:szCs w:val="20"/>
              </w:rPr>
              <w:t xml:space="preserve"> - ЕАФФ</w:t>
            </w:r>
            <w:r w:rsidRPr="006C163B">
              <w:rPr>
                <w:rFonts w:ascii="Arial" w:hAnsi="Arial" w:cs="Arial"/>
                <w:b/>
                <w:bCs/>
                <w:sz w:val="20"/>
                <w:szCs w:val="20"/>
              </w:rPr>
              <w:br/>
            </w:r>
            <w:proofErr w:type="spellStart"/>
            <w:r w:rsidRPr="006C163B">
              <w:rPr>
                <w:rFonts w:ascii="Arial" w:hAnsi="Arial" w:cs="Arial"/>
                <w:sz w:val="20"/>
                <w:szCs w:val="20"/>
              </w:rPr>
              <w:t>European</w:t>
            </w:r>
            <w:proofErr w:type="spellEnd"/>
            <w:r w:rsidRPr="006C163B">
              <w:rPr>
                <w:rFonts w:ascii="Arial" w:hAnsi="Arial" w:cs="Arial"/>
                <w:sz w:val="20"/>
                <w:szCs w:val="20"/>
              </w:rPr>
              <w:t xml:space="preserve"> Association of Folklore Festivals - EAFF</w:t>
            </w:r>
          </w:p>
        </w:tc>
        <w:tc>
          <w:tcPr>
            <w:tcW w:w="2109" w:type="dxa"/>
            <w:vAlign w:val="center"/>
            <w:hideMark/>
          </w:tcPr>
          <w:p w14:paraId="6B74DA0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Bulgarie</w:t>
            </w:r>
          </w:p>
        </w:tc>
        <w:tc>
          <w:tcPr>
            <w:tcW w:w="1502" w:type="dxa"/>
            <w:vAlign w:val="center"/>
            <w:hideMark/>
          </w:tcPr>
          <w:p w14:paraId="7CDDB84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NGO-90338</w:t>
            </w:r>
          </w:p>
        </w:tc>
      </w:tr>
      <w:tr w:rsidR="00C60CC8" w:rsidRPr="006C163B" w14:paraId="56EE61A5" w14:textId="77777777" w:rsidTr="00B77B0C">
        <w:trPr>
          <w:cantSplit/>
          <w:trHeight w:val="520"/>
        </w:trPr>
        <w:tc>
          <w:tcPr>
            <w:tcW w:w="6021" w:type="dxa"/>
            <w:vAlign w:val="center"/>
            <w:hideMark/>
          </w:tcPr>
          <w:p w14:paraId="74849E70"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Pr>
              <w:t xml:space="preserve">МИД - </w:t>
            </w:r>
            <w:proofErr w:type="spellStart"/>
            <w:r w:rsidRPr="006C163B">
              <w:rPr>
                <w:rFonts w:ascii="Arial" w:hAnsi="Arial" w:cs="Arial"/>
                <w:b/>
                <w:bCs/>
                <w:sz w:val="20"/>
                <w:szCs w:val="20"/>
              </w:rPr>
              <w:t>Македонско</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Истражувачко</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Друштво</w:t>
            </w:r>
            <w:proofErr w:type="spellEnd"/>
            <w:r w:rsidRPr="006C163B">
              <w:rPr>
                <w:rFonts w:ascii="Arial" w:hAnsi="Arial" w:cs="Arial"/>
                <w:b/>
                <w:bCs/>
                <w:sz w:val="20"/>
                <w:szCs w:val="20"/>
              </w:rPr>
              <w:br/>
            </w:r>
            <w:r w:rsidRPr="006C163B">
              <w:rPr>
                <w:rFonts w:ascii="Arial" w:hAnsi="Arial" w:cs="Arial"/>
                <w:sz w:val="20"/>
                <w:szCs w:val="20"/>
              </w:rPr>
              <w:t xml:space="preserve">MID - </w:t>
            </w:r>
            <w:proofErr w:type="spellStart"/>
            <w:r w:rsidRPr="006C163B">
              <w:rPr>
                <w:rFonts w:ascii="Arial" w:hAnsi="Arial" w:cs="Arial"/>
                <w:sz w:val="20"/>
                <w:szCs w:val="20"/>
              </w:rPr>
              <w:t>Macedonian</w:t>
            </w:r>
            <w:proofErr w:type="spellEnd"/>
            <w:r w:rsidRPr="006C163B">
              <w:rPr>
                <w:rFonts w:ascii="Arial" w:hAnsi="Arial" w:cs="Arial"/>
                <w:sz w:val="20"/>
                <w:szCs w:val="20"/>
              </w:rPr>
              <w:t xml:space="preserve"> </w:t>
            </w:r>
            <w:proofErr w:type="spellStart"/>
            <w:r w:rsidRPr="006C163B">
              <w:rPr>
                <w:rFonts w:ascii="Arial" w:hAnsi="Arial" w:cs="Arial"/>
                <w:sz w:val="20"/>
                <w:szCs w:val="20"/>
              </w:rPr>
              <w:t>Research</w:t>
            </w:r>
            <w:proofErr w:type="spellEnd"/>
            <w:r w:rsidRPr="006C163B">
              <w:rPr>
                <w:rFonts w:ascii="Arial" w:hAnsi="Arial" w:cs="Arial"/>
                <w:sz w:val="20"/>
                <w:szCs w:val="20"/>
              </w:rPr>
              <w:t xml:space="preserve"> Society</w:t>
            </w:r>
          </w:p>
        </w:tc>
        <w:tc>
          <w:tcPr>
            <w:tcW w:w="2109" w:type="dxa"/>
            <w:vAlign w:val="center"/>
            <w:hideMark/>
          </w:tcPr>
          <w:p w14:paraId="1EBF1FF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Macédoine du Nord</w:t>
            </w:r>
          </w:p>
        </w:tc>
        <w:tc>
          <w:tcPr>
            <w:tcW w:w="1502" w:type="dxa"/>
            <w:vAlign w:val="center"/>
            <w:hideMark/>
          </w:tcPr>
          <w:p w14:paraId="253AAC3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NGO-90218</w:t>
            </w:r>
          </w:p>
        </w:tc>
      </w:tr>
      <w:tr w:rsidR="00C60CC8" w:rsidRPr="006C163B" w14:paraId="7BE7F668" w14:textId="77777777" w:rsidTr="00B77B0C">
        <w:trPr>
          <w:cantSplit/>
          <w:trHeight w:val="290"/>
        </w:trPr>
        <w:tc>
          <w:tcPr>
            <w:tcW w:w="6021" w:type="dxa"/>
            <w:vAlign w:val="center"/>
            <w:hideMark/>
          </w:tcPr>
          <w:p w14:paraId="1224EDB5" w14:textId="77777777" w:rsidR="00C60CC8" w:rsidRPr="006C163B" w:rsidRDefault="00C60CC8" w:rsidP="00B77B0C">
            <w:pPr>
              <w:spacing w:before="120"/>
              <w:rPr>
                <w:rFonts w:ascii="Arial" w:hAnsi="Arial" w:cs="Arial"/>
                <w:b/>
                <w:bCs/>
                <w:sz w:val="20"/>
                <w:szCs w:val="20"/>
              </w:rPr>
            </w:pPr>
            <w:proofErr w:type="spellStart"/>
            <w:r w:rsidRPr="006C163B">
              <w:rPr>
                <w:rFonts w:ascii="Arial" w:hAnsi="Arial" w:cs="Arial"/>
                <w:b/>
                <w:bCs/>
                <w:sz w:val="20"/>
                <w:szCs w:val="20"/>
              </w:rPr>
              <w:t>Общественный</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фонд</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Рурал</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девелопмент</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фанд</w:t>
            </w:r>
            <w:proofErr w:type="spellEnd"/>
            <w:r w:rsidRPr="006C163B">
              <w:rPr>
                <w:rFonts w:ascii="Arial" w:hAnsi="Arial" w:cs="Arial"/>
                <w:b/>
                <w:bCs/>
                <w:sz w:val="20"/>
                <w:szCs w:val="20"/>
              </w:rPr>
              <w:t xml:space="preserve">’ </w:t>
            </w:r>
          </w:p>
          <w:p w14:paraId="2DBFE869" w14:textId="77777777" w:rsidR="00C60CC8" w:rsidRPr="006C163B" w:rsidRDefault="00C60CC8" w:rsidP="00B77B0C">
            <w:pPr>
              <w:spacing w:after="120"/>
              <w:rPr>
                <w:rFonts w:ascii="Arial" w:hAnsi="Arial" w:cs="Arial"/>
                <w:b/>
                <w:bCs/>
                <w:sz w:val="20"/>
                <w:szCs w:val="20"/>
              </w:rPr>
            </w:pPr>
            <w:r w:rsidRPr="006C163B">
              <w:rPr>
                <w:rFonts w:ascii="Arial" w:hAnsi="Arial" w:cs="Arial"/>
                <w:sz w:val="20"/>
                <w:szCs w:val="20"/>
              </w:rPr>
              <w:t xml:space="preserve">Public </w:t>
            </w:r>
            <w:proofErr w:type="spellStart"/>
            <w:r w:rsidRPr="006C163B">
              <w:rPr>
                <w:rFonts w:ascii="Arial" w:hAnsi="Arial" w:cs="Arial"/>
                <w:sz w:val="20"/>
                <w:szCs w:val="20"/>
              </w:rPr>
              <w:t>Fund</w:t>
            </w:r>
            <w:proofErr w:type="spellEnd"/>
            <w:r w:rsidRPr="006C163B">
              <w:rPr>
                <w:rFonts w:ascii="Arial" w:hAnsi="Arial" w:cs="Arial"/>
                <w:sz w:val="20"/>
                <w:szCs w:val="20"/>
              </w:rPr>
              <w:t xml:space="preserve"> ‘Rural </w:t>
            </w:r>
            <w:proofErr w:type="spellStart"/>
            <w:r w:rsidRPr="006C163B">
              <w:rPr>
                <w:rFonts w:ascii="Arial" w:hAnsi="Arial" w:cs="Arial"/>
                <w:sz w:val="20"/>
                <w:szCs w:val="20"/>
              </w:rPr>
              <w:t>Development</w:t>
            </w:r>
            <w:proofErr w:type="spellEnd"/>
            <w:r w:rsidRPr="006C163B">
              <w:rPr>
                <w:rFonts w:ascii="Arial" w:hAnsi="Arial" w:cs="Arial"/>
                <w:sz w:val="20"/>
                <w:szCs w:val="20"/>
              </w:rPr>
              <w:t xml:space="preserve"> </w:t>
            </w:r>
            <w:proofErr w:type="spellStart"/>
            <w:r w:rsidRPr="006C163B">
              <w:rPr>
                <w:rFonts w:ascii="Arial" w:hAnsi="Arial" w:cs="Arial"/>
                <w:sz w:val="20"/>
                <w:szCs w:val="20"/>
              </w:rPr>
              <w:t>Fund</w:t>
            </w:r>
            <w:proofErr w:type="spellEnd"/>
            <w:r w:rsidRPr="006C163B">
              <w:rPr>
                <w:rFonts w:ascii="Arial" w:hAnsi="Arial" w:cs="Arial"/>
                <w:sz w:val="20"/>
                <w:szCs w:val="20"/>
              </w:rPr>
              <w:t>’ - RDF</w:t>
            </w:r>
          </w:p>
        </w:tc>
        <w:tc>
          <w:tcPr>
            <w:tcW w:w="2109" w:type="dxa"/>
            <w:vAlign w:val="center"/>
            <w:hideMark/>
          </w:tcPr>
          <w:p w14:paraId="3643CBB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Kirghizistan</w:t>
            </w:r>
          </w:p>
        </w:tc>
        <w:tc>
          <w:tcPr>
            <w:tcW w:w="1502" w:type="dxa"/>
            <w:vAlign w:val="center"/>
            <w:hideMark/>
          </w:tcPr>
          <w:p w14:paraId="61EA7DC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NGO-90441</w:t>
            </w:r>
          </w:p>
        </w:tc>
      </w:tr>
      <w:tr w:rsidR="00C60CC8" w:rsidRPr="006C163B" w14:paraId="70F5502A" w14:textId="77777777" w:rsidTr="00B77B0C">
        <w:trPr>
          <w:cantSplit/>
          <w:trHeight w:val="520"/>
        </w:trPr>
        <w:tc>
          <w:tcPr>
            <w:tcW w:w="6021" w:type="dxa"/>
            <w:vAlign w:val="center"/>
            <w:hideMark/>
          </w:tcPr>
          <w:p w14:paraId="0CE5000D"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Ұлы</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Тағым</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Қоғамдық</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қоры</w:t>
            </w:r>
            <w:proofErr w:type="spellEnd"/>
            <w:r w:rsidRPr="006C163B">
              <w:rPr>
                <w:rFonts w:ascii="Arial" w:hAnsi="Arial" w:cs="Arial"/>
                <w:b/>
                <w:bCs/>
                <w:sz w:val="20"/>
                <w:szCs w:val="20"/>
              </w:rPr>
              <w:br/>
            </w:r>
            <w:proofErr w:type="spellStart"/>
            <w:r w:rsidRPr="006C163B">
              <w:rPr>
                <w:rFonts w:ascii="Arial" w:hAnsi="Arial" w:cs="Arial"/>
                <w:sz w:val="20"/>
                <w:szCs w:val="20"/>
              </w:rPr>
              <w:t>Uly</w:t>
            </w:r>
            <w:proofErr w:type="spellEnd"/>
            <w:r w:rsidRPr="006C163B">
              <w:rPr>
                <w:rFonts w:ascii="Arial" w:hAnsi="Arial" w:cs="Arial"/>
                <w:sz w:val="20"/>
                <w:szCs w:val="20"/>
              </w:rPr>
              <w:t xml:space="preserve"> </w:t>
            </w:r>
            <w:proofErr w:type="spellStart"/>
            <w:r w:rsidRPr="006C163B">
              <w:rPr>
                <w:rFonts w:ascii="Arial" w:hAnsi="Arial" w:cs="Arial"/>
                <w:sz w:val="20"/>
                <w:szCs w:val="20"/>
              </w:rPr>
              <w:t>Taghzym</w:t>
            </w:r>
            <w:proofErr w:type="spellEnd"/>
            <w:r w:rsidRPr="006C163B">
              <w:rPr>
                <w:rFonts w:ascii="Arial" w:hAnsi="Arial" w:cs="Arial"/>
                <w:sz w:val="20"/>
                <w:szCs w:val="20"/>
              </w:rPr>
              <w:t xml:space="preserve"> Public </w:t>
            </w:r>
            <w:proofErr w:type="spellStart"/>
            <w:r w:rsidRPr="006C163B">
              <w:rPr>
                <w:rFonts w:ascii="Arial" w:hAnsi="Arial" w:cs="Arial"/>
                <w:sz w:val="20"/>
                <w:szCs w:val="20"/>
              </w:rPr>
              <w:t>Fund</w:t>
            </w:r>
            <w:proofErr w:type="spellEnd"/>
          </w:p>
        </w:tc>
        <w:tc>
          <w:tcPr>
            <w:tcW w:w="2109" w:type="dxa"/>
            <w:vAlign w:val="center"/>
            <w:hideMark/>
          </w:tcPr>
          <w:p w14:paraId="483FA76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Kazakhstan</w:t>
            </w:r>
          </w:p>
        </w:tc>
        <w:tc>
          <w:tcPr>
            <w:tcW w:w="1502" w:type="dxa"/>
            <w:vAlign w:val="center"/>
            <w:hideMark/>
          </w:tcPr>
          <w:p w14:paraId="4D05C22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NGO-90434</w:t>
            </w:r>
          </w:p>
        </w:tc>
      </w:tr>
      <w:tr w:rsidR="00C60CC8" w:rsidRPr="006C163B" w14:paraId="1EDEB5B3" w14:textId="77777777" w:rsidTr="00B77B0C">
        <w:trPr>
          <w:cantSplit/>
          <w:trHeight w:val="520"/>
        </w:trPr>
        <w:tc>
          <w:tcPr>
            <w:tcW w:w="6021" w:type="dxa"/>
            <w:vAlign w:val="center"/>
            <w:hideMark/>
          </w:tcPr>
          <w:p w14:paraId="0E1155D8"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Центр</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розвитку</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Демократія</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через</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культуру</w:t>
            </w:r>
            <w:proofErr w:type="spellEnd"/>
            <w:r w:rsidRPr="006C163B">
              <w:rPr>
                <w:rFonts w:ascii="Arial" w:hAnsi="Arial" w:cs="Arial"/>
                <w:b/>
                <w:bCs/>
                <w:sz w:val="20"/>
                <w:szCs w:val="20"/>
              </w:rPr>
              <w:t>’</w:t>
            </w:r>
            <w:r w:rsidRPr="006C163B">
              <w:rPr>
                <w:rFonts w:ascii="Arial" w:hAnsi="Arial" w:cs="Arial"/>
                <w:b/>
                <w:bCs/>
                <w:sz w:val="20"/>
                <w:szCs w:val="20"/>
              </w:rPr>
              <w:br/>
            </w:r>
            <w:proofErr w:type="spellStart"/>
            <w:r w:rsidRPr="006C163B">
              <w:rPr>
                <w:rFonts w:ascii="Arial" w:hAnsi="Arial" w:cs="Arial"/>
                <w:sz w:val="20"/>
                <w:szCs w:val="20"/>
              </w:rPr>
              <w:t>Development</w:t>
            </w:r>
            <w:proofErr w:type="spellEnd"/>
            <w:r w:rsidRPr="006C163B">
              <w:rPr>
                <w:rFonts w:ascii="Arial" w:hAnsi="Arial" w:cs="Arial"/>
                <w:sz w:val="20"/>
                <w:szCs w:val="20"/>
              </w:rPr>
              <w:t xml:space="preserve"> Centre ‘</w:t>
            </w:r>
            <w:proofErr w:type="spellStart"/>
            <w:r w:rsidRPr="006C163B">
              <w:rPr>
                <w:rFonts w:ascii="Arial" w:hAnsi="Arial" w:cs="Arial"/>
                <w:sz w:val="20"/>
                <w:szCs w:val="20"/>
              </w:rPr>
              <w:t>Democracy</w:t>
            </w:r>
            <w:proofErr w:type="spellEnd"/>
            <w:r w:rsidRPr="006C163B">
              <w:rPr>
                <w:rFonts w:ascii="Arial" w:hAnsi="Arial" w:cs="Arial"/>
                <w:sz w:val="20"/>
                <w:szCs w:val="20"/>
              </w:rPr>
              <w:t xml:space="preserve"> </w:t>
            </w:r>
            <w:proofErr w:type="spellStart"/>
            <w:r w:rsidRPr="006C163B">
              <w:rPr>
                <w:rFonts w:ascii="Arial" w:hAnsi="Arial" w:cs="Arial"/>
                <w:sz w:val="20"/>
                <w:szCs w:val="20"/>
              </w:rPr>
              <w:t>through</w:t>
            </w:r>
            <w:proofErr w:type="spellEnd"/>
            <w:r w:rsidRPr="006C163B">
              <w:rPr>
                <w:rFonts w:ascii="Arial" w:hAnsi="Arial" w:cs="Arial"/>
                <w:sz w:val="20"/>
                <w:szCs w:val="20"/>
              </w:rPr>
              <w:t xml:space="preserve"> culture’</w:t>
            </w:r>
          </w:p>
        </w:tc>
        <w:tc>
          <w:tcPr>
            <w:tcW w:w="2109" w:type="dxa"/>
            <w:vAlign w:val="center"/>
            <w:hideMark/>
          </w:tcPr>
          <w:p w14:paraId="4A16F93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Ukraine</w:t>
            </w:r>
          </w:p>
        </w:tc>
        <w:tc>
          <w:tcPr>
            <w:tcW w:w="1502" w:type="dxa"/>
            <w:vAlign w:val="center"/>
            <w:hideMark/>
          </w:tcPr>
          <w:p w14:paraId="6E6474B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NGO-90421</w:t>
            </w:r>
          </w:p>
        </w:tc>
      </w:tr>
      <w:tr w:rsidR="00C60CC8" w:rsidRPr="006C163B" w14:paraId="034ABF0F" w14:textId="77777777" w:rsidTr="00B77B0C">
        <w:trPr>
          <w:cantSplit/>
          <w:trHeight w:val="780"/>
        </w:trPr>
        <w:tc>
          <w:tcPr>
            <w:tcW w:w="6021" w:type="dxa"/>
            <w:vAlign w:val="center"/>
            <w:hideMark/>
          </w:tcPr>
          <w:p w14:paraId="60ED5B6F" w14:textId="77777777" w:rsidR="00C60CC8" w:rsidRPr="006C163B" w:rsidRDefault="00C60CC8" w:rsidP="00B77B0C">
            <w:pPr>
              <w:spacing w:before="120" w:after="120"/>
              <w:rPr>
                <w:rFonts w:ascii="Arial" w:hAnsi="Arial" w:cs="Arial"/>
                <w:b/>
                <w:bCs/>
                <w:sz w:val="20"/>
                <w:szCs w:val="20"/>
              </w:rPr>
            </w:pPr>
            <w:proofErr w:type="spellStart"/>
            <w:r w:rsidRPr="006C163B">
              <w:rPr>
                <w:rFonts w:ascii="Arial" w:hAnsi="Arial" w:cs="Arial"/>
                <w:b/>
                <w:bCs/>
                <w:sz w:val="20"/>
                <w:szCs w:val="20"/>
              </w:rPr>
              <w:t>Հազարաշեն</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Ազգաբանական</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հետազոտությունների</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հայկական</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կենտրոն</w:t>
            </w:r>
            <w:proofErr w:type="spellEnd"/>
            <w:r w:rsidRPr="006C163B">
              <w:rPr>
                <w:rFonts w:ascii="Arial" w:hAnsi="Arial" w:cs="Arial"/>
                <w:b/>
                <w:bCs/>
                <w:sz w:val="20"/>
                <w:szCs w:val="20"/>
              </w:rPr>
              <w:t xml:space="preserve"> ՀԿ</w:t>
            </w:r>
            <w:r w:rsidRPr="006C163B">
              <w:rPr>
                <w:rFonts w:ascii="Arial" w:hAnsi="Arial" w:cs="Arial"/>
                <w:b/>
                <w:bCs/>
                <w:sz w:val="20"/>
                <w:szCs w:val="20"/>
              </w:rPr>
              <w:br/>
            </w:r>
            <w:proofErr w:type="spellStart"/>
            <w:r w:rsidRPr="006C163B">
              <w:rPr>
                <w:rFonts w:ascii="Arial" w:hAnsi="Arial" w:cs="Arial"/>
                <w:sz w:val="20"/>
                <w:szCs w:val="20"/>
              </w:rPr>
              <w:t>Hazarashen</w:t>
            </w:r>
            <w:proofErr w:type="spellEnd"/>
            <w:r w:rsidRPr="006C163B">
              <w:rPr>
                <w:rFonts w:ascii="Arial" w:hAnsi="Arial" w:cs="Arial"/>
                <w:sz w:val="20"/>
                <w:szCs w:val="20"/>
              </w:rPr>
              <w:t xml:space="preserve"> </w:t>
            </w:r>
            <w:proofErr w:type="spellStart"/>
            <w:r w:rsidRPr="006C163B">
              <w:rPr>
                <w:rFonts w:ascii="Arial" w:hAnsi="Arial" w:cs="Arial"/>
                <w:sz w:val="20"/>
                <w:szCs w:val="20"/>
              </w:rPr>
              <w:t>Armenian</w:t>
            </w:r>
            <w:proofErr w:type="spellEnd"/>
            <w:r w:rsidRPr="006C163B">
              <w:rPr>
                <w:rFonts w:ascii="Arial" w:hAnsi="Arial" w:cs="Arial"/>
                <w:sz w:val="20"/>
                <w:szCs w:val="20"/>
              </w:rPr>
              <w:t xml:space="preserve"> Center for </w:t>
            </w:r>
            <w:proofErr w:type="spellStart"/>
            <w:r w:rsidRPr="006C163B">
              <w:rPr>
                <w:rFonts w:ascii="Arial" w:hAnsi="Arial" w:cs="Arial"/>
                <w:sz w:val="20"/>
                <w:szCs w:val="20"/>
              </w:rPr>
              <w:t>Ethnological</w:t>
            </w:r>
            <w:proofErr w:type="spellEnd"/>
            <w:r w:rsidRPr="006C163B">
              <w:rPr>
                <w:rFonts w:ascii="Arial" w:hAnsi="Arial" w:cs="Arial"/>
                <w:sz w:val="20"/>
                <w:szCs w:val="20"/>
              </w:rPr>
              <w:t xml:space="preserve"> </w:t>
            </w:r>
            <w:proofErr w:type="spellStart"/>
            <w:r w:rsidRPr="006C163B">
              <w:rPr>
                <w:rFonts w:ascii="Arial" w:hAnsi="Arial" w:cs="Arial"/>
                <w:sz w:val="20"/>
                <w:szCs w:val="20"/>
              </w:rPr>
              <w:t>Studies</w:t>
            </w:r>
            <w:proofErr w:type="spellEnd"/>
          </w:p>
        </w:tc>
        <w:tc>
          <w:tcPr>
            <w:tcW w:w="2109" w:type="dxa"/>
            <w:vAlign w:val="center"/>
            <w:hideMark/>
          </w:tcPr>
          <w:p w14:paraId="0CD98F23"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Arménie</w:t>
            </w:r>
          </w:p>
        </w:tc>
        <w:tc>
          <w:tcPr>
            <w:tcW w:w="1502" w:type="dxa"/>
            <w:vAlign w:val="center"/>
            <w:hideMark/>
          </w:tcPr>
          <w:p w14:paraId="1154F514"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NGO-90431</w:t>
            </w:r>
          </w:p>
        </w:tc>
      </w:tr>
      <w:tr w:rsidR="00C60CC8" w:rsidRPr="006C163B" w14:paraId="71B3FFFA" w14:textId="77777777" w:rsidTr="00B77B0C">
        <w:trPr>
          <w:cantSplit/>
          <w:trHeight w:val="520"/>
        </w:trPr>
        <w:tc>
          <w:tcPr>
            <w:tcW w:w="6021" w:type="dxa"/>
            <w:vAlign w:val="center"/>
          </w:tcPr>
          <w:p w14:paraId="65905E2A" w14:textId="77777777" w:rsidR="00C60CC8" w:rsidRPr="006C163B" w:rsidRDefault="00C60CC8" w:rsidP="00B77B0C">
            <w:pPr>
              <w:spacing w:before="120" w:after="120"/>
              <w:rPr>
                <w:rFonts w:ascii="Arial" w:hAnsi="Arial" w:cs="Arial"/>
                <w:b/>
                <w:bCs/>
                <w:sz w:val="20"/>
                <w:szCs w:val="20"/>
              </w:rPr>
            </w:pPr>
            <w:r w:rsidRPr="006C163B">
              <w:rPr>
                <w:rFonts w:ascii="Arial" w:hAnsi="Arial" w:cs="Arial"/>
                <w:b/>
                <w:bCs/>
                <w:sz w:val="20"/>
                <w:szCs w:val="20"/>
                <w:rtl/>
              </w:rPr>
              <w:t>الأمانة السورية للتنمية</w:t>
            </w:r>
            <w:r w:rsidRPr="006C163B">
              <w:rPr>
                <w:rFonts w:ascii="Arial" w:hAnsi="Arial" w:cs="Arial"/>
                <w:b/>
                <w:bCs/>
                <w:sz w:val="20"/>
                <w:szCs w:val="20"/>
              </w:rPr>
              <w:br/>
            </w:r>
            <w:proofErr w:type="spellStart"/>
            <w:r w:rsidRPr="006C163B">
              <w:rPr>
                <w:rFonts w:ascii="Arial" w:hAnsi="Arial" w:cs="Arial"/>
                <w:sz w:val="20"/>
                <w:szCs w:val="20"/>
              </w:rPr>
              <w:t>Syria</w:t>
            </w:r>
            <w:proofErr w:type="spellEnd"/>
            <w:r w:rsidRPr="006C163B">
              <w:rPr>
                <w:rFonts w:ascii="Arial" w:hAnsi="Arial" w:cs="Arial"/>
                <w:sz w:val="20"/>
                <w:szCs w:val="20"/>
              </w:rPr>
              <w:t xml:space="preserve"> Trust for </w:t>
            </w:r>
            <w:proofErr w:type="spellStart"/>
            <w:r w:rsidRPr="006C163B">
              <w:rPr>
                <w:rFonts w:ascii="Arial" w:hAnsi="Arial" w:cs="Arial"/>
                <w:sz w:val="20"/>
                <w:szCs w:val="20"/>
              </w:rPr>
              <w:t>Development</w:t>
            </w:r>
            <w:proofErr w:type="spellEnd"/>
            <w:r w:rsidRPr="006C163B">
              <w:rPr>
                <w:rFonts w:ascii="Arial" w:hAnsi="Arial" w:cs="Arial"/>
                <w:sz w:val="20"/>
                <w:szCs w:val="20"/>
              </w:rPr>
              <w:br/>
              <w:t>Trust syrien pour le développement</w:t>
            </w:r>
          </w:p>
        </w:tc>
        <w:tc>
          <w:tcPr>
            <w:tcW w:w="2109" w:type="dxa"/>
            <w:vAlign w:val="center"/>
          </w:tcPr>
          <w:p w14:paraId="6E79688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République arabe syrienne</w:t>
            </w:r>
          </w:p>
        </w:tc>
        <w:tc>
          <w:tcPr>
            <w:tcW w:w="1502" w:type="dxa"/>
            <w:vAlign w:val="center"/>
          </w:tcPr>
          <w:p w14:paraId="42AC93EF" w14:textId="33EE98A3"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NGO-90251</w:t>
            </w:r>
          </w:p>
        </w:tc>
      </w:tr>
      <w:tr w:rsidR="00C60CC8" w:rsidRPr="006C163B" w14:paraId="51E819DF" w14:textId="77777777" w:rsidTr="00B77B0C">
        <w:trPr>
          <w:cantSplit/>
          <w:trHeight w:val="290"/>
        </w:trPr>
        <w:tc>
          <w:tcPr>
            <w:tcW w:w="6021" w:type="dxa"/>
            <w:vAlign w:val="center"/>
            <w:hideMark/>
          </w:tcPr>
          <w:p w14:paraId="217016F4" w14:textId="77777777" w:rsidR="00C60CC8" w:rsidRPr="006C163B" w:rsidRDefault="00C60CC8" w:rsidP="00B77B0C">
            <w:pPr>
              <w:spacing w:before="120"/>
              <w:rPr>
                <w:rFonts w:ascii="Arial" w:hAnsi="Arial" w:cs="Arial"/>
                <w:b/>
                <w:bCs/>
                <w:sz w:val="20"/>
                <w:szCs w:val="20"/>
              </w:rPr>
            </w:pPr>
            <w:r w:rsidRPr="006C163B">
              <w:rPr>
                <w:rFonts w:ascii="Arial" w:hAnsi="Arial" w:cs="Arial"/>
                <w:b/>
                <w:bCs/>
                <w:sz w:val="20"/>
                <w:szCs w:val="20"/>
                <w:rtl/>
              </w:rPr>
              <w:t>الجمعية السعودية للمحافظة على التراث</w:t>
            </w:r>
          </w:p>
          <w:p w14:paraId="642D4F4D" w14:textId="77777777" w:rsidR="00C60CC8" w:rsidRPr="006C163B" w:rsidRDefault="00C60CC8" w:rsidP="00B77B0C">
            <w:pPr>
              <w:spacing w:after="120"/>
              <w:rPr>
                <w:rFonts w:ascii="Arial" w:hAnsi="Arial" w:cs="Arial"/>
                <w:sz w:val="20"/>
                <w:szCs w:val="20"/>
              </w:rPr>
            </w:pPr>
            <w:proofErr w:type="spellStart"/>
            <w:r w:rsidRPr="006C163B">
              <w:rPr>
                <w:rFonts w:ascii="Arial" w:hAnsi="Arial" w:cs="Arial"/>
                <w:sz w:val="20"/>
                <w:szCs w:val="20"/>
              </w:rPr>
              <w:t>Saudi</w:t>
            </w:r>
            <w:proofErr w:type="spellEnd"/>
            <w:r w:rsidRPr="006C163B">
              <w:rPr>
                <w:rFonts w:ascii="Arial" w:hAnsi="Arial" w:cs="Arial"/>
                <w:sz w:val="20"/>
                <w:szCs w:val="20"/>
              </w:rPr>
              <w:t xml:space="preserve"> </w:t>
            </w:r>
            <w:proofErr w:type="spellStart"/>
            <w:r w:rsidRPr="006C163B">
              <w:rPr>
                <w:rFonts w:ascii="Arial" w:hAnsi="Arial" w:cs="Arial"/>
                <w:sz w:val="20"/>
                <w:szCs w:val="20"/>
              </w:rPr>
              <w:t>Heritage</w:t>
            </w:r>
            <w:proofErr w:type="spellEnd"/>
            <w:r w:rsidRPr="006C163B">
              <w:rPr>
                <w:rFonts w:ascii="Arial" w:hAnsi="Arial" w:cs="Arial"/>
                <w:sz w:val="20"/>
                <w:szCs w:val="20"/>
              </w:rPr>
              <w:t xml:space="preserve"> </w:t>
            </w:r>
            <w:proofErr w:type="spellStart"/>
            <w:r w:rsidRPr="006C163B">
              <w:rPr>
                <w:rFonts w:ascii="Arial" w:hAnsi="Arial" w:cs="Arial"/>
                <w:sz w:val="20"/>
                <w:szCs w:val="20"/>
              </w:rPr>
              <w:t>Preservation</w:t>
            </w:r>
            <w:proofErr w:type="spellEnd"/>
            <w:r w:rsidRPr="006C163B">
              <w:rPr>
                <w:rFonts w:ascii="Arial" w:hAnsi="Arial" w:cs="Arial"/>
                <w:sz w:val="20"/>
                <w:szCs w:val="20"/>
              </w:rPr>
              <w:t xml:space="preserve"> Society - SHPS</w:t>
            </w:r>
          </w:p>
        </w:tc>
        <w:tc>
          <w:tcPr>
            <w:tcW w:w="2109" w:type="dxa"/>
            <w:vAlign w:val="center"/>
            <w:hideMark/>
          </w:tcPr>
          <w:p w14:paraId="394833C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Arabie saoudite</w:t>
            </w:r>
          </w:p>
        </w:tc>
        <w:tc>
          <w:tcPr>
            <w:tcW w:w="1502" w:type="dxa"/>
            <w:vAlign w:val="center"/>
            <w:hideMark/>
          </w:tcPr>
          <w:p w14:paraId="21F8693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NGO-90473</w:t>
            </w:r>
          </w:p>
        </w:tc>
      </w:tr>
      <w:tr w:rsidR="00C60CC8" w:rsidRPr="006C163B" w14:paraId="7C96A5B5" w14:textId="77777777" w:rsidTr="00B77B0C">
        <w:trPr>
          <w:cantSplit/>
          <w:trHeight w:val="290"/>
        </w:trPr>
        <w:tc>
          <w:tcPr>
            <w:tcW w:w="6021" w:type="dxa"/>
            <w:vAlign w:val="center"/>
            <w:hideMark/>
          </w:tcPr>
          <w:p w14:paraId="50356C22" w14:textId="77777777" w:rsidR="00C60CC8" w:rsidRPr="006C163B" w:rsidRDefault="00C60CC8" w:rsidP="00B77B0C">
            <w:pPr>
              <w:spacing w:before="120"/>
              <w:rPr>
                <w:rFonts w:ascii="Arial" w:hAnsi="Arial" w:cs="Arial"/>
                <w:b/>
                <w:bCs/>
                <w:sz w:val="20"/>
                <w:szCs w:val="20"/>
              </w:rPr>
            </w:pPr>
            <w:r w:rsidRPr="006C163B">
              <w:rPr>
                <w:rFonts w:ascii="Arial" w:hAnsi="Arial" w:cs="Arial"/>
                <w:b/>
                <w:bCs/>
                <w:sz w:val="20"/>
                <w:szCs w:val="20"/>
                <w:rtl/>
              </w:rPr>
              <w:lastRenderedPageBreak/>
              <w:t>الجمعية المصرية للمأثورات الشعبية</w:t>
            </w:r>
          </w:p>
          <w:p w14:paraId="2C823250" w14:textId="77777777" w:rsidR="00C60CC8" w:rsidRPr="006C163B" w:rsidRDefault="00C60CC8" w:rsidP="00B77B0C">
            <w:pPr>
              <w:spacing w:after="120"/>
              <w:rPr>
                <w:rFonts w:ascii="Arial" w:hAnsi="Arial" w:cs="Arial"/>
                <w:sz w:val="20"/>
                <w:szCs w:val="20"/>
              </w:rPr>
            </w:pPr>
            <w:proofErr w:type="spellStart"/>
            <w:r w:rsidRPr="006C163B">
              <w:rPr>
                <w:rFonts w:ascii="Arial" w:hAnsi="Arial" w:cs="Arial"/>
                <w:sz w:val="20"/>
                <w:szCs w:val="20"/>
              </w:rPr>
              <w:t>Egyptian</w:t>
            </w:r>
            <w:proofErr w:type="spellEnd"/>
            <w:r w:rsidRPr="006C163B">
              <w:rPr>
                <w:rFonts w:ascii="Arial" w:hAnsi="Arial" w:cs="Arial"/>
                <w:sz w:val="20"/>
                <w:szCs w:val="20"/>
              </w:rPr>
              <w:t xml:space="preserve"> Society for Folk Traditions (ESFT)</w:t>
            </w:r>
          </w:p>
        </w:tc>
        <w:tc>
          <w:tcPr>
            <w:tcW w:w="2109" w:type="dxa"/>
            <w:vAlign w:val="center"/>
            <w:hideMark/>
          </w:tcPr>
          <w:p w14:paraId="19D0F85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Égypte</w:t>
            </w:r>
          </w:p>
        </w:tc>
        <w:tc>
          <w:tcPr>
            <w:tcW w:w="1502" w:type="dxa"/>
            <w:vAlign w:val="center"/>
            <w:hideMark/>
          </w:tcPr>
          <w:p w14:paraId="00D4BE56"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NGO-90182</w:t>
            </w:r>
          </w:p>
        </w:tc>
      </w:tr>
      <w:tr w:rsidR="00C60CC8" w:rsidRPr="006C163B" w14:paraId="1518F05C" w14:textId="77777777" w:rsidTr="00B77B0C">
        <w:trPr>
          <w:cantSplit/>
          <w:trHeight w:val="520"/>
        </w:trPr>
        <w:tc>
          <w:tcPr>
            <w:tcW w:w="6021" w:type="dxa"/>
            <w:vAlign w:val="center"/>
            <w:hideMark/>
          </w:tcPr>
          <w:p w14:paraId="3A600100" w14:textId="77777777" w:rsidR="00C60CC8" w:rsidRPr="006C163B" w:rsidRDefault="00C60CC8" w:rsidP="00B77B0C">
            <w:pPr>
              <w:spacing w:before="120" w:after="120"/>
              <w:rPr>
                <w:rFonts w:ascii="Arial" w:hAnsi="Arial" w:cs="Arial"/>
                <w:b/>
                <w:bCs/>
                <w:sz w:val="20"/>
                <w:szCs w:val="20"/>
                <w:lang w:val="en-GB"/>
              </w:rPr>
            </w:pPr>
            <w:r w:rsidRPr="006C163B">
              <w:rPr>
                <w:rFonts w:ascii="Arial" w:hAnsi="Arial" w:cs="Arial"/>
                <w:b/>
                <w:bCs/>
                <w:sz w:val="20"/>
                <w:szCs w:val="20"/>
                <w:rtl/>
              </w:rPr>
              <w:t xml:space="preserve">باغ </w:t>
            </w:r>
            <w:proofErr w:type="spellStart"/>
            <w:r w:rsidRPr="006C163B">
              <w:rPr>
                <w:rFonts w:ascii="Arial" w:hAnsi="Arial" w:cs="Arial"/>
                <w:b/>
                <w:bCs/>
                <w:sz w:val="20"/>
                <w:szCs w:val="20"/>
                <w:rtl/>
              </w:rPr>
              <w:t>پارسی</w:t>
            </w:r>
            <w:proofErr w:type="spellEnd"/>
            <w:r w:rsidRPr="006C163B">
              <w:rPr>
                <w:rFonts w:ascii="Arial" w:hAnsi="Arial" w:cs="Arial"/>
                <w:b/>
                <w:bCs/>
                <w:sz w:val="20"/>
                <w:szCs w:val="20"/>
                <w:rtl/>
              </w:rPr>
              <w:t xml:space="preserve"> </w:t>
            </w:r>
            <w:proofErr w:type="spellStart"/>
            <w:r w:rsidRPr="006C163B">
              <w:rPr>
                <w:rFonts w:ascii="Arial" w:hAnsi="Arial" w:cs="Arial"/>
                <w:b/>
                <w:bCs/>
                <w:sz w:val="20"/>
                <w:szCs w:val="20"/>
                <w:rtl/>
              </w:rPr>
              <w:t>میراث</w:t>
            </w:r>
            <w:proofErr w:type="spellEnd"/>
            <w:r w:rsidRPr="006C163B">
              <w:rPr>
                <w:rFonts w:ascii="Arial" w:hAnsi="Arial" w:cs="Arial"/>
                <w:b/>
                <w:bCs/>
                <w:sz w:val="20"/>
                <w:szCs w:val="20"/>
                <w:rtl/>
              </w:rPr>
              <w:t xml:space="preserve"> زنده)</w:t>
            </w:r>
            <w:r w:rsidRPr="006C163B">
              <w:rPr>
                <w:rFonts w:ascii="Arial" w:hAnsi="Arial" w:cs="Arial"/>
                <w:b/>
                <w:bCs/>
                <w:sz w:val="20"/>
                <w:szCs w:val="20"/>
                <w:rtl/>
              </w:rPr>
              <w:br/>
            </w:r>
            <w:r w:rsidRPr="006C163B">
              <w:rPr>
                <w:rFonts w:ascii="Arial" w:hAnsi="Arial" w:cs="Arial"/>
                <w:sz w:val="20"/>
                <w:szCs w:val="20"/>
                <w:lang w:val="en-GB"/>
              </w:rPr>
              <w:t>Persian Garden Institute for Living Heritage - PGILH</w:t>
            </w:r>
          </w:p>
        </w:tc>
        <w:tc>
          <w:tcPr>
            <w:tcW w:w="2109" w:type="dxa"/>
            <w:vAlign w:val="center"/>
            <w:hideMark/>
          </w:tcPr>
          <w:p w14:paraId="10131FC4" w14:textId="77777777" w:rsidR="00C60CC8" w:rsidRPr="006C163B" w:rsidRDefault="00C60CC8" w:rsidP="00B77B0C">
            <w:pPr>
              <w:spacing w:before="120" w:after="120"/>
              <w:jc w:val="center"/>
              <w:rPr>
                <w:rFonts w:ascii="Arial" w:hAnsi="Arial" w:cs="Arial"/>
                <w:sz w:val="20"/>
                <w:szCs w:val="20"/>
                <w:rtl/>
              </w:rPr>
            </w:pPr>
            <w:r w:rsidRPr="006C163B">
              <w:rPr>
                <w:rFonts w:ascii="Arial" w:hAnsi="Arial" w:cs="Arial"/>
                <w:sz w:val="20"/>
                <w:szCs w:val="20"/>
              </w:rPr>
              <w:t>Iran (République islamique d’)</w:t>
            </w:r>
          </w:p>
        </w:tc>
        <w:tc>
          <w:tcPr>
            <w:tcW w:w="1502" w:type="dxa"/>
            <w:vAlign w:val="center"/>
            <w:hideMark/>
          </w:tcPr>
          <w:p w14:paraId="48B64F9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NGO-90433</w:t>
            </w:r>
          </w:p>
        </w:tc>
      </w:tr>
      <w:tr w:rsidR="00C60CC8" w:rsidRPr="006C163B" w14:paraId="135D437E" w14:textId="77777777" w:rsidTr="00B77B0C">
        <w:trPr>
          <w:cantSplit/>
          <w:trHeight w:val="290"/>
        </w:trPr>
        <w:tc>
          <w:tcPr>
            <w:tcW w:w="6021" w:type="dxa"/>
            <w:vAlign w:val="center"/>
          </w:tcPr>
          <w:p w14:paraId="78C9C758" w14:textId="77777777" w:rsidR="00C60CC8" w:rsidRPr="006C163B" w:rsidRDefault="00C60CC8" w:rsidP="00B77B0C">
            <w:pPr>
              <w:spacing w:before="120"/>
              <w:rPr>
                <w:rFonts w:ascii="Arial" w:hAnsi="Arial" w:cs="Arial"/>
                <w:b/>
                <w:bCs/>
                <w:sz w:val="20"/>
                <w:szCs w:val="20"/>
              </w:rPr>
            </w:pPr>
            <w:r w:rsidRPr="006C163B">
              <w:rPr>
                <w:rFonts w:ascii="Arial" w:hAnsi="Arial" w:cs="Arial"/>
                <w:b/>
                <w:bCs/>
                <w:sz w:val="20"/>
                <w:szCs w:val="20"/>
                <w:rtl/>
              </w:rPr>
              <w:t xml:space="preserve">جمعية البحث في تاريخ </w:t>
            </w:r>
            <w:proofErr w:type="gramStart"/>
            <w:r w:rsidRPr="006C163B">
              <w:rPr>
                <w:rFonts w:ascii="Arial" w:hAnsi="Arial" w:cs="Arial"/>
                <w:b/>
                <w:bCs/>
                <w:sz w:val="20"/>
                <w:szCs w:val="20"/>
                <w:rtl/>
              </w:rPr>
              <w:t>و تراث</w:t>
            </w:r>
            <w:proofErr w:type="gramEnd"/>
            <w:r w:rsidRPr="006C163B">
              <w:rPr>
                <w:rFonts w:ascii="Arial" w:hAnsi="Arial" w:cs="Arial"/>
                <w:b/>
                <w:bCs/>
                <w:sz w:val="20"/>
                <w:szCs w:val="20"/>
                <w:rtl/>
              </w:rPr>
              <w:t xml:space="preserve"> الشرق المغربي</w:t>
            </w:r>
            <w:r w:rsidRPr="006C163B">
              <w:rPr>
                <w:rFonts w:ascii="Arial" w:hAnsi="Arial" w:cs="Arial"/>
                <w:b/>
                <w:bCs/>
                <w:sz w:val="20"/>
                <w:szCs w:val="20"/>
              </w:rPr>
              <w:t xml:space="preserve"> </w:t>
            </w:r>
          </w:p>
          <w:p w14:paraId="6FF17792" w14:textId="77777777" w:rsidR="00C60CC8" w:rsidRPr="006C163B" w:rsidRDefault="00C60CC8" w:rsidP="00B77B0C">
            <w:pPr>
              <w:spacing w:after="120"/>
              <w:rPr>
                <w:rFonts w:ascii="Arial" w:hAnsi="Arial" w:cs="Arial"/>
                <w:sz w:val="20"/>
                <w:szCs w:val="20"/>
              </w:rPr>
            </w:pPr>
            <w:r w:rsidRPr="006C163B">
              <w:rPr>
                <w:rFonts w:ascii="Arial" w:hAnsi="Arial" w:cs="Arial"/>
                <w:sz w:val="20"/>
                <w:szCs w:val="20"/>
              </w:rPr>
              <w:t>Association Recherche Histoire et Patrimoine de l’Oriental Marocain - ARHPOM</w:t>
            </w:r>
          </w:p>
        </w:tc>
        <w:tc>
          <w:tcPr>
            <w:tcW w:w="2109" w:type="dxa"/>
            <w:vAlign w:val="center"/>
          </w:tcPr>
          <w:p w14:paraId="1D851EF1"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Maroc</w:t>
            </w:r>
          </w:p>
        </w:tc>
        <w:tc>
          <w:tcPr>
            <w:tcW w:w="1502" w:type="dxa"/>
            <w:vAlign w:val="center"/>
          </w:tcPr>
          <w:p w14:paraId="1700C39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NGO-90470</w:t>
            </w:r>
          </w:p>
        </w:tc>
      </w:tr>
      <w:tr w:rsidR="00C60CC8" w:rsidRPr="006C163B" w14:paraId="6FDBB1E0" w14:textId="77777777" w:rsidTr="00B77B0C">
        <w:trPr>
          <w:cantSplit/>
          <w:trHeight w:val="290"/>
        </w:trPr>
        <w:tc>
          <w:tcPr>
            <w:tcW w:w="6021" w:type="dxa"/>
            <w:vAlign w:val="center"/>
            <w:hideMark/>
          </w:tcPr>
          <w:p w14:paraId="7BF2E9FF" w14:textId="77777777" w:rsidR="00C60CC8" w:rsidRPr="006C163B" w:rsidRDefault="00C60CC8" w:rsidP="00B77B0C">
            <w:pPr>
              <w:keepLines/>
              <w:spacing w:before="120"/>
              <w:rPr>
                <w:rFonts w:ascii="Arial" w:hAnsi="Arial" w:cs="Arial"/>
                <w:b/>
                <w:bCs/>
                <w:sz w:val="20"/>
                <w:szCs w:val="20"/>
                <w:lang w:val="en-GB"/>
              </w:rPr>
            </w:pPr>
            <w:r w:rsidRPr="006C163B">
              <w:rPr>
                <w:rFonts w:ascii="Arial" w:hAnsi="Arial" w:cs="Arial"/>
                <w:b/>
                <w:bCs/>
                <w:sz w:val="20"/>
                <w:szCs w:val="20"/>
                <w:rtl/>
              </w:rPr>
              <w:t>جمعية التراث النوبي</w:t>
            </w:r>
            <w:r w:rsidRPr="006C163B">
              <w:rPr>
                <w:rFonts w:ascii="Arial" w:hAnsi="Arial" w:cs="Arial"/>
                <w:b/>
                <w:bCs/>
                <w:sz w:val="20"/>
                <w:szCs w:val="20"/>
                <w:lang w:val="en-GB"/>
              </w:rPr>
              <w:t xml:space="preserve"> </w:t>
            </w:r>
          </w:p>
          <w:p w14:paraId="3107E8CE" w14:textId="77777777" w:rsidR="00C60CC8" w:rsidRPr="006C163B" w:rsidRDefault="00C60CC8" w:rsidP="00B77B0C">
            <w:pPr>
              <w:keepLines/>
              <w:spacing w:after="120"/>
              <w:rPr>
                <w:rFonts w:ascii="Arial" w:hAnsi="Arial" w:cs="Arial"/>
                <w:sz w:val="20"/>
                <w:szCs w:val="20"/>
                <w:lang w:val="en-GB"/>
              </w:rPr>
            </w:pPr>
            <w:r w:rsidRPr="006C163B">
              <w:rPr>
                <w:rFonts w:ascii="Arial" w:hAnsi="Arial" w:cs="Arial"/>
                <w:sz w:val="20"/>
                <w:szCs w:val="20"/>
                <w:lang w:val="en-GB"/>
              </w:rPr>
              <w:t>Nubian Heritage Society</w:t>
            </w:r>
          </w:p>
        </w:tc>
        <w:tc>
          <w:tcPr>
            <w:tcW w:w="2109" w:type="dxa"/>
            <w:vAlign w:val="center"/>
            <w:hideMark/>
          </w:tcPr>
          <w:p w14:paraId="177AE268" w14:textId="77777777" w:rsidR="00C60CC8" w:rsidRPr="006C163B" w:rsidRDefault="00C60CC8" w:rsidP="00B77B0C">
            <w:pPr>
              <w:keepLines/>
              <w:spacing w:before="120" w:after="120"/>
              <w:jc w:val="center"/>
              <w:rPr>
                <w:rFonts w:ascii="Arial" w:hAnsi="Arial" w:cs="Arial"/>
                <w:sz w:val="20"/>
                <w:szCs w:val="20"/>
              </w:rPr>
            </w:pPr>
            <w:r w:rsidRPr="006C163B">
              <w:rPr>
                <w:rFonts w:ascii="Arial" w:hAnsi="Arial" w:cs="Arial"/>
                <w:sz w:val="20"/>
                <w:szCs w:val="20"/>
              </w:rPr>
              <w:t>Égypte</w:t>
            </w:r>
          </w:p>
        </w:tc>
        <w:tc>
          <w:tcPr>
            <w:tcW w:w="1502" w:type="dxa"/>
            <w:vAlign w:val="center"/>
            <w:hideMark/>
          </w:tcPr>
          <w:p w14:paraId="604C72C4" w14:textId="77777777" w:rsidR="00C60CC8" w:rsidRPr="006C163B" w:rsidRDefault="00C60CC8" w:rsidP="00B77B0C">
            <w:pPr>
              <w:keepLines/>
              <w:spacing w:before="120" w:after="120"/>
              <w:jc w:val="center"/>
              <w:rPr>
                <w:rFonts w:ascii="Arial" w:hAnsi="Arial" w:cs="Arial"/>
                <w:sz w:val="20"/>
                <w:szCs w:val="20"/>
              </w:rPr>
            </w:pPr>
            <w:r w:rsidRPr="006C163B">
              <w:rPr>
                <w:rFonts w:ascii="Arial" w:hAnsi="Arial" w:cs="Arial"/>
                <w:sz w:val="20"/>
                <w:szCs w:val="20"/>
              </w:rPr>
              <w:t>NGO-90446</w:t>
            </w:r>
          </w:p>
        </w:tc>
      </w:tr>
      <w:tr w:rsidR="00C60CC8" w:rsidRPr="006C163B" w14:paraId="60846AE3" w14:textId="77777777" w:rsidTr="00B77B0C">
        <w:trPr>
          <w:cantSplit/>
          <w:trHeight w:val="520"/>
        </w:trPr>
        <w:tc>
          <w:tcPr>
            <w:tcW w:w="6021" w:type="dxa"/>
            <w:vAlign w:val="center"/>
            <w:hideMark/>
          </w:tcPr>
          <w:p w14:paraId="5A43D50F" w14:textId="77777777" w:rsidR="00C60CC8" w:rsidRPr="006C163B" w:rsidRDefault="00C60CC8" w:rsidP="00B77B0C">
            <w:pPr>
              <w:spacing w:before="120" w:after="120"/>
              <w:rPr>
                <w:rFonts w:ascii="Arial" w:hAnsi="Arial" w:cs="Arial"/>
                <w:b/>
                <w:bCs/>
                <w:sz w:val="20"/>
                <w:szCs w:val="20"/>
              </w:rPr>
            </w:pPr>
            <w:proofErr w:type="spellStart"/>
            <w:proofErr w:type="gramStart"/>
            <w:r w:rsidRPr="006C163B">
              <w:rPr>
                <w:rFonts w:ascii="Nirmala UI" w:hAnsi="Nirmala UI" w:cs="Nirmala UI"/>
                <w:b/>
                <w:bCs/>
                <w:sz w:val="20"/>
                <w:szCs w:val="20"/>
              </w:rPr>
              <w:t>श्रेए</w:t>
            </w:r>
            <w:proofErr w:type="spellEnd"/>
            <w:proofErr w:type="gramEnd"/>
            <w:r w:rsidRPr="006C163B">
              <w:rPr>
                <w:rFonts w:ascii="Arial" w:hAnsi="Arial" w:cs="Arial"/>
                <w:b/>
                <w:bCs/>
                <w:sz w:val="20"/>
                <w:szCs w:val="20"/>
              </w:rPr>
              <w:t xml:space="preserve"> </w:t>
            </w:r>
            <w:proofErr w:type="spellStart"/>
            <w:r w:rsidRPr="006C163B">
              <w:rPr>
                <w:rFonts w:ascii="Nirmala UI" w:hAnsi="Nirmala UI" w:cs="Nirmala UI"/>
                <w:b/>
                <w:bCs/>
                <w:sz w:val="20"/>
                <w:szCs w:val="20"/>
              </w:rPr>
              <w:t>हनुमान</w:t>
            </w:r>
            <w:proofErr w:type="spellEnd"/>
            <w:r w:rsidRPr="006C163B">
              <w:rPr>
                <w:rFonts w:ascii="Arial" w:hAnsi="Arial" w:cs="Arial"/>
                <w:b/>
                <w:bCs/>
                <w:sz w:val="20"/>
                <w:szCs w:val="20"/>
              </w:rPr>
              <w:t xml:space="preserve"> </w:t>
            </w:r>
            <w:proofErr w:type="spellStart"/>
            <w:r w:rsidRPr="006C163B">
              <w:rPr>
                <w:rFonts w:ascii="Nirmala UI" w:hAnsi="Nirmala UI" w:cs="Nirmala UI"/>
                <w:b/>
                <w:bCs/>
                <w:sz w:val="20"/>
                <w:szCs w:val="20"/>
              </w:rPr>
              <w:t>व्यायाम</w:t>
            </w:r>
            <w:proofErr w:type="spellEnd"/>
            <w:r w:rsidRPr="006C163B">
              <w:rPr>
                <w:rFonts w:ascii="Arial" w:hAnsi="Arial" w:cs="Arial"/>
                <w:b/>
                <w:bCs/>
                <w:sz w:val="20"/>
                <w:szCs w:val="20"/>
              </w:rPr>
              <w:t xml:space="preserve"> </w:t>
            </w:r>
            <w:proofErr w:type="spellStart"/>
            <w:r w:rsidRPr="006C163B">
              <w:rPr>
                <w:rFonts w:ascii="Nirmala UI" w:hAnsi="Nirmala UI" w:cs="Nirmala UI"/>
                <w:b/>
                <w:bCs/>
                <w:sz w:val="20"/>
                <w:szCs w:val="20"/>
              </w:rPr>
              <w:t>प्रसरक</w:t>
            </w:r>
            <w:proofErr w:type="spellEnd"/>
            <w:r w:rsidRPr="006C163B">
              <w:rPr>
                <w:rFonts w:ascii="Arial" w:hAnsi="Arial" w:cs="Arial"/>
                <w:b/>
                <w:bCs/>
                <w:sz w:val="20"/>
                <w:szCs w:val="20"/>
              </w:rPr>
              <w:t xml:space="preserve"> </w:t>
            </w:r>
            <w:proofErr w:type="spellStart"/>
            <w:r w:rsidRPr="006C163B">
              <w:rPr>
                <w:rFonts w:ascii="Nirmala UI" w:hAnsi="Nirmala UI" w:cs="Nirmala UI"/>
                <w:b/>
                <w:bCs/>
                <w:sz w:val="20"/>
                <w:szCs w:val="20"/>
              </w:rPr>
              <w:t>मन्दल्</w:t>
            </w:r>
            <w:proofErr w:type="spellEnd"/>
            <w:r w:rsidRPr="006C163B">
              <w:rPr>
                <w:rFonts w:ascii="Arial" w:hAnsi="Arial" w:cs="Arial"/>
                <w:b/>
                <w:bCs/>
                <w:sz w:val="20"/>
                <w:szCs w:val="20"/>
              </w:rPr>
              <w:br/>
            </w:r>
            <w:proofErr w:type="spellStart"/>
            <w:r w:rsidRPr="006C163B">
              <w:rPr>
                <w:rFonts w:ascii="Arial" w:hAnsi="Arial" w:cs="Arial"/>
                <w:sz w:val="20"/>
                <w:szCs w:val="20"/>
              </w:rPr>
              <w:t>Shree</w:t>
            </w:r>
            <w:proofErr w:type="spellEnd"/>
            <w:r w:rsidRPr="006C163B">
              <w:rPr>
                <w:rFonts w:ascii="Arial" w:hAnsi="Arial" w:cs="Arial"/>
                <w:sz w:val="20"/>
                <w:szCs w:val="20"/>
              </w:rPr>
              <w:t xml:space="preserve"> Hanuman </w:t>
            </w:r>
            <w:proofErr w:type="spellStart"/>
            <w:r w:rsidRPr="006C163B">
              <w:rPr>
                <w:rFonts w:ascii="Arial" w:hAnsi="Arial" w:cs="Arial"/>
                <w:sz w:val="20"/>
                <w:szCs w:val="20"/>
              </w:rPr>
              <w:t>Vyayam</w:t>
            </w:r>
            <w:proofErr w:type="spellEnd"/>
            <w:r w:rsidRPr="006C163B">
              <w:rPr>
                <w:rFonts w:ascii="Arial" w:hAnsi="Arial" w:cs="Arial"/>
                <w:sz w:val="20"/>
                <w:szCs w:val="20"/>
              </w:rPr>
              <w:t xml:space="preserve"> </w:t>
            </w:r>
            <w:proofErr w:type="spellStart"/>
            <w:r w:rsidRPr="006C163B">
              <w:rPr>
                <w:rFonts w:ascii="Arial" w:hAnsi="Arial" w:cs="Arial"/>
                <w:sz w:val="20"/>
                <w:szCs w:val="20"/>
              </w:rPr>
              <w:t>Prasarak</w:t>
            </w:r>
            <w:proofErr w:type="spellEnd"/>
            <w:r w:rsidRPr="006C163B">
              <w:rPr>
                <w:rFonts w:ascii="Arial" w:hAnsi="Arial" w:cs="Arial"/>
                <w:sz w:val="20"/>
                <w:szCs w:val="20"/>
              </w:rPr>
              <w:t xml:space="preserve"> Mandal</w:t>
            </w:r>
          </w:p>
        </w:tc>
        <w:tc>
          <w:tcPr>
            <w:tcW w:w="2109" w:type="dxa"/>
            <w:vAlign w:val="center"/>
            <w:hideMark/>
          </w:tcPr>
          <w:p w14:paraId="775195DC"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Inde</w:t>
            </w:r>
          </w:p>
        </w:tc>
        <w:tc>
          <w:tcPr>
            <w:tcW w:w="1502" w:type="dxa"/>
            <w:vAlign w:val="center"/>
            <w:hideMark/>
          </w:tcPr>
          <w:p w14:paraId="0FEF0AF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NGO-90321</w:t>
            </w:r>
          </w:p>
        </w:tc>
      </w:tr>
      <w:tr w:rsidR="00C60CC8" w:rsidRPr="006C163B" w14:paraId="01AC010E" w14:textId="77777777" w:rsidTr="00B77B0C">
        <w:trPr>
          <w:cantSplit/>
          <w:trHeight w:val="780"/>
        </w:trPr>
        <w:tc>
          <w:tcPr>
            <w:tcW w:w="6021" w:type="dxa"/>
            <w:vAlign w:val="center"/>
            <w:hideMark/>
          </w:tcPr>
          <w:p w14:paraId="53057967" w14:textId="77777777" w:rsidR="00C60CC8" w:rsidRPr="000802E3" w:rsidRDefault="00C60CC8" w:rsidP="00B77B0C">
            <w:pPr>
              <w:spacing w:before="120" w:after="120"/>
              <w:rPr>
                <w:rFonts w:ascii="Arial" w:hAnsi="Arial" w:cs="Arial"/>
                <w:b/>
                <w:bCs/>
                <w:sz w:val="20"/>
                <w:szCs w:val="20"/>
                <w:lang w:val="en-US"/>
              </w:rPr>
            </w:pPr>
            <w:proofErr w:type="spellStart"/>
            <w:proofErr w:type="gramStart"/>
            <w:r w:rsidRPr="006C163B">
              <w:rPr>
                <w:rFonts w:ascii="Nirmala UI" w:hAnsi="Nirmala UI" w:cs="Nirmala UI"/>
                <w:b/>
                <w:bCs/>
                <w:sz w:val="20"/>
                <w:szCs w:val="20"/>
              </w:rPr>
              <w:t>সাধনা</w:t>
            </w:r>
            <w:proofErr w:type="spellEnd"/>
            <w:proofErr w:type="gramEnd"/>
            <w:r w:rsidRPr="000802E3">
              <w:rPr>
                <w:rFonts w:ascii="Arial" w:hAnsi="Arial" w:cs="Arial"/>
                <w:b/>
                <w:bCs/>
                <w:sz w:val="20"/>
                <w:szCs w:val="20"/>
                <w:lang w:val="en-US"/>
              </w:rPr>
              <w:t xml:space="preserve"> - </w:t>
            </w:r>
            <w:proofErr w:type="spellStart"/>
            <w:r w:rsidRPr="006C163B">
              <w:rPr>
                <w:rFonts w:ascii="Nirmala UI" w:hAnsi="Nirmala UI" w:cs="Nirmala UI"/>
                <w:b/>
                <w:bCs/>
                <w:sz w:val="20"/>
                <w:szCs w:val="20"/>
              </w:rPr>
              <w:t>উপমহাদেশীয়</w:t>
            </w:r>
            <w:proofErr w:type="spellEnd"/>
            <w:r w:rsidRPr="000802E3">
              <w:rPr>
                <w:rFonts w:ascii="Arial" w:hAnsi="Arial" w:cs="Arial"/>
                <w:b/>
                <w:bCs/>
                <w:sz w:val="20"/>
                <w:szCs w:val="20"/>
                <w:lang w:val="en-US"/>
              </w:rPr>
              <w:t xml:space="preserve"> </w:t>
            </w:r>
            <w:proofErr w:type="spellStart"/>
            <w:r w:rsidRPr="006C163B">
              <w:rPr>
                <w:rFonts w:ascii="Nirmala UI" w:hAnsi="Nirmala UI" w:cs="Nirmala UI"/>
                <w:b/>
                <w:bCs/>
                <w:sz w:val="20"/>
                <w:szCs w:val="20"/>
              </w:rPr>
              <w:t>সংস্কৃতি</w:t>
            </w:r>
            <w:proofErr w:type="spellEnd"/>
            <w:r w:rsidRPr="000802E3">
              <w:rPr>
                <w:rFonts w:ascii="Arial" w:hAnsi="Arial" w:cs="Arial"/>
                <w:b/>
                <w:bCs/>
                <w:sz w:val="20"/>
                <w:szCs w:val="20"/>
                <w:lang w:val="en-US"/>
              </w:rPr>
              <w:t xml:space="preserve"> </w:t>
            </w:r>
            <w:proofErr w:type="spellStart"/>
            <w:r w:rsidRPr="006C163B">
              <w:rPr>
                <w:rFonts w:ascii="Nirmala UI" w:hAnsi="Nirmala UI" w:cs="Nirmala UI"/>
                <w:b/>
                <w:bCs/>
                <w:sz w:val="20"/>
                <w:szCs w:val="20"/>
              </w:rPr>
              <w:t>প্রসার</w:t>
            </w:r>
            <w:proofErr w:type="spellEnd"/>
            <w:r w:rsidRPr="000802E3">
              <w:rPr>
                <w:rFonts w:ascii="Arial" w:hAnsi="Arial" w:cs="Arial"/>
                <w:b/>
                <w:bCs/>
                <w:sz w:val="20"/>
                <w:szCs w:val="20"/>
                <w:lang w:val="en-US"/>
              </w:rPr>
              <w:t xml:space="preserve"> </w:t>
            </w:r>
            <w:proofErr w:type="spellStart"/>
            <w:r w:rsidRPr="006C163B">
              <w:rPr>
                <w:rFonts w:ascii="Nirmala UI" w:hAnsi="Nirmala UI" w:cs="Nirmala UI"/>
                <w:b/>
                <w:bCs/>
                <w:sz w:val="20"/>
                <w:szCs w:val="20"/>
              </w:rPr>
              <w:t>কন্দ্রে</w:t>
            </w:r>
            <w:proofErr w:type="spellEnd"/>
            <w:r w:rsidRPr="000802E3">
              <w:rPr>
                <w:rFonts w:ascii="Arial" w:hAnsi="Arial" w:cs="Arial"/>
                <w:b/>
                <w:bCs/>
                <w:sz w:val="20"/>
                <w:szCs w:val="20"/>
                <w:lang w:val="en-US"/>
              </w:rPr>
              <w:br/>
            </w:r>
            <w:proofErr w:type="spellStart"/>
            <w:r w:rsidRPr="000802E3">
              <w:rPr>
                <w:rFonts w:ascii="Arial" w:hAnsi="Arial" w:cs="Arial"/>
                <w:sz w:val="20"/>
                <w:szCs w:val="20"/>
                <w:lang w:val="en-US"/>
              </w:rPr>
              <w:t>Shadhona</w:t>
            </w:r>
            <w:proofErr w:type="spellEnd"/>
            <w:r w:rsidRPr="000802E3">
              <w:rPr>
                <w:rFonts w:ascii="Arial" w:hAnsi="Arial" w:cs="Arial"/>
                <w:sz w:val="20"/>
                <w:szCs w:val="20"/>
                <w:lang w:val="en-US"/>
              </w:rPr>
              <w:t xml:space="preserve"> - Center for Advancement of </w:t>
            </w:r>
            <w:proofErr w:type="spellStart"/>
            <w:r w:rsidRPr="000802E3">
              <w:rPr>
                <w:rFonts w:ascii="Arial" w:hAnsi="Arial" w:cs="Arial"/>
                <w:sz w:val="20"/>
                <w:szCs w:val="20"/>
                <w:lang w:val="en-US"/>
              </w:rPr>
              <w:t>Southasian</w:t>
            </w:r>
            <w:proofErr w:type="spellEnd"/>
            <w:r w:rsidRPr="000802E3">
              <w:rPr>
                <w:rFonts w:ascii="Arial" w:hAnsi="Arial" w:cs="Arial"/>
                <w:sz w:val="20"/>
                <w:szCs w:val="20"/>
                <w:lang w:val="en-US"/>
              </w:rPr>
              <w:t xml:space="preserve"> Culture</w:t>
            </w:r>
          </w:p>
        </w:tc>
        <w:tc>
          <w:tcPr>
            <w:tcW w:w="2109" w:type="dxa"/>
            <w:vAlign w:val="center"/>
            <w:hideMark/>
          </w:tcPr>
          <w:p w14:paraId="140F56B0"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Bangladesh</w:t>
            </w:r>
          </w:p>
        </w:tc>
        <w:tc>
          <w:tcPr>
            <w:tcW w:w="1502" w:type="dxa"/>
            <w:vAlign w:val="center"/>
            <w:hideMark/>
          </w:tcPr>
          <w:p w14:paraId="2B7D517D"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NGO-90420</w:t>
            </w:r>
          </w:p>
        </w:tc>
      </w:tr>
      <w:tr w:rsidR="00C60CC8" w:rsidRPr="006C163B" w14:paraId="3ACDD830" w14:textId="77777777" w:rsidTr="00B77B0C">
        <w:trPr>
          <w:cantSplit/>
          <w:trHeight w:val="520"/>
        </w:trPr>
        <w:tc>
          <w:tcPr>
            <w:tcW w:w="6021" w:type="dxa"/>
            <w:vAlign w:val="center"/>
            <w:hideMark/>
          </w:tcPr>
          <w:p w14:paraId="3EB124FE" w14:textId="77777777" w:rsidR="00C60CC8" w:rsidRPr="006C163B" w:rsidRDefault="00C60CC8" w:rsidP="00B77B0C">
            <w:pPr>
              <w:spacing w:before="120"/>
              <w:rPr>
                <w:rFonts w:ascii="Microsoft YaHei" w:eastAsia="Microsoft YaHei" w:hAnsi="Microsoft YaHei" w:cs="Microsoft YaHei"/>
                <w:b/>
                <w:bCs/>
                <w:sz w:val="20"/>
                <w:szCs w:val="20"/>
                <w:lang w:val="en-GB"/>
              </w:rPr>
            </w:pPr>
            <w:proofErr w:type="spellStart"/>
            <w:proofErr w:type="gramStart"/>
            <w:r w:rsidRPr="006C163B">
              <w:rPr>
                <w:rFonts w:ascii="Microsoft YaHei" w:eastAsia="Microsoft YaHei" w:hAnsi="Microsoft YaHei" w:cs="Microsoft YaHei"/>
                <w:b/>
                <w:bCs/>
                <w:sz w:val="20"/>
                <w:szCs w:val="20"/>
              </w:rPr>
              <w:t>世界中医药学会联合会</w:t>
            </w:r>
            <w:proofErr w:type="spellEnd"/>
            <w:proofErr w:type="gramEnd"/>
          </w:p>
          <w:p w14:paraId="2CE4F2E1" w14:textId="77777777" w:rsidR="00C60CC8" w:rsidRPr="006C163B" w:rsidRDefault="00C60CC8" w:rsidP="00B77B0C">
            <w:pPr>
              <w:spacing w:after="120"/>
              <w:rPr>
                <w:rFonts w:ascii="Arial" w:hAnsi="Arial" w:cs="Arial"/>
                <w:sz w:val="20"/>
                <w:szCs w:val="20"/>
                <w:lang w:val="en-GB"/>
              </w:rPr>
            </w:pPr>
            <w:r w:rsidRPr="006C163B">
              <w:rPr>
                <w:rFonts w:ascii="Arial" w:hAnsi="Arial" w:cs="Arial"/>
                <w:sz w:val="20"/>
                <w:szCs w:val="20"/>
                <w:lang w:val="en-GB"/>
              </w:rPr>
              <w:t>World Federation of Chinese Medicine Societies (WFCMS) - WFCMS</w:t>
            </w:r>
          </w:p>
        </w:tc>
        <w:tc>
          <w:tcPr>
            <w:tcW w:w="2109" w:type="dxa"/>
            <w:vAlign w:val="center"/>
            <w:hideMark/>
          </w:tcPr>
          <w:p w14:paraId="66465A9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Chine</w:t>
            </w:r>
          </w:p>
        </w:tc>
        <w:tc>
          <w:tcPr>
            <w:tcW w:w="1502" w:type="dxa"/>
            <w:vAlign w:val="center"/>
            <w:hideMark/>
          </w:tcPr>
          <w:p w14:paraId="340EE758"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NGO-90239</w:t>
            </w:r>
          </w:p>
        </w:tc>
      </w:tr>
      <w:tr w:rsidR="00C60CC8" w:rsidRPr="006C163B" w14:paraId="78E9C674" w14:textId="77777777" w:rsidTr="00B77B0C">
        <w:trPr>
          <w:cantSplit/>
          <w:trHeight w:val="290"/>
        </w:trPr>
        <w:tc>
          <w:tcPr>
            <w:tcW w:w="6021" w:type="dxa"/>
            <w:vAlign w:val="center"/>
            <w:hideMark/>
          </w:tcPr>
          <w:p w14:paraId="05EB6C47" w14:textId="77777777" w:rsidR="00C60CC8" w:rsidRPr="006C163B" w:rsidRDefault="00C60CC8" w:rsidP="00B77B0C">
            <w:pPr>
              <w:spacing w:before="120"/>
              <w:rPr>
                <w:rFonts w:ascii="Microsoft YaHei" w:eastAsia="Microsoft YaHei" w:hAnsi="Microsoft YaHei" w:cs="Microsoft YaHei"/>
                <w:sz w:val="20"/>
                <w:szCs w:val="20"/>
              </w:rPr>
            </w:pPr>
            <w:proofErr w:type="spellStart"/>
            <w:proofErr w:type="gramStart"/>
            <w:r w:rsidRPr="006C163B">
              <w:rPr>
                <w:rFonts w:ascii="Microsoft YaHei" w:eastAsia="Microsoft YaHei" w:hAnsi="Microsoft YaHei" w:cs="Microsoft YaHei"/>
                <w:sz w:val="20"/>
                <w:szCs w:val="20"/>
              </w:rPr>
              <w:t>中国民俗学会</w:t>
            </w:r>
            <w:proofErr w:type="spellEnd"/>
            <w:proofErr w:type="gramEnd"/>
          </w:p>
          <w:p w14:paraId="33A5942B" w14:textId="77777777" w:rsidR="00C60CC8" w:rsidRPr="006C163B" w:rsidRDefault="00C60CC8" w:rsidP="00B77B0C">
            <w:pPr>
              <w:spacing w:after="120"/>
              <w:rPr>
                <w:rFonts w:ascii="Arial" w:hAnsi="Arial" w:cs="Arial"/>
                <w:b/>
                <w:bCs/>
                <w:sz w:val="20"/>
                <w:szCs w:val="20"/>
              </w:rPr>
            </w:pPr>
            <w:r w:rsidRPr="006C163B">
              <w:rPr>
                <w:rFonts w:ascii="Arial" w:hAnsi="Arial" w:cs="Arial"/>
                <w:b/>
                <w:bCs/>
                <w:sz w:val="20"/>
                <w:szCs w:val="20"/>
              </w:rPr>
              <w:t>China Folklore Society (CFS) - CFS</w:t>
            </w:r>
          </w:p>
        </w:tc>
        <w:tc>
          <w:tcPr>
            <w:tcW w:w="2109" w:type="dxa"/>
            <w:vAlign w:val="center"/>
            <w:hideMark/>
          </w:tcPr>
          <w:p w14:paraId="72320E2F"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Chine</w:t>
            </w:r>
          </w:p>
        </w:tc>
        <w:tc>
          <w:tcPr>
            <w:tcW w:w="1502" w:type="dxa"/>
            <w:vAlign w:val="center"/>
            <w:hideMark/>
          </w:tcPr>
          <w:p w14:paraId="055715BE"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NGO-90089</w:t>
            </w:r>
          </w:p>
        </w:tc>
      </w:tr>
      <w:tr w:rsidR="00C60CC8" w:rsidRPr="006C163B" w14:paraId="69D47F83" w14:textId="77777777" w:rsidTr="00B77B0C">
        <w:trPr>
          <w:cantSplit/>
          <w:trHeight w:val="520"/>
        </w:trPr>
        <w:tc>
          <w:tcPr>
            <w:tcW w:w="6021" w:type="dxa"/>
            <w:vAlign w:val="center"/>
            <w:hideMark/>
          </w:tcPr>
          <w:p w14:paraId="3B6F4554" w14:textId="77777777" w:rsidR="00C60CC8" w:rsidRPr="006C163B" w:rsidRDefault="00C60CC8" w:rsidP="00B77B0C">
            <w:pPr>
              <w:spacing w:before="120" w:after="120"/>
              <w:rPr>
                <w:rFonts w:ascii="Arial" w:hAnsi="Arial" w:cs="Arial"/>
                <w:b/>
                <w:bCs/>
                <w:sz w:val="20"/>
                <w:szCs w:val="20"/>
                <w:lang w:val="en-GB"/>
              </w:rPr>
            </w:pPr>
            <w:proofErr w:type="spellStart"/>
            <w:proofErr w:type="gramStart"/>
            <w:r w:rsidRPr="006C163B">
              <w:rPr>
                <w:rFonts w:ascii="Arial" w:eastAsia="Malgun Gothic" w:hAnsi="Arial" w:cs="Arial"/>
                <w:b/>
                <w:bCs/>
                <w:sz w:val="20"/>
                <w:szCs w:val="20"/>
              </w:rPr>
              <w:t>무형문화연구소</w:t>
            </w:r>
            <w:proofErr w:type="spellEnd"/>
            <w:proofErr w:type="gramEnd"/>
            <w:r w:rsidRPr="006C163B">
              <w:rPr>
                <w:rFonts w:ascii="Arial" w:hAnsi="Arial" w:cs="Arial"/>
                <w:b/>
                <w:bCs/>
                <w:sz w:val="20"/>
                <w:szCs w:val="20"/>
                <w:lang w:val="en-GB"/>
              </w:rPr>
              <w:br/>
            </w:r>
            <w:r w:rsidRPr="006C163B">
              <w:rPr>
                <w:rFonts w:ascii="Arial" w:hAnsi="Arial" w:cs="Arial"/>
                <w:sz w:val="20"/>
                <w:szCs w:val="20"/>
                <w:lang w:val="en-GB"/>
              </w:rPr>
              <w:t xml:space="preserve">The </w:t>
            </w:r>
            <w:proofErr w:type="spellStart"/>
            <w:r w:rsidRPr="006C163B">
              <w:rPr>
                <w:rFonts w:ascii="Arial" w:hAnsi="Arial" w:cs="Arial"/>
                <w:sz w:val="20"/>
                <w:szCs w:val="20"/>
                <w:lang w:val="en-GB"/>
              </w:rPr>
              <w:t>Center</w:t>
            </w:r>
            <w:proofErr w:type="spellEnd"/>
            <w:r w:rsidRPr="006C163B">
              <w:rPr>
                <w:rFonts w:ascii="Arial" w:hAnsi="Arial" w:cs="Arial"/>
                <w:sz w:val="20"/>
                <w:szCs w:val="20"/>
                <w:lang w:val="en-GB"/>
              </w:rPr>
              <w:t xml:space="preserve"> for Intangible Culture Studies – CICS</w:t>
            </w:r>
          </w:p>
        </w:tc>
        <w:tc>
          <w:tcPr>
            <w:tcW w:w="2109" w:type="dxa"/>
            <w:vAlign w:val="center"/>
            <w:hideMark/>
          </w:tcPr>
          <w:p w14:paraId="36C384A7"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République de Corée</w:t>
            </w:r>
          </w:p>
        </w:tc>
        <w:tc>
          <w:tcPr>
            <w:tcW w:w="1502" w:type="dxa"/>
            <w:vAlign w:val="center"/>
            <w:hideMark/>
          </w:tcPr>
          <w:p w14:paraId="05C4CC0B" w14:textId="77777777" w:rsidR="00C60CC8" w:rsidRPr="006C163B" w:rsidRDefault="00C60CC8" w:rsidP="00B77B0C">
            <w:pPr>
              <w:spacing w:before="120" w:after="120"/>
              <w:jc w:val="center"/>
              <w:rPr>
                <w:rFonts w:ascii="Arial" w:hAnsi="Arial" w:cs="Arial"/>
                <w:sz w:val="20"/>
                <w:szCs w:val="20"/>
              </w:rPr>
            </w:pPr>
            <w:r w:rsidRPr="006C163B">
              <w:rPr>
                <w:rFonts w:ascii="Arial" w:hAnsi="Arial" w:cs="Arial"/>
                <w:sz w:val="20"/>
                <w:szCs w:val="20"/>
              </w:rPr>
              <w:t>NGO-90336</w:t>
            </w:r>
          </w:p>
        </w:tc>
      </w:tr>
    </w:tbl>
    <w:p w14:paraId="1ADFE988" w14:textId="77777777" w:rsidR="00686309" w:rsidRPr="006C163B" w:rsidRDefault="00686309" w:rsidP="00686309">
      <w:pPr>
        <w:spacing w:before="360" w:after="120"/>
        <w:ind w:left="1560" w:hanging="1560"/>
        <w:rPr>
          <w:rFonts w:ascii="Arial" w:hAnsi="Arial" w:cs="Arial"/>
          <w:b/>
          <w:bCs/>
          <w:sz w:val="22"/>
          <w:szCs w:val="22"/>
        </w:rPr>
      </w:pPr>
      <w:r w:rsidRPr="006C163B">
        <w:rPr>
          <w:rFonts w:ascii="Arial" w:hAnsi="Arial" w:cs="Arial"/>
          <w:b/>
          <w:bCs/>
          <w:sz w:val="22"/>
          <w:szCs w:val="22"/>
        </w:rPr>
        <w:t>Annexe IV a) :</w:t>
      </w:r>
      <w:r w:rsidRPr="006C163B">
        <w:rPr>
          <w:rFonts w:ascii="Arial" w:hAnsi="Arial" w:cs="Arial"/>
          <w:b/>
          <w:bCs/>
          <w:sz w:val="22"/>
          <w:szCs w:val="22"/>
        </w:rPr>
        <w:tab/>
        <w:t>Organisations non gouvernementales accréditées pour lesquelles il est recommandé de cesser l’accréditation (contribution et engagement insuffisants au travail du Comité)</w:t>
      </w:r>
    </w:p>
    <w:tbl>
      <w:tblPr>
        <w:tblStyle w:val="TableGrid"/>
        <w:tblW w:w="5000" w:type="pct"/>
        <w:tblLook w:val="04A0" w:firstRow="1" w:lastRow="0" w:firstColumn="1" w:lastColumn="0" w:noHBand="0" w:noVBand="1"/>
      </w:tblPr>
      <w:tblGrid>
        <w:gridCol w:w="4787"/>
        <w:gridCol w:w="1400"/>
        <w:gridCol w:w="1386"/>
        <w:gridCol w:w="2055"/>
      </w:tblGrid>
      <w:tr w:rsidR="00686309" w:rsidRPr="006C163B" w14:paraId="65416837" w14:textId="77777777" w:rsidTr="00B77B0C">
        <w:trPr>
          <w:trHeight w:val="624"/>
        </w:trPr>
        <w:tc>
          <w:tcPr>
            <w:tcW w:w="2486" w:type="pct"/>
            <w:shd w:val="clear" w:color="auto" w:fill="73A0DD"/>
            <w:vAlign w:val="center"/>
          </w:tcPr>
          <w:p w14:paraId="1B0EBF5B"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Nom de l’organisation</w:t>
            </w:r>
          </w:p>
        </w:tc>
        <w:tc>
          <w:tcPr>
            <w:tcW w:w="727" w:type="pct"/>
            <w:shd w:val="clear" w:color="auto" w:fill="73A0DD"/>
            <w:vAlign w:val="center"/>
          </w:tcPr>
          <w:p w14:paraId="1FCFBB56"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Pays du siège social</w:t>
            </w:r>
          </w:p>
        </w:tc>
        <w:tc>
          <w:tcPr>
            <w:tcW w:w="720" w:type="pct"/>
            <w:shd w:val="clear" w:color="auto" w:fill="73A0DD"/>
            <w:vAlign w:val="center"/>
          </w:tcPr>
          <w:p w14:paraId="7F528B56"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Numéro de la demande</w:t>
            </w:r>
          </w:p>
        </w:tc>
        <w:tc>
          <w:tcPr>
            <w:tcW w:w="1067" w:type="pct"/>
            <w:shd w:val="clear" w:color="auto" w:fill="73A0DD"/>
            <w:vAlign w:val="center"/>
          </w:tcPr>
          <w:p w14:paraId="1CB84BD2"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Commentaire</w:t>
            </w:r>
          </w:p>
        </w:tc>
      </w:tr>
      <w:tr w:rsidR="00686309" w:rsidRPr="006C163B" w14:paraId="5CFC9961" w14:textId="77777777" w:rsidTr="00B77B0C">
        <w:trPr>
          <w:trHeight w:val="624"/>
        </w:trPr>
        <w:tc>
          <w:tcPr>
            <w:tcW w:w="2486" w:type="pct"/>
            <w:vAlign w:val="center"/>
          </w:tcPr>
          <w:p w14:paraId="1947F746" w14:textId="77777777" w:rsidR="00686309" w:rsidRPr="006C163B" w:rsidRDefault="00686309" w:rsidP="00B77B0C">
            <w:pPr>
              <w:spacing w:before="120" w:after="120"/>
              <w:rPr>
                <w:rFonts w:ascii="Arial" w:hAnsi="Arial" w:cs="Arial"/>
                <w:b/>
                <w:bCs/>
                <w:sz w:val="20"/>
                <w:szCs w:val="20"/>
              </w:rPr>
            </w:pPr>
            <w:proofErr w:type="spellStart"/>
            <w:r w:rsidRPr="006C163B">
              <w:rPr>
                <w:rFonts w:ascii="Arial" w:hAnsi="Arial" w:cs="Arial"/>
                <w:b/>
                <w:bCs/>
                <w:sz w:val="20"/>
                <w:szCs w:val="20"/>
              </w:rPr>
              <w:t>Parizer</w:t>
            </w:r>
            <w:proofErr w:type="spellEnd"/>
            <w:r w:rsidRPr="006C163B">
              <w:rPr>
                <w:rFonts w:ascii="Arial" w:hAnsi="Arial" w:cs="Arial"/>
                <w:b/>
                <w:bCs/>
                <w:sz w:val="20"/>
                <w:szCs w:val="20"/>
              </w:rPr>
              <w:t xml:space="preserve"> Yiddish </w:t>
            </w:r>
            <w:proofErr w:type="spellStart"/>
            <w:r w:rsidRPr="006C163B">
              <w:rPr>
                <w:rFonts w:ascii="Arial" w:hAnsi="Arial" w:cs="Arial"/>
                <w:b/>
                <w:bCs/>
                <w:sz w:val="20"/>
                <w:szCs w:val="20"/>
              </w:rPr>
              <w:t>Tsenter</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Medem</w:t>
            </w:r>
            <w:proofErr w:type="spellEnd"/>
            <w:r w:rsidRPr="006C163B">
              <w:rPr>
                <w:rFonts w:ascii="Arial" w:hAnsi="Arial" w:cs="Arial"/>
                <w:b/>
                <w:bCs/>
                <w:sz w:val="20"/>
                <w:szCs w:val="20"/>
              </w:rPr>
              <w:t xml:space="preserve"> </w:t>
            </w:r>
            <w:proofErr w:type="spellStart"/>
            <w:r w:rsidRPr="006C163B">
              <w:rPr>
                <w:rFonts w:ascii="Arial" w:hAnsi="Arial" w:cs="Arial"/>
                <w:b/>
                <w:bCs/>
                <w:sz w:val="20"/>
                <w:szCs w:val="20"/>
              </w:rPr>
              <w:t>Bibliotek</w:t>
            </w:r>
            <w:proofErr w:type="spellEnd"/>
            <w:r w:rsidRPr="006C163B">
              <w:rPr>
                <w:rFonts w:ascii="Arial" w:hAnsi="Arial" w:cs="Arial"/>
                <w:b/>
                <w:bCs/>
                <w:sz w:val="20"/>
                <w:szCs w:val="20"/>
              </w:rPr>
              <w:br/>
            </w:r>
            <w:r w:rsidRPr="006C163B">
              <w:rPr>
                <w:rFonts w:ascii="Arial" w:hAnsi="Arial" w:cs="Arial"/>
                <w:sz w:val="20"/>
                <w:szCs w:val="20"/>
              </w:rPr>
              <w:t xml:space="preserve">Maison de la Culture Yiddish - Bibliothèque </w:t>
            </w:r>
            <w:proofErr w:type="spellStart"/>
            <w:r w:rsidRPr="006C163B">
              <w:rPr>
                <w:rFonts w:ascii="Arial" w:hAnsi="Arial" w:cs="Arial"/>
                <w:sz w:val="20"/>
                <w:szCs w:val="20"/>
              </w:rPr>
              <w:t>Medem</w:t>
            </w:r>
            <w:proofErr w:type="spellEnd"/>
          </w:p>
        </w:tc>
        <w:tc>
          <w:tcPr>
            <w:tcW w:w="727" w:type="pct"/>
            <w:vAlign w:val="center"/>
          </w:tcPr>
          <w:p w14:paraId="78E6047B"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France</w:t>
            </w:r>
          </w:p>
        </w:tc>
        <w:tc>
          <w:tcPr>
            <w:tcW w:w="720" w:type="pct"/>
            <w:vAlign w:val="center"/>
          </w:tcPr>
          <w:p w14:paraId="2B46CA89"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NGO-90451</w:t>
            </w:r>
          </w:p>
        </w:tc>
        <w:tc>
          <w:tcPr>
            <w:tcW w:w="1067" w:type="pct"/>
            <w:vAlign w:val="center"/>
          </w:tcPr>
          <w:p w14:paraId="55D4BA51" w14:textId="77777777" w:rsidR="00686309" w:rsidRPr="006C163B" w:rsidRDefault="00686309" w:rsidP="00B77B0C">
            <w:pPr>
              <w:spacing w:before="120" w:after="120"/>
              <w:rPr>
                <w:rFonts w:ascii="Arial" w:hAnsi="Arial" w:cs="Arial"/>
                <w:sz w:val="20"/>
                <w:szCs w:val="20"/>
              </w:rPr>
            </w:pPr>
            <w:r w:rsidRPr="006C163B">
              <w:rPr>
                <w:rFonts w:ascii="Arial" w:hAnsi="Arial" w:cs="Arial"/>
                <w:sz w:val="20"/>
                <w:szCs w:val="20"/>
              </w:rPr>
              <w:t>A fourni des informations limitées sur ses activités récentes</w:t>
            </w:r>
          </w:p>
        </w:tc>
      </w:tr>
      <w:tr w:rsidR="00686309" w:rsidRPr="006C163B" w14:paraId="3E87CF7A" w14:textId="77777777" w:rsidTr="00B77B0C">
        <w:trPr>
          <w:trHeight w:val="624"/>
        </w:trPr>
        <w:tc>
          <w:tcPr>
            <w:tcW w:w="2486" w:type="pct"/>
            <w:vAlign w:val="center"/>
            <w:hideMark/>
          </w:tcPr>
          <w:p w14:paraId="619503EA" w14:textId="77777777" w:rsidR="00686309" w:rsidRPr="006C163B" w:rsidRDefault="00686309" w:rsidP="00B77B0C">
            <w:pPr>
              <w:spacing w:before="120" w:after="120"/>
              <w:rPr>
                <w:rFonts w:ascii="Arial" w:hAnsi="Arial" w:cs="Arial"/>
                <w:sz w:val="20"/>
                <w:szCs w:val="20"/>
              </w:rPr>
            </w:pPr>
            <w:r w:rsidRPr="006C163B">
              <w:rPr>
                <w:rFonts w:ascii="Arial" w:hAnsi="Arial" w:cs="Arial"/>
                <w:b/>
                <w:bCs/>
                <w:sz w:val="20"/>
                <w:szCs w:val="20"/>
                <w:rtl/>
              </w:rPr>
              <w:t>الجمعية</w:t>
            </w:r>
            <w:r w:rsidRPr="006C163B">
              <w:rPr>
                <w:rFonts w:ascii="Arial" w:hAnsi="Arial" w:cs="Arial"/>
                <w:b/>
                <w:bCs/>
                <w:sz w:val="20"/>
                <w:szCs w:val="20"/>
              </w:rPr>
              <w:t xml:space="preserve"> </w:t>
            </w:r>
            <w:r w:rsidRPr="006C163B">
              <w:rPr>
                <w:rFonts w:ascii="Arial" w:hAnsi="Arial" w:cs="Arial"/>
                <w:b/>
                <w:bCs/>
                <w:sz w:val="20"/>
                <w:szCs w:val="20"/>
                <w:rtl/>
              </w:rPr>
              <w:t>الموريتانية</w:t>
            </w:r>
            <w:r w:rsidRPr="006C163B">
              <w:rPr>
                <w:rFonts w:ascii="Arial" w:hAnsi="Arial" w:cs="Arial"/>
                <w:b/>
                <w:bCs/>
                <w:sz w:val="20"/>
                <w:szCs w:val="20"/>
              </w:rPr>
              <w:t xml:space="preserve"> </w:t>
            </w:r>
            <w:r w:rsidRPr="006C163B">
              <w:rPr>
                <w:rFonts w:ascii="Arial" w:hAnsi="Arial" w:cs="Arial"/>
                <w:b/>
                <w:bCs/>
                <w:sz w:val="20"/>
                <w:szCs w:val="20"/>
                <w:rtl/>
              </w:rPr>
              <w:t>للمأثورات</w:t>
            </w:r>
            <w:r w:rsidRPr="006C163B">
              <w:rPr>
                <w:rFonts w:ascii="Arial" w:hAnsi="Arial" w:cs="Arial"/>
                <w:b/>
                <w:bCs/>
                <w:sz w:val="20"/>
                <w:szCs w:val="20"/>
              </w:rPr>
              <w:t xml:space="preserve"> </w:t>
            </w:r>
            <w:r w:rsidRPr="006C163B">
              <w:rPr>
                <w:rFonts w:ascii="Arial" w:hAnsi="Arial" w:cs="Arial"/>
                <w:b/>
                <w:bCs/>
                <w:sz w:val="20"/>
                <w:szCs w:val="20"/>
                <w:rtl/>
              </w:rPr>
              <w:t>الشعبية</w:t>
            </w:r>
            <w:r w:rsidRPr="006C163B">
              <w:rPr>
                <w:rFonts w:ascii="Arial" w:hAnsi="Arial" w:cs="Arial"/>
                <w:sz w:val="20"/>
                <w:szCs w:val="20"/>
              </w:rPr>
              <w:t xml:space="preserve"> </w:t>
            </w:r>
            <w:r w:rsidRPr="006C163B">
              <w:rPr>
                <w:rFonts w:ascii="Arial" w:hAnsi="Arial" w:cs="Arial"/>
                <w:sz w:val="20"/>
                <w:szCs w:val="20"/>
              </w:rPr>
              <w:br/>
            </w:r>
            <w:proofErr w:type="spellStart"/>
            <w:r w:rsidRPr="006C163B">
              <w:rPr>
                <w:rFonts w:ascii="Arial" w:hAnsi="Arial" w:cs="Arial"/>
                <w:sz w:val="20"/>
                <w:szCs w:val="20"/>
              </w:rPr>
              <w:t>Jamiya</w:t>
            </w:r>
            <w:proofErr w:type="spellEnd"/>
            <w:r w:rsidRPr="006C163B">
              <w:rPr>
                <w:rFonts w:ascii="Arial" w:hAnsi="Arial" w:cs="Arial"/>
                <w:sz w:val="20"/>
                <w:szCs w:val="20"/>
              </w:rPr>
              <w:t xml:space="preserve"> </w:t>
            </w:r>
            <w:proofErr w:type="spellStart"/>
            <w:r w:rsidRPr="006C163B">
              <w:rPr>
                <w:rFonts w:ascii="Arial" w:hAnsi="Arial" w:cs="Arial"/>
                <w:sz w:val="20"/>
                <w:szCs w:val="20"/>
              </w:rPr>
              <w:t>Mauritania</w:t>
            </w:r>
            <w:proofErr w:type="spellEnd"/>
            <w:r w:rsidRPr="006C163B">
              <w:rPr>
                <w:rFonts w:ascii="Arial" w:hAnsi="Arial" w:cs="Arial"/>
                <w:sz w:val="20"/>
                <w:szCs w:val="20"/>
              </w:rPr>
              <w:t xml:space="preserve"> Lil </w:t>
            </w:r>
            <w:proofErr w:type="spellStart"/>
            <w:r w:rsidRPr="006C163B">
              <w:rPr>
                <w:rFonts w:ascii="Arial" w:hAnsi="Arial" w:cs="Arial"/>
                <w:sz w:val="20"/>
                <w:szCs w:val="20"/>
              </w:rPr>
              <w:t>Mathourat</w:t>
            </w:r>
            <w:proofErr w:type="spellEnd"/>
            <w:r w:rsidRPr="006C163B">
              <w:rPr>
                <w:rFonts w:ascii="Arial" w:hAnsi="Arial" w:cs="Arial"/>
                <w:sz w:val="20"/>
                <w:szCs w:val="20"/>
              </w:rPr>
              <w:t xml:space="preserve"> </w:t>
            </w:r>
            <w:proofErr w:type="spellStart"/>
            <w:r w:rsidRPr="006C163B">
              <w:rPr>
                <w:rFonts w:ascii="Arial" w:hAnsi="Arial" w:cs="Arial"/>
                <w:sz w:val="20"/>
                <w:szCs w:val="20"/>
              </w:rPr>
              <w:t>Chaabiya</w:t>
            </w:r>
            <w:proofErr w:type="spellEnd"/>
            <w:r w:rsidRPr="006C163B">
              <w:rPr>
                <w:rFonts w:ascii="Arial" w:hAnsi="Arial" w:cs="Arial"/>
                <w:sz w:val="20"/>
                <w:szCs w:val="20"/>
              </w:rPr>
              <w:t xml:space="preserve"> Association mauritanienne pour les traditions populaires (AMTP) – AMTP</w:t>
            </w:r>
          </w:p>
        </w:tc>
        <w:tc>
          <w:tcPr>
            <w:tcW w:w="727" w:type="pct"/>
            <w:vAlign w:val="center"/>
          </w:tcPr>
          <w:p w14:paraId="2CC41481"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 xml:space="preserve">Mauritanie </w:t>
            </w:r>
          </w:p>
        </w:tc>
        <w:tc>
          <w:tcPr>
            <w:tcW w:w="720" w:type="pct"/>
            <w:vAlign w:val="center"/>
          </w:tcPr>
          <w:p w14:paraId="7953734C"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NGO-90343</w:t>
            </w:r>
          </w:p>
        </w:tc>
        <w:tc>
          <w:tcPr>
            <w:tcW w:w="1067" w:type="pct"/>
            <w:vAlign w:val="center"/>
          </w:tcPr>
          <w:p w14:paraId="117B3408" w14:textId="77777777" w:rsidR="00686309" w:rsidRPr="006C163B" w:rsidRDefault="00686309" w:rsidP="00B77B0C">
            <w:pPr>
              <w:spacing w:before="120" w:after="120"/>
              <w:rPr>
                <w:rFonts w:ascii="Arial" w:hAnsi="Arial" w:cs="Arial"/>
                <w:sz w:val="20"/>
                <w:szCs w:val="20"/>
              </w:rPr>
            </w:pPr>
            <w:r w:rsidRPr="006C163B">
              <w:rPr>
                <w:rFonts w:ascii="Arial" w:hAnsi="Arial" w:cs="Arial"/>
                <w:sz w:val="20"/>
                <w:szCs w:val="20"/>
              </w:rPr>
              <w:t>A fourni des informations limitées sur ses activités récentes</w:t>
            </w:r>
          </w:p>
        </w:tc>
      </w:tr>
    </w:tbl>
    <w:p w14:paraId="7B2F5A7A" w14:textId="77777777" w:rsidR="00686309" w:rsidRPr="006C163B" w:rsidRDefault="00686309" w:rsidP="00686309">
      <w:pPr>
        <w:spacing w:before="360" w:after="120"/>
        <w:ind w:left="1560" w:hanging="1560"/>
        <w:rPr>
          <w:rFonts w:ascii="Arial" w:hAnsi="Arial" w:cs="Arial"/>
          <w:b/>
          <w:bCs/>
          <w:sz w:val="22"/>
          <w:szCs w:val="22"/>
        </w:rPr>
      </w:pPr>
      <w:r w:rsidRPr="006C163B">
        <w:rPr>
          <w:rFonts w:ascii="Arial" w:hAnsi="Arial" w:cs="Arial"/>
          <w:b/>
          <w:bCs/>
          <w:sz w:val="22"/>
          <w:szCs w:val="22"/>
        </w:rPr>
        <w:t>Annexe IV b) :</w:t>
      </w:r>
      <w:r w:rsidRPr="006C163B">
        <w:rPr>
          <w:rFonts w:ascii="Arial" w:hAnsi="Arial" w:cs="Arial"/>
          <w:b/>
          <w:bCs/>
          <w:sz w:val="22"/>
          <w:szCs w:val="22"/>
        </w:rPr>
        <w:tab/>
        <w:t>Organisations non gouvernementales accréditées pour lesquelles il est recommandé de cesser l’accréditation (rapport non soumis)</w:t>
      </w:r>
    </w:p>
    <w:tbl>
      <w:tblPr>
        <w:tblStyle w:val="TableGrid"/>
        <w:tblW w:w="5000" w:type="pct"/>
        <w:tblLook w:val="04A0" w:firstRow="1" w:lastRow="0" w:firstColumn="1" w:lastColumn="0" w:noHBand="0" w:noVBand="1"/>
      </w:tblPr>
      <w:tblGrid>
        <w:gridCol w:w="4798"/>
        <w:gridCol w:w="1400"/>
        <w:gridCol w:w="1327"/>
        <w:gridCol w:w="2103"/>
      </w:tblGrid>
      <w:tr w:rsidR="00686309" w:rsidRPr="006C163B" w14:paraId="0D3EC686" w14:textId="77777777" w:rsidTr="00B77B0C">
        <w:trPr>
          <w:trHeight w:val="624"/>
        </w:trPr>
        <w:tc>
          <w:tcPr>
            <w:tcW w:w="2492" w:type="pct"/>
            <w:shd w:val="clear" w:color="auto" w:fill="73A0DD"/>
            <w:vAlign w:val="center"/>
          </w:tcPr>
          <w:p w14:paraId="62AEEE62"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Nom de l’organisation</w:t>
            </w:r>
          </w:p>
        </w:tc>
        <w:tc>
          <w:tcPr>
            <w:tcW w:w="727" w:type="pct"/>
            <w:shd w:val="clear" w:color="auto" w:fill="73A0DD"/>
            <w:vAlign w:val="center"/>
          </w:tcPr>
          <w:p w14:paraId="6BFC0D60"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Pays du siège social</w:t>
            </w:r>
          </w:p>
        </w:tc>
        <w:tc>
          <w:tcPr>
            <w:tcW w:w="689" w:type="pct"/>
            <w:shd w:val="clear" w:color="auto" w:fill="73A0DD"/>
            <w:vAlign w:val="center"/>
          </w:tcPr>
          <w:p w14:paraId="3F9A0BAB"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Numéro de la demande</w:t>
            </w:r>
          </w:p>
        </w:tc>
        <w:tc>
          <w:tcPr>
            <w:tcW w:w="1092" w:type="pct"/>
            <w:shd w:val="clear" w:color="auto" w:fill="73A0DD"/>
            <w:vAlign w:val="center"/>
          </w:tcPr>
          <w:p w14:paraId="13BE7943" w14:textId="77777777" w:rsidR="00686309" w:rsidRPr="006C163B" w:rsidRDefault="00686309" w:rsidP="00B77B0C">
            <w:pPr>
              <w:spacing w:before="120" w:after="120"/>
              <w:jc w:val="center"/>
              <w:rPr>
                <w:rFonts w:ascii="Arial" w:hAnsi="Arial" w:cs="Arial"/>
                <w:b/>
                <w:bCs/>
                <w:sz w:val="20"/>
                <w:szCs w:val="20"/>
              </w:rPr>
            </w:pPr>
            <w:r w:rsidRPr="006C163B">
              <w:rPr>
                <w:rFonts w:ascii="Arial" w:hAnsi="Arial" w:cs="Arial"/>
                <w:b/>
                <w:bCs/>
                <w:sz w:val="20"/>
                <w:szCs w:val="20"/>
              </w:rPr>
              <w:t>Commentaire</w:t>
            </w:r>
          </w:p>
        </w:tc>
      </w:tr>
      <w:tr w:rsidR="00686309" w:rsidRPr="006C163B" w14:paraId="27D5B8E3" w14:textId="77777777" w:rsidTr="00B77B0C">
        <w:trPr>
          <w:trHeight w:val="624"/>
        </w:trPr>
        <w:tc>
          <w:tcPr>
            <w:tcW w:w="2492" w:type="pct"/>
            <w:vAlign w:val="center"/>
            <w:hideMark/>
          </w:tcPr>
          <w:p w14:paraId="3C52CB96" w14:textId="77777777" w:rsidR="00686309" w:rsidRPr="006C163B" w:rsidRDefault="00686309" w:rsidP="00B77B0C">
            <w:pPr>
              <w:spacing w:before="120" w:after="120"/>
              <w:rPr>
                <w:rFonts w:ascii="Arial" w:hAnsi="Arial" w:cs="Arial"/>
                <w:b/>
                <w:bCs/>
                <w:sz w:val="20"/>
                <w:szCs w:val="20"/>
              </w:rPr>
            </w:pPr>
            <w:r w:rsidRPr="006C163B">
              <w:rPr>
                <w:rFonts w:ascii="Arial" w:hAnsi="Arial" w:cs="Arial"/>
                <w:b/>
                <w:bCs/>
                <w:sz w:val="20"/>
                <w:szCs w:val="20"/>
              </w:rPr>
              <w:t>Amis du Patrimoine de Madagascar (APM) - APM</w:t>
            </w:r>
          </w:p>
        </w:tc>
        <w:tc>
          <w:tcPr>
            <w:tcW w:w="727" w:type="pct"/>
            <w:vAlign w:val="center"/>
          </w:tcPr>
          <w:p w14:paraId="4F590937"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Madagascar</w:t>
            </w:r>
          </w:p>
        </w:tc>
        <w:tc>
          <w:tcPr>
            <w:tcW w:w="689" w:type="pct"/>
            <w:vAlign w:val="center"/>
            <w:hideMark/>
          </w:tcPr>
          <w:p w14:paraId="25C36703"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NGO-90195</w:t>
            </w:r>
          </w:p>
        </w:tc>
        <w:tc>
          <w:tcPr>
            <w:tcW w:w="1092" w:type="pct"/>
            <w:vAlign w:val="center"/>
          </w:tcPr>
          <w:p w14:paraId="5453A45F" w14:textId="77777777" w:rsidR="00686309" w:rsidRPr="006C163B" w:rsidRDefault="00686309" w:rsidP="00B77B0C">
            <w:pPr>
              <w:spacing w:before="120" w:after="120"/>
              <w:rPr>
                <w:rFonts w:ascii="Arial" w:hAnsi="Arial" w:cs="Arial"/>
                <w:sz w:val="20"/>
                <w:szCs w:val="20"/>
              </w:rPr>
            </w:pPr>
            <w:r w:rsidRPr="006C163B">
              <w:rPr>
                <w:rFonts w:ascii="Arial" w:hAnsi="Arial" w:cs="Arial"/>
                <w:sz w:val="20"/>
                <w:szCs w:val="20"/>
              </w:rPr>
              <w:t>Rapport non soumis</w:t>
            </w:r>
          </w:p>
        </w:tc>
      </w:tr>
      <w:tr w:rsidR="00686309" w:rsidRPr="006C163B" w14:paraId="27EF762D" w14:textId="77777777" w:rsidTr="00B77B0C">
        <w:trPr>
          <w:trHeight w:val="624"/>
        </w:trPr>
        <w:tc>
          <w:tcPr>
            <w:tcW w:w="2492" w:type="pct"/>
            <w:vAlign w:val="center"/>
            <w:hideMark/>
          </w:tcPr>
          <w:p w14:paraId="4D22B747" w14:textId="77777777" w:rsidR="00686309" w:rsidRPr="006C163B" w:rsidRDefault="00686309" w:rsidP="00B77B0C">
            <w:pPr>
              <w:spacing w:before="120" w:after="120"/>
              <w:rPr>
                <w:rFonts w:ascii="Arial" w:hAnsi="Arial" w:cs="Arial"/>
                <w:b/>
                <w:bCs/>
                <w:sz w:val="20"/>
                <w:szCs w:val="20"/>
                <w:lang w:val="en-GB"/>
              </w:rPr>
            </w:pPr>
            <w:r w:rsidRPr="006C163B">
              <w:rPr>
                <w:rFonts w:ascii="Arial" w:hAnsi="Arial" w:cs="Arial"/>
                <w:b/>
                <w:bCs/>
                <w:sz w:val="20"/>
                <w:szCs w:val="20"/>
                <w:lang w:val="en-GB"/>
              </w:rPr>
              <w:lastRenderedPageBreak/>
              <w:t xml:space="preserve">Bayerischer </w:t>
            </w:r>
            <w:proofErr w:type="spellStart"/>
            <w:r w:rsidRPr="006C163B">
              <w:rPr>
                <w:rFonts w:ascii="Arial" w:hAnsi="Arial" w:cs="Arial"/>
                <w:b/>
                <w:bCs/>
                <w:sz w:val="20"/>
                <w:szCs w:val="20"/>
                <w:lang w:val="en-GB"/>
              </w:rPr>
              <w:t>Landesverein</w:t>
            </w:r>
            <w:proofErr w:type="spellEnd"/>
            <w:r w:rsidRPr="006C163B">
              <w:rPr>
                <w:rFonts w:ascii="Arial" w:hAnsi="Arial" w:cs="Arial"/>
                <w:b/>
                <w:bCs/>
                <w:sz w:val="20"/>
                <w:szCs w:val="20"/>
                <w:lang w:val="en-GB"/>
              </w:rPr>
              <w:t xml:space="preserve"> für </w:t>
            </w:r>
            <w:proofErr w:type="spellStart"/>
            <w:r w:rsidRPr="006C163B">
              <w:rPr>
                <w:rFonts w:ascii="Arial" w:hAnsi="Arial" w:cs="Arial"/>
                <w:b/>
                <w:bCs/>
                <w:sz w:val="20"/>
                <w:szCs w:val="20"/>
                <w:lang w:val="en-GB"/>
              </w:rPr>
              <w:t>Heimatpflege</w:t>
            </w:r>
            <w:proofErr w:type="spellEnd"/>
            <w:r w:rsidRPr="006C163B">
              <w:rPr>
                <w:rFonts w:ascii="Arial" w:hAnsi="Arial" w:cs="Arial"/>
                <w:b/>
                <w:bCs/>
                <w:sz w:val="20"/>
                <w:szCs w:val="20"/>
                <w:lang w:val="en-GB"/>
              </w:rPr>
              <w:t xml:space="preserve"> e. V.</w:t>
            </w:r>
            <w:r w:rsidRPr="006C163B">
              <w:rPr>
                <w:rFonts w:ascii="Arial" w:hAnsi="Arial" w:cs="Arial"/>
                <w:b/>
                <w:bCs/>
                <w:sz w:val="20"/>
                <w:szCs w:val="20"/>
                <w:lang w:val="en-GB"/>
              </w:rPr>
              <w:br/>
            </w:r>
            <w:r w:rsidRPr="006C163B">
              <w:rPr>
                <w:rFonts w:ascii="Arial" w:hAnsi="Arial" w:cs="Arial"/>
                <w:sz w:val="20"/>
                <w:szCs w:val="20"/>
                <w:lang w:val="en-GB"/>
              </w:rPr>
              <w:t>Bavarian association for cultural heritage</w:t>
            </w:r>
          </w:p>
        </w:tc>
        <w:tc>
          <w:tcPr>
            <w:tcW w:w="727" w:type="pct"/>
            <w:vAlign w:val="center"/>
          </w:tcPr>
          <w:p w14:paraId="47DDFE54" w14:textId="628A1FE9"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Allemagne</w:t>
            </w:r>
          </w:p>
        </w:tc>
        <w:tc>
          <w:tcPr>
            <w:tcW w:w="689" w:type="pct"/>
            <w:vAlign w:val="center"/>
            <w:hideMark/>
          </w:tcPr>
          <w:p w14:paraId="2A72A6B2"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NGO-90438</w:t>
            </w:r>
          </w:p>
        </w:tc>
        <w:tc>
          <w:tcPr>
            <w:tcW w:w="1092" w:type="pct"/>
            <w:vAlign w:val="center"/>
          </w:tcPr>
          <w:p w14:paraId="0B71CDC3" w14:textId="77777777" w:rsidR="00686309" w:rsidRPr="006C163B" w:rsidRDefault="00686309" w:rsidP="00B77B0C">
            <w:pPr>
              <w:spacing w:before="120" w:after="120"/>
              <w:rPr>
                <w:rFonts w:ascii="Arial" w:hAnsi="Arial" w:cs="Arial"/>
                <w:sz w:val="20"/>
                <w:szCs w:val="20"/>
              </w:rPr>
            </w:pPr>
            <w:r w:rsidRPr="006C163B">
              <w:rPr>
                <w:rFonts w:ascii="Arial" w:hAnsi="Arial" w:cs="Arial"/>
                <w:sz w:val="20"/>
                <w:szCs w:val="20"/>
              </w:rPr>
              <w:t>Rapport non soumis</w:t>
            </w:r>
          </w:p>
        </w:tc>
      </w:tr>
      <w:tr w:rsidR="00686309" w:rsidRPr="006C163B" w14:paraId="34530AF1" w14:textId="77777777" w:rsidTr="00B77B0C">
        <w:trPr>
          <w:trHeight w:val="624"/>
        </w:trPr>
        <w:tc>
          <w:tcPr>
            <w:tcW w:w="2492" w:type="pct"/>
            <w:vAlign w:val="center"/>
            <w:hideMark/>
          </w:tcPr>
          <w:p w14:paraId="28956900" w14:textId="77777777" w:rsidR="00686309" w:rsidRPr="00747516" w:rsidRDefault="00686309" w:rsidP="00B77B0C">
            <w:pPr>
              <w:keepLines/>
              <w:spacing w:before="120" w:after="120"/>
              <w:rPr>
                <w:rFonts w:ascii="Arial" w:hAnsi="Arial" w:cs="Arial"/>
                <w:sz w:val="20"/>
                <w:szCs w:val="20"/>
              </w:rPr>
            </w:pPr>
            <w:r w:rsidRPr="00747516">
              <w:rPr>
                <w:rFonts w:ascii="Arial" w:hAnsi="Arial" w:cs="Arial"/>
                <w:b/>
                <w:bCs/>
                <w:sz w:val="20"/>
                <w:szCs w:val="20"/>
              </w:rPr>
              <w:t xml:space="preserve">Institution SOAMANORO </w:t>
            </w:r>
            <w:proofErr w:type="spellStart"/>
            <w:r w:rsidRPr="00747516">
              <w:rPr>
                <w:rFonts w:ascii="Arial" w:hAnsi="Arial" w:cs="Arial"/>
                <w:b/>
                <w:bCs/>
                <w:sz w:val="20"/>
                <w:szCs w:val="20"/>
              </w:rPr>
              <w:t>Doany</w:t>
            </w:r>
            <w:proofErr w:type="spellEnd"/>
            <w:r w:rsidRPr="00747516">
              <w:rPr>
                <w:rFonts w:ascii="Arial" w:hAnsi="Arial" w:cs="Arial"/>
                <w:b/>
                <w:bCs/>
                <w:sz w:val="20"/>
                <w:szCs w:val="20"/>
              </w:rPr>
              <w:t xml:space="preserve"> </w:t>
            </w:r>
            <w:proofErr w:type="spellStart"/>
            <w:r w:rsidRPr="00747516">
              <w:rPr>
                <w:rFonts w:ascii="Arial" w:hAnsi="Arial" w:cs="Arial"/>
                <w:b/>
                <w:bCs/>
                <w:sz w:val="20"/>
                <w:szCs w:val="20"/>
              </w:rPr>
              <w:t>Manongarivo</w:t>
            </w:r>
            <w:proofErr w:type="spellEnd"/>
            <w:r w:rsidRPr="00747516">
              <w:rPr>
                <w:rFonts w:ascii="Arial" w:hAnsi="Arial" w:cs="Arial"/>
                <w:b/>
                <w:bCs/>
                <w:sz w:val="20"/>
                <w:szCs w:val="20"/>
              </w:rPr>
              <w:t xml:space="preserve"> </w:t>
            </w:r>
            <w:r w:rsidRPr="00747516">
              <w:rPr>
                <w:rFonts w:ascii="Arial" w:hAnsi="Arial" w:cs="Arial"/>
                <w:b/>
                <w:bCs/>
                <w:sz w:val="20"/>
                <w:szCs w:val="20"/>
              </w:rPr>
              <w:br/>
            </w:r>
            <w:r w:rsidRPr="00747516">
              <w:rPr>
                <w:rFonts w:ascii="Arial" w:hAnsi="Arial" w:cs="Arial"/>
                <w:sz w:val="20"/>
                <w:szCs w:val="20"/>
              </w:rPr>
              <w:t xml:space="preserve">Institution SOAMANORO lieu sacré </w:t>
            </w:r>
            <w:proofErr w:type="spellStart"/>
            <w:r w:rsidRPr="00747516">
              <w:rPr>
                <w:rFonts w:ascii="Arial" w:hAnsi="Arial" w:cs="Arial"/>
                <w:sz w:val="20"/>
                <w:szCs w:val="20"/>
              </w:rPr>
              <w:t>Manongarivo</w:t>
            </w:r>
            <w:proofErr w:type="spellEnd"/>
          </w:p>
        </w:tc>
        <w:tc>
          <w:tcPr>
            <w:tcW w:w="727" w:type="pct"/>
            <w:vAlign w:val="center"/>
          </w:tcPr>
          <w:p w14:paraId="06E9F7E0" w14:textId="77777777" w:rsidR="00686309" w:rsidRPr="006C163B" w:rsidRDefault="00686309" w:rsidP="00B77B0C">
            <w:pPr>
              <w:keepLines/>
              <w:spacing w:before="120" w:after="120"/>
              <w:jc w:val="center"/>
              <w:rPr>
                <w:rFonts w:ascii="Arial" w:hAnsi="Arial" w:cs="Arial"/>
                <w:sz w:val="20"/>
                <w:szCs w:val="20"/>
              </w:rPr>
            </w:pPr>
            <w:r w:rsidRPr="006C163B">
              <w:rPr>
                <w:rFonts w:ascii="Arial" w:hAnsi="Arial" w:cs="Arial"/>
                <w:sz w:val="20"/>
                <w:szCs w:val="20"/>
              </w:rPr>
              <w:t>Madagascar</w:t>
            </w:r>
          </w:p>
        </w:tc>
        <w:tc>
          <w:tcPr>
            <w:tcW w:w="689" w:type="pct"/>
            <w:vAlign w:val="center"/>
            <w:hideMark/>
          </w:tcPr>
          <w:p w14:paraId="58D6FBCE" w14:textId="77777777" w:rsidR="00686309" w:rsidRPr="006C163B" w:rsidRDefault="00686309" w:rsidP="00B77B0C">
            <w:pPr>
              <w:keepLines/>
              <w:spacing w:before="120" w:after="120"/>
              <w:jc w:val="center"/>
              <w:rPr>
                <w:rFonts w:ascii="Arial" w:hAnsi="Arial" w:cs="Arial"/>
                <w:sz w:val="20"/>
                <w:szCs w:val="20"/>
              </w:rPr>
            </w:pPr>
            <w:r w:rsidRPr="006C163B">
              <w:rPr>
                <w:rFonts w:ascii="Arial" w:hAnsi="Arial" w:cs="Arial"/>
                <w:sz w:val="20"/>
                <w:szCs w:val="20"/>
              </w:rPr>
              <w:t>NGO-90147</w:t>
            </w:r>
          </w:p>
        </w:tc>
        <w:tc>
          <w:tcPr>
            <w:tcW w:w="1092" w:type="pct"/>
            <w:vAlign w:val="center"/>
          </w:tcPr>
          <w:p w14:paraId="4A86E6DA" w14:textId="77777777" w:rsidR="00686309" w:rsidRPr="006C163B" w:rsidRDefault="00686309" w:rsidP="00B77B0C">
            <w:pPr>
              <w:keepLines/>
              <w:spacing w:before="120" w:after="120"/>
              <w:rPr>
                <w:rFonts w:ascii="Arial" w:hAnsi="Arial" w:cs="Arial"/>
                <w:sz w:val="20"/>
                <w:szCs w:val="20"/>
              </w:rPr>
            </w:pPr>
            <w:r w:rsidRPr="006C163B">
              <w:rPr>
                <w:rFonts w:ascii="Arial" w:hAnsi="Arial" w:cs="Arial"/>
                <w:sz w:val="20"/>
                <w:szCs w:val="20"/>
              </w:rPr>
              <w:t>Rapport non soumis</w:t>
            </w:r>
          </w:p>
        </w:tc>
      </w:tr>
      <w:tr w:rsidR="00686309" w:rsidRPr="006C163B" w14:paraId="6C7F6054" w14:textId="77777777" w:rsidTr="00B77B0C">
        <w:trPr>
          <w:trHeight w:val="624"/>
        </w:trPr>
        <w:tc>
          <w:tcPr>
            <w:tcW w:w="2492" w:type="pct"/>
            <w:vAlign w:val="center"/>
            <w:hideMark/>
          </w:tcPr>
          <w:p w14:paraId="70D79FE8" w14:textId="77777777" w:rsidR="00686309" w:rsidRPr="006C163B" w:rsidRDefault="00686309" w:rsidP="00B77B0C">
            <w:pPr>
              <w:spacing w:before="120" w:after="120"/>
              <w:rPr>
                <w:rFonts w:ascii="Arial" w:hAnsi="Arial" w:cs="Arial"/>
                <w:sz w:val="20"/>
                <w:szCs w:val="20"/>
                <w:lang w:val="en-GB"/>
              </w:rPr>
            </w:pPr>
            <w:proofErr w:type="spellStart"/>
            <w:r w:rsidRPr="006C163B">
              <w:rPr>
                <w:rFonts w:ascii="Arial" w:hAnsi="Arial" w:cs="Arial"/>
                <w:b/>
                <w:bCs/>
                <w:sz w:val="20"/>
                <w:szCs w:val="20"/>
                <w:lang w:val="en-GB"/>
              </w:rPr>
              <w:t>Sicherung</w:t>
            </w:r>
            <w:proofErr w:type="spellEnd"/>
            <w:r w:rsidRPr="006C163B">
              <w:rPr>
                <w:rFonts w:ascii="Arial" w:hAnsi="Arial" w:cs="Arial"/>
                <w:b/>
                <w:bCs/>
                <w:sz w:val="20"/>
                <w:szCs w:val="20"/>
                <w:lang w:val="en-GB"/>
              </w:rPr>
              <w:t xml:space="preserve"> der </w:t>
            </w:r>
            <w:proofErr w:type="spellStart"/>
            <w:r w:rsidRPr="006C163B">
              <w:rPr>
                <w:rFonts w:ascii="Arial" w:hAnsi="Arial" w:cs="Arial"/>
                <w:b/>
                <w:bCs/>
                <w:sz w:val="20"/>
                <w:szCs w:val="20"/>
                <w:lang w:val="en-GB"/>
              </w:rPr>
              <w:t>landwirtschaftlichen</w:t>
            </w:r>
            <w:proofErr w:type="spellEnd"/>
            <w:r w:rsidRPr="006C163B">
              <w:rPr>
                <w:rFonts w:ascii="Arial" w:hAnsi="Arial" w:cs="Arial"/>
                <w:b/>
                <w:bCs/>
                <w:sz w:val="20"/>
                <w:szCs w:val="20"/>
                <w:lang w:val="en-GB"/>
              </w:rPr>
              <w:t xml:space="preserve"> </w:t>
            </w:r>
            <w:proofErr w:type="spellStart"/>
            <w:r w:rsidRPr="006C163B">
              <w:rPr>
                <w:rFonts w:ascii="Arial" w:hAnsi="Arial" w:cs="Arial"/>
                <w:b/>
                <w:bCs/>
                <w:sz w:val="20"/>
                <w:szCs w:val="20"/>
                <w:lang w:val="en-GB"/>
              </w:rPr>
              <w:t>ArtenVielfalt</w:t>
            </w:r>
            <w:proofErr w:type="spellEnd"/>
            <w:r w:rsidRPr="006C163B">
              <w:rPr>
                <w:rFonts w:ascii="Arial" w:hAnsi="Arial" w:cs="Arial"/>
                <w:b/>
                <w:bCs/>
                <w:sz w:val="20"/>
                <w:szCs w:val="20"/>
                <w:lang w:val="en-GB"/>
              </w:rPr>
              <w:t xml:space="preserve"> in Europa </w:t>
            </w:r>
            <w:r w:rsidRPr="006C163B">
              <w:rPr>
                <w:rFonts w:ascii="Arial" w:hAnsi="Arial" w:cs="Arial"/>
                <w:b/>
                <w:bCs/>
                <w:sz w:val="20"/>
                <w:szCs w:val="20"/>
                <w:lang w:val="en-GB"/>
              </w:rPr>
              <w:br/>
            </w:r>
            <w:r w:rsidRPr="006C163B">
              <w:rPr>
                <w:rFonts w:ascii="Arial" w:hAnsi="Arial" w:cs="Arial"/>
                <w:sz w:val="20"/>
                <w:szCs w:val="20"/>
                <w:lang w:val="en-GB"/>
              </w:rPr>
              <w:t>SAVE Foundation (Safeguard for Agricultural Varieties in Europe) - SAVE Foundation</w:t>
            </w:r>
          </w:p>
        </w:tc>
        <w:tc>
          <w:tcPr>
            <w:tcW w:w="727" w:type="pct"/>
            <w:vAlign w:val="center"/>
          </w:tcPr>
          <w:p w14:paraId="1B1E77C0" w14:textId="67F72561"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Suisse</w:t>
            </w:r>
          </w:p>
        </w:tc>
        <w:tc>
          <w:tcPr>
            <w:tcW w:w="689" w:type="pct"/>
            <w:vAlign w:val="center"/>
            <w:hideMark/>
          </w:tcPr>
          <w:p w14:paraId="7AE4CCF3" w14:textId="77777777" w:rsidR="00686309" w:rsidRPr="006C163B" w:rsidRDefault="00686309" w:rsidP="00B77B0C">
            <w:pPr>
              <w:spacing w:before="120" w:after="120"/>
              <w:jc w:val="center"/>
              <w:rPr>
                <w:rFonts w:ascii="Arial" w:hAnsi="Arial" w:cs="Arial"/>
                <w:sz w:val="20"/>
                <w:szCs w:val="20"/>
              </w:rPr>
            </w:pPr>
            <w:r w:rsidRPr="006C163B">
              <w:rPr>
                <w:rFonts w:ascii="Arial" w:hAnsi="Arial" w:cs="Arial"/>
                <w:sz w:val="20"/>
                <w:szCs w:val="20"/>
              </w:rPr>
              <w:t>NGO-90123</w:t>
            </w:r>
          </w:p>
        </w:tc>
        <w:tc>
          <w:tcPr>
            <w:tcW w:w="1092" w:type="pct"/>
            <w:vAlign w:val="center"/>
          </w:tcPr>
          <w:p w14:paraId="36977C11" w14:textId="77777777" w:rsidR="00686309" w:rsidRPr="006C163B" w:rsidRDefault="00686309" w:rsidP="00B77B0C">
            <w:pPr>
              <w:spacing w:before="120" w:after="120"/>
              <w:rPr>
                <w:rFonts w:ascii="Arial" w:hAnsi="Arial" w:cs="Arial"/>
                <w:sz w:val="20"/>
                <w:szCs w:val="20"/>
              </w:rPr>
            </w:pPr>
            <w:r w:rsidRPr="006C163B">
              <w:rPr>
                <w:rFonts w:ascii="Arial" w:hAnsi="Arial" w:cs="Arial"/>
                <w:sz w:val="20"/>
                <w:szCs w:val="20"/>
              </w:rPr>
              <w:t>Rapport non soumis</w:t>
            </w:r>
          </w:p>
        </w:tc>
      </w:tr>
    </w:tbl>
    <w:p w14:paraId="2409C71E" w14:textId="77777777" w:rsidR="00255503" w:rsidRPr="006C163B" w:rsidRDefault="00255503" w:rsidP="00255503">
      <w:pPr>
        <w:pStyle w:val="COMParaDecision"/>
        <w:spacing w:before="240"/>
        <w:rPr>
          <w:b/>
          <w:bCs/>
          <w:u w:val="none"/>
        </w:rPr>
      </w:pPr>
      <w:r w:rsidRPr="006C163B">
        <w:rPr>
          <w:b/>
          <w:bCs/>
          <w:u w:val="none"/>
        </w:rPr>
        <w:t>Annexe V a) : Organisations non gouvernementales accréditées déclarant un changement de nom</w:t>
      </w:r>
    </w:p>
    <w:tbl>
      <w:tblPr>
        <w:tblStyle w:val="TableGrid"/>
        <w:tblW w:w="5000" w:type="pct"/>
        <w:tblLook w:val="04A0" w:firstRow="1" w:lastRow="0" w:firstColumn="1" w:lastColumn="0" w:noHBand="0" w:noVBand="1"/>
      </w:tblPr>
      <w:tblGrid>
        <w:gridCol w:w="2987"/>
        <w:gridCol w:w="1364"/>
        <w:gridCol w:w="1095"/>
        <w:gridCol w:w="2988"/>
        <w:gridCol w:w="1194"/>
      </w:tblGrid>
      <w:tr w:rsidR="00255503" w:rsidRPr="006C163B" w14:paraId="06D24F0E" w14:textId="77777777" w:rsidTr="00B77B0C">
        <w:tc>
          <w:tcPr>
            <w:tcW w:w="1588" w:type="pct"/>
            <w:shd w:val="clear" w:color="auto" w:fill="73A0DD"/>
            <w:vAlign w:val="center"/>
          </w:tcPr>
          <w:p w14:paraId="26289162"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Nom de l’organisation au moment de l’accréditation</w:t>
            </w:r>
          </w:p>
        </w:tc>
        <w:tc>
          <w:tcPr>
            <w:tcW w:w="745" w:type="pct"/>
            <w:shd w:val="clear" w:color="auto" w:fill="73A0DD"/>
            <w:vAlign w:val="center"/>
          </w:tcPr>
          <w:p w14:paraId="7D5E1B03"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Pays du siège social</w:t>
            </w:r>
          </w:p>
        </w:tc>
        <w:tc>
          <w:tcPr>
            <w:tcW w:w="497" w:type="pct"/>
            <w:shd w:val="clear" w:color="auto" w:fill="73A0DD"/>
            <w:vAlign w:val="center"/>
          </w:tcPr>
          <w:p w14:paraId="1E3F4E0F"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Numéro de demande</w:t>
            </w:r>
          </w:p>
        </w:tc>
        <w:tc>
          <w:tcPr>
            <w:tcW w:w="1588" w:type="pct"/>
            <w:shd w:val="clear" w:color="auto" w:fill="73A0DD"/>
            <w:vAlign w:val="center"/>
          </w:tcPr>
          <w:p w14:paraId="7DA2549C"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Nouveau nom de l’organisation</w:t>
            </w:r>
          </w:p>
        </w:tc>
        <w:tc>
          <w:tcPr>
            <w:tcW w:w="582" w:type="pct"/>
            <w:shd w:val="clear" w:color="auto" w:fill="73A0DD"/>
            <w:vAlign w:val="center"/>
          </w:tcPr>
          <w:p w14:paraId="5794E998"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Document justificatif</w:t>
            </w:r>
          </w:p>
        </w:tc>
      </w:tr>
      <w:tr w:rsidR="00255503" w:rsidRPr="006C163B" w14:paraId="3ACD223F" w14:textId="77777777" w:rsidTr="00B77B0C">
        <w:tc>
          <w:tcPr>
            <w:tcW w:w="1588" w:type="pct"/>
            <w:vAlign w:val="center"/>
          </w:tcPr>
          <w:p w14:paraId="4D2F6F9A" w14:textId="77777777" w:rsidR="00255503" w:rsidRPr="006C163B" w:rsidRDefault="00255503" w:rsidP="00B77B0C">
            <w:pPr>
              <w:pStyle w:val="COMParaDecision"/>
              <w:spacing w:before="120"/>
              <w:jc w:val="left"/>
              <w:rPr>
                <w:sz w:val="20"/>
                <w:szCs w:val="20"/>
                <w:u w:val="none"/>
              </w:rPr>
            </w:pPr>
            <w:r w:rsidRPr="006C163B">
              <w:rPr>
                <w:sz w:val="20"/>
                <w:szCs w:val="20"/>
                <w:u w:val="none"/>
              </w:rPr>
              <w:t>Institut National des Métiers d’Art (INMA) – INMA</w:t>
            </w:r>
          </w:p>
        </w:tc>
        <w:tc>
          <w:tcPr>
            <w:tcW w:w="745" w:type="pct"/>
            <w:vAlign w:val="center"/>
          </w:tcPr>
          <w:p w14:paraId="2FD94488" w14:textId="77777777" w:rsidR="00255503" w:rsidRPr="006C163B" w:rsidRDefault="00255503" w:rsidP="00B77B0C">
            <w:pPr>
              <w:pStyle w:val="COMParaDecision"/>
              <w:spacing w:before="120"/>
              <w:jc w:val="center"/>
              <w:rPr>
                <w:sz w:val="20"/>
                <w:szCs w:val="20"/>
                <w:u w:val="none"/>
              </w:rPr>
            </w:pPr>
            <w:r w:rsidRPr="006C163B">
              <w:rPr>
                <w:sz w:val="20"/>
                <w:szCs w:val="20"/>
                <w:u w:val="none"/>
              </w:rPr>
              <w:t>France</w:t>
            </w:r>
          </w:p>
        </w:tc>
        <w:tc>
          <w:tcPr>
            <w:tcW w:w="497" w:type="pct"/>
            <w:vAlign w:val="center"/>
          </w:tcPr>
          <w:p w14:paraId="3D26EA3A" w14:textId="77777777" w:rsidR="00255503" w:rsidRPr="006C163B" w:rsidRDefault="00255503" w:rsidP="00B77B0C">
            <w:pPr>
              <w:pStyle w:val="COMParaDecision"/>
              <w:spacing w:before="120"/>
              <w:jc w:val="center"/>
              <w:rPr>
                <w:sz w:val="20"/>
                <w:szCs w:val="20"/>
                <w:u w:val="none"/>
              </w:rPr>
            </w:pPr>
            <w:r w:rsidRPr="006C163B">
              <w:rPr>
                <w:sz w:val="20"/>
                <w:szCs w:val="20"/>
                <w:u w:val="none"/>
              </w:rPr>
              <w:t>NGO-90499</w:t>
            </w:r>
          </w:p>
        </w:tc>
        <w:tc>
          <w:tcPr>
            <w:tcW w:w="1588" w:type="pct"/>
            <w:vAlign w:val="center"/>
          </w:tcPr>
          <w:p w14:paraId="18F47E3A" w14:textId="77777777" w:rsidR="00255503" w:rsidRPr="006C163B" w:rsidRDefault="00255503" w:rsidP="00B77B0C">
            <w:pPr>
              <w:pStyle w:val="COMParaDecision"/>
              <w:spacing w:before="120"/>
              <w:jc w:val="left"/>
              <w:rPr>
                <w:b/>
                <w:bCs/>
                <w:sz w:val="20"/>
                <w:szCs w:val="20"/>
                <w:u w:val="none"/>
              </w:rPr>
            </w:pPr>
            <w:r w:rsidRPr="006C163B">
              <w:rPr>
                <w:b/>
                <w:bCs/>
                <w:sz w:val="20"/>
                <w:szCs w:val="20"/>
                <w:u w:val="none"/>
              </w:rPr>
              <w:t>Institut pour les Savoir-Faire Français – IS2F</w:t>
            </w:r>
          </w:p>
        </w:tc>
        <w:tc>
          <w:tcPr>
            <w:tcW w:w="582" w:type="pct"/>
            <w:vAlign w:val="center"/>
          </w:tcPr>
          <w:p w14:paraId="769B31A9" w14:textId="77777777" w:rsidR="00255503" w:rsidRPr="006C163B" w:rsidRDefault="00255503" w:rsidP="00B77B0C">
            <w:pPr>
              <w:pStyle w:val="COMParaDecision"/>
              <w:spacing w:before="120"/>
              <w:jc w:val="center"/>
              <w:rPr>
                <w:sz w:val="20"/>
                <w:szCs w:val="20"/>
                <w:u w:val="none"/>
              </w:rPr>
            </w:pPr>
            <w:hyperlink r:id="rId127" w:history="1">
              <w:r w:rsidRPr="006C163B">
                <w:rPr>
                  <w:rStyle w:val="Hyperlink"/>
                  <w:sz w:val="20"/>
                  <w:szCs w:val="20"/>
                </w:rPr>
                <w:t>Document</w:t>
              </w:r>
            </w:hyperlink>
          </w:p>
        </w:tc>
      </w:tr>
      <w:tr w:rsidR="00255503" w:rsidRPr="006C163B" w14:paraId="30A8D36B" w14:textId="77777777" w:rsidTr="00B77B0C">
        <w:tc>
          <w:tcPr>
            <w:tcW w:w="1588" w:type="pct"/>
            <w:vAlign w:val="center"/>
          </w:tcPr>
          <w:p w14:paraId="6AA79C7B" w14:textId="77777777" w:rsidR="00255503" w:rsidRPr="006C163B" w:rsidRDefault="00255503" w:rsidP="00B77B0C">
            <w:pPr>
              <w:pStyle w:val="COMParaDecision"/>
              <w:spacing w:before="120" w:after="0"/>
              <w:ind w:left="34"/>
              <w:jc w:val="left"/>
              <w:rPr>
                <w:sz w:val="20"/>
                <w:szCs w:val="20"/>
                <w:u w:val="none"/>
                <w:lang w:val="en-GB"/>
              </w:rPr>
            </w:pPr>
            <w:r w:rsidRPr="006C163B">
              <w:rPr>
                <w:sz w:val="20"/>
                <w:szCs w:val="20"/>
                <w:u w:val="none"/>
                <w:lang w:val="en-GB"/>
              </w:rPr>
              <w:t>Korea Cultural Heritage Foundation – CHF</w:t>
            </w:r>
          </w:p>
          <w:p w14:paraId="3B2B1378" w14:textId="77777777" w:rsidR="00255503" w:rsidRPr="006C163B" w:rsidRDefault="00255503" w:rsidP="00B77B0C">
            <w:pPr>
              <w:pStyle w:val="COMParaDecision"/>
              <w:jc w:val="left"/>
              <w:rPr>
                <w:rFonts w:ascii="Batang" w:eastAsia="Batang" w:hAnsi="Batang" w:cs="Batang"/>
                <w:sz w:val="20"/>
                <w:szCs w:val="20"/>
                <w:u w:val="none"/>
                <w:lang w:val="en-GB"/>
              </w:rPr>
            </w:pPr>
            <w:proofErr w:type="spellStart"/>
            <w:proofErr w:type="gramStart"/>
            <w:r w:rsidRPr="006C163B">
              <w:rPr>
                <w:rFonts w:ascii="Batang" w:eastAsia="Batang" w:hAnsi="Batang" w:cs="Batang"/>
                <w:sz w:val="20"/>
                <w:szCs w:val="20"/>
                <w:u w:val="none"/>
              </w:rPr>
              <w:t>한국문화재재단</w:t>
            </w:r>
            <w:proofErr w:type="spellEnd"/>
            <w:proofErr w:type="gramEnd"/>
          </w:p>
        </w:tc>
        <w:tc>
          <w:tcPr>
            <w:tcW w:w="745" w:type="pct"/>
            <w:vAlign w:val="center"/>
          </w:tcPr>
          <w:p w14:paraId="7E96B4F0" w14:textId="77777777" w:rsidR="00255503" w:rsidRPr="006C163B" w:rsidRDefault="00255503" w:rsidP="00B77B0C">
            <w:pPr>
              <w:pStyle w:val="COMParaDecision"/>
              <w:spacing w:before="120"/>
              <w:jc w:val="center"/>
              <w:rPr>
                <w:sz w:val="20"/>
                <w:szCs w:val="20"/>
                <w:u w:val="none"/>
              </w:rPr>
            </w:pPr>
            <w:r w:rsidRPr="006C163B">
              <w:rPr>
                <w:rFonts w:eastAsia="Batang"/>
                <w:sz w:val="20"/>
                <w:szCs w:val="20"/>
                <w:u w:val="none"/>
              </w:rPr>
              <w:t>République de Corée</w:t>
            </w:r>
          </w:p>
        </w:tc>
        <w:tc>
          <w:tcPr>
            <w:tcW w:w="497" w:type="pct"/>
            <w:vAlign w:val="center"/>
          </w:tcPr>
          <w:p w14:paraId="76A84CED" w14:textId="77777777" w:rsidR="00255503" w:rsidRPr="006C163B" w:rsidRDefault="00255503" w:rsidP="00B77B0C">
            <w:pPr>
              <w:pStyle w:val="COMParaDecision"/>
              <w:spacing w:before="120"/>
              <w:jc w:val="center"/>
              <w:rPr>
                <w:rFonts w:eastAsia="Batang"/>
                <w:sz w:val="20"/>
                <w:szCs w:val="20"/>
                <w:u w:val="none"/>
              </w:rPr>
            </w:pPr>
            <w:r w:rsidRPr="006C163B">
              <w:rPr>
                <w:rFonts w:eastAsia="Batang"/>
                <w:sz w:val="20"/>
                <w:szCs w:val="20"/>
                <w:u w:val="none"/>
              </w:rPr>
              <w:t>NGO-90025</w:t>
            </w:r>
          </w:p>
        </w:tc>
        <w:tc>
          <w:tcPr>
            <w:tcW w:w="1588" w:type="pct"/>
            <w:vAlign w:val="center"/>
          </w:tcPr>
          <w:p w14:paraId="319C161C" w14:textId="77777777" w:rsidR="00255503" w:rsidRPr="006C163B" w:rsidRDefault="00255503" w:rsidP="00B77B0C">
            <w:pPr>
              <w:pStyle w:val="COMParaDecision"/>
              <w:spacing w:before="120" w:after="0"/>
              <w:jc w:val="left"/>
              <w:rPr>
                <w:b/>
                <w:bCs/>
                <w:sz w:val="20"/>
                <w:szCs w:val="20"/>
                <w:u w:val="none"/>
              </w:rPr>
            </w:pPr>
            <w:proofErr w:type="spellStart"/>
            <w:r w:rsidRPr="006C163B">
              <w:rPr>
                <w:b/>
                <w:bCs/>
                <w:sz w:val="20"/>
                <w:szCs w:val="20"/>
                <w:u w:val="none"/>
              </w:rPr>
              <w:t>Korea</w:t>
            </w:r>
            <w:proofErr w:type="spellEnd"/>
            <w:r w:rsidRPr="006C163B">
              <w:rPr>
                <w:b/>
                <w:bCs/>
                <w:sz w:val="20"/>
                <w:szCs w:val="20"/>
                <w:u w:val="none"/>
              </w:rPr>
              <w:t xml:space="preserve"> </w:t>
            </w:r>
            <w:proofErr w:type="spellStart"/>
            <w:r w:rsidRPr="006C163B">
              <w:rPr>
                <w:b/>
                <w:bCs/>
                <w:sz w:val="20"/>
                <w:szCs w:val="20"/>
                <w:u w:val="none"/>
              </w:rPr>
              <w:t>Heritage</w:t>
            </w:r>
            <w:proofErr w:type="spellEnd"/>
            <w:r w:rsidRPr="006C163B">
              <w:rPr>
                <w:b/>
                <w:bCs/>
                <w:sz w:val="20"/>
                <w:szCs w:val="20"/>
                <w:u w:val="none"/>
              </w:rPr>
              <w:t xml:space="preserve"> Agency</w:t>
            </w:r>
          </w:p>
          <w:p w14:paraId="4C090D4F" w14:textId="77777777" w:rsidR="00255503" w:rsidRPr="006C163B" w:rsidRDefault="00255503" w:rsidP="00B77B0C">
            <w:pPr>
              <w:pStyle w:val="COMParaDecision"/>
              <w:jc w:val="left"/>
              <w:rPr>
                <w:sz w:val="20"/>
                <w:szCs w:val="20"/>
                <w:u w:val="none"/>
              </w:rPr>
            </w:pPr>
            <w:proofErr w:type="spellStart"/>
            <w:proofErr w:type="gramStart"/>
            <w:r w:rsidRPr="006C163B">
              <w:rPr>
                <w:rFonts w:ascii="Batang" w:eastAsia="Batang" w:hAnsi="Batang" w:cs="Batang"/>
                <w:sz w:val="20"/>
                <w:szCs w:val="20"/>
                <w:u w:val="none"/>
              </w:rPr>
              <w:t>국가유산진흥원</w:t>
            </w:r>
            <w:proofErr w:type="spellEnd"/>
            <w:proofErr w:type="gramEnd"/>
          </w:p>
        </w:tc>
        <w:tc>
          <w:tcPr>
            <w:tcW w:w="582" w:type="pct"/>
            <w:vAlign w:val="center"/>
          </w:tcPr>
          <w:p w14:paraId="12506113" w14:textId="77777777" w:rsidR="00255503" w:rsidRPr="006C163B" w:rsidRDefault="00255503" w:rsidP="00B77B0C">
            <w:pPr>
              <w:pStyle w:val="COMParaDecision"/>
              <w:spacing w:before="120"/>
              <w:jc w:val="center"/>
              <w:rPr>
                <w:sz w:val="20"/>
                <w:szCs w:val="20"/>
                <w:u w:val="none"/>
              </w:rPr>
            </w:pPr>
            <w:hyperlink r:id="rId128" w:history="1">
              <w:r w:rsidRPr="006C163B">
                <w:rPr>
                  <w:rStyle w:val="Hyperlink"/>
                  <w:sz w:val="20"/>
                  <w:szCs w:val="20"/>
                </w:rPr>
                <w:t>Document</w:t>
              </w:r>
            </w:hyperlink>
          </w:p>
        </w:tc>
      </w:tr>
      <w:tr w:rsidR="00255503" w:rsidRPr="006C163B" w14:paraId="74748B56" w14:textId="77777777" w:rsidTr="00B77B0C">
        <w:tc>
          <w:tcPr>
            <w:tcW w:w="1588" w:type="pct"/>
            <w:vAlign w:val="center"/>
          </w:tcPr>
          <w:p w14:paraId="57C38E94" w14:textId="77777777" w:rsidR="00255503" w:rsidRPr="006C163B" w:rsidRDefault="00255503" w:rsidP="00B77B0C">
            <w:pPr>
              <w:pStyle w:val="COMParaDecision"/>
              <w:spacing w:before="120" w:after="0"/>
              <w:ind w:left="30"/>
              <w:jc w:val="left"/>
              <w:rPr>
                <w:sz w:val="20"/>
                <w:szCs w:val="20"/>
                <w:u w:val="none"/>
                <w:lang w:val="en-GB"/>
              </w:rPr>
            </w:pPr>
            <w:r w:rsidRPr="006C163B">
              <w:rPr>
                <w:sz w:val="20"/>
                <w:szCs w:val="20"/>
                <w:u w:val="none"/>
                <w:lang w:val="en-GB"/>
              </w:rPr>
              <w:t xml:space="preserve">Mana </w:t>
            </w:r>
            <w:proofErr w:type="spellStart"/>
            <w:r w:rsidRPr="006C163B">
              <w:rPr>
                <w:sz w:val="20"/>
                <w:szCs w:val="20"/>
                <w:u w:val="none"/>
                <w:lang w:val="en-GB"/>
              </w:rPr>
              <w:t>Naqsh</w:t>
            </w:r>
            <w:proofErr w:type="spellEnd"/>
            <w:r w:rsidRPr="006C163B">
              <w:rPr>
                <w:sz w:val="20"/>
                <w:szCs w:val="20"/>
                <w:u w:val="none"/>
                <w:lang w:val="en-GB"/>
              </w:rPr>
              <w:t xml:space="preserve"> Shahab Art &amp; Culture Institute</w:t>
            </w:r>
          </w:p>
          <w:p w14:paraId="0441B463" w14:textId="77777777" w:rsidR="00255503" w:rsidRPr="006C163B" w:rsidRDefault="00255503" w:rsidP="00B77B0C">
            <w:pPr>
              <w:pStyle w:val="COMParaDecision"/>
              <w:jc w:val="left"/>
              <w:rPr>
                <w:sz w:val="20"/>
                <w:szCs w:val="20"/>
                <w:u w:val="none"/>
                <w:lang w:val="en-GB"/>
              </w:rPr>
            </w:pPr>
            <w:proofErr w:type="spellStart"/>
            <w:proofErr w:type="gramStart"/>
            <w:r w:rsidRPr="006C163B">
              <w:rPr>
                <w:sz w:val="20"/>
                <w:szCs w:val="20"/>
                <w:u w:val="none"/>
              </w:rPr>
              <w:t>مؤسسه</w:t>
            </w:r>
            <w:proofErr w:type="spellEnd"/>
            <w:proofErr w:type="gramEnd"/>
            <w:r w:rsidRPr="006C163B">
              <w:rPr>
                <w:sz w:val="20"/>
                <w:szCs w:val="20"/>
                <w:u w:val="none"/>
                <w:lang w:val="en-GB"/>
              </w:rPr>
              <w:t xml:space="preserve"> </w:t>
            </w:r>
            <w:proofErr w:type="spellStart"/>
            <w:r w:rsidRPr="006C163B">
              <w:rPr>
                <w:sz w:val="20"/>
                <w:szCs w:val="20"/>
                <w:u w:val="none"/>
              </w:rPr>
              <w:t>فرهنگی</w:t>
            </w:r>
            <w:proofErr w:type="spellEnd"/>
            <w:r w:rsidRPr="006C163B">
              <w:rPr>
                <w:sz w:val="20"/>
                <w:szCs w:val="20"/>
                <w:u w:val="none"/>
                <w:lang w:val="en-GB"/>
              </w:rPr>
              <w:t xml:space="preserve"> </w:t>
            </w:r>
            <w:proofErr w:type="spellStart"/>
            <w:r w:rsidRPr="006C163B">
              <w:rPr>
                <w:sz w:val="20"/>
                <w:szCs w:val="20"/>
                <w:u w:val="none"/>
              </w:rPr>
              <w:t>هنری</w:t>
            </w:r>
            <w:proofErr w:type="spellEnd"/>
            <w:r w:rsidRPr="006C163B">
              <w:rPr>
                <w:sz w:val="20"/>
                <w:szCs w:val="20"/>
                <w:u w:val="none"/>
                <w:lang w:val="en-GB"/>
              </w:rPr>
              <w:t xml:space="preserve"> </w:t>
            </w:r>
            <w:proofErr w:type="spellStart"/>
            <w:r w:rsidRPr="006C163B">
              <w:rPr>
                <w:sz w:val="20"/>
                <w:szCs w:val="20"/>
                <w:u w:val="none"/>
              </w:rPr>
              <w:t>مانا</w:t>
            </w:r>
            <w:proofErr w:type="spellEnd"/>
            <w:r w:rsidRPr="006C163B">
              <w:rPr>
                <w:sz w:val="20"/>
                <w:szCs w:val="20"/>
                <w:u w:val="none"/>
                <w:lang w:val="en-GB"/>
              </w:rPr>
              <w:t xml:space="preserve"> </w:t>
            </w:r>
            <w:proofErr w:type="spellStart"/>
            <w:r w:rsidRPr="006C163B">
              <w:rPr>
                <w:sz w:val="20"/>
                <w:szCs w:val="20"/>
                <w:u w:val="none"/>
              </w:rPr>
              <w:t>نقش</w:t>
            </w:r>
            <w:proofErr w:type="spellEnd"/>
            <w:r w:rsidRPr="006C163B">
              <w:rPr>
                <w:sz w:val="20"/>
                <w:szCs w:val="20"/>
                <w:u w:val="none"/>
                <w:lang w:val="en-GB"/>
              </w:rPr>
              <w:t xml:space="preserve"> </w:t>
            </w:r>
            <w:proofErr w:type="spellStart"/>
            <w:r w:rsidRPr="006C163B">
              <w:rPr>
                <w:sz w:val="20"/>
                <w:szCs w:val="20"/>
                <w:u w:val="none"/>
              </w:rPr>
              <w:t>شهاب</w:t>
            </w:r>
            <w:proofErr w:type="spellEnd"/>
            <w:r w:rsidRPr="006C163B">
              <w:rPr>
                <w:sz w:val="20"/>
                <w:szCs w:val="20"/>
                <w:u w:val="none"/>
                <w:lang w:val="en-GB"/>
              </w:rPr>
              <w:t xml:space="preserve"> </w:t>
            </w:r>
          </w:p>
        </w:tc>
        <w:tc>
          <w:tcPr>
            <w:tcW w:w="745" w:type="pct"/>
            <w:vAlign w:val="center"/>
          </w:tcPr>
          <w:p w14:paraId="67B1EDAA" w14:textId="77777777" w:rsidR="00255503" w:rsidRPr="006C163B" w:rsidRDefault="00255503" w:rsidP="00B77B0C">
            <w:pPr>
              <w:pStyle w:val="COMParaDecision"/>
              <w:spacing w:before="120"/>
              <w:jc w:val="center"/>
              <w:rPr>
                <w:sz w:val="20"/>
                <w:szCs w:val="20"/>
                <w:u w:val="none"/>
              </w:rPr>
            </w:pPr>
            <w:r w:rsidRPr="006C163B">
              <w:rPr>
                <w:sz w:val="20"/>
                <w:szCs w:val="20"/>
                <w:u w:val="none"/>
              </w:rPr>
              <w:t>Iran (République islamique d’)</w:t>
            </w:r>
          </w:p>
        </w:tc>
        <w:tc>
          <w:tcPr>
            <w:tcW w:w="497" w:type="pct"/>
            <w:vAlign w:val="center"/>
          </w:tcPr>
          <w:p w14:paraId="2FF77956" w14:textId="77777777" w:rsidR="00255503" w:rsidRPr="006C163B" w:rsidRDefault="00255503" w:rsidP="00B77B0C">
            <w:pPr>
              <w:pStyle w:val="COMParaDecision"/>
              <w:spacing w:before="120"/>
              <w:jc w:val="center"/>
              <w:rPr>
                <w:sz w:val="20"/>
                <w:szCs w:val="20"/>
                <w:u w:val="none"/>
              </w:rPr>
            </w:pPr>
            <w:r w:rsidRPr="006C163B">
              <w:rPr>
                <w:sz w:val="20"/>
                <w:szCs w:val="20"/>
                <w:u w:val="none"/>
              </w:rPr>
              <w:t>NGO-90551</w:t>
            </w:r>
          </w:p>
        </w:tc>
        <w:tc>
          <w:tcPr>
            <w:tcW w:w="1588" w:type="pct"/>
            <w:vAlign w:val="center"/>
          </w:tcPr>
          <w:p w14:paraId="4AAE11EC" w14:textId="77777777" w:rsidR="00260B0E" w:rsidRPr="001E17AF" w:rsidRDefault="00260B0E" w:rsidP="00260B0E">
            <w:pPr>
              <w:pStyle w:val="COMParaDecision"/>
              <w:spacing w:before="120"/>
              <w:rPr>
                <w:b/>
                <w:bCs/>
                <w:sz w:val="20"/>
                <w:szCs w:val="20"/>
                <w:u w:val="none"/>
                <w:lang w:val="en-GB"/>
              </w:rPr>
            </w:pPr>
            <w:r w:rsidRPr="009D2C70">
              <w:rPr>
                <w:b/>
                <w:bCs/>
                <w:sz w:val="20"/>
                <w:szCs w:val="20"/>
                <w:u w:val="none"/>
                <w:lang w:val="en-GB"/>
              </w:rPr>
              <w:t xml:space="preserve">Mana </w:t>
            </w:r>
            <w:proofErr w:type="spellStart"/>
            <w:r w:rsidRPr="009D2C70">
              <w:rPr>
                <w:b/>
                <w:bCs/>
                <w:sz w:val="20"/>
                <w:szCs w:val="20"/>
                <w:u w:val="none"/>
                <w:lang w:val="en-GB"/>
              </w:rPr>
              <w:t>Naqsh</w:t>
            </w:r>
            <w:proofErr w:type="spellEnd"/>
            <w:r w:rsidRPr="009D2C70">
              <w:rPr>
                <w:b/>
                <w:bCs/>
                <w:sz w:val="20"/>
                <w:szCs w:val="20"/>
                <w:u w:val="none"/>
                <w:lang w:val="en-GB"/>
              </w:rPr>
              <w:t xml:space="preserve"> Heritage Institute for Culture and Art</w:t>
            </w:r>
          </w:p>
          <w:p w14:paraId="682F176A" w14:textId="77777777" w:rsidR="00255503" w:rsidRPr="000802E3" w:rsidRDefault="00255503" w:rsidP="00B77B0C">
            <w:pPr>
              <w:pStyle w:val="COMParaDecision"/>
              <w:jc w:val="left"/>
              <w:rPr>
                <w:sz w:val="20"/>
                <w:szCs w:val="20"/>
                <w:u w:val="none"/>
                <w:lang w:val="en-GB"/>
              </w:rPr>
            </w:pPr>
            <w:proofErr w:type="spellStart"/>
            <w:proofErr w:type="gramStart"/>
            <w:r w:rsidRPr="006C163B">
              <w:rPr>
                <w:sz w:val="20"/>
                <w:szCs w:val="20"/>
                <w:u w:val="none"/>
              </w:rPr>
              <w:t>مؤسسه</w:t>
            </w:r>
            <w:proofErr w:type="spellEnd"/>
            <w:proofErr w:type="gramEnd"/>
            <w:r w:rsidRPr="00747516">
              <w:rPr>
                <w:sz w:val="20"/>
                <w:szCs w:val="20"/>
                <w:u w:val="none"/>
                <w:lang w:val="en-GB"/>
              </w:rPr>
              <w:t xml:space="preserve"> </w:t>
            </w:r>
            <w:proofErr w:type="spellStart"/>
            <w:r w:rsidRPr="006C163B">
              <w:rPr>
                <w:sz w:val="20"/>
                <w:szCs w:val="20"/>
                <w:u w:val="none"/>
              </w:rPr>
              <w:t>فرهنگی</w:t>
            </w:r>
            <w:proofErr w:type="spellEnd"/>
            <w:r w:rsidRPr="000802E3">
              <w:rPr>
                <w:sz w:val="20"/>
                <w:szCs w:val="20"/>
                <w:u w:val="none"/>
                <w:lang w:val="en-GB"/>
              </w:rPr>
              <w:t xml:space="preserve"> </w:t>
            </w:r>
            <w:proofErr w:type="spellStart"/>
            <w:r w:rsidRPr="006C163B">
              <w:rPr>
                <w:sz w:val="20"/>
                <w:szCs w:val="20"/>
                <w:u w:val="none"/>
              </w:rPr>
              <w:t>هنری</w:t>
            </w:r>
            <w:proofErr w:type="spellEnd"/>
            <w:r w:rsidRPr="000802E3">
              <w:rPr>
                <w:sz w:val="20"/>
                <w:szCs w:val="20"/>
                <w:u w:val="none"/>
                <w:lang w:val="en-GB"/>
              </w:rPr>
              <w:t xml:space="preserve"> </w:t>
            </w:r>
            <w:proofErr w:type="spellStart"/>
            <w:r w:rsidRPr="006C163B">
              <w:rPr>
                <w:sz w:val="20"/>
                <w:szCs w:val="20"/>
                <w:u w:val="none"/>
              </w:rPr>
              <w:t>میراث</w:t>
            </w:r>
            <w:proofErr w:type="spellEnd"/>
            <w:r w:rsidRPr="000802E3">
              <w:rPr>
                <w:sz w:val="20"/>
                <w:szCs w:val="20"/>
                <w:u w:val="none"/>
                <w:lang w:val="en-GB"/>
              </w:rPr>
              <w:t xml:space="preserve"> </w:t>
            </w:r>
            <w:proofErr w:type="spellStart"/>
            <w:r w:rsidRPr="006C163B">
              <w:rPr>
                <w:sz w:val="20"/>
                <w:szCs w:val="20"/>
                <w:u w:val="none"/>
              </w:rPr>
              <w:t>مانا</w:t>
            </w:r>
            <w:proofErr w:type="spellEnd"/>
            <w:r w:rsidRPr="000802E3">
              <w:rPr>
                <w:sz w:val="20"/>
                <w:szCs w:val="20"/>
                <w:u w:val="none"/>
                <w:lang w:val="en-GB"/>
              </w:rPr>
              <w:t xml:space="preserve"> </w:t>
            </w:r>
            <w:proofErr w:type="spellStart"/>
            <w:r w:rsidRPr="006C163B">
              <w:rPr>
                <w:sz w:val="20"/>
                <w:szCs w:val="20"/>
                <w:u w:val="none"/>
              </w:rPr>
              <w:t>نقش</w:t>
            </w:r>
            <w:proofErr w:type="spellEnd"/>
          </w:p>
        </w:tc>
        <w:tc>
          <w:tcPr>
            <w:tcW w:w="582" w:type="pct"/>
            <w:vAlign w:val="center"/>
          </w:tcPr>
          <w:p w14:paraId="71A2250E" w14:textId="77777777" w:rsidR="00255503" w:rsidRPr="006C163B" w:rsidRDefault="00255503" w:rsidP="00B77B0C">
            <w:pPr>
              <w:pStyle w:val="COMParaDecision"/>
              <w:spacing w:before="120"/>
              <w:jc w:val="center"/>
              <w:rPr>
                <w:sz w:val="20"/>
                <w:szCs w:val="20"/>
                <w:u w:val="none"/>
              </w:rPr>
            </w:pPr>
            <w:hyperlink r:id="rId129" w:history="1">
              <w:r w:rsidRPr="006C163B">
                <w:rPr>
                  <w:rStyle w:val="Hyperlink"/>
                  <w:sz w:val="20"/>
                  <w:szCs w:val="20"/>
                </w:rPr>
                <w:t>Document</w:t>
              </w:r>
            </w:hyperlink>
          </w:p>
        </w:tc>
      </w:tr>
      <w:tr w:rsidR="00255503" w:rsidRPr="006C163B" w14:paraId="24F72B36" w14:textId="77777777" w:rsidTr="00B77B0C">
        <w:tc>
          <w:tcPr>
            <w:tcW w:w="1588" w:type="pct"/>
            <w:vAlign w:val="center"/>
          </w:tcPr>
          <w:p w14:paraId="361248D2" w14:textId="77777777" w:rsidR="00255503" w:rsidRPr="006C163B" w:rsidRDefault="00255503" w:rsidP="00B77B0C">
            <w:pPr>
              <w:pStyle w:val="COMParaDecision"/>
              <w:spacing w:before="120" w:after="0"/>
              <w:ind w:left="30"/>
              <w:jc w:val="left"/>
              <w:rPr>
                <w:sz w:val="20"/>
                <w:szCs w:val="20"/>
                <w:u w:val="none"/>
                <w:lang w:val="en-GB"/>
              </w:rPr>
            </w:pPr>
            <w:r w:rsidRPr="006C163B">
              <w:rPr>
                <w:sz w:val="20"/>
                <w:szCs w:val="20"/>
                <w:u w:val="none"/>
                <w:lang w:val="en-GB"/>
              </w:rPr>
              <w:t>Syria Trust for Development</w:t>
            </w:r>
          </w:p>
          <w:p w14:paraId="76806D63" w14:textId="77777777" w:rsidR="00255503" w:rsidRPr="006C163B" w:rsidRDefault="00255503" w:rsidP="00B77B0C">
            <w:pPr>
              <w:pStyle w:val="COMParaDecision"/>
              <w:ind w:left="28"/>
              <w:jc w:val="left"/>
              <w:rPr>
                <w:sz w:val="20"/>
                <w:szCs w:val="20"/>
                <w:u w:val="none"/>
                <w:lang w:val="en-GB"/>
              </w:rPr>
            </w:pPr>
            <w:r w:rsidRPr="006C163B">
              <w:rPr>
                <w:sz w:val="20"/>
                <w:szCs w:val="20"/>
                <w:u w:val="none"/>
                <w:rtl/>
              </w:rPr>
              <w:t>لأمانة السورية للتنمية</w:t>
            </w:r>
          </w:p>
        </w:tc>
        <w:tc>
          <w:tcPr>
            <w:tcW w:w="745" w:type="pct"/>
            <w:vAlign w:val="center"/>
          </w:tcPr>
          <w:p w14:paraId="37F16BA5" w14:textId="77777777" w:rsidR="00255503" w:rsidRPr="006C163B" w:rsidRDefault="00255503" w:rsidP="00B77B0C">
            <w:pPr>
              <w:pStyle w:val="COMParaDecision"/>
              <w:spacing w:before="120"/>
              <w:jc w:val="center"/>
              <w:rPr>
                <w:sz w:val="20"/>
                <w:szCs w:val="20"/>
                <w:u w:val="none"/>
              </w:rPr>
            </w:pPr>
            <w:r w:rsidRPr="006C163B">
              <w:rPr>
                <w:sz w:val="20"/>
                <w:szCs w:val="20"/>
                <w:u w:val="none"/>
              </w:rPr>
              <w:t>République arabe syrienne</w:t>
            </w:r>
          </w:p>
        </w:tc>
        <w:tc>
          <w:tcPr>
            <w:tcW w:w="497" w:type="pct"/>
            <w:vAlign w:val="center"/>
          </w:tcPr>
          <w:p w14:paraId="43BB7C5F" w14:textId="77777777" w:rsidR="00255503" w:rsidRPr="006C163B" w:rsidRDefault="00255503" w:rsidP="00B77B0C">
            <w:pPr>
              <w:pStyle w:val="COMParaDecision"/>
              <w:spacing w:before="120"/>
              <w:jc w:val="center"/>
              <w:rPr>
                <w:sz w:val="20"/>
                <w:szCs w:val="20"/>
                <w:u w:val="none"/>
              </w:rPr>
            </w:pPr>
            <w:r w:rsidRPr="006C163B">
              <w:rPr>
                <w:sz w:val="20"/>
                <w:szCs w:val="20"/>
                <w:u w:val="none"/>
              </w:rPr>
              <w:t>NGO-90251</w:t>
            </w:r>
          </w:p>
        </w:tc>
        <w:tc>
          <w:tcPr>
            <w:tcW w:w="1588" w:type="pct"/>
            <w:vAlign w:val="center"/>
          </w:tcPr>
          <w:p w14:paraId="0A9F23C7" w14:textId="77777777" w:rsidR="00255503" w:rsidRPr="006C163B" w:rsidRDefault="00255503" w:rsidP="00B77B0C">
            <w:pPr>
              <w:pStyle w:val="COMParaDecision"/>
              <w:spacing w:before="120" w:after="0"/>
              <w:jc w:val="left"/>
              <w:rPr>
                <w:b/>
                <w:bCs/>
                <w:sz w:val="20"/>
                <w:szCs w:val="20"/>
                <w:u w:val="none"/>
                <w:lang w:val="en-GB"/>
              </w:rPr>
            </w:pPr>
            <w:r w:rsidRPr="006C163B">
              <w:rPr>
                <w:b/>
                <w:bCs/>
                <w:sz w:val="20"/>
                <w:szCs w:val="20"/>
                <w:u w:val="none"/>
                <w:lang w:val="en-GB"/>
              </w:rPr>
              <w:t>Syrian Development Organization</w:t>
            </w:r>
          </w:p>
          <w:p w14:paraId="162C45EA" w14:textId="77777777" w:rsidR="00255503" w:rsidRPr="006C163B" w:rsidRDefault="00255503" w:rsidP="00B77B0C">
            <w:pPr>
              <w:pStyle w:val="COMParaDecision"/>
              <w:jc w:val="left"/>
              <w:rPr>
                <w:sz w:val="20"/>
                <w:szCs w:val="20"/>
                <w:u w:val="none"/>
                <w:lang w:val="en-GB"/>
              </w:rPr>
            </w:pPr>
            <w:r w:rsidRPr="006C163B">
              <w:rPr>
                <w:sz w:val="20"/>
                <w:szCs w:val="20"/>
                <w:u w:val="none"/>
                <w:rtl/>
              </w:rPr>
              <w:t>منظمة التنمية السورية</w:t>
            </w:r>
          </w:p>
        </w:tc>
        <w:tc>
          <w:tcPr>
            <w:tcW w:w="582" w:type="pct"/>
            <w:vAlign w:val="center"/>
          </w:tcPr>
          <w:p w14:paraId="3B82D376" w14:textId="77777777" w:rsidR="00255503" w:rsidRPr="006C163B" w:rsidRDefault="00255503" w:rsidP="00B77B0C">
            <w:pPr>
              <w:pStyle w:val="COMParaDecision"/>
              <w:spacing w:before="120"/>
              <w:jc w:val="center"/>
              <w:rPr>
                <w:sz w:val="20"/>
                <w:szCs w:val="20"/>
                <w:u w:val="none"/>
              </w:rPr>
            </w:pPr>
            <w:hyperlink r:id="rId130" w:history="1">
              <w:r w:rsidRPr="006C163B">
                <w:rPr>
                  <w:rStyle w:val="Hyperlink"/>
                  <w:sz w:val="20"/>
                  <w:szCs w:val="20"/>
                </w:rPr>
                <w:t>Document</w:t>
              </w:r>
            </w:hyperlink>
          </w:p>
        </w:tc>
      </w:tr>
    </w:tbl>
    <w:p w14:paraId="39418C30" w14:textId="77777777" w:rsidR="00255503" w:rsidRPr="006C163B" w:rsidRDefault="00255503" w:rsidP="00255503">
      <w:pPr>
        <w:pStyle w:val="COMParaDecision"/>
        <w:keepNext/>
        <w:spacing w:before="360"/>
        <w:ind w:left="-142" w:firstLine="142"/>
        <w:rPr>
          <w:b/>
          <w:bCs/>
          <w:u w:val="none"/>
        </w:rPr>
      </w:pPr>
      <w:r w:rsidRPr="006C163B">
        <w:rPr>
          <w:b/>
          <w:bCs/>
          <w:u w:val="none"/>
        </w:rPr>
        <w:t xml:space="preserve">Annexe V b) : Organisations non gouvernementales accréditées déclarant un changement de siège </w:t>
      </w:r>
    </w:p>
    <w:tbl>
      <w:tblPr>
        <w:tblStyle w:val="TableGrid"/>
        <w:tblW w:w="5000" w:type="pct"/>
        <w:tblLook w:val="04A0" w:firstRow="1" w:lastRow="0" w:firstColumn="1" w:lastColumn="0" w:noHBand="0" w:noVBand="1"/>
      </w:tblPr>
      <w:tblGrid>
        <w:gridCol w:w="3342"/>
        <w:gridCol w:w="1997"/>
        <w:gridCol w:w="1150"/>
        <w:gridCol w:w="3139"/>
      </w:tblGrid>
      <w:tr w:rsidR="00255503" w:rsidRPr="006C163B" w14:paraId="4AE5B7CE" w14:textId="77777777" w:rsidTr="00B77B0C">
        <w:tc>
          <w:tcPr>
            <w:tcW w:w="1736" w:type="pct"/>
            <w:shd w:val="clear" w:color="auto" w:fill="73A0DD"/>
            <w:vAlign w:val="center"/>
          </w:tcPr>
          <w:p w14:paraId="22ABD18D"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Nom de l’organisation</w:t>
            </w:r>
          </w:p>
        </w:tc>
        <w:tc>
          <w:tcPr>
            <w:tcW w:w="1037" w:type="pct"/>
            <w:shd w:val="clear" w:color="auto" w:fill="73A0DD"/>
            <w:vAlign w:val="center"/>
          </w:tcPr>
          <w:p w14:paraId="3492C5F8"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Pays du siège social actuel</w:t>
            </w:r>
          </w:p>
        </w:tc>
        <w:tc>
          <w:tcPr>
            <w:tcW w:w="597" w:type="pct"/>
            <w:shd w:val="clear" w:color="auto" w:fill="73A0DD"/>
            <w:vAlign w:val="center"/>
          </w:tcPr>
          <w:p w14:paraId="7DC19A53"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Numéro de demande</w:t>
            </w:r>
          </w:p>
        </w:tc>
        <w:tc>
          <w:tcPr>
            <w:tcW w:w="1630" w:type="pct"/>
            <w:shd w:val="clear" w:color="auto" w:fill="73A0DD"/>
            <w:vAlign w:val="center"/>
          </w:tcPr>
          <w:p w14:paraId="074A5D30" w14:textId="77777777" w:rsidR="00255503" w:rsidRPr="006C163B" w:rsidRDefault="00255503" w:rsidP="00B77B0C">
            <w:pPr>
              <w:pStyle w:val="COMParaDecision"/>
              <w:spacing w:before="120"/>
              <w:jc w:val="center"/>
              <w:rPr>
                <w:b/>
                <w:bCs/>
                <w:sz w:val="20"/>
                <w:szCs w:val="20"/>
                <w:u w:val="none"/>
              </w:rPr>
            </w:pPr>
            <w:r w:rsidRPr="006C163B">
              <w:rPr>
                <w:b/>
                <w:bCs/>
                <w:sz w:val="20"/>
                <w:szCs w:val="20"/>
                <w:u w:val="none"/>
              </w:rPr>
              <w:t>Nouveau pays du siège social</w:t>
            </w:r>
          </w:p>
        </w:tc>
      </w:tr>
      <w:tr w:rsidR="00255503" w:rsidRPr="006C163B" w14:paraId="537C4E49" w14:textId="77777777" w:rsidTr="00B77B0C">
        <w:tc>
          <w:tcPr>
            <w:tcW w:w="1736" w:type="pct"/>
            <w:vAlign w:val="center"/>
          </w:tcPr>
          <w:p w14:paraId="69C92A9B" w14:textId="77777777" w:rsidR="00255503" w:rsidRPr="006C163B" w:rsidRDefault="00255503" w:rsidP="00B77B0C">
            <w:pPr>
              <w:pStyle w:val="COMParaDecision"/>
              <w:spacing w:before="120"/>
              <w:jc w:val="left"/>
              <w:rPr>
                <w:sz w:val="20"/>
                <w:szCs w:val="20"/>
                <w:u w:val="none"/>
                <w:lang w:val="en-GB"/>
              </w:rPr>
            </w:pPr>
            <w:r w:rsidRPr="006C163B">
              <w:rPr>
                <w:sz w:val="20"/>
                <w:szCs w:val="20"/>
                <w:u w:val="none"/>
                <w:lang w:val="en-GB"/>
              </w:rPr>
              <w:t>Inter-City Intangible Cultural Cooperation Network (ICCN) – ICCN</w:t>
            </w:r>
          </w:p>
        </w:tc>
        <w:tc>
          <w:tcPr>
            <w:tcW w:w="1037" w:type="pct"/>
            <w:vAlign w:val="center"/>
          </w:tcPr>
          <w:p w14:paraId="6574752A" w14:textId="77777777" w:rsidR="00255503" w:rsidRPr="006C163B" w:rsidRDefault="00255503" w:rsidP="00B77B0C">
            <w:pPr>
              <w:pStyle w:val="COMParaDecision"/>
              <w:spacing w:before="120"/>
              <w:jc w:val="center"/>
              <w:rPr>
                <w:sz w:val="20"/>
                <w:szCs w:val="20"/>
                <w:u w:val="none"/>
              </w:rPr>
            </w:pPr>
            <w:r w:rsidRPr="006C163B">
              <w:rPr>
                <w:sz w:val="20"/>
                <w:szCs w:val="20"/>
                <w:u w:val="none"/>
              </w:rPr>
              <w:t>Espagne</w:t>
            </w:r>
          </w:p>
        </w:tc>
        <w:tc>
          <w:tcPr>
            <w:tcW w:w="597" w:type="pct"/>
            <w:vAlign w:val="center"/>
          </w:tcPr>
          <w:p w14:paraId="3FBFCBF0" w14:textId="77777777" w:rsidR="00255503" w:rsidRPr="006C163B" w:rsidRDefault="00255503" w:rsidP="00B77B0C">
            <w:pPr>
              <w:pStyle w:val="COMParaDecision"/>
              <w:spacing w:before="120"/>
              <w:jc w:val="center"/>
              <w:rPr>
                <w:sz w:val="20"/>
                <w:szCs w:val="20"/>
                <w:u w:val="none"/>
              </w:rPr>
            </w:pPr>
            <w:r w:rsidRPr="006C163B">
              <w:rPr>
                <w:sz w:val="20"/>
                <w:szCs w:val="20"/>
                <w:u w:val="none"/>
              </w:rPr>
              <w:t>NGO-90228</w:t>
            </w:r>
          </w:p>
        </w:tc>
        <w:tc>
          <w:tcPr>
            <w:tcW w:w="1630" w:type="pct"/>
            <w:vAlign w:val="center"/>
          </w:tcPr>
          <w:p w14:paraId="3BFF7D72" w14:textId="77777777" w:rsidR="00255503" w:rsidRPr="006C163B" w:rsidRDefault="00255503" w:rsidP="00B77B0C">
            <w:pPr>
              <w:pStyle w:val="COMParaDecision"/>
              <w:spacing w:before="120"/>
              <w:jc w:val="center"/>
              <w:rPr>
                <w:sz w:val="20"/>
                <w:szCs w:val="20"/>
                <w:u w:val="none"/>
              </w:rPr>
            </w:pPr>
            <w:r w:rsidRPr="006C163B">
              <w:rPr>
                <w:sz w:val="20"/>
                <w:szCs w:val="20"/>
                <w:u w:val="none"/>
              </w:rPr>
              <w:t>Siège régulièrement déplacé dans un lieu différent selon un système de rotation</w:t>
            </w:r>
          </w:p>
        </w:tc>
      </w:tr>
      <w:tr w:rsidR="00255503" w:rsidRPr="00215043" w14:paraId="5856B9A0" w14:textId="77777777" w:rsidTr="00B77B0C">
        <w:tc>
          <w:tcPr>
            <w:tcW w:w="1736" w:type="pct"/>
            <w:vAlign w:val="center"/>
          </w:tcPr>
          <w:p w14:paraId="62D4387C" w14:textId="77777777" w:rsidR="00255503" w:rsidRPr="006C163B" w:rsidRDefault="00255503" w:rsidP="00B77B0C">
            <w:pPr>
              <w:pStyle w:val="COMParaDecision"/>
              <w:spacing w:before="120"/>
              <w:jc w:val="left"/>
              <w:rPr>
                <w:sz w:val="20"/>
                <w:szCs w:val="20"/>
                <w:u w:val="none"/>
              </w:rPr>
            </w:pPr>
            <w:r w:rsidRPr="006C163B">
              <w:rPr>
                <w:sz w:val="20"/>
                <w:szCs w:val="20"/>
                <w:u w:val="none"/>
              </w:rPr>
              <w:t xml:space="preserve">World </w:t>
            </w:r>
            <w:proofErr w:type="spellStart"/>
            <w:r w:rsidRPr="006C163B">
              <w:rPr>
                <w:sz w:val="20"/>
                <w:szCs w:val="20"/>
                <w:u w:val="none"/>
              </w:rPr>
              <w:t>Crafts</w:t>
            </w:r>
            <w:proofErr w:type="spellEnd"/>
            <w:r w:rsidRPr="006C163B">
              <w:rPr>
                <w:sz w:val="20"/>
                <w:szCs w:val="20"/>
                <w:u w:val="none"/>
              </w:rPr>
              <w:t xml:space="preserve"> Council AISBL</w:t>
            </w:r>
          </w:p>
        </w:tc>
        <w:tc>
          <w:tcPr>
            <w:tcW w:w="1037" w:type="pct"/>
            <w:vAlign w:val="center"/>
          </w:tcPr>
          <w:p w14:paraId="0287D174" w14:textId="77777777" w:rsidR="00255503" w:rsidRPr="006C163B" w:rsidRDefault="00255503" w:rsidP="00B77B0C">
            <w:pPr>
              <w:pStyle w:val="COMParaDecision"/>
              <w:spacing w:before="120"/>
              <w:jc w:val="center"/>
              <w:rPr>
                <w:sz w:val="20"/>
                <w:szCs w:val="20"/>
                <w:u w:val="none"/>
              </w:rPr>
            </w:pPr>
            <w:r w:rsidRPr="006C163B">
              <w:rPr>
                <w:sz w:val="20"/>
                <w:szCs w:val="20"/>
                <w:u w:val="none"/>
              </w:rPr>
              <w:t>Royaume-Uni de Grande-Bretagne et d’Irlande du Nord</w:t>
            </w:r>
          </w:p>
        </w:tc>
        <w:tc>
          <w:tcPr>
            <w:tcW w:w="597" w:type="pct"/>
            <w:vAlign w:val="center"/>
          </w:tcPr>
          <w:p w14:paraId="2F7B11E7" w14:textId="77777777" w:rsidR="00255503" w:rsidRPr="006C163B" w:rsidRDefault="00255503" w:rsidP="00B77B0C">
            <w:pPr>
              <w:pStyle w:val="COMParaDecision"/>
              <w:spacing w:before="120"/>
              <w:jc w:val="center"/>
              <w:rPr>
                <w:sz w:val="20"/>
                <w:szCs w:val="20"/>
                <w:u w:val="none"/>
              </w:rPr>
            </w:pPr>
            <w:r w:rsidRPr="006C163B">
              <w:rPr>
                <w:sz w:val="20"/>
                <w:szCs w:val="20"/>
                <w:u w:val="none"/>
              </w:rPr>
              <w:t>NGO-90435</w:t>
            </w:r>
          </w:p>
        </w:tc>
        <w:tc>
          <w:tcPr>
            <w:tcW w:w="1630" w:type="pct"/>
            <w:vAlign w:val="center"/>
          </w:tcPr>
          <w:p w14:paraId="1F6A9EB1" w14:textId="77777777" w:rsidR="00255503" w:rsidRPr="00215043" w:rsidRDefault="00255503" w:rsidP="00B77B0C">
            <w:pPr>
              <w:pStyle w:val="COMParaDecision"/>
              <w:spacing w:before="120"/>
              <w:jc w:val="center"/>
              <w:rPr>
                <w:sz w:val="20"/>
                <w:szCs w:val="20"/>
                <w:u w:val="none"/>
              </w:rPr>
            </w:pPr>
            <w:r w:rsidRPr="006C163B">
              <w:rPr>
                <w:sz w:val="20"/>
                <w:szCs w:val="20"/>
                <w:u w:val="none"/>
              </w:rPr>
              <w:t>Siège régulièrement déplacé dans un lieu différent selon un système de rotation</w:t>
            </w:r>
          </w:p>
        </w:tc>
      </w:tr>
    </w:tbl>
    <w:p w14:paraId="1F458E48" w14:textId="647EE62F" w:rsidR="00691945" w:rsidRPr="007B56B1" w:rsidRDefault="00691945" w:rsidP="00CD2C76">
      <w:pPr>
        <w:pStyle w:val="COMTitleDecision"/>
        <w:keepNext/>
      </w:pPr>
      <w:r w:rsidRPr="007B56B1">
        <w:t>DÉCISION 20.COM 17</w:t>
      </w:r>
    </w:p>
    <w:p w14:paraId="4A7017D4" w14:textId="77777777" w:rsidR="00691945" w:rsidRPr="007B56B1" w:rsidRDefault="00691945" w:rsidP="00691945">
      <w:pPr>
        <w:pStyle w:val="COMPreambulaDecisions"/>
        <w:ind w:left="0"/>
        <w:rPr>
          <w:rFonts w:eastAsia="SimSun"/>
        </w:rPr>
      </w:pPr>
      <w:r w:rsidRPr="007B56B1">
        <w:t>Le Comité,</w:t>
      </w:r>
    </w:p>
    <w:p w14:paraId="494EF848" w14:textId="4D07B3D5" w:rsidR="00691945" w:rsidRPr="007B56B1" w:rsidRDefault="00691945" w:rsidP="00691945">
      <w:pPr>
        <w:pStyle w:val="COMParaDecision"/>
        <w:keepNext/>
        <w:numPr>
          <w:ilvl w:val="0"/>
          <w:numId w:val="18"/>
        </w:numPr>
        <w:ind w:left="567" w:hanging="567"/>
      </w:pPr>
      <w:r w:rsidRPr="007B56B1">
        <w:t>Ayant examiné</w:t>
      </w:r>
      <w:r w:rsidRPr="007B56B1">
        <w:rPr>
          <w:u w:val="none"/>
        </w:rPr>
        <w:t xml:space="preserve"> le </w:t>
      </w:r>
      <w:r w:rsidRPr="0044005C">
        <w:rPr>
          <w:u w:val="none"/>
        </w:rPr>
        <w:t xml:space="preserve">document </w:t>
      </w:r>
      <w:hyperlink r:id="rId131" w:history="1">
        <w:r w:rsidRPr="0044005C">
          <w:rPr>
            <w:rStyle w:val="Hyperlink"/>
          </w:rPr>
          <w:t>LHE/25/20.COM/17 Rev</w:t>
        </w:r>
        <w:r w:rsidR="0044005C" w:rsidRPr="0044005C">
          <w:rPr>
            <w:rStyle w:val="Hyperlink"/>
          </w:rPr>
          <w:t>.2</w:t>
        </w:r>
      </w:hyperlink>
      <w:r w:rsidRPr="007B56B1">
        <w:rPr>
          <w:u w:val="none"/>
        </w:rPr>
        <w:t xml:space="preserve"> et ses annexes</w:t>
      </w:r>
      <w:r w:rsidR="00037274">
        <w:rPr>
          <w:u w:val="none"/>
        </w:rPr>
        <w:t>,</w:t>
      </w:r>
    </w:p>
    <w:p w14:paraId="7597BAF1" w14:textId="77777777" w:rsidR="00691945" w:rsidRPr="007B56B1" w:rsidRDefault="00691945" w:rsidP="00691945">
      <w:pPr>
        <w:pStyle w:val="COMParaDecision"/>
        <w:numPr>
          <w:ilvl w:val="0"/>
          <w:numId w:val="18"/>
        </w:numPr>
        <w:ind w:left="567" w:hanging="567"/>
      </w:pPr>
      <w:r w:rsidRPr="007B56B1">
        <w:t>Rappelant</w:t>
      </w:r>
      <w:r w:rsidRPr="007B56B1">
        <w:rPr>
          <w:u w:val="none"/>
        </w:rPr>
        <w:t xml:space="preserve"> l’article 8.3 de la Convention, le chapitre I des Directives opérationnelles et les articles 20 et 39 de son Règlement intérieur,</w:t>
      </w:r>
    </w:p>
    <w:p w14:paraId="58EBB91E" w14:textId="77777777" w:rsidR="00691945" w:rsidRPr="007B56B1" w:rsidRDefault="00691945" w:rsidP="00691945">
      <w:pPr>
        <w:pStyle w:val="COMParaDecision"/>
        <w:numPr>
          <w:ilvl w:val="0"/>
          <w:numId w:val="18"/>
        </w:numPr>
        <w:ind w:left="567" w:hanging="567"/>
        <w:rPr>
          <w:u w:val="none"/>
        </w:rPr>
      </w:pPr>
      <w:r w:rsidRPr="007B56B1">
        <w:lastRenderedPageBreak/>
        <w:t>Rappelant en outre</w:t>
      </w:r>
      <w:r w:rsidRPr="007B56B1">
        <w:rPr>
          <w:u w:val="none"/>
        </w:rPr>
        <w:t xml:space="preserve"> ses décisions </w:t>
      </w:r>
      <w:hyperlink r:id="rId132" w:history="1">
        <w:r w:rsidRPr="007B56B1">
          <w:rPr>
            <w:rStyle w:val="Hyperlink"/>
          </w:rPr>
          <w:t>9.COM 11</w:t>
        </w:r>
      </w:hyperlink>
      <w:r w:rsidRPr="007B56B1">
        <w:rPr>
          <w:rStyle w:val="Hyperlink"/>
          <w:color w:val="000000" w:themeColor="text1"/>
          <w:u w:val="none"/>
        </w:rPr>
        <w:t xml:space="preserve"> et </w:t>
      </w:r>
      <w:hyperlink r:id="rId133" w:history="1">
        <w:r w:rsidRPr="007B56B1">
          <w:rPr>
            <w:rStyle w:val="Hyperlink"/>
          </w:rPr>
          <w:t>19.COM 14</w:t>
        </w:r>
      </w:hyperlink>
      <w:r w:rsidRPr="007B56B1">
        <w:rPr>
          <w:rStyle w:val="Hyperlink"/>
          <w:color w:val="000000" w:themeColor="text1"/>
          <w:u w:val="none"/>
        </w:rPr>
        <w:t>,</w:t>
      </w:r>
      <w:r w:rsidRPr="007B56B1">
        <w:rPr>
          <w:u w:val="none"/>
        </w:rPr>
        <w:t xml:space="preserve"> ainsi que la résolution </w:t>
      </w:r>
      <w:hyperlink r:id="rId134" w:history="1">
        <w:r w:rsidRPr="007B56B1">
          <w:rPr>
            <w:rStyle w:val="Hyperlink"/>
          </w:rPr>
          <w:t>9.GA 9</w:t>
        </w:r>
      </w:hyperlink>
      <w:r w:rsidRPr="007B56B1">
        <w:rPr>
          <w:u w:val="none"/>
        </w:rPr>
        <w:t xml:space="preserve"> de l’Assemblée générale,</w:t>
      </w:r>
    </w:p>
    <w:p w14:paraId="6629A09E" w14:textId="77777777" w:rsidR="00691945" w:rsidRPr="007B56B1" w:rsidRDefault="00691945" w:rsidP="00691945">
      <w:pPr>
        <w:pStyle w:val="COMParaDecision"/>
        <w:numPr>
          <w:ilvl w:val="0"/>
          <w:numId w:val="18"/>
        </w:numPr>
        <w:ind w:left="567" w:hanging="567"/>
      </w:pPr>
      <w:r w:rsidRPr="007B56B1">
        <w:t xml:space="preserve">Établit </w:t>
      </w:r>
      <w:r w:rsidRPr="007B56B1">
        <w:rPr>
          <w:u w:val="none"/>
        </w:rPr>
        <w:t xml:space="preserve">un organe consultatif appelé « Organe d’évaluation » et </w:t>
      </w:r>
      <w:r w:rsidRPr="007B56B1">
        <w:t>adopte</w:t>
      </w:r>
      <w:r w:rsidRPr="007B56B1">
        <w:rPr>
          <w:u w:val="none"/>
        </w:rPr>
        <w:t xml:space="preserve"> ses termes de référence tels qu’annexés à la présente décision ;</w:t>
      </w:r>
    </w:p>
    <w:p w14:paraId="6603BCBD" w14:textId="77777777" w:rsidR="00691945" w:rsidRPr="007B56B1" w:rsidRDefault="00691945" w:rsidP="00691945">
      <w:pPr>
        <w:pStyle w:val="COMParaDecision"/>
        <w:numPr>
          <w:ilvl w:val="0"/>
          <w:numId w:val="18"/>
        </w:numPr>
        <w:ind w:left="567" w:hanging="567"/>
        <w:rPr>
          <w:u w:val="none"/>
        </w:rPr>
      </w:pPr>
      <w:r w:rsidRPr="007B56B1">
        <w:t>Nomme</w:t>
      </w:r>
      <w:r w:rsidRPr="007B56B1">
        <w:rPr>
          <w:u w:val="none"/>
        </w:rPr>
        <w:t xml:space="preserve"> les experts individuels et les organisations non gouvernementales accréditées suivants en tant que membres de l’Organe d’évaluation pour 2026 :</w:t>
      </w:r>
    </w:p>
    <w:p w14:paraId="386C9BB7" w14:textId="77777777" w:rsidR="00691945" w:rsidRPr="007B56B1" w:rsidRDefault="00691945" w:rsidP="00691945">
      <w:pPr>
        <w:keepNext/>
        <w:spacing w:before="240" w:after="60"/>
        <w:ind w:left="567"/>
        <w:jc w:val="both"/>
        <w:rPr>
          <w:rFonts w:ascii="Arial" w:hAnsi="Arial" w:cs="Arial"/>
          <w:b/>
          <w:sz w:val="22"/>
          <w:szCs w:val="22"/>
        </w:rPr>
      </w:pPr>
      <w:r w:rsidRPr="007B56B1">
        <w:rPr>
          <w:rFonts w:ascii="Arial" w:hAnsi="Arial"/>
          <w:b/>
          <w:sz w:val="22"/>
        </w:rPr>
        <w:t xml:space="preserve">Experts représentants des États parties </w:t>
      </w:r>
      <w:proofErr w:type="gramStart"/>
      <w:r w:rsidRPr="007B56B1">
        <w:rPr>
          <w:rFonts w:ascii="Arial" w:hAnsi="Arial"/>
          <w:b/>
          <w:sz w:val="22"/>
        </w:rPr>
        <w:t>non membres</w:t>
      </w:r>
      <w:proofErr w:type="gramEnd"/>
      <w:r w:rsidRPr="007B56B1">
        <w:rPr>
          <w:rFonts w:ascii="Arial" w:hAnsi="Arial"/>
          <w:b/>
          <w:sz w:val="22"/>
        </w:rPr>
        <w:t xml:space="preserve"> du Comité</w:t>
      </w:r>
    </w:p>
    <w:p w14:paraId="399E9B64" w14:textId="77777777" w:rsidR="00691945" w:rsidRPr="007B56B1" w:rsidRDefault="00691945" w:rsidP="00691945">
      <w:pPr>
        <w:numPr>
          <w:ilvl w:val="0"/>
          <w:numId w:val="19"/>
        </w:numPr>
        <w:tabs>
          <w:tab w:val="left" w:pos="1701"/>
        </w:tabs>
        <w:spacing w:after="60"/>
        <w:ind w:left="567" w:firstLine="0"/>
        <w:rPr>
          <w:rFonts w:ascii="Arial" w:eastAsia="SimSun" w:hAnsi="Arial" w:cs="Arial"/>
          <w:sz w:val="22"/>
          <w:szCs w:val="22"/>
        </w:rPr>
      </w:pPr>
      <w:r w:rsidRPr="007B56B1">
        <w:rPr>
          <w:rFonts w:ascii="Arial" w:hAnsi="Arial"/>
          <w:sz w:val="22"/>
        </w:rPr>
        <w:t xml:space="preserve">GE I : Mme </w:t>
      </w:r>
      <w:proofErr w:type="spellStart"/>
      <w:r w:rsidRPr="007B56B1">
        <w:rPr>
          <w:rFonts w:ascii="Arial" w:hAnsi="Arial"/>
          <w:sz w:val="22"/>
        </w:rPr>
        <w:t>Evrim</w:t>
      </w:r>
      <w:proofErr w:type="spellEnd"/>
      <w:r w:rsidRPr="007B56B1">
        <w:rPr>
          <w:rFonts w:ascii="Arial" w:hAnsi="Arial"/>
          <w:sz w:val="22"/>
        </w:rPr>
        <w:t xml:space="preserve"> </w:t>
      </w:r>
      <w:proofErr w:type="spellStart"/>
      <w:r w:rsidRPr="007B56B1">
        <w:rPr>
          <w:rFonts w:ascii="Arial" w:hAnsi="Arial"/>
          <w:sz w:val="22"/>
        </w:rPr>
        <w:t>Ölçer</w:t>
      </w:r>
      <w:proofErr w:type="spellEnd"/>
      <w:r w:rsidRPr="007B56B1">
        <w:rPr>
          <w:rFonts w:ascii="Arial" w:hAnsi="Arial"/>
          <w:sz w:val="22"/>
        </w:rPr>
        <w:t xml:space="preserve"> </w:t>
      </w:r>
      <w:proofErr w:type="spellStart"/>
      <w:r w:rsidRPr="007B56B1">
        <w:rPr>
          <w:rFonts w:ascii="Arial" w:hAnsi="Arial"/>
          <w:sz w:val="22"/>
        </w:rPr>
        <w:t>Özünel</w:t>
      </w:r>
      <w:proofErr w:type="spellEnd"/>
      <w:r w:rsidRPr="007B56B1">
        <w:rPr>
          <w:rFonts w:ascii="Arial" w:hAnsi="Arial"/>
          <w:sz w:val="22"/>
        </w:rPr>
        <w:t xml:space="preserve"> (Türkiye)</w:t>
      </w:r>
    </w:p>
    <w:p w14:paraId="14BC11FD" w14:textId="77777777" w:rsidR="00691945" w:rsidRPr="007B56B1" w:rsidRDefault="00691945" w:rsidP="00691945">
      <w:pPr>
        <w:numPr>
          <w:ilvl w:val="0"/>
          <w:numId w:val="19"/>
        </w:numPr>
        <w:tabs>
          <w:tab w:val="left" w:pos="1701"/>
        </w:tabs>
        <w:spacing w:after="60"/>
        <w:ind w:left="567" w:firstLine="0"/>
        <w:rPr>
          <w:rFonts w:ascii="Arial" w:eastAsia="SimSun" w:hAnsi="Arial" w:cs="Arial"/>
          <w:sz w:val="22"/>
          <w:szCs w:val="22"/>
        </w:rPr>
      </w:pPr>
      <w:r w:rsidRPr="007B56B1">
        <w:rPr>
          <w:rFonts w:ascii="Arial" w:hAnsi="Arial"/>
          <w:sz w:val="22"/>
        </w:rPr>
        <w:t xml:space="preserve">GE </w:t>
      </w:r>
      <w:r w:rsidRPr="007B56B1">
        <w:rPr>
          <w:rFonts w:ascii="Arial" w:hAnsi="Arial"/>
          <w:sz w:val="22"/>
        </w:rPr>
        <w:t xml:space="preserve">II : M. </w:t>
      </w:r>
      <w:proofErr w:type="spellStart"/>
      <w:r w:rsidRPr="007B56B1">
        <w:rPr>
          <w:rFonts w:ascii="Arial" w:hAnsi="Arial"/>
          <w:sz w:val="22"/>
        </w:rPr>
        <w:t>Rimvydas</w:t>
      </w:r>
      <w:proofErr w:type="spellEnd"/>
      <w:r w:rsidRPr="007B56B1">
        <w:rPr>
          <w:rFonts w:ascii="Arial" w:hAnsi="Arial"/>
          <w:sz w:val="22"/>
        </w:rPr>
        <w:t xml:space="preserve"> </w:t>
      </w:r>
      <w:proofErr w:type="spellStart"/>
      <w:r w:rsidRPr="007B56B1">
        <w:rPr>
          <w:rFonts w:ascii="Arial" w:hAnsi="Arial"/>
          <w:sz w:val="22"/>
        </w:rPr>
        <w:t>Laužikas</w:t>
      </w:r>
      <w:proofErr w:type="spellEnd"/>
      <w:r w:rsidRPr="007B56B1">
        <w:rPr>
          <w:rFonts w:ascii="Arial" w:hAnsi="Arial"/>
          <w:sz w:val="22"/>
        </w:rPr>
        <w:t xml:space="preserve"> (Lituanie)</w:t>
      </w:r>
    </w:p>
    <w:p w14:paraId="0E0AD567" w14:textId="77777777" w:rsidR="00691945" w:rsidRPr="00DF6B66" w:rsidRDefault="00691945" w:rsidP="00691945">
      <w:pPr>
        <w:numPr>
          <w:ilvl w:val="0"/>
          <w:numId w:val="19"/>
        </w:numPr>
        <w:tabs>
          <w:tab w:val="left" w:pos="1701"/>
        </w:tabs>
        <w:spacing w:after="60"/>
        <w:ind w:left="567" w:firstLine="0"/>
        <w:rPr>
          <w:rFonts w:ascii="Arial" w:hAnsi="Arial" w:cs="Arial"/>
          <w:sz w:val="22"/>
          <w:szCs w:val="22"/>
          <w:lang w:val="es-ES"/>
        </w:rPr>
      </w:pPr>
      <w:r w:rsidRPr="00DF6B66">
        <w:rPr>
          <w:rFonts w:ascii="Arial" w:hAnsi="Arial"/>
          <w:sz w:val="22"/>
          <w:lang w:val="es-ES"/>
        </w:rPr>
        <w:t xml:space="preserve">GE </w:t>
      </w:r>
      <w:proofErr w:type="gramStart"/>
      <w:r w:rsidRPr="00DF6B66">
        <w:rPr>
          <w:rFonts w:ascii="Arial" w:hAnsi="Arial"/>
          <w:sz w:val="22"/>
          <w:lang w:val="es-ES"/>
        </w:rPr>
        <w:t>III :</w:t>
      </w:r>
      <w:proofErr w:type="gramEnd"/>
      <w:r w:rsidRPr="00DF6B66">
        <w:rPr>
          <w:rFonts w:ascii="Arial" w:hAnsi="Arial"/>
          <w:sz w:val="22"/>
          <w:lang w:val="es-ES"/>
        </w:rPr>
        <w:t xml:space="preserve"> </w:t>
      </w:r>
      <w:proofErr w:type="spellStart"/>
      <w:r w:rsidRPr="00DF6B66">
        <w:rPr>
          <w:rFonts w:ascii="Arial" w:hAnsi="Arial"/>
          <w:sz w:val="22"/>
          <w:lang w:val="es-ES"/>
        </w:rPr>
        <w:t>Mme</w:t>
      </w:r>
      <w:proofErr w:type="spellEnd"/>
      <w:r w:rsidRPr="00DF6B66">
        <w:rPr>
          <w:rFonts w:ascii="Arial" w:hAnsi="Arial"/>
          <w:sz w:val="22"/>
          <w:lang w:val="es-ES"/>
        </w:rPr>
        <w:t xml:space="preserve"> Luciana Gonçalves de Carvalho (</w:t>
      </w:r>
      <w:proofErr w:type="spellStart"/>
      <w:r w:rsidRPr="00DF6B66">
        <w:rPr>
          <w:rFonts w:ascii="Arial" w:hAnsi="Arial"/>
          <w:sz w:val="22"/>
          <w:lang w:val="es-ES"/>
        </w:rPr>
        <w:t>Brésil</w:t>
      </w:r>
      <w:proofErr w:type="spellEnd"/>
      <w:r w:rsidRPr="00DF6B66">
        <w:rPr>
          <w:rFonts w:ascii="Arial" w:hAnsi="Arial"/>
          <w:sz w:val="22"/>
          <w:lang w:val="es-ES"/>
        </w:rPr>
        <w:t>)</w:t>
      </w:r>
    </w:p>
    <w:p w14:paraId="50A996A0" w14:textId="77777777" w:rsidR="00691945" w:rsidRPr="00DF6B66" w:rsidRDefault="00691945" w:rsidP="00691945">
      <w:pPr>
        <w:numPr>
          <w:ilvl w:val="0"/>
          <w:numId w:val="19"/>
        </w:numPr>
        <w:tabs>
          <w:tab w:val="left" w:pos="1701"/>
        </w:tabs>
        <w:spacing w:after="60"/>
        <w:ind w:left="567" w:firstLine="0"/>
        <w:rPr>
          <w:rFonts w:ascii="Arial" w:hAnsi="Arial" w:cs="Arial"/>
          <w:sz w:val="22"/>
          <w:szCs w:val="22"/>
          <w:lang w:val="it-IT"/>
        </w:rPr>
      </w:pPr>
      <w:r w:rsidRPr="00DF6B66">
        <w:rPr>
          <w:rFonts w:ascii="Arial" w:hAnsi="Arial"/>
          <w:sz w:val="22"/>
          <w:lang w:val="it-IT"/>
        </w:rPr>
        <w:t>GE IV : M. Nandadeva Bilinda Devage (Sri Lanka)</w:t>
      </w:r>
    </w:p>
    <w:p w14:paraId="15045989" w14:textId="7F3C0969" w:rsidR="00691945" w:rsidRPr="00DF6B66" w:rsidRDefault="00691945" w:rsidP="00671E25">
      <w:pPr>
        <w:numPr>
          <w:ilvl w:val="0"/>
          <w:numId w:val="19"/>
        </w:numPr>
        <w:tabs>
          <w:tab w:val="left" w:pos="1701"/>
        </w:tabs>
        <w:spacing w:after="60"/>
        <w:ind w:left="567" w:firstLine="0"/>
        <w:rPr>
          <w:rFonts w:ascii="Arial" w:hAnsi="Arial"/>
          <w:sz w:val="22"/>
        </w:rPr>
      </w:pPr>
      <w:r w:rsidRPr="00DF6B66">
        <w:rPr>
          <w:rFonts w:ascii="Arial" w:hAnsi="Arial"/>
          <w:sz w:val="22"/>
        </w:rPr>
        <w:t xml:space="preserve">GE V(a) : </w:t>
      </w:r>
      <w:r w:rsidR="00671E25" w:rsidRPr="00DF6B66">
        <w:rPr>
          <w:rFonts w:ascii="Arial" w:hAnsi="Arial"/>
          <w:sz w:val="22"/>
        </w:rPr>
        <w:t xml:space="preserve">M. </w:t>
      </w:r>
      <w:proofErr w:type="spellStart"/>
      <w:r w:rsidR="00671E25" w:rsidRPr="00DF6B66">
        <w:rPr>
          <w:rFonts w:ascii="Arial" w:hAnsi="Arial"/>
          <w:sz w:val="22"/>
        </w:rPr>
        <w:t>Toiwilou</w:t>
      </w:r>
      <w:proofErr w:type="spellEnd"/>
      <w:r w:rsidR="00671E25" w:rsidRPr="00DF6B66">
        <w:rPr>
          <w:rFonts w:ascii="Arial" w:hAnsi="Arial"/>
          <w:sz w:val="22"/>
        </w:rPr>
        <w:t xml:space="preserve"> </w:t>
      </w:r>
      <w:proofErr w:type="spellStart"/>
      <w:r w:rsidR="00671E25" w:rsidRPr="00DF6B66">
        <w:rPr>
          <w:rFonts w:ascii="Arial" w:hAnsi="Arial"/>
          <w:sz w:val="22"/>
        </w:rPr>
        <w:t>Mze</w:t>
      </w:r>
      <w:proofErr w:type="spellEnd"/>
      <w:r w:rsidR="00671E25" w:rsidRPr="00DF6B66">
        <w:rPr>
          <w:rFonts w:ascii="Arial" w:hAnsi="Arial"/>
          <w:sz w:val="22"/>
        </w:rPr>
        <w:t xml:space="preserve"> Hamadi (Comores)</w:t>
      </w:r>
    </w:p>
    <w:p w14:paraId="62EB9557" w14:textId="50516CE4" w:rsidR="00691945" w:rsidRPr="00DF6B66" w:rsidRDefault="00691945" w:rsidP="00671E25">
      <w:pPr>
        <w:numPr>
          <w:ilvl w:val="0"/>
          <w:numId w:val="19"/>
        </w:numPr>
        <w:tabs>
          <w:tab w:val="left" w:pos="1701"/>
        </w:tabs>
        <w:spacing w:after="60"/>
        <w:ind w:left="567" w:firstLine="0"/>
        <w:rPr>
          <w:rFonts w:ascii="Arial" w:hAnsi="Arial" w:cs="Arial"/>
          <w:sz w:val="22"/>
          <w:szCs w:val="22"/>
          <w:lang w:val="en-US"/>
        </w:rPr>
      </w:pPr>
      <w:r w:rsidRPr="00DF6B66">
        <w:rPr>
          <w:rFonts w:ascii="Arial" w:hAnsi="Arial"/>
          <w:sz w:val="22"/>
          <w:lang w:val="en-US"/>
        </w:rPr>
        <w:t>GE V(b</w:t>
      </w:r>
      <w:proofErr w:type="gramStart"/>
      <w:r w:rsidRPr="00DF6B66">
        <w:rPr>
          <w:rFonts w:ascii="Arial" w:hAnsi="Arial"/>
          <w:sz w:val="22"/>
          <w:lang w:val="en-US"/>
        </w:rPr>
        <w:t>) :</w:t>
      </w:r>
      <w:proofErr w:type="gramEnd"/>
      <w:r w:rsidRPr="00DF6B66">
        <w:rPr>
          <w:rFonts w:ascii="Arial" w:hAnsi="Arial"/>
          <w:sz w:val="22"/>
          <w:lang w:val="en-US"/>
        </w:rPr>
        <w:t xml:space="preserve"> </w:t>
      </w:r>
      <w:r w:rsidR="00671E25" w:rsidRPr="00DF6B66">
        <w:rPr>
          <w:rFonts w:ascii="Arial" w:hAnsi="Arial"/>
          <w:sz w:val="22"/>
          <w:lang w:val="en-US"/>
        </w:rPr>
        <w:t>M. Ahmed Skounti</w:t>
      </w:r>
      <w:r w:rsidR="00AD7A81" w:rsidRPr="00DF6B66">
        <w:rPr>
          <w:rFonts w:ascii="Arial" w:hAnsi="Arial"/>
          <w:sz w:val="22"/>
          <w:lang w:val="en-US"/>
        </w:rPr>
        <w:t xml:space="preserve"> (Maroc)</w:t>
      </w:r>
      <w:r w:rsidR="00671E25" w:rsidRPr="00DF6B66">
        <w:rPr>
          <w:rFonts w:ascii="Arial" w:hAnsi="Arial"/>
          <w:sz w:val="22"/>
          <w:lang w:val="en-US"/>
        </w:rPr>
        <w:t xml:space="preserve"> </w:t>
      </w:r>
    </w:p>
    <w:p w14:paraId="02CD09C5" w14:textId="77777777" w:rsidR="00691945" w:rsidRPr="00DF6B66" w:rsidRDefault="00691945" w:rsidP="00691945">
      <w:pPr>
        <w:keepNext/>
        <w:spacing w:before="240" w:after="60"/>
        <w:ind w:left="567"/>
        <w:jc w:val="both"/>
        <w:rPr>
          <w:rFonts w:ascii="Arial" w:hAnsi="Arial" w:cs="Arial"/>
          <w:b/>
          <w:sz w:val="22"/>
          <w:szCs w:val="22"/>
        </w:rPr>
      </w:pPr>
      <w:r w:rsidRPr="00DF6B66">
        <w:rPr>
          <w:rFonts w:ascii="Arial" w:hAnsi="Arial"/>
          <w:b/>
          <w:sz w:val="22"/>
        </w:rPr>
        <w:t>Organisations non gouvernementales accréditées</w:t>
      </w:r>
    </w:p>
    <w:p w14:paraId="0EFC71E8" w14:textId="77777777" w:rsidR="00691945" w:rsidRPr="00DF6B66" w:rsidRDefault="00691945" w:rsidP="00691945">
      <w:pPr>
        <w:keepNext/>
        <w:numPr>
          <w:ilvl w:val="0"/>
          <w:numId w:val="20"/>
        </w:numPr>
        <w:tabs>
          <w:tab w:val="left" w:pos="1701"/>
        </w:tabs>
        <w:spacing w:after="60"/>
        <w:ind w:left="1134" w:hanging="566"/>
        <w:jc w:val="both"/>
        <w:rPr>
          <w:rFonts w:ascii="Arial" w:hAnsi="Arial" w:cs="Arial"/>
          <w:bCs/>
          <w:sz w:val="22"/>
          <w:szCs w:val="22"/>
        </w:rPr>
      </w:pPr>
      <w:r w:rsidRPr="00DF6B66">
        <w:rPr>
          <w:rFonts w:ascii="Arial" w:hAnsi="Arial"/>
          <w:sz w:val="22"/>
        </w:rPr>
        <w:t>GE I : Conseil québécois du patrimoine vivant</w:t>
      </w:r>
    </w:p>
    <w:p w14:paraId="05AA92A0" w14:textId="5ECB51F9" w:rsidR="00691945" w:rsidRPr="00DF6B66" w:rsidRDefault="00691945" w:rsidP="00691945">
      <w:pPr>
        <w:keepNext/>
        <w:numPr>
          <w:ilvl w:val="0"/>
          <w:numId w:val="20"/>
        </w:numPr>
        <w:tabs>
          <w:tab w:val="left" w:pos="1701"/>
        </w:tabs>
        <w:spacing w:after="60"/>
        <w:ind w:left="1134" w:hanging="566"/>
        <w:jc w:val="both"/>
        <w:rPr>
          <w:rFonts w:ascii="Arial" w:hAnsi="Arial" w:cs="Arial"/>
          <w:bCs/>
          <w:sz w:val="22"/>
          <w:szCs w:val="22"/>
        </w:rPr>
      </w:pPr>
      <w:r w:rsidRPr="00DF6B66">
        <w:rPr>
          <w:rFonts w:ascii="Arial" w:hAnsi="Arial"/>
          <w:sz w:val="22"/>
        </w:rPr>
        <w:t xml:space="preserve">GE II : </w:t>
      </w:r>
      <w:proofErr w:type="spellStart"/>
      <w:r w:rsidRPr="00DF6B66">
        <w:rPr>
          <w:rFonts w:ascii="Arial" w:hAnsi="Arial"/>
          <w:sz w:val="22"/>
        </w:rPr>
        <w:t>Czech</w:t>
      </w:r>
      <w:proofErr w:type="spellEnd"/>
      <w:r w:rsidRPr="00DF6B66">
        <w:rPr>
          <w:rFonts w:ascii="Arial" w:hAnsi="Arial"/>
          <w:sz w:val="22"/>
        </w:rPr>
        <w:t xml:space="preserve"> </w:t>
      </w:r>
      <w:proofErr w:type="spellStart"/>
      <w:r w:rsidRPr="00DF6B66">
        <w:rPr>
          <w:rFonts w:ascii="Arial" w:hAnsi="Arial"/>
          <w:sz w:val="22"/>
        </w:rPr>
        <w:t>Ethnological</w:t>
      </w:r>
      <w:proofErr w:type="spellEnd"/>
      <w:r w:rsidRPr="00DF6B66">
        <w:rPr>
          <w:rFonts w:ascii="Arial" w:hAnsi="Arial"/>
          <w:sz w:val="22"/>
        </w:rPr>
        <w:t xml:space="preserve"> Society</w:t>
      </w:r>
    </w:p>
    <w:p w14:paraId="7BC7B739" w14:textId="52F7D0BC" w:rsidR="00691945" w:rsidRPr="00DF6B66" w:rsidRDefault="00691945" w:rsidP="00691945">
      <w:pPr>
        <w:keepNext/>
        <w:numPr>
          <w:ilvl w:val="0"/>
          <w:numId w:val="20"/>
        </w:numPr>
        <w:tabs>
          <w:tab w:val="left" w:pos="1701"/>
        </w:tabs>
        <w:spacing w:after="60"/>
        <w:ind w:left="1134" w:hanging="566"/>
        <w:jc w:val="both"/>
        <w:rPr>
          <w:rFonts w:ascii="Arial" w:hAnsi="Arial" w:cs="Arial"/>
          <w:sz w:val="22"/>
          <w:szCs w:val="22"/>
          <w:lang w:val="es-BO"/>
        </w:rPr>
      </w:pPr>
      <w:r w:rsidRPr="00DF6B66">
        <w:rPr>
          <w:rFonts w:ascii="Arial" w:hAnsi="Arial"/>
          <w:sz w:val="22"/>
          <w:lang w:val="es-BO"/>
        </w:rPr>
        <w:t xml:space="preserve">GE </w:t>
      </w:r>
      <w:proofErr w:type="gramStart"/>
      <w:r w:rsidRPr="00DF6B66">
        <w:rPr>
          <w:rFonts w:ascii="Arial" w:hAnsi="Arial"/>
          <w:sz w:val="22"/>
          <w:lang w:val="es-BO"/>
        </w:rPr>
        <w:t>III :</w:t>
      </w:r>
      <w:proofErr w:type="gramEnd"/>
      <w:r w:rsidRPr="00DF6B66">
        <w:rPr>
          <w:rFonts w:ascii="Arial" w:hAnsi="Arial"/>
          <w:sz w:val="22"/>
          <w:lang w:val="es-BO"/>
        </w:rPr>
        <w:t xml:space="preserve"> </w:t>
      </w:r>
      <w:r w:rsidR="00AD40BE" w:rsidRPr="00DF6B66">
        <w:rPr>
          <w:rFonts w:ascii="Arial" w:hAnsi="Arial"/>
          <w:sz w:val="22"/>
          <w:lang w:val="es-BO"/>
        </w:rPr>
        <w:t xml:space="preserve">Mundo Espiral </w:t>
      </w:r>
      <w:proofErr w:type="spellStart"/>
      <w:r w:rsidR="00AD40BE" w:rsidRPr="00DF6B66">
        <w:rPr>
          <w:rFonts w:ascii="Arial" w:hAnsi="Arial"/>
          <w:sz w:val="22"/>
          <w:lang w:val="es-BO"/>
        </w:rPr>
        <w:t>Foundation</w:t>
      </w:r>
      <w:proofErr w:type="spellEnd"/>
    </w:p>
    <w:p w14:paraId="37CD0144" w14:textId="3859C99B" w:rsidR="00691945" w:rsidRPr="00DF6B66" w:rsidRDefault="00691945" w:rsidP="00691945">
      <w:pPr>
        <w:keepNext/>
        <w:numPr>
          <w:ilvl w:val="0"/>
          <w:numId w:val="20"/>
        </w:numPr>
        <w:tabs>
          <w:tab w:val="left" w:pos="1701"/>
        </w:tabs>
        <w:spacing w:after="60"/>
        <w:ind w:left="1134" w:hanging="566"/>
        <w:jc w:val="both"/>
        <w:rPr>
          <w:rFonts w:ascii="Arial" w:hAnsi="Arial" w:cs="Arial"/>
          <w:bCs/>
          <w:sz w:val="22"/>
          <w:szCs w:val="22"/>
          <w:lang w:val="en-US"/>
        </w:rPr>
      </w:pPr>
      <w:r w:rsidRPr="00DF6B66">
        <w:rPr>
          <w:rFonts w:ascii="Arial" w:hAnsi="Arial"/>
          <w:sz w:val="22"/>
          <w:lang w:val="en-US"/>
        </w:rPr>
        <w:t xml:space="preserve">GE </w:t>
      </w:r>
      <w:proofErr w:type="gramStart"/>
      <w:r w:rsidRPr="00DF6B66">
        <w:rPr>
          <w:rFonts w:ascii="Arial" w:hAnsi="Arial"/>
          <w:sz w:val="22"/>
          <w:lang w:val="en-US"/>
        </w:rPr>
        <w:t>IV :</w:t>
      </w:r>
      <w:proofErr w:type="gramEnd"/>
      <w:r w:rsidRPr="00DF6B66">
        <w:rPr>
          <w:rFonts w:ascii="Arial" w:hAnsi="Arial"/>
          <w:sz w:val="22"/>
          <w:lang w:val="en-US"/>
        </w:rPr>
        <w:t xml:space="preserve"> </w:t>
      </w:r>
      <w:r w:rsidR="00AD40BE" w:rsidRPr="00DF6B66">
        <w:rPr>
          <w:rFonts w:ascii="Arial" w:hAnsi="Arial"/>
          <w:sz w:val="22"/>
          <w:lang w:val="en-US"/>
        </w:rPr>
        <w:t>Malaysian Craft Council</w:t>
      </w:r>
    </w:p>
    <w:p w14:paraId="4EB65569" w14:textId="77777777" w:rsidR="00691945" w:rsidRPr="006D1DFC" w:rsidRDefault="00691945" w:rsidP="00691945">
      <w:pPr>
        <w:keepNext/>
        <w:numPr>
          <w:ilvl w:val="0"/>
          <w:numId w:val="20"/>
        </w:numPr>
        <w:tabs>
          <w:tab w:val="left" w:pos="1701"/>
        </w:tabs>
        <w:spacing w:after="60"/>
        <w:ind w:left="1134" w:hanging="566"/>
        <w:jc w:val="both"/>
        <w:rPr>
          <w:rFonts w:ascii="Arial" w:hAnsi="Arial" w:cs="Arial"/>
          <w:sz w:val="22"/>
          <w:szCs w:val="22"/>
          <w:lang w:val="en-GB"/>
        </w:rPr>
      </w:pPr>
      <w:r w:rsidRPr="006D1DFC">
        <w:rPr>
          <w:rFonts w:ascii="Arial" w:hAnsi="Arial"/>
          <w:sz w:val="22"/>
          <w:lang w:val="en-GB"/>
        </w:rPr>
        <w:t>GE V(a</w:t>
      </w:r>
      <w:proofErr w:type="gramStart"/>
      <w:r w:rsidRPr="006D1DFC">
        <w:rPr>
          <w:rFonts w:ascii="Arial" w:hAnsi="Arial"/>
          <w:sz w:val="22"/>
          <w:lang w:val="en-GB"/>
        </w:rPr>
        <w:t>) :</w:t>
      </w:r>
      <w:proofErr w:type="gramEnd"/>
      <w:r w:rsidRPr="006D1DFC">
        <w:rPr>
          <w:rFonts w:ascii="Arial" w:hAnsi="Arial"/>
          <w:sz w:val="22"/>
          <w:lang w:val="en-GB"/>
        </w:rPr>
        <w:t xml:space="preserve"> The Cross-Cultural Foundation of Uganda (CCFU)</w:t>
      </w:r>
    </w:p>
    <w:p w14:paraId="43F77077" w14:textId="77777777" w:rsidR="00691945" w:rsidRPr="006D1DFC" w:rsidRDefault="00691945" w:rsidP="00691945">
      <w:pPr>
        <w:pStyle w:val="COMParaDecision"/>
        <w:numPr>
          <w:ilvl w:val="0"/>
          <w:numId w:val="20"/>
        </w:numPr>
        <w:spacing w:after="240"/>
        <w:ind w:left="1133" w:hanging="562"/>
        <w:jc w:val="left"/>
        <w:rPr>
          <w:lang w:val="en-GB"/>
        </w:rPr>
      </w:pPr>
      <w:r w:rsidRPr="006D1DFC">
        <w:rPr>
          <w:u w:val="none"/>
          <w:lang w:val="en-GB"/>
        </w:rPr>
        <w:t>GE V(b</w:t>
      </w:r>
      <w:proofErr w:type="gramStart"/>
      <w:r w:rsidRPr="006D1DFC">
        <w:rPr>
          <w:u w:val="none"/>
          <w:lang w:val="en-GB"/>
        </w:rPr>
        <w:t>) :</w:t>
      </w:r>
      <w:proofErr w:type="gramEnd"/>
      <w:r w:rsidRPr="006D1DFC">
        <w:rPr>
          <w:u w:val="none"/>
          <w:lang w:val="en-GB"/>
        </w:rPr>
        <w:t xml:space="preserve"> Saudi Heritage Preservation Society - SHPS</w:t>
      </w:r>
    </w:p>
    <w:p w14:paraId="06A25E79" w14:textId="77777777" w:rsidR="00691945" w:rsidRPr="007B56B1" w:rsidRDefault="00691945" w:rsidP="00691945">
      <w:pPr>
        <w:pStyle w:val="COMParaDecision"/>
        <w:numPr>
          <w:ilvl w:val="0"/>
          <w:numId w:val="18"/>
        </w:numPr>
        <w:ind w:left="567" w:hanging="567"/>
      </w:pPr>
      <w:r w:rsidRPr="007B56B1">
        <w:t>Note</w:t>
      </w:r>
      <w:r w:rsidRPr="007B56B1">
        <w:rPr>
          <w:u w:val="none"/>
        </w:rPr>
        <w:t xml:space="preserve"> qu’aux fins des élections lors de ses futures sessions, les douze sièges de l’Organe d’évaluation seront pourvus comme suit :</w:t>
      </w:r>
    </w:p>
    <w:p w14:paraId="1E0F083F" w14:textId="77777777" w:rsidR="00691945" w:rsidRPr="007B56B1" w:rsidRDefault="00691945" w:rsidP="00691945">
      <w:pPr>
        <w:pStyle w:val="Marge"/>
        <w:keepNext/>
        <w:tabs>
          <w:tab w:val="clear" w:pos="567"/>
          <w:tab w:val="left" w:pos="720"/>
        </w:tabs>
        <w:spacing w:after="120"/>
        <w:ind w:firstLine="720"/>
        <w:rPr>
          <w:rFonts w:cs="Arial"/>
        </w:rPr>
      </w:pPr>
      <w:r w:rsidRPr="007B56B1">
        <w:t>Sièges à pourvoir pour les cycles 2027 - 2030 :</w:t>
      </w:r>
    </w:p>
    <w:p w14:paraId="41BC2CE2" w14:textId="77777777" w:rsidR="00691945" w:rsidRPr="000802E3" w:rsidRDefault="00691945" w:rsidP="00691945">
      <w:pPr>
        <w:pStyle w:val="Marge"/>
        <w:keepNext/>
        <w:tabs>
          <w:tab w:val="clear" w:pos="567"/>
          <w:tab w:val="left" w:pos="720"/>
        </w:tabs>
        <w:spacing w:after="120"/>
        <w:ind w:left="1134"/>
        <w:rPr>
          <w:rFonts w:cs="Arial"/>
        </w:rPr>
      </w:pPr>
      <w:r w:rsidRPr="000802E3">
        <w:t>GE I : Expert(e)</w:t>
      </w:r>
    </w:p>
    <w:p w14:paraId="6B12A554" w14:textId="77777777" w:rsidR="00691945" w:rsidRPr="000802E3" w:rsidRDefault="00691945" w:rsidP="00691945">
      <w:pPr>
        <w:pStyle w:val="Marge"/>
        <w:tabs>
          <w:tab w:val="clear" w:pos="567"/>
          <w:tab w:val="left" w:pos="720"/>
        </w:tabs>
        <w:spacing w:after="120"/>
        <w:ind w:left="1134"/>
        <w:rPr>
          <w:rFonts w:cs="Arial"/>
        </w:rPr>
      </w:pPr>
      <w:r w:rsidRPr="000802E3">
        <w:t>GE II : Expert(e)</w:t>
      </w:r>
    </w:p>
    <w:p w14:paraId="455D6F71" w14:textId="77777777" w:rsidR="00691945" w:rsidRPr="000802E3" w:rsidRDefault="00691945" w:rsidP="00691945">
      <w:pPr>
        <w:pStyle w:val="Marge"/>
        <w:tabs>
          <w:tab w:val="clear" w:pos="567"/>
          <w:tab w:val="left" w:pos="720"/>
        </w:tabs>
        <w:spacing w:after="120"/>
        <w:ind w:left="1134"/>
        <w:rPr>
          <w:rFonts w:cs="Arial"/>
        </w:rPr>
      </w:pPr>
      <w:r w:rsidRPr="000802E3">
        <w:t>GE V(a) : ONG</w:t>
      </w:r>
    </w:p>
    <w:p w14:paraId="2C89197E" w14:textId="77777777" w:rsidR="00691945" w:rsidRPr="007B56B1" w:rsidRDefault="00691945" w:rsidP="00691945">
      <w:pPr>
        <w:pStyle w:val="Marge"/>
        <w:tabs>
          <w:tab w:val="clear" w:pos="567"/>
          <w:tab w:val="left" w:pos="720"/>
        </w:tabs>
        <w:spacing w:after="120"/>
        <w:ind w:firstLine="720"/>
        <w:rPr>
          <w:rFonts w:cs="Arial"/>
        </w:rPr>
      </w:pPr>
      <w:r w:rsidRPr="007B56B1">
        <w:t>Sièges à pourvoir pour les cycles 2028 - 2031 :</w:t>
      </w:r>
    </w:p>
    <w:p w14:paraId="22A3CFA4" w14:textId="77777777" w:rsidR="00691945" w:rsidRPr="006D1DFC" w:rsidRDefault="00691945" w:rsidP="00691945">
      <w:pPr>
        <w:pStyle w:val="Marge"/>
        <w:tabs>
          <w:tab w:val="clear" w:pos="567"/>
          <w:tab w:val="left" w:pos="720"/>
        </w:tabs>
        <w:spacing w:after="120"/>
        <w:ind w:left="1134"/>
        <w:rPr>
          <w:rFonts w:cs="Arial"/>
          <w:lang w:val="en-GB"/>
        </w:rPr>
      </w:pPr>
      <w:r w:rsidRPr="006D1DFC">
        <w:rPr>
          <w:lang w:val="en-GB"/>
        </w:rPr>
        <w:t xml:space="preserve">GE </w:t>
      </w:r>
      <w:proofErr w:type="gramStart"/>
      <w:r w:rsidRPr="006D1DFC">
        <w:rPr>
          <w:lang w:val="en-GB"/>
        </w:rPr>
        <w:t>I :</w:t>
      </w:r>
      <w:proofErr w:type="gramEnd"/>
      <w:r w:rsidRPr="006D1DFC">
        <w:rPr>
          <w:lang w:val="en-GB"/>
        </w:rPr>
        <w:t xml:space="preserve"> ONG</w:t>
      </w:r>
    </w:p>
    <w:p w14:paraId="01618A64" w14:textId="77777777" w:rsidR="00691945" w:rsidRPr="006D1DFC" w:rsidRDefault="00691945" w:rsidP="00691945">
      <w:pPr>
        <w:pStyle w:val="Marge"/>
        <w:tabs>
          <w:tab w:val="clear" w:pos="567"/>
          <w:tab w:val="left" w:pos="720"/>
        </w:tabs>
        <w:spacing w:after="120"/>
        <w:ind w:left="1134"/>
        <w:rPr>
          <w:rFonts w:cs="Arial"/>
          <w:lang w:val="en-GB"/>
        </w:rPr>
      </w:pPr>
      <w:r w:rsidRPr="006D1DFC">
        <w:rPr>
          <w:lang w:val="en-GB"/>
        </w:rPr>
        <w:t xml:space="preserve">GE </w:t>
      </w:r>
      <w:proofErr w:type="gramStart"/>
      <w:r w:rsidRPr="006D1DFC">
        <w:rPr>
          <w:lang w:val="en-GB"/>
        </w:rPr>
        <w:t>II :</w:t>
      </w:r>
      <w:proofErr w:type="gramEnd"/>
      <w:r w:rsidRPr="006D1DFC">
        <w:rPr>
          <w:lang w:val="en-GB"/>
        </w:rPr>
        <w:t xml:space="preserve"> ONG</w:t>
      </w:r>
    </w:p>
    <w:p w14:paraId="1606E091" w14:textId="77777777" w:rsidR="00691945" w:rsidRPr="000802E3" w:rsidRDefault="00691945" w:rsidP="00691945">
      <w:pPr>
        <w:pStyle w:val="Marge"/>
        <w:tabs>
          <w:tab w:val="clear" w:pos="567"/>
          <w:tab w:val="left" w:pos="720"/>
        </w:tabs>
        <w:spacing w:after="120"/>
        <w:ind w:left="1134"/>
        <w:rPr>
          <w:rFonts w:cs="Arial"/>
          <w:lang w:val="es-BO"/>
        </w:rPr>
      </w:pPr>
      <w:r w:rsidRPr="000802E3">
        <w:rPr>
          <w:lang w:val="es-BO"/>
        </w:rPr>
        <w:t>GE V(a</w:t>
      </w:r>
      <w:proofErr w:type="gramStart"/>
      <w:r w:rsidRPr="000802E3">
        <w:rPr>
          <w:lang w:val="es-BO"/>
        </w:rPr>
        <w:t>) :</w:t>
      </w:r>
      <w:proofErr w:type="gramEnd"/>
      <w:r w:rsidRPr="000802E3">
        <w:rPr>
          <w:lang w:val="es-BO"/>
        </w:rPr>
        <w:t xml:space="preserve"> Expert(e)</w:t>
      </w:r>
    </w:p>
    <w:p w14:paraId="20E1E409" w14:textId="77777777" w:rsidR="00691945" w:rsidRPr="007B56B1" w:rsidRDefault="00691945" w:rsidP="00691945">
      <w:pPr>
        <w:pStyle w:val="Marge"/>
        <w:tabs>
          <w:tab w:val="clear" w:pos="567"/>
          <w:tab w:val="left" w:pos="720"/>
        </w:tabs>
        <w:spacing w:after="120"/>
        <w:ind w:firstLine="720"/>
        <w:rPr>
          <w:rFonts w:cs="Arial"/>
        </w:rPr>
      </w:pPr>
      <w:r w:rsidRPr="007B56B1">
        <w:t>Sièges à pourvoir pour les cycles 2029 - 2032 :</w:t>
      </w:r>
    </w:p>
    <w:p w14:paraId="14F5E595" w14:textId="77777777" w:rsidR="00691945" w:rsidRPr="000802E3" w:rsidRDefault="00691945" w:rsidP="00691945">
      <w:pPr>
        <w:pStyle w:val="Marge"/>
        <w:tabs>
          <w:tab w:val="clear" w:pos="567"/>
          <w:tab w:val="left" w:pos="720"/>
        </w:tabs>
        <w:spacing w:after="120"/>
        <w:ind w:left="1134"/>
        <w:rPr>
          <w:rFonts w:cs="Arial"/>
          <w:lang w:val="es-BO"/>
        </w:rPr>
      </w:pPr>
      <w:r w:rsidRPr="000802E3">
        <w:rPr>
          <w:lang w:val="es-BO"/>
        </w:rPr>
        <w:t xml:space="preserve">GE </w:t>
      </w:r>
      <w:proofErr w:type="gramStart"/>
      <w:r w:rsidRPr="000802E3">
        <w:rPr>
          <w:lang w:val="es-BO"/>
        </w:rPr>
        <w:t>III :</w:t>
      </w:r>
      <w:proofErr w:type="gramEnd"/>
      <w:r w:rsidRPr="000802E3">
        <w:rPr>
          <w:lang w:val="es-BO"/>
        </w:rPr>
        <w:t xml:space="preserve"> Expert(e)</w:t>
      </w:r>
    </w:p>
    <w:p w14:paraId="387538B8" w14:textId="77777777" w:rsidR="00691945" w:rsidRPr="000802E3" w:rsidRDefault="00691945" w:rsidP="00691945">
      <w:pPr>
        <w:pStyle w:val="Marge"/>
        <w:tabs>
          <w:tab w:val="clear" w:pos="567"/>
          <w:tab w:val="left" w:pos="720"/>
        </w:tabs>
        <w:spacing w:after="120"/>
        <w:ind w:left="1134"/>
        <w:rPr>
          <w:rFonts w:cs="Arial"/>
          <w:lang w:val="es-BO"/>
        </w:rPr>
      </w:pPr>
      <w:r w:rsidRPr="000802E3">
        <w:rPr>
          <w:lang w:val="es-BO"/>
        </w:rPr>
        <w:t xml:space="preserve">GE </w:t>
      </w:r>
      <w:proofErr w:type="gramStart"/>
      <w:r w:rsidRPr="000802E3">
        <w:rPr>
          <w:lang w:val="es-BO"/>
        </w:rPr>
        <w:t>IV :</w:t>
      </w:r>
      <w:proofErr w:type="gramEnd"/>
      <w:r w:rsidRPr="000802E3">
        <w:rPr>
          <w:lang w:val="es-BO"/>
        </w:rPr>
        <w:t xml:space="preserve"> Expert(e)</w:t>
      </w:r>
    </w:p>
    <w:p w14:paraId="040DB3CA" w14:textId="77777777" w:rsidR="00691945" w:rsidRPr="007B56B1" w:rsidRDefault="00691945" w:rsidP="00691945">
      <w:pPr>
        <w:pStyle w:val="Marge"/>
        <w:tabs>
          <w:tab w:val="clear" w:pos="567"/>
          <w:tab w:val="left" w:pos="720"/>
        </w:tabs>
        <w:spacing w:after="120"/>
        <w:ind w:left="1134"/>
        <w:rPr>
          <w:rFonts w:cs="Arial"/>
        </w:rPr>
      </w:pPr>
      <w:r w:rsidRPr="007B56B1">
        <w:t>GE V(b) : ONG</w:t>
      </w:r>
    </w:p>
    <w:p w14:paraId="1CB70C60" w14:textId="77777777" w:rsidR="00691945" w:rsidRPr="007B56B1" w:rsidRDefault="00691945" w:rsidP="00691945">
      <w:pPr>
        <w:pStyle w:val="Marge"/>
        <w:tabs>
          <w:tab w:val="clear" w:pos="567"/>
          <w:tab w:val="left" w:pos="720"/>
        </w:tabs>
        <w:spacing w:after="120"/>
        <w:ind w:left="567"/>
        <w:rPr>
          <w:rFonts w:cs="Arial"/>
        </w:rPr>
      </w:pPr>
      <w:r w:rsidRPr="007B56B1">
        <w:t>Sièges à pourvoir pour les cycles 2030 - 2033 :</w:t>
      </w:r>
    </w:p>
    <w:p w14:paraId="356276FF" w14:textId="77777777" w:rsidR="00691945" w:rsidRPr="006D1DFC" w:rsidRDefault="00691945" w:rsidP="00691945">
      <w:pPr>
        <w:pStyle w:val="Marge"/>
        <w:tabs>
          <w:tab w:val="clear" w:pos="567"/>
          <w:tab w:val="left" w:pos="720"/>
        </w:tabs>
        <w:spacing w:after="120"/>
        <w:ind w:left="1134"/>
        <w:rPr>
          <w:rFonts w:cs="Arial"/>
          <w:lang w:val="en-GB"/>
        </w:rPr>
      </w:pPr>
      <w:r w:rsidRPr="006D1DFC">
        <w:rPr>
          <w:lang w:val="en-GB"/>
        </w:rPr>
        <w:t xml:space="preserve">GE </w:t>
      </w:r>
      <w:proofErr w:type="gramStart"/>
      <w:r w:rsidRPr="006D1DFC">
        <w:rPr>
          <w:lang w:val="en-GB"/>
        </w:rPr>
        <w:t>III :</w:t>
      </w:r>
      <w:proofErr w:type="gramEnd"/>
      <w:r w:rsidRPr="006D1DFC">
        <w:rPr>
          <w:lang w:val="en-GB"/>
        </w:rPr>
        <w:t xml:space="preserve"> ONG</w:t>
      </w:r>
    </w:p>
    <w:p w14:paraId="1D7BF05A" w14:textId="77777777" w:rsidR="00691945" w:rsidRPr="006D1DFC" w:rsidRDefault="00691945" w:rsidP="00691945">
      <w:pPr>
        <w:pStyle w:val="Marge"/>
        <w:tabs>
          <w:tab w:val="clear" w:pos="567"/>
          <w:tab w:val="left" w:pos="720"/>
        </w:tabs>
        <w:spacing w:after="120"/>
        <w:ind w:left="1134"/>
        <w:rPr>
          <w:rFonts w:cs="Arial"/>
          <w:lang w:val="en-GB"/>
        </w:rPr>
      </w:pPr>
      <w:r w:rsidRPr="006D1DFC">
        <w:rPr>
          <w:lang w:val="en-GB"/>
        </w:rPr>
        <w:t xml:space="preserve">GE </w:t>
      </w:r>
      <w:proofErr w:type="gramStart"/>
      <w:r w:rsidRPr="006D1DFC">
        <w:rPr>
          <w:lang w:val="en-GB"/>
        </w:rPr>
        <w:t>IV :</w:t>
      </w:r>
      <w:proofErr w:type="gramEnd"/>
      <w:r w:rsidRPr="006D1DFC">
        <w:rPr>
          <w:lang w:val="en-GB"/>
        </w:rPr>
        <w:t xml:space="preserve"> ONG</w:t>
      </w:r>
    </w:p>
    <w:p w14:paraId="36C06CC3" w14:textId="77777777" w:rsidR="00691945" w:rsidRPr="006D1DFC" w:rsidRDefault="00691945" w:rsidP="00691945">
      <w:pPr>
        <w:pStyle w:val="Marge"/>
        <w:tabs>
          <w:tab w:val="clear" w:pos="567"/>
          <w:tab w:val="left" w:pos="720"/>
        </w:tabs>
        <w:spacing w:after="120"/>
        <w:ind w:left="1134"/>
        <w:rPr>
          <w:rFonts w:cs="Arial"/>
          <w:lang w:val="es-ES"/>
        </w:rPr>
      </w:pPr>
      <w:r w:rsidRPr="006D1DFC">
        <w:rPr>
          <w:lang w:val="es-ES"/>
        </w:rPr>
        <w:t>GE V(b</w:t>
      </w:r>
      <w:proofErr w:type="gramStart"/>
      <w:r w:rsidRPr="006D1DFC">
        <w:rPr>
          <w:lang w:val="es-ES"/>
        </w:rPr>
        <w:t>) :</w:t>
      </w:r>
      <w:proofErr w:type="gramEnd"/>
      <w:r w:rsidRPr="006D1DFC">
        <w:rPr>
          <w:lang w:val="es-ES"/>
        </w:rPr>
        <w:t xml:space="preserve"> Expert(e)</w:t>
      </w:r>
    </w:p>
    <w:p w14:paraId="0F1933EF" w14:textId="0D8F3109" w:rsidR="00691945" w:rsidRPr="007B56B1" w:rsidRDefault="00691945" w:rsidP="00691945">
      <w:pPr>
        <w:pStyle w:val="COMParaDecision"/>
        <w:keepNext/>
        <w:keepLines/>
        <w:numPr>
          <w:ilvl w:val="0"/>
          <w:numId w:val="18"/>
        </w:numPr>
        <w:ind w:left="567" w:hanging="567"/>
      </w:pPr>
      <w:r w:rsidRPr="007B56B1">
        <w:lastRenderedPageBreak/>
        <w:t>Décide</w:t>
      </w:r>
      <w:r w:rsidRPr="007B56B1">
        <w:rPr>
          <w:u w:val="none"/>
        </w:rPr>
        <w:t xml:space="preserve"> d’examiner les dossiers du cycle 2026 dans l’ordre alphabétique anglais, en commençant par les dossiers des États dont le nom commence par </w:t>
      </w:r>
      <w:r w:rsidRPr="0064148F">
        <w:rPr>
          <w:u w:val="none"/>
        </w:rPr>
        <w:t xml:space="preserve">la lettre </w:t>
      </w:r>
      <w:r w:rsidR="00AD7A81" w:rsidRPr="00C34D6F">
        <w:rPr>
          <w:b/>
          <w:bCs/>
          <w:u w:val="none"/>
        </w:rPr>
        <w:t>F</w:t>
      </w:r>
      <w:r w:rsidRPr="0064148F">
        <w:rPr>
          <w:u w:val="none"/>
        </w:rPr>
        <w:t>,</w:t>
      </w:r>
      <w:r w:rsidRPr="007B56B1">
        <w:rPr>
          <w:u w:val="none"/>
        </w:rPr>
        <w:t xml:space="preserve"> et </w:t>
      </w:r>
      <w:r w:rsidRPr="007B56B1">
        <w:t>demande</w:t>
      </w:r>
      <w:r w:rsidRPr="007B56B1">
        <w:rPr>
          <w:u w:val="none"/>
        </w:rPr>
        <w:t xml:space="preserve"> à l’Organe d’évaluation de suivre le même ordre lors de l’évaluation des dossiers et de la présentation de son rapport.</w:t>
      </w:r>
    </w:p>
    <w:p w14:paraId="307B4E35" w14:textId="0C665328" w:rsidR="00A64E0F" w:rsidRPr="007B56B1" w:rsidRDefault="00A64E0F" w:rsidP="00A64E0F">
      <w:pPr>
        <w:pStyle w:val="COMParaDecision"/>
        <w:spacing w:before="360" w:after="360"/>
        <w:jc w:val="center"/>
        <w:rPr>
          <w:b/>
          <w:bCs/>
          <w:u w:val="none"/>
        </w:rPr>
      </w:pPr>
      <w:r w:rsidRPr="007B56B1">
        <w:rPr>
          <w:b/>
          <w:u w:val="none"/>
        </w:rPr>
        <w:t>Annexe : Termes de référence de l’Organe d’évaluation pour le cycle 2026</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A64E0F" w:rsidRPr="007B56B1" w14:paraId="4EA2DB61" w14:textId="77777777" w:rsidTr="00097CD3">
        <w:tc>
          <w:tcPr>
            <w:tcW w:w="9781" w:type="dxa"/>
            <w:gridSpan w:val="3"/>
          </w:tcPr>
          <w:p w14:paraId="057402FA"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L’Organe d’évaluation</w:t>
            </w:r>
          </w:p>
        </w:tc>
      </w:tr>
      <w:tr w:rsidR="00A64E0F" w:rsidRPr="007B56B1" w14:paraId="53E1C8F4" w14:textId="77777777" w:rsidTr="00097CD3">
        <w:tc>
          <w:tcPr>
            <w:tcW w:w="676" w:type="dxa"/>
          </w:tcPr>
          <w:p w14:paraId="58C6F8AB"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1.</w:t>
            </w:r>
          </w:p>
        </w:tc>
        <w:tc>
          <w:tcPr>
            <w:tcW w:w="9105" w:type="dxa"/>
            <w:gridSpan w:val="2"/>
          </w:tcPr>
          <w:p w14:paraId="643EAF8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 xml:space="preserve">Est composé de douze membres nommés par le Comité : six experts qualifiés dans les différents domaines du patrimoine culturel immatériel, représentant les États parties </w:t>
            </w:r>
            <w:proofErr w:type="gramStart"/>
            <w:r w:rsidRPr="007B56B1">
              <w:rPr>
                <w:rFonts w:ascii="Arial" w:hAnsi="Arial"/>
                <w:sz w:val="22"/>
              </w:rPr>
              <w:t>non membres</w:t>
            </w:r>
            <w:proofErr w:type="gramEnd"/>
            <w:r w:rsidRPr="007B56B1">
              <w:rPr>
                <w:rFonts w:ascii="Arial" w:hAnsi="Arial"/>
                <w:sz w:val="22"/>
              </w:rPr>
              <w:t xml:space="preserve"> du Comité et six organisations non gouvernementales accréditées, en tenant compte d’une représentation géographique équitable et des différents domaines du patrimoine culturel immatériel ;</w:t>
            </w:r>
          </w:p>
        </w:tc>
      </w:tr>
      <w:tr w:rsidR="00A64E0F" w:rsidRPr="007B56B1" w14:paraId="280FC14A" w14:textId="77777777" w:rsidTr="00097CD3">
        <w:tc>
          <w:tcPr>
            <w:tcW w:w="676" w:type="dxa"/>
          </w:tcPr>
          <w:p w14:paraId="17E727D6"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2.</w:t>
            </w:r>
          </w:p>
        </w:tc>
        <w:tc>
          <w:tcPr>
            <w:tcW w:w="9105" w:type="dxa"/>
            <w:gridSpan w:val="2"/>
          </w:tcPr>
          <w:p w14:paraId="19F00580"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Élit sa/son président(e), sa/son vice-président(e) et sa/son rapporteur(e) ;</w:t>
            </w:r>
          </w:p>
        </w:tc>
      </w:tr>
      <w:tr w:rsidR="00A64E0F" w:rsidRPr="007B56B1" w14:paraId="144CE137" w14:textId="77777777" w:rsidTr="00097CD3">
        <w:tc>
          <w:tcPr>
            <w:tcW w:w="676" w:type="dxa"/>
          </w:tcPr>
          <w:p w14:paraId="7F76F9CA"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3.</w:t>
            </w:r>
          </w:p>
        </w:tc>
        <w:tc>
          <w:tcPr>
            <w:tcW w:w="9105" w:type="dxa"/>
            <w:gridSpan w:val="2"/>
          </w:tcPr>
          <w:p w14:paraId="1259A648"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Se réunit en séances privées conformément à l’article 19 du Règlement intérieur du Comité ;</w:t>
            </w:r>
          </w:p>
        </w:tc>
      </w:tr>
      <w:tr w:rsidR="00A64E0F" w:rsidRPr="007B56B1" w14:paraId="5F240029" w14:textId="77777777" w:rsidTr="00097CD3">
        <w:tc>
          <w:tcPr>
            <w:tcW w:w="676" w:type="dxa"/>
          </w:tcPr>
          <w:p w14:paraId="6468B247"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4.</w:t>
            </w:r>
          </w:p>
        </w:tc>
        <w:tc>
          <w:tcPr>
            <w:tcW w:w="9105" w:type="dxa"/>
            <w:gridSpan w:val="2"/>
          </w:tcPr>
          <w:p w14:paraId="1F8C2995"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Est responsable de l’évaluation en 2026 (i) des candidatures pour inscription (y compris le transfert d’une liste vers l’autre, l’élargissement ou la réduction d’un élément déjà inscrit) sur la Liste du patrimoine culturel immatériel nécessitant une sauvegarde urgente et sur la Liste représentative du patrimoine culturel immatériel de l’humanité, (ii) des propositions de programmes, projets et activités qui reflètent le mieux les principes et objectifs de la Convention, et (iii) des demandes d’assistance internationale soumises simultanément aux candidatures pour la Liste du patrimoine culturel immatériel nécessitant une sauvegarde urgente ou dans le cadre de la demande de transfert d’un élément de la Liste représentative du patrimoine culturel immatériel de l’humanité vers la Liste du patrimoine culturel immatériel nécessitant une sauvegarde urgente, et (iv) de tout élément placé par le Comité sous le statut de « suivi approfondi », conformément aux Directives opérationnelles pour la mise en œuvre de la Convention. Il doit notamment inclure dans son évaluation :</w:t>
            </w:r>
          </w:p>
        </w:tc>
      </w:tr>
      <w:tr w:rsidR="00A64E0F" w:rsidRPr="007B56B1" w14:paraId="6BB6808A" w14:textId="77777777" w:rsidTr="00097CD3">
        <w:tc>
          <w:tcPr>
            <w:tcW w:w="676" w:type="dxa"/>
          </w:tcPr>
          <w:p w14:paraId="0327063B" w14:textId="77777777" w:rsidR="00A64E0F" w:rsidRPr="007B56B1" w:rsidRDefault="00A64E0F" w:rsidP="00097CD3">
            <w:pPr>
              <w:spacing w:before="100" w:after="120"/>
              <w:ind w:left="113" w:right="113"/>
              <w:jc w:val="both"/>
              <w:rPr>
                <w:rFonts w:ascii="Arial" w:hAnsi="Arial" w:cs="Arial"/>
                <w:sz w:val="22"/>
                <w:szCs w:val="22"/>
              </w:rPr>
            </w:pPr>
          </w:p>
        </w:tc>
        <w:tc>
          <w:tcPr>
            <w:tcW w:w="454" w:type="dxa"/>
            <w:tcMar>
              <w:left w:w="0" w:type="dxa"/>
              <w:right w:w="0" w:type="dxa"/>
            </w:tcMar>
          </w:tcPr>
          <w:p w14:paraId="0B26B70A"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a.</w:t>
            </w:r>
          </w:p>
        </w:tc>
        <w:tc>
          <w:tcPr>
            <w:tcW w:w="8651" w:type="dxa"/>
          </w:tcPr>
          <w:p w14:paraId="6748B78D"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Une analyse de la conformité des candidatures à la Liste du patrimoine culturel immatériel nécessitant une sauvegarde urgente vis-à-vis des critères d’inscription, tels qu’énoncés au chapitre I.1 des Directives opérationnelles, ainsi que les dispositions contenues dans les chapitres I.6 et I.11 des Directives opérationnelles, y compris une analyse de la viabilité de l’élément, de la faisabilité et de l’adéquation du plan de sauvegarde, ainsi qu’une analyse des risques de disparition, comme prévu au paragraphe 29 des Directives opérationnelles ;</w:t>
            </w:r>
          </w:p>
        </w:tc>
      </w:tr>
      <w:tr w:rsidR="00A64E0F" w:rsidRPr="007B56B1" w14:paraId="6E3D0434" w14:textId="77777777" w:rsidTr="00097CD3">
        <w:tc>
          <w:tcPr>
            <w:tcW w:w="676" w:type="dxa"/>
          </w:tcPr>
          <w:p w14:paraId="536E275E" w14:textId="77777777" w:rsidR="00A64E0F" w:rsidRPr="007B56B1" w:rsidRDefault="00A64E0F" w:rsidP="00097CD3">
            <w:pPr>
              <w:spacing w:before="100" w:after="120"/>
              <w:ind w:left="113" w:right="113"/>
              <w:jc w:val="both"/>
              <w:rPr>
                <w:rFonts w:ascii="Arial" w:hAnsi="Arial" w:cs="Arial"/>
                <w:sz w:val="22"/>
                <w:szCs w:val="22"/>
              </w:rPr>
            </w:pPr>
          </w:p>
        </w:tc>
        <w:tc>
          <w:tcPr>
            <w:tcW w:w="454" w:type="dxa"/>
            <w:tcMar>
              <w:left w:w="0" w:type="dxa"/>
              <w:right w:w="0" w:type="dxa"/>
            </w:tcMar>
          </w:tcPr>
          <w:p w14:paraId="43E91717"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b.</w:t>
            </w:r>
          </w:p>
        </w:tc>
        <w:tc>
          <w:tcPr>
            <w:tcW w:w="8651" w:type="dxa"/>
          </w:tcPr>
          <w:p w14:paraId="6027B44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Une analyse de la conformité des candidatures à la Liste représentative du patrimoine culturel immatériel de l’humanité vis-à-vis des critères d’inscription, tels qu’énoncés au chapitre I.2 des Directives opérationnelles, ainsi qu’avec les dispositions contenues dans les chapitres I.6 et I.11 des Directives opérationnelles ;</w:t>
            </w:r>
          </w:p>
        </w:tc>
      </w:tr>
      <w:tr w:rsidR="00A64E0F" w:rsidRPr="007B56B1" w14:paraId="54BE32EB" w14:textId="77777777" w:rsidTr="00097CD3">
        <w:tc>
          <w:tcPr>
            <w:tcW w:w="676" w:type="dxa"/>
          </w:tcPr>
          <w:p w14:paraId="35D72000" w14:textId="77777777" w:rsidR="00A64E0F" w:rsidRPr="007B56B1" w:rsidRDefault="00A64E0F" w:rsidP="00097CD3">
            <w:pPr>
              <w:spacing w:before="100" w:after="120"/>
              <w:ind w:left="113" w:right="113"/>
              <w:jc w:val="both"/>
              <w:rPr>
                <w:rFonts w:ascii="Arial" w:hAnsi="Arial" w:cs="Arial"/>
                <w:sz w:val="22"/>
                <w:szCs w:val="22"/>
              </w:rPr>
            </w:pPr>
          </w:p>
        </w:tc>
        <w:tc>
          <w:tcPr>
            <w:tcW w:w="454" w:type="dxa"/>
            <w:tcMar>
              <w:left w:w="0" w:type="dxa"/>
              <w:right w:w="0" w:type="dxa"/>
            </w:tcMar>
          </w:tcPr>
          <w:p w14:paraId="18F36310"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c.</w:t>
            </w:r>
          </w:p>
        </w:tc>
        <w:tc>
          <w:tcPr>
            <w:tcW w:w="8651" w:type="dxa"/>
          </w:tcPr>
          <w:p w14:paraId="4C2C2618"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Une analyse de la conformité des propositions de programmes, projets et activités reflétant le mieux les principes et objectifs de la Convention vis-à-vis des critères de sélection, tels qu’énoncés au chapitre I.3 des Directives opérationnelles ;</w:t>
            </w:r>
          </w:p>
        </w:tc>
      </w:tr>
      <w:tr w:rsidR="00A64E0F" w:rsidRPr="007B56B1" w14:paraId="0465EA1A" w14:textId="77777777" w:rsidTr="00097CD3">
        <w:tc>
          <w:tcPr>
            <w:tcW w:w="676" w:type="dxa"/>
          </w:tcPr>
          <w:p w14:paraId="1FB45729" w14:textId="77777777" w:rsidR="00A64E0F" w:rsidRPr="007B56B1" w:rsidRDefault="00A64E0F" w:rsidP="00097CD3">
            <w:pPr>
              <w:spacing w:before="100" w:after="120"/>
              <w:ind w:left="113" w:right="113"/>
              <w:jc w:val="both"/>
              <w:rPr>
                <w:rFonts w:ascii="Arial" w:hAnsi="Arial" w:cs="Arial"/>
                <w:sz w:val="22"/>
                <w:szCs w:val="22"/>
              </w:rPr>
            </w:pPr>
          </w:p>
        </w:tc>
        <w:tc>
          <w:tcPr>
            <w:tcW w:w="454" w:type="dxa"/>
            <w:tcMar>
              <w:left w:w="0" w:type="dxa"/>
              <w:right w:w="0" w:type="dxa"/>
            </w:tcMar>
          </w:tcPr>
          <w:p w14:paraId="6480880C"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d.</w:t>
            </w:r>
          </w:p>
        </w:tc>
        <w:tc>
          <w:tcPr>
            <w:tcW w:w="8651" w:type="dxa"/>
          </w:tcPr>
          <w:p w14:paraId="31F0317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Une analyse de la conformité avec les critères d’approbation, tels qu’énoncés au chapitre I.4 des Directives opérationnelles, concernant les :</w:t>
            </w:r>
          </w:p>
          <w:p w14:paraId="66A76F49" w14:textId="77777777" w:rsidR="00A64E0F" w:rsidRPr="007B56B1" w:rsidRDefault="00A64E0F" w:rsidP="001E17AF">
            <w:pPr>
              <w:pStyle w:val="NormalWeb"/>
              <w:numPr>
                <w:ilvl w:val="0"/>
                <w:numId w:val="127"/>
              </w:numPr>
              <w:shd w:val="clear" w:color="auto" w:fill="FFFFFF"/>
              <w:spacing w:before="120" w:beforeAutospacing="0" w:after="120" w:afterAutospacing="0"/>
              <w:jc w:val="both"/>
              <w:rPr>
                <w:rFonts w:asciiTheme="minorBidi" w:hAnsiTheme="minorBidi" w:cstheme="minorBidi"/>
                <w:sz w:val="22"/>
                <w:szCs w:val="22"/>
              </w:rPr>
            </w:pPr>
            <w:proofErr w:type="gramStart"/>
            <w:r w:rsidRPr="007B56B1">
              <w:rPr>
                <w:rFonts w:asciiTheme="minorBidi" w:hAnsiTheme="minorBidi"/>
                <w:sz w:val="22"/>
              </w:rPr>
              <w:lastRenderedPageBreak/>
              <w:t>demandes</w:t>
            </w:r>
            <w:proofErr w:type="gramEnd"/>
            <w:r w:rsidRPr="007B56B1">
              <w:rPr>
                <w:rFonts w:asciiTheme="minorBidi" w:hAnsiTheme="minorBidi"/>
                <w:sz w:val="22"/>
              </w:rPr>
              <w:t xml:space="preserve"> d’assistance internationale soumises simultanément aux candidatures pour inscription sur la Liste du patrimoine culturel immatériel nécessitant une sauvegarde urgente ;</w:t>
            </w:r>
          </w:p>
          <w:p w14:paraId="40652C6B" w14:textId="77777777" w:rsidR="00A64E0F" w:rsidRPr="007B56B1" w:rsidRDefault="00A64E0F" w:rsidP="001E17AF">
            <w:pPr>
              <w:pStyle w:val="NormalWeb"/>
              <w:numPr>
                <w:ilvl w:val="0"/>
                <w:numId w:val="127"/>
              </w:numPr>
              <w:shd w:val="clear" w:color="auto" w:fill="FFFFFF"/>
              <w:spacing w:before="120" w:beforeAutospacing="0" w:after="120" w:afterAutospacing="0"/>
              <w:jc w:val="both"/>
              <w:rPr>
                <w:rFonts w:asciiTheme="minorBidi" w:hAnsiTheme="minorBidi" w:cstheme="minorBidi"/>
                <w:sz w:val="22"/>
                <w:szCs w:val="22"/>
              </w:rPr>
            </w:pPr>
            <w:proofErr w:type="gramStart"/>
            <w:r w:rsidRPr="007B56B1">
              <w:rPr>
                <w:rFonts w:asciiTheme="minorBidi" w:hAnsiTheme="minorBidi"/>
                <w:sz w:val="22"/>
              </w:rPr>
              <w:t>demandes</w:t>
            </w:r>
            <w:proofErr w:type="gramEnd"/>
            <w:r w:rsidRPr="007B56B1">
              <w:rPr>
                <w:rFonts w:asciiTheme="minorBidi" w:hAnsiTheme="minorBidi"/>
                <w:sz w:val="22"/>
              </w:rPr>
              <w:t xml:space="preserve"> d’assistance internationale soumises dans le cadre d’une demande de transfert d’un élément de la Liste représentative du patrimoine culturel immatériel de l’humanité vers la Liste du patrimoine culturel immatériel nécessitant une sauvegarde urgente ;</w:t>
            </w:r>
          </w:p>
        </w:tc>
      </w:tr>
      <w:tr w:rsidR="00A64E0F" w:rsidRPr="007B56B1" w14:paraId="795F3E6A" w14:textId="77777777" w:rsidTr="00097CD3">
        <w:tc>
          <w:tcPr>
            <w:tcW w:w="676" w:type="dxa"/>
          </w:tcPr>
          <w:p w14:paraId="54D2AA21" w14:textId="77777777" w:rsidR="00A64E0F" w:rsidRPr="007B56B1" w:rsidRDefault="00A64E0F" w:rsidP="00097CD3">
            <w:pPr>
              <w:spacing w:before="100" w:after="120"/>
              <w:ind w:left="113" w:right="113"/>
              <w:jc w:val="both"/>
              <w:rPr>
                <w:rFonts w:ascii="Arial" w:hAnsi="Arial" w:cs="Arial"/>
                <w:sz w:val="22"/>
                <w:szCs w:val="22"/>
              </w:rPr>
            </w:pPr>
          </w:p>
        </w:tc>
        <w:tc>
          <w:tcPr>
            <w:tcW w:w="454" w:type="dxa"/>
            <w:tcMar>
              <w:left w:w="0" w:type="dxa"/>
              <w:right w:w="0" w:type="dxa"/>
            </w:tcMar>
          </w:tcPr>
          <w:p w14:paraId="30D5A728"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e.</w:t>
            </w:r>
          </w:p>
        </w:tc>
        <w:tc>
          <w:tcPr>
            <w:tcW w:w="8651" w:type="dxa"/>
          </w:tcPr>
          <w:p w14:paraId="0F7A63FB"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Recommandations au Comité :</w:t>
            </w:r>
          </w:p>
          <w:p w14:paraId="655A3B5F" w14:textId="77777777" w:rsidR="00A64E0F" w:rsidRPr="007B56B1" w:rsidRDefault="00A64E0F" w:rsidP="001E17AF">
            <w:pPr>
              <w:pStyle w:val="NormalWeb"/>
              <w:numPr>
                <w:ilvl w:val="0"/>
                <w:numId w:val="1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Inscrire ou ne pas inscrire des éléments proposés (y compris le transfert d’une Liste à une autre, l’élargissement ou la réduction d’un élément déjà inscrit) sur la Liste du patrimoine culturel immatériel nécessitant une sauvegarde urgente ou sur la Liste représentative du patrimoine culturel immatériel de l’humanité, ou renvoyer les candidatures à l’(aux) États ou État(s) soumissionnaire(s) pour complément d’information ;</w:t>
            </w:r>
          </w:p>
          <w:p w14:paraId="51A48546" w14:textId="77777777" w:rsidR="00A64E0F" w:rsidRPr="007B56B1" w:rsidRDefault="00A64E0F" w:rsidP="001E17AF">
            <w:pPr>
              <w:pStyle w:val="NormalWeb"/>
              <w:numPr>
                <w:ilvl w:val="0"/>
                <w:numId w:val="1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Sélectionner ou ne pas sélectionner les propositions de programmes, projets ou activités reflétant le mieux les principes et objectifs de la Convention, ou de renvoyer les propositions à l’(aux) État(s) soumissionnaire(s) pour complément d’information ;</w:t>
            </w:r>
          </w:p>
          <w:p w14:paraId="2F99BF7F" w14:textId="77777777" w:rsidR="00A64E0F" w:rsidRPr="007B56B1" w:rsidRDefault="00A64E0F" w:rsidP="001E17AF">
            <w:pPr>
              <w:pStyle w:val="NormalWeb"/>
              <w:keepNext/>
              <w:numPr>
                <w:ilvl w:val="0"/>
                <w:numId w:val="127"/>
              </w:numPr>
              <w:shd w:val="clear" w:color="auto" w:fill="FFFFFF"/>
              <w:spacing w:before="120" w:beforeAutospacing="0" w:after="120" w:afterAutospacing="0"/>
              <w:jc w:val="both"/>
              <w:rPr>
                <w:rFonts w:asciiTheme="minorBidi" w:eastAsia="Calibri" w:hAnsiTheme="minorBidi" w:cstheme="minorBidi"/>
                <w:sz w:val="22"/>
                <w:szCs w:val="22"/>
              </w:rPr>
            </w:pPr>
            <w:r w:rsidRPr="007B56B1">
              <w:rPr>
                <w:rFonts w:asciiTheme="minorBidi" w:hAnsiTheme="minorBidi"/>
                <w:sz w:val="22"/>
              </w:rPr>
              <w:t>Approuver ou non les demandes d’assistance internationale soumises simultanément à une candidature sur la Liste du patrimoine culturel immatériel nécessitant une sauvegarde urgente, ou renvoyer les demandes à l’(aux) État(s) soumissionnaire(s) pour complément d’information ;</w:t>
            </w:r>
          </w:p>
          <w:p w14:paraId="385448A6" w14:textId="77777777" w:rsidR="00A64E0F" w:rsidRPr="007B56B1" w:rsidRDefault="00A64E0F" w:rsidP="001E17AF">
            <w:pPr>
              <w:pStyle w:val="NormalWeb"/>
              <w:numPr>
                <w:ilvl w:val="0"/>
                <w:numId w:val="1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Approuver ou non les demandes d’assistance internationale soumises dans le cadre d’une demande de transfert d’un élément de la Liste représentative du patrimoine culturel immatériel de l’humanité à la Liste du patrimoine culturel immatériel nécessitant une sauvegarde urgente, ou renvoyer la demande à l’(aux) État(s) soumissionnaire(s) pour complément d’information ;</w:t>
            </w:r>
          </w:p>
          <w:p w14:paraId="1473D628" w14:textId="77777777" w:rsidR="00A64E0F" w:rsidRPr="007B56B1" w:rsidRDefault="00A64E0F" w:rsidP="001E17AF">
            <w:pPr>
              <w:pStyle w:val="NormalWeb"/>
              <w:keepNext/>
              <w:numPr>
                <w:ilvl w:val="0"/>
                <w:numId w:val="127"/>
              </w:numPr>
              <w:shd w:val="clear" w:color="auto" w:fill="FFFFFF"/>
              <w:spacing w:before="120" w:beforeAutospacing="0" w:after="120" w:afterAutospacing="0"/>
              <w:jc w:val="both"/>
              <w:rPr>
                <w:rFonts w:asciiTheme="minorBidi" w:eastAsia="Calibri" w:hAnsiTheme="minorBidi" w:cstheme="minorBidi"/>
                <w:sz w:val="22"/>
                <w:szCs w:val="22"/>
              </w:rPr>
            </w:pPr>
            <w:r w:rsidRPr="007B56B1">
              <w:rPr>
                <w:rFonts w:asciiTheme="minorBidi" w:hAnsiTheme="minorBidi"/>
                <w:sz w:val="22"/>
              </w:rPr>
              <w:t>Maintenir ou retirer l’élément inscrit sur la Liste du patrimoine culturel immatériel nécessitant une sauvegarde urgente ou sur la Liste représentative du patrimoine culturel immatériel de l’humanité, en cas de « suivi approfondi » ;</w:t>
            </w:r>
          </w:p>
          <w:p w14:paraId="3AEB8BCE" w14:textId="77777777" w:rsidR="00A64E0F" w:rsidRPr="007B56B1" w:rsidRDefault="00A64E0F" w:rsidP="001E17AF">
            <w:pPr>
              <w:pStyle w:val="NormalWeb"/>
              <w:keepNext/>
              <w:keepLines/>
              <w:numPr>
                <w:ilvl w:val="0"/>
                <w:numId w:val="1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Inclure ou non, à la suite de son évaluation d’une demande de transfert, l’expérience réussie de sauvegarde dans le Registre de bonnes pratiques de sauvegarde.</w:t>
            </w:r>
          </w:p>
        </w:tc>
      </w:tr>
      <w:tr w:rsidR="00A64E0F" w:rsidRPr="007B56B1" w14:paraId="40F3AC3A" w14:textId="77777777" w:rsidTr="00097CD3">
        <w:tc>
          <w:tcPr>
            <w:tcW w:w="676" w:type="dxa"/>
          </w:tcPr>
          <w:p w14:paraId="55EA6DE1" w14:textId="77777777" w:rsidR="00A64E0F" w:rsidRPr="007B56B1" w:rsidRDefault="00A64E0F" w:rsidP="00097CD3">
            <w:pPr>
              <w:spacing w:before="100" w:after="120"/>
              <w:ind w:left="113" w:right="113"/>
              <w:jc w:val="both"/>
              <w:rPr>
                <w:rFonts w:ascii="Arial" w:hAnsi="Arial" w:cs="Arial"/>
                <w:sz w:val="22"/>
                <w:szCs w:val="22"/>
              </w:rPr>
            </w:pPr>
            <w:r w:rsidRPr="007B56B1">
              <w:br w:type="page"/>
            </w:r>
            <w:r w:rsidRPr="007B56B1">
              <w:rPr>
                <w:rFonts w:ascii="Arial" w:hAnsi="Arial"/>
                <w:sz w:val="22"/>
              </w:rPr>
              <w:t>5.</w:t>
            </w:r>
          </w:p>
        </w:tc>
        <w:tc>
          <w:tcPr>
            <w:tcW w:w="9105" w:type="dxa"/>
            <w:gridSpan w:val="2"/>
          </w:tcPr>
          <w:p w14:paraId="1D8636D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Fournit au Comité une vue d’ensemble de tous les dossiers ainsi qu’un rapport sur son évaluation ;</w:t>
            </w:r>
          </w:p>
        </w:tc>
      </w:tr>
      <w:tr w:rsidR="00A64E0F" w:rsidRPr="007B56B1" w14:paraId="7188960A" w14:textId="77777777" w:rsidTr="00097CD3">
        <w:tc>
          <w:tcPr>
            <w:tcW w:w="676" w:type="dxa"/>
          </w:tcPr>
          <w:p w14:paraId="5F231525"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6.</w:t>
            </w:r>
          </w:p>
        </w:tc>
        <w:tc>
          <w:tcPr>
            <w:tcW w:w="9105" w:type="dxa"/>
            <w:gridSpan w:val="2"/>
          </w:tcPr>
          <w:p w14:paraId="5FEF11B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Mène, si nécessaire, un processus de dialogue avec les États parties soumissionnaires au cours du processus d’évaluation, tel que stipulé au chapitre I.15 des Directives opérationnelles ;</w:t>
            </w:r>
          </w:p>
        </w:tc>
      </w:tr>
      <w:tr w:rsidR="00A64E0F" w:rsidRPr="007B56B1" w14:paraId="4125DEAD" w14:textId="77777777" w:rsidTr="00097CD3">
        <w:tc>
          <w:tcPr>
            <w:tcW w:w="676" w:type="dxa"/>
          </w:tcPr>
          <w:p w14:paraId="1FF0ECAE"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7.</w:t>
            </w:r>
          </w:p>
        </w:tc>
        <w:tc>
          <w:tcPr>
            <w:tcW w:w="9105" w:type="dxa"/>
            <w:gridSpan w:val="2"/>
          </w:tcPr>
          <w:p w14:paraId="78B48A2D"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Cesse d’exister après la soumission et la présentation à la vingtième-et-unième session du Comité du rapport sur son évaluation des dossiers à examiner par le Comité en 2026 et avec l’établissement de l’Organe d’évaluation suivant.</w:t>
            </w:r>
          </w:p>
        </w:tc>
      </w:tr>
      <w:tr w:rsidR="00A64E0F" w:rsidRPr="007B56B1" w14:paraId="78B25D0D" w14:textId="77777777" w:rsidTr="00097CD3">
        <w:tc>
          <w:tcPr>
            <w:tcW w:w="9781" w:type="dxa"/>
            <w:gridSpan w:val="3"/>
          </w:tcPr>
          <w:p w14:paraId="64DC7647" w14:textId="77777777" w:rsidR="00A64E0F" w:rsidRPr="007B56B1" w:rsidRDefault="00A64E0F" w:rsidP="00097CD3">
            <w:pPr>
              <w:spacing w:before="100" w:after="120"/>
              <w:ind w:left="113" w:right="113"/>
              <w:jc w:val="both"/>
              <w:rPr>
                <w:rFonts w:ascii="Arial" w:hAnsi="Arial" w:cs="Arial"/>
                <w:sz w:val="22"/>
                <w:szCs w:val="22"/>
              </w:rPr>
            </w:pPr>
            <w:r w:rsidRPr="007B56B1">
              <w:rPr>
                <w:rFonts w:ascii="Arial" w:hAnsi="Arial"/>
                <w:sz w:val="22"/>
              </w:rPr>
              <w:t>Une fois nommés par le Comité, les membres de l’Organe d’évaluation doivent agir en toute impartialité dans l’intérêt de tous les États parties et de la Convention.</w:t>
            </w:r>
          </w:p>
        </w:tc>
      </w:tr>
    </w:tbl>
    <w:p w14:paraId="74E4EF88" w14:textId="77777777" w:rsidR="00C34D6F" w:rsidRDefault="00C34D6F" w:rsidP="00A64E0F">
      <w:pPr>
        <w:pStyle w:val="COMTitleDecision"/>
      </w:pPr>
      <w:r>
        <w:br w:type="page"/>
      </w:r>
    </w:p>
    <w:p w14:paraId="54EA090D" w14:textId="63093FE4" w:rsidR="00691945" w:rsidRPr="00882882" w:rsidRDefault="00691945" w:rsidP="00A64E0F">
      <w:pPr>
        <w:pStyle w:val="COMTitleDecision"/>
      </w:pPr>
      <w:r w:rsidRPr="00882882">
        <w:lastRenderedPageBreak/>
        <w:t xml:space="preserve">DÉCISION </w:t>
      </w:r>
      <w:r>
        <w:t>20</w:t>
      </w:r>
      <w:r w:rsidRPr="00882882">
        <w:t>.COM 1</w:t>
      </w:r>
      <w:r>
        <w:t>8</w:t>
      </w:r>
    </w:p>
    <w:p w14:paraId="316A1E87" w14:textId="77777777" w:rsidR="00691945" w:rsidRPr="00882882" w:rsidRDefault="00691945" w:rsidP="00691945">
      <w:pPr>
        <w:pStyle w:val="COMPreambulaDecisions"/>
        <w:ind w:hanging="567"/>
        <w:rPr>
          <w:rFonts w:eastAsia="SimSun"/>
        </w:rPr>
      </w:pPr>
      <w:r w:rsidRPr="00882882">
        <w:t>Le Comité,</w:t>
      </w:r>
    </w:p>
    <w:p w14:paraId="4F21DC9C" w14:textId="0E22BBB1" w:rsidR="00691945" w:rsidRPr="001D4B05" w:rsidRDefault="00691945" w:rsidP="001E17AF">
      <w:pPr>
        <w:pStyle w:val="Style1"/>
        <w:numPr>
          <w:ilvl w:val="0"/>
          <w:numId w:val="21"/>
        </w:numPr>
        <w:ind w:left="567" w:hanging="567"/>
        <w:jc w:val="left"/>
        <w:rPr>
          <w:lang w:val="fr-FR"/>
        </w:rPr>
      </w:pPr>
      <w:r w:rsidRPr="00882882">
        <w:rPr>
          <w:u w:val="single"/>
          <w:lang w:val="fr-FR"/>
        </w:rPr>
        <w:t>Ayant examiné</w:t>
      </w:r>
      <w:r w:rsidRPr="00882882">
        <w:rPr>
          <w:lang w:val="fr-FR"/>
        </w:rPr>
        <w:t xml:space="preserve"> la prop</w:t>
      </w:r>
      <w:r w:rsidRPr="001D4B05">
        <w:rPr>
          <w:lang w:val="fr-FR"/>
        </w:rPr>
        <w:t>osition de</w:t>
      </w:r>
      <w:r w:rsidR="00AD40BE" w:rsidRPr="001D4B05">
        <w:rPr>
          <w:lang w:val="fr-FR"/>
        </w:rPr>
        <w:t xml:space="preserve"> la Chine</w:t>
      </w:r>
      <w:r w:rsidRPr="001D4B05">
        <w:rPr>
          <w:lang w:val="fr-FR"/>
        </w:rPr>
        <w:t>,</w:t>
      </w:r>
    </w:p>
    <w:p w14:paraId="61193605" w14:textId="7F8BF099" w:rsidR="00691945" w:rsidRPr="001D4B05" w:rsidRDefault="00691945" w:rsidP="001E17AF">
      <w:pPr>
        <w:pStyle w:val="COMParaDecision"/>
        <w:numPr>
          <w:ilvl w:val="0"/>
          <w:numId w:val="21"/>
        </w:numPr>
        <w:ind w:left="567" w:hanging="567"/>
        <w:jc w:val="left"/>
      </w:pPr>
      <w:r w:rsidRPr="001D4B05">
        <w:t>Décide</w:t>
      </w:r>
      <w:r w:rsidRPr="001D4B05">
        <w:rPr>
          <w:u w:val="none"/>
        </w:rPr>
        <w:t xml:space="preserve"> de tenir la vingt-et-unième session du Comité à </w:t>
      </w:r>
      <w:r w:rsidR="00AD40BE" w:rsidRPr="001D4B05">
        <w:rPr>
          <w:u w:val="none"/>
        </w:rPr>
        <w:t>Xiamen, Chine, du 30 novembre au </w:t>
      </w:r>
      <w:r w:rsidR="003469CD" w:rsidRPr="001D4B05">
        <w:rPr>
          <w:u w:val="none"/>
        </w:rPr>
        <w:t>5</w:t>
      </w:r>
      <w:r w:rsidR="00AD40BE" w:rsidRPr="001D4B05">
        <w:rPr>
          <w:u w:val="none"/>
        </w:rPr>
        <w:t> </w:t>
      </w:r>
      <w:r w:rsidRPr="001D4B05">
        <w:rPr>
          <w:u w:val="none"/>
        </w:rPr>
        <w:t>décembre 2026.</w:t>
      </w:r>
    </w:p>
    <w:p w14:paraId="1F3A467E" w14:textId="77777777" w:rsidR="00691945" w:rsidRPr="00B43974" w:rsidRDefault="00691945" w:rsidP="00691945">
      <w:pPr>
        <w:pStyle w:val="COMTitleDecision"/>
      </w:pPr>
      <w:r w:rsidRPr="0020150F">
        <w:t>DÉCIS</w:t>
      </w:r>
      <w:r>
        <w:t>ION 20</w:t>
      </w:r>
      <w:r w:rsidRPr="0020150F">
        <w:t>.COM</w:t>
      </w:r>
      <w:r>
        <w:t xml:space="preserve"> 19</w:t>
      </w:r>
    </w:p>
    <w:p w14:paraId="19AF2019" w14:textId="77777777" w:rsidR="00691945" w:rsidRPr="00B43974" w:rsidRDefault="00691945" w:rsidP="00691945">
      <w:pPr>
        <w:pStyle w:val="COMPreambulaDecision"/>
        <w:ind w:left="0"/>
      </w:pPr>
      <w:r w:rsidRPr="00B43974">
        <w:t>Le Comité,</w:t>
      </w:r>
    </w:p>
    <w:p w14:paraId="5F2343B5" w14:textId="77777777" w:rsidR="00AD7A81" w:rsidRPr="00AD7A81" w:rsidRDefault="00691945" w:rsidP="001E17AF">
      <w:pPr>
        <w:pStyle w:val="COMParaDecision"/>
        <w:numPr>
          <w:ilvl w:val="0"/>
          <w:numId w:val="123"/>
        </w:numPr>
        <w:ind w:left="567" w:hanging="567"/>
      </w:pPr>
      <w:r w:rsidRPr="00B43974">
        <w:t>Ayant examiné</w:t>
      </w:r>
      <w:r w:rsidRPr="00B43974">
        <w:rPr>
          <w:u w:val="none"/>
        </w:rPr>
        <w:t xml:space="preserve"> le document</w:t>
      </w:r>
      <w:r>
        <w:rPr>
          <w:u w:val="none"/>
        </w:rPr>
        <w:t xml:space="preserve"> </w:t>
      </w:r>
      <w:hyperlink r:id="rId135" w:history="1">
        <w:r w:rsidRPr="003201AD">
          <w:rPr>
            <w:rStyle w:val="Hyperlink"/>
          </w:rPr>
          <w:t>LHE/25/20.COM/19</w:t>
        </w:r>
      </w:hyperlink>
      <w:r>
        <w:rPr>
          <w:u w:val="none"/>
        </w:rPr>
        <w:t>,</w:t>
      </w:r>
    </w:p>
    <w:p w14:paraId="1172EECB" w14:textId="77777777" w:rsidR="00AD7A81" w:rsidRPr="00CE3691" w:rsidRDefault="00AD7A81" w:rsidP="001E17AF">
      <w:pPr>
        <w:pStyle w:val="COMParaDecision"/>
        <w:numPr>
          <w:ilvl w:val="0"/>
          <w:numId w:val="123"/>
        </w:numPr>
        <w:ind w:left="567" w:hanging="567"/>
        <w:rPr>
          <w:u w:val="none"/>
        </w:rPr>
      </w:pPr>
      <w:r w:rsidRPr="00CE3691">
        <w:t>Rappelant</w:t>
      </w:r>
      <w:r w:rsidRPr="00CE3691">
        <w:rPr>
          <w:u w:val="none"/>
        </w:rPr>
        <w:t xml:space="preserve"> les articles 4, 12 et 13 de son Règlement intérieur,</w:t>
      </w:r>
    </w:p>
    <w:p w14:paraId="4C1EA47C" w14:textId="77777777" w:rsidR="00AD7A81" w:rsidRPr="00624C05" w:rsidRDefault="00AD7A81" w:rsidP="001E17AF">
      <w:pPr>
        <w:pStyle w:val="COMParaDecision"/>
        <w:numPr>
          <w:ilvl w:val="0"/>
          <w:numId w:val="123"/>
        </w:numPr>
        <w:ind w:left="567" w:hanging="567"/>
        <w:rPr>
          <w:u w:val="none"/>
        </w:rPr>
      </w:pPr>
      <w:r w:rsidRPr="00CE3691">
        <w:t>Décide</w:t>
      </w:r>
      <w:r w:rsidRPr="00624C05">
        <w:rPr>
          <w:u w:val="none"/>
        </w:rPr>
        <w:t xml:space="preserve"> de suspendre une partie de l’article 13.1 pour donner au Bureau le temps d’identifier un(e) Président(e) ;</w:t>
      </w:r>
    </w:p>
    <w:p w14:paraId="28CBA781" w14:textId="14A9AB55" w:rsidR="00AD7A81" w:rsidRPr="003C6361" w:rsidRDefault="00AD7A81" w:rsidP="001E17AF">
      <w:pPr>
        <w:pStyle w:val="COMParaDecision"/>
        <w:numPr>
          <w:ilvl w:val="0"/>
          <w:numId w:val="123"/>
        </w:numPr>
        <w:ind w:left="567" w:hanging="567"/>
        <w:rPr>
          <w:u w:val="none"/>
        </w:rPr>
      </w:pPr>
      <w:r w:rsidRPr="00CE3691">
        <w:t>Décide en outre</w:t>
      </w:r>
      <w:r w:rsidRPr="003C6361">
        <w:rPr>
          <w:u w:val="none"/>
        </w:rPr>
        <w:t xml:space="preserve"> d’élire le/la Président(e) du Comité pour sa vingt-et-unième session parmi les Vice-Présidents, par consultation électronique, au plus tard le 31 janvier 2026 ;</w:t>
      </w:r>
    </w:p>
    <w:p w14:paraId="026E5AC2" w14:textId="2D258180" w:rsidR="00691945" w:rsidRPr="00CE3691" w:rsidRDefault="00691945" w:rsidP="001E17AF">
      <w:pPr>
        <w:pStyle w:val="COMParaDecision"/>
        <w:numPr>
          <w:ilvl w:val="0"/>
          <w:numId w:val="123"/>
        </w:numPr>
        <w:ind w:left="567" w:hanging="567"/>
        <w:rPr>
          <w:u w:val="none"/>
        </w:rPr>
      </w:pPr>
      <w:r w:rsidRPr="00CE3691">
        <w:t>Élit</w:t>
      </w:r>
      <w:r w:rsidRPr="00CE3691">
        <w:rPr>
          <w:u w:val="none"/>
        </w:rPr>
        <w:t xml:space="preserve"> </w:t>
      </w:r>
      <w:r w:rsidR="00AD7A81" w:rsidRPr="00CE3691">
        <w:rPr>
          <w:u w:val="none"/>
        </w:rPr>
        <w:t xml:space="preserve">Espagne, Ukraine, Haïti, Chine, Zambie et Algérie </w:t>
      </w:r>
      <w:r w:rsidRPr="00CE3691">
        <w:rPr>
          <w:u w:val="none"/>
        </w:rPr>
        <w:t>Vice-Président(e)s de la vingt-et-unième session du Comité ;</w:t>
      </w:r>
    </w:p>
    <w:p w14:paraId="5E9C6A04" w14:textId="12E5C9B2" w:rsidR="00691945" w:rsidRPr="00CE3691" w:rsidRDefault="00691945" w:rsidP="001E17AF">
      <w:pPr>
        <w:pStyle w:val="COMParaDecision"/>
        <w:numPr>
          <w:ilvl w:val="0"/>
          <w:numId w:val="123"/>
        </w:numPr>
        <w:ind w:left="567" w:hanging="567"/>
      </w:pPr>
      <w:r w:rsidRPr="00CE3691">
        <w:t>Élit</w:t>
      </w:r>
      <w:r w:rsidRPr="00CE3691">
        <w:rPr>
          <w:u w:val="none"/>
        </w:rPr>
        <w:t xml:space="preserve"> </w:t>
      </w:r>
      <w:r w:rsidR="00AD7A81" w:rsidRPr="00CE3691">
        <w:rPr>
          <w:u w:val="none"/>
        </w:rPr>
        <w:t xml:space="preserve">M. Arnaud </w:t>
      </w:r>
      <w:proofErr w:type="spellStart"/>
      <w:r w:rsidR="00AD7A81" w:rsidRPr="00CE3691">
        <w:rPr>
          <w:u w:val="none"/>
        </w:rPr>
        <w:t>Lelion-Lupart</w:t>
      </w:r>
      <w:proofErr w:type="spellEnd"/>
      <w:r w:rsidR="00AD7A81" w:rsidRPr="00CE3691">
        <w:rPr>
          <w:u w:val="none"/>
        </w:rPr>
        <w:t xml:space="preserve"> (France) </w:t>
      </w:r>
      <w:r w:rsidRPr="00CE3691">
        <w:rPr>
          <w:u w:val="none"/>
        </w:rPr>
        <w:t xml:space="preserve">Rapporteur de la vingt-et-unième session du Comité. </w:t>
      </w:r>
    </w:p>
    <w:p w14:paraId="319BF55F" w14:textId="77777777" w:rsidR="00691945" w:rsidRPr="0011574C" w:rsidRDefault="00691945" w:rsidP="0097627B">
      <w:pPr>
        <w:pStyle w:val="COMTitleDecision"/>
        <w:keepNext/>
      </w:pPr>
      <w:r w:rsidRPr="0011574C">
        <w:t>DÉCISION 20.COM 20</w:t>
      </w:r>
    </w:p>
    <w:p w14:paraId="472106CB" w14:textId="77777777" w:rsidR="00691945" w:rsidRPr="0011574C" w:rsidRDefault="00691945" w:rsidP="007D3133">
      <w:pPr>
        <w:pStyle w:val="COMPreambulaDecisions"/>
        <w:ind w:left="0"/>
        <w:rPr>
          <w:rFonts w:eastAsia="SimSun"/>
        </w:rPr>
      </w:pPr>
      <w:r w:rsidRPr="0011574C">
        <w:t>Le Comité,</w:t>
      </w:r>
    </w:p>
    <w:p w14:paraId="590E65F2" w14:textId="77777777" w:rsidR="00691945" w:rsidRPr="0011574C" w:rsidRDefault="00691945" w:rsidP="001E17AF">
      <w:pPr>
        <w:pStyle w:val="COMParaDecision"/>
        <w:numPr>
          <w:ilvl w:val="0"/>
          <w:numId w:val="124"/>
        </w:numPr>
        <w:ind w:left="567" w:hanging="567"/>
      </w:pPr>
      <w:r w:rsidRPr="0011574C">
        <w:t>Ayant examiné</w:t>
      </w:r>
      <w:r w:rsidRPr="0011574C">
        <w:rPr>
          <w:u w:val="none"/>
        </w:rPr>
        <w:t xml:space="preserve"> le document </w:t>
      </w:r>
      <w:hyperlink r:id="rId136" w:history="1">
        <w:r w:rsidRPr="00A33338">
          <w:rPr>
            <w:rStyle w:val="Hyperlink"/>
          </w:rPr>
          <w:t>LHE/25/20.COM/20</w:t>
        </w:r>
      </w:hyperlink>
      <w:r w:rsidRPr="0011574C">
        <w:rPr>
          <w:u w:val="none"/>
        </w:rPr>
        <w:t xml:space="preserve"> et son annexe,</w:t>
      </w:r>
    </w:p>
    <w:p w14:paraId="1869EAB4" w14:textId="77777777" w:rsidR="00691945" w:rsidRPr="0011574C" w:rsidRDefault="00691945" w:rsidP="001E17AF">
      <w:pPr>
        <w:pStyle w:val="COMParaDecision"/>
        <w:numPr>
          <w:ilvl w:val="0"/>
          <w:numId w:val="124"/>
        </w:numPr>
        <w:ind w:left="567" w:hanging="567"/>
      </w:pPr>
      <w:r w:rsidRPr="0011574C">
        <w:t>Rappelant</w:t>
      </w:r>
      <w:r w:rsidRPr="0011574C">
        <w:rPr>
          <w:u w:val="none"/>
        </w:rPr>
        <w:t xml:space="preserve"> l’article 30 de la Convention ainsi que l’article 46 du Règlement intérieur du Comité,</w:t>
      </w:r>
    </w:p>
    <w:p w14:paraId="325DC38C" w14:textId="77777777" w:rsidR="00691945" w:rsidRPr="0011574C" w:rsidRDefault="00691945" w:rsidP="001E17AF">
      <w:pPr>
        <w:pStyle w:val="COMParaDecision"/>
        <w:numPr>
          <w:ilvl w:val="0"/>
          <w:numId w:val="124"/>
        </w:numPr>
        <w:ind w:left="567" w:hanging="567"/>
        <w:rPr>
          <w:u w:val="none"/>
        </w:rPr>
      </w:pPr>
      <w:r w:rsidRPr="0011574C">
        <w:t>Accueille</w:t>
      </w:r>
      <w:r w:rsidRPr="0011574C">
        <w:rPr>
          <w:u w:val="none"/>
        </w:rPr>
        <w:t xml:space="preserve"> les États qui ont ratifié la Convention depuis janvier 2024 ;</w:t>
      </w:r>
    </w:p>
    <w:p w14:paraId="27C4DADB" w14:textId="09CE42DD" w:rsidR="00691945" w:rsidRPr="003311AF" w:rsidRDefault="00691945" w:rsidP="001E17AF">
      <w:pPr>
        <w:pStyle w:val="COMParaDecision"/>
        <w:numPr>
          <w:ilvl w:val="0"/>
          <w:numId w:val="124"/>
        </w:numPr>
        <w:ind w:left="567" w:hanging="567"/>
      </w:pPr>
      <w:r w:rsidRPr="0011574C">
        <w:t>Adopte</w:t>
      </w:r>
      <w:r w:rsidRPr="0011574C">
        <w:rPr>
          <w:u w:val="none"/>
        </w:rPr>
        <w:t xml:space="preserve"> le rapport sur ses activités menées en 2024 et 2025 et </w:t>
      </w:r>
      <w:r w:rsidRPr="0011574C">
        <w:t>demande</w:t>
      </w:r>
      <w:r w:rsidRPr="0011574C">
        <w:rPr>
          <w:u w:val="none"/>
        </w:rPr>
        <w:t xml:space="preserve"> au Secrétariat de le présenter pour examen lors de la onzième session de l’Assemblée générale.</w:t>
      </w:r>
    </w:p>
    <w:sectPr w:rsidR="00691945" w:rsidRPr="003311AF" w:rsidSect="00655736">
      <w:headerReference w:type="even" r:id="rId137"/>
      <w:headerReference w:type="default" r:id="rId138"/>
      <w:headerReference w:type="first" r:id="rId13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60F2" w14:textId="77777777" w:rsidR="009A0F13" w:rsidRDefault="009A0F13" w:rsidP="00655736">
      <w:r>
        <w:separator/>
      </w:r>
    </w:p>
    <w:p w14:paraId="6982CABA" w14:textId="77777777" w:rsidR="009A0F13" w:rsidRDefault="009A0F13"/>
    <w:p w14:paraId="59A81EDB" w14:textId="77777777" w:rsidR="009A0F13" w:rsidRDefault="009A0F13" w:rsidP="002E58D4"/>
    <w:p w14:paraId="21B4ADDF" w14:textId="77777777" w:rsidR="009A0F13" w:rsidRDefault="009A0F13" w:rsidP="002E58D4"/>
    <w:p w14:paraId="2B7F1696" w14:textId="77777777" w:rsidR="009A0F13" w:rsidRDefault="009A0F13" w:rsidP="002E58D4"/>
  </w:endnote>
  <w:endnote w:type="continuationSeparator" w:id="0">
    <w:p w14:paraId="14A4CFA6" w14:textId="77777777" w:rsidR="009A0F13" w:rsidRDefault="009A0F13" w:rsidP="00655736">
      <w:r>
        <w:continuationSeparator/>
      </w:r>
    </w:p>
    <w:p w14:paraId="11BEBD31" w14:textId="77777777" w:rsidR="009A0F13" w:rsidRDefault="009A0F13"/>
    <w:p w14:paraId="5D6CC8E1" w14:textId="77777777" w:rsidR="009A0F13" w:rsidRDefault="009A0F13" w:rsidP="002E58D4"/>
    <w:p w14:paraId="316355E7" w14:textId="77777777" w:rsidR="009A0F13" w:rsidRDefault="009A0F13" w:rsidP="002E58D4"/>
    <w:p w14:paraId="4AE3438D" w14:textId="77777777" w:rsidR="009A0F13" w:rsidRDefault="009A0F13"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8EA4" w14:textId="77777777" w:rsidR="009A0F13" w:rsidRDefault="009A0F13" w:rsidP="00655736">
      <w:r>
        <w:separator/>
      </w:r>
    </w:p>
  </w:footnote>
  <w:footnote w:type="continuationSeparator" w:id="0">
    <w:p w14:paraId="517D4DAE" w14:textId="77777777" w:rsidR="009A0F13" w:rsidRDefault="009A0F13" w:rsidP="00655736">
      <w:r>
        <w:continuationSeparator/>
      </w:r>
    </w:p>
    <w:p w14:paraId="4F19E3BA" w14:textId="77777777" w:rsidR="009A0F13" w:rsidRDefault="009A0F13"/>
    <w:p w14:paraId="2F423668" w14:textId="77777777" w:rsidR="009A0F13" w:rsidRDefault="009A0F13" w:rsidP="002E58D4"/>
    <w:p w14:paraId="1A2DF379" w14:textId="77777777" w:rsidR="009A0F13" w:rsidRDefault="009A0F13" w:rsidP="002E58D4"/>
    <w:p w14:paraId="6FE22B91" w14:textId="77777777" w:rsidR="009A0F13" w:rsidRDefault="009A0F13"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79DD1041" w:rsidR="00891DFF" w:rsidRPr="002E58D4" w:rsidRDefault="00891DFF" w:rsidP="00461168">
    <w:pPr>
      <w:pStyle w:val="Header"/>
      <w:rPr>
        <w:rFonts w:ascii="Arial" w:hAnsi="Arial" w:cs="Arial"/>
        <w:lang w:val="en-US"/>
      </w:rPr>
    </w:pPr>
    <w:r w:rsidRPr="00774030">
      <w:rPr>
        <w:rFonts w:ascii="Arial" w:hAnsi="Arial" w:cs="Arial"/>
        <w:sz w:val="20"/>
        <w:szCs w:val="20"/>
        <w:lang w:val="en-US"/>
      </w:rPr>
      <w:t>LHE/2</w:t>
    </w:r>
    <w:r w:rsidR="001449D2">
      <w:rPr>
        <w:rFonts w:ascii="Arial" w:hAnsi="Arial" w:cs="Arial"/>
        <w:sz w:val="20"/>
        <w:szCs w:val="20"/>
        <w:lang w:val="en-US"/>
      </w:rPr>
      <w:t>5</w:t>
    </w:r>
    <w:r w:rsidRPr="00774030">
      <w:rPr>
        <w:rFonts w:ascii="Arial" w:hAnsi="Arial" w:cs="Arial"/>
        <w:sz w:val="20"/>
        <w:szCs w:val="20"/>
        <w:lang w:val="en-US"/>
      </w:rPr>
      <w:t>/</w:t>
    </w:r>
    <w:r w:rsidR="001449D2">
      <w:rPr>
        <w:rFonts w:ascii="Arial" w:hAnsi="Arial" w:cs="Arial"/>
        <w:sz w:val="20"/>
        <w:szCs w:val="20"/>
        <w:lang w:val="en-US"/>
      </w:rPr>
      <w:t>20</w:t>
    </w:r>
    <w:r w:rsidRPr="00774030">
      <w:rPr>
        <w:rFonts w:ascii="Arial" w:hAnsi="Arial" w:cs="Arial"/>
        <w:sz w:val="20"/>
        <w:szCs w:val="20"/>
        <w:lang w:val="en-US"/>
      </w:rPr>
      <w:t>.COM/D</w:t>
    </w:r>
    <w:r>
      <w:rPr>
        <w:rFonts w:ascii="Arial" w:hAnsi="Arial" w:cs="Arial"/>
        <w:sz w:val="20"/>
        <w:szCs w:val="20"/>
        <w:lang w:val="en-US"/>
      </w:rPr>
      <w:t>é</w:t>
    </w:r>
    <w:r w:rsidRPr="00774030">
      <w:rPr>
        <w:rFonts w:ascii="Arial" w:hAnsi="Arial" w:cs="Arial"/>
        <w:sz w:val="20"/>
        <w:szCs w:val="20"/>
        <w:lang w:val="en-US"/>
      </w:rPr>
      <w:t xml:space="preserve">cisions – page </w:t>
    </w:r>
    <w:r w:rsidRPr="00774030">
      <w:rPr>
        <w:rStyle w:val="PageNumber"/>
        <w:rFonts w:ascii="Arial" w:hAnsi="Arial" w:cs="Arial"/>
        <w:sz w:val="20"/>
        <w:szCs w:val="20"/>
      </w:rPr>
      <w:fldChar w:fldCharType="begin"/>
    </w:r>
    <w:r w:rsidRPr="00774030">
      <w:rPr>
        <w:rStyle w:val="PageNumber"/>
        <w:rFonts w:ascii="Arial" w:hAnsi="Arial" w:cs="Arial"/>
        <w:sz w:val="20"/>
        <w:szCs w:val="20"/>
        <w:lang w:val="en-US"/>
      </w:rPr>
      <w:instrText xml:space="preserve"> PAGE </w:instrText>
    </w:r>
    <w:r w:rsidRPr="00774030">
      <w:rPr>
        <w:rStyle w:val="PageNumber"/>
        <w:rFonts w:ascii="Arial" w:hAnsi="Arial" w:cs="Arial"/>
        <w:sz w:val="20"/>
        <w:szCs w:val="20"/>
      </w:rPr>
      <w:fldChar w:fldCharType="separate"/>
    </w:r>
    <w:r w:rsidR="000C1CC7">
      <w:rPr>
        <w:rStyle w:val="PageNumber"/>
        <w:rFonts w:ascii="Arial" w:hAnsi="Arial" w:cs="Arial"/>
        <w:noProof/>
        <w:sz w:val="20"/>
        <w:szCs w:val="20"/>
        <w:lang w:val="en-US"/>
      </w:rPr>
      <w:t>132</w:t>
    </w:r>
    <w:r w:rsidRPr="00774030">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30C586C6" w:rsidR="00891DFF" w:rsidRPr="00BC3420" w:rsidRDefault="00891DFF" w:rsidP="00461168">
    <w:pPr>
      <w:pStyle w:val="Header"/>
      <w:jc w:val="right"/>
      <w:rPr>
        <w:rFonts w:ascii="Arial" w:hAnsi="Arial" w:cs="Arial"/>
        <w:lang w:val="en-US"/>
      </w:rPr>
    </w:pPr>
    <w:r>
      <w:rPr>
        <w:rFonts w:ascii="Arial" w:hAnsi="Arial" w:cs="Arial"/>
        <w:sz w:val="20"/>
        <w:szCs w:val="20"/>
        <w:lang w:val="en-US"/>
      </w:rPr>
      <w:t>LHE/2</w:t>
    </w:r>
    <w:r w:rsidR="001449D2">
      <w:rPr>
        <w:rFonts w:ascii="Arial" w:hAnsi="Arial" w:cs="Arial"/>
        <w:sz w:val="20"/>
        <w:szCs w:val="20"/>
        <w:lang w:val="en-US"/>
      </w:rPr>
      <w:t>5</w:t>
    </w:r>
    <w:r>
      <w:rPr>
        <w:rFonts w:ascii="Arial" w:hAnsi="Arial" w:cs="Arial"/>
        <w:sz w:val="20"/>
        <w:szCs w:val="20"/>
        <w:lang w:val="en-US"/>
      </w:rPr>
      <w:t>/</w:t>
    </w:r>
    <w:r w:rsidR="001449D2">
      <w:rPr>
        <w:rFonts w:ascii="Arial" w:hAnsi="Arial" w:cs="Arial"/>
        <w:sz w:val="20"/>
        <w:szCs w:val="20"/>
        <w:lang w:val="en-US"/>
      </w:rPr>
      <w:t>20</w:t>
    </w:r>
    <w:r>
      <w:rPr>
        <w:rFonts w:ascii="Arial" w:hAnsi="Arial" w:cs="Arial"/>
        <w:sz w:val="20"/>
        <w:szCs w:val="20"/>
        <w:lang w:val="en-US"/>
      </w:rPr>
      <w:t>.COM/Décisions</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0C1CC7">
      <w:rPr>
        <w:rStyle w:val="PageNumber"/>
        <w:rFonts w:ascii="Arial" w:hAnsi="Arial" w:cs="Arial"/>
        <w:noProof/>
        <w:sz w:val="20"/>
        <w:szCs w:val="20"/>
        <w:lang w:val="en-US"/>
      </w:rPr>
      <w:t>129</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10BE9169" w:rsidR="00891DFF" w:rsidRPr="008B64DF" w:rsidRDefault="00891DFF">
    <w:pPr>
      <w:pStyle w:val="Header"/>
      <w:rPr>
        <w:sz w:val="22"/>
        <w:szCs w:val="22"/>
      </w:rPr>
    </w:pPr>
    <w:r>
      <w:rPr>
        <w:rFonts w:ascii="Arial" w:hAnsi="Arial" w:cs="Arial"/>
        <w:b/>
        <w:noProof/>
        <w:sz w:val="44"/>
        <w:szCs w:val="44"/>
        <w:lang w:val="en-US" w:eastAsia="en-US"/>
      </w:rPr>
      <w:drawing>
        <wp:anchor distT="0" distB="0" distL="114300" distR="114300" simplePos="0" relativeHeight="251658240"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54A157A5" w:rsidR="00891DFF" w:rsidRPr="00B24143" w:rsidRDefault="00FA7847" w:rsidP="008F09EC">
    <w:pPr>
      <w:pStyle w:val="Header"/>
      <w:spacing w:after="520"/>
      <w:jc w:val="right"/>
      <w:rPr>
        <w:rFonts w:ascii="Arial" w:hAnsi="Arial" w:cs="Arial"/>
        <w:b/>
        <w:sz w:val="44"/>
        <w:szCs w:val="44"/>
      </w:rPr>
    </w:pPr>
    <w:r>
      <w:rPr>
        <w:rFonts w:ascii="Arial" w:hAnsi="Arial" w:cs="Arial"/>
        <w:b/>
        <w:sz w:val="44"/>
        <w:szCs w:val="44"/>
      </w:rPr>
      <w:t>20</w:t>
    </w:r>
    <w:r w:rsidR="00891DFF" w:rsidRPr="00B24143">
      <w:rPr>
        <w:rFonts w:ascii="Arial" w:hAnsi="Arial" w:cs="Arial"/>
        <w:b/>
        <w:sz w:val="44"/>
        <w:szCs w:val="44"/>
      </w:rPr>
      <w:t xml:space="preserve"> COM</w:t>
    </w:r>
  </w:p>
  <w:p w14:paraId="4AD38C3D" w14:textId="3A7494A3" w:rsidR="00891DFF" w:rsidRPr="00B24143" w:rsidRDefault="00891DFF" w:rsidP="008F09EC">
    <w:pPr>
      <w:jc w:val="right"/>
      <w:rPr>
        <w:rFonts w:ascii="Arial" w:hAnsi="Arial" w:cs="Arial"/>
        <w:b/>
        <w:sz w:val="22"/>
        <w:szCs w:val="22"/>
      </w:rPr>
    </w:pPr>
    <w:r w:rsidRPr="00B24143">
      <w:rPr>
        <w:rFonts w:ascii="Arial" w:hAnsi="Arial" w:cs="Arial"/>
        <w:b/>
        <w:sz w:val="22"/>
        <w:szCs w:val="22"/>
      </w:rPr>
      <w:t>LHE/2</w:t>
    </w:r>
    <w:r w:rsidR="00FA7847">
      <w:rPr>
        <w:rFonts w:ascii="Arial" w:hAnsi="Arial" w:cs="Arial"/>
        <w:b/>
        <w:sz w:val="22"/>
        <w:szCs w:val="22"/>
      </w:rPr>
      <w:t>5</w:t>
    </w:r>
    <w:r w:rsidRPr="00B24143">
      <w:rPr>
        <w:rFonts w:ascii="Arial" w:hAnsi="Arial" w:cs="Arial"/>
        <w:b/>
        <w:sz w:val="22"/>
        <w:szCs w:val="22"/>
      </w:rPr>
      <w:t>/</w:t>
    </w:r>
    <w:r w:rsidR="00FA7847">
      <w:rPr>
        <w:rFonts w:ascii="Arial" w:hAnsi="Arial" w:cs="Arial"/>
        <w:b/>
        <w:sz w:val="22"/>
        <w:szCs w:val="22"/>
      </w:rPr>
      <w:t>20</w:t>
    </w:r>
    <w:r w:rsidRPr="00B24143">
      <w:rPr>
        <w:rFonts w:ascii="Arial" w:hAnsi="Arial" w:cs="Arial"/>
        <w:b/>
        <w:sz w:val="22"/>
        <w:szCs w:val="22"/>
      </w:rPr>
      <w:t>.COM/Décisions</w:t>
    </w:r>
  </w:p>
  <w:p w14:paraId="30B7DEB9" w14:textId="1794F312" w:rsidR="00891DFF" w:rsidRPr="00B24143" w:rsidRDefault="00891DFF" w:rsidP="007E60C6">
    <w:pPr>
      <w:jc w:val="right"/>
      <w:rPr>
        <w:rFonts w:ascii="Arial" w:eastAsiaTheme="minorEastAsia" w:hAnsi="Arial" w:cs="Arial"/>
        <w:b/>
        <w:sz w:val="22"/>
        <w:szCs w:val="22"/>
        <w:lang w:eastAsia="ko-KR"/>
      </w:rPr>
    </w:pPr>
    <w:r w:rsidRPr="005A458B">
      <w:rPr>
        <w:rFonts w:ascii="Arial" w:hAnsi="Arial" w:cs="Arial"/>
        <w:b/>
        <w:sz w:val="22"/>
        <w:szCs w:val="22"/>
      </w:rPr>
      <w:t xml:space="preserve">Paris, </w:t>
    </w:r>
    <w:r w:rsidR="0024623A" w:rsidRPr="005A458B">
      <w:rPr>
        <w:rFonts w:ascii="Arial" w:hAnsi="Arial" w:cs="Arial"/>
        <w:b/>
        <w:sz w:val="22"/>
        <w:szCs w:val="22"/>
      </w:rPr>
      <w:t xml:space="preserve">le </w:t>
    </w:r>
    <w:r w:rsidR="004C133C" w:rsidRPr="005A458B">
      <w:rPr>
        <w:rFonts w:ascii="Arial" w:hAnsi="Arial" w:cs="Arial"/>
        <w:b/>
        <w:sz w:val="22"/>
        <w:szCs w:val="22"/>
      </w:rPr>
      <w:t>5</w:t>
    </w:r>
    <w:r w:rsidR="00037274" w:rsidRPr="005A458B">
      <w:rPr>
        <w:rFonts w:ascii="Arial" w:hAnsi="Arial" w:cs="Arial"/>
        <w:b/>
        <w:sz w:val="22"/>
        <w:szCs w:val="22"/>
      </w:rPr>
      <w:t xml:space="preserve"> </w:t>
    </w:r>
    <w:r w:rsidR="004C133C" w:rsidRPr="005A458B">
      <w:rPr>
        <w:rFonts w:ascii="Arial" w:hAnsi="Arial" w:cs="Arial"/>
        <w:b/>
        <w:sz w:val="22"/>
        <w:szCs w:val="22"/>
      </w:rPr>
      <w:t>janvier</w:t>
    </w:r>
    <w:r w:rsidR="000802E3">
      <w:rPr>
        <w:rFonts w:ascii="Arial" w:hAnsi="Arial" w:cs="Arial"/>
        <w:b/>
        <w:sz w:val="22"/>
        <w:szCs w:val="22"/>
      </w:rPr>
      <w:t xml:space="preserve"> </w:t>
    </w:r>
    <w:r w:rsidRPr="005A458B">
      <w:rPr>
        <w:rFonts w:ascii="Arial" w:hAnsi="Arial" w:cs="Arial"/>
        <w:b/>
        <w:sz w:val="22"/>
        <w:szCs w:val="22"/>
      </w:rPr>
      <w:t>202</w:t>
    </w:r>
    <w:r w:rsidR="000802E3">
      <w:rPr>
        <w:rFonts w:ascii="Arial" w:hAnsi="Arial" w:cs="Arial"/>
        <w:b/>
        <w:sz w:val="22"/>
        <w:szCs w:val="22"/>
      </w:rPr>
      <w:t>6</w:t>
    </w:r>
  </w:p>
  <w:p w14:paraId="18E81B87" w14:textId="6EDEA717" w:rsidR="00891DFF" w:rsidRPr="0020150F" w:rsidRDefault="00891DFF" w:rsidP="00F84A0B">
    <w:pPr>
      <w:spacing w:after="240"/>
      <w:jc w:val="right"/>
      <w:rPr>
        <w:rFonts w:ascii="Arial" w:hAnsi="Arial" w:cs="Arial"/>
        <w:b/>
        <w:sz w:val="22"/>
        <w:szCs w:val="22"/>
      </w:rPr>
    </w:pPr>
    <w:r w:rsidRPr="002E1089">
      <w:rPr>
        <w:rFonts w:ascii="Arial" w:hAnsi="Arial" w:cs="Arial"/>
        <w:b/>
        <w:sz w:val="22"/>
        <w:szCs w:val="22"/>
      </w:rPr>
      <w:t>Original : anglais/français</w:t>
    </w:r>
  </w:p>
  <w:p w14:paraId="1B74C5FD" w14:textId="77777777" w:rsidR="00891DFF" w:rsidRPr="008B64DF" w:rsidRDefault="00891DF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31B"/>
    <w:multiLevelType w:val="hybridMultilevel"/>
    <w:tmpl w:val="239C98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B5C20"/>
    <w:multiLevelType w:val="hybridMultilevel"/>
    <w:tmpl w:val="1E6EEB36"/>
    <w:lvl w:ilvl="0" w:tplc="254AEE7E">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51FC0"/>
    <w:multiLevelType w:val="hybridMultilevel"/>
    <w:tmpl w:val="4D3418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6092653"/>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6166A4"/>
    <w:multiLevelType w:val="hybridMultilevel"/>
    <w:tmpl w:val="286AEA06"/>
    <w:lvl w:ilvl="0" w:tplc="DBF6EA04">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6EA0053"/>
    <w:multiLevelType w:val="hybridMultilevel"/>
    <w:tmpl w:val="61A6758C"/>
    <w:lvl w:ilvl="0" w:tplc="57B66D06">
      <w:start w:val="4"/>
      <w:numFmt w:val="decimal"/>
      <w:lvlText w:val="%1."/>
      <w:lvlJc w:val="left"/>
      <w:pPr>
        <w:ind w:left="36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750419B"/>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07C37BD5"/>
    <w:multiLevelType w:val="hybridMultilevel"/>
    <w:tmpl w:val="F03A9928"/>
    <w:lvl w:ilvl="0" w:tplc="351E19AC">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B65582"/>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90F4176"/>
    <w:multiLevelType w:val="hybridMultilevel"/>
    <w:tmpl w:val="54E6501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B252E6B"/>
    <w:multiLevelType w:val="hybridMultilevel"/>
    <w:tmpl w:val="239C98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024853"/>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3" w15:restartNumberingAfterBreak="0">
    <w:nsid w:val="10467599"/>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0904BB"/>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A326B7"/>
    <w:multiLevelType w:val="hybridMultilevel"/>
    <w:tmpl w:val="0F64F3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2F90954"/>
    <w:multiLevelType w:val="hybridMultilevel"/>
    <w:tmpl w:val="FD682A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13B82573"/>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13DC1F9C"/>
    <w:multiLevelType w:val="hybridMultilevel"/>
    <w:tmpl w:val="FD682A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144B28EA"/>
    <w:multiLevelType w:val="hybridMultilevel"/>
    <w:tmpl w:val="0F64F3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F0489F"/>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2A31DC"/>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2" w15:restartNumberingAfterBreak="0">
    <w:nsid w:val="18E36F3A"/>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3" w15:restartNumberingAfterBreak="0">
    <w:nsid w:val="19797B37"/>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1A8F11C3"/>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1CB042BE"/>
    <w:multiLevelType w:val="hybridMultilevel"/>
    <w:tmpl w:val="53A695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D087263"/>
    <w:multiLevelType w:val="hybridMultilevel"/>
    <w:tmpl w:val="1DB03F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1E4A34E1"/>
    <w:multiLevelType w:val="hybridMultilevel"/>
    <w:tmpl w:val="7892DF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FBA62DA"/>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9" w15:restartNumberingAfterBreak="0">
    <w:nsid w:val="20412407"/>
    <w:multiLevelType w:val="hybridMultilevel"/>
    <w:tmpl w:val="A0B0E8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1CF4978"/>
    <w:multiLevelType w:val="hybridMultilevel"/>
    <w:tmpl w:val="8A86B774"/>
    <w:lvl w:ilvl="0" w:tplc="34CABB6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DC77F3"/>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22FF3681"/>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5810D92"/>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4" w15:restartNumberingAfterBreak="0">
    <w:nsid w:val="26012006"/>
    <w:multiLevelType w:val="hybridMultilevel"/>
    <w:tmpl w:val="05A00E50"/>
    <w:lvl w:ilvl="0" w:tplc="96B4ECE2">
      <w:start w:val="1"/>
      <w:numFmt w:val="decimal"/>
      <w:lvlText w:val="%1."/>
      <w:lvlJc w:val="left"/>
      <w:pPr>
        <w:ind w:left="3690" w:hanging="360"/>
      </w:pPr>
      <w:rPr>
        <w:lang w:val="en-GB"/>
      </w:rPr>
    </w:lvl>
    <w:lvl w:ilvl="1" w:tplc="040C0019">
      <w:start w:val="1"/>
      <w:numFmt w:val="lowerLetter"/>
      <w:lvlText w:val="%2."/>
      <w:lvlJc w:val="left"/>
      <w:pPr>
        <w:ind w:left="4410" w:hanging="360"/>
      </w:pPr>
    </w:lvl>
    <w:lvl w:ilvl="2" w:tplc="040C001B" w:tentative="1">
      <w:start w:val="1"/>
      <w:numFmt w:val="lowerRoman"/>
      <w:lvlText w:val="%3."/>
      <w:lvlJc w:val="right"/>
      <w:pPr>
        <w:ind w:left="5130" w:hanging="180"/>
      </w:pPr>
    </w:lvl>
    <w:lvl w:ilvl="3" w:tplc="040C000F" w:tentative="1">
      <w:start w:val="1"/>
      <w:numFmt w:val="decimal"/>
      <w:lvlText w:val="%4."/>
      <w:lvlJc w:val="left"/>
      <w:pPr>
        <w:ind w:left="5850" w:hanging="360"/>
      </w:pPr>
    </w:lvl>
    <w:lvl w:ilvl="4" w:tplc="040C0019" w:tentative="1">
      <w:start w:val="1"/>
      <w:numFmt w:val="lowerLetter"/>
      <w:lvlText w:val="%5."/>
      <w:lvlJc w:val="left"/>
      <w:pPr>
        <w:ind w:left="6570" w:hanging="360"/>
      </w:pPr>
    </w:lvl>
    <w:lvl w:ilvl="5" w:tplc="040C001B" w:tentative="1">
      <w:start w:val="1"/>
      <w:numFmt w:val="lowerRoman"/>
      <w:lvlText w:val="%6."/>
      <w:lvlJc w:val="right"/>
      <w:pPr>
        <w:ind w:left="7290" w:hanging="180"/>
      </w:pPr>
    </w:lvl>
    <w:lvl w:ilvl="6" w:tplc="040C000F" w:tentative="1">
      <w:start w:val="1"/>
      <w:numFmt w:val="decimal"/>
      <w:lvlText w:val="%7."/>
      <w:lvlJc w:val="left"/>
      <w:pPr>
        <w:ind w:left="8010" w:hanging="360"/>
      </w:pPr>
    </w:lvl>
    <w:lvl w:ilvl="7" w:tplc="040C0019" w:tentative="1">
      <w:start w:val="1"/>
      <w:numFmt w:val="lowerLetter"/>
      <w:lvlText w:val="%8."/>
      <w:lvlJc w:val="left"/>
      <w:pPr>
        <w:ind w:left="8730" w:hanging="360"/>
      </w:pPr>
    </w:lvl>
    <w:lvl w:ilvl="8" w:tplc="040C001B" w:tentative="1">
      <w:start w:val="1"/>
      <w:numFmt w:val="lowerRoman"/>
      <w:lvlText w:val="%9."/>
      <w:lvlJc w:val="right"/>
      <w:pPr>
        <w:ind w:left="9450" w:hanging="180"/>
      </w:pPr>
    </w:lvl>
  </w:abstractNum>
  <w:abstractNum w:abstractNumId="35" w15:restartNumberingAfterBreak="0">
    <w:nsid w:val="2688597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7BB7B7E"/>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7" w15:restartNumberingAfterBreak="0">
    <w:nsid w:val="28224C9D"/>
    <w:multiLevelType w:val="hybridMultilevel"/>
    <w:tmpl w:val="54E6501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8882027"/>
    <w:multiLevelType w:val="hybridMultilevel"/>
    <w:tmpl w:val="824AC0E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D341D6"/>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525173"/>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9A1C95"/>
    <w:multiLevelType w:val="hybridMultilevel"/>
    <w:tmpl w:val="239C98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B663203"/>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2D264326"/>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D9E3000"/>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E4EB6"/>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2E9F4E22"/>
    <w:multiLevelType w:val="hybridMultilevel"/>
    <w:tmpl w:val="7F626EA4"/>
    <w:lvl w:ilvl="0" w:tplc="2D7AF2BA">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2F853E63"/>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3A4DB9"/>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19E2A64"/>
    <w:multiLevelType w:val="hybridMultilevel"/>
    <w:tmpl w:val="F03A992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3213E9D"/>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2" w15:restartNumberingAfterBreak="0">
    <w:nsid w:val="33481EEE"/>
    <w:multiLevelType w:val="hybridMultilevel"/>
    <w:tmpl w:val="FD682A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3" w15:restartNumberingAfterBreak="0">
    <w:nsid w:val="33A03C13"/>
    <w:multiLevelType w:val="hybridMultilevel"/>
    <w:tmpl w:val="CD6C4DA8"/>
    <w:lvl w:ilvl="0" w:tplc="A62C719E">
      <w:start w:val="1"/>
      <w:numFmt w:val="decimal"/>
      <w:lvlText w:val="%1."/>
      <w:lvlJc w:val="left"/>
      <w:pPr>
        <w:ind w:left="927" w:hanging="360"/>
      </w:pPr>
      <w:rPr>
        <w:rFonts w:hint="default"/>
        <w:u w:val="none"/>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51D4D92"/>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37B31EF4"/>
    <w:multiLevelType w:val="hybridMultilevel"/>
    <w:tmpl w:val="E49CE512"/>
    <w:lvl w:ilvl="0" w:tplc="FFFFFFFF">
      <w:start w:val="1"/>
      <w:numFmt w:val="decimal"/>
      <w:lvlText w:val="%1."/>
      <w:lvlJc w:val="left"/>
      <w:pPr>
        <w:ind w:left="360" w:hanging="360"/>
      </w:pPr>
    </w:lvl>
    <w:lvl w:ilvl="1" w:tplc="FFFFFFFF">
      <w:start w:val="19"/>
      <w:numFmt w:val="bullet"/>
      <w:lvlText w:val="-"/>
      <w:lvlJc w:val="left"/>
      <w:pPr>
        <w:ind w:left="1080" w:hanging="360"/>
      </w:pPr>
      <w:rPr>
        <w:rFonts w:ascii="Arial" w:eastAsia="SimSu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7FA3FF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97A4DB1"/>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0" w15:restartNumberingAfterBreak="0">
    <w:nsid w:val="3B3526AE"/>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1" w15:restartNumberingAfterBreak="0">
    <w:nsid w:val="3B783532"/>
    <w:multiLevelType w:val="hybridMultilevel"/>
    <w:tmpl w:val="08E6D2C4"/>
    <w:lvl w:ilvl="0" w:tplc="306E691E">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C7A5668"/>
    <w:multiLevelType w:val="hybridMultilevel"/>
    <w:tmpl w:val="1E6EEB36"/>
    <w:lvl w:ilvl="0" w:tplc="FFFFFFFF">
      <w:start w:val="3"/>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3D0362F5"/>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DD43262"/>
    <w:multiLevelType w:val="hybridMultilevel"/>
    <w:tmpl w:val="53A695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F2D6765"/>
    <w:multiLevelType w:val="hybridMultilevel"/>
    <w:tmpl w:val="4D3418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40CE7015"/>
    <w:multiLevelType w:val="hybridMultilevel"/>
    <w:tmpl w:val="66BA6ACE"/>
    <w:lvl w:ilvl="0" w:tplc="3CD4F6DA">
      <w:start w:val="1"/>
      <w:numFmt w:val="decimal"/>
      <w:lvlText w:val="%1."/>
      <w:lvlJc w:val="left"/>
      <w:pPr>
        <w:ind w:left="502" w:hanging="360"/>
      </w:pPr>
      <w:rPr>
        <w:b w:val="0"/>
        <w:color w:val="auto"/>
        <w:sz w:val="22"/>
        <w:szCs w:val="22"/>
        <w:lang w:val="en-U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7" w15:restartNumberingAfterBreak="0">
    <w:nsid w:val="430E271D"/>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38E70EC"/>
    <w:multiLevelType w:val="hybridMultilevel"/>
    <w:tmpl w:val="1E6EEB36"/>
    <w:lvl w:ilvl="0" w:tplc="FFFFFFFF">
      <w:start w:val="3"/>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43E5700D"/>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0" w15:restartNumberingAfterBreak="0">
    <w:nsid w:val="45A17922"/>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1" w15:restartNumberingAfterBreak="0">
    <w:nsid w:val="45C552CB"/>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5E63FA5"/>
    <w:multiLevelType w:val="hybridMultilevel"/>
    <w:tmpl w:val="CEE6F490"/>
    <w:lvl w:ilvl="0" w:tplc="FF5AB712">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67C47D2"/>
    <w:multiLevelType w:val="hybridMultilevel"/>
    <w:tmpl w:val="3C90BD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7677137"/>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4A2652DB"/>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6" w15:restartNumberingAfterBreak="0">
    <w:nsid w:val="4AB65BE0"/>
    <w:multiLevelType w:val="hybridMultilevel"/>
    <w:tmpl w:val="F6E68D12"/>
    <w:lvl w:ilvl="0" w:tplc="D7E866E8">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B6E793A"/>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8" w15:restartNumberingAfterBreak="0">
    <w:nsid w:val="4CFD4FD9"/>
    <w:multiLevelType w:val="hybridMultilevel"/>
    <w:tmpl w:val="53A695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EB947F4"/>
    <w:multiLevelType w:val="hybridMultilevel"/>
    <w:tmpl w:val="05A00E50"/>
    <w:lvl w:ilvl="0" w:tplc="FFFFFFFF">
      <w:start w:val="1"/>
      <w:numFmt w:val="decimal"/>
      <w:lvlText w:val="%1."/>
      <w:lvlJc w:val="left"/>
      <w:pPr>
        <w:ind w:left="3690" w:hanging="360"/>
      </w:pPr>
      <w:rPr>
        <w:lang w:val="en-GB"/>
      </w:rPr>
    </w:lvl>
    <w:lvl w:ilvl="1" w:tplc="FFFFFFFF">
      <w:start w:val="1"/>
      <w:numFmt w:val="lowerLetter"/>
      <w:lvlText w:val="%2."/>
      <w:lvlJc w:val="left"/>
      <w:pPr>
        <w:ind w:left="4410" w:hanging="360"/>
      </w:pPr>
    </w:lvl>
    <w:lvl w:ilvl="2" w:tplc="FFFFFFFF" w:tentative="1">
      <w:start w:val="1"/>
      <w:numFmt w:val="lowerRoman"/>
      <w:lvlText w:val="%3."/>
      <w:lvlJc w:val="right"/>
      <w:pPr>
        <w:ind w:left="5130" w:hanging="180"/>
      </w:pPr>
    </w:lvl>
    <w:lvl w:ilvl="3" w:tplc="FFFFFFFF" w:tentative="1">
      <w:start w:val="1"/>
      <w:numFmt w:val="decimal"/>
      <w:lvlText w:val="%4."/>
      <w:lvlJc w:val="left"/>
      <w:pPr>
        <w:ind w:left="5850" w:hanging="360"/>
      </w:pPr>
    </w:lvl>
    <w:lvl w:ilvl="4" w:tplc="FFFFFFFF" w:tentative="1">
      <w:start w:val="1"/>
      <w:numFmt w:val="lowerLetter"/>
      <w:lvlText w:val="%5."/>
      <w:lvlJc w:val="left"/>
      <w:pPr>
        <w:ind w:left="6570" w:hanging="360"/>
      </w:pPr>
    </w:lvl>
    <w:lvl w:ilvl="5" w:tplc="FFFFFFFF" w:tentative="1">
      <w:start w:val="1"/>
      <w:numFmt w:val="lowerRoman"/>
      <w:lvlText w:val="%6."/>
      <w:lvlJc w:val="right"/>
      <w:pPr>
        <w:ind w:left="7290" w:hanging="180"/>
      </w:pPr>
    </w:lvl>
    <w:lvl w:ilvl="6" w:tplc="FFFFFFFF" w:tentative="1">
      <w:start w:val="1"/>
      <w:numFmt w:val="decimal"/>
      <w:lvlText w:val="%7."/>
      <w:lvlJc w:val="left"/>
      <w:pPr>
        <w:ind w:left="8010" w:hanging="360"/>
      </w:pPr>
    </w:lvl>
    <w:lvl w:ilvl="7" w:tplc="FFFFFFFF" w:tentative="1">
      <w:start w:val="1"/>
      <w:numFmt w:val="lowerLetter"/>
      <w:lvlText w:val="%8."/>
      <w:lvlJc w:val="left"/>
      <w:pPr>
        <w:ind w:left="8730" w:hanging="360"/>
      </w:pPr>
    </w:lvl>
    <w:lvl w:ilvl="8" w:tplc="FFFFFFFF" w:tentative="1">
      <w:start w:val="1"/>
      <w:numFmt w:val="lowerRoman"/>
      <w:lvlText w:val="%9."/>
      <w:lvlJc w:val="right"/>
      <w:pPr>
        <w:ind w:left="9450" w:hanging="180"/>
      </w:pPr>
    </w:lvl>
  </w:abstractNum>
  <w:abstractNum w:abstractNumId="80" w15:restartNumberingAfterBreak="0">
    <w:nsid w:val="50517F28"/>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1" w15:restartNumberingAfterBreak="0">
    <w:nsid w:val="508C40C1"/>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1544BB3"/>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3" w15:restartNumberingAfterBreak="0">
    <w:nsid w:val="52B116B7"/>
    <w:multiLevelType w:val="hybridMultilevel"/>
    <w:tmpl w:val="F03A99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3C15695"/>
    <w:multiLevelType w:val="hybridMultilevel"/>
    <w:tmpl w:val="2990CA9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54ED4525"/>
    <w:multiLevelType w:val="hybridMultilevel"/>
    <w:tmpl w:val="286AEA06"/>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6" w15:restartNumberingAfterBreak="0">
    <w:nsid w:val="54ED471E"/>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7" w15:restartNumberingAfterBreak="0">
    <w:nsid w:val="5513023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52E0E06"/>
    <w:multiLevelType w:val="hybridMultilevel"/>
    <w:tmpl w:val="1E6EEB36"/>
    <w:lvl w:ilvl="0" w:tplc="FFFFFFFF">
      <w:start w:val="3"/>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5805C15"/>
    <w:multiLevelType w:val="hybridMultilevel"/>
    <w:tmpl w:val="B01C9E84"/>
    <w:lvl w:ilvl="0" w:tplc="C1928660">
      <w:start w:val="4"/>
      <w:numFmt w:val="decimal"/>
      <w:lvlText w:val="%1."/>
      <w:lvlJc w:val="left"/>
      <w:pPr>
        <w:ind w:left="36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559E51C7"/>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1" w15:restartNumberingAfterBreak="0">
    <w:nsid w:val="57B3336F"/>
    <w:multiLevelType w:val="hybridMultilevel"/>
    <w:tmpl w:val="53A695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9554CB9"/>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93" w15:restartNumberingAfterBreak="0">
    <w:nsid w:val="59CC346B"/>
    <w:multiLevelType w:val="hybridMultilevel"/>
    <w:tmpl w:val="CC268114"/>
    <w:lvl w:ilvl="0" w:tplc="2286FAAA">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4" w15:restartNumberingAfterBreak="0">
    <w:nsid w:val="5CC41C7E"/>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CED4B5F"/>
    <w:multiLevelType w:val="hybridMultilevel"/>
    <w:tmpl w:val="63368DF6"/>
    <w:lvl w:ilvl="0" w:tplc="FFFFFFFF">
      <w:start w:val="1"/>
      <w:numFmt w:val="decimal"/>
      <w:lvlText w:val="%1."/>
      <w:lvlJc w:val="left"/>
      <w:pPr>
        <w:ind w:left="3600" w:hanging="360"/>
      </w:pPr>
      <w:rPr>
        <w:lang w:val="en-GB"/>
      </w:rPr>
    </w:lvl>
    <w:lvl w:ilvl="1" w:tplc="FFFFFFFF">
      <w:start w:val="1"/>
      <w:numFmt w:val="lowerLetter"/>
      <w:lvlText w:val="%2."/>
      <w:lvlJc w:val="left"/>
      <w:pPr>
        <w:ind w:left="4410" w:hanging="360"/>
      </w:pPr>
    </w:lvl>
    <w:lvl w:ilvl="2" w:tplc="FFFFFFFF" w:tentative="1">
      <w:start w:val="1"/>
      <w:numFmt w:val="lowerRoman"/>
      <w:lvlText w:val="%3."/>
      <w:lvlJc w:val="right"/>
      <w:pPr>
        <w:ind w:left="5130" w:hanging="180"/>
      </w:pPr>
    </w:lvl>
    <w:lvl w:ilvl="3" w:tplc="FFFFFFFF" w:tentative="1">
      <w:start w:val="1"/>
      <w:numFmt w:val="decimal"/>
      <w:lvlText w:val="%4."/>
      <w:lvlJc w:val="left"/>
      <w:pPr>
        <w:ind w:left="5850" w:hanging="360"/>
      </w:pPr>
    </w:lvl>
    <w:lvl w:ilvl="4" w:tplc="FFFFFFFF" w:tentative="1">
      <w:start w:val="1"/>
      <w:numFmt w:val="lowerLetter"/>
      <w:lvlText w:val="%5."/>
      <w:lvlJc w:val="left"/>
      <w:pPr>
        <w:ind w:left="6570" w:hanging="360"/>
      </w:pPr>
    </w:lvl>
    <w:lvl w:ilvl="5" w:tplc="FFFFFFFF" w:tentative="1">
      <w:start w:val="1"/>
      <w:numFmt w:val="lowerRoman"/>
      <w:lvlText w:val="%6."/>
      <w:lvlJc w:val="right"/>
      <w:pPr>
        <w:ind w:left="7290" w:hanging="180"/>
      </w:pPr>
    </w:lvl>
    <w:lvl w:ilvl="6" w:tplc="FFFFFFFF" w:tentative="1">
      <w:start w:val="1"/>
      <w:numFmt w:val="decimal"/>
      <w:lvlText w:val="%7."/>
      <w:lvlJc w:val="left"/>
      <w:pPr>
        <w:ind w:left="8010" w:hanging="360"/>
      </w:pPr>
    </w:lvl>
    <w:lvl w:ilvl="7" w:tplc="FFFFFFFF" w:tentative="1">
      <w:start w:val="1"/>
      <w:numFmt w:val="lowerLetter"/>
      <w:lvlText w:val="%8."/>
      <w:lvlJc w:val="left"/>
      <w:pPr>
        <w:ind w:left="8730" w:hanging="360"/>
      </w:pPr>
    </w:lvl>
    <w:lvl w:ilvl="8" w:tplc="FFFFFFFF" w:tentative="1">
      <w:start w:val="1"/>
      <w:numFmt w:val="lowerRoman"/>
      <w:lvlText w:val="%9."/>
      <w:lvlJc w:val="right"/>
      <w:pPr>
        <w:ind w:left="9450" w:hanging="180"/>
      </w:pPr>
    </w:lvl>
  </w:abstractNum>
  <w:abstractNum w:abstractNumId="96" w15:restartNumberingAfterBreak="0">
    <w:nsid w:val="5D6E7C6F"/>
    <w:multiLevelType w:val="multilevel"/>
    <w:tmpl w:val="73E0F7A8"/>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D90302F"/>
    <w:multiLevelType w:val="hybridMultilevel"/>
    <w:tmpl w:val="54E6501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0850B3A"/>
    <w:multiLevelType w:val="hybridMultilevel"/>
    <w:tmpl w:val="B85E6110"/>
    <w:lvl w:ilvl="0" w:tplc="49B4EA66">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09C7C00"/>
    <w:multiLevelType w:val="hybridMultilevel"/>
    <w:tmpl w:val="E49CE512"/>
    <w:lvl w:ilvl="0" w:tplc="FFFFFFFF">
      <w:start w:val="1"/>
      <w:numFmt w:val="decimal"/>
      <w:lvlText w:val="%1."/>
      <w:lvlJc w:val="left"/>
      <w:pPr>
        <w:ind w:left="1287" w:hanging="360"/>
      </w:pPr>
    </w:lvl>
    <w:lvl w:ilvl="1" w:tplc="98D0D670">
      <w:start w:val="19"/>
      <w:numFmt w:val="bullet"/>
      <w:lvlText w:val="-"/>
      <w:lvlJc w:val="left"/>
      <w:pPr>
        <w:ind w:left="2007" w:hanging="360"/>
      </w:pPr>
      <w:rPr>
        <w:rFonts w:ascii="Arial" w:eastAsia="SimSun" w:hAnsi="Arial" w:cs="Aria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0" w15:restartNumberingAfterBreak="0">
    <w:nsid w:val="61B05860"/>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291160C"/>
    <w:multiLevelType w:val="hybridMultilevel"/>
    <w:tmpl w:val="0F64F3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3" w15:restartNumberingAfterBreak="0">
    <w:nsid w:val="67003FAD"/>
    <w:multiLevelType w:val="hybridMultilevel"/>
    <w:tmpl w:val="1E6EEB36"/>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05" w15:restartNumberingAfterBreak="0">
    <w:nsid w:val="6853139E"/>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6" w15:restartNumberingAfterBreak="0">
    <w:nsid w:val="6B377B2E"/>
    <w:multiLevelType w:val="hybridMultilevel"/>
    <w:tmpl w:val="239C98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BD51A02"/>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8" w15:restartNumberingAfterBreak="0">
    <w:nsid w:val="6C234066"/>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9" w15:restartNumberingAfterBreak="0">
    <w:nsid w:val="6D48440A"/>
    <w:multiLevelType w:val="hybridMultilevel"/>
    <w:tmpl w:val="4D3418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0" w15:restartNumberingAfterBreak="0">
    <w:nsid w:val="6DD14A45"/>
    <w:multiLevelType w:val="hybridMultilevel"/>
    <w:tmpl w:val="4D3418AC"/>
    <w:lvl w:ilvl="0" w:tplc="8F40F39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6E43433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6FE749FA"/>
    <w:multiLevelType w:val="hybridMultilevel"/>
    <w:tmpl w:val="54E6501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0BD5F3E"/>
    <w:multiLevelType w:val="hybridMultilevel"/>
    <w:tmpl w:val="DB389D30"/>
    <w:lvl w:ilvl="0" w:tplc="C8DA11B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4" w15:restartNumberingAfterBreak="0">
    <w:nsid w:val="71CC78DD"/>
    <w:multiLevelType w:val="hybridMultilevel"/>
    <w:tmpl w:val="1E6EEB36"/>
    <w:lvl w:ilvl="0" w:tplc="FFFFFFFF">
      <w:start w:val="3"/>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73EF6A25"/>
    <w:multiLevelType w:val="hybridMultilevel"/>
    <w:tmpl w:val="1E6EEB36"/>
    <w:lvl w:ilvl="0" w:tplc="FFFFFFFF">
      <w:start w:val="3"/>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785B0A89"/>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9BA1FFC"/>
    <w:multiLevelType w:val="hybridMultilevel"/>
    <w:tmpl w:val="4D3418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B3B4F7E"/>
    <w:multiLevelType w:val="hybridMultilevel"/>
    <w:tmpl w:val="4D3418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9" w15:restartNumberingAfterBreak="0">
    <w:nsid w:val="7CD53BE0"/>
    <w:multiLevelType w:val="hybridMultilevel"/>
    <w:tmpl w:val="3B4A11D8"/>
    <w:lvl w:ilvl="0" w:tplc="FFFFFFFF">
      <w:start w:val="1"/>
      <w:numFmt w:val="decimal"/>
      <w:lvlText w:val="%1."/>
      <w:lvlJc w:val="left"/>
      <w:pPr>
        <w:ind w:left="360" w:hanging="360"/>
      </w:pPr>
      <w:rPr>
        <w:rFonts w:ascii="Arial" w:hAnsi="Arial" w:cs="Arial"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0" w15:restartNumberingAfterBreak="0">
    <w:nsid w:val="7D255319"/>
    <w:multiLevelType w:val="hybridMultilevel"/>
    <w:tmpl w:val="08E6D2C4"/>
    <w:lvl w:ilvl="0" w:tplc="FFFFFFFF">
      <w:start w:val="3"/>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22" w15:restartNumberingAfterBreak="0">
    <w:nsid w:val="7F187D5D"/>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942876881">
    <w:abstractNumId w:val="12"/>
  </w:num>
  <w:num w:numId="2" w16cid:durableId="133572456">
    <w:abstractNumId w:val="59"/>
  </w:num>
  <w:num w:numId="3" w16cid:durableId="743573712">
    <w:abstractNumId w:val="54"/>
  </w:num>
  <w:num w:numId="4" w16cid:durableId="607851005">
    <w:abstractNumId w:val="6"/>
  </w:num>
  <w:num w:numId="5" w16cid:durableId="2067754988">
    <w:abstractNumId w:val="34"/>
  </w:num>
  <w:num w:numId="6" w16cid:durableId="1613321209">
    <w:abstractNumId w:val="79"/>
  </w:num>
  <w:num w:numId="7" w16cid:durableId="169106397">
    <w:abstractNumId w:val="95"/>
  </w:num>
  <w:num w:numId="8" w16cid:durableId="1511063600">
    <w:abstractNumId w:val="66"/>
    <w:lvlOverride w:ilvl="0">
      <w:startOverride w:val="1"/>
    </w:lvlOverride>
  </w:num>
  <w:num w:numId="9" w16cid:durableId="1421951351">
    <w:abstractNumId w:val="102"/>
  </w:num>
  <w:num w:numId="10" w16cid:durableId="1322344781">
    <w:abstractNumId w:val="108"/>
  </w:num>
  <w:num w:numId="11" w16cid:durableId="969167566">
    <w:abstractNumId w:val="90"/>
  </w:num>
  <w:num w:numId="12" w16cid:durableId="1250969685">
    <w:abstractNumId w:val="122"/>
  </w:num>
  <w:num w:numId="13" w16cid:durableId="1447965245">
    <w:abstractNumId w:val="80"/>
  </w:num>
  <w:num w:numId="14" w16cid:durableId="1372148037">
    <w:abstractNumId w:val="22"/>
  </w:num>
  <w:num w:numId="15" w16cid:durableId="1192524999">
    <w:abstractNumId w:val="39"/>
  </w:num>
  <w:num w:numId="16" w16cid:durableId="256594834">
    <w:abstractNumId w:val="96"/>
  </w:num>
  <w:num w:numId="17" w16cid:durableId="2087724591">
    <w:abstractNumId w:val="92"/>
  </w:num>
  <w:num w:numId="18" w16cid:durableId="19049464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2387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69992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555658">
    <w:abstractNumId w:val="60"/>
  </w:num>
  <w:num w:numId="22" w16cid:durableId="198247627">
    <w:abstractNumId w:val="53"/>
  </w:num>
  <w:num w:numId="23" w16cid:durableId="1523517279">
    <w:abstractNumId w:val="99"/>
  </w:num>
  <w:num w:numId="24" w16cid:durableId="973563028">
    <w:abstractNumId w:val="56"/>
  </w:num>
  <w:num w:numId="25" w16cid:durableId="1308242065">
    <w:abstractNumId w:val="82"/>
  </w:num>
  <w:num w:numId="26" w16cid:durableId="2026782099">
    <w:abstractNumId w:val="21"/>
  </w:num>
  <w:num w:numId="27" w16cid:durableId="223684408">
    <w:abstractNumId w:val="86"/>
  </w:num>
  <w:num w:numId="28" w16cid:durableId="1059934367">
    <w:abstractNumId w:val="29"/>
  </w:num>
  <w:num w:numId="29" w16cid:durableId="1417019621">
    <w:abstractNumId w:val="87"/>
  </w:num>
  <w:num w:numId="30" w16cid:durableId="122039608">
    <w:abstractNumId w:val="1"/>
  </w:num>
  <w:num w:numId="31" w16cid:durableId="652952451">
    <w:abstractNumId w:val="76"/>
  </w:num>
  <w:num w:numId="32" w16cid:durableId="1937250559">
    <w:abstractNumId w:val="7"/>
  </w:num>
  <w:num w:numId="33" w16cid:durableId="1739283588">
    <w:abstractNumId w:val="40"/>
  </w:num>
  <w:num w:numId="34" w16cid:durableId="65109384">
    <w:abstractNumId w:val="50"/>
  </w:num>
  <w:num w:numId="35" w16cid:durableId="1893341678">
    <w:abstractNumId w:val="41"/>
  </w:num>
  <w:num w:numId="36" w16cid:durableId="2118865151">
    <w:abstractNumId w:val="49"/>
  </w:num>
  <w:num w:numId="37" w16cid:durableId="767046975">
    <w:abstractNumId w:val="48"/>
  </w:num>
  <w:num w:numId="38" w16cid:durableId="515653186">
    <w:abstractNumId w:val="14"/>
  </w:num>
  <w:num w:numId="39" w16cid:durableId="1313868042">
    <w:abstractNumId w:val="11"/>
  </w:num>
  <w:num w:numId="40" w16cid:durableId="705444484">
    <w:abstractNumId w:val="83"/>
  </w:num>
  <w:num w:numId="41" w16cid:durableId="1245916113">
    <w:abstractNumId w:val="20"/>
  </w:num>
  <w:num w:numId="42" w16cid:durableId="1898083351">
    <w:abstractNumId w:val="72"/>
  </w:num>
  <w:num w:numId="43" w16cid:durableId="1075203797">
    <w:abstractNumId w:val="38"/>
  </w:num>
  <w:num w:numId="44" w16cid:durableId="809204438">
    <w:abstractNumId w:val="42"/>
  </w:num>
  <w:num w:numId="45" w16cid:durableId="45955691">
    <w:abstractNumId w:val="71"/>
  </w:num>
  <w:num w:numId="46" w16cid:durableId="1726874255">
    <w:abstractNumId w:val="106"/>
  </w:num>
  <w:num w:numId="47" w16cid:durableId="1905721883">
    <w:abstractNumId w:val="0"/>
  </w:num>
  <w:num w:numId="48" w16cid:durableId="1839887314">
    <w:abstractNumId w:val="10"/>
  </w:num>
  <w:num w:numId="49" w16cid:durableId="2066491401">
    <w:abstractNumId w:val="110"/>
  </w:num>
  <w:num w:numId="50" w16cid:durableId="522598106">
    <w:abstractNumId w:val="45"/>
  </w:num>
  <w:num w:numId="51" w16cid:durableId="967857568">
    <w:abstractNumId w:val="117"/>
  </w:num>
  <w:num w:numId="52" w16cid:durableId="1301030747">
    <w:abstractNumId w:val="116"/>
  </w:num>
  <w:num w:numId="53" w16cid:durableId="1075591045">
    <w:abstractNumId w:val="44"/>
  </w:num>
  <w:num w:numId="54" w16cid:durableId="925766089">
    <w:abstractNumId w:val="32"/>
  </w:num>
  <w:num w:numId="55" w16cid:durableId="621689491">
    <w:abstractNumId w:val="63"/>
  </w:num>
  <w:num w:numId="56" w16cid:durableId="910314380">
    <w:abstractNumId w:val="13"/>
  </w:num>
  <w:num w:numId="57" w16cid:durableId="878586702">
    <w:abstractNumId w:val="100"/>
  </w:num>
  <w:num w:numId="58" w16cid:durableId="932394390">
    <w:abstractNumId w:val="94"/>
  </w:num>
  <w:num w:numId="59" w16cid:durableId="369689994">
    <w:abstractNumId w:val="73"/>
  </w:num>
  <w:num w:numId="60" w16cid:durableId="1938513885">
    <w:abstractNumId w:val="98"/>
  </w:num>
  <w:num w:numId="61" w16cid:durableId="1778207655">
    <w:abstractNumId w:val="84"/>
  </w:num>
  <w:num w:numId="62" w16cid:durableId="1635286874">
    <w:abstractNumId w:val="81"/>
  </w:num>
  <w:num w:numId="63" w16cid:durableId="1502358300">
    <w:abstractNumId w:val="27"/>
  </w:num>
  <w:num w:numId="64" w16cid:durableId="1852252816">
    <w:abstractNumId w:val="3"/>
  </w:num>
  <w:num w:numId="65" w16cid:durableId="57479469">
    <w:abstractNumId w:val="101"/>
  </w:num>
  <w:num w:numId="66" w16cid:durableId="1776436223">
    <w:abstractNumId w:val="15"/>
  </w:num>
  <w:num w:numId="67" w16cid:durableId="1204633717">
    <w:abstractNumId w:val="19"/>
  </w:num>
  <w:num w:numId="68" w16cid:durableId="2100247973">
    <w:abstractNumId w:val="78"/>
  </w:num>
  <w:num w:numId="69" w16cid:durableId="408309296">
    <w:abstractNumId w:val="103"/>
  </w:num>
  <w:num w:numId="70" w16cid:durableId="1490711040">
    <w:abstractNumId w:val="91"/>
  </w:num>
  <w:num w:numId="71" w16cid:durableId="794459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2672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37085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5411355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4043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6753662">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382744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9009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9309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7349282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37426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775657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5911540">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9671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8447244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11428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61111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702790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14009267">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893173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304526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69061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69569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1753136">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160915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5224914">
    <w:abstractNumId w:val="1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56502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3185644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26769369">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33052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2127769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33587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20873062">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026675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76151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059405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646349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57351256">
    <w:abstractNumId w:val="8"/>
  </w:num>
  <w:num w:numId="109" w16cid:durableId="1972980709">
    <w:abstractNumId w:val="35"/>
  </w:num>
  <w:num w:numId="110" w16cid:durableId="1490174031">
    <w:abstractNumId w:val="111"/>
  </w:num>
  <w:num w:numId="111" w16cid:durableId="567301983">
    <w:abstractNumId w:val="30"/>
  </w:num>
  <w:num w:numId="112" w16cid:durableId="1000237914">
    <w:abstractNumId w:val="67"/>
  </w:num>
  <w:num w:numId="113" w16cid:durableId="1252197662">
    <w:abstractNumId w:val="57"/>
  </w:num>
  <w:num w:numId="114" w16cid:durableId="1712605669">
    <w:abstractNumId w:val="70"/>
  </w:num>
  <w:num w:numId="115" w16cid:durableId="779297212">
    <w:abstractNumId w:val="59"/>
    <w:lvlOverride w:ilvl="0">
      <w:startOverride w:val="1"/>
    </w:lvlOverride>
  </w:num>
  <w:num w:numId="116" w16cid:durableId="716320616">
    <w:abstractNumId w:val="59"/>
    <w:lvlOverride w:ilvl="0">
      <w:startOverride w:val="1"/>
    </w:lvlOverride>
  </w:num>
  <w:num w:numId="117" w16cid:durableId="1279600430">
    <w:abstractNumId w:val="105"/>
  </w:num>
  <w:num w:numId="118" w16cid:durableId="1388340864">
    <w:abstractNumId w:val="36"/>
  </w:num>
  <w:num w:numId="119" w16cid:durableId="1628077665">
    <w:abstractNumId w:val="69"/>
  </w:num>
  <w:num w:numId="120" w16cid:durableId="1178037739">
    <w:abstractNumId w:val="33"/>
  </w:num>
  <w:num w:numId="121" w16cid:durableId="1067802740">
    <w:abstractNumId w:val="51"/>
  </w:num>
  <w:num w:numId="122" w16cid:durableId="1857037610">
    <w:abstractNumId w:val="113"/>
  </w:num>
  <w:num w:numId="123" w16cid:durableId="1724252666">
    <w:abstractNumId w:val="75"/>
  </w:num>
  <w:num w:numId="124" w16cid:durableId="174735005">
    <w:abstractNumId w:val="24"/>
  </w:num>
  <w:num w:numId="125" w16cid:durableId="2003653889">
    <w:abstractNumId w:val="17"/>
  </w:num>
  <w:num w:numId="126" w16cid:durableId="399133407">
    <w:abstractNumId w:val="28"/>
  </w:num>
  <w:num w:numId="127" w16cid:durableId="440998939">
    <w:abstractNumId w:val="5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43BC"/>
    <w:rsid w:val="00004B4D"/>
    <w:rsid w:val="00013FB1"/>
    <w:rsid w:val="00015A32"/>
    <w:rsid w:val="00015B1F"/>
    <w:rsid w:val="00017BE6"/>
    <w:rsid w:val="00020BFC"/>
    <w:rsid w:val="00020D7E"/>
    <w:rsid w:val="00021E9F"/>
    <w:rsid w:val="00022428"/>
    <w:rsid w:val="00023AD0"/>
    <w:rsid w:val="00024C3B"/>
    <w:rsid w:val="00025CC7"/>
    <w:rsid w:val="000263BA"/>
    <w:rsid w:val="0003530D"/>
    <w:rsid w:val="00035E6E"/>
    <w:rsid w:val="00037274"/>
    <w:rsid w:val="0004163C"/>
    <w:rsid w:val="00042893"/>
    <w:rsid w:val="00043B01"/>
    <w:rsid w:val="00046D72"/>
    <w:rsid w:val="00047355"/>
    <w:rsid w:val="0005176E"/>
    <w:rsid w:val="0005688A"/>
    <w:rsid w:val="000573DC"/>
    <w:rsid w:val="00060299"/>
    <w:rsid w:val="00062890"/>
    <w:rsid w:val="00063CD5"/>
    <w:rsid w:val="00063E8B"/>
    <w:rsid w:val="000643C5"/>
    <w:rsid w:val="000666FD"/>
    <w:rsid w:val="000718F9"/>
    <w:rsid w:val="00074CE4"/>
    <w:rsid w:val="00076220"/>
    <w:rsid w:val="00077AB7"/>
    <w:rsid w:val="00077C20"/>
    <w:rsid w:val="000802E3"/>
    <w:rsid w:val="00081AE0"/>
    <w:rsid w:val="00081CD8"/>
    <w:rsid w:val="00082C6E"/>
    <w:rsid w:val="0008329C"/>
    <w:rsid w:val="00083660"/>
    <w:rsid w:val="00083B3B"/>
    <w:rsid w:val="00084F78"/>
    <w:rsid w:val="00087107"/>
    <w:rsid w:val="000A0808"/>
    <w:rsid w:val="000A1A61"/>
    <w:rsid w:val="000A24EF"/>
    <w:rsid w:val="000A4097"/>
    <w:rsid w:val="000A7F0E"/>
    <w:rsid w:val="000B20B1"/>
    <w:rsid w:val="000B5B74"/>
    <w:rsid w:val="000C1CC7"/>
    <w:rsid w:val="000C6F6E"/>
    <w:rsid w:val="000D7236"/>
    <w:rsid w:val="000E5E1F"/>
    <w:rsid w:val="000E6CD7"/>
    <w:rsid w:val="000E74C6"/>
    <w:rsid w:val="000F1B6F"/>
    <w:rsid w:val="000F3A3F"/>
    <w:rsid w:val="000F4F95"/>
    <w:rsid w:val="000F5E0D"/>
    <w:rsid w:val="00102C68"/>
    <w:rsid w:val="00107BBF"/>
    <w:rsid w:val="001108F3"/>
    <w:rsid w:val="00114C01"/>
    <w:rsid w:val="00115C50"/>
    <w:rsid w:val="001163E5"/>
    <w:rsid w:val="00116E2D"/>
    <w:rsid w:val="0012010B"/>
    <w:rsid w:val="00121D9D"/>
    <w:rsid w:val="00122EA7"/>
    <w:rsid w:val="00127862"/>
    <w:rsid w:val="0013276B"/>
    <w:rsid w:val="00135D49"/>
    <w:rsid w:val="0014340C"/>
    <w:rsid w:val="001449D2"/>
    <w:rsid w:val="00146E7F"/>
    <w:rsid w:val="00152033"/>
    <w:rsid w:val="00154885"/>
    <w:rsid w:val="0015777E"/>
    <w:rsid w:val="00164D56"/>
    <w:rsid w:val="00165170"/>
    <w:rsid w:val="0016667F"/>
    <w:rsid w:val="00167B10"/>
    <w:rsid w:val="00171986"/>
    <w:rsid w:val="00172DA0"/>
    <w:rsid w:val="00175099"/>
    <w:rsid w:val="001752A3"/>
    <w:rsid w:val="001775C8"/>
    <w:rsid w:val="001807F3"/>
    <w:rsid w:val="00185578"/>
    <w:rsid w:val="001903CA"/>
    <w:rsid w:val="0019264E"/>
    <w:rsid w:val="0019283E"/>
    <w:rsid w:val="00193FA2"/>
    <w:rsid w:val="00196C1B"/>
    <w:rsid w:val="001A042B"/>
    <w:rsid w:val="001A2E3A"/>
    <w:rsid w:val="001A6C7F"/>
    <w:rsid w:val="001A6CA6"/>
    <w:rsid w:val="001A7379"/>
    <w:rsid w:val="001A766C"/>
    <w:rsid w:val="001A7D7E"/>
    <w:rsid w:val="001B05FF"/>
    <w:rsid w:val="001B0F73"/>
    <w:rsid w:val="001B150A"/>
    <w:rsid w:val="001B28AF"/>
    <w:rsid w:val="001C210B"/>
    <w:rsid w:val="001C2B81"/>
    <w:rsid w:val="001C31AB"/>
    <w:rsid w:val="001C47E9"/>
    <w:rsid w:val="001C5481"/>
    <w:rsid w:val="001D09AA"/>
    <w:rsid w:val="001D09B6"/>
    <w:rsid w:val="001D109A"/>
    <w:rsid w:val="001D122C"/>
    <w:rsid w:val="001D2387"/>
    <w:rsid w:val="001D4B05"/>
    <w:rsid w:val="001D4D43"/>
    <w:rsid w:val="001D5CE9"/>
    <w:rsid w:val="001D7133"/>
    <w:rsid w:val="001E17AF"/>
    <w:rsid w:val="001E4FAB"/>
    <w:rsid w:val="001E671B"/>
    <w:rsid w:val="001E79F4"/>
    <w:rsid w:val="001F10DC"/>
    <w:rsid w:val="001F1227"/>
    <w:rsid w:val="001F1711"/>
    <w:rsid w:val="001F26F4"/>
    <w:rsid w:val="001F6343"/>
    <w:rsid w:val="001F6554"/>
    <w:rsid w:val="002009B4"/>
    <w:rsid w:val="0020150F"/>
    <w:rsid w:val="002045B6"/>
    <w:rsid w:val="002111BF"/>
    <w:rsid w:val="00215925"/>
    <w:rsid w:val="00216311"/>
    <w:rsid w:val="00220083"/>
    <w:rsid w:val="002205A5"/>
    <w:rsid w:val="00222A2D"/>
    <w:rsid w:val="00225088"/>
    <w:rsid w:val="002255A5"/>
    <w:rsid w:val="00230AF7"/>
    <w:rsid w:val="00234DFE"/>
    <w:rsid w:val="002407AF"/>
    <w:rsid w:val="0024344F"/>
    <w:rsid w:val="0024623A"/>
    <w:rsid w:val="00247AFC"/>
    <w:rsid w:val="0025444B"/>
    <w:rsid w:val="00255503"/>
    <w:rsid w:val="002603F8"/>
    <w:rsid w:val="00260B0E"/>
    <w:rsid w:val="0026244C"/>
    <w:rsid w:val="002654A4"/>
    <w:rsid w:val="002721AC"/>
    <w:rsid w:val="00272FAD"/>
    <w:rsid w:val="00274761"/>
    <w:rsid w:val="002770B0"/>
    <w:rsid w:val="00280D62"/>
    <w:rsid w:val="0028205D"/>
    <w:rsid w:val="00284130"/>
    <w:rsid w:val="00285ED8"/>
    <w:rsid w:val="00294A92"/>
    <w:rsid w:val="00295029"/>
    <w:rsid w:val="002979DA"/>
    <w:rsid w:val="00297BB1"/>
    <w:rsid w:val="002A3406"/>
    <w:rsid w:val="002A6C11"/>
    <w:rsid w:val="002A6F73"/>
    <w:rsid w:val="002B3CD5"/>
    <w:rsid w:val="002B4259"/>
    <w:rsid w:val="002B695C"/>
    <w:rsid w:val="002C0D14"/>
    <w:rsid w:val="002C2702"/>
    <w:rsid w:val="002C532D"/>
    <w:rsid w:val="002C68C3"/>
    <w:rsid w:val="002C71E9"/>
    <w:rsid w:val="002C7C7A"/>
    <w:rsid w:val="002D1612"/>
    <w:rsid w:val="002D49EC"/>
    <w:rsid w:val="002D4E0F"/>
    <w:rsid w:val="002D7CE0"/>
    <w:rsid w:val="002E0175"/>
    <w:rsid w:val="002E0488"/>
    <w:rsid w:val="002E1089"/>
    <w:rsid w:val="002E2F53"/>
    <w:rsid w:val="002E3488"/>
    <w:rsid w:val="002E3D25"/>
    <w:rsid w:val="002E58D4"/>
    <w:rsid w:val="002E700B"/>
    <w:rsid w:val="002E7C1B"/>
    <w:rsid w:val="002F2A57"/>
    <w:rsid w:val="002F417F"/>
    <w:rsid w:val="002F5FD3"/>
    <w:rsid w:val="002F66CB"/>
    <w:rsid w:val="002F7F5F"/>
    <w:rsid w:val="003011A2"/>
    <w:rsid w:val="0030217B"/>
    <w:rsid w:val="003060FA"/>
    <w:rsid w:val="003073F1"/>
    <w:rsid w:val="00307941"/>
    <w:rsid w:val="00310571"/>
    <w:rsid w:val="00310E8B"/>
    <w:rsid w:val="003115C4"/>
    <w:rsid w:val="00312882"/>
    <w:rsid w:val="003137E4"/>
    <w:rsid w:val="00316474"/>
    <w:rsid w:val="00317A81"/>
    <w:rsid w:val="00320185"/>
    <w:rsid w:val="003201AD"/>
    <w:rsid w:val="0032196E"/>
    <w:rsid w:val="0032583C"/>
    <w:rsid w:val="00330389"/>
    <w:rsid w:val="003311AF"/>
    <w:rsid w:val="00331B53"/>
    <w:rsid w:val="0033528B"/>
    <w:rsid w:val="00342766"/>
    <w:rsid w:val="003429CC"/>
    <w:rsid w:val="00345BDE"/>
    <w:rsid w:val="003469CD"/>
    <w:rsid w:val="0035267E"/>
    <w:rsid w:val="00352F4E"/>
    <w:rsid w:val="00354D3C"/>
    <w:rsid w:val="00360AB5"/>
    <w:rsid w:val="00366245"/>
    <w:rsid w:val="00367BD0"/>
    <w:rsid w:val="003732E4"/>
    <w:rsid w:val="003845BE"/>
    <w:rsid w:val="003871D2"/>
    <w:rsid w:val="003873FD"/>
    <w:rsid w:val="00396A2A"/>
    <w:rsid w:val="00396B8D"/>
    <w:rsid w:val="0039775E"/>
    <w:rsid w:val="003A065A"/>
    <w:rsid w:val="003A0D67"/>
    <w:rsid w:val="003A32DE"/>
    <w:rsid w:val="003A3825"/>
    <w:rsid w:val="003A4E2F"/>
    <w:rsid w:val="003A67EE"/>
    <w:rsid w:val="003B15E9"/>
    <w:rsid w:val="003B2787"/>
    <w:rsid w:val="003B6025"/>
    <w:rsid w:val="003B6732"/>
    <w:rsid w:val="003B7CB0"/>
    <w:rsid w:val="003C1678"/>
    <w:rsid w:val="003C2464"/>
    <w:rsid w:val="003C47BE"/>
    <w:rsid w:val="003C6361"/>
    <w:rsid w:val="003D04BA"/>
    <w:rsid w:val="003D069C"/>
    <w:rsid w:val="003D2204"/>
    <w:rsid w:val="003D3553"/>
    <w:rsid w:val="003D44D7"/>
    <w:rsid w:val="003E07D8"/>
    <w:rsid w:val="003E1DEF"/>
    <w:rsid w:val="003E20BF"/>
    <w:rsid w:val="003E2A08"/>
    <w:rsid w:val="003E3124"/>
    <w:rsid w:val="003E6900"/>
    <w:rsid w:val="003E749E"/>
    <w:rsid w:val="003F0572"/>
    <w:rsid w:val="003F113A"/>
    <w:rsid w:val="003F2CE6"/>
    <w:rsid w:val="003F4B49"/>
    <w:rsid w:val="003F58E8"/>
    <w:rsid w:val="00401CA9"/>
    <w:rsid w:val="00404940"/>
    <w:rsid w:val="00410BBA"/>
    <w:rsid w:val="004135EA"/>
    <w:rsid w:val="004138DD"/>
    <w:rsid w:val="00413DBA"/>
    <w:rsid w:val="00414B65"/>
    <w:rsid w:val="00414F67"/>
    <w:rsid w:val="004150F4"/>
    <w:rsid w:val="00415229"/>
    <w:rsid w:val="00417354"/>
    <w:rsid w:val="004239C7"/>
    <w:rsid w:val="00424E7F"/>
    <w:rsid w:val="00424FD2"/>
    <w:rsid w:val="0043602E"/>
    <w:rsid w:val="00437060"/>
    <w:rsid w:val="0044005C"/>
    <w:rsid w:val="00440F9B"/>
    <w:rsid w:val="004417A7"/>
    <w:rsid w:val="004421E5"/>
    <w:rsid w:val="00443880"/>
    <w:rsid w:val="004443A5"/>
    <w:rsid w:val="00444B63"/>
    <w:rsid w:val="00446163"/>
    <w:rsid w:val="00446A7B"/>
    <w:rsid w:val="00452284"/>
    <w:rsid w:val="0045502E"/>
    <w:rsid w:val="00456A9A"/>
    <w:rsid w:val="00456AE2"/>
    <w:rsid w:val="004576CC"/>
    <w:rsid w:val="004604AA"/>
    <w:rsid w:val="00461168"/>
    <w:rsid w:val="00466865"/>
    <w:rsid w:val="00467FBE"/>
    <w:rsid w:val="0047181F"/>
    <w:rsid w:val="00476B62"/>
    <w:rsid w:val="004777B0"/>
    <w:rsid w:val="00477BFB"/>
    <w:rsid w:val="004810B4"/>
    <w:rsid w:val="004855C0"/>
    <w:rsid w:val="004856DB"/>
    <w:rsid w:val="00486429"/>
    <w:rsid w:val="004864D1"/>
    <w:rsid w:val="00486948"/>
    <w:rsid w:val="004901DF"/>
    <w:rsid w:val="00493F87"/>
    <w:rsid w:val="00493FD2"/>
    <w:rsid w:val="00494809"/>
    <w:rsid w:val="00495C25"/>
    <w:rsid w:val="0049705E"/>
    <w:rsid w:val="00497713"/>
    <w:rsid w:val="004A07F8"/>
    <w:rsid w:val="004A20A0"/>
    <w:rsid w:val="004A674A"/>
    <w:rsid w:val="004A7B33"/>
    <w:rsid w:val="004B152D"/>
    <w:rsid w:val="004B484A"/>
    <w:rsid w:val="004B644D"/>
    <w:rsid w:val="004B78E0"/>
    <w:rsid w:val="004B7DC6"/>
    <w:rsid w:val="004C133C"/>
    <w:rsid w:val="004C1F07"/>
    <w:rsid w:val="004C3921"/>
    <w:rsid w:val="004C58F5"/>
    <w:rsid w:val="004D4B3A"/>
    <w:rsid w:val="004D6791"/>
    <w:rsid w:val="004D7A9B"/>
    <w:rsid w:val="004E051B"/>
    <w:rsid w:val="004E0AF8"/>
    <w:rsid w:val="004E70D2"/>
    <w:rsid w:val="004E7C82"/>
    <w:rsid w:val="004F1502"/>
    <w:rsid w:val="004F3145"/>
    <w:rsid w:val="004F7324"/>
    <w:rsid w:val="00500113"/>
    <w:rsid w:val="00503070"/>
    <w:rsid w:val="0050539A"/>
    <w:rsid w:val="00506A4D"/>
    <w:rsid w:val="005117DA"/>
    <w:rsid w:val="00512589"/>
    <w:rsid w:val="00514BED"/>
    <w:rsid w:val="005158FF"/>
    <w:rsid w:val="00517D2E"/>
    <w:rsid w:val="00517F91"/>
    <w:rsid w:val="00520299"/>
    <w:rsid w:val="00521530"/>
    <w:rsid w:val="0052672B"/>
    <w:rsid w:val="00526B7B"/>
    <w:rsid w:val="005308CE"/>
    <w:rsid w:val="00530C74"/>
    <w:rsid w:val="00531CD3"/>
    <w:rsid w:val="00535F60"/>
    <w:rsid w:val="00542D39"/>
    <w:rsid w:val="00542D4D"/>
    <w:rsid w:val="00542EF4"/>
    <w:rsid w:val="00544523"/>
    <w:rsid w:val="00545014"/>
    <w:rsid w:val="005461F8"/>
    <w:rsid w:val="00547C49"/>
    <w:rsid w:val="00547ED4"/>
    <w:rsid w:val="00555C1D"/>
    <w:rsid w:val="00556655"/>
    <w:rsid w:val="005617D8"/>
    <w:rsid w:val="005678AF"/>
    <w:rsid w:val="0057439C"/>
    <w:rsid w:val="0057459B"/>
    <w:rsid w:val="00575BBD"/>
    <w:rsid w:val="005779A2"/>
    <w:rsid w:val="00577C2C"/>
    <w:rsid w:val="00580913"/>
    <w:rsid w:val="00581DA3"/>
    <w:rsid w:val="00592758"/>
    <w:rsid w:val="00593340"/>
    <w:rsid w:val="0059516F"/>
    <w:rsid w:val="005964FE"/>
    <w:rsid w:val="005965FE"/>
    <w:rsid w:val="00596AA5"/>
    <w:rsid w:val="005A0CAC"/>
    <w:rsid w:val="005A458B"/>
    <w:rsid w:val="005B0127"/>
    <w:rsid w:val="005B0F72"/>
    <w:rsid w:val="005B134A"/>
    <w:rsid w:val="005C070F"/>
    <w:rsid w:val="005C094D"/>
    <w:rsid w:val="005C4B73"/>
    <w:rsid w:val="005C5548"/>
    <w:rsid w:val="005D51EA"/>
    <w:rsid w:val="005E40CD"/>
    <w:rsid w:val="005E4674"/>
    <w:rsid w:val="005E4C09"/>
    <w:rsid w:val="005F4389"/>
    <w:rsid w:val="005F5486"/>
    <w:rsid w:val="00600D7B"/>
    <w:rsid w:val="00600D93"/>
    <w:rsid w:val="00603351"/>
    <w:rsid w:val="006042C6"/>
    <w:rsid w:val="0060462A"/>
    <w:rsid w:val="00607AAF"/>
    <w:rsid w:val="00611802"/>
    <w:rsid w:val="00614986"/>
    <w:rsid w:val="00615007"/>
    <w:rsid w:val="00615ECA"/>
    <w:rsid w:val="00616C7B"/>
    <w:rsid w:val="00621059"/>
    <w:rsid w:val="00624146"/>
    <w:rsid w:val="00624C05"/>
    <w:rsid w:val="00627C5C"/>
    <w:rsid w:val="00631784"/>
    <w:rsid w:val="00632D70"/>
    <w:rsid w:val="00633DFA"/>
    <w:rsid w:val="00634099"/>
    <w:rsid w:val="006366C4"/>
    <w:rsid w:val="0063750E"/>
    <w:rsid w:val="0063798E"/>
    <w:rsid w:val="00637A7B"/>
    <w:rsid w:val="0064148F"/>
    <w:rsid w:val="0064406D"/>
    <w:rsid w:val="00645E81"/>
    <w:rsid w:val="0065116C"/>
    <w:rsid w:val="00651E95"/>
    <w:rsid w:val="0065227C"/>
    <w:rsid w:val="00654274"/>
    <w:rsid w:val="00655736"/>
    <w:rsid w:val="00660B64"/>
    <w:rsid w:val="00663B8D"/>
    <w:rsid w:val="00666ADF"/>
    <w:rsid w:val="006703E4"/>
    <w:rsid w:val="00671E25"/>
    <w:rsid w:val="006805E3"/>
    <w:rsid w:val="00680C26"/>
    <w:rsid w:val="00685446"/>
    <w:rsid w:val="00686309"/>
    <w:rsid w:val="00690E8E"/>
    <w:rsid w:val="00691945"/>
    <w:rsid w:val="006923BD"/>
    <w:rsid w:val="00692EFA"/>
    <w:rsid w:val="00693187"/>
    <w:rsid w:val="006940AF"/>
    <w:rsid w:val="00696C8D"/>
    <w:rsid w:val="006A1D6D"/>
    <w:rsid w:val="006A26FA"/>
    <w:rsid w:val="006A2AC2"/>
    <w:rsid w:val="006A3617"/>
    <w:rsid w:val="006A5A0D"/>
    <w:rsid w:val="006B47A8"/>
    <w:rsid w:val="006B4A89"/>
    <w:rsid w:val="006B5001"/>
    <w:rsid w:val="006C0BA0"/>
    <w:rsid w:val="006C11F0"/>
    <w:rsid w:val="006C391A"/>
    <w:rsid w:val="006C4002"/>
    <w:rsid w:val="006D21D9"/>
    <w:rsid w:val="006D2536"/>
    <w:rsid w:val="006D348F"/>
    <w:rsid w:val="006D7765"/>
    <w:rsid w:val="006E3105"/>
    <w:rsid w:val="006E46E4"/>
    <w:rsid w:val="006E48E1"/>
    <w:rsid w:val="006F444F"/>
    <w:rsid w:val="006F66E9"/>
    <w:rsid w:val="006F704D"/>
    <w:rsid w:val="00706923"/>
    <w:rsid w:val="00711558"/>
    <w:rsid w:val="00711C28"/>
    <w:rsid w:val="007148F6"/>
    <w:rsid w:val="00715EF6"/>
    <w:rsid w:val="00717AAB"/>
    <w:rsid w:val="00717DBD"/>
    <w:rsid w:val="00721F36"/>
    <w:rsid w:val="007222C5"/>
    <w:rsid w:val="0072596E"/>
    <w:rsid w:val="00730BDA"/>
    <w:rsid w:val="00730FC5"/>
    <w:rsid w:val="00741016"/>
    <w:rsid w:val="00742C30"/>
    <w:rsid w:val="00743517"/>
    <w:rsid w:val="0074412F"/>
    <w:rsid w:val="00747516"/>
    <w:rsid w:val="00756BAF"/>
    <w:rsid w:val="007605EE"/>
    <w:rsid w:val="007616BE"/>
    <w:rsid w:val="00764604"/>
    <w:rsid w:val="00764CF9"/>
    <w:rsid w:val="007673E2"/>
    <w:rsid w:val="007707C6"/>
    <w:rsid w:val="00771E92"/>
    <w:rsid w:val="00774030"/>
    <w:rsid w:val="007747D3"/>
    <w:rsid w:val="00775CFB"/>
    <w:rsid w:val="00776AAC"/>
    <w:rsid w:val="00784B8C"/>
    <w:rsid w:val="00784F8F"/>
    <w:rsid w:val="00785ED3"/>
    <w:rsid w:val="00786CC6"/>
    <w:rsid w:val="00787159"/>
    <w:rsid w:val="00787CC3"/>
    <w:rsid w:val="0079670E"/>
    <w:rsid w:val="00796D2C"/>
    <w:rsid w:val="007A000F"/>
    <w:rsid w:val="007A49ED"/>
    <w:rsid w:val="007A647D"/>
    <w:rsid w:val="007B23E1"/>
    <w:rsid w:val="007B2AA1"/>
    <w:rsid w:val="007B3FB2"/>
    <w:rsid w:val="007B515F"/>
    <w:rsid w:val="007C16AD"/>
    <w:rsid w:val="007C354B"/>
    <w:rsid w:val="007C626B"/>
    <w:rsid w:val="007C679A"/>
    <w:rsid w:val="007D2F1E"/>
    <w:rsid w:val="007D3133"/>
    <w:rsid w:val="007E2AC7"/>
    <w:rsid w:val="007E3264"/>
    <w:rsid w:val="007E60C6"/>
    <w:rsid w:val="007F1511"/>
    <w:rsid w:val="007F312A"/>
    <w:rsid w:val="008036A2"/>
    <w:rsid w:val="008056AC"/>
    <w:rsid w:val="008064F0"/>
    <w:rsid w:val="008069BA"/>
    <w:rsid w:val="00812399"/>
    <w:rsid w:val="008123D6"/>
    <w:rsid w:val="0081255D"/>
    <w:rsid w:val="00815C6A"/>
    <w:rsid w:val="00823A11"/>
    <w:rsid w:val="00823A85"/>
    <w:rsid w:val="00824EF7"/>
    <w:rsid w:val="00825F45"/>
    <w:rsid w:val="0083026A"/>
    <w:rsid w:val="0083117B"/>
    <w:rsid w:val="008340E9"/>
    <w:rsid w:val="0083435E"/>
    <w:rsid w:val="008353FD"/>
    <w:rsid w:val="00835EFB"/>
    <w:rsid w:val="00836257"/>
    <w:rsid w:val="00836DC1"/>
    <w:rsid w:val="0083718B"/>
    <w:rsid w:val="008413B6"/>
    <w:rsid w:val="00841E20"/>
    <w:rsid w:val="008434C1"/>
    <w:rsid w:val="008464EA"/>
    <w:rsid w:val="00846ABE"/>
    <w:rsid w:val="00850505"/>
    <w:rsid w:val="0085058A"/>
    <w:rsid w:val="00850C31"/>
    <w:rsid w:val="00850D53"/>
    <w:rsid w:val="0085414A"/>
    <w:rsid w:val="008541A3"/>
    <w:rsid w:val="00854434"/>
    <w:rsid w:val="00854812"/>
    <w:rsid w:val="0085623B"/>
    <w:rsid w:val="0085648B"/>
    <w:rsid w:val="00860B28"/>
    <w:rsid w:val="00862390"/>
    <w:rsid w:val="0086269D"/>
    <w:rsid w:val="00863302"/>
    <w:rsid w:val="00867A24"/>
    <w:rsid w:val="008712A2"/>
    <w:rsid w:val="00871C8F"/>
    <w:rsid w:val="008724E5"/>
    <w:rsid w:val="00876F51"/>
    <w:rsid w:val="00880037"/>
    <w:rsid w:val="008805DC"/>
    <w:rsid w:val="00880EA6"/>
    <w:rsid w:val="00882882"/>
    <w:rsid w:val="0088402B"/>
    <w:rsid w:val="00884A9D"/>
    <w:rsid w:val="008875AC"/>
    <w:rsid w:val="00891DFF"/>
    <w:rsid w:val="00893F20"/>
    <w:rsid w:val="0089403B"/>
    <w:rsid w:val="00896476"/>
    <w:rsid w:val="008A0E78"/>
    <w:rsid w:val="008A0E91"/>
    <w:rsid w:val="008A271B"/>
    <w:rsid w:val="008A3A48"/>
    <w:rsid w:val="008A3C4A"/>
    <w:rsid w:val="008A4E1E"/>
    <w:rsid w:val="008A4FB9"/>
    <w:rsid w:val="008B64DF"/>
    <w:rsid w:val="008C0E44"/>
    <w:rsid w:val="008C296C"/>
    <w:rsid w:val="008D0DA2"/>
    <w:rsid w:val="008D3406"/>
    <w:rsid w:val="008D4305"/>
    <w:rsid w:val="008D4D0D"/>
    <w:rsid w:val="008D67DF"/>
    <w:rsid w:val="008E1076"/>
    <w:rsid w:val="008E1126"/>
    <w:rsid w:val="008E1A8A"/>
    <w:rsid w:val="008E1BA6"/>
    <w:rsid w:val="008E491B"/>
    <w:rsid w:val="008E5F5B"/>
    <w:rsid w:val="008E7504"/>
    <w:rsid w:val="008F0224"/>
    <w:rsid w:val="008F08A2"/>
    <w:rsid w:val="008F09CC"/>
    <w:rsid w:val="008F09EC"/>
    <w:rsid w:val="008F2482"/>
    <w:rsid w:val="008F4690"/>
    <w:rsid w:val="008F5A4F"/>
    <w:rsid w:val="008F65A8"/>
    <w:rsid w:val="008F746B"/>
    <w:rsid w:val="008F75F1"/>
    <w:rsid w:val="00913D86"/>
    <w:rsid w:val="009163A7"/>
    <w:rsid w:val="0091689E"/>
    <w:rsid w:val="00921093"/>
    <w:rsid w:val="00922E3E"/>
    <w:rsid w:val="0093015A"/>
    <w:rsid w:val="0093268E"/>
    <w:rsid w:val="00933C6B"/>
    <w:rsid w:val="00942574"/>
    <w:rsid w:val="0094324A"/>
    <w:rsid w:val="00944ADC"/>
    <w:rsid w:val="00950F68"/>
    <w:rsid w:val="0095495F"/>
    <w:rsid w:val="009601B0"/>
    <w:rsid w:val="00961108"/>
    <w:rsid w:val="00962119"/>
    <w:rsid w:val="00962F5E"/>
    <w:rsid w:val="0096310D"/>
    <w:rsid w:val="00964936"/>
    <w:rsid w:val="00974249"/>
    <w:rsid w:val="0097627B"/>
    <w:rsid w:val="00977A4A"/>
    <w:rsid w:val="009806D2"/>
    <w:rsid w:val="00980899"/>
    <w:rsid w:val="009825B1"/>
    <w:rsid w:val="00982B1E"/>
    <w:rsid w:val="00985160"/>
    <w:rsid w:val="00985237"/>
    <w:rsid w:val="0098676F"/>
    <w:rsid w:val="00986985"/>
    <w:rsid w:val="00987A37"/>
    <w:rsid w:val="00993211"/>
    <w:rsid w:val="00993273"/>
    <w:rsid w:val="0099355B"/>
    <w:rsid w:val="00996DCC"/>
    <w:rsid w:val="009977A5"/>
    <w:rsid w:val="009978C4"/>
    <w:rsid w:val="009A0F13"/>
    <w:rsid w:val="009A18CD"/>
    <w:rsid w:val="009A4106"/>
    <w:rsid w:val="009A4762"/>
    <w:rsid w:val="009A69E5"/>
    <w:rsid w:val="009B07D1"/>
    <w:rsid w:val="009B223B"/>
    <w:rsid w:val="009B2F6A"/>
    <w:rsid w:val="009B3235"/>
    <w:rsid w:val="009B5302"/>
    <w:rsid w:val="009B7532"/>
    <w:rsid w:val="009B76C5"/>
    <w:rsid w:val="009B7AAD"/>
    <w:rsid w:val="009C1F5C"/>
    <w:rsid w:val="009C54A7"/>
    <w:rsid w:val="009D1CC1"/>
    <w:rsid w:val="009D2C70"/>
    <w:rsid w:val="009D41CE"/>
    <w:rsid w:val="009D52DD"/>
    <w:rsid w:val="009D657D"/>
    <w:rsid w:val="009E1B50"/>
    <w:rsid w:val="009E2FA4"/>
    <w:rsid w:val="009E526C"/>
    <w:rsid w:val="009E629E"/>
    <w:rsid w:val="009F0F7B"/>
    <w:rsid w:val="009F1897"/>
    <w:rsid w:val="009F42A0"/>
    <w:rsid w:val="009F55E9"/>
    <w:rsid w:val="009F6DC7"/>
    <w:rsid w:val="009F722B"/>
    <w:rsid w:val="00A006B4"/>
    <w:rsid w:val="00A0126F"/>
    <w:rsid w:val="00A12558"/>
    <w:rsid w:val="00A13903"/>
    <w:rsid w:val="00A16F08"/>
    <w:rsid w:val="00A20691"/>
    <w:rsid w:val="00A21386"/>
    <w:rsid w:val="00A22951"/>
    <w:rsid w:val="00A23C76"/>
    <w:rsid w:val="00A24952"/>
    <w:rsid w:val="00A251EC"/>
    <w:rsid w:val="00A33338"/>
    <w:rsid w:val="00A34D34"/>
    <w:rsid w:val="00A34ED5"/>
    <w:rsid w:val="00A350E8"/>
    <w:rsid w:val="00A368E3"/>
    <w:rsid w:val="00A36968"/>
    <w:rsid w:val="00A43694"/>
    <w:rsid w:val="00A45DBF"/>
    <w:rsid w:val="00A570D3"/>
    <w:rsid w:val="00A60FD6"/>
    <w:rsid w:val="00A61C6E"/>
    <w:rsid w:val="00A637AB"/>
    <w:rsid w:val="00A64E0F"/>
    <w:rsid w:val="00A710D8"/>
    <w:rsid w:val="00A733DC"/>
    <w:rsid w:val="00A755A2"/>
    <w:rsid w:val="00A76AC5"/>
    <w:rsid w:val="00A77958"/>
    <w:rsid w:val="00A90375"/>
    <w:rsid w:val="00A90761"/>
    <w:rsid w:val="00A9403B"/>
    <w:rsid w:val="00A967A3"/>
    <w:rsid w:val="00A9767C"/>
    <w:rsid w:val="00AA1F79"/>
    <w:rsid w:val="00AA3C59"/>
    <w:rsid w:val="00AA6DCB"/>
    <w:rsid w:val="00AB2C36"/>
    <w:rsid w:val="00AB56D3"/>
    <w:rsid w:val="00AB6C27"/>
    <w:rsid w:val="00AB6F7E"/>
    <w:rsid w:val="00AC13E4"/>
    <w:rsid w:val="00AC35FB"/>
    <w:rsid w:val="00AC65F1"/>
    <w:rsid w:val="00AC790A"/>
    <w:rsid w:val="00AD1A86"/>
    <w:rsid w:val="00AD40BE"/>
    <w:rsid w:val="00AD4402"/>
    <w:rsid w:val="00AD54FC"/>
    <w:rsid w:val="00AD7A81"/>
    <w:rsid w:val="00AD7BF5"/>
    <w:rsid w:val="00AD7C0F"/>
    <w:rsid w:val="00AE0D7E"/>
    <w:rsid w:val="00AE103E"/>
    <w:rsid w:val="00AE3322"/>
    <w:rsid w:val="00AE5FFC"/>
    <w:rsid w:val="00AF0A07"/>
    <w:rsid w:val="00AF30EC"/>
    <w:rsid w:val="00AF405B"/>
    <w:rsid w:val="00AF56D6"/>
    <w:rsid w:val="00AF5AE5"/>
    <w:rsid w:val="00AF5BF0"/>
    <w:rsid w:val="00AF625E"/>
    <w:rsid w:val="00AF6292"/>
    <w:rsid w:val="00AF721B"/>
    <w:rsid w:val="00B13F58"/>
    <w:rsid w:val="00B15060"/>
    <w:rsid w:val="00B152B1"/>
    <w:rsid w:val="00B16749"/>
    <w:rsid w:val="00B2274C"/>
    <w:rsid w:val="00B24143"/>
    <w:rsid w:val="00B26AFA"/>
    <w:rsid w:val="00B31C22"/>
    <w:rsid w:val="00B350E1"/>
    <w:rsid w:val="00B35858"/>
    <w:rsid w:val="00B379E2"/>
    <w:rsid w:val="00B43974"/>
    <w:rsid w:val="00B4542B"/>
    <w:rsid w:val="00B455A4"/>
    <w:rsid w:val="00B45750"/>
    <w:rsid w:val="00B45CFE"/>
    <w:rsid w:val="00B502EA"/>
    <w:rsid w:val="00B50562"/>
    <w:rsid w:val="00B51E16"/>
    <w:rsid w:val="00B56D07"/>
    <w:rsid w:val="00B6151A"/>
    <w:rsid w:val="00B617EC"/>
    <w:rsid w:val="00B61955"/>
    <w:rsid w:val="00B61A7D"/>
    <w:rsid w:val="00B61C27"/>
    <w:rsid w:val="00B62A2F"/>
    <w:rsid w:val="00B67172"/>
    <w:rsid w:val="00B672CF"/>
    <w:rsid w:val="00B675B6"/>
    <w:rsid w:val="00B67ED4"/>
    <w:rsid w:val="00B72B1F"/>
    <w:rsid w:val="00B7369E"/>
    <w:rsid w:val="00B75CD5"/>
    <w:rsid w:val="00B75DC7"/>
    <w:rsid w:val="00B82C22"/>
    <w:rsid w:val="00B87D54"/>
    <w:rsid w:val="00B90701"/>
    <w:rsid w:val="00B907C4"/>
    <w:rsid w:val="00B924AC"/>
    <w:rsid w:val="00B9400A"/>
    <w:rsid w:val="00B94479"/>
    <w:rsid w:val="00B94C05"/>
    <w:rsid w:val="00B977F2"/>
    <w:rsid w:val="00BA30C3"/>
    <w:rsid w:val="00BA4AC6"/>
    <w:rsid w:val="00BA65B9"/>
    <w:rsid w:val="00BA7B7D"/>
    <w:rsid w:val="00BB0EB7"/>
    <w:rsid w:val="00BC3420"/>
    <w:rsid w:val="00BC6682"/>
    <w:rsid w:val="00BC6DDF"/>
    <w:rsid w:val="00BD046A"/>
    <w:rsid w:val="00BD52C9"/>
    <w:rsid w:val="00BD5534"/>
    <w:rsid w:val="00BD78A9"/>
    <w:rsid w:val="00BE4154"/>
    <w:rsid w:val="00BE6354"/>
    <w:rsid w:val="00BF288F"/>
    <w:rsid w:val="00BF6386"/>
    <w:rsid w:val="00C048E2"/>
    <w:rsid w:val="00C06959"/>
    <w:rsid w:val="00C06C42"/>
    <w:rsid w:val="00C117B8"/>
    <w:rsid w:val="00C1180C"/>
    <w:rsid w:val="00C12513"/>
    <w:rsid w:val="00C1728F"/>
    <w:rsid w:val="00C225AB"/>
    <w:rsid w:val="00C22F89"/>
    <w:rsid w:val="00C232AB"/>
    <w:rsid w:val="00C23655"/>
    <w:rsid w:val="00C24144"/>
    <w:rsid w:val="00C26CF6"/>
    <w:rsid w:val="00C27128"/>
    <w:rsid w:val="00C275EA"/>
    <w:rsid w:val="00C300C1"/>
    <w:rsid w:val="00C318BF"/>
    <w:rsid w:val="00C33915"/>
    <w:rsid w:val="00C34C45"/>
    <w:rsid w:val="00C34D6F"/>
    <w:rsid w:val="00C358C4"/>
    <w:rsid w:val="00C377F5"/>
    <w:rsid w:val="00C37954"/>
    <w:rsid w:val="00C451D4"/>
    <w:rsid w:val="00C460A6"/>
    <w:rsid w:val="00C46214"/>
    <w:rsid w:val="00C60CC8"/>
    <w:rsid w:val="00C60E3A"/>
    <w:rsid w:val="00C70EA7"/>
    <w:rsid w:val="00C7516E"/>
    <w:rsid w:val="00C7594B"/>
    <w:rsid w:val="00C7599B"/>
    <w:rsid w:val="00C83733"/>
    <w:rsid w:val="00C83B6C"/>
    <w:rsid w:val="00C83E62"/>
    <w:rsid w:val="00C86380"/>
    <w:rsid w:val="00C87304"/>
    <w:rsid w:val="00C92CD0"/>
    <w:rsid w:val="00C92FE2"/>
    <w:rsid w:val="00C93085"/>
    <w:rsid w:val="00C96954"/>
    <w:rsid w:val="00CA27DE"/>
    <w:rsid w:val="00CB24FD"/>
    <w:rsid w:val="00CB3A3F"/>
    <w:rsid w:val="00CB3D6F"/>
    <w:rsid w:val="00CC14EF"/>
    <w:rsid w:val="00CC1AE8"/>
    <w:rsid w:val="00CC1F4F"/>
    <w:rsid w:val="00CC38D5"/>
    <w:rsid w:val="00CC639F"/>
    <w:rsid w:val="00CD02A2"/>
    <w:rsid w:val="00CD0D5A"/>
    <w:rsid w:val="00CD1A33"/>
    <w:rsid w:val="00CD2C76"/>
    <w:rsid w:val="00CE179A"/>
    <w:rsid w:val="00CE3691"/>
    <w:rsid w:val="00CE5BA2"/>
    <w:rsid w:val="00CE6F21"/>
    <w:rsid w:val="00CE7837"/>
    <w:rsid w:val="00CF2CCD"/>
    <w:rsid w:val="00CF6774"/>
    <w:rsid w:val="00D02494"/>
    <w:rsid w:val="00D031E8"/>
    <w:rsid w:val="00D0633C"/>
    <w:rsid w:val="00D12404"/>
    <w:rsid w:val="00D12706"/>
    <w:rsid w:val="00D14AE1"/>
    <w:rsid w:val="00D21F20"/>
    <w:rsid w:val="00D233C8"/>
    <w:rsid w:val="00D240DB"/>
    <w:rsid w:val="00D24657"/>
    <w:rsid w:val="00D24877"/>
    <w:rsid w:val="00D275BC"/>
    <w:rsid w:val="00D30F2D"/>
    <w:rsid w:val="00D362B9"/>
    <w:rsid w:val="00D377F8"/>
    <w:rsid w:val="00D42574"/>
    <w:rsid w:val="00D453BC"/>
    <w:rsid w:val="00D453D8"/>
    <w:rsid w:val="00D46457"/>
    <w:rsid w:val="00D520C1"/>
    <w:rsid w:val="00D5368D"/>
    <w:rsid w:val="00D66373"/>
    <w:rsid w:val="00D67205"/>
    <w:rsid w:val="00D74B35"/>
    <w:rsid w:val="00D75D42"/>
    <w:rsid w:val="00D860E6"/>
    <w:rsid w:val="00D86852"/>
    <w:rsid w:val="00D86A3D"/>
    <w:rsid w:val="00D97B7E"/>
    <w:rsid w:val="00DA1C4D"/>
    <w:rsid w:val="00DA36ED"/>
    <w:rsid w:val="00DA36FC"/>
    <w:rsid w:val="00DA3897"/>
    <w:rsid w:val="00DA486D"/>
    <w:rsid w:val="00DA4DF0"/>
    <w:rsid w:val="00DA6C45"/>
    <w:rsid w:val="00DA717C"/>
    <w:rsid w:val="00DB35E7"/>
    <w:rsid w:val="00DB4A84"/>
    <w:rsid w:val="00DB4B28"/>
    <w:rsid w:val="00DC0039"/>
    <w:rsid w:val="00DC0F3C"/>
    <w:rsid w:val="00DC21E3"/>
    <w:rsid w:val="00DC23F8"/>
    <w:rsid w:val="00DD00A7"/>
    <w:rsid w:val="00DD037B"/>
    <w:rsid w:val="00DD1011"/>
    <w:rsid w:val="00DD44CC"/>
    <w:rsid w:val="00DD651B"/>
    <w:rsid w:val="00DE25F7"/>
    <w:rsid w:val="00DE2E33"/>
    <w:rsid w:val="00DE2FBD"/>
    <w:rsid w:val="00DE34F1"/>
    <w:rsid w:val="00DE4EC2"/>
    <w:rsid w:val="00DE5AE1"/>
    <w:rsid w:val="00DE650C"/>
    <w:rsid w:val="00DF10C3"/>
    <w:rsid w:val="00DF1BEE"/>
    <w:rsid w:val="00DF4942"/>
    <w:rsid w:val="00DF5612"/>
    <w:rsid w:val="00DF6B66"/>
    <w:rsid w:val="00E05619"/>
    <w:rsid w:val="00E06CBD"/>
    <w:rsid w:val="00E11110"/>
    <w:rsid w:val="00E1221C"/>
    <w:rsid w:val="00E1527B"/>
    <w:rsid w:val="00E22288"/>
    <w:rsid w:val="00E23CFE"/>
    <w:rsid w:val="00E24930"/>
    <w:rsid w:val="00E31685"/>
    <w:rsid w:val="00E42F47"/>
    <w:rsid w:val="00E477FF"/>
    <w:rsid w:val="00E47AD3"/>
    <w:rsid w:val="00E50FBA"/>
    <w:rsid w:val="00E53C10"/>
    <w:rsid w:val="00E55D04"/>
    <w:rsid w:val="00E56B77"/>
    <w:rsid w:val="00E60B9D"/>
    <w:rsid w:val="00E627B1"/>
    <w:rsid w:val="00E62B16"/>
    <w:rsid w:val="00E62B4C"/>
    <w:rsid w:val="00E63C27"/>
    <w:rsid w:val="00E703BD"/>
    <w:rsid w:val="00E72A60"/>
    <w:rsid w:val="00E74B9A"/>
    <w:rsid w:val="00E8796A"/>
    <w:rsid w:val="00E916B4"/>
    <w:rsid w:val="00E919E4"/>
    <w:rsid w:val="00E9376C"/>
    <w:rsid w:val="00EA306E"/>
    <w:rsid w:val="00EA480C"/>
    <w:rsid w:val="00EA602C"/>
    <w:rsid w:val="00EB41F3"/>
    <w:rsid w:val="00EB5920"/>
    <w:rsid w:val="00EB76D9"/>
    <w:rsid w:val="00EC3E0A"/>
    <w:rsid w:val="00EC41CA"/>
    <w:rsid w:val="00EC6347"/>
    <w:rsid w:val="00ED1E16"/>
    <w:rsid w:val="00ED3691"/>
    <w:rsid w:val="00ED5B53"/>
    <w:rsid w:val="00EE7E5A"/>
    <w:rsid w:val="00EF1BA9"/>
    <w:rsid w:val="00EF3A10"/>
    <w:rsid w:val="00EF74E3"/>
    <w:rsid w:val="00F01717"/>
    <w:rsid w:val="00F134B7"/>
    <w:rsid w:val="00F1580C"/>
    <w:rsid w:val="00F15D99"/>
    <w:rsid w:val="00F236EE"/>
    <w:rsid w:val="00F23FFB"/>
    <w:rsid w:val="00F24DAF"/>
    <w:rsid w:val="00F24EF1"/>
    <w:rsid w:val="00F262CF"/>
    <w:rsid w:val="00F2668B"/>
    <w:rsid w:val="00F26D88"/>
    <w:rsid w:val="00F37270"/>
    <w:rsid w:val="00F379D5"/>
    <w:rsid w:val="00F40DAB"/>
    <w:rsid w:val="00F421DF"/>
    <w:rsid w:val="00F4284A"/>
    <w:rsid w:val="00F431C5"/>
    <w:rsid w:val="00F43876"/>
    <w:rsid w:val="00F4581D"/>
    <w:rsid w:val="00F531E1"/>
    <w:rsid w:val="00F562B7"/>
    <w:rsid w:val="00F57031"/>
    <w:rsid w:val="00F576CB"/>
    <w:rsid w:val="00F62542"/>
    <w:rsid w:val="00F62AD2"/>
    <w:rsid w:val="00F66E5B"/>
    <w:rsid w:val="00F67E01"/>
    <w:rsid w:val="00F71611"/>
    <w:rsid w:val="00F72D0F"/>
    <w:rsid w:val="00F736D9"/>
    <w:rsid w:val="00F73C30"/>
    <w:rsid w:val="00F759CD"/>
    <w:rsid w:val="00F765CA"/>
    <w:rsid w:val="00F80B17"/>
    <w:rsid w:val="00F838A6"/>
    <w:rsid w:val="00F84A0B"/>
    <w:rsid w:val="00F96366"/>
    <w:rsid w:val="00FA21A9"/>
    <w:rsid w:val="00FA3536"/>
    <w:rsid w:val="00FA3CD4"/>
    <w:rsid w:val="00FA7847"/>
    <w:rsid w:val="00FA789F"/>
    <w:rsid w:val="00FC23AA"/>
    <w:rsid w:val="00FC2940"/>
    <w:rsid w:val="00FC4715"/>
    <w:rsid w:val="00FD1226"/>
    <w:rsid w:val="00FD3707"/>
    <w:rsid w:val="00FD509A"/>
    <w:rsid w:val="00FD6BDF"/>
    <w:rsid w:val="00FE0F52"/>
    <w:rsid w:val="00FE3063"/>
    <w:rsid w:val="00FE4B68"/>
    <w:rsid w:val="00FF2148"/>
    <w:rsid w:val="00FF2A73"/>
    <w:rsid w:val="00FF52EB"/>
    <w:rsid w:val="00FF7608"/>
    <w:rsid w:val="00FF798F"/>
    <w:rsid w:val="124305AE"/>
    <w:rsid w:val="33F5C26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15:docId w15:val="{8764E01D-79E1-4E98-9B73-C7E5E3AA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qFormat/>
    <w:rsid w:val="002E3488"/>
    <w:pPr>
      <w:keepNext/>
      <w:keepLines/>
      <w:spacing w:before="240"/>
      <w:outlineLvl w:val="0"/>
    </w:pPr>
    <w:rPr>
      <w:rFonts w:ascii="Arial" w:eastAsiaTheme="majorEastAsia" w:hAnsi="Arial" w:cs="Arial"/>
      <w:b/>
      <w:sz w:val="22"/>
      <w:szCs w:val="2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rsid w:val="00FF76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2E58D4"/>
    <w:pPr>
      <w:keepNext/>
      <w:numPr>
        <w:numId w:val="3"/>
      </w:numPr>
      <w:spacing w:before="360" w:after="240"/>
      <w:ind w:hanging="720"/>
      <w:contextualSpacing/>
      <w:outlineLvl w:val="3"/>
    </w:pPr>
    <w:rPr>
      <w:rFonts w:ascii="Arial" w:hAnsi="Arial" w:cs="Arial"/>
      <w:b/>
      <w:sz w:val="22"/>
      <w:szCs w:val="22"/>
    </w:rPr>
  </w:style>
  <w:style w:type="paragraph" w:styleId="Heading5">
    <w:name w:val="heading 5"/>
    <w:basedOn w:val="Normal"/>
    <w:next w:val="Normal"/>
    <w:link w:val="Heading5Char"/>
    <w:uiPriority w:val="9"/>
    <w:unhideWhenUsed/>
    <w:rsid w:val="00FF760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autoSpaceDE w:val="0"/>
      <w:autoSpaceDN w:val="0"/>
      <w:adjustRightInd w:val="0"/>
      <w:spacing w:after="120"/>
      <w:jc w:val="both"/>
    </w:pPr>
    <w:rPr>
      <w:rFonts w:ascii="Arial" w:hAnsi="Arial" w:cs="Arial"/>
      <w:sz w:val="22"/>
      <w:szCs w:val="22"/>
      <w:u w:val="single"/>
    </w:rPr>
  </w:style>
  <w:style w:type="paragraph" w:styleId="NoSpacing">
    <w:name w:val="No Spacing"/>
    <w:link w:val="NoSpacingChar"/>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14F67"/>
    <w:pPr>
      <w:tabs>
        <w:tab w:val="left" w:pos="1134"/>
      </w:tabs>
      <w:spacing w:before="360" w:after="240"/>
      <w:ind w:left="567" w:hanging="567"/>
      <w:outlineLvl w:val="0"/>
    </w:pPr>
    <w:rPr>
      <w:rFonts w:asciiTheme="minorBidi" w:eastAsia="SimSun" w:hAnsiTheme="minorBidi" w:cstheme="minorBidi"/>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CRITERES,t  BASdePAGE,AFM puces,Paragraphe de liste du rapport,Ss titre,corp de texte,Paragraphe de liste8,List Paragraph1,Puce 03,Paragraphe de liste puce,Numbered paragraph,Liste 1,Bullets,Paragraphe de liste1,Paragraphe,lp1"/>
    <w:basedOn w:val="Normal"/>
    <w:link w:val="ListParagraphChar"/>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paragraph" w:customStyle="1" w:styleId="BODYTEXT">
    <w:name w:val="¬BODY TEXT"/>
    <w:basedOn w:val="Normal"/>
    <w:link w:val="BODYTEXTChar"/>
    <w:qFormat/>
    <w:rsid w:val="00EF3A10"/>
    <w:p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EF3A10"/>
    <w:rPr>
      <w:rFonts w:ascii="Arial" w:eastAsia="Calibri" w:hAnsi="Arial" w:cs="Arial"/>
      <w:color w:val="000000"/>
      <w:sz w:val="22"/>
      <w:szCs w:val="22"/>
      <w:lang w:val="en-GB"/>
    </w:rPr>
  </w:style>
  <w:style w:type="character" w:customStyle="1" w:styleId="ParaChar">
    <w:name w:val="Para Char"/>
    <w:link w:val="Para"/>
    <w:locked/>
    <w:rsid w:val="00E05619"/>
    <w:rPr>
      <w:rFonts w:ascii="Arial" w:hAnsi="Arial"/>
    </w:rPr>
  </w:style>
  <w:style w:type="paragraph" w:customStyle="1" w:styleId="Para">
    <w:name w:val="Para"/>
    <w:basedOn w:val="Normal"/>
    <w:link w:val="ParaChar"/>
    <w:qFormat/>
    <w:rsid w:val="00E05619"/>
    <w:pPr>
      <w:spacing w:after="120" w:line="240" w:lineRule="exact"/>
      <w:jc w:val="both"/>
    </w:pPr>
    <w:rPr>
      <w:rFonts w:ascii="Arial" w:eastAsia="SimSun" w:hAnsi="Arial"/>
      <w:sz w:val="20"/>
      <w:szCs w:val="20"/>
    </w:rPr>
  </w:style>
  <w:style w:type="character" w:customStyle="1" w:styleId="MargeChar">
    <w:name w:val="Marge Char"/>
    <w:link w:val="Marge"/>
    <w:rsid w:val="001F6554"/>
    <w:rPr>
      <w:rFonts w:ascii="Arial" w:eastAsia="Times New Roman" w:hAnsi="Arial"/>
      <w:snapToGrid w:val="0"/>
      <w:sz w:val="22"/>
      <w:szCs w:val="24"/>
      <w:lang w:eastAsia="en-US"/>
    </w:rPr>
  </w:style>
  <w:style w:type="character" w:customStyle="1" w:styleId="Heading1Char">
    <w:name w:val="Heading 1 Char"/>
    <w:basedOn w:val="DefaultParagraphFont"/>
    <w:link w:val="Heading1"/>
    <w:uiPriority w:val="9"/>
    <w:rsid w:val="002E3488"/>
    <w:rPr>
      <w:rFonts w:ascii="Arial" w:eastAsiaTheme="majorEastAsia" w:hAnsi="Arial" w:cs="Arial"/>
      <w:b/>
      <w:sz w:val="22"/>
      <w:szCs w:val="22"/>
    </w:rPr>
  </w:style>
  <w:style w:type="character" w:customStyle="1" w:styleId="Heading3Char">
    <w:name w:val="Heading 3 Char"/>
    <w:basedOn w:val="DefaultParagraphFont"/>
    <w:link w:val="Heading3"/>
    <w:uiPriority w:val="9"/>
    <w:rsid w:val="00FF760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FF7608"/>
    <w:rPr>
      <w:rFonts w:asciiTheme="majorHAnsi" w:eastAsiaTheme="majorEastAsia" w:hAnsiTheme="majorHAnsi" w:cstheme="majorBidi"/>
      <w:color w:val="365F91" w:themeColor="accent1" w:themeShade="BF"/>
      <w:sz w:val="24"/>
      <w:szCs w:val="24"/>
    </w:rPr>
  </w:style>
  <w:style w:type="paragraph" w:customStyle="1" w:styleId="Default">
    <w:name w:val="Default"/>
    <w:uiPriority w:val="99"/>
    <w:rsid w:val="00FF7608"/>
    <w:pPr>
      <w:autoSpaceDE w:val="0"/>
      <w:autoSpaceDN w:val="0"/>
      <w:adjustRightInd w:val="0"/>
    </w:pPr>
    <w:rPr>
      <w:rFonts w:ascii="Arial" w:hAnsi="Arial" w:cs="Arial"/>
      <w:color w:val="000000"/>
      <w:sz w:val="24"/>
      <w:szCs w:val="24"/>
      <w:lang w:val="en-US" w:eastAsia="zh-CN"/>
    </w:rPr>
  </w:style>
  <w:style w:type="paragraph" w:styleId="NormalWeb">
    <w:name w:val="Normal (Web)"/>
    <w:basedOn w:val="Normal"/>
    <w:uiPriority w:val="99"/>
    <w:unhideWhenUsed/>
    <w:rsid w:val="00FF7608"/>
    <w:pPr>
      <w:spacing w:before="100" w:beforeAutospacing="1" w:after="100" w:afterAutospacing="1"/>
    </w:pPr>
  </w:style>
  <w:style w:type="character" w:styleId="CommentReference">
    <w:name w:val="annotation reference"/>
    <w:basedOn w:val="DefaultParagraphFont"/>
    <w:uiPriority w:val="99"/>
    <w:semiHidden/>
    <w:unhideWhenUsed/>
    <w:rsid w:val="00FF7608"/>
    <w:rPr>
      <w:sz w:val="16"/>
      <w:szCs w:val="16"/>
    </w:rPr>
  </w:style>
  <w:style w:type="paragraph" w:styleId="CommentText">
    <w:name w:val="annotation text"/>
    <w:basedOn w:val="Normal"/>
    <w:link w:val="CommentTextChar"/>
    <w:uiPriority w:val="99"/>
    <w:unhideWhenUsed/>
    <w:rsid w:val="00FF7608"/>
    <w:rPr>
      <w:rFonts w:ascii="Arial" w:hAnsi="Arial"/>
      <w:sz w:val="20"/>
      <w:szCs w:val="20"/>
      <w:lang w:val="en-GB"/>
    </w:rPr>
  </w:style>
  <w:style w:type="character" w:customStyle="1" w:styleId="CommentTextChar">
    <w:name w:val="Comment Text Char"/>
    <w:basedOn w:val="DefaultParagraphFont"/>
    <w:link w:val="CommentText"/>
    <w:uiPriority w:val="99"/>
    <w:rsid w:val="00FF7608"/>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FF7608"/>
    <w:rPr>
      <w:b/>
      <w:bCs/>
    </w:rPr>
  </w:style>
  <w:style w:type="character" w:customStyle="1" w:styleId="CommentSubjectChar">
    <w:name w:val="Comment Subject Char"/>
    <w:basedOn w:val="CommentTextChar"/>
    <w:link w:val="CommentSubject"/>
    <w:uiPriority w:val="99"/>
    <w:semiHidden/>
    <w:rsid w:val="00FF7608"/>
    <w:rPr>
      <w:rFonts w:ascii="Arial" w:eastAsia="Times New Roman" w:hAnsi="Arial"/>
      <w:b/>
      <w:bCs/>
      <w:lang w:val="en-GB"/>
    </w:rPr>
  </w:style>
  <w:style w:type="paragraph" w:customStyle="1" w:styleId="Style1">
    <w:name w:val="Style1"/>
    <w:basedOn w:val="Normal"/>
    <w:link w:val="Style1Char"/>
    <w:qFormat/>
    <w:rsid w:val="00FF7608"/>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FF7608"/>
    <w:pPr>
      <w:numPr>
        <w:numId w:val="9"/>
      </w:numPr>
    </w:pPr>
  </w:style>
  <w:style w:type="character" w:customStyle="1" w:styleId="Style1Char">
    <w:name w:val="Style1 Char"/>
    <w:basedOn w:val="DefaultParagraphFont"/>
    <w:link w:val="Style1"/>
    <w:rsid w:val="00FF7608"/>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FF7608"/>
    <w:rPr>
      <w:color w:val="605E5C"/>
      <w:shd w:val="clear" w:color="auto" w:fill="E1DFDD"/>
    </w:rPr>
  </w:style>
  <w:style w:type="character" w:customStyle="1" w:styleId="NoSpacingChar">
    <w:name w:val="No Spacing Char"/>
    <w:basedOn w:val="DefaultParagraphFont"/>
    <w:link w:val="NoSpacing"/>
    <w:uiPriority w:val="1"/>
    <w:rsid w:val="00FF7608"/>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F7608"/>
    <w:rPr>
      <w:color w:val="605E5C"/>
      <w:shd w:val="clear" w:color="auto" w:fill="E1DFDD"/>
    </w:rPr>
  </w:style>
  <w:style w:type="character" w:styleId="FollowedHyperlink">
    <w:name w:val="FollowedHyperlink"/>
    <w:basedOn w:val="DefaultParagraphFont"/>
    <w:uiPriority w:val="99"/>
    <w:semiHidden/>
    <w:unhideWhenUsed/>
    <w:rsid w:val="00FF7608"/>
    <w:rPr>
      <w:color w:val="800080" w:themeColor="followedHyperlink"/>
      <w:u w:val="single"/>
    </w:rPr>
  </w:style>
  <w:style w:type="character" w:customStyle="1" w:styleId="UnresolvedMention3">
    <w:name w:val="Unresolved Mention3"/>
    <w:basedOn w:val="DefaultParagraphFont"/>
    <w:uiPriority w:val="99"/>
    <w:semiHidden/>
    <w:unhideWhenUsed/>
    <w:rsid w:val="00FF7608"/>
    <w:rPr>
      <w:color w:val="605E5C"/>
      <w:shd w:val="clear" w:color="auto" w:fill="E1DFDD"/>
    </w:rPr>
  </w:style>
  <w:style w:type="paragraph" w:customStyle="1" w:styleId="formtext">
    <w:name w:val="formtext"/>
    <w:basedOn w:val="Normal"/>
    <w:qFormat/>
    <w:rsid w:val="00FF7608"/>
    <w:pPr>
      <w:spacing w:before="80" w:after="80" w:line="240" w:lineRule="exact"/>
    </w:pPr>
    <w:rPr>
      <w:rFonts w:ascii="Arial" w:eastAsia="SimSun" w:hAnsi="Arial"/>
      <w:sz w:val="22"/>
      <w:szCs w:val="22"/>
      <w:lang w:val="en-US"/>
    </w:rPr>
  </w:style>
  <w:style w:type="numbering" w:customStyle="1" w:styleId="NoList1">
    <w:name w:val="No List1"/>
    <w:next w:val="NoList"/>
    <w:uiPriority w:val="99"/>
    <w:semiHidden/>
    <w:unhideWhenUsed/>
    <w:rsid w:val="00FF7608"/>
  </w:style>
  <w:style w:type="character" w:customStyle="1" w:styleId="a">
    <w:name w:val="Нет"/>
    <w:qFormat/>
    <w:rsid w:val="00FF7608"/>
  </w:style>
  <w:style w:type="character" w:customStyle="1" w:styleId="UnresolvedMention4">
    <w:name w:val="Unresolved Mention4"/>
    <w:basedOn w:val="DefaultParagraphFont"/>
    <w:uiPriority w:val="99"/>
    <w:semiHidden/>
    <w:unhideWhenUsed/>
    <w:rsid w:val="00E919E4"/>
    <w:rPr>
      <w:color w:val="605E5C"/>
      <w:shd w:val="clear" w:color="auto" w:fill="E1DFDD"/>
    </w:rPr>
  </w:style>
  <w:style w:type="character" w:customStyle="1" w:styleId="ListParagraphChar">
    <w:name w:val="List Paragraph Char"/>
    <w:aliases w:val="CRITERES Char,t  BASdePAGE Char,AFM puces Char,Paragraphe de liste du rapport Char,Ss titre Char,corp de texte Char,Paragraphe de liste8 Char,List Paragraph1 Char,Puce 03 Char,Paragraphe de liste puce Char,Numbered paragraph Char"/>
    <w:link w:val="ListParagraph"/>
    <w:uiPriority w:val="34"/>
    <w:qFormat/>
    <w:locked/>
    <w:rsid w:val="00330389"/>
    <w:rPr>
      <w:rFonts w:ascii="Times New Roman" w:eastAsia="Times New Roman" w:hAnsi="Times New Roman"/>
      <w:sz w:val="24"/>
      <w:szCs w:val="24"/>
    </w:rPr>
  </w:style>
  <w:style w:type="numbering" w:customStyle="1" w:styleId="CurrentList1">
    <w:name w:val="Current List1"/>
    <w:uiPriority w:val="99"/>
    <w:rsid w:val="00860B28"/>
    <w:pPr>
      <w:numPr>
        <w:numId w:val="16"/>
      </w:numPr>
    </w:pPr>
  </w:style>
  <w:style w:type="character" w:customStyle="1" w:styleId="UnresolvedMention5">
    <w:name w:val="Unresolved Mention5"/>
    <w:basedOn w:val="DefaultParagraphFont"/>
    <w:uiPriority w:val="99"/>
    <w:semiHidden/>
    <w:unhideWhenUsed/>
    <w:rsid w:val="009B3235"/>
    <w:rPr>
      <w:color w:val="605E5C"/>
      <w:shd w:val="clear" w:color="auto" w:fill="E1DFDD"/>
    </w:rPr>
  </w:style>
  <w:style w:type="character" w:styleId="UnresolvedMention">
    <w:name w:val="Unresolved Mention"/>
    <w:basedOn w:val="DefaultParagraphFont"/>
    <w:uiPriority w:val="99"/>
    <w:semiHidden/>
    <w:unhideWhenUsed/>
    <w:rsid w:val="00417354"/>
    <w:rPr>
      <w:color w:val="605E5C"/>
      <w:shd w:val="clear" w:color="auto" w:fill="E1DFDD"/>
    </w:rPr>
  </w:style>
  <w:style w:type="paragraph" w:customStyle="1" w:styleId="msonormal0">
    <w:name w:val="msonormal"/>
    <w:basedOn w:val="Normal"/>
    <w:uiPriority w:val="99"/>
    <w:rsid w:val="009A4762"/>
    <w:pPr>
      <w:spacing w:before="100" w:beforeAutospacing="1" w:after="100" w:afterAutospacing="1"/>
    </w:pPr>
  </w:style>
  <w:style w:type="character" w:customStyle="1" w:styleId="Aucun">
    <w:name w:val="Aucun"/>
    <w:rsid w:val="00F562B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fr/decisions/14.COM/15" TargetMode="External"/><Relationship Id="rId21" Type="http://schemas.openxmlformats.org/officeDocument/2006/relationships/hyperlink" Target="https://ich.unesco.org/fr/decisions/18.COM/21" TargetMode="External"/><Relationship Id="rId42" Type="http://schemas.openxmlformats.org/officeDocument/2006/relationships/hyperlink" Target="https://ich.unesco.org/doc/src/LHE-25-20.COM-6.b_FR.docx" TargetMode="External"/><Relationship Id="rId63" Type="http://schemas.openxmlformats.org/officeDocument/2006/relationships/hyperlink" Target="https://ich.unesco.org/doc/src/LHE-25-20.COM-7.d_FR.docx" TargetMode="External"/><Relationship Id="rId84" Type="http://schemas.openxmlformats.org/officeDocument/2006/relationships/hyperlink" Target="https://ich.unesco.org/fr/decisions/7.COM/11.1" TargetMode="External"/><Relationship Id="rId138" Type="http://schemas.openxmlformats.org/officeDocument/2006/relationships/header" Target="header2.xml"/><Relationship Id="rId107" Type="http://schemas.openxmlformats.org/officeDocument/2006/relationships/hyperlink" Target="https://ich.unesco.org/doc/src/LHE-25-20.COM-INF.13.2_FR.docx" TargetMode="External"/><Relationship Id="rId11" Type="http://schemas.openxmlformats.org/officeDocument/2006/relationships/hyperlink" Target="https://ich.unesco.org/doc/src/LHE-25-20.COM-3_FR.docx" TargetMode="External"/><Relationship Id="rId32" Type="http://schemas.openxmlformats.org/officeDocument/2006/relationships/hyperlink" Target="https://ich.unesco.org/fr/decisions/11.COM/10.A.5" TargetMode="External"/><Relationship Id="rId37" Type="http://schemas.openxmlformats.org/officeDocument/2006/relationships/hyperlink" Target="https://ich.unesco.org/fr/decisions/16.COM/7.A.7" TargetMode="External"/><Relationship Id="rId53" Type="http://schemas.openxmlformats.org/officeDocument/2006/relationships/hyperlink" Target="https://unesdoc.unesco.org/ark:/48223/pf0000388995?posInSet=1&amp;queryId=bac1614c-87af-439e-8f80-730dd0527608" TargetMode="External"/><Relationship Id="rId58" Type="http://schemas.openxmlformats.org/officeDocument/2006/relationships/hyperlink" Target="https://ich.unesco.org/doc/src/LHE-24-19.COM-7_FR.docx" TargetMode="External"/><Relationship Id="rId74" Type="http://schemas.openxmlformats.org/officeDocument/2006/relationships/hyperlink" Target="https://ich.unesco.org/fr/decisions/19.COM/6.A.10" TargetMode="External"/><Relationship Id="rId79" Type="http://schemas.openxmlformats.org/officeDocument/2006/relationships/hyperlink" Target="https://ich.unesco.org/doc/src/LHE-25-20.COM-9_FR.docx" TargetMode="External"/><Relationship Id="rId102" Type="http://schemas.openxmlformats.org/officeDocument/2006/relationships/hyperlink" Target="https://www.unesco.org/sites/default/files/medias/fichiers/2025/09/FR%20MONDIACULT%20Document_final%2027.09.25.pdf?hub=171169" TargetMode="External"/><Relationship Id="rId123" Type="http://schemas.openxmlformats.org/officeDocument/2006/relationships/hyperlink" Target="https://ich.unesco.org/fr/decisions/9.GA/7" TargetMode="External"/><Relationship Id="rId128" Type="http://schemas.openxmlformats.org/officeDocument/2006/relationships/hyperlink" Target="https://ich.unesco.org/doc/src/72306.pdf" TargetMode="External"/><Relationship Id="rId5" Type="http://schemas.openxmlformats.org/officeDocument/2006/relationships/styles" Target="styles.xml"/><Relationship Id="rId90" Type="http://schemas.openxmlformats.org/officeDocument/2006/relationships/hyperlink" Target="https://ich.unesco.org/fr/decisions/17.COM/11" TargetMode="External"/><Relationship Id="rId95" Type="http://schemas.openxmlformats.org/officeDocument/2006/relationships/hyperlink" Target="https://ich.unesco.org/fr/decisions/19.COM/15" TargetMode="External"/><Relationship Id="rId22" Type="http://schemas.openxmlformats.org/officeDocument/2006/relationships/hyperlink" Target="https://ich.unesco.org/doc/src/LHE-25-20.COM-6.a_FR.docx" TargetMode="External"/><Relationship Id="rId27" Type="http://schemas.openxmlformats.org/officeDocument/2006/relationships/hyperlink" Target="https://ich.unesco.org/fr/decisions/18.COM/7.A.5" TargetMode="External"/><Relationship Id="rId43" Type="http://schemas.openxmlformats.org/officeDocument/2006/relationships/hyperlink" Target="https://ich.unesco.org/fr/Decisions/7.GA/10" TargetMode="External"/><Relationship Id="rId48" Type="http://schemas.openxmlformats.org/officeDocument/2006/relationships/hyperlink" Target="https://ich.unesco.org/fr/decisions/10.GA/6" TargetMode="External"/><Relationship Id="rId64" Type="http://schemas.openxmlformats.org/officeDocument/2006/relationships/hyperlink" Target="https://ich.unesco.org/fr/decisions/15.COM/8.B.30" TargetMode="External"/><Relationship Id="rId69" Type="http://schemas.openxmlformats.org/officeDocument/2006/relationships/hyperlink" Target="https://ich.unesco.org/fr/decisions/4.COM/13.58" TargetMode="External"/><Relationship Id="rId113" Type="http://schemas.openxmlformats.org/officeDocument/2006/relationships/hyperlink" Target="https://unesdoc.unesco.org/ark:/48223/pf0000396376_fre" TargetMode="External"/><Relationship Id="rId118" Type="http://schemas.openxmlformats.org/officeDocument/2006/relationships/hyperlink" Target="https://ich.unesco.org/fr/decisions/19.COM/13" TargetMode="External"/><Relationship Id="rId134" Type="http://schemas.openxmlformats.org/officeDocument/2006/relationships/hyperlink" Target="https://ich.unesco.org/fr/Resolutions/9.GA/9" TargetMode="External"/><Relationship Id="rId139" Type="http://schemas.openxmlformats.org/officeDocument/2006/relationships/header" Target="header3.xml"/><Relationship Id="rId80" Type="http://schemas.openxmlformats.org/officeDocument/2006/relationships/hyperlink" Target="https://ich.unesco.org/fr/decisions/7.COM/15" TargetMode="External"/><Relationship Id="rId85" Type="http://schemas.openxmlformats.org/officeDocument/2006/relationships/hyperlink" Target="https://ich.unesco.org/doc/src/LHE-25-20.COM-9_FR.docx" TargetMode="External"/><Relationship Id="rId12" Type="http://schemas.openxmlformats.org/officeDocument/2006/relationships/hyperlink" Target="https://ich.unesco.org/fr/decisions/18.COM/3" TargetMode="External"/><Relationship Id="rId17" Type="http://schemas.openxmlformats.org/officeDocument/2006/relationships/hyperlink" Target="https://ich.unesco.org/doc/src/LHE-25-20.COM-6.a_FR.docx" TargetMode="External"/><Relationship Id="rId33" Type="http://schemas.openxmlformats.org/officeDocument/2006/relationships/hyperlink" Target="https://ich.unesco.org/fr/decisions/16.COM/7.A.6" TargetMode="External"/><Relationship Id="rId38" Type="http://schemas.openxmlformats.org/officeDocument/2006/relationships/hyperlink" Target="https://ich.unesco.org/doc/src/LHE-25-20.COM-6.a_FR.docx" TargetMode="External"/><Relationship Id="rId59" Type="http://schemas.openxmlformats.org/officeDocument/2006/relationships/hyperlink" Target="https://ich.unesco.org/doc/src/LHE-25-20.COM-7_FR.docx" TargetMode="External"/><Relationship Id="rId103" Type="http://schemas.openxmlformats.org/officeDocument/2006/relationships/hyperlink" Target="https://www.un.org/sites/un2.un.org/files/sotf-pact_for_the_future_adopted.pdf" TargetMode="External"/><Relationship Id="rId108" Type="http://schemas.openxmlformats.org/officeDocument/2006/relationships/hyperlink" Target="https://ich.unesco.org/fr/decisions/19.COM/12" TargetMode="External"/><Relationship Id="rId124" Type="http://schemas.openxmlformats.org/officeDocument/2006/relationships/hyperlink" Target="https://ich.unesco.org/fr/decisions/12.COM/17" TargetMode="External"/><Relationship Id="rId129" Type="http://schemas.openxmlformats.org/officeDocument/2006/relationships/hyperlink" Target="https://ich.unesco.org/doc/src/72224-EN.pdf" TargetMode="External"/><Relationship Id="rId54" Type="http://schemas.openxmlformats.org/officeDocument/2006/relationships/hyperlink" Target="https://ich.unesco.org/doc/src/LHE-25-20.COM-INF.6.c_FR.docx" TargetMode="External"/><Relationship Id="rId70" Type="http://schemas.openxmlformats.org/officeDocument/2006/relationships/hyperlink" Target="https://ich.unesco.org/fr/decisions/11.COM/10.B.19" TargetMode="External"/><Relationship Id="rId75" Type="http://schemas.openxmlformats.org/officeDocument/2006/relationships/hyperlink" Target="https://ich.unesco.org/fr/decisions/6.COM/8.6" TargetMode="External"/><Relationship Id="rId91" Type="http://schemas.openxmlformats.org/officeDocument/2006/relationships/hyperlink" Target="https://ich.unesco.org/fr/decisions/19.COM/9" TargetMode="External"/><Relationship Id="rId96" Type="http://schemas.openxmlformats.org/officeDocument/2006/relationships/hyperlink" Target="https://ich.unesco.org/fr/decisions/10.GA/7"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ich.unesco.org/fr/decisions/11.COM/10.A.6" TargetMode="External"/><Relationship Id="rId28" Type="http://schemas.openxmlformats.org/officeDocument/2006/relationships/hyperlink" Target="https://ich.unesco.org/doc/src/LHE-25-20.COM-6.a_FR.docx" TargetMode="External"/><Relationship Id="rId49" Type="http://schemas.openxmlformats.org/officeDocument/2006/relationships/hyperlink" Target="https://ich.unesco.org/fr/decisions/18.COM/7.C" TargetMode="External"/><Relationship Id="rId114" Type="http://schemas.openxmlformats.org/officeDocument/2006/relationships/hyperlink" Target="https://ich.unesco.org/doc/src/LHE-25-20.COM-14_FR.docx" TargetMode="External"/><Relationship Id="rId119" Type="http://schemas.openxmlformats.org/officeDocument/2006/relationships/hyperlink" Target="https://ich.unesco.org/doc/src/LHE-25-20.COM-16_Rev._FR.docx" TargetMode="External"/><Relationship Id="rId44" Type="http://schemas.openxmlformats.org/officeDocument/2006/relationships/hyperlink" Target="https://ich.unesco.org/fr/Decisions/13.COM/8" TargetMode="External"/><Relationship Id="rId60" Type="http://schemas.openxmlformats.org/officeDocument/2006/relationships/hyperlink" Target="https://ich.unesco.org/doc/src/LHE-25-20.COM-7.a_FR.docx" TargetMode="External"/><Relationship Id="rId65" Type="http://schemas.openxmlformats.org/officeDocument/2006/relationships/hyperlink" Target="https://ich.unesco.org/fr/decisions/15.COM/8.B.35" TargetMode="External"/><Relationship Id="rId81" Type="http://schemas.openxmlformats.org/officeDocument/2006/relationships/hyperlink" Target="https://ich.unesco.org/fr/decisions/13.COM/9" TargetMode="External"/><Relationship Id="rId86" Type="http://schemas.openxmlformats.org/officeDocument/2006/relationships/hyperlink" Target="https://ich.unesco.org/fr/decisions/19.COM/7.B.20" TargetMode="External"/><Relationship Id="rId130" Type="http://schemas.openxmlformats.org/officeDocument/2006/relationships/hyperlink" Target="https://ich.unesco.org/doc/src/72307.pdf" TargetMode="External"/><Relationship Id="rId135" Type="http://schemas.openxmlformats.org/officeDocument/2006/relationships/hyperlink" Target="https://ich.unesco.org/doc/src/LHE-25-20.COM-19_FR.docx" TargetMode="External"/><Relationship Id="rId13" Type="http://schemas.openxmlformats.org/officeDocument/2006/relationships/hyperlink" Target="https://ich.unesco.org/fr/decisions/19.COM/3" TargetMode="External"/><Relationship Id="rId18" Type="http://schemas.openxmlformats.org/officeDocument/2006/relationships/hyperlink" Target="https://ich.unesco.org/fr/decisions/15.COM/8.A.1" TargetMode="External"/><Relationship Id="rId39" Type="http://schemas.openxmlformats.org/officeDocument/2006/relationships/hyperlink" Target="https://ich.unesco.org/fr/decisions/7.COM/8.3" TargetMode="External"/><Relationship Id="rId109" Type="http://schemas.openxmlformats.org/officeDocument/2006/relationships/hyperlink" Target="https://ich.unesco.org/doc/src/LHE-25-20.COM-14_FR.docx" TargetMode="External"/><Relationship Id="rId34" Type="http://schemas.openxmlformats.org/officeDocument/2006/relationships/hyperlink" Target="https://ich.unesco.org/doc/src/LHE-25-20.COM-6.a_FR.docx" TargetMode="External"/><Relationship Id="rId50" Type="http://schemas.openxmlformats.org/officeDocument/2006/relationships/hyperlink" Target="https://ich.unesco.org/fr/decisions/19.COM/6.C" TargetMode="External"/><Relationship Id="rId55" Type="http://schemas.openxmlformats.org/officeDocument/2006/relationships/hyperlink" Target="https://ich.unesco.org" TargetMode="External"/><Relationship Id="rId76" Type="http://schemas.openxmlformats.org/officeDocument/2006/relationships/hyperlink" Target="https://ich.unesco.org/fr/decisions/19.COM/6.A.9" TargetMode="External"/><Relationship Id="rId97" Type="http://schemas.openxmlformats.org/officeDocument/2006/relationships/hyperlink" Target="https://ich.unesco.org/doc/src/LHE-25-20.COM-11_FR.docx" TargetMode="External"/><Relationship Id="rId104" Type="http://schemas.openxmlformats.org/officeDocument/2006/relationships/hyperlink" Target="https://ich.unesco.org/doc/src/LHE-25-20.COM-12_FR.docx" TargetMode="External"/><Relationship Id="rId120" Type="http://schemas.openxmlformats.org/officeDocument/2006/relationships/hyperlink" Target="https://ich.unesco.org/fr/decisions/4.GA/6" TargetMode="External"/><Relationship Id="rId125" Type="http://schemas.openxmlformats.org/officeDocument/2006/relationships/hyperlink" Target="https://ich.unesco.org/fr/decisions/16.COM/15" TargetMode="External"/><Relationship Id="rId141"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ich.unesco.org/fr/decisions/9.COM/10.24" TargetMode="External"/><Relationship Id="rId92" Type="http://schemas.openxmlformats.org/officeDocument/2006/relationships/hyperlink" Target="https://ich.unesco.org/doc/src/LHE-25-20.COM-11_FR.docx" TargetMode="External"/><Relationship Id="rId2" Type="http://schemas.openxmlformats.org/officeDocument/2006/relationships/customXml" Target="../customXml/item2.xml"/><Relationship Id="rId29" Type="http://schemas.openxmlformats.org/officeDocument/2006/relationships/hyperlink" Target="https://ich.unesco.org/fr/Decisions/11.COM/10.a.3" TargetMode="External"/><Relationship Id="rId24" Type="http://schemas.openxmlformats.org/officeDocument/2006/relationships/hyperlink" Target="https://ich.unesco.org/fr/decisions/16.COM/7.A.1" TargetMode="External"/><Relationship Id="rId40" Type="http://schemas.openxmlformats.org/officeDocument/2006/relationships/hyperlink" Target="https://ich.unesco.org/fr/Decisions/12.COM/8.c.10" TargetMode="External"/><Relationship Id="rId45" Type="http://schemas.openxmlformats.org/officeDocument/2006/relationships/hyperlink" Target="https://ich.unesco.org/fr/Decisions/14.COM/8" TargetMode="External"/><Relationship Id="rId66" Type="http://schemas.openxmlformats.org/officeDocument/2006/relationships/hyperlink" Target="https://ich.unesco.org/fr/decisions/4.COM/13.56" TargetMode="External"/><Relationship Id="rId87" Type="http://schemas.openxmlformats.org/officeDocument/2006/relationships/hyperlink" Target="https://ich.unesco.org/doc/src/LHE-25-20.COM-9_FR.docx" TargetMode="External"/><Relationship Id="rId110" Type="http://schemas.openxmlformats.org/officeDocument/2006/relationships/hyperlink" Target="https://ich.unesco.org/doc/src/LHE-25-20.COM-INF.14_FR.docx" TargetMode="External"/><Relationship Id="rId115" Type="http://schemas.openxmlformats.org/officeDocument/2006/relationships/hyperlink" Target="https://ich.unesco.org/doc/src/LHE-25-20.COM-15_FR.docx" TargetMode="External"/><Relationship Id="rId131" Type="http://schemas.openxmlformats.org/officeDocument/2006/relationships/hyperlink" Target="https://ich.unesco.org/doc/src/LHE-25-20.COM-17_Rev.2_FR_.docx" TargetMode="External"/><Relationship Id="rId136" Type="http://schemas.openxmlformats.org/officeDocument/2006/relationships/hyperlink" Target="https://ich.unesco.org/doc/src/LHE-25-20.COM-20_FR.docx" TargetMode="External"/><Relationship Id="rId61" Type="http://schemas.openxmlformats.org/officeDocument/2006/relationships/hyperlink" Target="https://ich.unesco.org/doc/src/LHE-25-20.COM-7.b_Add._FR.docx" TargetMode="External"/><Relationship Id="rId82" Type="http://schemas.openxmlformats.org/officeDocument/2006/relationships/hyperlink" Target="https://ich.unesco.org/fr/decisions/19.COM/8" TargetMode="External"/><Relationship Id="rId19" Type="http://schemas.openxmlformats.org/officeDocument/2006/relationships/hyperlink" Target="https://ich.unesco.org/doc/src/LHE-25-20.COM-6.a_FR.docx" TargetMode="External"/><Relationship Id="rId14" Type="http://schemas.openxmlformats.org/officeDocument/2006/relationships/hyperlink" Target="https://ich.unesco.org/doc/src/LHE-25-20.COM-4_FR.docx" TargetMode="External"/><Relationship Id="rId30" Type="http://schemas.openxmlformats.org/officeDocument/2006/relationships/hyperlink" Target="https://ich.unesco.org/fr/decisions/16.COM/7.A.4" TargetMode="External"/><Relationship Id="rId35" Type="http://schemas.openxmlformats.org/officeDocument/2006/relationships/hyperlink" Target="https://ich.unesco.org/fr/Decisions/7.COM/8.1" TargetMode="External"/><Relationship Id="rId56" Type="http://schemas.openxmlformats.org/officeDocument/2006/relationships/hyperlink" Target="https://ich.unesco.org" TargetMode="External"/><Relationship Id="rId77" Type="http://schemas.openxmlformats.org/officeDocument/2006/relationships/hyperlink" Target="https://ich.unesco.org/doc/src/LHE-25-20.COM-8_FR.docx" TargetMode="External"/><Relationship Id="rId100" Type="http://schemas.openxmlformats.org/officeDocument/2006/relationships/hyperlink" Target="https://ich.unesco.org/fr/les-principes-et-modalites-operationnels-en-situations-d-urgence-01143" TargetMode="External"/><Relationship Id="rId105" Type="http://schemas.openxmlformats.org/officeDocument/2006/relationships/hyperlink" Target="https://ich.unesco.org/doc/src/LHE-25-20.COM-13_FR.docx" TargetMode="External"/><Relationship Id="rId126" Type="http://schemas.openxmlformats.org/officeDocument/2006/relationships/hyperlink" Target="https://ich.unesco.org/fr/decisions/18.COM/16" TargetMode="External"/><Relationship Id="rId8" Type="http://schemas.openxmlformats.org/officeDocument/2006/relationships/footnotes" Target="footnotes.xml"/><Relationship Id="rId51"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en&amp;multi=true&amp;ark=/ark:/48223/pf0000389517_fre/PDF/389517fre.pdf" TargetMode="External"/><Relationship Id="rId72" Type="http://schemas.openxmlformats.org/officeDocument/2006/relationships/hyperlink" Target="https://ich.unesco.org/fr/decisions/15.COM/8.B.4" TargetMode="External"/><Relationship Id="rId93" Type="http://schemas.openxmlformats.org/officeDocument/2006/relationships/hyperlink" Target="https://ich.unesco.org/fr/decisions/18.COM/11" TargetMode="External"/><Relationship Id="rId98" Type="http://schemas.openxmlformats.org/officeDocument/2006/relationships/hyperlink" Target="https://ich.unesco.org/doc/src/LHE-25-20.COM-12_FR.docx" TargetMode="External"/><Relationship Id="rId121" Type="http://schemas.openxmlformats.org/officeDocument/2006/relationships/hyperlink" Target="https://ich.unesco.org/fr/decisions/6.GA/8" TargetMode="External"/><Relationship Id="rId3" Type="http://schemas.openxmlformats.org/officeDocument/2006/relationships/customXml" Target="../customXml/item3.xml"/><Relationship Id="rId25" Type="http://schemas.openxmlformats.org/officeDocument/2006/relationships/hyperlink" Target="https://ich.unesco.org/doc/src/LHE-25-20.COM-6.a_FR.docx" TargetMode="External"/><Relationship Id="rId46" Type="http://schemas.openxmlformats.org/officeDocument/2006/relationships/hyperlink" Target="https://ich.unesco.org/doc/src/LHE-25-20.COM-6.c_FR.docx" TargetMode="External"/><Relationship Id="rId67" Type="http://schemas.openxmlformats.org/officeDocument/2006/relationships/hyperlink" Target="https://ich.unesco.org/fr/decisions/9.COM/10.22" TargetMode="External"/><Relationship Id="rId116" Type="http://schemas.openxmlformats.org/officeDocument/2006/relationships/hyperlink" Target="https://ich.unesco.org/fr/decisions/10.GA/9%20ADD." TargetMode="External"/><Relationship Id="rId137" Type="http://schemas.openxmlformats.org/officeDocument/2006/relationships/header" Target="header1.xml"/><Relationship Id="rId20" Type="http://schemas.openxmlformats.org/officeDocument/2006/relationships/hyperlink" Target="https://ich.unesco.org/fr/decisions/15.COM/8.A.4" TargetMode="External"/><Relationship Id="rId41" Type="http://schemas.openxmlformats.org/officeDocument/2006/relationships/hyperlink" Target="https://ich.unesco.org/fr/decisions/16.COM/7.A.15" TargetMode="External"/><Relationship Id="rId62" Type="http://schemas.openxmlformats.org/officeDocument/2006/relationships/hyperlink" Target="https://ich.unesco.org/doc/src/LHE-25-20.COM-7.c_FR.docx" TargetMode="External"/><Relationship Id="rId83" Type="http://schemas.openxmlformats.org/officeDocument/2006/relationships/hyperlink" Target="https://ich.unesco.org/doc/src/LHE-25-20.COM-9_FR.docx" TargetMode="External"/><Relationship Id="rId88" Type="http://schemas.openxmlformats.org/officeDocument/2006/relationships/hyperlink" Target="https://ich.unesco.org/doc/src/LHE-25-20.COM-10-FR.docx" TargetMode="External"/><Relationship Id="rId111" Type="http://schemas.openxmlformats.org/officeDocument/2006/relationships/hyperlink" Target="https://ich.unesco.org/fr/decisions/10.GA/8" TargetMode="External"/><Relationship Id="rId132" Type="http://schemas.openxmlformats.org/officeDocument/2006/relationships/hyperlink" Target="https://ich.unesco.org/fr/Decisions/9.COM/11" TargetMode="External"/><Relationship Id="rId15" Type="http://schemas.openxmlformats.org/officeDocument/2006/relationships/hyperlink" Target="https://ich.unesco.org/doc/src/LHE-25-20.COM-5_FR.docx" TargetMode="External"/><Relationship Id="rId36" Type="http://schemas.openxmlformats.org/officeDocument/2006/relationships/hyperlink" Target="https://ich.unesco.org/fr/Decisions/12.COM/8.c.1" TargetMode="External"/><Relationship Id="rId57" Type="http://schemas.openxmlformats.org/officeDocument/2006/relationships/hyperlink" Target="https://ich.unesco.org" TargetMode="External"/><Relationship Id="rId106" Type="http://schemas.openxmlformats.org/officeDocument/2006/relationships/hyperlink" Target="https://ich.unesco.org/doc/src/LHE-25-20.COM-INF.13.1_FR.docx" TargetMode="External"/><Relationship Id="rId127" Type="http://schemas.openxmlformats.org/officeDocument/2006/relationships/hyperlink" Target="https://ich.unesco.org/doc/src/72305-FR.pdf" TargetMode="External"/><Relationship Id="rId10" Type="http://schemas.openxmlformats.org/officeDocument/2006/relationships/hyperlink" Target="https://ich.unesco.org/doc/src/LHE-25-20.COM-2_FR.docx" TargetMode="External"/><Relationship Id="rId31" Type="http://schemas.openxmlformats.org/officeDocument/2006/relationships/hyperlink" Target="https://ich.unesco.org/doc/src/LHE-25-20.COM-6.a_FR.docx" TargetMode="External"/><Relationship Id="rId52"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en&amp;multi=true&amp;ark=/ark:/48223/pf0000389517_fre/PDF/389517fre.pdf" TargetMode="External"/><Relationship Id="rId73" Type="http://schemas.openxmlformats.org/officeDocument/2006/relationships/hyperlink" Target="https://ich.unesco.org/fr/decisions/6.COM/8.21" TargetMode="External"/><Relationship Id="rId78" Type="http://schemas.openxmlformats.org/officeDocument/2006/relationships/hyperlink" Target="https://ich.unesco.org/fr/decisions/19.COM/15" TargetMode="External"/><Relationship Id="rId94" Type="http://schemas.openxmlformats.org/officeDocument/2006/relationships/hyperlink" Target="https://ich.unesco.org/fr/decisions/19.COM/10" TargetMode="External"/><Relationship Id="rId99" Type="http://schemas.openxmlformats.org/officeDocument/2006/relationships/hyperlink" Target="https://ich.unesco.org/fr/decisions/19.COM/11" TargetMode="External"/><Relationship Id="rId101" Type="http://schemas.openxmlformats.org/officeDocument/2006/relationships/hyperlink" Target="https://ich.unesco.org/fr/ethique-et-pci-00866" TargetMode="External"/><Relationship Id="rId122" Type="http://schemas.openxmlformats.org/officeDocument/2006/relationships/hyperlink" Target="https://ich.unesco.org/fr/decisions/8.GA/13"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ich.unesco.org/fr/decisions/15.COM/8.a.3" TargetMode="External"/><Relationship Id="rId47" Type="http://schemas.openxmlformats.org/officeDocument/2006/relationships/hyperlink" Target="https://ich.unesco.org/fr/decisions/10.GA/5" TargetMode="External"/><Relationship Id="rId68" Type="http://schemas.openxmlformats.org/officeDocument/2006/relationships/hyperlink" Target="https://ich.unesco.org/fr/decisions/4.COM/13.52" TargetMode="External"/><Relationship Id="rId89" Type="http://schemas.openxmlformats.org/officeDocument/2006/relationships/hyperlink" Target="https://ich.unesco.org/fr/decisions/10.GA/7" TargetMode="External"/><Relationship Id="rId112" Type="http://schemas.openxmlformats.org/officeDocument/2006/relationships/hyperlink" Target="https://ich.unesco.org/fr/decisions/18.COM/14" TargetMode="External"/><Relationship Id="rId133" Type="http://schemas.openxmlformats.org/officeDocument/2006/relationships/hyperlink" Target="https://ich.unesco.org/fr/Decisions/19.COM/14" TargetMode="External"/><Relationship Id="rId16" Type="http://schemas.openxmlformats.org/officeDocument/2006/relationships/hyperlink" Target="https://ich.unesco.org/doc/src/LHE-25-20.COM-6.a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38" ma:contentTypeDescription="Create a new document." ma:contentTypeScope="" ma:versionID="34e9abfd060364cd71c17b63c539889a">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af0ab81beb6f40f5f2b773253434979f"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_Flow_SignoffStatus" minOccurs="0"/>
                <xsd:element ref="ns2:Locationoftheoriginalfile" minOccurs="0"/>
                <xsd:element ref="ns2:250f24b0-9dd6-48aa-92e4-de04f9acaa46CountryOrRegion" minOccurs="0"/>
                <xsd:element ref="ns2:250f24b0-9dd6-48aa-92e4-de04f9acaa46State" minOccurs="0"/>
                <xsd:element ref="ns2:250f24b0-9dd6-48aa-92e4-de04f9acaa46City" minOccurs="0"/>
                <xsd:element ref="ns2:250f24b0-9dd6-48aa-92e4-de04f9acaa46PostalCode" minOccurs="0"/>
                <xsd:element ref="ns2:250f24b0-9dd6-48aa-92e4-de04f9acaa46Street" minOccurs="0"/>
                <xsd:element ref="ns2:250f24b0-9dd6-48aa-92e4-de04f9acaa46GeoLoc" minOccurs="0"/>
                <xsd:element ref="ns2:250f24b0-9dd6-48aa-92e4-de04f9acaa46DispNam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_x0035__x002e_PPT" minOccurs="0"/>
                <xsd:element ref="ns2:Question" minOccurs="0"/>
                <xsd:element ref="ns2:Question_x0020_long" minOccurs="0"/>
                <xsd:element ref="ns2:Yes_x002f_no_x0020_ques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ocationoftheoriginalfile" ma:index="21" nillable="true" ma:displayName="Location of original file" ma:format="Dropdown" ma:internalName="Locationoftheoriginalfile">
      <xsd:simpleType>
        <xsd:restriction base="dms:Unknown"/>
      </xsd:simpleType>
    </xsd:element>
    <xsd:element name="250f24b0-9dd6-48aa-92e4-de04f9acaa46CountryOrRegion" ma:index="22" nillable="true" ma:displayName="Location of the original file: Country/Region" ma:internalName="CountryOrRegion" ma:readOnly="true">
      <xsd:simpleType>
        <xsd:restriction base="dms:Text"/>
      </xsd:simpleType>
    </xsd:element>
    <xsd:element name="250f24b0-9dd6-48aa-92e4-de04f9acaa46State" ma:index="23" nillable="true" ma:displayName="Location of the original file: State" ma:internalName="State" ma:readOnly="true">
      <xsd:simpleType>
        <xsd:restriction base="dms:Text"/>
      </xsd:simpleType>
    </xsd:element>
    <xsd:element name="250f24b0-9dd6-48aa-92e4-de04f9acaa46City" ma:index="24" nillable="true" ma:displayName="Location of the original file: City" ma:internalName="City" ma:readOnly="true">
      <xsd:simpleType>
        <xsd:restriction base="dms:Text"/>
      </xsd:simpleType>
    </xsd:element>
    <xsd:element name="250f24b0-9dd6-48aa-92e4-de04f9acaa46PostalCode" ma:index="25" nillable="true" ma:displayName="Location of the original file: Postal Code" ma:internalName="PostalCode" ma:readOnly="true">
      <xsd:simpleType>
        <xsd:restriction base="dms:Text"/>
      </xsd:simpleType>
    </xsd:element>
    <xsd:element name="250f24b0-9dd6-48aa-92e4-de04f9acaa46Street" ma:index="26" nillable="true" ma:displayName="Location of the original file: Street" ma:internalName="Street" ma:readOnly="true">
      <xsd:simpleType>
        <xsd:restriction base="dms:Text"/>
      </xsd:simpleType>
    </xsd:element>
    <xsd:element name="250f24b0-9dd6-48aa-92e4-de04f9acaa46GeoLoc" ma:index="27" nillable="true" ma:displayName="Location of the original file: Coordinates" ma:internalName="GeoLoc" ma:readOnly="true">
      <xsd:simpleType>
        <xsd:restriction base="dms:Unknown"/>
      </xsd:simpleType>
    </xsd:element>
    <xsd:element name="250f24b0-9dd6-48aa-92e4-de04f9acaa46DispName" ma:index="28" nillable="true" ma:displayName="Location of the original file: Name" ma:internalName="DispNam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_x0035__x002e_PPT" ma:index="36" nillable="true" ma:displayName="5. PPT" ma:format="Dropdown" ma:internalName="_x0035__x002e_PPT">
      <xsd:simpleType>
        <xsd:restriction base="dms:Text">
          <xsd:maxLength value="255"/>
        </xsd:restriction>
      </xsd:simpleType>
    </xsd:element>
    <xsd:element name="Question" ma:index="37" nillable="true" ma:displayName="Question" ma:internalName="Question">
      <xsd:simpleType>
        <xsd:restriction base="dms:Text"/>
      </xsd:simpleType>
    </xsd:element>
    <xsd:element name="Question_x0020_long" ma:index="38" nillable="true" ma:displayName="Question long" ma:internalName="Question_x0020_long">
      <xsd:simpleType>
        <xsd:restriction base="dms:Note">
          <xsd:maxLength value="255"/>
        </xsd:restriction>
      </xsd:simpleType>
    </xsd:element>
    <xsd:element name="Yes_x002f_no_x0020_question" ma:index="39" nillable="true" ma:displayName="Yes/no question" ma:internalName="Yes_x002f_no_x0020_ques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0ba53fb3-13a8-4f62-81ba-b561ca7ad6e4}"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ED6B8-7193-43C1-B053-629A9C32A59E}">
  <ds:schemaRefs>
    <ds:schemaRef ds:uri="http://schemas.microsoft.com/sharepoint/v3/contenttype/forms"/>
  </ds:schemaRefs>
</ds:datastoreItem>
</file>

<file path=customXml/itemProps2.xml><?xml version="1.0" encoding="utf-8"?>
<ds:datastoreItem xmlns:ds="http://schemas.openxmlformats.org/officeDocument/2006/customXml" ds:itemID="{1F9D09F3-319B-4171-A9EF-72B818AA0127}">
  <ds:schemaRefs>
    <ds:schemaRef ds:uri="http://schemas.openxmlformats.org/officeDocument/2006/bibliography"/>
  </ds:schemaRefs>
</ds:datastoreItem>
</file>

<file path=customXml/itemProps3.xml><?xml version="1.0" encoding="utf-8"?>
<ds:datastoreItem xmlns:ds="http://schemas.openxmlformats.org/officeDocument/2006/customXml" ds:itemID="{E9852E52-E628-43C4-A99B-BB9DD102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99</TotalTime>
  <Pages>130</Pages>
  <Words>72729</Words>
  <Characters>400012</Characters>
  <Application>Microsoft Office Word</Application>
  <DocSecurity>0</DocSecurity>
  <Lines>3333</Lines>
  <Paragraphs>943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471798</CharactersWithSpaces>
  <SharedDoc>false</SharedDoc>
  <HLinks>
    <vt:vector size="450" baseType="variant">
      <vt:variant>
        <vt:i4>4521988</vt:i4>
      </vt:variant>
      <vt:variant>
        <vt:i4>222</vt:i4>
      </vt:variant>
      <vt:variant>
        <vt:i4>0</vt:i4>
      </vt:variant>
      <vt:variant>
        <vt:i4>5</vt:i4>
      </vt:variant>
      <vt:variant>
        <vt:lpwstr>https://ich.unesco.org/fr/decisions/19.COM/9</vt:lpwstr>
      </vt:variant>
      <vt:variant>
        <vt:lpwstr/>
      </vt:variant>
      <vt:variant>
        <vt:i4>4390916</vt:i4>
      </vt:variant>
      <vt:variant>
        <vt:i4>219</vt:i4>
      </vt:variant>
      <vt:variant>
        <vt:i4>0</vt:i4>
      </vt:variant>
      <vt:variant>
        <vt:i4>5</vt:i4>
      </vt:variant>
      <vt:variant>
        <vt:lpwstr>https://ich.unesco.org/fr/decisions/17.COM/11</vt:lpwstr>
      </vt:variant>
      <vt:variant>
        <vt:lpwstr/>
      </vt:variant>
      <vt:variant>
        <vt:i4>3342373</vt:i4>
      </vt:variant>
      <vt:variant>
        <vt:i4>216</vt:i4>
      </vt:variant>
      <vt:variant>
        <vt:i4>0</vt:i4>
      </vt:variant>
      <vt:variant>
        <vt:i4>5</vt:i4>
      </vt:variant>
      <vt:variant>
        <vt:lpwstr>https://ich.unesco.org/fr/decisions/10.GA/7</vt:lpwstr>
      </vt:variant>
      <vt:variant>
        <vt:lpwstr/>
      </vt:variant>
      <vt:variant>
        <vt:i4>7340133</vt:i4>
      </vt:variant>
      <vt:variant>
        <vt:i4>213</vt:i4>
      </vt:variant>
      <vt:variant>
        <vt:i4>0</vt:i4>
      </vt:variant>
      <vt:variant>
        <vt:i4>5</vt:i4>
      </vt:variant>
      <vt:variant>
        <vt:lpwstr>https://ich.unesco.org/doc/src/LHE-25-20.COM-10-FR.docx</vt:lpwstr>
      </vt:variant>
      <vt:variant>
        <vt:lpwstr/>
      </vt:variant>
      <vt:variant>
        <vt:i4>8323160</vt:i4>
      </vt:variant>
      <vt:variant>
        <vt:i4>210</vt:i4>
      </vt:variant>
      <vt:variant>
        <vt:i4>0</vt:i4>
      </vt:variant>
      <vt:variant>
        <vt:i4>5</vt:i4>
      </vt:variant>
      <vt:variant>
        <vt:lpwstr>https://ich.unesco.org/doc/src/LHE-25-20.COM-9_FR.docx</vt:lpwstr>
      </vt:variant>
      <vt:variant>
        <vt:lpwstr/>
      </vt:variant>
      <vt:variant>
        <vt:i4>1769476</vt:i4>
      </vt:variant>
      <vt:variant>
        <vt:i4>207</vt:i4>
      </vt:variant>
      <vt:variant>
        <vt:i4>0</vt:i4>
      </vt:variant>
      <vt:variant>
        <vt:i4>5</vt:i4>
      </vt:variant>
      <vt:variant>
        <vt:lpwstr>https://ich.unesco.org/fr/decisions/19.COM/7.B.20</vt:lpwstr>
      </vt:variant>
      <vt:variant>
        <vt:lpwstr/>
      </vt:variant>
      <vt:variant>
        <vt:i4>8323160</vt:i4>
      </vt:variant>
      <vt:variant>
        <vt:i4>204</vt:i4>
      </vt:variant>
      <vt:variant>
        <vt:i4>0</vt:i4>
      </vt:variant>
      <vt:variant>
        <vt:i4>5</vt:i4>
      </vt:variant>
      <vt:variant>
        <vt:lpwstr>https://ich.unesco.org/doc/src/LHE-25-20.COM-9_FR.docx</vt:lpwstr>
      </vt:variant>
      <vt:variant>
        <vt:lpwstr/>
      </vt:variant>
      <vt:variant>
        <vt:i4>2424957</vt:i4>
      </vt:variant>
      <vt:variant>
        <vt:i4>201</vt:i4>
      </vt:variant>
      <vt:variant>
        <vt:i4>0</vt:i4>
      </vt:variant>
      <vt:variant>
        <vt:i4>5</vt:i4>
      </vt:variant>
      <vt:variant>
        <vt:lpwstr>https://ich.unesco.org/fr/decisions/7.COM/11.1</vt:lpwstr>
      </vt:variant>
      <vt:variant>
        <vt:lpwstr/>
      </vt:variant>
      <vt:variant>
        <vt:i4>8323160</vt:i4>
      </vt:variant>
      <vt:variant>
        <vt:i4>198</vt:i4>
      </vt:variant>
      <vt:variant>
        <vt:i4>0</vt:i4>
      </vt:variant>
      <vt:variant>
        <vt:i4>5</vt:i4>
      </vt:variant>
      <vt:variant>
        <vt:lpwstr>https://ich.unesco.org/doc/src/LHE-25-20.COM-9_FR.docx</vt:lpwstr>
      </vt:variant>
      <vt:variant>
        <vt:lpwstr/>
      </vt:variant>
      <vt:variant>
        <vt:i4>5046276</vt:i4>
      </vt:variant>
      <vt:variant>
        <vt:i4>195</vt:i4>
      </vt:variant>
      <vt:variant>
        <vt:i4>0</vt:i4>
      </vt:variant>
      <vt:variant>
        <vt:i4>5</vt:i4>
      </vt:variant>
      <vt:variant>
        <vt:lpwstr>https://ich.unesco.org/fr/decisions/19.COM/15</vt:lpwstr>
      </vt:variant>
      <vt:variant>
        <vt:lpwstr/>
      </vt:variant>
      <vt:variant>
        <vt:i4>8257624</vt:i4>
      </vt:variant>
      <vt:variant>
        <vt:i4>192</vt:i4>
      </vt:variant>
      <vt:variant>
        <vt:i4>0</vt:i4>
      </vt:variant>
      <vt:variant>
        <vt:i4>5</vt:i4>
      </vt:variant>
      <vt:variant>
        <vt:lpwstr>https://ich.unesco.org/doc/src/LHE-25-20.COM-8_FR.docx</vt:lpwstr>
      </vt:variant>
      <vt:variant>
        <vt:lpwstr/>
      </vt:variant>
      <vt:variant>
        <vt:i4>1179652</vt:i4>
      </vt:variant>
      <vt:variant>
        <vt:i4>189</vt:i4>
      </vt:variant>
      <vt:variant>
        <vt:i4>0</vt:i4>
      </vt:variant>
      <vt:variant>
        <vt:i4>5</vt:i4>
      </vt:variant>
      <vt:variant>
        <vt:lpwstr>https://ich.unesco.org/fr/decisions/19.COM/6.A.9</vt:lpwstr>
      </vt:variant>
      <vt:variant>
        <vt:lpwstr/>
      </vt:variant>
      <vt:variant>
        <vt:i4>720987</vt:i4>
      </vt:variant>
      <vt:variant>
        <vt:i4>186</vt:i4>
      </vt:variant>
      <vt:variant>
        <vt:i4>0</vt:i4>
      </vt:variant>
      <vt:variant>
        <vt:i4>5</vt:i4>
      </vt:variant>
      <vt:variant>
        <vt:lpwstr>https://ich.unesco.org/fr/decisions/6.COM/8.6</vt:lpwstr>
      </vt:variant>
      <vt:variant>
        <vt:lpwstr/>
      </vt:variant>
      <vt:variant>
        <vt:i4>1703940</vt:i4>
      </vt:variant>
      <vt:variant>
        <vt:i4>183</vt:i4>
      </vt:variant>
      <vt:variant>
        <vt:i4>0</vt:i4>
      </vt:variant>
      <vt:variant>
        <vt:i4>5</vt:i4>
      </vt:variant>
      <vt:variant>
        <vt:lpwstr>https://ich.unesco.org/fr/decisions/19.COM/6.A.10</vt:lpwstr>
      </vt:variant>
      <vt:variant>
        <vt:lpwstr/>
      </vt:variant>
      <vt:variant>
        <vt:i4>3801193</vt:i4>
      </vt:variant>
      <vt:variant>
        <vt:i4>180</vt:i4>
      </vt:variant>
      <vt:variant>
        <vt:i4>0</vt:i4>
      </vt:variant>
      <vt:variant>
        <vt:i4>5</vt:i4>
      </vt:variant>
      <vt:variant>
        <vt:lpwstr>https://ich.unesco.org/fr/decisions/6.COM/8.21</vt:lpwstr>
      </vt:variant>
      <vt:variant>
        <vt:lpwstr/>
      </vt:variant>
      <vt:variant>
        <vt:i4>1966084</vt:i4>
      </vt:variant>
      <vt:variant>
        <vt:i4>177</vt:i4>
      </vt:variant>
      <vt:variant>
        <vt:i4>0</vt:i4>
      </vt:variant>
      <vt:variant>
        <vt:i4>5</vt:i4>
      </vt:variant>
      <vt:variant>
        <vt:lpwstr>https://ich.unesco.org/fr/decisions/15.COM/8.B.4</vt:lpwstr>
      </vt:variant>
      <vt:variant>
        <vt:lpwstr/>
      </vt:variant>
      <vt:variant>
        <vt:i4>2556019</vt:i4>
      </vt:variant>
      <vt:variant>
        <vt:i4>174</vt:i4>
      </vt:variant>
      <vt:variant>
        <vt:i4>0</vt:i4>
      </vt:variant>
      <vt:variant>
        <vt:i4>5</vt:i4>
      </vt:variant>
      <vt:variant>
        <vt:lpwstr>https://ich.unesco.org/fr/decisions/9.COM/10.24</vt:lpwstr>
      </vt:variant>
      <vt:variant>
        <vt:lpwstr/>
      </vt:variant>
      <vt:variant>
        <vt:i4>8126567</vt:i4>
      </vt:variant>
      <vt:variant>
        <vt:i4>171</vt:i4>
      </vt:variant>
      <vt:variant>
        <vt:i4>0</vt:i4>
      </vt:variant>
      <vt:variant>
        <vt:i4>5</vt:i4>
      </vt:variant>
      <vt:variant>
        <vt:lpwstr>https://ich.unesco.org/fr/decisions/11.COM/10.B.19</vt:lpwstr>
      </vt:variant>
      <vt:variant>
        <vt:lpwstr/>
      </vt:variant>
      <vt:variant>
        <vt:i4>2293886</vt:i4>
      </vt:variant>
      <vt:variant>
        <vt:i4>168</vt:i4>
      </vt:variant>
      <vt:variant>
        <vt:i4>0</vt:i4>
      </vt:variant>
      <vt:variant>
        <vt:i4>5</vt:i4>
      </vt:variant>
      <vt:variant>
        <vt:lpwstr>https://ich.unesco.org/fr/decisions/4.COM/13.58</vt:lpwstr>
      </vt:variant>
      <vt:variant>
        <vt:lpwstr/>
      </vt:variant>
      <vt:variant>
        <vt:i4>2293886</vt:i4>
      </vt:variant>
      <vt:variant>
        <vt:i4>165</vt:i4>
      </vt:variant>
      <vt:variant>
        <vt:i4>0</vt:i4>
      </vt:variant>
      <vt:variant>
        <vt:i4>5</vt:i4>
      </vt:variant>
      <vt:variant>
        <vt:lpwstr>https://ich.unesco.org/fr/decisions/4.COM/13.52</vt:lpwstr>
      </vt:variant>
      <vt:variant>
        <vt:lpwstr/>
      </vt:variant>
      <vt:variant>
        <vt:i4>2556019</vt:i4>
      </vt:variant>
      <vt:variant>
        <vt:i4>162</vt:i4>
      </vt:variant>
      <vt:variant>
        <vt:i4>0</vt:i4>
      </vt:variant>
      <vt:variant>
        <vt:i4>5</vt:i4>
      </vt:variant>
      <vt:variant>
        <vt:lpwstr>https://ich.unesco.org/fr/decisions/9.COM/10.22</vt:lpwstr>
      </vt:variant>
      <vt:variant>
        <vt:lpwstr/>
      </vt:variant>
      <vt:variant>
        <vt:i4>2293886</vt:i4>
      </vt:variant>
      <vt:variant>
        <vt:i4>159</vt:i4>
      </vt:variant>
      <vt:variant>
        <vt:i4>0</vt:i4>
      </vt:variant>
      <vt:variant>
        <vt:i4>5</vt:i4>
      </vt:variant>
      <vt:variant>
        <vt:lpwstr>https://ich.unesco.org/fr/decisions/4.COM/13.56</vt:lpwstr>
      </vt:variant>
      <vt:variant>
        <vt:lpwstr/>
      </vt:variant>
      <vt:variant>
        <vt:i4>1638404</vt:i4>
      </vt:variant>
      <vt:variant>
        <vt:i4>156</vt:i4>
      </vt:variant>
      <vt:variant>
        <vt:i4>0</vt:i4>
      </vt:variant>
      <vt:variant>
        <vt:i4>5</vt:i4>
      </vt:variant>
      <vt:variant>
        <vt:lpwstr>https://ich.unesco.org/fr/decisions/15.COM/8.B.35</vt:lpwstr>
      </vt:variant>
      <vt:variant>
        <vt:lpwstr/>
      </vt:variant>
      <vt:variant>
        <vt:i4>1638404</vt:i4>
      </vt:variant>
      <vt:variant>
        <vt:i4>153</vt:i4>
      </vt:variant>
      <vt:variant>
        <vt:i4>0</vt:i4>
      </vt:variant>
      <vt:variant>
        <vt:i4>5</vt:i4>
      </vt:variant>
      <vt:variant>
        <vt:lpwstr>https://ich.unesco.org/fr/decisions/15.COM/8.B.30</vt:lpwstr>
      </vt:variant>
      <vt:variant>
        <vt:lpwstr/>
      </vt:variant>
      <vt:variant>
        <vt:i4>1376374</vt:i4>
      </vt:variant>
      <vt:variant>
        <vt:i4>150</vt:i4>
      </vt:variant>
      <vt:variant>
        <vt:i4>0</vt:i4>
      </vt:variant>
      <vt:variant>
        <vt:i4>5</vt:i4>
      </vt:variant>
      <vt:variant>
        <vt:lpwstr>https://ich.unesco.org/doc/src/LHE-25-20.COM-7.d_FR.docx</vt:lpwstr>
      </vt:variant>
      <vt:variant>
        <vt:lpwstr/>
      </vt:variant>
      <vt:variant>
        <vt:i4>1179766</vt:i4>
      </vt:variant>
      <vt:variant>
        <vt:i4>147</vt:i4>
      </vt:variant>
      <vt:variant>
        <vt:i4>0</vt:i4>
      </vt:variant>
      <vt:variant>
        <vt:i4>5</vt:i4>
      </vt:variant>
      <vt:variant>
        <vt:lpwstr>https://ich.unesco.org/doc/src/LHE-25-20.COM-7.c_FR.docx</vt:lpwstr>
      </vt:variant>
      <vt:variant>
        <vt:lpwstr/>
      </vt:variant>
      <vt:variant>
        <vt:i4>6488174</vt:i4>
      </vt:variant>
      <vt:variant>
        <vt:i4>144</vt:i4>
      </vt:variant>
      <vt:variant>
        <vt:i4>0</vt:i4>
      </vt:variant>
      <vt:variant>
        <vt:i4>5</vt:i4>
      </vt:variant>
      <vt:variant>
        <vt:lpwstr>https://ich.unesco.org/doc/src/LHE-25-20.COM-7.b_Add._FR.docx</vt:lpwstr>
      </vt:variant>
      <vt:variant>
        <vt:lpwstr/>
      </vt:variant>
      <vt:variant>
        <vt:i4>1048694</vt:i4>
      </vt:variant>
      <vt:variant>
        <vt:i4>141</vt:i4>
      </vt:variant>
      <vt:variant>
        <vt:i4>0</vt:i4>
      </vt:variant>
      <vt:variant>
        <vt:i4>5</vt:i4>
      </vt:variant>
      <vt:variant>
        <vt:lpwstr>https://ich.unesco.org/doc/src/LHE-25-20.COM-7.a_FR.docx</vt:lpwstr>
      </vt:variant>
      <vt:variant>
        <vt:lpwstr/>
      </vt:variant>
      <vt:variant>
        <vt:i4>7405656</vt:i4>
      </vt:variant>
      <vt:variant>
        <vt:i4>138</vt:i4>
      </vt:variant>
      <vt:variant>
        <vt:i4>0</vt:i4>
      </vt:variant>
      <vt:variant>
        <vt:i4>5</vt:i4>
      </vt:variant>
      <vt:variant>
        <vt:lpwstr>https://ich.unesco.org/doc/src/LHE-25-20.COM-7_FR.docx</vt:lpwstr>
      </vt:variant>
      <vt:variant>
        <vt:lpwstr/>
      </vt:variant>
      <vt:variant>
        <vt:i4>7864410</vt:i4>
      </vt:variant>
      <vt:variant>
        <vt:i4>135</vt:i4>
      </vt:variant>
      <vt:variant>
        <vt:i4>0</vt:i4>
      </vt:variant>
      <vt:variant>
        <vt:i4>5</vt:i4>
      </vt:variant>
      <vt:variant>
        <vt:lpwstr>https://ich.unesco.org/doc/src/LHE-24-19.COM-7_FR.docx</vt:lpwstr>
      </vt:variant>
      <vt:variant>
        <vt:lpwstr/>
      </vt:variant>
      <vt:variant>
        <vt:i4>1835062</vt:i4>
      </vt:variant>
      <vt:variant>
        <vt:i4>132</vt:i4>
      </vt:variant>
      <vt:variant>
        <vt:i4>0</vt:i4>
      </vt:variant>
      <vt:variant>
        <vt:i4>5</vt:i4>
      </vt:variant>
      <vt:variant>
        <vt:lpwstr>https://ich.unesco.org/doc/src/LHE-25-20.COM-INF.6.c_FR.docx</vt:lpwstr>
      </vt:variant>
      <vt:variant>
        <vt:lpwstr/>
      </vt:variant>
      <vt:variant>
        <vt:i4>7536694</vt:i4>
      </vt:variant>
      <vt:variant>
        <vt:i4>129</vt:i4>
      </vt:variant>
      <vt:variant>
        <vt:i4>0</vt:i4>
      </vt:variant>
      <vt:variant>
        <vt:i4>5</vt:i4>
      </vt:variant>
      <vt:variant>
        <vt:lpwstr>https://unesdoc.unesco.org/ark:/48223/pf0000388995?posInSet=1&amp;queryId=bac1614c-87af-439e-8f80-730dd0527608</vt:lpwstr>
      </vt:variant>
      <vt:variant>
        <vt:lpwstr/>
      </vt:variant>
      <vt:variant>
        <vt:i4>1179756</vt:i4>
      </vt:variant>
      <vt:variant>
        <vt:i4>126</vt:i4>
      </vt:variant>
      <vt:variant>
        <vt:i4>0</vt:i4>
      </vt:variant>
      <vt:variant>
        <vt:i4>5</vt:i4>
      </vt:variant>
      <vt:variant>
        <vt:lpwstr>https://unesdoc.unesco.org/in/documentViewer.xhtml?v=2.1.196&amp;id=p::usmarcdef_0000389517_fre&amp;file=/in/rest/annotationSVC/DownloadWatermarkedAttachment/attach_import_14fbf3fd-d451-4a92-b498-5011f80bfead%3F_%3D389517fre.pdf&amp;locale=en&amp;multi=true&amp;ark=/ark:/48223/pf0000389517_fre/PDF/389517fre.pdf</vt:lpwstr>
      </vt:variant>
      <vt:variant>
        <vt:lpwstr>%5B%7B%22num%22%3A64%2C%22gen%22%3A0%7D%2C%7B%22name%22%3A%22XYZ%22%7D%2C54%2C771%2C0%5D</vt:lpwstr>
      </vt:variant>
      <vt:variant>
        <vt:i4>1769581</vt:i4>
      </vt:variant>
      <vt:variant>
        <vt:i4>123</vt:i4>
      </vt:variant>
      <vt:variant>
        <vt:i4>0</vt:i4>
      </vt:variant>
      <vt:variant>
        <vt:i4>5</vt:i4>
      </vt:variant>
      <vt:variant>
        <vt:lpwstr>https://unesdoc.unesco.org/in/documentViewer.xhtml?v=2.1.196&amp;id=p::usmarcdef_0000389517_fre&amp;file=/in/rest/annotationSVC/DownloadWatermarkedAttachment/attach_import_14fbf3fd-d451-4a92-b498-5011f80bfead%3F_%3D389517fre.pdf&amp;locale=en&amp;multi=true&amp;ark=/ark:/48223/pf0000389517_fre/PDF/389517fre.pdf</vt:lpwstr>
      </vt:variant>
      <vt:variant>
        <vt:lpwstr>%5B%7B%22num%22%3A58%2C%22gen%22%3A0%7D%2C%7B%22name%22%3A%22XYZ%22%7D%2C54%2C226%2C0%5D</vt:lpwstr>
      </vt:variant>
      <vt:variant>
        <vt:i4>2687018</vt:i4>
      </vt:variant>
      <vt:variant>
        <vt:i4>120</vt:i4>
      </vt:variant>
      <vt:variant>
        <vt:i4>0</vt:i4>
      </vt:variant>
      <vt:variant>
        <vt:i4>5</vt:i4>
      </vt:variant>
      <vt:variant>
        <vt:lpwstr>https://ich.unesco.org/fr/decisions/19.COM/6.C</vt:lpwstr>
      </vt:variant>
      <vt:variant>
        <vt:lpwstr/>
      </vt:variant>
      <vt:variant>
        <vt:i4>2687018</vt:i4>
      </vt:variant>
      <vt:variant>
        <vt:i4>117</vt:i4>
      </vt:variant>
      <vt:variant>
        <vt:i4>0</vt:i4>
      </vt:variant>
      <vt:variant>
        <vt:i4>5</vt:i4>
      </vt:variant>
      <vt:variant>
        <vt:lpwstr>https://ich.unesco.org/fr/decisions/18.COM/7.C</vt:lpwstr>
      </vt:variant>
      <vt:variant>
        <vt:lpwstr/>
      </vt:variant>
      <vt:variant>
        <vt:i4>3342373</vt:i4>
      </vt:variant>
      <vt:variant>
        <vt:i4>114</vt:i4>
      </vt:variant>
      <vt:variant>
        <vt:i4>0</vt:i4>
      </vt:variant>
      <vt:variant>
        <vt:i4>5</vt:i4>
      </vt:variant>
      <vt:variant>
        <vt:lpwstr>https://ich.unesco.org/fr/decisions/10.GA/6</vt:lpwstr>
      </vt:variant>
      <vt:variant>
        <vt:lpwstr/>
      </vt:variant>
      <vt:variant>
        <vt:i4>3342373</vt:i4>
      </vt:variant>
      <vt:variant>
        <vt:i4>111</vt:i4>
      </vt:variant>
      <vt:variant>
        <vt:i4>0</vt:i4>
      </vt:variant>
      <vt:variant>
        <vt:i4>5</vt:i4>
      </vt:variant>
      <vt:variant>
        <vt:lpwstr>https://ich.unesco.org/fr/decisions/10.GA/5</vt:lpwstr>
      </vt:variant>
      <vt:variant>
        <vt:lpwstr/>
      </vt:variant>
      <vt:variant>
        <vt:i4>1245302</vt:i4>
      </vt:variant>
      <vt:variant>
        <vt:i4>108</vt:i4>
      </vt:variant>
      <vt:variant>
        <vt:i4>0</vt:i4>
      </vt:variant>
      <vt:variant>
        <vt:i4>5</vt:i4>
      </vt:variant>
      <vt:variant>
        <vt:lpwstr>https://ich.unesco.org/doc/src/LHE-25-20.COM-6.c_FR.docx</vt:lpwstr>
      </vt:variant>
      <vt:variant>
        <vt:lpwstr/>
      </vt:variant>
      <vt:variant>
        <vt:i4>4784132</vt:i4>
      </vt:variant>
      <vt:variant>
        <vt:i4>105</vt:i4>
      </vt:variant>
      <vt:variant>
        <vt:i4>0</vt:i4>
      </vt:variant>
      <vt:variant>
        <vt:i4>5</vt:i4>
      </vt:variant>
      <vt:variant>
        <vt:lpwstr>https://ich.unesco.org/fr/Decisions/14.COM/8</vt:lpwstr>
      </vt:variant>
      <vt:variant>
        <vt:lpwstr/>
      </vt:variant>
      <vt:variant>
        <vt:i4>5111812</vt:i4>
      </vt:variant>
      <vt:variant>
        <vt:i4>102</vt:i4>
      </vt:variant>
      <vt:variant>
        <vt:i4>0</vt:i4>
      </vt:variant>
      <vt:variant>
        <vt:i4>5</vt:i4>
      </vt:variant>
      <vt:variant>
        <vt:lpwstr>https://ich.unesco.org/fr/Decisions/13.COM/8</vt:lpwstr>
      </vt:variant>
      <vt:variant>
        <vt:lpwstr/>
      </vt:variant>
      <vt:variant>
        <vt:i4>3473444</vt:i4>
      </vt:variant>
      <vt:variant>
        <vt:i4>99</vt:i4>
      </vt:variant>
      <vt:variant>
        <vt:i4>0</vt:i4>
      </vt:variant>
      <vt:variant>
        <vt:i4>5</vt:i4>
      </vt:variant>
      <vt:variant>
        <vt:lpwstr>https://ich.unesco.org/fr/Decisions/7.GA/10</vt:lpwstr>
      </vt:variant>
      <vt:variant>
        <vt:lpwstr/>
      </vt:variant>
      <vt:variant>
        <vt:i4>1179766</vt:i4>
      </vt:variant>
      <vt:variant>
        <vt:i4>96</vt:i4>
      </vt:variant>
      <vt:variant>
        <vt:i4>0</vt:i4>
      </vt:variant>
      <vt:variant>
        <vt:i4>5</vt:i4>
      </vt:variant>
      <vt:variant>
        <vt:lpwstr>https://ich.unesco.org/doc/src/LHE-25-20.COM-6.b_FR.docx</vt:lpwstr>
      </vt:variant>
      <vt:variant>
        <vt:lpwstr/>
      </vt:variant>
      <vt:variant>
        <vt:i4>1310724</vt:i4>
      </vt:variant>
      <vt:variant>
        <vt:i4>93</vt:i4>
      </vt:variant>
      <vt:variant>
        <vt:i4>0</vt:i4>
      </vt:variant>
      <vt:variant>
        <vt:i4>5</vt:i4>
      </vt:variant>
      <vt:variant>
        <vt:lpwstr>https://ich.unesco.org/fr/decisions/16.COM/7.A.15</vt:lpwstr>
      </vt:variant>
      <vt:variant>
        <vt:lpwstr/>
      </vt:variant>
      <vt:variant>
        <vt:i4>1900548</vt:i4>
      </vt:variant>
      <vt:variant>
        <vt:i4>90</vt:i4>
      </vt:variant>
      <vt:variant>
        <vt:i4>0</vt:i4>
      </vt:variant>
      <vt:variant>
        <vt:i4>5</vt:i4>
      </vt:variant>
      <vt:variant>
        <vt:lpwstr>https://ich.unesco.org/fr/Decisions/12.COM/8.c.10</vt:lpwstr>
      </vt:variant>
      <vt:variant>
        <vt:lpwstr/>
      </vt:variant>
      <vt:variant>
        <vt:i4>720986</vt:i4>
      </vt:variant>
      <vt:variant>
        <vt:i4>87</vt:i4>
      </vt:variant>
      <vt:variant>
        <vt:i4>0</vt:i4>
      </vt:variant>
      <vt:variant>
        <vt:i4>5</vt:i4>
      </vt:variant>
      <vt:variant>
        <vt:lpwstr>https://ich.unesco.org/fr/decisions/7.COM/8.3</vt:lpwstr>
      </vt:variant>
      <vt:variant>
        <vt:lpwstr/>
      </vt:variant>
      <vt:variant>
        <vt:i4>1114230</vt:i4>
      </vt:variant>
      <vt:variant>
        <vt:i4>84</vt:i4>
      </vt:variant>
      <vt:variant>
        <vt:i4>0</vt:i4>
      </vt:variant>
      <vt:variant>
        <vt:i4>5</vt:i4>
      </vt:variant>
      <vt:variant>
        <vt:lpwstr>https://ich.unesco.org/doc/src/LHE-25-20.COM-6.a_FR.docx</vt:lpwstr>
      </vt:variant>
      <vt:variant>
        <vt:lpwstr/>
      </vt:variant>
      <vt:variant>
        <vt:i4>1179652</vt:i4>
      </vt:variant>
      <vt:variant>
        <vt:i4>81</vt:i4>
      </vt:variant>
      <vt:variant>
        <vt:i4>0</vt:i4>
      </vt:variant>
      <vt:variant>
        <vt:i4>5</vt:i4>
      </vt:variant>
      <vt:variant>
        <vt:lpwstr>https://ich.unesco.org/fr/decisions/16.COM/7.A.7</vt:lpwstr>
      </vt:variant>
      <vt:variant>
        <vt:lpwstr/>
      </vt:variant>
      <vt:variant>
        <vt:i4>1900548</vt:i4>
      </vt:variant>
      <vt:variant>
        <vt:i4>78</vt:i4>
      </vt:variant>
      <vt:variant>
        <vt:i4>0</vt:i4>
      </vt:variant>
      <vt:variant>
        <vt:i4>5</vt:i4>
      </vt:variant>
      <vt:variant>
        <vt:lpwstr>https://ich.unesco.org/fr/Decisions/12.COM/8.c.1</vt:lpwstr>
      </vt:variant>
      <vt:variant>
        <vt:lpwstr/>
      </vt:variant>
      <vt:variant>
        <vt:i4>720986</vt:i4>
      </vt:variant>
      <vt:variant>
        <vt:i4>75</vt:i4>
      </vt:variant>
      <vt:variant>
        <vt:i4>0</vt:i4>
      </vt:variant>
      <vt:variant>
        <vt:i4>5</vt:i4>
      </vt:variant>
      <vt:variant>
        <vt:lpwstr>https://ich.unesco.org/fr/Decisions/7.COM/8.1</vt:lpwstr>
      </vt:variant>
      <vt:variant>
        <vt:lpwstr/>
      </vt:variant>
      <vt:variant>
        <vt:i4>1114230</vt:i4>
      </vt:variant>
      <vt:variant>
        <vt:i4>72</vt:i4>
      </vt:variant>
      <vt:variant>
        <vt:i4>0</vt:i4>
      </vt:variant>
      <vt:variant>
        <vt:i4>5</vt:i4>
      </vt:variant>
      <vt:variant>
        <vt:lpwstr>https://ich.unesco.org/doc/src/LHE-25-20.COM-6.a_FR.docx</vt:lpwstr>
      </vt:variant>
      <vt:variant>
        <vt:lpwstr/>
      </vt:variant>
      <vt:variant>
        <vt:i4>1245188</vt:i4>
      </vt:variant>
      <vt:variant>
        <vt:i4>69</vt:i4>
      </vt:variant>
      <vt:variant>
        <vt:i4>0</vt:i4>
      </vt:variant>
      <vt:variant>
        <vt:i4>5</vt:i4>
      </vt:variant>
      <vt:variant>
        <vt:lpwstr>https://ich.unesco.org/fr/decisions/16.COM/7.A.6</vt:lpwstr>
      </vt:variant>
      <vt:variant>
        <vt:lpwstr/>
      </vt:variant>
      <vt:variant>
        <vt:i4>4522069</vt:i4>
      </vt:variant>
      <vt:variant>
        <vt:i4>66</vt:i4>
      </vt:variant>
      <vt:variant>
        <vt:i4>0</vt:i4>
      </vt:variant>
      <vt:variant>
        <vt:i4>5</vt:i4>
      </vt:variant>
      <vt:variant>
        <vt:lpwstr>https://ich.unesco.org/fr/decisions/11.COM/10.A.5</vt:lpwstr>
      </vt:variant>
      <vt:variant>
        <vt:lpwstr/>
      </vt:variant>
      <vt:variant>
        <vt:i4>1114230</vt:i4>
      </vt:variant>
      <vt:variant>
        <vt:i4>63</vt:i4>
      </vt:variant>
      <vt:variant>
        <vt:i4>0</vt:i4>
      </vt:variant>
      <vt:variant>
        <vt:i4>5</vt:i4>
      </vt:variant>
      <vt:variant>
        <vt:lpwstr>https://ich.unesco.org/doc/src/LHE-25-20.COM-6.a_FR.docx</vt:lpwstr>
      </vt:variant>
      <vt:variant>
        <vt:lpwstr/>
      </vt:variant>
      <vt:variant>
        <vt:i4>1114116</vt:i4>
      </vt:variant>
      <vt:variant>
        <vt:i4>60</vt:i4>
      </vt:variant>
      <vt:variant>
        <vt:i4>0</vt:i4>
      </vt:variant>
      <vt:variant>
        <vt:i4>5</vt:i4>
      </vt:variant>
      <vt:variant>
        <vt:lpwstr>https://ich.unesco.org/fr/decisions/16.COM/7.A.4</vt:lpwstr>
      </vt:variant>
      <vt:variant>
        <vt:lpwstr/>
      </vt:variant>
      <vt:variant>
        <vt:i4>4522069</vt:i4>
      </vt:variant>
      <vt:variant>
        <vt:i4>57</vt:i4>
      </vt:variant>
      <vt:variant>
        <vt:i4>0</vt:i4>
      </vt:variant>
      <vt:variant>
        <vt:i4>5</vt:i4>
      </vt:variant>
      <vt:variant>
        <vt:lpwstr>https://ich.unesco.org/fr/Decisions/11.COM/10.a.3</vt:lpwstr>
      </vt:variant>
      <vt:variant>
        <vt:lpwstr/>
      </vt:variant>
      <vt:variant>
        <vt:i4>1114230</vt:i4>
      </vt:variant>
      <vt:variant>
        <vt:i4>54</vt:i4>
      </vt:variant>
      <vt:variant>
        <vt:i4>0</vt:i4>
      </vt:variant>
      <vt:variant>
        <vt:i4>5</vt:i4>
      </vt:variant>
      <vt:variant>
        <vt:lpwstr>https://ich.unesco.org/doc/src/LHE-25-20.COM-6.a_FR.docx</vt:lpwstr>
      </vt:variant>
      <vt:variant>
        <vt:lpwstr/>
      </vt:variant>
      <vt:variant>
        <vt:i4>1966084</vt:i4>
      </vt:variant>
      <vt:variant>
        <vt:i4>51</vt:i4>
      </vt:variant>
      <vt:variant>
        <vt:i4>0</vt:i4>
      </vt:variant>
      <vt:variant>
        <vt:i4>5</vt:i4>
      </vt:variant>
      <vt:variant>
        <vt:lpwstr>https://ich.unesco.org/fr/decisions/18.COM/7.A.5</vt:lpwstr>
      </vt:variant>
      <vt:variant>
        <vt:lpwstr/>
      </vt:variant>
      <vt:variant>
        <vt:i4>1703940</vt:i4>
      </vt:variant>
      <vt:variant>
        <vt:i4>48</vt:i4>
      </vt:variant>
      <vt:variant>
        <vt:i4>0</vt:i4>
      </vt:variant>
      <vt:variant>
        <vt:i4>5</vt:i4>
      </vt:variant>
      <vt:variant>
        <vt:lpwstr>https://ich.unesco.org/fr/decisions/15.COM/8.a.3</vt:lpwstr>
      </vt:variant>
      <vt:variant>
        <vt:lpwstr/>
      </vt:variant>
      <vt:variant>
        <vt:i4>1114230</vt:i4>
      </vt:variant>
      <vt:variant>
        <vt:i4>45</vt:i4>
      </vt:variant>
      <vt:variant>
        <vt:i4>0</vt:i4>
      </vt:variant>
      <vt:variant>
        <vt:i4>5</vt:i4>
      </vt:variant>
      <vt:variant>
        <vt:lpwstr>https://ich.unesco.org/doc/src/LHE-25-20.COM-6.a_FR.docx</vt:lpwstr>
      </vt:variant>
      <vt:variant>
        <vt:lpwstr/>
      </vt:variant>
      <vt:variant>
        <vt:i4>1310724</vt:i4>
      </vt:variant>
      <vt:variant>
        <vt:i4>42</vt:i4>
      </vt:variant>
      <vt:variant>
        <vt:i4>0</vt:i4>
      </vt:variant>
      <vt:variant>
        <vt:i4>5</vt:i4>
      </vt:variant>
      <vt:variant>
        <vt:lpwstr>https://ich.unesco.org/fr/decisions/16.COM/7.A.1</vt:lpwstr>
      </vt:variant>
      <vt:variant>
        <vt:lpwstr/>
      </vt:variant>
      <vt:variant>
        <vt:i4>4522069</vt:i4>
      </vt:variant>
      <vt:variant>
        <vt:i4>39</vt:i4>
      </vt:variant>
      <vt:variant>
        <vt:i4>0</vt:i4>
      </vt:variant>
      <vt:variant>
        <vt:i4>5</vt:i4>
      </vt:variant>
      <vt:variant>
        <vt:lpwstr>https://ich.unesco.org/fr/decisions/11.COM/10.A.6</vt:lpwstr>
      </vt:variant>
      <vt:variant>
        <vt:lpwstr/>
      </vt:variant>
      <vt:variant>
        <vt:i4>1114230</vt:i4>
      </vt:variant>
      <vt:variant>
        <vt:i4>36</vt:i4>
      </vt:variant>
      <vt:variant>
        <vt:i4>0</vt:i4>
      </vt:variant>
      <vt:variant>
        <vt:i4>5</vt:i4>
      </vt:variant>
      <vt:variant>
        <vt:lpwstr>https://ich.unesco.org/doc/src/LHE-25-20.COM-6.a_FR.docx</vt:lpwstr>
      </vt:variant>
      <vt:variant>
        <vt:lpwstr/>
      </vt:variant>
      <vt:variant>
        <vt:i4>5177348</vt:i4>
      </vt:variant>
      <vt:variant>
        <vt:i4>33</vt:i4>
      </vt:variant>
      <vt:variant>
        <vt:i4>0</vt:i4>
      </vt:variant>
      <vt:variant>
        <vt:i4>5</vt:i4>
      </vt:variant>
      <vt:variant>
        <vt:lpwstr>https://ich.unesco.org/fr/decisions/18.COM/21</vt:lpwstr>
      </vt:variant>
      <vt:variant>
        <vt:lpwstr/>
      </vt:variant>
      <vt:variant>
        <vt:i4>1900548</vt:i4>
      </vt:variant>
      <vt:variant>
        <vt:i4>30</vt:i4>
      </vt:variant>
      <vt:variant>
        <vt:i4>0</vt:i4>
      </vt:variant>
      <vt:variant>
        <vt:i4>5</vt:i4>
      </vt:variant>
      <vt:variant>
        <vt:lpwstr>https://ich.unesco.org/fr/decisions/15.COM/8.A.4</vt:lpwstr>
      </vt:variant>
      <vt:variant>
        <vt:lpwstr/>
      </vt:variant>
      <vt:variant>
        <vt:i4>1114230</vt:i4>
      </vt:variant>
      <vt:variant>
        <vt:i4>27</vt:i4>
      </vt:variant>
      <vt:variant>
        <vt:i4>0</vt:i4>
      </vt:variant>
      <vt:variant>
        <vt:i4>5</vt:i4>
      </vt:variant>
      <vt:variant>
        <vt:lpwstr>https://ich.unesco.org/doc/src/LHE-25-20.COM-6.a_FR.docx</vt:lpwstr>
      </vt:variant>
      <vt:variant>
        <vt:lpwstr/>
      </vt:variant>
      <vt:variant>
        <vt:i4>1572868</vt:i4>
      </vt:variant>
      <vt:variant>
        <vt:i4>24</vt:i4>
      </vt:variant>
      <vt:variant>
        <vt:i4>0</vt:i4>
      </vt:variant>
      <vt:variant>
        <vt:i4>5</vt:i4>
      </vt:variant>
      <vt:variant>
        <vt:lpwstr>https://ich.unesco.org/fr/decisions/15.COM/8.A.1</vt:lpwstr>
      </vt:variant>
      <vt:variant>
        <vt:lpwstr/>
      </vt:variant>
      <vt:variant>
        <vt:i4>1114230</vt:i4>
      </vt:variant>
      <vt:variant>
        <vt:i4>21</vt:i4>
      </vt:variant>
      <vt:variant>
        <vt:i4>0</vt:i4>
      </vt:variant>
      <vt:variant>
        <vt:i4>5</vt:i4>
      </vt:variant>
      <vt:variant>
        <vt:lpwstr>https://ich.unesco.org/doc/src/LHE-25-20.COM-6.a_FR.docx</vt:lpwstr>
      </vt:variant>
      <vt:variant>
        <vt:lpwstr/>
      </vt:variant>
      <vt:variant>
        <vt:i4>1114230</vt:i4>
      </vt:variant>
      <vt:variant>
        <vt:i4>18</vt:i4>
      </vt:variant>
      <vt:variant>
        <vt:i4>0</vt:i4>
      </vt:variant>
      <vt:variant>
        <vt:i4>5</vt:i4>
      </vt:variant>
      <vt:variant>
        <vt:lpwstr>https://ich.unesco.org/doc/src/LHE-25-20.COM-6.a_FR.docx</vt:lpwstr>
      </vt:variant>
      <vt:variant>
        <vt:lpwstr/>
      </vt:variant>
      <vt:variant>
        <vt:i4>7536728</vt:i4>
      </vt:variant>
      <vt:variant>
        <vt:i4>15</vt:i4>
      </vt:variant>
      <vt:variant>
        <vt:i4>0</vt:i4>
      </vt:variant>
      <vt:variant>
        <vt:i4>5</vt:i4>
      </vt:variant>
      <vt:variant>
        <vt:lpwstr>https://ich.unesco.org/doc/src/LHE-25-20.COM-5_FR.docx</vt:lpwstr>
      </vt:variant>
      <vt:variant>
        <vt:lpwstr/>
      </vt:variant>
      <vt:variant>
        <vt:i4>7471192</vt:i4>
      </vt:variant>
      <vt:variant>
        <vt:i4>12</vt:i4>
      </vt:variant>
      <vt:variant>
        <vt:i4>0</vt:i4>
      </vt:variant>
      <vt:variant>
        <vt:i4>5</vt:i4>
      </vt:variant>
      <vt:variant>
        <vt:lpwstr>https://ich.unesco.org/doc/src/LHE-25-20.COM-4_FR.docx</vt:lpwstr>
      </vt:variant>
      <vt:variant>
        <vt:lpwstr/>
      </vt:variant>
      <vt:variant>
        <vt:i4>5177348</vt:i4>
      </vt:variant>
      <vt:variant>
        <vt:i4>9</vt:i4>
      </vt:variant>
      <vt:variant>
        <vt:i4>0</vt:i4>
      </vt:variant>
      <vt:variant>
        <vt:i4>5</vt:i4>
      </vt:variant>
      <vt:variant>
        <vt:lpwstr>https://ich.unesco.org/fr/decisions/19.COM/3</vt:lpwstr>
      </vt:variant>
      <vt:variant>
        <vt:lpwstr/>
      </vt:variant>
      <vt:variant>
        <vt:i4>5111812</vt:i4>
      </vt:variant>
      <vt:variant>
        <vt:i4>6</vt:i4>
      </vt:variant>
      <vt:variant>
        <vt:i4>0</vt:i4>
      </vt:variant>
      <vt:variant>
        <vt:i4>5</vt:i4>
      </vt:variant>
      <vt:variant>
        <vt:lpwstr>https://ich.unesco.org/fr/decisions/18.COM/3</vt:lpwstr>
      </vt:variant>
      <vt:variant>
        <vt:lpwstr/>
      </vt:variant>
      <vt:variant>
        <vt:i4>7667800</vt:i4>
      </vt:variant>
      <vt:variant>
        <vt:i4>3</vt:i4>
      </vt:variant>
      <vt:variant>
        <vt:i4>0</vt:i4>
      </vt:variant>
      <vt:variant>
        <vt:i4>5</vt:i4>
      </vt:variant>
      <vt:variant>
        <vt:lpwstr>https://ich.unesco.org/doc/src/LHE-25-20.COM-3_FR.docx</vt:lpwstr>
      </vt:variant>
      <vt:variant>
        <vt:lpwstr/>
      </vt:variant>
      <vt:variant>
        <vt:i4>7602264</vt:i4>
      </vt:variant>
      <vt:variant>
        <vt:i4>0</vt:i4>
      </vt:variant>
      <vt:variant>
        <vt:i4>0</vt:i4>
      </vt:variant>
      <vt:variant>
        <vt:i4>5</vt:i4>
      </vt:variant>
      <vt:variant>
        <vt:lpwstr>https://ich.unesco.org/doc/src/LHE-25-20.COM-2_FR.docx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Peredo, Leandro</cp:lastModifiedBy>
  <cp:revision>73</cp:revision>
  <cp:lastPrinted>2024-12-06T10:24:00Z</cp:lastPrinted>
  <dcterms:created xsi:type="dcterms:W3CDTF">2025-12-22T09:59:00Z</dcterms:created>
  <dcterms:modified xsi:type="dcterms:W3CDTF">2026-01-05T13:50:00Z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