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5E36E" w14:textId="2C143DE3" w:rsidR="00EC6F8D" w:rsidRPr="00F946F3" w:rsidRDefault="00EC6F8D" w:rsidP="00EC6F8D">
      <w:pPr>
        <w:spacing w:before="1440"/>
        <w:jc w:val="center"/>
        <w:rPr>
          <w:rFonts w:ascii="Arial" w:hAnsi="Arial" w:cs="Arial"/>
          <w:b/>
          <w:sz w:val="22"/>
          <w:szCs w:val="22"/>
        </w:rPr>
      </w:pPr>
      <w:r w:rsidRPr="00F946F3">
        <w:rPr>
          <w:rFonts w:ascii="Arial" w:hAnsi="Arial"/>
          <w:b/>
          <w:sz w:val="22"/>
        </w:rPr>
        <w:t>CONVENTION POUR LA SAUVEGARDE DU</w:t>
      </w:r>
      <w:r w:rsidRPr="00F946F3">
        <w:rPr>
          <w:rFonts w:ascii="Arial" w:hAnsi="Arial"/>
          <w:b/>
          <w:sz w:val="22"/>
        </w:rPr>
        <w:br/>
        <w:t>PATRIMOINE CULTUREL IMMATÉRIEL</w:t>
      </w:r>
    </w:p>
    <w:p w14:paraId="3F72B1D3" w14:textId="41E8F68E" w:rsidR="00EC6F8D" w:rsidRPr="00F946F3" w:rsidRDefault="00EC6F8D" w:rsidP="00EC6F8D">
      <w:pPr>
        <w:spacing w:before="1200"/>
        <w:jc w:val="center"/>
        <w:rPr>
          <w:rFonts w:ascii="Arial" w:hAnsi="Arial" w:cs="Arial"/>
          <w:b/>
          <w:sz w:val="22"/>
          <w:szCs w:val="22"/>
        </w:rPr>
      </w:pPr>
      <w:r w:rsidRPr="00F946F3">
        <w:rPr>
          <w:rFonts w:ascii="Arial" w:hAnsi="Arial"/>
          <w:b/>
          <w:sz w:val="22"/>
        </w:rPr>
        <w:t>COMITÉ INTERGOUVERNEMENTAL DE SAUVEGARDE</w:t>
      </w:r>
      <w:r w:rsidR="00201BF4" w:rsidRPr="00F946F3">
        <w:rPr>
          <w:rFonts w:ascii="Arial" w:hAnsi="Arial"/>
          <w:b/>
          <w:sz w:val="22"/>
        </w:rPr>
        <w:br/>
      </w:r>
      <w:r w:rsidRPr="00F946F3">
        <w:rPr>
          <w:rFonts w:ascii="Arial" w:hAnsi="Arial"/>
          <w:b/>
          <w:sz w:val="22"/>
        </w:rPr>
        <w:t>DU PATRIMOINE CULTUREL IMMATÉRIEL</w:t>
      </w:r>
    </w:p>
    <w:p w14:paraId="2E1CD4B4" w14:textId="3A173D90" w:rsidR="00EC6F8D" w:rsidRPr="00F946F3" w:rsidRDefault="00266322" w:rsidP="001D14FE">
      <w:pPr>
        <w:spacing w:before="840"/>
        <w:jc w:val="center"/>
        <w:rPr>
          <w:rFonts w:ascii="Arial" w:hAnsi="Arial" w:cs="Arial"/>
          <w:b/>
          <w:sz w:val="22"/>
          <w:szCs w:val="22"/>
        </w:rPr>
      </w:pPr>
      <w:r w:rsidRPr="00F946F3">
        <w:rPr>
          <w:rFonts w:ascii="Arial" w:hAnsi="Arial"/>
          <w:b/>
          <w:sz w:val="22"/>
        </w:rPr>
        <w:t>Vingtième session</w:t>
      </w:r>
    </w:p>
    <w:p w14:paraId="1FD89575" w14:textId="7364E3D6" w:rsidR="00B2172B" w:rsidRPr="00F946F3" w:rsidRDefault="00266322" w:rsidP="00B2172B">
      <w:pPr>
        <w:jc w:val="center"/>
        <w:rPr>
          <w:rFonts w:ascii="Arial" w:hAnsi="Arial" w:cs="Arial"/>
          <w:b/>
          <w:sz w:val="22"/>
          <w:szCs w:val="22"/>
        </w:rPr>
      </w:pPr>
      <w:r w:rsidRPr="00F946F3">
        <w:rPr>
          <w:rFonts w:ascii="Arial" w:hAnsi="Arial"/>
          <w:b/>
          <w:sz w:val="22"/>
        </w:rPr>
        <w:t>New Delhi, République de l’Inde</w:t>
      </w:r>
    </w:p>
    <w:p w14:paraId="52EA6D50" w14:textId="733482EF" w:rsidR="00B2172B" w:rsidRPr="00F946F3" w:rsidRDefault="00266322" w:rsidP="00B2172B">
      <w:pPr>
        <w:jc w:val="center"/>
        <w:rPr>
          <w:rFonts w:ascii="Arial" w:hAnsi="Arial" w:cs="Arial"/>
          <w:b/>
          <w:sz w:val="22"/>
          <w:szCs w:val="22"/>
        </w:rPr>
      </w:pPr>
      <w:r w:rsidRPr="00F946F3">
        <w:rPr>
          <w:rFonts w:ascii="Arial" w:hAnsi="Arial"/>
          <w:b/>
          <w:sz w:val="22"/>
        </w:rPr>
        <w:t>8 – 13 décembre 2025</w:t>
      </w:r>
    </w:p>
    <w:p w14:paraId="0365203A" w14:textId="0A5CD830" w:rsidR="00EC6F8D" w:rsidRPr="00F946F3" w:rsidRDefault="00EC6F8D" w:rsidP="00EC6F8D">
      <w:pPr>
        <w:pStyle w:val="Sansinterligne2"/>
        <w:spacing w:before="1200"/>
        <w:jc w:val="center"/>
        <w:rPr>
          <w:rFonts w:ascii="Arial" w:hAnsi="Arial" w:cs="Arial"/>
          <w:b/>
          <w:sz w:val="22"/>
          <w:szCs w:val="22"/>
        </w:rPr>
      </w:pPr>
      <w:r w:rsidRPr="00F946F3">
        <w:rPr>
          <w:rFonts w:ascii="Arial" w:hAnsi="Arial"/>
          <w:b/>
          <w:sz w:val="22"/>
          <w:u w:val="single"/>
        </w:rPr>
        <w:t>Point 9 de l’ordre du jour provisoire</w:t>
      </w:r>
      <w:r w:rsidRPr="00F946F3">
        <w:rPr>
          <w:rFonts w:ascii="Arial" w:hAnsi="Arial"/>
          <w:b/>
          <w:sz w:val="22"/>
        </w:rPr>
        <w:t> :</w:t>
      </w:r>
    </w:p>
    <w:p w14:paraId="59920478" w14:textId="11A70823" w:rsidR="004A2875" w:rsidRPr="00F946F3" w:rsidRDefault="00447E5F" w:rsidP="004A2875">
      <w:pPr>
        <w:pStyle w:val="Sansinterligne2"/>
        <w:spacing w:after="960"/>
        <w:jc w:val="center"/>
        <w:rPr>
          <w:rFonts w:ascii="Arial" w:hAnsi="Arial" w:cs="Arial"/>
          <w:bCs/>
          <w:sz w:val="22"/>
          <w:szCs w:val="22"/>
        </w:rPr>
      </w:pPr>
      <w:r w:rsidRPr="00F946F3">
        <w:rPr>
          <w:rFonts w:ascii="Arial" w:hAnsi="Arial"/>
          <w:b/>
          <w:sz w:val="22"/>
        </w:rPr>
        <w:t>Suivi des éléments inscrits sur les listes de la Convention</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EC6F8D" w:rsidRPr="00F946F3" w14:paraId="75AC6221" w14:textId="77777777" w:rsidTr="00EC6F8D">
        <w:trPr>
          <w:jc w:val="center"/>
        </w:trPr>
        <w:tc>
          <w:tcPr>
            <w:tcW w:w="5670" w:type="dxa"/>
            <w:vAlign w:val="center"/>
          </w:tcPr>
          <w:p w14:paraId="51C260A9" w14:textId="77777777" w:rsidR="00EC6F8D" w:rsidRPr="00F946F3" w:rsidRDefault="00EC6F8D" w:rsidP="008A18EC">
            <w:pPr>
              <w:pStyle w:val="Sansinterligne1"/>
              <w:spacing w:before="240" w:after="240"/>
              <w:jc w:val="center"/>
              <w:rPr>
                <w:rFonts w:ascii="Arial" w:hAnsi="Arial" w:cs="Arial"/>
                <w:b/>
                <w:sz w:val="22"/>
                <w:szCs w:val="22"/>
              </w:rPr>
            </w:pPr>
            <w:r w:rsidRPr="00F946F3">
              <w:rPr>
                <w:rFonts w:ascii="Arial" w:hAnsi="Arial"/>
                <w:b/>
                <w:sz w:val="22"/>
              </w:rPr>
              <w:t>Résumé</w:t>
            </w:r>
          </w:p>
          <w:p w14:paraId="4FFBA76B" w14:textId="758CFBC3" w:rsidR="00F0288B" w:rsidRPr="00F946F3" w:rsidRDefault="00BB6EEC" w:rsidP="008A18EC">
            <w:pPr>
              <w:pStyle w:val="Sansinterligne1"/>
              <w:spacing w:before="240" w:after="240"/>
              <w:jc w:val="both"/>
              <w:rPr>
                <w:rFonts w:ascii="Arial" w:hAnsi="Arial" w:cs="Arial"/>
                <w:bCs/>
                <w:sz w:val="22"/>
                <w:szCs w:val="22"/>
              </w:rPr>
            </w:pPr>
            <w:r w:rsidRPr="00F946F3">
              <w:rPr>
                <w:rFonts w:ascii="Arial" w:hAnsi="Arial"/>
                <w:sz w:val="22"/>
              </w:rPr>
              <w:t>Le présent document rend compte de la correspondance reçue de la part de tierces parties et traitée de janvier à novembre 2025 concernant des éléments inscrits et des candidatures en cours</w:t>
            </w:r>
            <w:r w:rsidR="009E4C9C" w:rsidRPr="00F946F3">
              <w:rPr>
                <w:rFonts w:ascii="Arial" w:hAnsi="Arial"/>
                <w:sz w:val="22"/>
              </w:rPr>
              <w:t>,</w:t>
            </w:r>
            <w:r w:rsidRPr="00F946F3">
              <w:rPr>
                <w:rFonts w:ascii="Arial" w:hAnsi="Arial"/>
                <w:sz w:val="22"/>
              </w:rPr>
              <w:t xml:space="preserve"> en réponse à la demande de la dix-neuvième session du Comité (Décision </w:t>
            </w:r>
            <w:hyperlink r:id="rId8" w:history="1">
              <w:r w:rsidRPr="00F946F3">
                <w:rPr>
                  <w:rStyle w:val="Hyperlink"/>
                  <w:rFonts w:ascii="Arial" w:hAnsi="Arial"/>
                  <w:sz w:val="22"/>
                </w:rPr>
                <w:t>19.COM 8</w:t>
              </w:r>
            </w:hyperlink>
            <w:r w:rsidRPr="00F946F3">
              <w:rPr>
                <w:rFonts w:ascii="Arial" w:hAnsi="Arial"/>
                <w:sz w:val="22"/>
              </w:rPr>
              <w:t>)</w:t>
            </w:r>
            <w:r w:rsidRPr="00F946F3">
              <w:rPr>
                <w:rFonts w:ascii="Arial" w:hAnsi="Arial"/>
                <w:sz w:val="22"/>
                <w:highlight w:val="yellow"/>
              </w:rPr>
              <w:t xml:space="preserve"> </w:t>
            </w:r>
          </w:p>
          <w:p w14:paraId="290310E8" w14:textId="143917E0" w:rsidR="00EC6F8D" w:rsidRPr="00F946F3" w:rsidRDefault="00EC6F8D" w:rsidP="008A18EC">
            <w:pPr>
              <w:pStyle w:val="Sansinterligne1"/>
              <w:spacing w:before="240" w:after="240"/>
              <w:jc w:val="both"/>
              <w:rPr>
                <w:rFonts w:ascii="Arial" w:hAnsi="Arial" w:cs="Arial"/>
                <w:b/>
                <w:sz w:val="22"/>
                <w:szCs w:val="22"/>
              </w:rPr>
            </w:pPr>
            <w:r w:rsidRPr="00F946F3">
              <w:rPr>
                <w:rFonts w:ascii="Arial" w:hAnsi="Arial"/>
                <w:b/>
                <w:sz w:val="22"/>
              </w:rPr>
              <w:t xml:space="preserve">Décisions requises : </w:t>
            </w:r>
            <w:r w:rsidRPr="00F946F3">
              <w:rPr>
                <w:rFonts w:ascii="Arial" w:hAnsi="Arial"/>
                <w:sz w:val="22"/>
              </w:rPr>
              <w:t>paragraphes 8 et 16</w:t>
            </w:r>
          </w:p>
        </w:tc>
      </w:tr>
    </w:tbl>
    <w:p w14:paraId="713D819F" w14:textId="77777777" w:rsidR="004A2875" w:rsidRPr="00F946F3" w:rsidRDefault="00655736" w:rsidP="004A2875">
      <w:pPr>
        <w:pStyle w:val="ListParagraph"/>
        <w:keepLines/>
        <w:numPr>
          <w:ilvl w:val="0"/>
          <w:numId w:val="13"/>
        </w:numPr>
        <w:spacing w:after="240"/>
        <w:ind w:left="567" w:hanging="567"/>
        <w:contextualSpacing w:val="0"/>
        <w:rPr>
          <w:rFonts w:ascii="Arial" w:hAnsi="Arial" w:cs="Arial"/>
          <w:b/>
          <w:snapToGrid w:val="0"/>
          <w:sz w:val="22"/>
          <w:szCs w:val="22"/>
        </w:rPr>
      </w:pPr>
      <w:r w:rsidRPr="00F946F3">
        <w:br w:type="page"/>
      </w:r>
    </w:p>
    <w:p w14:paraId="4C71C392" w14:textId="6A4833CE" w:rsidR="003E69D9" w:rsidRPr="00F946F3" w:rsidRDefault="003E69D9" w:rsidP="007225D7">
      <w:pPr>
        <w:pStyle w:val="COMPara"/>
        <w:numPr>
          <w:ilvl w:val="0"/>
          <w:numId w:val="0"/>
        </w:numPr>
        <w:jc w:val="both"/>
        <w:rPr>
          <w:b/>
          <w:bCs/>
        </w:rPr>
      </w:pPr>
      <w:r w:rsidRPr="00F946F3">
        <w:rPr>
          <w:b/>
        </w:rPr>
        <w:lastRenderedPageBreak/>
        <w:t>Introduction</w:t>
      </w:r>
    </w:p>
    <w:p w14:paraId="4181ECCA" w14:textId="3CA34E6B" w:rsidR="005566FF" w:rsidRPr="00F946F3" w:rsidRDefault="005566FF" w:rsidP="005566FF">
      <w:pPr>
        <w:pStyle w:val="COMPara"/>
        <w:ind w:left="567" w:hanging="567"/>
        <w:jc w:val="both"/>
      </w:pPr>
      <w:r w:rsidRPr="00F946F3">
        <w:t>Prenant note du nombre croissant de cas portés à l’attention du Secrétariat concernant des éléments inscrits sur les listes de la Convention, le Comité, lors de sa treizième session en 2018, a reconnu la nécessité de réfléchir au suivi des éléments inscrits (</w:t>
      </w:r>
      <w:r w:rsidR="00027606" w:rsidRPr="00F946F3">
        <w:t>D</w:t>
      </w:r>
      <w:r w:rsidRPr="00F946F3">
        <w:t>écision </w:t>
      </w:r>
      <w:hyperlink r:id="rId9" w:history="1">
        <w:r w:rsidRPr="00F946F3">
          <w:rPr>
            <w:rStyle w:val="Hyperlink"/>
          </w:rPr>
          <w:t>13.COM 9</w:t>
        </w:r>
      </w:hyperlink>
      <w:r w:rsidRPr="00F946F3">
        <w:t>). Depuis cette session, le Comité prend note des informations reçues de tierces parties concernant des éléments déjà inscrits, ainsi que des candidatures soumises en vue d’une éventuelle inscription, sur les listes de la Convention.</w:t>
      </w:r>
    </w:p>
    <w:p w14:paraId="5E0AAA23" w14:textId="215E6D48" w:rsidR="003978DC" w:rsidRPr="00F946F3" w:rsidRDefault="001C08C7" w:rsidP="005566FF">
      <w:pPr>
        <w:pStyle w:val="COMPara"/>
        <w:ind w:left="567" w:hanging="567"/>
        <w:jc w:val="both"/>
      </w:pPr>
      <w:r w:rsidRPr="00F946F3">
        <w:t>Dans certains cas, ces correspondances incluent des demandes des États parties concernés de modification du nom sous lequel l’élément a été initialement inscrit par le Comité au sens du chapitre I.12 des Directives opérationnelles. Ces demandes, reçues au moins trois mois avant la session du Comité, sont portées à l’attention du Comité.</w:t>
      </w:r>
    </w:p>
    <w:p w14:paraId="296D5A55" w14:textId="0E1A461A" w:rsidR="005566FF" w:rsidRPr="00F946F3" w:rsidRDefault="005566FF" w:rsidP="005566FF">
      <w:pPr>
        <w:pStyle w:val="COMPara"/>
        <w:ind w:left="567" w:hanging="567"/>
        <w:jc w:val="both"/>
      </w:pPr>
      <w:r w:rsidRPr="00F946F3">
        <w:t>La première partie du présent document (</w:t>
      </w:r>
      <w:r w:rsidRPr="00F946F3">
        <w:rPr>
          <w:b/>
        </w:rPr>
        <w:t>Section A</w:t>
      </w:r>
      <w:r w:rsidRPr="00F946F3">
        <w:t>) donne un aperçu des correspondances reçues et traitées entre le 1</w:t>
      </w:r>
      <w:r w:rsidR="00027606" w:rsidRPr="00F946F3">
        <w:t>er</w:t>
      </w:r>
      <w:r w:rsidRPr="00F946F3">
        <w:t xml:space="preserve"> janvier et le 10 novembre 2025 concernant des éléments déjà inscrits ainsi que des candidatures soumises en vue d’une éventuelle inscription sur les listes de la Convention. La deuxième partie du document (</w:t>
      </w:r>
      <w:r w:rsidRPr="00F946F3">
        <w:rPr>
          <w:b/>
        </w:rPr>
        <w:t>Section B</w:t>
      </w:r>
      <w:r w:rsidRPr="00F946F3">
        <w:t>) présente les demandes soumises par les États parties depuis la dix-neuvième session du Comité de modifi</w:t>
      </w:r>
      <w:r w:rsidR="00BB6EF5" w:rsidRPr="00F946F3">
        <w:t>er le</w:t>
      </w:r>
      <w:r w:rsidRPr="00F946F3">
        <w:t xml:space="preserve"> nom d’un élément inscrit.</w:t>
      </w:r>
    </w:p>
    <w:p w14:paraId="79A43FA3" w14:textId="3F870E0F" w:rsidR="003E69D9" w:rsidRPr="00F946F3" w:rsidRDefault="003E69D9" w:rsidP="007225D7">
      <w:pPr>
        <w:pStyle w:val="COMPara"/>
        <w:numPr>
          <w:ilvl w:val="0"/>
          <w:numId w:val="22"/>
        </w:numPr>
        <w:spacing w:before="240"/>
        <w:ind w:left="567" w:hanging="567"/>
        <w:jc w:val="both"/>
        <w:rPr>
          <w:b/>
          <w:bCs/>
        </w:rPr>
      </w:pPr>
      <w:r w:rsidRPr="00F946F3">
        <w:rPr>
          <w:b/>
        </w:rPr>
        <w:t>Traitement des correspondances concernant les éléments inscrits et les candidatures en cours</w:t>
      </w:r>
    </w:p>
    <w:p w14:paraId="13717067" w14:textId="7A0B205B" w:rsidR="003978DC" w:rsidRPr="00F946F3" w:rsidRDefault="003978DC" w:rsidP="007225D7">
      <w:pPr>
        <w:pStyle w:val="COMPara"/>
        <w:ind w:left="567" w:hanging="567"/>
        <w:jc w:val="both"/>
      </w:pPr>
      <w:r w:rsidRPr="00F946F3">
        <w:t>Au cours de la période considérée, six cas</w:t>
      </w:r>
      <w:r w:rsidRPr="00F946F3">
        <w:rPr>
          <w:b/>
        </w:rPr>
        <w:t xml:space="preserve"> </w:t>
      </w:r>
      <w:r w:rsidRPr="00F946F3">
        <w:t xml:space="preserve">concernant des éléments inscrits et </w:t>
      </w:r>
      <w:r w:rsidR="00BB6EF5" w:rsidRPr="00F946F3">
        <w:t xml:space="preserve">trois </w:t>
      </w:r>
      <w:r w:rsidRPr="00F946F3">
        <w:t>cas concernant une candidature en cours ont fait l’objet d’une correspondance.</w:t>
      </w:r>
    </w:p>
    <w:p w14:paraId="6D883FEF" w14:textId="41596D3E" w:rsidR="005566FF" w:rsidRPr="00F946F3" w:rsidRDefault="005566FF" w:rsidP="007225D7">
      <w:pPr>
        <w:pStyle w:val="COMPara"/>
        <w:numPr>
          <w:ilvl w:val="0"/>
          <w:numId w:val="0"/>
        </w:numPr>
        <w:ind w:firstLine="567"/>
        <w:rPr>
          <w:u w:val="single"/>
        </w:rPr>
      </w:pPr>
      <w:r w:rsidRPr="00F946F3">
        <w:rPr>
          <w:u w:val="single"/>
        </w:rPr>
        <w:t xml:space="preserve">Cas des éléments inscrits </w:t>
      </w:r>
    </w:p>
    <w:p w14:paraId="5FA2B7DB" w14:textId="01D0C70E" w:rsidR="0057439C" w:rsidRPr="00F946F3" w:rsidRDefault="005566FF" w:rsidP="003F6DD9">
      <w:pPr>
        <w:pStyle w:val="COMPara"/>
        <w:ind w:left="567" w:hanging="567"/>
        <w:jc w:val="both"/>
      </w:pPr>
      <w:r w:rsidRPr="00F946F3">
        <w:t xml:space="preserve">Ces communications ont été traitées sur la base des « Orientations concernant le traitement de la correspondance du public ou d’autres parties concernées au sujet des candidatures », adoptées par la septième session du Comité en 2012 (Décision </w:t>
      </w:r>
      <w:hyperlink r:id="rId10" w:history="1">
        <w:r w:rsidRPr="00F946F3">
          <w:rPr>
            <w:rStyle w:val="Hyperlink"/>
          </w:rPr>
          <w:t>7.COM 15</w:t>
        </w:r>
      </w:hyperlink>
      <w:r w:rsidRPr="00F946F3">
        <w:t xml:space="preserve">). En termes de répartition régionale, les éléments concernés proviennent du groupe électoral III (deux cas), du groupe électoral IV (un cas), du groupe électoral V(a) (un cas) et du groupe électoral V(b) (deux cas). </w:t>
      </w:r>
    </w:p>
    <w:tbl>
      <w:tblPr>
        <w:tblStyle w:val="TableGrid"/>
        <w:tblpPr w:leftFromText="142" w:rightFromText="142" w:vertAnchor="text" w:horzAnchor="margin" w:tblpXSpec="right" w:tblpY="1"/>
        <w:tblW w:w="9072"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4A0" w:firstRow="1" w:lastRow="0" w:firstColumn="1" w:lastColumn="0" w:noHBand="0" w:noVBand="1"/>
      </w:tblPr>
      <w:tblGrid>
        <w:gridCol w:w="1814"/>
        <w:gridCol w:w="1583"/>
        <w:gridCol w:w="1701"/>
        <w:gridCol w:w="2127"/>
        <w:gridCol w:w="1847"/>
      </w:tblGrid>
      <w:tr w:rsidR="00257821" w:rsidRPr="00F946F3" w14:paraId="7B0D6D8A" w14:textId="77777777" w:rsidTr="007225D7">
        <w:tc>
          <w:tcPr>
            <w:tcW w:w="1814" w:type="dxa"/>
            <w:tcBorders>
              <w:top w:val="single" w:sz="4" w:space="0" w:color="auto"/>
              <w:bottom w:val="single" w:sz="4" w:space="0" w:color="auto"/>
            </w:tcBorders>
            <w:shd w:val="clear" w:color="auto" w:fill="D9D9D9" w:themeFill="background1" w:themeFillShade="D9"/>
            <w:vAlign w:val="center"/>
          </w:tcPr>
          <w:p w14:paraId="10FCFF1A" w14:textId="1BC4D4B5" w:rsidR="00257821" w:rsidRPr="00F946F3" w:rsidRDefault="00257821" w:rsidP="00257821">
            <w:pPr>
              <w:pStyle w:val="COMPara"/>
              <w:numPr>
                <w:ilvl w:val="0"/>
                <w:numId w:val="0"/>
              </w:numPr>
              <w:spacing w:before="120"/>
              <w:jc w:val="center"/>
              <w:rPr>
                <w:b/>
                <w:bCs/>
                <w:sz w:val="20"/>
                <w:szCs w:val="20"/>
              </w:rPr>
            </w:pPr>
            <w:bookmarkStart w:id="0" w:name="_Hlk212332382"/>
            <w:r w:rsidRPr="00F946F3">
              <w:rPr>
                <w:b/>
                <w:sz w:val="20"/>
              </w:rPr>
              <w:t xml:space="preserve">Élément </w:t>
            </w:r>
            <w:r w:rsidR="00BB6EF5" w:rsidRPr="00F946F3">
              <w:rPr>
                <w:b/>
                <w:sz w:val="20"/>
              </w:rPr>
              <w:br/>
            </w:r>
            <w:r w:rsidRPr="00F946F3">
              <w:rPr>
                <w:b/>
                <w:sz w:val="20"/>
              </w:rPr>
              <w:t>(Liste, année d'inscription)</w:t>
            </w:r>
          </w:p>
        </w:tc>
        <w:tc>
          <w:tcPr>
            <w:tcW w:w="1583" w:type="dxa"/>
            <w:tcBorders>
              <w:top w:val="single" w:sz="4" w:space="0" w:color="auto"/>
              <w:bottom w:val="single" w:sz="4" w:space="0" w:color="auto"/>
            </w:tcBorders>
            <w:shd w:val="clear" w:color="auto" w:fill="D9D9D9" w:themeFill="background1" w:themeFillShade="D9"/>
            <w:vAlign w:val="center"/>
          </w:tcPr>
          <w:p w14:paraId="54D3430A" w14:textId="77777777" w:rsidR="00257821" w:rsidRPr="00F946F3" w:rsidRDefault="00257821" w:rsidP="00257821">
            <w:pPr>
              <w:pStyle w:val="COMPara"/>
              <w:numPr>
                <w:ilvl w:val="0"/>
                <w:numId w:val="0"/>
              </w:numPr>
              <w:spacing w:before="120"/>
              <w:jc w:val="center"/>
              <w:rPr>
                <w:b/>
                <w:bCs/>
                <w:sz w:val="20"/>
                <w:szCs w:val="20"/>
              </w:rPr>
            </w:pPr>
            <w:r w:rsidRPr="00F946F3">
              <w:rPr>
                <w:b/>
                <w:sz w:val="20"/>
              </w:rPr>
              <w:t>État(s) partie(s)</w:t>
            </w:r>
          </w:p>
        </w:tc>
        <w:tc>
          <w:tcPr>
            <w:tcW w:w="1701" w:type="dxa"/>
            <w:tcBorders>
              <w:top w:val="single" w:sz="4" w:space="0" w:color="auto"/>
              <w:bottom w:val="single" w:sz="4" w:space="0" w:color="auto"/>
            </w:tcBorders>
            <w:shd w:val="clear" w:color="auto" w:fill="D9D9D9" w:themeFill="background1" w:themeFillShade="D9"/>
            <w:vAlign w:val="center"/>
          </w:tcPr>
          <w:p w14:paraId="47BFB21F" w14:textId="77777777" w:rsidR="00257821" w:rsidRPr="00F946F3" w:rsidRDefault="00257821" w:rsidP="00257821">
            <w:pPr>
              <w:pStyle w:val="COMPara"/>
              <w:numPr>
                <w:ilvl w:val="0"/>
                <w:numId w:val="0"/>
              </w:numPr>
              <w:spacing w:before="120"/>
              <w:jc w:val="center"/>
              <w:rPr>
                <w:b/>
                <w:bCs/>
                <w:sz w:val="20"/>
                <w:szCs w:val="20"/>
              </w:rPr>
            </w:pPr>
            <w:r w:rsidRPr="00F946F3">
              <w:rPr>
                <w:b/>
                <w:sz w:val="20"/>
              </w:rPr>
              <w:t>Nature des questions</w:t>
            </w:r>
          </w:p>
        </w:tc>
        <w:tc>
          <w:tcPr>
            <w:tcW w:w="2127" w:type="dxa"/>
            <w:tcBorders>
              <w:top w:val="single" w:sz="4" w:space="0" w:color="auto"/>
              <w:bottom w:val="single" w:sz="4" w:space="0" w:color="auto"/>
            </w:tcBorders>
            <w:shd w:val="clear" w:color="auto" w:fill="D9D9D9" w:themeFill="background1" w:themeFillShade="D9"/>
            <w:vAlign w:val="center"/>
          </w:tcPr>
          <w:p w14:paraId="202120C9" w14:textId="77777777" w:rsidR="00257821" w:rsidRPr="00F946F3" w:rsidRDefault="00257821" w:rsidP="00257821">
            <w:pPr>
              <w:pStyle w:val="COMPara"/>
              <w:numPr>
                <w:ilvl w:val="0"/>
                <w:numId w:val="0"/>
              </w:numPr>
              <w:spacing w:before="120"/>
              <w:jc w:val="center"/>
              <w:rPr>
                <w:b/>
                <w:bCs/>
                <w:sz w:val="20"/>
                <w:szCs w:val="20"/>
              </w:rPr>
            </w:pPr>
            <w:r w:rsidRPr="00F946F3">
              <w:rPr>
                <w:b/>
                <w:sz w:val="20"/>
              </w:rPr>
              <w:t>Correspondance initiale et parties prenantes</w:t>
            </w:r>
          </w:p>
        </w:tc>
        <w:tc>
          <w:tcPr>
            <w:tcW w:w="1847" w:type="dxa"/>
            <w:tcBorders>
              <w:top w:val="single" w:sz="4" w:space="0" w:color="auto"/>
              <w:bottom w:val="single" w:sz="4" w:space="0" w:color="auto"/>
            </w:tcBorders>
            <w:shd w:val="clear" w:color="auto" w:fill="D9D9D9" w:themeFill="background1" w:themeFillShade="D9"/>
            <w:vAlign w:val="center"/>
          </w:tcPr>
          <w:p w14:paraId="31F38A79" w14:textId="77777777" w:rsidR="00257821" w:rsidRPr="00F946F3" w:rsidRDefault="00257821" w:rsidP="00257821">
            <w:pPr>
              <w:pStyle w:val="COMPara"/>
              <w:numPr>
                <w:ilvl w:val="0"/>
                <w:numId w:val="0"/>
              </w:numPr>
              <w:spacing w:before="120"/>
              <w:jc w:val="center"/>
              <w:rPr>
                <w:b/>
                <w:bCs/>
                <w:sz w:val="20"/>
                <w:szCs w:val="20"/>
              </w:rPr>
            </w:pPr>
            <w:r w:rsidRPr="00F946F3">
              <w:rPr>
                <w:b/>
                <w:sz w:val="20"/>
              </w:rPr>
              <w:t>Action</w:t>
            </w:r>
          </w:p>
        </w:tc>
      </w:tr>
      <w:tr w:rsidR="00257821" w:rsidRPr="00F946F3" w14:paraId="3D5EFF39" w14:textId="77777777" w:rsidTr="007225D7">
        <w:tc>
          <w:tcPr>
            <w:tcW w:w="1814" w:type="dxa"/>
            <w:tcBorders>
              <w:top w:val="single" w:sz="4" w:space="0" w:color="auto"/>
              <w:bottom w:val="single" w:sz="4" w:space="0" w:color="auto"/>
            </w:tcBorders>
          </w:tcPr>
          <w:p w14:paraId="0946929B" w14:textId="19A3AB8C" w:rsidR="00257821" w:rsidRPr="00F946F3" w:rsidRDefault="00257821" w:rsidP="00257821">
            <w:pPr>
              <w:pStyle w:val="COMPara"/>
              <w:numPr>
                <w:ilvl w:val="0"/>
                <w:numId w:val="0"/>
              </w:numPr>
              <w:spacing w:before="120"/>
              <w:rPr>
                <w:sz w:val="20"/>
                <w:szCs w:val="20"/>
              </w:rPr>
            </w:pPr>
            <w:r w:rsidRPr="00F946F3">
              <w:rPr>
                <w:b/>
                <w:sz w:val="20"/>
              </w:rPr>
              <w:t xml:space="preserve">Le costume féminin de cérémonie dans le Grand Est de l'Algérie : savoir-faire associés à la confection et à la parure de la </w:t>
            </w:r>
            <w:r w:rsidR="00A323CD" w:rsidRPr="00F946F3">
              <w:rPr>
                <w:b/>
                <w:sz w:val="20"/>
              </w:rPr>
              <w:t>"</w:t>
            </w:r>
            <w:r w:rsidRPr="00F946F3">
              <w:rPr>
                <w:b/>
                <w:sz w:val="20"/>
              </w:rPr>
              <w:t>Gandoura</w:t>
            </w:r>
            <w:r w:rsidR="00A323CD" w:rsidRPr="00F946F3">
              <w:rPr>
                <w:b/>
                <w:sz w:val="20"/>
              </w:rPr>
              <w:t>"</w:t>
            </w:r>
            <w:r w:rsidRPr="00F946F3">
              <w:rPr>
                <w:b/>
                <w:sz w:val="20"/>
              </w:rPr>
              <w:t xml:space="preserve"> et de la </w:t>
            </w:r>
            <w:r w:rsidR="00A323CD" w:rsidRPr="00F946F3">
              <w:rPr>
                <w:b/>
                <w:sz w:val="20"/>
              </w:rPr>
              <w:t>"</w:t>
            </w:r>
            <w:r w:rsidRPr="00F946F3">
              <w:rPr>
                <w:b/>
                <w:sz w:val="20"/>
              </w:rPr>
              <w:t>Melehfa</w:t>
            </w:r>
            <w:r w:rsidR="00A323CD" w:rsidRPr="00F946F3">
              <w:rPr>
                <w:b/>
                <w:sz w:val="20"/>
              </w:rPr>
              <w:t>"</w:t>
            </w:r>
            <w:r w:rsidRPr="00F946F3">
              <w:rPr>
                <w:sz w:val="20"/>
              </w:rPr>
              <w:t xml:space="preserve"> (Liste représentative, 2024)</w:t>
            </w:r>
          </w:p>
        </w:tc>
        <w:tc>
          <w:tcPr>
            <w:tcW w:w="1583" w:type="dxa"/>
            <w:tcBorders>
              <w:top w:val="single" w:sz="4" w:space="0" w:color="auto"/>
              <w:bottom w:val="single" w:sz="4" w:space="0" w:color="auto"/>
            </w:tcBorders>
          </w:tcPr>
          <w:p w14:paraId="7372F0F7" w14:textId="77777777" w:rsidR="00257821" w:rsidRPr="00F946F3" w:rsidRDefault="00257821" w:rsidP="00257821">
            <w:pPr>
              <w:pStyle w:val="COMPara"/>
              <w:numPr>
                <w:ilvl w:val="0"/>
                <w:numId w:val="0"/>
              </w:numPr>
              <w:spacing w:before="120"/>
              <w:rPr>
                <w:sz w:val="20"/>
                <w:szCs w:val="20"/>
              </w:rPr>
            </w:pPr>
            <w:r w:rsidRPr="00F946F3">
              <w:rPr>
                <w:sz w:val="20"/>
              </w:rPr>
              <w:t>Algérie</w:t>
            </w:r>
          </w:p>
        </w:tc>
        <w:tc>
          <w:tcPr>
            <w:tcW w:w="1701" w:type="dxa"/>
            <w:tcBorders>
              <w:top w:val="single" w:sz="4" w:space="0" w:color="auto"/>
              <w:bottom w:val="single" w:sz="4" w:space="0" w:color="auto"/>
            </w:tcBorders>
          </w:tcPr>
          <w:p w14:paraId="1B931776" w14:textId="77777777" w:rsidR="00257821" w:rsidRPr="00F946F3" w:rsidRDefault="00257821" w:rsidP="00257821">
            <w:pPr>
              <w:pStyle w:val="COMPara"/>
              <w:numPr>
                <w:ilvl w:val="0"/>
                <w:numId w:val="0"/>
              </w:numPr>
              <w:spacing w:before="120"/>
              <w:rPr>
                <w:sz w:val="20"/>
                <w:szCs w:val="20"/>
              </w:rPr>
            </w:pPr>
            <w:r w:rsidRPr="00F946F3">
              <w:rPr>
                <w:sz w:val="20"/>
              </w:rPr>
              <w:t>Allégations d’appropriation erronée</w:t>
            </w:r>
          </w:p>
        </w:tc>
        <w:tc>
          <w:tcPr>
            <w:tcW w:w="2127" w:type="dxa"/>
            <w:tcBorders>
              <w:top w:val="single" w:sz="4" w:space="0" w:color="auto"/>
              <w:bottom w:val="single" w:sz="4" w:space="0" w:color="auto"/>
            </w:tcBorders>
          </w:tcPr>
          <w:p w14:paraId="74F7DAB6" w14:textId="5102D289" w:rsidR="00257821" w:rsidRPr="00F946F3" w:rsidRDefault="00257821" w:rsidP="00257821">
            <w:pPr>
              <w:pStyle w:val="COMPara"/>
              <w:numPr>
                <w:ilvl w:val="0"/>
                <w:numId w:val="0"/>
              </w:numPr>
              <w:spacing w:before="120"/>
              <w:rPr>
                <w:sz w:val="20"/>
                <w:szCs w:val="20"/>
              </w:rPr>
            </w:pPr>
            <w:r w:rsidRPr="00F946F3">
              <w:rPr>
                <w:sz w:val="20"/>
              </w:rPr>
              <w:t>Courriels de particuliers et d’organisations d’un autre État (</w:t>
            </w:r>
            <w:r w:rsidR="00B313A0" w:rsidRPr="00F946F3">
              <w:rPr>
                <w:sz w:val="20"/>
              </w:rPr>
              <w:t>janvier</w:t>
            </w:r>
            <w:r w:rsidRPr="00F946F3">
              <w:rPr>
                <w:sz w:val="20"/>
              </w:rPr>
              <w:t xml:space="preserve"> à </w:t>
            </w:r>
            <w:r w:rsidR="00B313A0" w:rsidRPr="00F946F3">
              <w:rPr>
                <w:sz w:val="20"/>
              </w:rPr>
              <w:t>avril</w:t>
            </w:r>
            <w:r w:rsidRPr="00F946F3">
              <w:rPr>
                <w:sz w:val="20"/>
              </w:rPr>
              <w:t> 2025)</w:t>
            </w:r>
          </w:p>
        </w:tc>
        <w:tc>
          <w:tcPr>
            <w:tcW w:w="1847" w:type="dxa"/>
            <w:tcBorders>
              <w:top w:val="single" w:sz="4" w:space="0" w:color="auto"/>
              <w:bottom w:val="single" w:sz="4" w:space="0" w:color="auto"/>
            </w:tcBorders>
          </w:tcPr>
          <w:p w14:paraId="638E77F1" w14:textId="7453B4C0" w:rsidR="00257821" w:rsidRPr="00F946F3" w:rsidRDefault="00257821" w:rsidP="00257821">
            <w:pPr>
              <w:pStyle w:val="COMPara"/>
              <w:numPr>
                <w:ilvl w:val="0"/>
                <w:numId w:val="0"/>
              </w:numPr>
              <w:spacing w:before="120"/>
              <w:rPr>
                <w:sz w:val="20"/>
                <w:szCs w:val="20"/>
              </w:rPr>
            </w:pPr>
            <w:r w:rsidRPr="00F946F3">
              <w:rPr>
                <w:sz w:val="20"/>
              </w:rPr>
              <w:t>Correspondance transmise à la Délégation Permanente de la République Algérienne Démocratique et Populaire (juin 2025)</w:t>
            </w:r>
          </w:p>
        </w:tc>
      </w:tr>
      <w:tr w:rsidR="00257821" w:rsidRPr="00F946F3" w14:paraId="38BDDB0E" w14:textId="77777777" w:rsidTr="007225D7">
        <w:tc>
          <w:tcPr>
            <w:tcW w:w="1814" w:type="dxa"/>
            <w:tcBorders>
              <w:top w:val="single" w:sz="4" w:space="0" w:color="auto"/>
              <w:bottom w:val="single" w:sz="4" w:space="0" w:color="auto"/>
            </w:tcBorders>
          </w:tcPr>
          <w:p w14:paraId="67593D8B" w14:textId="77777777" w:rsidR="00257821" w:rsidRPr="00F946F3" w:rsidRDefault="00257821" w:rsidP="00257821">
            <w:pPr>
              <w:pStyle w:val="COMPara"/>
              <w:numPr>
                <w:ilvl w:val="0"/>
                <w:numId w:val="0"/>
              </w:numPr>
              <w:spacing w:before="120"/>
              <w:rPr>
                <w:sz w:val="20"/>
                <w:szCs w:val="20"/>
              </w:rPr>
            </w:pPr>
            <w:r w:rsidRPr="00F946F3">
              <w:rPr>
                <w:b/>
                <w:sz w:val="20"/>
              </w:rPr>
              <w:t>La festivité de la Santísima Trinidad del Señor Jesús del Gran Poder de la ville de La Paz</w:t>
            </w:r>
            <w:r w:rsidRPr="00F946F3">
              <w:rPr>
                <w:sz w:val="20"/>
              </w:rPr>
              <w:t xml:space="preserve"> </w:t>
            </w:r>
            <w:r w:rsidRPr="00F946F3">
              <w:rPr>
                <w:sz w:val="20"/>
              </w:rPr>
              <w:lastRenderedPageBreak/>
              <w:t>(Liste représentative, 2019)</w:t>
            </w:r>
          </w:p>
        </w:tc>
        <w:tc>
          <w:tcPr>
            <w:tcW w:w="1583" w:type="dxa"/>
            <w:tcBorders>
              <w:top w:val="single" w:sz="4" w:space="0" w:color="auto"/>
              <w:bottom w:val="single" w:sz="4" w:space="0" w:color="auto"/>
            </w:tcBorders>
          </w:tcPr>
          <w:p w14:paraId="659AE81E" w14:textId="187164BC" w:rsidR="00257821" w:rsidRPr="00F946F3" w:rsidRDefault="00257821" w:rsidP="00257821">
            <w:pPr>
              <w:pStyle w:val="COMPara"/>
              <w:numPr>
                <w:ilvl w:val="0"/>
                <w:numId w:val="0"/>
              </w:numPr>
              <w:spacing w:before="120"/>
              <w:rPr>
                <w:sz w:val="20"/>
                <w:szCs w:val="20"/>
              </w:rPr>
            </w:pPr>
            <w:r w:rsidRPr="00F946F3">
              <w:rPr>
                <w:sz w:val="20"/>
              </w:rPr>
              <w:lastRenderedPageBreak/>
              <w:t xml:space="preserve">Bolivie (État plurinational de) </w:t>
            </w:r>
          </w:p>
        </w:tc>
        <w:tc>
          <w:tcPr>
            <w:tcW w:w="1701" w:type="dxa"/>
            <w:tcBorders>
              <w:top w:val="single" w:sz="4" w:space="0" w:color="auto"/>
              <w:bottom w:val="single" w:sz="4" w:space="0" w:color="auto"/>
            </w:tcBorders>
          </w:tcPr>
          <w:p w14:paraId="02C7B2F3" w14:textId="77777777" w:rsidR="00257821" w:rsidRPr="00F946F3" w:rsidRDefault="00257821" w:rsidP="00257821">
            <w:pPr>
              <w:pStyle w:val="COMPara"/>
              <w:numPr>
                <w:ilvl w:val="0"/>
                <w:numId w:val="0"/>
              </w:numPr>
              <w:spacing w:before="120"/>
              <w:rPr>
                <w:sz w:val="20"/>
                <w:szCs w:val="20"/>
              </w:rPr>
            </w:pPr>
            <w:r w:rsidRPr="00F946F3">
              <w:rPr>
                <w:sz w:val="20"/>
              </w:rPr>
              <w:t xml:space="preserve">Préoccupations en matière de santé et d’environnement associés au bruit et à la </w:t>
            </w:r>
            <w:r w:rsidRPr="00F946F3">
              <w:rPr>
                <w:sz w:val="20"/>
              </w:rPr>
              <w:lastRenderedPageBreak/>
              <w:t>consommation d’alcool pendant le festival</w:t>
            </w:r>
          </w:p>
        </w:tc>
        <w:tc>
          <w:tcPr>
            <w:tcW w:w="2127" w:type="dxa"/>
            <w:tcBorders>
              <w:top w:val="single" w:sz="4" w:space="0" w:color="auto"/>
              <w:bottom w:val="single" w:sz="4" w:space="0" w:color="auto"/>
            </w:tcBorders>
          </w:tcPr>
          <w:p w14:paraId="4228C4E8" w14:textId="77777777" w:rsidR="00257821" w:rsidRPr="00F946F3" w:rsidRDefault="00257821" w:rsidP="00257821">
            <w:pPr>
              <w:pStyle w:val="COMPara"/>
              <w:numPr>
                <w:ilvl w:val="0"/>
                <w:numId w:val="0"/>
              </w:numPr>
              <w:spacing w:before="120"/>
              <w:rPr>
                <w:sz w:val="20"/>
                <w:szCs w:val="20"/>
              </w:rPr>
            </w:pPr>
            <w:r w:rsidRPr="00F946F3">
              <w:rPr>
                <w:sz w:val="20"/>
              </w:rPr>
              <w:lastRenderedPageBreak/>
              <w:t>Deux courriels d’une organisation locale (janvier et juin 2025)</w:t>
            </w:r>
          </w:p>
        </w:tc>
        <w:tc>
          <w:tcPr>
            <w:tcW w:w="1847" w:type="dxa"/>
            <w:tcBorders>
              <w:top w:val="single" w:sz="4" w:space="0" w:color="auto"/>
              <w:bottom w:val="single" w:sz="4" w:space="0" w:color="auto"/>
            </w:tcBorders>
          </w:tcPr>
          <w:p w14:paraId="3116CDB4" w14:textId="77777777" w:rsidR="00257821" w:rsidRPr="00F946F3" w:rsidRDefault="00257821" w:rsidP="00257821">
            <w:pPr>
              <w:pStyle w:val="COMPara"/>
              <w:numPr>
                <w:ilvl w:val="0"/>
                <w:numId w:val="0"/>
              </w:numPr>
              <w:spacing w:before="120"/>
              <w:rPr>
                <w:sz w:val="20"/>
                <w:szCs w:val="20"/>
              </w:rPr>
            </w:pPr>
            <w:r w:rsidRPr="00F946F3">
              <w:rPr>
                <w:sz w:val="20"/>
              </w:rPr>
              <w:t xml:space="preserve">Correspondance transmise à la Délégation Permanente de l’État plurinational </w:t>
            </w:r>
            <w:r w:rsidRPr="00F946F3">
              <w:rPr>
                <w:sz w:val="20"/>
              </w:rPr>
              <w:lastRenderedPageBreak/>
              <w:t>de Bolivie (janvier et octobre 2025)</w:t>
            </w:r>
          </w:p>
        </w:tc>
      </w:tr>
      <w:tr w:rsidR="00257821" w:rsidRPr="00F946F3" w14:paraId="05000A7A" w14:textId="77777777" w:rsidTr="007225D7">
        <w:tc>
          <w:tcPr>
            <w:tcW w:w="1814" w:type="dxa"/>
            <w:vMerge w:val="restart"/>
            <w:tcBorders>
              <w:top w:val="single" w:sz="4" w:space="0" w:color="auto"/>
            </w:tcBorders>
          </w:tcPr>
          <w:p w14:paraId="1F4559E1" w14:textId="77777777" w:rsidR="003754A3" w:rsidRPr="00F946F3" w:rsidRDefault="00257821" w:rsidP="00257821">
            <w:pPr>
              <w:pStyle w:val="COMPara"/>
              <w:numPr>
                <w:ilvl w:val="0"/>
                <w:numId w:val="0"/>
              </w:numPr>
              <w:spacing w:before="120"/>
              <w:rPr>
                <w:sz w:val="20"/>
              </w:rPr>
            </w:pPr>
            <w:r w:rsidRPr="00F946F3">
              <w:rPr>
                <w:b/>
                <w:sz w:val="20"/>
              </w:rPr>
              <w:lastRenderedPageBreak/>
              <w:t>Le carnaval de Negros y Blancos</w:t>
            </w:r>
            <w:r w:rsidRPr="00F946F3">
              <w:rPr>
                <w:sz w:val="20"/>
              </w:rPr>
              <w:t xml:space="preserve"> </w:t>
            </w:r>
          </w:p>
          <w:p w14:paraId="33397AF6" w14:textId="14DDE275" w:rsidR="00257821" w:rsidRPr="00F946F3" w:rsidRDefault="00257821" w:rsidP="00257821">
            <w:pPr>
              <w:pStyle w:val="COMPara"/>
              <w:numPr>
                <w:ilvl w:val="0"/>
                <w:numId w:val="0"/>
              </w:numPr>
              <w:spacing w:before="120"/>
              <w:rPr>
                <w:b/>
                <w:bCs/>
                <w:sz w:val="20"/>
                <w:szCs w:val="20"/>
              </w:rPr>
            </w:pPr>
            <w:r w:rsidRPr="00F946F3">
              <w:rPr>
                <w:sz w:val="20"/>
              </w:rPr>
              <w:t>(Liste représentative, 2009)</w:t>
            </w:r>
          </w:p>
        </w:tc>
        <w:tc>
          <w:tcPr>
            <w:tcW w:w="1583" w:type="dxa"/>
            <w:vMerge w:val="restart"/>
            <w:tcBorders>
              <w:top w:val="single" w:sz="4" w:space="0" w:color="auto"/>
            </w:tcBorders>
          </w:tcPr>
          <w:p w14:paraId="3F2F0EAD" w14:textId="77777777" w:rsidR="00257821" w:rsidRPr="00F946F3" w:rsidRDefault="00257821" w:rsidP="00257821">
            <w:pPr>
              <w:pStyle w:val="COMPara"/>
              <w:numPr>
                <w:ilvl w:val="0"/>
                <w:numId w:val="0"/>
              </w:numPr>
              <w:spacing w:before="120"/>
              <w:rPr>
                <w:sz w:val="20"/>
                <w:szCs w:val="20"/>
              </w:rPr>
            </w:pPr>
            <w:r w:rsidRPr="00F946F3">
              <w:rPr>
                <w:sz w:val="20"/>
              </w:rPr>
              <w:t>Colombie</w:t>
            </w:r>
          </w:p>
        </w:tc>
        <w:tc>
          <w:tcPr>
            <w:tcW w:w="1701" w:type="dxa"/>
            <w:tcBorders>
              <w:top w:val="single" w:sz="4" w:space="0" w:color="auto"/>
              <w:bottom w:val="single" w:sz="4" w:space="0" w:color="auto"/>
            </w:tcBorders>
          </w:tcPr>
          <w:p w14:paraId="0B52DE7D" w14:textId="4A4A0D08" w:rsidR="00257821" w:rsidRPr="00F946F3" w:rsidRDefault="00257821" w:rsidP="00257821">
            <w:pPr>
              <w:pStyle w:val="COMPara"/>
              <w:numPr>
                <w:ilvl w:val="0"/>
                <w:numId w:val="0"/>
              </w:numPr>
              <w:spacing w:before="120"/>
              <w:rPr>
                <w:sz w:val="20"/>
                <w:szCs w:val="20"/>
              </w:rPr>
            </w:pPr>
            <w:r w:rsidRPr="00F946F3">
              <w:rPr>
                <w:sz w:val="20"/>
              </w:rPr>
              <w:t xml:space="preserve">Préoccupations en matière de sécurité et d’environnement suite à la modification de l’itinéraire emprunté par le </w:t>
            </w:r>
            <w:r w:rsidR="00027606" w:rsidRPr="00F946F3">
              <w:rPr>
                <w:sz w:val="20"/>
              </w:rPr>
              <w:t>c</w:t>
            </w:r>
            <w:r w:rsidRPr="00F946F3">
              <w:rPr>
                <w:sz w:val="20"/>
              </w:rPr>
              <w:t>arnaval</w:t>
            </w:r>
          </w:p>
        </w:tc>
        <w:tc>
          <w:tcPr>
            <w:tcW w:w="2127" w:type="dxa"/>
            <w:tcBorders>
              <w:top w:val="single" w:sz="4" w:space="0" w:color="auto"/>
              <w:bottom w:val="single" w:sz="4" w:space="0" w:color="auto"/>
            </w:tcBorders>
          </w:tcPr>
          <w:p w14:paraId="052E1A82" w14:textId="15E2B94F" w:rsidR="00257821" w:rsidRPr="00F946F3" w:rsidRDefault="00257821" w:rsidP="00257821">
            <w:pPr>
              <w:pStyle w:val="COMPara"/>
              <w:numPr>
                <w:ilvl w:val="0"/>
                <w:numId w:val="0"/>
              </w:numPr>
              <w:spacing w:before="120"/>
              <w:rPr>
                <w:sz w:val="20"/>
                <w:szCs w:val="20"/>
              </w:rPr>
            </w:pPr>
            <w:r w:rsidRPr="00F946F3">
              <w:rPr>
                <w:sz w:val="20"/>
              </w:rPr>
              <w:t xml:space="preserve">Deux lettres et un courriel d’une organisation </w:t>
            </w:r>
            <w:r w:rsidR="00B313A0" w:rsidRPr="00F946F3">
              <w:rPr>
                <w:sz w:val="20"/>
              </w:rPr>
              <w:t xml:space="preserve">représentant la communauté </w:t>
            </w:r>
            <w:r w:rsidRPr="00F946F3">
              <w:rPr>
                <w:sz w:val="20"/>
              </w:rPr>
              <w:t>(septembre et octobre 2024)</w:t>
            </w:r>
          </w:p>
        </w:tc>
        <w:tc>
          <w:tcPr>
            <w:tcW w:w="1847" w:type="dxa"/>
            <w:tcBorders>
              <w:top w:val="single" w:sz="4" w:space="0" w:color="auto"/>
              <w:bottom w:val="single" w:sz="4" w:space="0" w:color="auto"/>
            </w:tcBorders>
          </w:tcPr>
          <w:p w14:paraId="54BBB070" w14:textId="729FDEFC" w:rsidR="00257821" w:rsidRPr="00F946F3" w:rsidRDefault="00257821" w:rsidP="00257821">
            <w:pPr>
              <w:pStyle w:val="COMPara"/>
              <w:numPr>
                <w:ilvl w:val="0"/>
                <w:numId w:val="0"/>
              </w:numPr>
              <w:spacing w:before="120"/>
              <w:rPr>
                <w:bCs/>
                <w:sz w:val="20"/>
                <w:szCs w:val="20"/>
              </w:rPr>
            </w:pPr>
            <w:r w:rsidRPr="00F946F3">
              <w:rPr>
                <w:sz w:val="20"/>
              </w:rPr>
              <w:t>Correspondance transmise à la Délégation Permanente de la</w:t>
            </w:r>
            <w:r w:rsidR="00D54DD4" w:rsidRPr="00F946F3">
              <w:rPr>
                <w:sz w:val="20"/>
              </w:rPr>
              <w:t xml:space="preserve"> République de</w:t>
            </w:r>
            <w:r w:rsidRPr="00F946F3">
              <w:rPr>
                <w:sz w:val="20"/>
              </w:rPr>
              <w:t xml:space="preserve"> Colombie (octobre 2024)</w:t>
            </w:r>
          </w:p>
          <w:p w14:paraId="3F6C8FE8" w14:textId="33B828FD" w:rsidR="00257821" w:rsidRPr="00F946F3" w:rsidRDefault="00257821" w:rsidP="00257821">
            <w:pPr>
              <w:pStyle w:val="COMPara"/>
              <w:numPr>
                <w:ilvl w:val="0"/>
                <w:numId w:val="0"/>
              </w:numPr>
              <w:spacing w:before="120"/>
              <w:rPr>
                <w:sz w:val="20"/>
                <w:szCs w:val="20"/>
              </w:rPr>
            </w:pPr>
            <w:r w:rsidRPr="00F946F3">
              <w:rPr>
                <w:sz w:val="20"/>
              </w:rPr>
              <w:t>Lettre de réponse de la Délégation Permanente de la</w:t>
            </w:r>
            <w:r w:rsidR="00D54DD4" w:rsidRPr="00F946F3">
              <w:rPr>
                <w:sz w:val="20"/>
              </w:rPr>
              <w:t xml:space="preserve"> République de</w:t>
            </w:r>
            <w:r w:rsidRPr="00F946F3">
              <w:rPr>
                <w:sz w:val="20"/>
              </w:rPr>
              <w:t xml:space="preserve"> Colombie reçue en </w:t>
            </w:r>
            <w:r w:rsidR="00027606" w:rsidRPr="00F946F3">
              <w:rPr>
                <w:sz w:val="20"/>
              </w:rPr>
              <w:t>d</w:t>
            </w:r>
            <w:r w:rsidRPr="00F946F3">
              <w:rPr>
                <w:sz w:val="20"/>
              </w:rPr>
              <w:t>écembre</w:t>
            </w:r>
            <w:r w:rsidR="00027606" w:rsidRPr="00F946F3">
              <w:rPr>
                <w:sz w:val="20"/>
              </w:rPr>
              <w:t xml:space="preserve"> </w:t>
            </w:r>
            <w:r w:rsidRPr="00F946F3">
              <w:rPr>
                <w:sz w:val="20"/>
              </w:rPr>
              <w:t>2024 et transmise à l’expéditeur initial (octobre 2025)</w:t>
            </w:r>
          </w:p>
        </w:tc>
      </w:tr>
      <w:tr w:rsidR="00257821" w:rsidRPr="00F946F3" w14:paraId="269A394A" w14:textId="77777777" w:rsidTr="007225D7">
        <w:tc>
          <w:tcPr>
            <w:tcW w:w="1814" w:type="dxa"/>
            <w:vMerge/>
            <w:tcBorders>
              <w:bottom w:val="single" w:sz="4" w:space="0" w:color="auto"/>
            </w:tcBorders>
          </w:tcPr>
          <w:p w14:paraId="2C59C9B3" w14:textId="77777777" w:rsidR="00257821" w:rsidRPr="00F946F3" w:rsidRDefault="00257821" w:rsidP="00257821">
            <w:pPr>
              <w:pStyle w:val="COMPara"/>
              <w:numPr>
                <w:ilvl w:val="0"/>
                <w:numId w:val="0"/>
              </w:numPr>
              <w:spacing w:before="120"/>
              <w:rPr>
                <w:sz w:val="20"/>
                <w:szCs w:val="20"/>
              </w:rPr>
            </w:pPr>
          </w:p>
        </w:tc>
        <w:tc>
          <w:tcPr>
            <w:tcW w:w="1583" w:type="dxa"/>
            <w:vMerge/>
            <w:tcBorders>
              <w:bottom w:val="single" w:sz="4" w:space="0" w:color="auto"/>
            </w:tcBorders>
          </w:tcPr>
          <w:p w14:paraId="0B9B9925" w14:textId="77777777" w:rsidR="00257821" w:rsidRPr="00F946F3" w:rsidRDefault="00257821" w:rsidP="00257821">
            <w:pPr>
              <w:pStyle w:val="COMPara"/>
              <w:numPr>
                <w:ilvl w:val="0"/>
                <w:numId w:val="0"/>
              </w:numPr>
              <w:spacing w:before="120"/>
              <w:rPr>
                <w:sz w:val="20"/>
                <w:szCs w:val="20"/>
              </w:rPr>
            </w:pPr>
          </w:p>
        </w:tc>
        <w:tc>
          <w:tcPr>
            <w:tcW w:w="1701" w:type="dxa"/>
            <w:tcBorders>
              <w:top w:val="single" w:sz="4" w:space="0" w:color="auto"/>
              <w:bottom w:val="single" w:sz="4" w:space="0" w:color="auto"/>
            </w:tcBorders>
          </w:tcPr>
          <w:p w14:paraId="6B4ECDFF" w14:textId="77777777" w:rsidR="00257821" w:rsidRPr="00F946F3" w:rsidRDefault="00257821" w:rsidP="00257821">
            <w:pPr>
              <w:pStyle w:val="COMPara"/>
              <w:numPr>
                <w:ilvl w:val="0"/>
                <w:numId w:val="0"/>
              </w:numPr>
              <w:spacing w:before="120"/>
              <w:rPr>
                <w:sz w:val="20"/>
                <w:szCs w:val="20"/>
              </w:rPr>
            </w:pPr>
            <w:r w:rsidRPr="00F946F3">
              <w:rPr>
                <w:sz w:val="20"/>
              </w:rPr>
              <w:t>Impacts sur la santé et l’environnement résultant de l’utilisation du talc</w:t>
            </w:r>
          </w:p>
        </w:tc>
        <w:tc>
          <w:tcPr>
            <w:tcW w:w="2127" w:type="dxa"/>
            <w:tcBorders>
              <w:top w:val="single" w:sz="4" w:space="0" w:color="auto"/>
              <w:bottom w:val="single" w:sz="4" w:space="0" w:color="auto"/>
            </w:tcBorders>
          </w:tcPr>
          <w:p w14:paraId="74C7C218" w14:textId="3ECCC240" w:rsidR="00257821" w:rsidRPr="00F946F3" w:rsidRDefault="009D45C4" w:rsidP="00257821">
            <w:pPr>
              <w:pStyle w:val="COMPara"/>
              <w:numPr>
                <w:ilvl w:val="0"/>
                <w:numId w:val="0"/>
              </w:numPr>
              <w:spacing w:before="120"/>
              <w:rPr>
                <w:sz w:val="20"/>
                <w:szCs w:val="20"/>
              </w:rPr>
            </w:pPr>
            <w:r w:rsidRPr="00F946F3">
              <w:rPr>
                <w:sz w:val="20"/>
              </w:rPr>
              <w:t>Courriel de la société civile (mai 2025)</w:t>
            </w:r>
          </w:p>
        </w:tc>
        <w:tc>
          <w:tcPr>
            <w:tcW w:w="1847" w:type="dxa"/>
            <w:tcBorders>
              <w:top w:val="single" w:sz="4" w:space="0" w:color="auto"/>
              <w:bottom w:val="single" w:sz="4" w:space="0" w:color="auto"/>
            </w:tcBorders>
          </w:tcPr>
          <w:p w14:paraId="2E6E170B" w14:textId="5696C777" w:rsidR="00257821" w:rsidRPr="00F946F3" w:rsidRDefault="00257821" w:rsidP="00257821">
            <w:pPr>
              <w:pStyle w:val="COMPara"/>
              <w:numPr>
                <w:ilvl w:val="0"/>
                <w:numId w:val="0"/>
              </w:numPr>
              <w:spacing w:before="120"/>
              <w:rPr>
                <w:sz w:val="20"/>
                <w:szCs w:val="20"/>
              </w:rPr>
            </w:pPr>
            <w:r w:rsidRPr="00F946F3">
              <w:rPr>
                <w:sz w:val="20"/>
              </w:rPr>
              <w:t xml:space="preserve">Correspondance transmise à la Délégation Permanente de la </w:t>
            </w:r>
            <w:r w:rsidR="00D54DD4" w:rsidRPr="00F946F3">
              <w:rPr>
                <w:sz w:val="20"/>
              </w:rPr>
              <w:t xml:space="preserve">République de </w:t>
            </w:r>
            <w:r w:rsidRPr="00F946F3">
              <w:rPr>
                <w:sz w:val="20"/>
              </w:rPr>
              <w:t>Colombie (octobre 2025)</w:t>
            </w:r>
          </w:p>
        </w:tc>
      </w:tr>
      <w:tr w:rsidR="00257821" w:rsidRPr="00F946F3" w14:paraId="60DBE632" w14:textId="77777777" w:rsidTr="007225D7">
        <w:tc>
          <w:tcPr>
            <w:tcW w:w="1814" w:type="dxa"/>
            <w:tcBorders>
              <w:top w:val="single" w:sz="4" w:space="0" w:color="auto"/>
              <w:bottom w:val="single" w:sz="4" w:space="0" w:color="auto"/>
            </w:tcBorders>
          </w:tcPr>
          <w:p w14:paraId="26BCC203" w14:textId="77777777" w:rsidR="003754A3" w:rsidRPr="00F946F3" w:rsidRDefault="00257821" w:rsidP="00257821">
            <w:pPr>
              <w:pStyle w:val="COMPara"/>
              <w:numPr>
                <w:ilvl w:val="0"/>
                <w:numId w:val="0"/>
              </w:numPr>
              <w:spacing w:before="120"/>
              <w:rPr>
                <w:b/>
                <w:sz w:val="20"/>
              </w:rPr>
            </w:pPr>
            <w:r w:rsidRPr="00F946F3">
              <w:rPr>
                <w:b/>
                <w:sz w:val="20"/>
              </w:rPr>
              <w:t xml:space="preserve">L’espace culturel des Bedu de Petra et Wadi Rum </w:t>
            </w:r>
          </w:p>
          <w:p w14:paraId="797423E5" w14:textId="37AA9902" w:rsidR="00257821" w:rsidRPr="00F946F3" w:rsidRDefault="00257821" w:rsidP="00257821">
            <w:pPr>
              <w:pStyle w:val="COMPara"/>
              <w:numPr>
                <w:ilvl w:val="0"/>
                <w:numId w:val="0"/>
              </w:numPr>
              <w:spacing w:before="120"/>
              <w:rPr>
                <w:b/>
                <w:bCs/>
                <w:sz w:val="20"/>
                <w:szCs w:val="20"/>
              </w:rPr>
            </w:pPr>
            <w:r w:rsidRPr="00F946F3">
              <w:rPr>
                <w:sz w:val="20"/>
              </w:rPr>
              <w:t>(Liste représentative, 2008)</w:t>
            </w:r>
          </w:p>
        </w:tc>
        <w:tc>
          <w:tcPr>
            <w:tcW w:w="1583" w:type="dxa"/>
            <w:tcBorders>
              <w:top w:val="single" w:sz="4" w:space="0" w:color="auto"/>
              <w:bottom w:val="single" w:sz="4" w:space="0" w:color="auto"/>
            </w:tcBorders>
          </w:tcPr>
          <w:p w14:paraId="77920924" w14:textId="77777777" w:rsidR="00257821" w:rsidRPr="00F946F3" w:rsidRDefault="00257821" w:rsidP="00257821">
            <w:pPr>
              <w:pStyle w:val="COMPara"/>
              <w:numPr>
                <w:ilvl w:val="0"/>
                <w:numId w:val="0"/>
              </w:numPr>
              <w:spacing w:before="120"/>
              <w:rPr>
                <w:sz w:val="20"/>
                <w:szCs w:val="20"/>
              </w:rPr>
            </w:pPr>
            <w:r w:rsidRPr="00F946F3">
              <w:rPr>
                <w:sz w:val="20"/>
              </w:rPr>
              <w:t>Jordanie</w:t>
            </w:r>
          </w:p>
        </w:tc>
        <w:tc>
          <w:tcPr>
            <w:tcW w:w="1701" w:type="dxa"/>
            <w:tcBorders>
              <w:top w:val="single" w:sz="4" w:space="0" w:color="auto"/>
            </w:tcBorders>
          </w:tcPr>
          <w:p w14:paraId="38759B25" w14:textId="77777777" w:rsidR="00257821" w:rsidRPr="00F946F3" w:rsidRDefault="00257821" w:rsidP="00257821">
            <w:pPr>
              <w:pStyle w:val="COMPara"/>
              <w:numPr>
                <w:ilvl w:val="0"/>
                <w:numId w:val="0"/>
              </w:numPr>
              <w:spacing w:before="120"/>
              <w:rPr>
                <w:sz w:val="20"/>
                <w:szCs w:val="20"/>
              </w:rPr>
            </w:pPr>
            <w:r w:rsidRPr="00F946F3">
              <w:rPr>
                <w:sz w:val="20"/>
              </w:rPr>
              <w:t>Préoccupations concernant les expulsions présumées de membres de la communauté</w:t>
            </w:r>
          </w:p>
        </w:tc>
        <w:tc>
          <w:tcPr>
            <w:tcW w:w="2127" w:type="dxa"/>
            <w:tcBorders>
              <w:top w:val="single" w:sz="4" w:space="0" w:color="auto"/>
            </w:tcBorders>
          </w:tcPr>
          <w:p w14:paraId="12CDB808" w14:textId="77777777" w:rsidR="00257821" w:rsidRPr="00F946F3" w:rsidRDefault="00257821" w:rsidP="00257821">
            <w:pPr>
              <w:pStyle w:val="COMPara"/>
              <w:numPr>
                <w:ilvl w:val="0"/>
                <w:numId w:val="0"/>
              </w:numPr>
              <w:spacing w:before="120"/>
              <w:rPr>
                <w:sz w:val="20"/>
                <w:szCs w:val="20"/>
                <w:highlight w:val="cyan"/>
              </w:rPr>
            </w:pPr>
            <w:r w:rsidRPr="00F946F3">
              <w:rPr>
                <w:sz w:val="20"/>
              </w:rPr>
              <w:t>Deux courriels d’une organisation non gouvernementale (mai et juin 2025)</w:t>
            </w:r>
          </w:p>
        </w:tc>
        <w:tc>
          <w:tcPr>
            <w:tcW w:w="1847" w:type="dxa"/>
            <w:tcBorders>
              <w:top w:val="single" w:sz="4" w:space="0" w:color="auto"/>
            </w:tcBorders>
          </w:tcPr>
          <w:p w14:paraId="7919B95C" w14:textId="77777777" w:rsidR="00257821" w:rsidRPr="00F946F3" w:rsidRDefault="00257821" w:rsidP="00257821">
            <w:pPr>
              <w:pStyle w:val="COMPara"/>
              <w:numPr>
                <w:ilvl w:val="0"/>
                <w:numId w:val="0"/>
              </w:numPr>
              <w:spacing w:before="120"/>
              <w:rPr>
                <w:sz w:val="20"/>
                <w:szCs w:val="20"/>
              </w:rPr>
            </w:pPr>
            <w:r w:rsidRPr="00F946F3">
              <w:rPr>
                <w:sz w:val="20"/>
              </w:rPr>
              <w:t>Correspondance transmise à la Délégation Permanente du Royaume Hachémite de Jordanie (août 2025)</w:t>
            </w:r>
          </w:p>
        </w:tc>
      </w:tr>
      <w:tr w:rsidR="00257821" w:rsidRPr="00F946F3" w14:paraId="1F127A76" w14:textId="77777777" w:rsidTr="007225D7">
        <w:tc>
          <w:tcPr>
            <w:tcW w:w="1814" w:type="dxa"/>
            <w:tcBorders>
              <w:top w:val="single" w:sz="4" w:space="0" w:color="auto"/>
              <w:bottom w:val="single" w:sz="4" w:space="0" w:color="auto"/>
            </w:tcBorders>
          </w:tcPr>
          <w:p w14:paraId="17F9283F" w14:textId="3B094EAC" w:rsidR="003754A3" w:rsidRPr="00F946F3" w:rsidRDefault="00257821" w:rsidP="00B313A0">
            <w:pPr>
              <w:pStyle w:val="COMPara"/>
              <w:numPr>
                <w:ilvl w:val="0"/>
                <w:numId w:val="0"/>
              </w:numPr>
              <w:spacing w:before="120"/>
              <w:rPr>
                <w:sz w:val="20"/>
              </w:rPr>
            </w:pPr>
            <w:r w:rsidRPr="00F946F3">
              <w:rPr>
                <w:b/>
                <w:sz w:val="20"/>
              </w:rPr>
              <w:t>La tradition orale Koogere des Basongora, Banyabidi et Batooro</w:t>
            </w:r>
            <w:r w:rsidR="00B313A0" w:rsidRPr="00F946F3">
              <w:rPr>
                <w:sz w:val="20"/>
              </w:rPr>
              <w:t xml:space="preserve"> </w:t>
            </w:r>
          </w:p>
          <w:p w14:paraId="763A65DF" w14:textId="45C0FEBB" w:rsidR="00257821" w:rsidRPr="00F946F3" w:rsidRDefault="00257821" w:rsidP="00B313A0">
            <w:pPr>
              <w:pStyle w:val="COMPara"/>
              <w:numPr>
                <w:ilvl w:val="0"/>
                <w:numId w:val="0"/>
              </w:numPr>
              <w:spacing w:before="120"/>
              <w:rPr>
                <w:sz w:val="20"/>
                <w:szCs w:val="20"/>
              </w:rPr>
            </w:pPr>
            <w:r w:rsidRPr="00F946F3">
              <w:rPr>
                <w:sz w:val="20"/>
              </w:rPr>
              <w:t>(Liste de sauvegarde urgente, 2015)</w:t>
            </w:r>
          </w:p>
        </w:tc>
        <w:tc>
          <w:tcPr>
            <w:tcW w:w="1583" w:type="dxa"/>
            <w:tcBorders>
              <w:top w:val="single" w:sz="4" w:space="0" w:color="auto"/>
              <w:bottom w:val="single" w:sz="4" w:space="0" w:color="auto"/>
            </w:tcBorders>
          </w:tcPr>
          <w:p w14:paraId="396316BF" w14:textId="77777777" w:rsidR="00257821" w:rsidRPr="00F946F3" w:rsidRDefault="00257821" w:rsidP="00257821">
            <w:pPr>
              <w:pStyle w:val="COMPara"/>
              <w:numPr>
                <w:ilvl w:val="0"/>
                <w:numId w:val="0"/>
              </w:numPr>
              <w:spacing w:before="120"/>
              <w:rPr>
                <w:sz w:val="20"/>
                <w:szCs w:val="20"/>
              </w:rPr>
            </w:pPr>
            <w:r w:rsidRPr="00F946F3">
              <w:rPr>
                <w:sz w:val="20"/>
              </w:rPr>
              <w:t>Ouganda</w:t>
            </w:r>
          </w:p>
        </w:tc>
        <w:tc>
          <w:tcPr>
            <w:tcW w:w="1701" w:type="dxa"/>
            <w:tcBorders>
              <w:top w:val="single" w:sz="4" w:space="0" w:color="auto"/>
            </w:tcBorders>
          </w:tcPr>
          <w:p w14:paraId="296C653F" w14:textId="77777777" w:rsidR="00257821" w:rsidRPr="00F946F3" w:rsidRDefault="00257821" w:rsidP="00257821">
            <w:pPr>
              <w:pStyle w:val="COMPara"/>
              <w:numPr>
                <w:ilvl w:val="0"/>
                <w:numId w:val="0"/>
              </w:numPr>
              <w:spacing w:before="120"/>
              <w:rPr>
                <w:sz w:val="20"/>
                <w:szCs w:val="20"/>
              </w:rPr>
            </w:pPr>
            <w:r w:rsidRPr="00F946F3">
              <w:rPr>
                <w:sz w:val="20"/>
              </w:rPr>
              <w:t>Préoccupations concernant le manque de soutien de la part des autorités nationales</w:t>
            </w:r>
          </w:p>
        </w:tc>
        <w:tc>
          <w:tcPr>
            <w:tcW w:w="2127" w:type="dxa"/>
            <w:tcBorders>
              <w:top w:val="single" w:sz="4" w:space="0" w:color="auto"/>
            </w:tcBorders>
          </w:tcPr>
          <w:p w14:paraId="3E74DCC8" w14:textId="6F1BF160" w:rsidR="00257821" w:rsidRPr="00F946F3" w:rsidRDefault="00257821" w:rsidP="00257821">
            <w:pPr>
              <w:pStyle w:val="COMPara"/>
              <w:numPr>
                <w:ilvl w:val="0"/>
                <w:numId w:val="0"/>
              </w:numPr>
              <w:spacing w:before="120"/>
              <w:rPr>
                <w:sz w:val="20"/>
                <w:szCs w:val="20"/>
              </w:rPr>
            </w:pPr>
            <w:r w:rsidRPr="00F946F3">
              <w:rPr>
                <w:sz w:val="20"/>
              </w:rPr>
              <w:t xml:space="preserve">Lettre d’une organisation </w:t>
            </w:r>
            <w:r w:rsidR="00B313A0" w:rsidRPr="00F946F3">
              <w:rPr>
                <w:sz w:val="20"/>
              </w:rPr>
              <w:t xml:space="preserve">représentant la communauté </w:t>
            </w:r>
            <w:r w:rsidRPr="00F946F3">
              <w:rPr>
                <w:sz w:val="20"/>
              </w:rPr>
              <w:t>(juin 2025)</w:t>
            </w:r>
          </w:p>
        </w:tc>
        <w:tc>
          <w:tcPr>
            <w:tcW w:w="1847" w:type="dxa"/>
            <w:tcBorders>
              <w:top w:val="single" w:sz="4" w:space="0" w:color="auto"/>
            </w:tcBorders>
          </w:tcPr>
          <w:p w14:paraId="2446B5A8" w14:textId="1E07E85D" w:rsidR="00257821" w:rsidRPr="00F946F3" w:rsidRDefault="00ED4614" w:rsidP="00257821">
            <w:pPr>
              <w:pStyle w:val="COMPara"/>
              <w:numPr>
                <w:ilvl w:val="0"/>
                <w:numId w:val="0"/>
              </w:numPr>
              <w:spacing w:before="120"/>
              <w:rPr>
                <w:sz w:val="20"/>
                <w:szCs w:val="20"/>
              </w:rPr>
            </w:pPr>
            <w:r w:rsidRPr="00F946F3">
              <w:rPr>
                <w:sz w:val="20"/>
              </w:rPr>
              <w:t xml:space="preserve">Correspondance transmise à la Délégation </w:t>
            </w:r>
            <w:r w:rsidR="003754A3" w:rsidRPr="00F946F3">
              <w:rPr>
                <w:sz w:val="20"/>
              </w:rPr>
              <w:t>P</w:t>
            </w:r>
            <w:r w:rsidRPr="00F946F3">
              <w:rPr>
                <w:sz w:val="20"/>
              </w:rPr>
              <w:t xml:space="preserve">ermanente de </w:t>
            </w:r>
            <w:r w:rsidR="00D54DD4" w:rsidRPr="00F946F3">
              <w:rPr>
                <w:sz w:val="20"/>
              </w:rPr>
              <w:t xml:space="preserve">la République de </w:t>
            </w:r>
            <w:r w:rsidRPr="00F946F3">
              <w:rPr>
                <w:sz w:val="20"/>
              </w:rPr>
              <w:t>l’Ouganda (novembre 2025)</w:t>
            </w:r>
          </w:p>
        </w:tc>
      </w:tr>
      <w:tr w:rsidR="00257821" w:rsidRPr="00F946F3" w14:paraId="7D06A088" w14:textId="77777777" w:rsidTr="007225D7">
        <w:tc>
          <w:tcPr>
            <w:tcW w:w="1814" w:type="dxa"/>
            <w:tcBorders>
              <w:top w:val="single" w:sz="4" w:space="0" w:color="auto"/>
              <w:bottom w:val="single" w:sz="4" w:space="0" w:color="auto"/>
            </w:tcBorders>
          </w:tcPr>
          <w:p w14:paraId="5350127D" w14:textId="77777777" w:rsidR="00257821" w:rsidRPr="00F946F3" w:rsidRDefault="00257821" w:rsidP="00257821">
            <w:pPr>
              <w:pStyle w:val="COMPara"/>
              <w:numPr>
                <w:ilvl w:val="0"/>
                <w:numId w:val="0"/>
              </w:numPr>
              <w:spacing w:before="120"/>
              <w:rPr>
                <w:sz w:val="20"/>
                <w:szCs w:val="20"/>
              </w:rPr>
            </w:pPr>
            <w:r w:rsidRPr="00F946F3">
              <w:rPr>
                <w:b/>
                <w:sz w:val="20"/>
              </w:rPr>
              <w:t>Les chants populaires Quan Họ de Bắc Ninh</w:t>
            </w:r>
            <w:r w:rsidRPr="00F946F3">
              <w:rPr>
                <w:sz w:val="20"/>
              </w:rPr>
              <w:t xml:space="preserve"> (Liste représentative, 2009)</w:t>
            </w:r>
          </w:p>
        </w:tc>
        <w:tc>
          <w:tcPr>
            <w:tcW w:w="1583" w:type="dxa"/>
            <w:tcBorders>
              <w:top w:val="single" w:sz="4" w:space="0" w:color="auto"/>
              <w:bottom w:val="single" w:sz="4" w:space="0" w:color="auto"/>
            </w:tcBorders>
          </w:tcPr>
          <w:p w14:paraId="41E23428" w14:textId="77777777" w:rsidR="00257821" w:rsidRPr="00F946F3" w:rsidRDefault="00257821" w:rsidP="00257821">
            <w:pPr>
              <w:pStyle w:val="COMPara"/>
              <w:numPr>
                <w:ilvl w:val="0"/>
                <w:numId w:val="0"/>
              </w:numPr>
              <w:spacing w:before="120"/>
              <w:rPr>
                <w:sz w:val="20"/>
                <w:szCs w:val="20"/>
              </w:rPr>
            </w:pPr>
            <w:r w:rsidRPr="00F946F3">
              <w:rPr>
                <w:sz w:val="20"/>
              </w:rPr>
              <w:t>Viet Nam</w:t>
            </w:r>
          </w:p>
        </w:tc>
        <w:tc>
          <w:tcPr>
            <w:tcW w:w="1701" w:type="dxa"/>
            <w:tcBorders>
              <w:top w:val="single" w:sz="4" w:space="0" w:color="auto"/>
            </w:tcBorders>
          </w:tcPr>
          <w:p w14:paraId="1DF7A7D8" w14:textId="71F9431D" w:rsidR="00257821" w:rsidRPr="00F946F3" w:rsidRDefault="00257821" w:rsidP="00257821">
            <w:pPr>
              <w:pStyle w:val="COMPara"/>
              <w:numPr>
                <w:ilvl w:val="0"/>
                <w:numId w:val="0"/>
              </w:numPr>
              <w:spacing w:before="120"/>
              <w:rPr>
                <w:sz w:val="20"/>
                <w:szCs w:val="20"/>
              </w:rPr>
            </w:pPr>
            <w:r w:rsidRPr="00F946F3">
              <w:rPr>
                <w:sz w:val="20"/>
              </w:rPr>
              <w:t>Préoccupations concernant l’impact potentiel des plans de construction sur les espaces culturels liés à l’élément</w:t>
            </w:r>
          </w:p>
        </w:tc>
        <w:tc>
          <w:tcPr>
            <w:tcW w:w="2127" w:type="dxa"/>
            <w:tcBorders>
              <w:top w:val="single" w:sz="4" w:space="0" w:color="auto"/>
            </w:tcBorders>
          </w:tcPr>
          <w:p w14:paraId="40EEBD9E" w14:textId="77777777" w:rsidR="00257821" w:rsidRPr="00F946F3" w:rsidRDefault="00257821" w:rsidP="00257821">
            <w:pPr>
              <w:pStyle w:val="COMPara"/>
              <w:numPr>
                <w:ilvl w:val="0"/>
                <w:numId w:val="0"/>
              </w:numPr>
              <w:spacing w:before="120"/>
              <w:rPr>
                <w:sz w:val="20"/>
                <w:szCs w:val="20"/>
              </w:rPr>
            </w:pPr>
            <w:r w:rsidRPr="00F946F3">
              <w:rPr>
                <w:sz w:val="20"/>
              </w:rPr>
              <w:t>Lettre d’un particulier au nom de la communauté (septembre 2025)</w:t>
            </w:r>
          </w:p>
        </w:tc>
        <w:tc>
          <w:tcPr>
            <w:tcW w:w="1847" w:type="dxa"/>
            <w:tcBorders>
              <w:top w:val="single" w:sz="4" w:space="0" w:color="auto"/>
            </w:tcBorders>
          </w:tcPr>
          <w:p w14:paraId="21ED406D" w14:textId="62DE56B2" w:rsidR="00257821" w:rsidRPr="00F946F3" w:rsidRDefault="00257821" w:rsidP="00257821">
            <w:pPr>
              <w:pStyle w:val="COMPara"/>
              <w:numPr>
                <w:ilvl w:val="0"/>
                <w:numId w:val="0"/>
              </w:numPr>
              <w:spacing w:before="120"/>
              <w:rPr>
                <w:sz w:val="20"/>
                <w:szCs w:val="20"/>
              </w:rPr>
            </w:pPr>
            <w:r w:rsidRPr="00F946F3">
              <w:rPr>
                <w:sz w:val="20"/>
              </w:rPr>
              <w:t>Correspondance transmise à la Délégation Permanente de la République Socialiste du Viet Nam (novembre 2025)</w:t>
            </w:r>
          </w:p>
        </w:tc>
      </w:tr>
    </w:tbl>
    <w:bookmarkEnd w:id="0"/>
    <w:p w14:paraId="101F1925" w14:textId="4E20FD74" w:rsidR="005566FF" w:rsidRPr="00F946F3" w:rsidRDefault="005566FF" w:rsidP="008A18EC">
      <w:pPr>
        <w:pStyle w:val="COMPara"/>
        <w:keepNext/>
        <w:keepLines/>
        <w:numPr>
          <w:ilvl w:val="0"/>
          <w:numId w:val="0"/>
        </w:numPr>
        <w:spacing w:before="120"/>
        <w:ind w:firstLine="567"/>
        <w:rPr>
          <w:u w:val="single"/>
        </w:rPr>
      </w:pPr>
      <w:r w:rsidRPr="00F946F3">
        <w:rPr>
          <w:u w:val="single"/>
        </w:rPr>
        <w:lastRenderedPageBreak/>
        <w:t xml:space="preserve">Cas des candidatures en cours </w:t>
      </w:r>
    </w:p>
    <w:p w14:paraId="451538F8" w14:textId="4434ECB6" w:rsidR="00B130DC" w:rsidRPr="00F946F3" w:rsidRDefault="00B130DC" w:rsidP="008A18EC">
      <w:pPr>
        <w:pStyle w:val="COMPara"/>
        <w:keepLines/>
        <w:ind w:left="567" w:hanging="567"/>
        <w:jc w:val="both"/>
      </w:pPr>
      <w:r w:rsidRPr="00F946F3">
        <w:t xml:space="preserve">Au cours de la période considérée, </w:t>
      </w:r>
      <w:r w:rsidR="00B313A0" w:rsidRPr="00F946F3">
        <w:t xml:space="preserve">trois </w:t>
      </w:r>
      <w:r w:rsidRPr="00F946F3">
        <w:t>candidatures en cours de traitement en vue d’une éventuelle inscription dans le cadre du cycle 2025 ont fait l’objet de correspondances</w:t>
      </w:r>
      <w:r w:rsidR="00830212" w:rsidRPr="00F946F3">
        <w:t xml:space="preserve">, qui ont été traitées sur la base des « Orientations concernant le traitement de la correspondance du public ou d’autres parties concernées au sujet des candidatures » (Décision </w:t>
      </w:r>
      <w:hyperlink r:id="rId11" w:history="1">
        <w:r w:rsidR="00830212" w:rsidRPr="00F946F3">
          <w:rPr>
            <w:rStyle w:val="Hyperlink"/>
          </w:rPr>
          <w:t>7.COM 15</w:t>
        </w:r>
      </w:hyperlink>
      <w:r w:rsidR="00830212" w:rsidRPr="00F946F3">
        <w:t>)</w:t>
      </w:r>
      <w:r w:rsidRPr="00F946F3">
        <w:t>. Dans le premier cas,</w:t>
      </w:r>
      <w:r w:rsidR="00830212" w:rsidRPr="00F946F3">
        <w:t xml:space="preserve"> concernant une candidature de l’Albanie à la Liste de sauvegarde urgente,</w:t>
      </w:r>
      <w:r w:rsidRPr="00F946F3">
        <w:t xml:space="preserve"> une organisation de la société civile s’est inquiétée du fait que les communautés </w:t>
      </w:r>
      <w:r w:rsidR="00830212" w:rsidRPr="00F946F3">
        <w:t xml:space="preserve">détentrices </w:t>
      </w:r>
      <w:r w:rsidRPr="00F946F3">
        <w:t xml:space="preserve">situées en dehors de l’État soumissionnaire n’étaient pas dûment reconnues dans la candidature. </w:t>
      </w:r>
      <w:r w:rsidR="00830212" w:rsidRPr="00F946F3">
        <w:t>Dans le deuxième cas, concernant une candidature du Bélarus à la Liste de sauvegarde urgente, les autorités nationales d'un autre État partie ont fait part de leurs préoccupations quant aux inexactitudes historiques et géographiques contenues dans le dossier de candidature, qui ne tient pas compte de la pratique d</w:t>
      </w:r>
      <w:r w:rsidR="003754A3" w:rsidRPr="00F946F3">
        <w:t>’</w:t>
      </w:r>
      <w:r w:rsidR="00830212" w:rsidRPr="00F946F3">
        <w:t xml:space="preserve">un élément « similaire » dans un État voisin. </w:t>
      </w:r>
      <w:r w:rsidRPr="00F946F3">
        <w:t xml:space="preserve">Dans le </w:t>
      </w:r>
      <w:r w:rsidR="00830212" w:rsidRPr="00F946F3">
        <w:t xml:space="preserve">troisième </w:t>
      </w:r>
      <w:r w:rsidRPr="00F946F3">
        <w:t xml:space="preserve">cas, concernant une candidature du Maroc </w:t>
      </w:r>
      <w:r w:rsidR="00830212" w:rsidRPr="00F946F3">
        <w:t xml:space="preserve">à </w:t>
      </w:r>
      <w:r w:rsidRPr="00F946F3">
        <w:t xml:space="preserve">la </w:t>
      </w:r>
      <w:r w:rsidR="00830212" w:rsidRPr="00F946F3">
        <w:t>L</w:t>
      </w:r>
      <w:r w:rsidRPr="00F946F3">
        <w:t xml:space="preserve">iste représentative, des préoccupations concernant </w:t>
      </w:r>
      <w:r w:rsidR="003754A3" w:rsidRPr="00F946F3">
        <w:t>l’appropriation</w:t>
      </w:r>
      <w:r w:rsidRPr="00F946F3">
        <w:t xml:space="preserve"> de l’élément proposé ont été soulevées par un autre État partie et par un grand nombre de </w:t>
      </w:r>
      <w:r w:rsidR="00830212" w:rsidRPr="00F946F3">
        <w:t xml:space="preserve">particuliers </w:t>
      </w:r>
      <w:r w:rsidRPr="00F946F3">
        <w:t>basés dans ce même État partie.</w:t>
      </w:r>
    </w:p>
    <w:tbl>
      <w:tblPr>
        <w:tblStyle w:val="TableGrid"/>
        <w:tblW w:w="0" w:type="auto"/>
        <w:tblInd w:w="567" w:type="dxa"/>
        <w:tblLayout w:type="fixed"/>
        <w:tblLook w:val="04A0" w:firstRow="1" w:lastRow="0" w:firstColumn="1" w:lastColumn="0" w:noHBand="0" w:noVBand="1"/>
      </w:tblPr>
      <w:tblGrid>
        <w:gridCol w:w="1573"/>
        <w:gridCol w:w="1541"/>
        <w:gridCol w:w="2221"/>
        <w:gridCol w:w="1831"/>
        <w:gridCol w:w="1895"/>
      </w:tblGrid>
      <w:tr w:rsidR="00F33FF5" w:rsidRPr="00F946F3" w14:paraId="2FF6CC11" w14:textId="77777777" w:rsidTr="00F33FF5">
        <w:tc>
          <w:tcPr>
            <w:tcW w:w="1573" w:type="dxa"/>
            <w:shd w:val="clear" w:color="auto" w:fill="D9D9D9" w:themeFill="background1" w:themeFillShade="D9"/>
            <w:vAlign w:val="center"/>
          </w:tcPr>
          <w:p w14:paraId="0419EDDC" w14:textId="18EE054E" w:rsidR="00B130DC" w:rsidRPr="00F946F3" w:rsidRDefault="00B130DC" w:rsidP="008B2450">
            <w:pPr>
              <w:pStyle w:val="COMPara"/>
              <w:numPr>
                <w:ilvl w:val="0"/>
                <w:numId w:val="0"/>
              </w:numPr>
              <w:spacing w:before="120"/>
              <w:jc w:val="center"/>
              <w:rPr>
                <w:b/>
                <w:bCs/>
                <w:sz w:val="20"/>
                <w:szCs w:val="20"/>
              </w:rPr>
            </w:pPr>
            <w:r w:rsidRPr="00F946F3">
              <w:rPr>
                <w:b/>
                <w:sz w:val="20"/>
              </w:rPr>
              <w:t>Candidature (numéro de dossier)</w:t>
            </w:r>
          </w:p>
        </w:tc>
        <w:tc>
          <w:tcPr>
            <w:tcW w:w="1541" w:type="dxa"/>
            <w:tcBorders>
              <w:bottom w:val="single" w:sz="4" w:space="0" w:color="000000"/>
            </w:tcBorders>
            <w:shd w:val="clear" w:color="auto" w:fill="D9D9D9" w:themeFill="background1" w:themeFillShade="D9"/>
            <w:vAlign w:val="center"/>
          </w:tcPr>
          <w:p w14:paraId="71C6BA35" w14:textId="7859F758" w:rsidR="00B130DC" w:rsidRPr="00F946F3" w:rsidRDefault="00B130DC" w:rsidP="008B2450">
            <w:pPr>
              <w:pStyle w:val="COMPara"/>
              <w:numPr>
                <w:ilvl w:val="0"/>
                <w:numId w:val="0"/>
              </w:numPr>
              <w:spacing w:before="120"/>
              <w:jc w:val="center"/>
              <w:rPr>
                <w:b/>
                <w:bCs/>
                <w:sz w:val="20"/>
                <w:szCs w:val="20"/>
              </w:rPr>
            </w:pPr>
            <w:r w:rsidRPr="00F946F3">
              <w:rPr>
                <w:b/>
                <w:sz w:val="20"/>
              </w:rPr>
              <w:t>État(s)</w:t>
            </w:r>
            <w:r w:rsidR="00830212" w:rsidRPr="00F946F3">
              <w:rPr>
                <w:b/>
                <w:sz w:val="20"/>
              </w:rPr>
              <w:t xml:space="preserve"> partie(s)</w:t>
            </w:r>
            <w:r w:rsidRPr="00F946F3">
              <w:rPr>
                <w:b/>
                <w:sz w:val="20"/>
              </w:rPr>
              <w:t xml:space="preserve"> et projet de décision</w:t>
            </w:r>
          </w:p>
        </w:tc>
        <w:tc>
          <w:tcPr>
            <w:tcW w:w="2221" w:type="dxa"/>
            <w:tcBorders>
              <w:bottom w:val="single" w:sz="4" w:space="0" w:color="000000"/>
            </w:tcBorders>
            <w:shd w:val="clear" w:color="auto" w:fill="D9D9D9" w:themeFill="background1" w:themeFillShade="D9"/>
            <w:vAlign w:val="center"/>
          </w:tcPr>
          <w:p w14:paraId="6FE2774E" w14:textId="7F6A73BB" w:rsidR="00B130DC" w:rsidRPr="00F946F3" w:rsidRDefault="00B130DC" w:rsidP="008B2450">
            <w:pPr>
              <w:pStyle w:val="COMPara"/>
              <w:numPr>
                <w:ilvl w:val="0"/>
                <w:numId w:val="0"/>
              </w:numPr>
              <w:spacing w:before="120"/>
              <w:jc w:val="center"/>
              <w:rPr>
                <w:b/>
                <w:bCs/>
                <w:sz w:val="20"/>
                <w:szCs w:val="20"/>
              </w:rPr>
            </w:pPr>
            <w:r w:rsidRPr="00F946F3">
              <w:rPr>
                <w:b/>
                <w:sz w:val="20"/>
              </w:rPr>
              <w:t>Nature des questions</w:t>
            </w:r>
          </w:p>
        </w:tc>
        <w:tc>
          <w:tcPr>
            <w:tcW w:w="1831" w:type="dxa"/>
            <w:tcBorders>
              <w:bottom w:val="single" w:sz="4" w:space="0" w:color="000000"/>
            </w:tcBorders>
            <w:shd w:val="clear" w:color="auto" w:fill="D9D9D9" w:themeFill="background1" w:themeFillShade="D9"/>
            <w:vAlign w:val="center"/>
          </w:tcPr>
          <w:p w14:paraId="5E07EA30" w14:textId="5545237A" w:rsidR="00B130DC" w:rsidRPr="00F946F3" w:rsidRDefault="00B130DC" w:rsidP="008B2450">
            <w:pPr>
              <w:pStyle w:val="COMPara"/>
              <w:numPr>
                <w:ilvl w:val="0"/>
                <w:numId w:val="0"/>
              </w:numPr>
              <w:spacing w:before="120"/>
              <w:jc w:val="center"/>
              <w:rPr>
                <w:b/>
                <w:bCs/>
                <w:sz w:val="20"/>
                <w:szCs w:val="20"/>
              </w:rPr>
            </w:pPr>
            <w:r w:rsidRPr="00F946F3">
              <w:rPr>
                <w:b/>
                <w:sz w:val="20"/>
              </w:rPr>
              <w:t>Correspondance initiale et parties prenantes</w:t>
            </w:r>
          </w:p>
        </w:tc>
        <w:tc>
          <w:tcPr>
            <w:tcW w:w="1895" w:type="dxa"/>
            <w:tcBorders>
              <w:bottom w:val="single" w:sz="4" w:space="0" w:color="000000"/>
            </w:tcBorders>
            <w:shd w:val="clear" w:color="auto" w:fill="D9D9D9" w:themeFill="background1" w:themeFillShade="D9"/>
            <w:vAlign w:val="center"/>
          </w:tcPr>
          <w:p w14:paraId="70B02134" w14:textId="153060A7" w:rsidR="00B130DC" w:rsidRPr="00F946F3" w:rsidRDefault="00B130DC" w:rsidP="008B2450">
            <w:pPr>
              <w:pStyle w:val="COMPara"/>
              <w:numPr>
                <w:ilvl w:val="0"/>
                <w:numId w:val="0"/>
              </w:numPr>
              <w:spacing w:before="120"/>
              <w:jc w:val="center"/>
              <w:rPr>
                <w:b/>
                <w:bCs/>
                <w:sz w:val="20"/>
                <w:szCs w:val="20"/>
              </w:rPr>
            </w:pPr>
            <w:r w:rsidRPr="00F946F3">
              <w:rPr>
                <w:b/>
                <w:sz w:val="20"/>
              </w:rPr>
              <w:t>Action</w:t>
            </w:r>
          </w:p>
        </w:tc>
      </w:tr>
      <w:tr w:rsidR="00F33FF5" w:rsidRPr="00F946F3" w14:paraId="67776038" w14:textId="77777777" w:rsidTr="00F33FF5">
        <w:tc>
          <w:tcPr>
            <w:tcW w:w="1573" w:type="dxa"/>
            <w:tcBorders>
              <w:right w:val="nil"/>
            </w:tcBorders>
          </w:tcPr>
          <w:p w14:paraId="75FA2BD6" w14:textId="58F5248F" w:rsidR="00BA3DBB" w:rsidRPr="00F946F3" w:rsidRDefault="00BA3DBB" w:rsidP="00164236">
            <w:pPr>
              <w:pStyle w:val="COMPara"/>
              <w:numPr>
                <w:ilvl w:val="0"/>
                <w:numId w:val="0"/>
              </w:numPr>
              <w:spacing w:before="120"/>
              <w:rPr>
                <w:b/>
                <w:bCs/>
                <w:sz w:val="20"/>
                <w:szCs w:val="20"/>
              </w:rPr>
            </w:pPr>
            <w:r w:rsidRPr="00F946F3">
              <w:rPr>
                <w:b/>
                <w:sz w:val="20"/>
              </w:rPr>
              <w:t xml:space="preserve">L’art de jouer, chanter et fabriquer la lahuta </w:t>
            </w:r>
            <w:r w:rsidRPr="00F946F3">
              <w:rPr>
                <w:sz w:val="20"/>
              </w:rPr>
              <w:t>(n</w:t>
            </w:r>
            <w:r w:rsidRPr="00F946F3">
              <w:rPr>
                <w:sz w:val="20"/>
                <w:vertAlign w:val="superscript"/>
              </w:rPr>
              <w:t>os</w:t>
            </w:r>
            <w:r w:rsidRPr="00F946F3">
              <w:rPr>
                <w:sz w:val="20"/>
              </w:rPr>
              <w:t xml:space="preserve"> 02310/02311)</w:t>
            </w:r>
          </w:p>
        </w:tc>
        <w:tc>
          <w:tcPr>
            <w:tcW w:w="1541" w:type="dxa"/>
            <w:tcBorders>
              <w:left w:val="nil"/>
              <w:right w:val="nil"/>
            </w:tcBorders>
          </w:tcPr>
          <w:p w14:paraId="19709F30" w14:textId="0B187761" w:rsidR="00BA3DBB" w:rsidRPr="00F946F3" w:rsidRDefault="00BA3DBB" w:rsidP="00164236">
            <w:pPr>
              <w:pStyle w:val="COMPara"/>
              <w:numPr>
                <w:ilvl w:val="0"/>
                <w:numId w:val="0"/>
              </w:numPr>
              <w:spacing w:before="120"/>
              <w:rPr>
                <w:sz w:val="20"/>
                <w:szCs w:val="20"/>
              </w:rPr>
            </w:pPr>
            <w:r w:rsidRPr="00F946F3">
              <w:rPr>
                <w:sz w:val="20"/>
              </w:rPr>
              <w:t>Albanie (projet de décision 20.COM 7.a.9)</w:t>
            </w:r>
          </w:p>
        </w:tc>
        <w:tc>
          <w:tcPr>
            <w:tcW w:w="2221" w:type="dxa"/>
            <w:tcBorders>
              <w:left w:val="nil"/>
              <w:right w:val="nil"/>
            </w:tcBorders>
          </w:tcPr>
          <w:p w14:paraId="1097C464" w14:textId="26AA3B78" w:rsidR="00BA3DBB" w:rsidRPr="00F946F3" w:rsidRDefault="00BA3DBB" w:rsidP="00164236">
            <w:pPr>
              <w:pStyle w:val="COMPara"/>
              <w:numPr>
                <w:ilvl w:val="0"/>
                <w:numId w:val="0"/>
              </w:numPr>
              <w:spacing w:before="120"/>
              <w:rPr>
                <w:sz w:val="20"/>
                <w:szCs w:val="20"/>
              </w:rPr>
            </w:pPr>
            <w:r w:rsidRPr="00F946F3">
              <w:rPr>
                <w:sz w:val="20"/>
              </w:rPr>
              <w:t>Demande de prise en compte des communautés situées en dehors de l’État soumissionnaire</w:t>
            </w:r>
          </w:p>
        </w:tc>
        <w:tc>
          <w:tcPr>
            <w:tcW w:w="1831" w:type="dxa"/>
            <w:tcBorders>
              <w:left w:val="nil"/>
              <w:right w:val="nil"/>
            </w:tcBorders>
          </w:tcPr>
          <w:p w14:paraId="2955DC8A" w14:textId="5C667F9A" w:rsidR="00BA3DBB" w:rsidRPr="00F946F3" w:rsidRDefault="00BA3DBB" w:rsidP="00164236">
            <w:pPr>
              <w:pStyle w:val="COMPara"/>
              <w:numPr>
                <w:ilvl w:val="0"/>
                <w:numId w:val="0"/>
              </w:numPr>
              <w:spacing w:before="120"/>
              <w:rPr>
                <w:rFonts w:asciiTheme="minorBidi" w:hAnsiTheme="minorBidi" w:cstheme="minorBidi"/>
                <w:sz w:val="20"/>
                <w:szCs w:val="20"/>
              </w:rPr>
            </w:pPr>
            <w:r w:rsidRPr="00F946F3">
              <w:rPr>
                <w:rFonts w:asciiTheme="minorBidi" w:hAnsiTheme="minorBidi"/>
                <w:sz w:val="20"/>
              </w:rPr>
              <w:t>Courriel de la société civile (octobre 2025)</w:t>
            </w:r>
          </w:p>
        </w:tc>
        <w:tc>
          <w:tcPr>
            <w:tcW w:w="1895" w:type="dxa"/>
            <w:tcBorders>
              <w:left w:val="nil"/>
            </w:tcBorders>
          </w:tcPr>
          <w:p w14:paraId="5DFA540D" w14:textId="58EF74FD" w:rsidR="00BA3DBB" w:rsidRPr="00F946F3" w:rsidRDefault="00BA3DBB" w:rsidP="00164236">
            <w:pPr>
              <w:pStyle w:val="COMPara"/>
              <w:numPr>
                <w:ilvl w:val="0"/>
                <w:numId w:val="0"/>
              </w:numPr>
              <w:spacing w:before="120"/>
              <w:rPr>
                <w:rFonts w:asciiTheme="minorBidi" w:hAnsiTheme="minorBidi" w:cstheme="minorBidi"/>
                <w:sz w:val="20"/>
                <w:szCs w:val="20"/>
              </w:rPr>
            </w:pPr>
            <w:r w:rsidRPr="00F946F3">
              <w:rPr>
                <w:rFonts w:asciiTheme="minorBidi" w:hAnsiTheme="minorBidi"/>
                <w:sz w:val="20"/>
              </w:rPr>
              <w:t xml:space="preserve">Correspondance transmise à la Délégation </w:t>
            </w:r>
            <w:r w:rsidR="00F33FF5" w:rsidRPr="00F946F3">
              <w:rPr>
                <w:rFonts w:asciiTheme="minorBidi" w:hAnsiTheme="minorBidi"/>
                <w:sz w:val="20"/>
              </w:rPr>
              <w:t>P</w:t>
            </w:r>
            <w:r w:rsidRPr="00F946F3">
              <w:rPr>
                <w:rFonts w:asciiTheme="minorBidi" w:hAnsiTheme="minorBidi"/>
                <w:sz w:val="20"/>
              </w:rPr>
              <w:t>ermanente de l</w:t>
            </w:r>
            <w:r w:rsidR="00D54DD4" w:rsidRPr="00F946F3">
              <w:rPr>
                <w:rFonts w:asciiTheme="minorBidi" w:hAnsiTheme="minorBidi"/>
                <w:sz w:val="20"/>
              </w:rPr>
              <w:t>a République d</w:t>
            </w:r>
            <w:r w:rsidRPr="00F946F3">
              <w:rPr>
                <w:rFonts w:asciiTheme="minorBidi" w:hAnsiTheme="minorBidi"/>
                <w:sz w:val="20"/>
              </w:rPr>
              <w:t>’Albanie (novembre 2025)</w:t>
            </w:r>
          </w:p>
        </w:tc>
      </w:tr>
      <w:tr w:rsidR="00F33FF5" w:rsidRPr="00F946F3" w14:paraId="49D2B548" w14:textId="77777777" w:rsidTr="00F33FF5">
        <w:tc>
          <w:tcPr>
            <w:tcW w:w="1573" w:type="dxa"/>
            <w:tcBorders>
              <w:right w:val="nil"/>
            </w:tcBorders>
          </w:tcPr>
          <w:p w14:paraId="31625B40" w14:textId="68C5A368" w:rsidR="008927B5" w:rsidRPr="00F946F3" w:rsidRDefault="008927B5" w:rsidP="00164236">
            <w:pPr>
              <w:pStyle w:val="COMPara"/>
              <w:numPr>
                <w:ilvl w:val="0"/>
                <w:numId w:val="0"/>
              </w:numPr>
              <w:spacing w:before="120"/>
              <w:rPr>
                <w:b/>
                <w:sz w:val="20"/>
              </w:rPr>
            </w:pPr>
            <w:r w:rsidRPr="00F946F3">
              <w:rPr>
                <w:b/>
                <w:sz w:val="20"/>
              </w:rPr>
              <w:t>La tradition textile negliubka du district de Vetka dans la région de Gomel</w:t>
            </w:r>
            <w:r w:rsidR="00193778" w:rsidRPr="00F946F3">
              <w:rPr>
                <w:b/>
                <w:sz w:val="20"/>
              </w:rPr>
              <w:t xml:space="preserve"> </w:t>
            </w:r>
            <w:r w:rsidR="00193778" w:rsidRPr="00F946F3">
              <w:rPr>
                <w:bCs/>
                <w:sz w:val="20"/>
              </w:rPr>
              <w:t>(n</w:t>
            </w:r>
            <w:r w:rsidR="00193778" w:rsidRPr="00F946F3">
              <w:rPr>
                <w:bCs/>
                <w:sz w:val="20"/>
                <w:vertAlign w:val="superscript"/>
              </w:rPr>
              <w:t>os</w:t>
            </w:r>
            <w:r w:rsidR="00193778" w:rsidRPr="00F946F3">
              <w:rPr>
                <w:bCs/>
                <w:sz w:val="20"/>
              </w:rPr>
              <w:t xml:space="preserve"> 02088/02342)</w:t>
            </w:r>
            <w:r w:rsidR="00193778" w:rsidRPr="00F946F3">
              <w:rPr>
                <w:sz w:val="20"/>
                <w:vertAlign w:val="superscript"/>
              </w:rPr>
              <w:t xml:space="preserve"> </w:t>
            </w:r>
          </w:p>
        </w:tc>
        <w:tc>
          <w:tcPr>
            <w:tcW w:w="1541" w:type="dxa"/>
            <w:tcBorders>
              <w:left w:val="nil"/>
              <w:right w:val="nil"/>
            </w:tcBorders>
          </w:tcPr>
          <w:p w14:paraId="25537CF2" w14:textId="5518B591" w:rsidR="008927B5" w:rsidRPr="00F946F3" w:rsidRDefault="00193778" w:rsidP="00164236">
            <w:pPr>
              <w:pStyle w:val="COMPara"/>
              <w:numPr>
                <w:ilvl w:val="0"/>
                <w:numId w:val="0"/>
              </w:numPr>
              <w:spacing w:before="120"/>
              <w:rPr>
                <w:sz w:val="20"/>
              </w:rPr>
            </w:pPr>
            <w:r w:rsidRPr="00F946F3">
              <w:rPr>
                <w:sz w:val="20"/>
              </w:rPr>
              <w:t>Bélarus (projet de décision 20.COM 7.a.11)</w:t>
            </w:r>
          </w:p>
        </w:tc>
        <w:tc>
          <w:tcPr>
            <w:tcW w:w="2221" w:type="dxa"/>
            <w:tcBorders>
              <w:left w:val="nil"/>
              <w:right w:val="nil"/>
            </w:tcBorders>
          </w:tcPr>
          <w:p w14:paraId="0EED0976" w14:textId="5827C86B" w:rsidR="008927B5" w:rsidRPr="00F946F3" w:rsidRDefault="00193778" w:rsidP="00164236">
            <w:pPr>
              <w:pStyle w:val="COMPara"/>
              <w:numPr>
                <w:ilvl w:val="0"/>
                <w:numId w:val="0"/>
              </w:numPr>
              <w:spacing w:before="120"/>
              <w:rPr>
                <w:sz w:val="20"/>
              </w:rPr>
            </w:pPr>
            <w:r w:rsidRPr="00F946F3">
              <w:rPr>
                <w:sz w:val="20"/>
              </w:rPr>
              <w:t>Absence de reconnaissance de la pratique de l</w:t>
            </w:r>
            <w:r w:rsidR="00AD5B42" w:rsidRPr="00F946F3">
              <w:rPr>
                <w:sz w:val="20"/>
              </w:rPr>
              <w:t>’</w:t>
            </w:r>
            <w:r w:rsidRPr="00F946F3">
              <w:rPr>
                <w:sz w:val="20"/>
              </w:rPr>
              <w:t>élément en dehors de l'État</w:t>
            </w:r>
            <w:r w:rsidR="00F33FF5" w:rsidRPr="00F946F3">
              <w:rPr>
                <w:sz w:val="20"/>
              </w:rPr>
              <w:t xml:space="preserve"> </w:t>
            </w:r>
            <w:r w:rsidR="0094439D" w:rsidRPr="00F946F3">
              <w:rPr>
                <w:sz w:val="20"/>
              </w:rPr>
              <w:t>soumissionnaire</w:t>
            </w:r>
          </w:p>
        </w:tc>
        <w:tc>
          <w:tcPr>
            <w:tcW w:w="1831" w:type="dxa"/>
            <w:tcBorders>
              <w:left w:val="nil"/>
              <w:right w:val="nil"/>
            </w:tcBorders>
          </w:tcPr>
          <w:p w14:paraId="3690BA87" w14:textId="1EF1A442" w:rsidR="008927B5" w:rsidRPr="00F946F3" w:rsidRDefault="00193778" w:rsidP="00164236">
            <w:pPr>
              <w:pStyle w:val="COMPara"/>
              <w:numPr>
                <w:ilvl w:val="0"/>
                <w:numId w:val="0"/>
              </w:numPr>
              <w:spacing w:before="120"/>
              <w:rPr>
                <w:rFonts w:asciiTheme="minorBidi" w:hAnsiTheme="minorBidi"/>
                <w:sz w:val="20"/>
              </w:rPr>
            </w:pPr>
            <w:r w:rsidRPr="00F946F3">
              <w:rPr>
                <w:rFonts w:asciiTheme="minorBidi" w:hAnsiTheme="minorBidi"/>
                <w:sz w:val="20"/>
              </w:rPr>
              <w:t xml:space="preserve">Lettre des autorités nationales </w:t>
            </w:r>
            <w:r w:rsidR="0094439D" w:rsidRPr="00F946F3">
              <w:rPr>
                <w:rFonts w:asciiTheme="minorBidi" w:hAnsiTheme="minorBidi"/>
                <w:sz w:val="20"/>
              </w:rPr>
              <w:t>de l’Ukraine</w:t>
            </w:r>
            <w:r w:rsidRPr="00F946F3">
              <w:rPr>
                <w:rFonts w:asciiTheme="minorBidi" w:hAnsiTheme="minorBidi"/>
                <w:sz w:val="20"/>
              </w:rPr>
              <w:t xml:space="preserve"> (novembre 2025)</w:t>
            </w:r>
          </w:p>
        </w:tc>
        <w:tc>
          <w:tcPr>
            <w:tcW w:w="1895" w:type="dxa"/>
            <w:tcBorders>
              <w:left w:val="nil"/>
            </w:tcBorders>
          </w:tcPr>
          <w:p w14:paraId="69508B88" w14:textId="0B21E4C9" w:rsidR="008927B5" w:rsidRPr="00F946F3" w:rsidRDefault="00193778" w:rsidP="00164236">
            <w:pPr>
              <w:pStyle w:val="COMPara"/>
              <w:numPr>
                <w:ilvl w:val="0"/>
                <w:numId w:val="0"/>
              </w:numPr>
              <w:spacing w:before="120"/>
              <w:rPr>
                <w:rFonts w:asciiTheme="minorBidi" w:hAnsiTheme="minorBidi"/>
                <w:sz w:val="20"/>
              </w:rPr>
            </w:pPr>
            <w:r w:rsidRPr="00F946F3">
              <w:rPr>
                <w:rFonts w:asciiTheme="minorBidi" w:hAnsiTheme="minorBidi"/>
                <w:sz w:val="20"/>
              </w:rPr>
              <w:t xml:space="preserve">Correspondance transmise à la </w:t>
            </w:r>
            <w:r w:rsidR="00E10FF3" w:rsidRPr="00F946F3">
              <w:rPr>
                <w:rFonts w:asciiTheme="minorBidi" w:hAnsiTheme="minorBidi"/>
                <w:sz w:val="20"/>
              </w:rPr>
              <w:t>D</w:t>
            </w:r>
            <w:r w:rsidRPr="00F946F3">
              <w:rPr>
                <w:rFonts w:asciiTheme="minorBidi" w:hAnsiTheme="minorBidi"/>
                <w:sz w:val="20"/>
              </w:rPr>
              <w:t xml:space="preserve">élégation </w:t>
            </w:r>
            <w:r w:rsidR="00F33FF5" w:rsidRPr="00F946F3">
              <w:rPr>
                <w:rFonts w:asciiTheme="minorBidi" w:hAnsiTheme="minorBidi"/>
                <w:sz w:val="20"/>
              </w:rPr>
              <w:t>P</w:t>
            </w:r>
            <w:r w:rsidRPr="00F946F3">
              <w:rPr>
                <w:rFonts w:asciiTheme="minorBidi" w:hAnsiTheme="minorBidi"/>
                <w:sz w:val="20"/>
              </w:rPr>
              <w:t>ermanente de la République du Bélarus (novembre 2025)</w:t>
            </w:r>
          </w:p>
        </w:tc>
      </w:tr>
      <w:tr w:rsidR="00F33FF5" w:rsidRPr="00F946F3" w14:paraId="41B1361E" w14:textId="77777777" w:rsidTr="00F33FF5">
        <w:tc>
          <w:tcPr>
            <w:tcW w:w="1573" w:type="dxa"/>
            <w:tcBorders>
              <w:right w:val="nil"/>
            </w:tcBorders>
          </w:tcPr>
          <w:p w14:paraId="5F2CCC4C" w14:textId="2E52AB11" w:rsidR="00257821" w:rsidRPr="00F946F3" w:rsidRDefault="00257821" w:rsidP="00257821">
            <w:pPr>
              <w:pStyle w:val="COMPara"/>
              <w:numPr>
                <w:ilvl w:val="0"/>
                <w:numId w:val="0"/>
              </w:numPr>
              <w:spacing w:before="120"/>
              <w:rPr>
                <w:sz w:val="20"/>
                <w:szCs w:val="20"/>
              </w:rPr>
            </w:pPr>
            <w:r w:rsidRPr="00F946F3">
              <w:rPr>
                <w:b/>
                <w:sz w:val="20"/>
              </w:rPr>
              <w:t>Le Caftan marocain : art, traditions et savoir-faire</w:t>
            </w:r>
            <w:r w:rsidRPr="00F946F3">
              <w:rPr>
                <w:sz w:val="20"/>
              </w:rPr>
              <w:t xml:space="preserve"> (n°</w:t>
            </w:r>
            <w:r w:rsidR="00F33FF5" w:rsidRPr="00F946F3">
              <w:rPr>
                <w:sz w:val="20"/>
              </w:rPr>
              <w:t> </w:t>
            </w:r>
            <w:r w:rsidRPr="00F946F3">
              <w:rPr>
                <w:sz w:val="20"/>
              </w:rPr>
              <w:t>02077)</w:t>
            </w:r>
          </w:p>
        </w:tc>
        <w:tc>
          <w:tcPr>
            <w:tcW w:w="1541" w:type="dxa"/>
            <w:tcBorders>
              <w:left w:val="nil"/>
              <w:right w:val="nil"/>
            </w:tcBorders>
          </w:tcPr>
          <w:p w14:paraId="54A66EE0" w14:textId="2B1DC813" w:rsidR="00257821" w:rsidRPr="00F946F3" w:rsidRDefault="00257821" w:rsidP="00257821">
            <w:pPr>
              <w:pStyle w:val="COMPara"/>
              <w:numPr>
                <w:ilvl w:val="0"/>
                <w:numId w:val="0"/>
              </w:numPr>
              <w:spacing w:before="120"/>
              <w:rPr>
                <w:sz w:val="20"/>
                <w:szCs w:val="20"/>
              </w:rPr>
            </w:pPr>
            <w:r w:rsidRPr="00F946F3">
              <w:rPr>
                <w:sz w:val="20"/>
              </w:rPr>
              <w:t>Maroc (projet de décision 20.COM 7.b.33)</w:t>
            </w:r>
          </w:p>
        </w:tc>
        <w:tc>
          <w:tcPr>
            <w:tcW w:w="2221" w:type="dxa"/>
            <w:tcBorders>
              <w:left w:val="nil"/>
              <w:right w:val="nil"/>
            </w:tcBorders>
          </w:tcPr>
          <w:p w14:paraId="0FF87D77" w14:textId="61194411" w:rsidR="00257821" w:rsidRPr="00F946F3" w:rsidRDefault="0013595A" w:rsidP="00257821">
            <w:pPr>
              <w:pStyle w:val="COMPara"/>
              <w:numPr>
                <w:ilvl w:val="0"/>
                <w:numId w:val="0"/>
              </w:numPr>
              <w:spacing w:before="120"/>
              <w:rPr>
                <w:sz w:val="20"/>
                <w:szCs w:val="20"/>
              </w:rPr>
            </w:pPr>
            <w:r w:rsidRPr="00F946F3">
              <w:rPr>
                <w:sz w:val="20"/>
              </w:rPr>
              <w:t xml:space="preserve">Revendications </w:t>
            </w:r>
            <w:r w:rsidR="003754A3" w:rsidRPr="00F946F3">
              <w:rPr>
                <w:sz w:val="20"/>
              </w:rPr>
              <w:t>d</w:t>
            </w:r>
            <w:r w:rsidR="00AD5B42" w:rsidRPr="00F946F3">
              <w:rPr>
                <w:sz w:val="20"/>
              </w:rPr>
              <w:t>’</w:t>
            </w:r>
            <w:r w:rsidR="003754A3" w:rsidRPr="00F946F3">
              <w:rPr>
                <w:sz w:val="20"/>
              </w:rPr>
              <w:t>appropriation</w:t>
            </w:r>
            <w:r w:rsidRPr="00F946F3">
              <w:rPr>
                <w:sz w:val="20"/>
              </w:rPr>
              <w:t xml:space="preserve"> </w:t>
            </w:r>
            <w:r w:rsidR="00F33FF5" w:rsidRPr="00F946F3">
              <w:rPr>
                <w:sz w:val="20"/>
              </w:rPr>
              <w:t>par le biais des</w:t>
            </w:r>
            <w:r w:rsidRPr="00F946F3">
              <w:rPr>
                <w:sz w:val="20"/>
              </w:rPr>
              <w:t xml:space="preserve"> do</w:t>
            </w:r>
            <w:r w:rsidR="00F33FF5" w:rsidRPr="00F946F3">
              <w:rPr>
                <w:sz w:val="20"/>
              </w:rPr>
              <w:t>cuments</w:t>
            </w:r>
            <w:r w:rsidRPr="00F946F3">
              <w:rPr>
                <w:sz w:val="20"/>
              </w:rPr>
              <w:t xml:space="preserve"> de candidature</w:t>
            </w:r>
          </w:p>
        </w:tc>
        <w:tc>
          <w:tcPr>
            <w:tcW w:w="1831" w:type="dxa"/>
            <w:tcBorders>
              <w:left w:val="nil"/>
              <w:right w:val="nil"/>
            </w:tcBorders>
          </w:tcPr>
          <w:p w14:paraId="4AF1FBE5" w14:textId="4FFD5A1B" w:rsidR="00257821" w:rsidRPr="00F946F3" w:rsidRDefault="00257821" w:rsidP="00257821">
            <w:pPr>
              <w:pStyle w:val="COMPara"/>
              <w:numPr>
                <w:ilvl w:val="0"/>
                <w:numId w:val="0"/>
              </w:numPr>
              <w:spacing w:before="120"/>
              <w:rPr>
                <w:sz w:val="20"/>
                <w:szCs w:val="20"/>
              </w:rPr>
            </w:pPr>
            <w:r w:rsidRPr="00F946F3">
              <w:rPr>
                <w:rFonts w:asciiTheme="minorBidi" w:hAnsiTheme="minorBidi"/>
                <w:sz w:val="20"/>
              </w:rPr>
              <w:t>Lettres des autorités nationales de l’Algérie et nombreux courriels de particuliers tiers (janvier à juin 2025)</w:t>
            </w:r>
          </w:p>
        </w:tc>
        <w:tc>
          <w:tcPr>
            <w:tcW w:w="1895" w:type="dxa"/>
            <w:tcBorders>
              <w:left w:val="nil"/>
            </w:tcBorders>
          </w:tcPr>
          <w:p w14:paraId="65E8FC88" w14:textId="5DCA63F6" w:rsidR="00257821" w:rsidRPr="00F946F3" w:rsidRDefault="00257821" w:rsidP="007225D7">
            <w:pPr>
              <w:pStyle w:val="COMPara"/>
              <w:numPr>
                <w:ilvl w:val="0"/>
                <w:numId w:val="0"/>
              </w:numPr>
              <w:spacing w:before="120"/>
              <w:rPr>
                <w:rFonts w:asciiTheme="minorBidi" w:hAnsiTheme="minorBidi" w:cstheme="minorBidi"/>
                <w:sz w:val="20"/>
                <w:szCs w:val="20"/>
              </w:rPr>
            </w:pPr>
            <w:r w:rsidRPr="00F946F3">
              <w:rPr>
                <w:rFonts w:asciiTheme="minorBidi" w:hAnsiTheme="minorBidi"/>
                <w:sz w:val="20"/>
              </w:rPr>
              <w:t>Correspondance</w:t>
            </w:r>
            <w:r w:rsidR="00F33FF5" w:rsidRPr="00F946F3">
              <w:rPr>
                <w:rFonts w:asciiTheme="minorBidi" w:hAnsiTheme="minorBidi"/>
                <w:sz w:val="20"/>
              </w:rPr>
              <w:t>s</w:t>
            </w:r>
            <w:r w:rsidRPr="00F946F3">
              <w:rPr>
                <w:rFonts w:asciiTheme="minorBidi" w:hAnsiTheme="minorBidi"/>
                <w:sz w:val="20"/>
              </w:rPr>
              <w:t xml:space="preserve"> transmise à la Délégation Permanente du </w:t>
            </w:r>
            <w:r w:rsidR="00D54DD4" w:rsidRPr="00F946F3">
              <w:rPr>
                <w:rFonts w:asciiTheme="minorBidi" w:hAnsiTheme="minorBidi"/>
                <w:sz w:val="20"/>
              </w:rPr>
              <w:t xml:space="preserve">Royaume du </w:t>
            </w:r>
            <w:r w:rsidRPr="00F946F3">
              <w:rPr>
                <w:rFonts w:asciiTheme="minorBidi" w:hAnsiTheme="minorBidi"/>
                <w:sz w:val="20"/>
              </w:rPr>
              <w:t>Maroc (juin 2025)</w:t>
            </w:r>
          </w:p>
          <w:p w14:paraId="40596CD6" w14:textId="3869C1B0" w:rsidR="00257821" w:rsidRPr="00F946F3" w:rsidRDefault="00257821" w:rsidP="00257821">
            <w:pPr>
              <w:pStyle w:val="COMPara"/>
              <w:numPr>
                <w:ilvl w:val="0"/>
                <w:numId w:val="0"/>
              </w:numPr>
              <w:spacing w:before="120"/>
              <w:rPr>
                <w:sz w:val="20"/>
                <w:szCs w:val="20"/>
              </w:rPr>
            </w:pPr>
            <w:r w:rsidRPr="00F946F3">
              <w:rPr>
                <w:rFonts w:asciiTheme="minorBidi" w:hAnsiTheme="minorBidi"/>
                <w:sz w:val="20"/>
              </w:rPr>
              <w:t>Lettre</w:t>
            </w:r>
            <w:r w:rsidR="00F33FF5" w:rsidRPr="00F946F3">
              <w:rPr>
                <w:rFonts w:asciiTheme="minorBidi" w:hAnsiTheme="minorBidi"/>
                <w:sz w:val="20"/>
              </w:rPr>
              <w:t>s</w:t>
            </w:r>
            <w:r w:rsidRPr="00F946F3">
              <w:rPr>
                <w:rFonts w:asciiTheme="minorBidi" w:hAnsiTheme="minorBidi"/>
                <w:sz w:val="20"/>
              </w:rPr>
              <w:t xml:space="preserve"> de réponse de la Délégation Permanente du </w:t>
            </w:r>
            <w:r w:rsidR="00D54DD4" w:rsidRPr="00F946F3">
              <w:rPr>
                <w:rFonts w:asciiTheme="minorBidi" w:hAnsiTheme="minorBidi"/>
                <w:sz w:val="20"/>
              </w:rPr>
              <w:t xml:space="preserve">Royaume du </w:t>
            </w:r>
            <w:r w:rsidRPr="00F946F3">
              <w:rPr>
                <w:rFonts w:asciiTheme="minorBidi" w:hAnsiTheme="minorBidi"/>
                <w:sz w:val="20"/>
              </w:rPr>
              <w:t>Maroc (juin 2025)</w:t>
            </w:r>
          </w:p>
        </w:tc>
      </w:tr>
    </w:tbl>
    <w:p w14:paraId="00743995" w14:textId="482D96E8" w:rsidR="0057439C" w:rsidRPr="00F946F3" w:rsidRDefault="007A4E08" w:rsidP="00127411">
      <w:pPr>
        <w:pStyle w:val="COMPara"/>
        <w:spacing w:before="120"/>
        <w:ind w:left="567" w:hanging="567"/>
        <w:jc w:val="both"/>
      </w:pPr>
      <w:r w:rsidRPr="00F946F3">
        <w:t xml:space="preserve">Le Comité souhaitera peut-être demander au Secrétariat de continuer à porter à son attention les informations de tierces parties reçues et traitées concernant le statut d’éléments inscrits et de candidatures en cours. Cela pourrait à nouveau prendre la forme d’un résumé inclus dans un document de travail concernant le suivi des éléments inscrits. Au cours de ce cycle, il y a un petit nombre de correspondances reçues qui n’ont pas été considérées comme </w:t>
      </w:r>
      <w:r w:rsidR="005838BD" w:rsidRPr="00F946F3">
        <w:t xml:space="preserve">nécessitant </w:t>
      </w:r>
      <w:r w:rsidRPr="00F946F3">
        <w:t xml:space="preserve">une attention particulière de la part du Comité, car elles émanaient d’un particulier ou d’un petit groupe sans affiliation institutionnelle, exprimant des opinions </w:t>
      </w:r>
      <w:r w:rsidR="005838BD" w:rsidRPr="00F946F3">
        <w:t xml:space="preserve">personnelles </w:t>
      </w:r>
      <w:r w:rsidRPr="00F946F3">
        <w:t xml:space="preserve">ou des questions qui avaient été soulevées au cours des cycles précédents. </w:t>
      </w:r>
      <w:r w:rsidR="005838BD" w:rsidRPr="00F946F3">
        <w:t>Il est prévu</w:t>
      </w:r>
      <w:r w:rsidRPr="00F946F3">
        <w:t xml:space="preserve"> que la même approche sera suivie</w:t>
      </w:r>
      <w:r w:rsidR="005838BD" w:rsidRPr="00F946F3">
        <w:t xml:space="preserve"> pour les prochains cycles</w:t>
      </w:r>
      <w:r w:rsidRPr="00F946F3">
        <w:t xml:space="preserve">, </w:t>
      </w:r>
      <w:r w:rsidR="005838BD" w:rsidRPr="00F946F3">
        <w:t>ce qui</w:t>
      </w:r>
      <w:r w:rsidRPr="00F946F3">
        <w:t xml:space="preserve"> signifie que toutes les correspondances ne seront </w:t>
      </w:r>
      <w:r w:rsidR="00AD5B42" w:rsidRPr="00F946F3">
        <w:t xml:space="preserve">peut-être </w:t>
      </w:r>
      <w:r w:rsidRPr="00F946F3">
        <w:t xml:space="preserve">pas traitées conformément aux </w:t>
      </w:r>
      <w:r w:rsidR="005838BD" w:rsidRPr="00F946F3">
        <w:t>o</w:t>
      </w:r>
      <w:r w:rsidRPr="00F946F3">
        <w:t>rientations 7.COM 15.</w:t>
      </w:r>
    </w:p>
    <w:p w14:paraId="50D3EAFF" w14:textId="5B425578" w:rsidR="00D95C4C" w:rsidRPr="00F946F3" w:rsidRDefault="000B1C8F" w:rsidP="00AC18C1">
      <w:pPr>
        <w:pStyle w:val="COMPara"/>
        <w:ind w:left="567" w:hanging="567"/>
      </w:pPr>
      <w:r w:rsidRPr="00F946F3">
        <w:t>Le Comité souhaitera peut-être adopter la décision suivante :</w:t>
      </w:r>
    </w:p>
    <w:p w14:paraId="6CEB1E9D" w14:textId="7A9FC5E6" w:rsidR="00D95C4C" w:rsidRPr="00F946F3" w:rsidRDefault="004A34A0" w:rsidP="001D14FE">
      <w:pPr>
        <w:pStyle w:val="COMTitleDecision"/>
        <w:rPr>
          <w:rFonts w:eastAsia="SimSun"/>
        </w:rPr>
      </w:pPr>
      <w:r w:rsidRPr="00F946F3">
        <w:t>PROJET DE DÉCISION 20.COM 9.a</w:t>
      </w:r>
    </w:p>
    <w:p w14:paraId="13024F0B" w14:textId="77777777" w:rsidR="00D95C4C" w:rsidRPr="00F946F3" w:rsidRDefault="00285BB4" w:rsidP="00285BB4">
      <w:pPr>
        <w:pStyle w:val="COMPreambulaDecisions"/>
        <w:rPr>
          <w:rFonts w:eastAsia="SimSun"/>
        </w:rPr>
      </w:pPr>
      <w:r w:rsidRPr="00F946F3">
        <w:t>Le Comité,</w:t>
      </w:r>
    </w:p>
    <w:p w14:paraId="5A9F22F3" w14:textId="03C6A8EB" w:rsidR="0057439C" w:rsidRPr="00F946F3" w:rsidRDefault="00D95C4C" w:rsidP="004A2875">
      <w:pPr>
        <w:pStyle w:val="COMParaDecision"/>
      </w:pPr>
      <w:r w:rsidRPr="00F946F3">
        <w:t>Ayant examiné</w:t>
      </w:r>
      <w:r w:rsidRPr="00F946F3">
        <w:rPr>
          <w:u w:val="none"/>
        </w:rPr>
        <w:t xml:space="preserve"> le document LHE/25/20.COM/9, </w:t>
      </w:r>
    </w:p>
    <w:p w14:paraId="260CA8D5" w14:textId="0847B6B6" w:rsidR="0057439C" w:rsidRPr="00F946F3" w:rsidRDefault="0057439C" w:rsidP="004A2875">
      <w:pPr>
        <w:pStyle w:val="COMParaDecision"/>
      </w:pPr>
      <w:r w:rsidRPr="00F946F3">
        <w:t>Rappelant</w:t>
      </w:r>
      <w:r w:rsidRPr="00F946F3">
        <w:rPr>
          <w:u w:val="none"/>
        </w:rPr>
        <w:t xml:space="preserve"> les décisions </w:t>
      </w:r>
      <w:hyperlink r:id="rId12" w:history="1">
        <w:r w:rsidRPr="00F946F3">
          <w:rPr>
            <w:rStyle w:val="Hyperlink"/>
          </w:rPr>
          <w:t>7.COM 15</w:t>
        </w:r>
      </w:hyperlink>
      <w:r w:rsidRPr="00F946F3">
        <w:rPr>
          <w:u w:val="none"/>
        </w:rPr>
        <w:t xml:space="preserve">, </w:t>
      </w:r>
      <w:hyperlink r:id="rId13" w:history="1">
        <w:r w:rsidRPr="00F946F3">
          <w:rPr>
            <w:rStyle w:val="Hyperlink"/>
          </w:rPr>
          <w:t>13.COM 9</w:t>
        </w:r>
      </w:hyperlink>
      <w:r w:rsidRPr="00F946F3">
        <w:rPr>
          <w:u w:val="none"/>
        </w:rPr>
        <w:t xml:space="preserve"> et </w:t>
      </w:r>
      <w:hyperlink r:id="rId14" w:history="1">
        <w:r w:rsidRPr="00F946F3">
          <w:rPr>
            <w:rStyle w:val="Hyperlink"/>
          </w:rPr>
          <w:t>19.COM 8</w:t>
        </w:r>
      </w:hyperlink>
      <w:r w:rsidRPr="00F946F3">
        <w:rPr>
          <w:u w:val="none"/>
        </w:rPr>
        <w:t xml:space="preserve">, </w:t>
      </w:r>
    </w:p>
    <w:p w14:paraId="4E7D4392" w14:textId="4A4F2373" w:rsidR="005566FF" w:rsidRPr="00F946F3" w:rsidRDefault="004A2875" w:rsidP="004A2875">
      <w:pPr>
        <w:pStyle w:val="COMParaDecision"/>
      </w:pPr>
      <w:r w:rsidRPr="00F946F3">
        <w:t>Prend note</w:t>
      </w:r>
      <w:r w:rsidRPr="00F946F3">
        <w:rPr>
          <w:u w:val="none"/>
        </w:rPr>
        <w:t xml:space="preserve"> de la correspondance concernant six éléments inscrits et </w:t>
      </w:r>
      <w:r w:rsidR="005838BD" w:rsidRPr="00F946F3">
        <w:rPr>
          <w:u w:val="none"/>
        </w:rPr>
        <w:t xml:space="preserve">trois </w:t>
      </w:r>
      <w:r w:rsidRPr="00F946F3">
        <w:rPr>
          <w:u w:val="none"/>
        </w:rPr>
        <w:t xml:space="preserve">candidatures en cours portée à l’attention du Secrétariat au cours de la période </w:t>
      </w:r>
      <w:r w:rsidR="005838BD" w:rsidRPr="00F946F3">
        <w:rPr>
          <w:u w:val="none"/>
        </w:rPr>
        <w:t>couverte par le rapport</w:t>
      </w:r>
      <w:r w:rsidRPr="00F946F3">
        <w:rPr>
          <w:u w:val="none"/>
        </w:rPr>
        <w:t xml:space="preserve">, comme indiqué dans le document susmentionné ; </w:t>
      </w:r>
    </w:p>
    <w:p w14:paraId="4E707AB3" w14:textId="5090BF65" w:rsidR="003E69D9" w:rsidRPr="00F946F3" w:rsidRDefault="005566FF" w:rsidP="00127411">
      <w:pPr>
        <w:pStyle w:val="COMParaDecision"/>
      </w:pPr>
      <w:r w:rsidRPr="00F946F3">
        <w:t>Demande</w:t>
      </w:r>
      <w:r w:rsidRPr="00F946F3">
        <w:rPr>
          <w:u w:val="none"/>
        </w:rPr>
        <w:t xml:space="preserve"> que le Secrétariat continue de porter à l’attention du Comité les informations de tierces parties reçues et traitées concernant </w:t>
      </w:r>
      <w:r w:rsidR="00AD5B42" w:rsidRPr="00F946F3">
        <w:rPr>
          <w:u w:val="none"/>
        </w:rPr>
        <w:t>d</w:t>
      </w:r>
      <w:r w:rsidRPr="00F946F3">
        <w:rPr>
          <w:u w:val="none"/>
        </w:rPr>
        <w:t xml:space="preserve">es éléments déjà inscrits et les candidatures en cours, sous la forme d’un résumé inclus dans un document de travail. </w:t>
      </w:r>
      <w:r w:rsidRPr="00F946F3">
        <w:br w:type="page"/>
      </w:r>
    </w:p>
    <w:p w14:paraId="1BC21658" w14:textId="6FB1AE9F" w:rsidR="00190205" w:rsidRPr="00F946F3" w:rsidRDefault="003E69D9" w:rsidP="003E69D9">
      <w:pPr>
        <w:pStyle w:val="COMPara"/>
        <w:numPr>
          <w:ilvl w:val="0"/>
          <w:numId w:val="22"/>
        </w:numPr>
        <w:spacing w:before="240"/>
        <w:ind w:left="567" w:hanging="567"/>
        <w:jc w:val="both"/>
      </w:pPr>
      <w:r w:rsidRPr="00F946F3">
        <w:rPr>
          <w:b/>
        </w:rPr>
        <w:t>Modification du nom d’éléments inscrits</w:t>
      </w:r>
    </w:p>
    <w:p w14:paraId="1D644861" w14:textId="6EC1F6A7" w:rsidR="00026C57" w:rsidRPr="00F946F3" w:rsidRDefault="00026C57" w:rsidP="000927B4">
      <w:pPr>
        <w:pStyle w:val="COMPara"/>
        <w:ind w:left="567" w:hanging="567"/>
        <w:jc w:val="both"/>
      </w:pPr>
      <w:r w:rsidRPr="00F946F3">
        <w:t>Les autorités nationales de l’Algérie ont initialement soumis deux demandes le 22 août 2025 de modifi</w:t>
      </w:r>
      <w:r w:rsidR="00205963" w:rsidRPr="00F946F3">
        <w:t>er</w:t>
      </w:r>
      <w:r w:rsidRPr="00F946F3">
        <w:t xml:space="preserve"> </w:t>
      </w:r>
      <w:r w:rsidR="00205963" w:rsidRPr="00F946F3">
        <w:t>l</w:t>
      </w:r>
      <w:r w:rsidRPr="00F946F3">
        <w:t>es noms des deux éléments suivants inscrits sur la Liste représentative du patrimoine culturel immatériel de l’humanité</w:t>
      </w:r>
      <w:r w:rsidR="00205963" w:rsidRPr="00F946F3">
        <w:t> :</w:t>
      </w:r>
      <w:r w:rsidRPr="00F946F3">
        <w:t xml:space="preserve"> </w:t>
      </w:r>
    </w:p>
    <w:p w14:paraId="5C4060A0" w14:textId="1CBFA28C" w:rsidR="000927B4" w:rsidRPr="00F946F3" w:rsidRDefault="000927B4" w:rsidP="008A18EC">
      <w:pPr>
        <w:pStyle w:val="ListParagraph"/>
        <w:numPr>
          <w:ilvl w:val="0"/>
          <w:numId w:val="28"/>
        </w:numPr>
        <w:ind w:left="1134" w:hanging="567"/>
        <w:jc w:val="both"/>
        <w:rPr>
          <w:rFonts w:ascii="Arial" w:hAnsi="Arial" w:cs="Arial"/>
          <w:snapToGrid w:val="0"/>
          <w:sz w:val="22"/>
          <w:szCs w:val="22"/>
        </w:rPr>
      </w:pPr>
      <w:r w:rsidRPr="00F946F3">
        <w:rPr>
          <w:rFonts w:ascii="Arial" w:hAnsi="Arial"/>
          <w:snapToGrid w:val="0"/>
          <w:sz w:val="22"/>
        </w:rPr>
        <w:t>« Les rites et les savoir-faire artisanaux associés à la tradition du costume nuptial de Tlemcen »</w:t>
      </w:r>
      <w:r w:rsidR="00205963" w:rsidRPr="00F946F3">
        <w:rPr>
          <w:rFonts w:ascii="Arial" w:hAnsi="Arial"/>
          <w:snapToGrid w:val="0"/>
          <w:sz w:val="22"/>
        </w:rPr>
        <w:t> ;</w:t>
      </w:r>
    </w:p>
    <w:p w14:paraId="2A686619" w14:textId="74B18625" w:rsidR="000927B4" w:rsidRPr="00F946F3" w:rsidRDefault="000927B4" w:rsidP="008A18EC">
      <w:pPr>
        <w:pStyle w:val="COMPara"/>
        <w:numPr>
          <w:ilvl w:val="0"/>
          <w:numId w:val="28"/>
        </w:numPr>
        <w:ind w:left="1134" w:hanging="567"/>
        <w:jc w:val="both"/>
      </w:pPr>
      <w:r w:rsidRPr="00F946F3">
        <w:t>« Le costume féminin de cérémonie dans le Grand Est de l’Algérie : savoir-faire associés à la confection et à la parure de la “Gandoura” et de la “Melehfa” »</w:t>
      </w:r>
      <w:r w:rsidR="00205963" w:rsidRPr="00F946F3">
        <w:t>.</w:t>
      </w:r>
    </w:p>
    <w:p w14:paraId="3D166CAA" w14:textId="22205942" w:rsidR="002A1138" w:rsidRPr="00F946F3" w:rsidRDefault="002A1138" w:rsidP="007225D7">
      <w:pPr>
        <w:pStyle w:val="COMPara"/>
        <w:numPr>
          <w:ilvl w:val="0"/>
          <w:numId w:val="0"/>
        </w:numPr>
        <w:ind w:left="567"/>
        <w:jc w:val="both"/>
      </w:pPr>
      <w:r w:rsidRPr="00F946F3">
        <w:t xml:space="preserve">Ces deux demandes de l’Algérie </w:t>
      </w:r>
      <w:r w:rsidR="00205963" w:rsidRPr="00F946F3">
        <w:t>sont</w:t>
      </w:r>
      <w:r w:rsidRPr="00F946F3">
        <w:t xml:space="preserve"> présentées au Comité conformément au chapitre I.12 des Directives opérationnelles.</w:t>
      </w:r>
    </w:p>
    <w:p w14:paraId="2EE98ABD" w14:textId="3C00A8BD" w:rsidR="00026C57" w:rsidRPr="00F946F3" w:rsidRDefault="00026C57" w:rsidP="007225D7">
      <w:pPr>
        <w:pStyle w:val="COMPara"/>
        <w:numPr>
          <w:ilvl w:val="0"/>
          <w:numId w:val="0"/>
        </w:numPr>
        <w:spacing w:before="240"/>
        <w:ind w:left="567"/>
        <w:jc w:val="both"/>
        <w:rPr>
          <w:u w:val="single"/>
        </w:rPr>
      </w:pPr>
      <w:r w:rsidRPr="00F946F3">
        <w:rPr>
          <w:u w:val="single"/>
        </w:rPr>
        <w:t>« Les rites et les savoir-faire artisanaux associés à la tradition du costume nuptial de Tlemcen »</w:t>
      </w:r>
    </w:p>
    <w:p w14:paraId="5227EFC5" w14:textId="4B578152" w:rsidR="00257821" w:rsidRPr="00F946F3" w:rsidRDefault="00257821" w:rsidP="000927B4">
      <w:pPr>
        <w:pStyle w:val="COMPara"/>
        <w:ind w:left="567" w:hanging="567"/>
        <w:jc w:val="both"/>
      </w:pPr>
      <w:r w:rsidRPr="00F946F3">
        <w:t>Lors de sa septième session en 2012, le Comité a examiné le dossier de candidature n° 00668 soumis par l’Algérie et a décidé d’inscrire l’élément « Les rites et les savoir-faire artisanaux associés à la tradition du costume nuptial de Tlemcen » sur la Liste représentative du patrimoine culturel immatériel de l’humanité (Décision </w:t>
      </w:r>
      <w:hyperlink r:id="rId15" w:history="1">
        <w:r w:rsidRPr="00F946F3">
          <w:rPr>
            <w:rStyle w:val="Hyperlink"/>
          </w:rPr>
          <w:t>7.COM 11.1</w:t>
        </w:r>
      </w:hyperlink>
      <w:r w:rsidRPr="00F946F3">
        <w:t>).</w:t>
      </w:r>
    </w:p>
    <w:p w14:paraId="3FDF3579" w14:textId="6835DC86" w:rsidR="002232A3" w:rsidRPr="00F946F3" w:rsidRDefault="002232A3" w:rsidP="000927B4">
      <w:pPr>
        <w:pStyle w:val="COMPara"/>
        <w:ind w:left="567" w:hanging="567"/>
        <w:jc w:val="both"/>
      </w:pPr>
      <w:r w:rsidRPr="00F946F3">
        <w:t>L</w:t>
      </w:r>
      <w:r w:rsidR="00205963" w:rsidRPr="00F946F3">
        <w:t>a demande de l</w:t>
      </w:r>
      <w:r w:rsidRPr="00F946F3">
        <w:t xml:space="preserve">’État partie </w:t>
      </w:r>
      <w:r w:rsidR="00205963" w:rsidRPr="00F946F3">
        <w:t>consiste</w:t>
      </w:r>
      <w:r w:rsidRPr="00F946F3">
        <w:t xml:space="preserve"> à ajouter la mention « (le </w:t>
      </w:r>
      <w:r w:rsidR="0015127E" w:rsidRPr="00F946F3">
        <w:t>P</w:t>
      </w:r>
      <w:r w:rsidRPr="00F946F3">
        <w:t xml:space="preserve">ort du </w:t>
      </w:r>
      <w:r w:rsidR="00205963" w:rsidRPr="00F946F3">
        <w:t>C</w:t>
      </w:r>
      <w:r w:rsidRPr="00F946F3">
        <w:t>aftan) » à la section B.3 du formulaire ICH-02 comme suit :</w:t>
      </w:r>
    </w:p>
    <w:tbl>
      <w:tblPr>
        <w:tblStyle w:val="TableGrid"/>
        <w:tblW w:w="0" w:type="auto"/>
        <w:tblInd w:w="567" w:type="dxa"/>
        <w:tblLook w:val="04A0" w:firstRow="1" w:lastRow="0" w:firstColumn="1" w:lastColumn="0" w:noHBand="0" w:noVBand="1"/>
      </w:tblPr>
      <w:tblGrid>
        <w:gridCol w:w="4549"/>
        <w:gridCol w:w="4512"/>
      </w:tblGrid>
      <w:tr w:rsidR="00FE44E0" w:rsidRPr="00F946F3" w14:paraId="1CCFD340" w14:textId="77777777" w:rsidTr="007225D7">
        <w:tc>
          <w:tcPr>
            <w:tcW w:w="4814" w:type="dxa"/>
            <w:shd w:val="clear" w:color="auto" w:fill="D9D9D9" w:themeFill="background1" w:themeFillShade="D9"/>
          </w:tcPr>
          <w:p w14:paraId="5BAD1FEE" w14:textId="621EAF1F" w:rsidR="002232A3" w:rsidRPr="00F946F3" w:rsidRDefault="002232A3" w:rsidP="002232A3">
            <w:pPr>
              <w:pStyle w:val="COMPara"/>
              <w:numPr>
                <w:ilvl w:val="0"/>
                <w:numId w:val="0"/>
              </w:numPr>
              <w:jc w:val="both"/>
            </w:pPr>
            <w:r w:rsidRPr="00F946F3">
              <w:t>Texte du formulaire de candidature ICH-02 tel qu’il a été examiné par le Comité au moment de l’inscription</w:t>
            </w:r>
          </w:p>
        </w:tc>
        <w:tc>
          <w:tcPr>
            <w:tcW w:w="4814" w:type="dxa"/>
            <w:shd w:val="clear" w:color="auto" w:fill="D9D9D9" w:themeFill="background1" w:themeFillShade="D9"/>
          </w:tcPr>
          <w:p w14:paraId="1BAED28B" w14:textId="36CCB602" w:rsidR="002232A3" w:rsidRPr="00F946F3" w:rsidRDefault="00FE44E0" w:rsidP="002232A3">
            <w:pPr>
              <w:pStyle w:val="COMPara"/>
              <w:numPr>
                <w:ilvl w:val="0"/>
                <w:numId w:val="0"/>
              </w:numPr>
              <w:jc w:val="both"/>
            </w:pPr>
            <w:r w:rsidRPr="00F946F3">
              <w:t xml:space="preserve">Modification proposée par l’État partie concerné (modification </w:t>
            </w:r>
            <w:r w:rsidRPr="00F946F3">
              <w:rPr>
                <w:b/>
              </w:rPr>
              <w:t>en gras</w:t>
            </w:r>
            <w:r w:rsidRPr="00F946F3">
              <w:t>)</w:t>
            </w:r>
          </w:p>
        </w:tc>
      </w:tr>
      <w:tr w:rsidR="00FE44E0" w:rsidRPr="00F946F3" w14:paraId="36933110" w14:textId="77777777" w:rsidTr="002232A3">
        <w:tc>
          <w:tcPr>
            <w:tcW w:w="4814" w:type="dxa"/>
          </w:tcPr>
          <w:p w14:paraId="14EC85E7" w14:textId="77777777" w:rsidR="002232A3" w:rsidRPr="00F946F3" w:rsidRDefault="002232A3" w:rsidP="00FE44E0">
            <w:pPr>
              <w:pStyle w:val="COMPara"/>
              <w:numPr>
                <w:ilvl w:val="0"/>
                <w:numId w:val="0"/>
              </w:numPr>
              <w:jc w:val="both"/>
            </w:pPr>
            <w:r w:rsidRPr="00F946F3">
              <w:t>B.3. Autre(s) nom(s) de l'élément, le cas échéant</w:t>
            </w:r>
          </w:p>
          <w:p w14:paraId="20B4C4E9" w14:textId="37373A24" w:rsidR="00CA7269" w:rsidRPr="00F946F3" w:rsidRDefault="002232A3" w:rsidP="007225D7">
            <w:pPr>
              <w:pStyle w:val="COMPara"/>
              <w:numPr>
                <w:ilvl w:val="0"/>
                <w:numId w:val="0"/>
              </w:numPr>
              <w:jc w:val="both"/>
            </w:pPr>
            <w:r w:rsidRPr="00F946F3">
              <w:t xml:space="preserve">Le costume traditionnel autour duquel s’organise le rituel </w:t>
            </w:r>
            <w:r w:rsidR="0015127E" w:rsidRPr="00F946F3">
              <w:t xml:space="preserve">nuptial s’appelle </w:t>
            </w:r>
            <w:r w:rsidR="00086FD0" w:rsidRPr="00F946F3">
              <w:t>"</w:t>
            </w:r>
            <w:r w:rsidRPr="00F946F3">
              <w:t>Lebset El-Arftan</w:t>
            </w:r>
            <w:r w:rsidR="00086FD0" w:rsidRPr="00F946F3">
              <w:t>"</w:t>
            </w:r>
            <w:r w:rsidRPr="00F946F3">
              <w:t>.</w:t>
            </w:r>
            <w:r w:rsidR="00CC680D" w:rsidRPr="00F946F3">
              <w:t xml:space="preserve"> </w:t>
            </w:r>
          </w:p>
          <w:p w14:paraId="6BE7ECEE" w14:textId="49E6EA32" w:rsidR="002232A3" w:rsidRPr="00F946F3" w:rsidRDefault="00086FD0" w:rsidP="00FE44E0">
            <w:pPr>
              <w:pStyle w:val="COMPara"/>
              <w:numPr>
                <w:ilvl w:val="0"/>
                <w:numId w:val="0"/>
              </w:numPr>
              <w:jc w:val="both"/>
            </w:pPr>
            <w:r w:rsidRPr="00F946F3">
              <w:t>"</w:t>
            </w:r>
            <w:r w:rsidR="002232A3" w:rsidRPr="00F946F3">
              <w:t>Chedda</w:t>
            </w:r>
            <w:r w:rsidRPr="00F946F3">
              <w:t>"</w:t>
            </w:r>
            <w:r w:rsidR="002232A3" w:rsidRPr="00F946F3">
              <w:t xml:space="preserve"> est le nom plus court et plus récent</w:t>
            </w:r>
            <w:r w:rsidR="0015127E" w:rsidRPr="00F946F3">
              <w:t xml:space="preserve"> qui lui est </w:t>
            </w:r>
            <w:r w:rsidR="00CC680D" w:rsidRPr="00F946F3">
              <w:t xml:space="preserve">souvent </w:t>
            </w:r>
            <w:r w:rsidR="0015127E" w:rsidRPr="00F946F3">
              <w:t>attribué</w:t>
            </w:r>
            <w:r w:rsidR="002232A3" w:rsidRPr="00F946F3">
              <w:t xml:space="preserve"> aujourd’hui.</w:t>
            </w:r>
          </w:p>
        </w:tc>
        <w:tc>
          <w:tcPr>
            <w:tcW w:w="4814" w:type="dxa"/>
          </w:tcPr>
          <w:p w14:paraId="69CD3948" w14:textId="77777777" w:rsidR="00FE44E0" w:rsidRPr="00F946F3" w:rsidRDefault="00FE44E0" w:rsidP="00FE44E0">
            <w:pPr>
              <w:pStyle w:val="COMPara"/>
              <w:numPr>
                <w:ilvl w:val="0"/>
                <w:numId w:val="0"/>
              </w:numPr>
              <w:jc w:val="both"/>
            </w:pPr>
            <w:r w:rsidRPr="00F946F3">
              <w:t>B.3. Autre(s) nom(s) de l'élément, le cas échéant</w:t>
            </w:r>
          </w:p>
          <w:p w14:paraId="23C32DBA" w14:textId="25AFB6E2" w:rsidR="00CA7269" w:rsidRPr="00F946F3" w:rsidRDefault="00FE44E0" w:rsidP="00CC680D">
            <w:pPr>
              <w:pStyle w:val="COMPara"/>
              <w:numPr>
                <w:ilvl w:val="0"/>
                <w:numId w:val="0"/>
              </w:numPr>
              <w:jc w:val="both"/>
            </w:pPr>
            <w:r w:rsidRPr="00F946F3">
              <w:t xml:space="preserve">Le costume traditionnel autour duquel s’organise le rituel </w:t>
            </w:r>
            <w:r w:rsidR="00CC680D" w:rsidRPr="00F946F3">
              <w:t>nuptial</w:t>
            </w:r>
            <w:r w:rsidRPr="00F946F3">
              <w:t xml:space="preserve"> </w:t>
            </w:r>
            <w:r w:rsidR="00CC680D" w:rsidRPr="00F946F3">
              <w:t>s’appelle</w:t>
            </w:r>
            <w:r w:rsidRPr="00F946F3">
              <w:t xml:space="preserve"> </w:t>
            </w:r>
            <w:r w:rsidR="00CC680D" w:rsidRPr="00F946F3">
              <w:t>"</w:t>
            </w:r>
            <w:r w:rsidRPr="00F946F3">
              <w:t xml:space="preserve">Lebset El-Arftan </w:t>
            </w:r>
            <w:r w:rsidRPr="00F946F3">
              <w:rPr>
                <w:b/>
              </w:rPr>
              <w:t xml:space="preserve">(le </w:t>
            </w:r>
            <w:r w:rsidR="0015127E" w:rsidRPr="00F946F3">
              <w:rPr>
                <w:b/>
              </w:rPr>
              <w:t>P</w:t>
            </w:r>
            <w:r w:rsidRPr="00F946F3">
              <w:rPr>
                <w:b/>
              </w:rPr>
              <w:t>ort du Caftan)</w:t>
            </w:r>
            <w:r w:rsidR="00CC680D" w:rsidRPr="00F946F3">
              <w:t>"</w:t>
            </w:r>
            <w:r w:rsidRPr="00F946F3">
              <w:t>.</w:t>
            </w:r>
            <w:r w:rsidR="00CC680D" w:rsidRPr="00F946F3">
              <w:t xml:space="preserve"> </w:t>
            </w:r>
          </w:p>
          <w:p w14:paraId="3B794685" w14:textId="70DAEE52" w:rsidR="002232A3" w:rsidRPr="00F946F3" w:rsidRDefault="00FE44E0" w:rsidP="00CC680D">
            <w:pPr>
              <w:pStyle w:val="COMPara"/>
              <w:numPr>
                <w:ilvl w:val="0"/>
                <w:numId w:val="0"/>
              </w:numPr>
              <w:jc w:val="both"/>
            </w:pPr>
            <w:r w:rsidRPr="00F946F3">
              <w:t>« Chedda » est le nom plus court et plus récent</w:t>
            </w:r>
            <w:r w:rsidR="00CC680D" w:rsidRPr="00F946F3">
              <w:t xml:space="preserve"> qui lui est souvent attribué </w:t>
            </w:r>
            <w:r w:rsidRPr="00F946F3">
              <w:t>aujourd’hui.</w:t>
            </w:r>
          </w:p>
        </w:tc>
      </w:tr>
    </w:tbl>
    <w:p w14:paraId="6CF1A64C" w14:textId="5BA273DE" w:rsidR="00410819" w:rsidRPr="00F946F3" w:rsidRDefault="00257821" w:rsidP="00FE44E0">
      <w:pPr>
        <w:pStyle w:val="COMPara"/>
        <w:spacing w:before="120"/>
        <w:ind w:left="567" w:hanging="567"/>
        <w:jc w:val="both"/>
      </w:pPr>
      <w:r w:rsidRPr="00F946F3">
        <w:t>Selon l’explication fournie par l’État partie, la demande reflète le souhait des communautés de s’assurer que l’expression « Lebset El-Arftan » utilisée dans la langue de la communauté soit comprise par un public plus large. La demande indique que cette modification est destinée à promouvoir la sensibilisation et la diffusion dans le monde entier et en plusieurs langues.</w:t>
      </w:r>
    </w:p>
    <w:p w14:paraId="115B5767" w14:textId="395A0499" w:rsidR="00026C57" w:rsidRPr="00F946F3" w:rsidRDefault="00026C57" w:rsidP="007225D7">
      <w:pPr>
        <w:pStyle w:val="COMPara"/>
        <w:numPr>
          <w:ilvl w:val="0"/>
          <w:numId w:val="0"/>
        </w:numPr>
        <w:spacing w:before="240"/>
        <w:ind w:left="567"/>
        <w:jc w:val="both"/>
        <w:rPr>
          <w:u w:val="single"/>
        </w:rPr>
      </w:pPr>
      <w:r w:rsidRPr="00F946F3">
        <w:rPr>
          <w:u w:val="single"/>
        </w:rPr>
        <w:t>« Le costume féminin de cérémonie dans le Grand Est de l’Algérie : savoir-faire associés à la confection et à la parure de la “Gandoura” et de la “Melehfa” »</w:t>
      </w:r>
    </w:p>
    <w:p w14:paraId="3461A024" w14:textId="5B0E8820" w:rsidR="00026C57" w:rsidRPr="00F946F3" w:rsidRDefault="00026C57" w:rsidP="000927B4">
      <w:pPr>
        <w:pStyle w:val="COMPara"/>
        <w:ind w:left="567" w:hanging="567"/>
        <w:jc w:val="both"/>
      </w:pPr>
      <w:r w:rsidRPr="00F946F3">
        <w:t>Lors de sa dix-neuvième session en 2024, le Comité a examiné le dossier de candidature n° 02139 soumis par l’Algérie et a décidé d’inscrire l’élément « Le costume féminin de cérémonie dans le Grand Est de l’Algérie : savoir-faire associés à la confection et à la parure de la “Gandoura” et de la “Melehfa” » sur la Liste représentative du patrimoine culturel immatériel de l’humanité (Décision </w:t>
      </w:r>
      <w:hyperlink r:id="rId16" w:history="1">
        <w:r w:rsidRPr="00F946F3">
          <w:rPr>
            <w:rStyle w:val="Hyperlink"/>
          </w:rPr>
          <w:t>19.COM 7.b.20</w:t>
        </w:r>
      </w:hyperlink>
      <w:r w:rsidRPr="00F946F3">
        <w:t>).</w:t>
      </w:r>
    </w:p>
    <w:p w14:paraId="23D07982" w14:textId="19F5BBCD" w:rsidR="00410819" w:rsidRPr="00F946F3" w:rsidRDefault="00410819" w:rsidP="007225D7">
      <w:pPr>
        <w:pStyle w:val="COMPara"/>
        <w:ind w:left="567" w:hanging="567"/>
        <w:jc w:val="both"/>
      </w:pPr>
      <w:r w:rsidRPr="00F946F3">
        <w:t>L</w:t>
      </w:r>
      <w:r w:rsidR="0015127E" w:rsidRPr="00F946F3">
        <w:t>a demande de l</w:t>
      </w:r>
      <w:r w:rsidRPr="00F946F3">
        <w:t xml:space="preserve">’État partie </w:t>
      </w:r>
      <w:r w:rsidR="0015127E" w:rsidRPr="00F946F3">
        <w:t>consiste</w:t>
      </w:r>
      <w:r w:rsidRPr="00F946F3">
        <w:t xml:space="preserve"> à modifier le nom de l’élément dans la langue de la communauté et dans les langues de travail du Comité (sections B.1 et B.2 du formulaire ICH-02) comme suit :</w:t>
      </w:r>
    </w:p>
    <w:tbl>
      <w:tblPr>
        <w:tblStyle w:val="TableGrid"/>
        <w:tblW w:w="0" w:type="auto"/>
        <w:tblInd w:w="567" w:type="dxa"/>
        <w:tblLook w:val="04A0" w:firstRow="1" w:lastRow="0" w:firstColumn="1" w:lastColumn="0" w:noHBand="0" w:noVBand="1"/>
      </w:tblPr>
      <w:tblGrid>
        <w:gridCol w:w="4530"/>
        <w:gridCol w:w="4531"/>
      </w:tblGrid>
      <w:tr w:rsidR="009D7914" w:rsidRPr="00F946F3" w14:paraId="1A2B3033" w14:textId="77777777" w:rsidTr="007225D7">
        <w:tc>
          <w:tcPr>
            <w:tcW w:w="4530" w:type="dxa"/>
            <w:shd w:val="clear" w:color="auto" w:fill="D9D9D9" w:themeFill="background1" w:themeFillShade="D9"/>
          </w:tcPr>
          <w:p w14:paraId="4B00B288" w14:textId="77777777" w:rsidR="00410819" w:rsidRPr="00F946F3" w:rsidRDefault="00410819" w:rsidP="007225D7">
            <w:pPr>
              <w:pStyle w:val="COMPara"/>
              <w:keepNext/>
              <w:numPr>
                <w:ilvl w:val="0"/>
                <w:numId w:val="0"/>
              </w:numPr>
              <w:jc w:val="both"/>
            </w:pPr>
            <w:r w:rsidRPr="00F946F3">
              <w:t>Texte du formulaire de candidature ICH-02 tel qu’il a été examiné par le Comité au moment de l’inscription</w:t>
            </w:r>
          </w:p>
        </w:tc>
        <w:tc>
          <w:tcPr>
            <w:tcW w:w="4531" w:type="dxa"/>
            <w:shd w:val="clear" w:color="auto" w:fill="D9D9D9" w:themeFill="background1" w:themeFillShade="D9"/>
          </w:tcPr>
          <w:p w14:paraId="74CDE731" w14:textId="77777777" w:rsidR="00410819" w:rsidRPr="00F946F3" w:rsidRDefault="00410819" w:rsidP="007225D7">
            <w:pPr>
              <w:pStyle w:val="COMPara"/>
              <w:keepNext/>
              <w:numPr>
                <w:ilvl w:val="0"/>
                <w:numId w:val="0"/>
              </w:numPr>
              <w:jc w:val="both"/>
            </w:pPr>
            <w:r w:rsidRPr="00F946F3">
              <w:t xml:space="preserve">Modification proposée par l’État partie concerné (modification </w:t>
            </w:r>
            <w:r w:rsidRPr="00F946F3">
              <w:rPr>
                <w:b/>
              </w:rPr>
              <w:t>en gras</w:t>
            </w:r>
            <w:r w:rsidRPr="00F946F3">
              <w:t>)</w:t>
            </w:r>
          </w:p>
        </w:tc>
      </w:tr>
      <w:tr w:rsidR="009D7914" w:rsidRPr="00F946F3" w14:paraId="4D9AE229" w14:textId="77777777" w:rsidTr="007225D7">
        <w:tc>
          <w:tcPr>
            <w:tcW w:w="4530" w:type="dxa"/>
          </w:tcPr>
          <w:p w14:paraId="51C8B831" w14:textId="03326332" w:rsidR="00EA67D5" w:rsidRPr="00F946F3" w:rsidRDefault="009D7914" w:rsidP="007225D7">
            <w:pPr>
              <w:pStyle w:val="COMPara"/>
              <w:keepNext/>
              <w:numPr>
                <w:ilvl w:val="0"/>
                <w:numId w:val="0"/>
              </w:numPr>
              <w:rPr>
                <w:rFonts w:asciiTheme="minorBidi" w:eastAsia="SimSun" w:hAnsiTheme="minorBidi" w:cstheme="minorBidi"/>
                <w:snapToGrid/>
              </w:rPr>
            </w:pPr>
            <w:r w:rsidRPr="00F946F3">
              <w:rPr>
                <w:rFonts w:asciiTheme="minorBidi" w:hAnsiTheme="minorBidi"/>
                <w:snapToGrid/>
              </w:rPr>
              <w:t>B.1. Nom de l’élément dans les langues et les écritures de la communauté concernée</w:t>
            </w:r>
          </w:p>
          <w:p w14:paraId="68663F15" w14:textId="756A6185" w:rsidR="009D7914" w:rsidRPr="00F946F3" w:rsidRDefault="000818A9" w:rsidP="007225D7">
            <w:pPr>
              <w:pStyle w:val="COMPara"/>
              <w:keepNext/>
              <w:numPr>
                <w:ilvl w:val="0"/>
                <w:numId w:val="0"/>
              </w:numPr>
              <w:bidi/>
              <w:rPr>
                <w:rFonts w:asciiTheme="minorBidi" w:eastAsia="SimSun" w:hAnsiTheme="minorBidi" w:cstheme="minorBidi"/>
                <w:snapToGrid/>
                <w:rtl/>
              </w:rPr>
            </w:pPr>
            <w:r w:rsidRPr="00F946F3">
              <w:t>الزي الاحتفالي النسوي للشرق الجزائري الكبير: معارف ومهارات خياطة وصناعة حلي تزيين القندورة والملحفة</w:t>
            </w:r>
          </w:p>
        </w:tc>
        <w:tc>
          <w:tcPr>
            <w:tcW w:w="4531" w:type="dxa"/>
          </w:tcPr>
          <w:p w14:paraId="39B208E1" w14:textId="3F141FB9" w:rsidR="009D7914" w:rsidRPr="00F946F3" w:rsidRDefault="009D7914" w:rsidP="007225D7">
            <w:pPr>
              <w:pStyle w:val="COMPara"/>
              <w:keepNext/>
              <w:numPr>
                <w:ilvl w:val="0"/>
                <w:numId w:val="0"/>
              </w:numPr>
              <w:rPr>
                <w:rFonts w:asciiTheme="minorBidi" w:eastAsia="SimSun" w:hAnsiTheme="minorBidi" w:cstheme="minorBidi"/>
                <w:snapToGrid/>
              </w:rPr>
            </w:pPr>
            <w:r w:rsidRPr="00F946F3">
              <w:rPr>
                <w:rFonts w:asciiTheme="minorBidi" w:hAnsiTheme="minorBidi"/>
                <w:snapToGrid/>
              </w:rPr>
              <w:t>B.1. Nom de l’élément dans les langues et les écritures de la communauté concernée</w:t>
            </w:r>
          </w:p>
          <w:p w14:paraId="358EEBFC" w14:textId="71F3260B" w:rsidR="009D7914" w:rsidRPr="00F946F3" w:rsidRDefault="000818A9" w:rsidP="007225D7">
            <w:pPr>
              <w:pStyle w:val="COMPara"/>
              <w:keepNext/>
              <w:numPr>
                <w:ilvl w:val="0"/>
                <w:numId w:val="0"/>
              </w:numPr>
              <w:bidi/>
            </w:pPr>
            <w:r w:rsidRPr="00F946F3">
              <w:t xml:space="preserve">الزي الاحتفالي النسوي للشرق الجزائري الكبير: معارف ومهارات خياطة وصناعة حلي تزيين القندورة، الملحفة، </w:t>
            </w:r>
            <w:r w:rsidRPr="00F946F3">
              <w:rPr>
                <w:bCs/>
                <w:rtl/>
              </w:rPr>
              <w:t>القفطان، القاط واللحاف</w:t>
            </w:r>
          </w:p>
        </w:tc>
      </w:tr>
      <w:tr w:rsidR="009D7914" w:rsidRPr="00F946F3" w14:paraId="77F1964F" w14:textId="77777777" w:rsidTr="007225D7">
        <w:tc>
          <w:tcPr>
            <w:tcW w:w="4530" w:type="dxa"/>
          </w:tcPr>
          <w:p w14:paraId="4EAC0B88" w14:textId="0211DCA5" w:rsidR="00EA67D5" w:rsidRPr="00F946F3" w:rsidRDefault="00EA67D5" w:rsidP="00EA67D5">
            <w:pPr>
              <w:pStyle w:val="COMPara"/>
              <w:numPr>
                <w:ilvl w:val="0"/>
                <w:numId w:val="0"/>
              </w:numPr>
              <w:jc w:val="both"/>
            </w:pPr>
            <w:r w:rsidRPr="00F946F3">
              <w:t xml:space="preserve">B.2. Nom de l’élément en </w:t>
            </w:r>
            <w:r w:rsidR="007B1BE5" w:rsidRPr="00F946F3">
              <w:t>français</w:t>
            </w:r>
          </w:p>
          <w:p w14:paraId="62D1EA81" w14:textId="024A67A8" w:rsidR="00EA67D5" w:rsidRPr="00F946F3" w:rsidRDefault="007B1BE5" w:rsidP="00EA67D5">
            <w:pPr>
              <w:pStyle w:val="COMPara"/>
              <w:numPr>
                <w:ilvl w:val="0"/>
                <w:numId w:val="0"/>
              </w:numPr>
              <w:jc w:val="both"/>
            </w:pPr>
            <w:r w:rsidRPr="00F946F3">
              <w:t>Le costume féminin de cérémonie dans le Grand Est de l'Algérie : savoir-faire associés à la confection et à la parure de la "Gandoura" et de la "Melehfa"</w:t>
            </w:r>
          </w:p>
        </w:tc>
        <w:tc>
          <w:tcPr>
            <w:tcW w:w="4531" w:type="dxa"/>
          </w:tcPr>
          <w:p w14:paraId="3CA2C0FC" w14:textId="7B7756F8" w:rsidR="00EA67D5" w:rsidRPr="00F946F3" w:rsidRDefault="00EA67D5" w:rsidP="00EA67D5">
            <w:pPr>
              <w:pStyle w:val="COMPara"/>
              <w:numPr>
                <w:ilvl w:val="0"/>
                <w:numId w:val="0"/>
              </w:numPr>
              <w:jc w:val="both"/>
            </w:pPr>
            <w:r w:rsidRPr="00F946F3">
              <w:t xml:space="preserve">B.2. Nom de l’élément en </w:t>
            </w:r>
            <w:r w:rsidR="007B1BE5" w:rsidRPr="00F946F3">
              <w:t>français</w:t>
            </w:r>
          </w:p>
          <w:p w14:paraId="2A1E5365" w14:textId="17AA0274" w:rsidR="00EA67D5" w:rsidRPr="00F946F3" w:rsidRDefault="007B1BE5" w:rsidP="007B1BE5">
            <w:pPr>
              <w:pStyle w:val="COMPara"/>
              <w:numPr>
                <w:ilvl w:val="0"/>
                <w:numId w:val="0"/>
              </w:numPr>
              <w:jc w:val="both"/>
            </w:pPr>
            <w:r w:rsidRPr="00F946F3">
              <w:t xml:space="preserve">Le costume féminin de cérémonie dans le Grand Est de l'Algérie : savoir-faire associés à la confection et à la parure de la "Gandoura", </w:t>
            </w:r>
            <w:r w:rsidRPr="00F946F3">
              <w:rPr>
                <w:b/>
                <w:bCs/>
                <w:strike/>
              </w:rPr>
              <w:t>et de</w:t>
            </w:r>
            <w:r w:rsidRPr="00F946F3">
              <w:t xml:space="preserve"> la "Melehfa"</w:t>
            </w:r>
            <w:r w:rsidRPr="00F946F3">
              <w:rPr>
                <w:b/>
                <w:bCs/>
              </w:rPr>
              <w:t>, le Caftan, le Quat et le Lhef</w:t>
            </w:r>
          </w:p>
        </w:tc>
      </w:tr>
    </w:tbl>
    <w:p w14:paraId="204963DD" w14:textId="4A3C6B29" w:rsidR="00026C57" w:rsidRPr="00F946F3" w:rsidRDefault="00026C57" w:rsidP="007225D7">
      <w:pPr>
        <w:pStyle w:val="COMPara"/>
        <w:spacing w:before="120"/>
        <w:ind w:left="567" w:hanging="567"/>
        <w:jc w:val="both"/>
      </w:pPr>
      <w:r w:rsidRPr="00F946F3">
        <w:t>Selon l’explication fournie par l’État partie, la demande reflète le souhait des communautés d’artisan</w:t>
      </w:r>
      <w:r w:rsidR="00086FD0" w:rsidRPr="00F946F3">
        <w:t>e</w:t>
      </w:r>
      <w:r w:rsidRPr="00F946F3">
        <w:t>s, de tailleurs et de brodeurs, qui souhaitent que les différents types d’artisanat impliqués dans ces cérémonies soient inclus dans le titre de l’élément de manière exhaustive. En outre, la demande indique que les musées ont exprimé leur soutien à cette demande afin de rendre les vêtements et objets liés à l’élément inscrit plus explicites sur le plan pédagogique dans les expositions et les activités éducatives des musées.</w:t>
      </w:r>
    </w:p>
    <w:p w14:paraId="37B44ED7" w14:textId="0FBF8966" w:rsidR="00257821" w:rsidRPr="00F946F3" w:rsidRDefault="00257821" w:rsidP="00257821">
      <w:pPr>
        <w:pStyle w:val="COMPara"/>
        <w:ind w:left="567" w:hanging="567"/>
        <w:jc w:val="both"/>
      </w:pPr>
      <w:r w:rsidRPr="00F946F3">
        <w:t>Le Comité souhaitera peut-être adopter les décisions suivantes :</w:t>
      </w:r>
    </w:p>
    <w:p w14:paraId="1B4152D1" w14:textId="481E77C1" w:rsidR="00257821" w:rsidRPr="00F946F3" w:rsidRDefault="00257821" w:rsidP="00257821">
      <w:pPr>
        <w:pStyle w:val="COMTitleDecision"/>
        <w:rPr>
          <w:rFonts w:eastAsia="SimSun"/>
        </w:rPr>
      </w:pPr>
      <w:bookmarkStart w:id="1" w:name="_Hlk212400387"/>
      <w:r w:rsidRPr="00F946F3">
        <w:t>PROJET DE DÉCISION 20.COM 9.b.1</w:t>
      </w:r>
    </w:p>
    <w:bookmarkEnd w:id="1"/>
    <w:p w14:paraId="3412E50F" w14:textId="77777777" w:rsidR="00257821" w:rsidRPr="00F946F3" w:rsidRDefault="00257821" w:rsidP="00257821">
      <w:pPr>
        <w:pStyle w:val="COMPreambulaDecisions"/>
        <w:rPr>
          <w:rFonts w:eastAsia="SimSun"/>
        </w:rPr>
      </w:pPr>
      <w:r w:rsidRPr="00F946F3">
        <w:t>Le Comité,</w:t>
      </w:r>
    </w:p>
    <w:p w14:paraId="53EA2EB7" w14:textId="77C7474B" w:rsidR="00257821" w:rsidRPr="00F946F3" w:rsidRDefault="00257821" w:rsidP="007225D7">
      <w:pPr>
        <w:pStyle w:val="COMParaDecision"/>
        <w:numPr>
          <w:ilvl w:val="0"/>
          <w:numId w:val="25"/>
        </w:numPr>
        <w:ind w:left="1134" w:hanging="567"/>
      </w:pPr>
      <w:r w:rsidRPr="00F946F3">
        <w:t>Ayant examiné</w:t>
      </w:r>
      <w:r w:rsidRPr="00F946F3">
        <w:rPr>
          <w:u w:val="none"/>
        </w:rPr>
        <w:t xml:space="preserve"> le document LHE/25/20.COM/9,</w:t>
      </w:r>
    </w:p>
    <w:p w14:paraId="5A0EFA25" w14:textId="2FB437DB" w:rsidR="00257821" w:rsidRPr="00F946F3" w:rsidRDefault="00257821" w:rsidP="00257821">
      <w:pPr>
        <w:pStyle w:val="COMParaDecision"/>
      </w:pPr>
      <w:r w:rsidRPr="00F946F3">
        <w:t>Rappelant</w:t>
      </w:r>
      <w:r w:rsidRPr="00F946F3">
        <w:rPr>
          <w:u w:val="none"/>
        </w:rPr>
        <w:t xml:space="preserve"> la décision </w:t>
      </w:r>
      <w:hyperlink r:id="rId17" w:history="1">
        <w:r w:rsidRPr="00F946F3">
          <w:rPr>
            <w:rStyle w:val="Hyperlink"/>
          </w:rPr>
          <w:t>7.COM 11.1</w:t>
        </w:r>
      </w:hyperlink>
      <w:r w:rsidRPr="00F946F3">
        <w:rPr>
          <w:rStyle w:val="Hyperlink"/>
          <w:u w:val="none"/>
        </w:rPr>
        <w:t xml:space="preserve"> </w:t>
      </w:r>
      <w:r w:rsidRPr="00F946F3">
        <w:rPr>
          <w:u w:val="none"/>
        </w:rPr>
        <w:t>et le chapitre I.12 des Directives opérationnelles,</w:t>
      </w:r>
    </w:p>
    <w:p w14:paraId="0B9F4B37" w14:textId="06F736A4" w:rsidR="00257821" w:rsidRPr="00F946F3" w:rsidRDefault="00257821" w:rsidP="00257821">
      <w:pPr>
        <w:pStyle w:val="COMParaDecision"/>
      </w:pPr>
      <w:r w:rsidRPr="00F946F3">
        <w:t>Prend note</w:t>
      </w:r>
      <w:r w:rsidRPr="00F946F3">
        <w:rPr>
          <w:u w:val="none"/>
        </w:rPr>
        <w:t xml:space="preserve"> que l’Algérie a demandé la modification du nom « Les rites et les savoir-faire artisanaux associés à la tradition du costume nuptial de Tlemcen », élément inscrit en 2012 sur la Liste représentative du patrimoine culturel immatériel de l’humanité ;</w:t>
      </w:r>
    </w:p>
    <w:p w14:paraId="7915346D" w14:textId="03E61DE6" w:rsidR="00257821" w:rsidRPr="00F946F3" w:rsidRDefault="00257821" w:rsidP="00257821">
      <w:pPr>
        <w:pStyle w:val="COMParaDecision"/>
        <w:rPr>
          <w:u w:val="none"/>
        </w:rPr>
      </w:pPr>
      <w:r w:rsidRPr="00F946F3">
        <w:t>Approuve</w:t>
      </w:r>
      <w:r w:rsidRPr="00F946F3">
        <w:rPr>
          <w:u w:val="none"/>
        </w:rPr>
        <w:t xml:space="preserve"> la modification proposée par l’Algérie et </w:t>
      </w:r>
      <w:r w:rsidRPr="00F946F3">
        <w:t>décide</w:t>
      </w:r>
      <w:r w:rsidRPr="00F946F3">
        <w:rPr>
          <w:u w:val="none"/>
        </w:rPr>
        <w:t xml:space="preserve"> d’ajouter la mention « (le </w:t>
      </w:r>
      <w:r w:rsidR="00086FD0" w:rsidRPr="00F946F3">
        <w:rPr>
          <w:u w:val="none"/>
        </w:rPr>
        <w:t>P</w:t>
      </w:r>
      <w:r w:rsidRPr="00F946F3">
        <w:rPr>
          <w:u w:val="none"/>
        </w:rPr>
        <w:t xml:space="preserve">ort du </w:t>
      </w:r>
      <w:r w:rsidR="00086FD0" w:rsidRPr="00F946F3">
        <w:rPr>
          <w:u w:val="none"/>
        </w:rPr>
        <w:t>C</w:t>
      </w:r>
      <w:r w:rsidRPr="00F946F3">
        <w:rPr>
          <w:u w:val="none"/>
        </w:rPr>
        <w:t>aftan) » à la section B.3 du formulaire ICH-02 tel que décrit dans le document LHE/25/20.COM/9 ;</w:t>
      </w:r>
    </w:p>
    <w:p w14:paraId="511CE604" w14:textId="34C140CA" w:rsidR="00257821" w:rsidRPr="00F946F3" w:rsidRDefault="00257821" w:rsidP="00F97B3C">
      <w:pPr>
        <w:pStyle w:val="COMParaDecision"/>
        <w:rPr>
          <w:u w:val="none"/>
        </w:rPr>
      </w:pPr>
      <w:r w:rsidRPr="00F946F3">
        <w:t>Demande</w:t>
      </w:r>
      <w:r w:rsidRPr="00F946F3">
        <w:rPr>
          <w:u w:val="none"/>
        </w:rPr>
        <w:t xml:space="preserve"> au Secrétariat d’intégrer cette modification dans toutes ses communications relatives à l’élément concerné.</w:t>
      </w:r>
    </w:p>
    <w:p w14:paraId="150296D6" w14:textId="68325F06" w:rsidR="00BC67C2" w:rsidRPr="00F946F3" w:rsidRDefault="00BC67C2" w:rsidP="00BC67C2">
      <w:pPr>
        <w:pStyle w:val="COMTitleDecision"/>
      </w:pPr>
      <w:r w:rsidRPr="00F946F3">
        <w:t>PROJET DE DÉCISION 20.COM 9.b.2</w:t>
      </w:r>
    </w:p>
    <w:p w14:paraId="6B0A8531" w14:textId="77777777" w:rsidR="00BC67C2" w:rsidRPr="00F946F3" w:rsidRDefault="00BC67C2" w:rsidP="00BC67C2">
      <w:pPr>
        <w:pStyle w:val="COMPreambulaDecisions"/>
        <w:rPr>
          <w:rFonts w:eastAsia="SimSun"/>
        </w:rPr>
      </w:pPr>
      <w:r w:rsidRPr="00F946F3">
        <w:t>Le Comité,</w:t>
      </w:r>
    </w:p>
    <w:p w14:paraId="0DA49719" w14:textId="77777777" w:rsidR="00BC67C2" w:rsidRPr="00F946F3" w:rsidRDefault="00BC67C2" w:rsidP="007225D7">
      <w:pPr>
        <w:pStyle w:val="COMParaDecision"/>
        <w:numPr>
          <w:ilvl w:val="0"/>
          <w:numId w:val="27"/>
        </w:numPr>
        <w:ind w:left="1134" w:hanging="567"/>
      </w:pPr>
      <w:r w:rsidRPr="00F946F3">
        <w:t>Ayant examiné</w:t>
      </w:r>
      <w:r w:rsidRPr="00F946F3">
        <w:rPr>
          <w:u w:val="none"/>
        </w:rPr>
        <w:t xml:space="preserve"> le document LHE/25/20.COM/9,</w:t>
      </w:r>
    </w:p>
    <w:p w14:paraId="7E455BF1" w14:textId="70ABFF53" w:rsidR="00BC67C2" w:rsidRPr="00F946F3" w:rsidRDefault="00BC67C2" w:rsidP="00BC67C2">
      <w:pPr>
        <w:pStyle w:val="COMParaDecision"/>
      </w:pPr>
      <w:r w:rsidRPr="00F946F3">
        <w:t>Rappelant</w:t>
      </w:r>
      <w:r w:rsidRPr="00F946F3">
        <w:rPr>
          <w:u w:val="none"/>
        </w:rPr>
        <w:t xml:space="preserve"> la décision </w:t>
      </w:r>
      <w:hyperlink r:id="rId18" w:history="1">
        <w:r w:rsidRPr="00F946F3">
          <w:rPr>
            <w:rStyle w:val="Hyperlink"/>
          </w:rPr>
          <w:t>19.COM 7.b.20</w:t>
        </w:r>
      </w:hyperlink>
      <w:r w:rsidRPr="00F946F3">
        <w:rPr>
          <w:rStyle w:val="Hyperlink"/>
          <w:u w:val="none"/>
        </w:rPr>
        <w:t xml:space="preserve"> </w:t>
      </w:r>
      <w:r w:rsidRPr="00F946F3">
        <w:rPr>
          <w:u w:val="none"/>
        </w:rPr>
        <w:t>et le chapitre I.12 des Directives opérationnelles,</w:t>
      </w:r>
    </w:p>
    <w:p w14:paraId="45E51FCA" w14:textId="16F74F70" w:rsidR="00BC67C2" w:rsidRPr="00F946F3" w:rsidRDefault="00BC67C2" w:rsidP="00BC67C2">
      <w:pPr>
        <w:pStyle w:val="COMParaDecision"/>
      </w:pPr>
      <w:r w:rsidRPr="00F946F3">
        <w:t>Prend note</w:t>
      </w:r>
      <w:r w:rsidRPr="00F946F3">
        <w:rPr>
          <w:u w:val="none"/>
        </w:rPr>
        <w:t xml:space="preserve"> que l’Algérie a demandé la modification du nom « Le costume féminin de cérémonie dans le Grand Est de l’Algérie : savoir-faire associés à la confection et à la parure de la “Gandoura” et de la “Melehfa” », élément inscrit en 2024 sur la Liste représentative du patrimoine culturel immatériel de l’humanité ;</w:t>
      </w:r>
    </w:p>
    <w:p w14:paraId="02017050" w14:textId="1093F34E" w:rsidR="00BC67C2" w:rsidRPr="00F946F3" w:rsidRDefault="00BC67C2" w:rsidP="00F946F3">
      <w:pPr>
        <w:pStyle w:val="COMParaDecision"/>
        <w:keepLines/>
        <w:rPr>
          <w:u w:val="none"/>
        </w:rPr>
      </w:pPr>
      <w:r w:rsidRPr="00F946F3">
        <w:t>Approuve</w:t>
      </w:r>
      <w:r w:rsidRPr="00F946F3">
        <w:rPr>
          <w:u w:val="none"/>
        </w:rPr>
        <w:t xml:space="preserve"> la modification proposée par l’Algérie et </w:t>
      </w:r>
      <w:r w:rsidRPr="00F946F3">
        <w:t>décide</w:t>
      </w:r>
      <w:r w:rsidRPr="00F946F3">
        <w:rPr>
          <w:u w:val="none"/>
        </w:rPr>
        <w:t xml:space="preserve"> de modifier le nom de l’élément en « The women’s ceremonial costume in the Eastern region of Algeria: knowledge and skills associated with the making and adornment of the Gandoura</w:t>
      </w:r>
      <w:r w:rsidR="007B1BE5" w:rsidRPr="00F946F3">
        <w:rPr>
          <w:u w:val="none"/>
        </w:rPr>
        <w:t>,</w:t>
      </w:r>
      <w:r w:rsidRPr="00F946F3">
        <w:rPr>
          <w:u w:val="none"/>
        </w:rPr>
        <w:t xml:space="preserve"> the Melehfa, the Caftan, the Quat and the Lhef » en anglais et « Le costume féminin de cérémonies dans le Grand Est de l’Algérie : savoirs et savoir-faire associés à la confection et à la parure de la Gandoura, la Melehfa, le Caftan, le Quat et le Lhef » en français ;</w:t>
      </w:r>
    </w:p>
    <w:p w14:paraId="5043CF60" w14:textId="15856762" w:rsidR="00BC67C2" w:rsidRPr="00F946F3" w:rsidRDefault="00BC67C2" w:rsidP="007225D7">
      <w:pPr>
        <w:pStyle w:val="COMParaDecision"/>
      </w:pPr>
      <w:r w:rsidRPr="00F946F3">
        <w:t>Demande</w:t>
      </w:r>
      <w:r w:rsidRPr="00F946F3">
        <w:rPr>
          <w:u w:val="none"/>
        </w:rPr>
        <w:t xml:space="preserve"> au Secrétariat d’intégrer cette modification dans toutes ses communications relatives à l’élément concerné.</w:t>
      </w:r>
    </w:p>
    <w:sectPr w:rsidR="00BC67C2" w:rsidRPr="00F946F3" w:rsidSect="00655736">
      <w:headerReference w:type="even" r:id="rId19"/>
      <w:headerReference w:type="default" r:id="rId20"/>
      <w:headerReference w:type="first" r:id="rId21"/>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7C853" w14:textId="77777777" w:rsidR="000C73EB" w:rsidRDefault="000C73EB" w:rsidP="00655736">
      <w:r>
        <w:separator/>
      </w:r>
    </w:p>
  </w:endnote>
  <w:endnote w:type="continuationSeparator" w:id="0">
    <w:p w14:paraId="57FDEA3B" w14:textId="77777777" w:rsidR="000C73EB" w:rsidRDefault="000C73EB"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74CFF" w14:textId="77777777" w:rsidR="000C73EB" w:rsidRDefault="000C73EB" w:rsidP="00655736">
      <w:r>
        <w:separator/>
      </w:r>
    </w:p>
  </w:footnote>
  <w:footnote w:type="continuationSeparator" w:id="0">
    <w:p w14:paraId="66003CE7" w14:textId="77777777" w:rsidR="000C73EB" w:rsidRDefault="000C73EB" w:rsidP="006557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EA055" w14:textId="03554816" w:rsidR="00D95C4C" w:rsidRPr="00C23A97" w:rsidRDefault="00C5776D" w:rsidP="00C5776D">
    <w:pPr>
      <w:pStyle w:val="Header"/>
      <w:rPr>
        <w:rFonts w:ascii="Arial" w:hAnsi="Arial" w:cs="Arial"/>
      </w:rPr>
    </w:pPr>
    <w:r>
      <w:rPr>
        <w:rFonts w:ascii="Arial" w:hAnsi="Arial"/>
        <w:sz w:val="20"/>
      </w:rPr>
      <w:t>LHE/25/20.COM/9 – page </w:t>
    </w:r>
    <w:r w:rsidR="00D95C4C" w:rsidRPr="00C23A97">
      <w:rPr>
        <w:rStyle w:val="PageNumber"/>
        <w:rFonts w:ascii="Arial" w:hAnsi="Arial" w:cs="Arial"/>
        <w:sz w:val="20"/>
      </w:rPr>
      <w:fldChar w:fldCharType="begin"/>
    </w:r>
    <w:r w:rsidR="00D95C4C" w:rsidRPr="00C23A97">
      <w:rPr>
        <w:rStyle w:val="PageNumber"/>
        <w:rFonts w:ascii="Arial" w:hAnsi="Arial" w:cs="Arial"/>
        <w:sz w:val="20"/>
      </w:rPr>
      <w:instrText xml:space="preserve"> PAGE </w:instrText>
    </w:r>
    <w:r w:rsidR="00D95C4C" w:rsidRPr="00C23A97">
      <w:rPr>
        <w:rStyle w:val="PageNumber"/>
        <w:rFonts w:ascii="Arial" w:hAnsi="Arial" w:cs="Arial"/>
        <w:sz w:val="20"/>
      </w:rPr>
      <w:fldChar w:fldCharType="separate"/>
    </w:r>
    <w:r w:rsidR="006E75EB">
      <w:rPr>
        <w:rStyle w:val="PageNumber"/>
        <w:rFonts w:ascii="Arial" w:hAnsi="Arial" w:cs="Arial"/>
        <w:sz w:val="20"/>
      </w:rPr>
      <w:t>2</w:t>
    </w:r>
    <w:r w:rsidR="00D95C4C" w:rsidRPr="00C23A97">
      <w:rPr>
        <w:rStyle w:val="PageNumber"/>
        <w:rFonts w:ascii="Arial" w:hAnsi="Arial" w:cs="Arial"/>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F231B" w14:textId="2D55E1D8" w:rsidR="00D95C4C" w:rsidRPr="0063300C" w:rsidRDefault="00C5776D" w:rsidP="00C5776D">
    <w:pPr>
      <w:pStyle w:val="Header"/>
      <w:jc w:val="right"/>
      <w:rPr>
        <w:rFonts w:ascii="Arial" w:hAnsi="Arial" w:cs="Arial"/>
      </w:rPr>
    </w:pPr>
    <w:r>
      <w:rPr>
        <w:rFonts w:ascii="Arial" w:hAnsi="Arial"/>
        <w:sz w:val="20"/>
      </w:rPr>
      <w:t>LHE/25/20.COM/9 – page </w:t>
    </w:r>
    <w:r w:rsidR="004A34A0" w:rsidRPr="0063300C">
      <w:rPr>
        <w:rStyle w:val="PageNumber"/>
        <w:rFonts w:ascii="Arial" w:hAnsi="Arial" w:cs="Arial"/>
        <w:sz w:val="20"/>
      </w:rPr>
      <w:fldChar w:fldCharType="begin"/>
    </w:r>
    <w:r w:rsidR="004A34A0" w:rsidRPr="0063300C">
      <w:rPr>
        <w:rStyle w:val="PageNumber"/>
        <w:rFonts w:ascii="Arial" w:hAnsi="Arial" w:cs="Arial"/>
        <w:sz w:val="20"/>
      </w:rPr>
      <w:instrText xml:space="preserve"> PAGE </w:instrText>
    </w:r>
    <w:r w:rsidR="004A34A0" w:rsidRPr="0063300C">
      <w:rPr>
        <w:rStyle w:val="PageNumber"/>
        <w:rFonts w:ascii="Arial" w:hAnsi="Arial" w:cs="Arial"/>
        <w:sz w:val="20"/>
      </w:rPr>
      <w:fldChar w:fldCharType="separate"/>
    </w:r>
    <w:r w:rsidR="00190205">
      <w:rPr>
        <w:rStyle w:val="PageNumber"/>
        <w:rFonts w:ascii="Arial" w:hAnsi="Arial" w:cs="Arial"/>
        <w:sz w:val="20"/>
      </w:rPr>
      <w:t>3</w:t>
    </w:r>
    <w:r w:rsidR="004A34A0" w:rsidRPr="0063300C">
      <w:rPr>
        <w:rStyle w:val="PageNumber"/>
        <w:rFonts w:ascii="Arial" w:hAnsi="Arial" w:cs="Arial"/>
        <w:sz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0B9E0" w14:textId="5EDF12BC" w:rsidR="00D95C4C" w:rsidRPr="00E10FF3" w:rsidRDefault="00201BF4">
    <w:pPr>
      <w:pStyle w:val="Header"/>
      <w:rPr>
        <w:sz w:val="22"/>
        <w:szCs w:val="22"/>
      </w:rPr>
    </w:pPr>
    <w:r w:rsidRPr="008A18EC">
      <w:rPr>
        <w:rFonts w:ascii="Arial" w:hAnsi="Arial"/>
        <w:b/>
        <w:noProof/>
        <w:sz w:val="44"/>
      </w:rPr>
      <w:drawing>
        <wp:anchor distT="0" distB="0" distL="114300" distR="114300" simplePos="0" relativeHeight="251659264" behindDoc="0" locked="0" layoutInCell="1" allowOverlap="1" wp14:anchorId="409F35E7" wp14:editId="31BB2FD6">
          <wp:simplePos x="0" y="0"/>
          <wp:positionH relativeFrom="margin">
            <wp:posOffset>-92468</wp:posOffset>
          </wp:positionH>
          <wp:positionV relativeFrom="paragraph">
            <wp:posOffset>37044</wp:posOffset>
          </wp:positionV>
          <wp:extent cx="1710000" cy="1436138"/>
          <wp:effectExtent l="0" t="0" r="5080" b="0"/>
          <wp:wrapSquare wrapText="bothSides"/>
          <wp:docPr id="1" name="Image 1" descr="Une image contenant texte, Police, logo,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Police, logo, capture d’écran&#10;&#10;Le contenu généré par l’IA peut êtr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0000" cy="143613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57B917" w14:textId="685D5051" w:rsidR="00D95C4C" w:rsidRPr="008A18EC" w:rsidRDefault="00266322" w:rsidP="00C5776D">
    <w:pPr>
      <w:pStyle w:val="Header"/>
      <w:spacing w:after="520"/>
      <w:jc w:val="right"/>
      <w:rPr>
        <w:rFonts w:ascii="Arial" w:hAnsi="Arial" w:cs="Arial"/>
        <w:b/>
        <w:sz w:val="44"/>
        <w:szCs w:val="44"/>
      </w:rPr>
    </w:pPr>
    <w:r w:rsidRPr="008A18EC">
      <w:rPr>
        <w:rFonts w:ascii="Arial" w:hAnsi="Arial"/>
        <w:b/>
        <w:sz w:val="44"/>
      </w:rPr>
      <w:t>20 COM</w:t>
    </w:r>
  </w:p>
  <w:p w14:paraId="306484B8" w14:textId="21797BFD" w:rsidR="00D95C4C" w:rsidRPr="008A18EC" w:rsidRDefault="00C5776D" w:rsidP="00C5776D">
    <w:pPr>
      <w:jc w:val="right"/>
      <w:rPr>
        <w:rFonts w:ascii="Arial" w:hAnsi="Arial" w:cs="Arial"/>
        <w:b/>
        <w:sz w:val="22"/>
        <w:szCs w:val="22"/>
      </w:rPr>
    </w:pPr>
    <w:r w:rsidRPr="008A18EC">
      <w:rPr>
        <w:rFonts w:ascii="Arial" w:hAnsi="Arial"/>
        <w:b/>
        <w:sz w:val="22"/>
      </w:rPr>
      <w:t>LHE/25/20.COM/9</w:t>
    </w:r>
  </w:p>
  <w:p w14:paraId="1B4446C3" w14:textId="0E8B4FB0" w:rsidR="00D95C4C" w:rsidRPr="008A18EC" w:rsidRDefault="00D95C4C" w:rsidP="00655736">
    <w:pPr>
      <w:jc w:val="right"/>
      <w:rPr>
        <w:rFonts w:ascii="Arial" w:eastAsiaTheme="minorEastAsia" w:hAnsi="Arial" w:cs="Arial"/>
        <w:b/>
        <w:sz w:val="22"/>
        <w:szCs w:val="22"/>
      </w:rPr>
    </w:pPr>
    <w:r w:rsidRPr="008A18EC">
      <w:rPr>
        <w:rFonts w:ascii="Arial" w:hAnsi="Arial"/>
        <w:b/>
        <w:sz w:val="22"/>
      </w:rPr>
      <w:t>Paris, le 10 novembre 2025</w:t>
    </w:r>
  </w:p>
  <w:p w14:paraId="255B57FF" w14:textId="693D2AB6" w:rsidR="00D95C4C" w:rsidRPr="00E10FF3" w:rsidRDefault="00D95C4C" w:rsidP="00962034">
    <w:pPr>
      <w:spacing w:after="120"/>
      <w:jc w:val="right"/>
      <w:rPr>
        <w:rFonts w:ascii="Arial" w:hAnsi="Arial" w:cs="Arial"/>
        <w:b/>
        <w:sz w:val="22"/>
        <w:szCs w:val="22"/>
      </w:rPr>
    </w:pPr>
    <w:r w:rsidRPr="00E10FF3">
      <w:rPr>
        <w:rFonts w:ascii="Arial" w:hAnsi="Arial"/>
        <w:b/>
        <w:sz w:val="22"/>
      </w:rPr>
      <w:t>Original : anglais</w:t>
    </w:r>
  </w:p>
  <w:p w14:paraId="3C4B8B1B" w14:textId="77777777" w:rsidR="00D95C4C" w:rsidRPr="008A18EC" w:rsidRDefault="00D95C4C">
    <w:pPr>
      <w:pStyle w:val="Head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A5452"/>
    <w:multiLevelType w:val="hybridMultilevel"/>
    <w:tmpl w:val="052A70E2"/>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2" w15:restartNumberingAfterBreak="0">
    <w:nsid w:val="1BA40D70"/>
    <w:multiLevelType w:val="hybridMultilevel"/>
    <w:tmpl w:val="FA48674E"/>
    <w:lvl w:ilvl="0" w:tplc="FFFFFFFF">
      <w:start w:val="1"/>
      <w:numFmt w:val="upperLetter"/>
      <w:lvlText w:val="%1."/>
      <w:lvlJc w:val="left"/>
      <w:pPr>
        <w:ind w:left="502"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4"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30515124"/>
    <w:multiLevelType w:val="hybridMultilevel"/>
    <w:tmpl w:val="93DAB1A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5F07BFE"/>
    <w:multiLevelType w:val="hybridMultilevel"/>
    <w:tmpl w:val="E24AD55A"/>
    <w:lvl w:ilvl="0" w:tplc="76CAC304">
      <w:start w:val="1"/>
      <w:numFmt w:val="decimal"/>
      <w:pStyle w:val="COM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8" w15:restartNumberingAfterBreak="0">
    <w:nsid w:val="397A4DB1"/>
    <w:multiLevelType w:val="hybridMultilevel"/>
    <w:tmpl w:val="1F36D964"/>
    <w:lvl w:ilvl="0" w:tplc="918ACE6A">
      <w:start w:val="1"/>
      <w:numFmt w:val="decimal"/>
      <w:pStyle w:val="COMParaDecis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9" w15:restartNumberingAfterBreak="0">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1E410AE"/>
    <w:multiLevelType w:val="hybridMultilevel"/>
    <w:tmpl w:val="FC284EC2"/>
    <w:lvl w:ilvl="0" w:tplc="DD9A1A16">
      <w:start w:val="1"/>
      <w:numFmt w:val="decimal"/>
      <w:lvlText w:val="%1."/>
      <w:lvlJc w:val="left"/>
      <w:pPr>
        <w:ind w:left="1779" w:hanging="360"/>
      </w:pPr>
      <w:rPr>
        <w:rFonts w:hint="default"/>
        <w:u w:val="single"/>
      </w:r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11"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2" w15:restartNumberingAfterBreak="0">
    <w:nsid w:val="54C84F51"/>
    <w:multiLevelType w:val="hybridMultilevel"/>
    <w:tmpl w:val="4A32D0D0"/>
    <w:lvl w:ilvl="0" w:tplc="6FEC49B2">
      <w:start w:val="1"/>
      <w:numFmt w:val="upperLetter"/>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4"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7C627CF4"/>
    <w:multiLevelType w:val="hybridMultilevel"/>
    <w:tmpl w:val="FA48674E"/>
    <w:lvl w:ilvl="0" w:tplc="040C0015">
      <w:start w:val="1"/>
      <w:numFmt w:val="upperLetter"/>
      <w:lvlText w:val="%1."/>
      <w:lvlJc w:val="left"/>
      <w:pPr>
        <w:ind w:left="502"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num w:numId="1" w16cid:durableId="296574710">
    <w:abstractNumId w:val="13"/>
  </w:num>
  <w:num w:numId="2" w16cid:durableId="1316571383">
    <w:abstractNumId w:val="7"/>
  </w:num>
  <w:num w:numId="3" w16cid:durableId="1565026765">
    <w:abstractNumId w:val="3"/>
  </w:num>
  <w:num w:numId="4" w16cid:durableId="986864827">
    <w:abstractNumId w:val="15"/>
  </w:num>
  <w:num w:numId="5" w16cid:durableId="824470997">
    <w:abstractNumId w:val="14"/>
  </w:num>
  <w:num w:numId="6" w16cid:durableId="2119716772">
    <w:abstractNumId w:val="1"/>
  </w:num>
  <w:num w:numId="7" w16cid:durableId="878587971">
    <w:abstractNumId w:val="4"/>
  </w:num>
  <w:num w:numId="8" w16cid:durableId="454829359">
    <w:abstractNumId w:val="11"/>
  </w:num>
  <w:num w:numId="9" w16cid:durableId="1383089948">
    <w:abstractNumId w:val="6"/>
  </w:num>
  <w:num w:numId="10" w16cid:durableId="1272324320">
    <w:abstractNumId w:val="8"/>
  </w:num>
  <w:num w:numId="11" w16cid:durableId="1359548240">
    <w:abstractNumId w:val="10"/>
  </w:num>
  <w:num w:numId="12" w16cid:durableId="193202981">
    <w:abstractNumId w:val="9"/>
  </w:num>
  <w:num w:numId="13" w16cid:durableId="1505632517">
    <w:abstractNumId w:val="16"/>
  </w:num>
  <w:num w:numId="14" w16cid:durableId="1507788171">
    <w:abstractNumId w:val="5"/>
  </w:num>
  <w:num w:numId="15" w16cid:durableId="45186619">
    <w:abstractNumId w:val="6"/>
  </w:num>
  <w:num w:numId="16" w16cid:durableId="287708158">
    <w:abstractNumId w:val="6"/>
  </w:num>
  <w:num w:numId="17" w16cid:durableId="1055930536">
    <w:abstractNumId w:val="6"/>
  </w:num>
  <w:num w:numId="18" w16cid:durableId="73557355">
    <w:abstractNumId w:val="6"/>
  </w:num>
  <w:num w:numId="19" w16cid:durableId="849181615">
    <w:abstractNumId w:val="6"/>
  </w:num>
  <w:num w:numId="20" w16cid:durableId="1566798787">
    <w:abstractNumId w:val="6"/>
  </w:num>
  <w:num w:numId="21" w16cid:durableId="1830831232">
    <w:abstractNumId w:val="2"/>
  </w:num>
  <w:num w:numId="22" w16cid:durableId="1879777647">
    <w:abstractNumId w:val="12"/>
  </w:num>
  <w:num w:numId="23" w16cid:durableId="1918979895">
    <w:abstractNumId w:val="6"/>
  </w:num>
  <w:num w:numId="24" w16cid:durableId="1269659821">
    <w:abstractNumId w:val="6"/>
  </w:num>
  <w:num w:numId="25" w16cid:durableId="779297212">
    <w:abstractNumId w:val="8"/>
    <w:lvlOverride w:ilvl="0">
      <w:startOverride w:val="1"/>
    </w:lvlOverride>
  </w:num>
  <w:num w:numId="26" w16cid:durableId="132909230">
    <w:abstractNumId w:val="6"/>
  </w:num>
  <w:num w:numId="27" w16cid:durableId="716320616">
    <w:abstractNumId w:val="8"/>
    <w:lvlOverride w:ilvl="0">
      <w:startOverride w:val="1"/>
    </w:lvlOverride>
  </w:num>
  <w:num w:numId="28" w16cid:durableId="503398877">
    <w:abstractNumId w:val="0"/>
  </w:num>
  <w:num w:numId="29" w16cid:durableId="737023613">
    <w:abstractNumId w:val="6"/>
  </w:num>
  <w:num w:numId="30" w16cid:durableId="623200057">
    <w:abstractNumId w:val="6"/>
    <w:lvlOverride w:ilvl="0">
      <w:startOverride w:val="1"/>
    </w:lvlOverride>
  </w:num>
  <w:num w:numId="31" w16cid:durableId="288164942">
    <w:abstractNumId w:val="6"/>
  </w:num>
  <w:num w:numId="32" w16cid:durableId="11373315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542"/>
    <w:rsid w:val="00001E56"/>
    <w:rsid w:val="000048ED"/>
    <w:rsid w:val="000117C9"/>
    <w:rsid w:val="00014915"/>
    <w:rsid w:val="00015B4F"/>
    <w:rsid w:val="00026C57"/>
    <w:rsid w:val="00027606"/>
    <w:rsid w:val="00041A66"/>
    <w:rsid w:val="00042D88"/>
    <w:rsid w:val="0005176E"/>
    <w:rsid w:val="0006103B"/>
    <w:rsid w:val="00070835"/>
    <w:rsid w:val="000765F7"/>
    <w:rsid w:val="0007725F"/>
    <w:rsid w:val="00077AB7"/>
    <w:rsid w:val="000818A9"/>
    <w:rsid w:val="00081CD8"/>
    <w:rsid w:val="00086FD0"/>
    <w:rsid w:val="000927B4"/>
    <w:rsid w:val="000A7F0E"/>
    <w:rsid w:val="000B1C8F"/>
    <w:rsid w:val="000B3611"/>
    <w:rsid w:val="000C0D61"/>
    <w:rsid w:val="000C73EB"/>
    <w:rsid w:val="000D542B"/>
    <w:rsid w:val="000F3A3F"/>
    <w:rsid w:val="001003F7"/>
    <w:rsid w:val="00102557"/>
    <w:rsid w:val="00107EA8"/>
    <w:rsid w:val="00127411"/>
    <w:rsid w:val="001342D1"/>
    <w:rsid w:val="0013595A"/>
    <w:rsid w:val="00147A38"/>
    <w:rsid w:val="0015127E"/>
    <w:rsid w:val="00164D56"/>
    <w:rsid w:val="00165417"/>
    <w:rsid w:val="00167B10"/>
    <w:rsid w:val="0017348E"/>
    <w:rsid w:val="0017402F"/>
    <w:rsid w:val="00190205"/>
    <w:rsid w:val="00193778"/>
    <w:rsid w:val="00196C1B"/>
    <w:rsid w:val="001A6BE8"/>
    <w:rsid w:val="001B0F73"/>
    <w:rsid w:val="001B38D0"/>
    <w:rsid w:val="001C08C7"/>
    <w:rsid w:val="001C2DB7"/>
    <w:rsid w:val="001C3DE5"/>
    <w:rsid w:val="001D14FE"/>
    <w:rsid w:val="001D19CC"/>
    <w:rsid w:val="001D5C04"/>
    <w:rsid w:val="001E396A"/>
    <w:rsid w:val="001F26CF"/>
    <w:rsid w:val="001F2912"/>
    <w:rsid w:val="001F68B1"/>
    <w:rsid w:val="00201BF4"/>
    <w:rsid w:val="00205963"/>
    <w:rsid w:val="00213D3B"/>
    <w:rsid w:val="00221E27"/>
    <w:rsid w:val="00222A2D"/>
    <w:rsid w:val="00223029"/>
    <w:rsid w:val="002232A3"/>
    <w:rsid w:val="00234745"/>
    <w:rsid w:val="002351A6"/>
    <w:rsid w:val="002407AF"/>
    <w:rsid w:val="00245501"/>
    <w:rsid w:val="00254B26"/>
    <w:rsid w:val="002553B6"/>
    <w:rsid w:val="00257821"/>
    <w:rsid w:val="0026221A"/>
    <w:rsid w:val="00266322"/>
    <w:rsid w:val="0027466B"/>
    <w:rsid w:val="002814F6"/>
    <w:rsid w:val="002838A5"/>
    <w:rsid w:val="00285BB4"/>
    <w:rsid w:val="002A1138"/>
    <w:rsid w:val="002C09E3"/>
    <w:rsid w:val="002C6A2C"/>
    <w:rsid w:val="002C7B9A"/>
    <w:rsid w:val="002D1244"/>
    <w:rsid w:val="002F0A5A"/>
    <w:rsid w:val="00337CEB"/>
    <w:rsid w:val="00340345"/>
    <w:rsid w:val="00344B58"/>
    <w:rsid w:val="0034539A"/>
    <w:rsid w:val="00345CB4"/>
    <w:rsid w:val="00354211"/>
    <w:rsid w:val="003754A3"/>
    <w:rsid w:val="00375D42"/>
    <w:rsid w:val="0037719B"/>
    <w:rsid w:val="003978DC"/>
    <w:rsid w:val="003B7D47"/>
    <w:rsid w:val="003D069C"/>
    <w:rsid w:val="003D7646"/>
    <w:rsid w:val="003E69D9"/>
    <w:rsid w:val="003F113A"/>
    <w:rsid w:val="003F3E63"/>
    <w:rsid w:val="003F54C6"/>
    <w:rsid w:val="003F6DD9"/>
    <w:rsid w:val="00402BDA"/>
    <w:rsid w:val="00407480"/>
    <w:rsid w:val="00410819"/>
    <w:rsid w:val="00414643"/>
    <w:rsid w:val="004313C4"/>
    <w:rsid w:val="004421E5"/>
    <w:rsid w:val="00447E5F"/>
    <w:rsid w:val="00452284"/>
    <w:rsid w:val="00457C8E"/>
    <w:rsid w:val="004670F8"/>
    <w:rsid w:val="00480175"/>
    <w:rsid w:val="004856CA"/>
    <w:rsid w:val="00487491"/>
    <w:rsid w:val="00487E67"/>
    <w:rsid w:val="004906B7"/>
    <w:rsid w:val="0049705E"/>
    <w:rsid w:val="004A2875"/>
    <w:rsid w:val="004A34A0"/>
    <w:rsid w:val="004C400E"/>
    <w:rsid w:val="004C7C82"/>
    <w:rsid w:val="005008A8"/>
    <w:rsid w:val="00517FD8"/>
    <w:rsid w:val="00526B7B"/>
    <w:rsid w:val="005274D2"/>
    <w:rsid w:val="00530070"/>
    <w:rsid w:val="005308CE"/>
    <w:rsid w:val="0053318C"/>
    <w:rsid w:val="005566FF"/>
    <w:rsid w:val="005613AF"/>
    <w:rsid w:val="00565C74"/>
    <w:rsid w:val="0057439C"/>
    <w:rsid w:val="00581953"/>
    <w:rsid w:val="005838BD"/>
    <w:rsid w:val="00594BBD"/>
    <w:rsid w:val="005960FA"/>
    <w:rsid w:val="005B0127"/>
    <w:rsid w:val="005B7A35"/>
    <w:rsid w:val="005C4B73"/>
    <w:rsid w:val="005D5CF3"/>
    <w:rsid w:val="005E1D2B"/>
    <w:rsid w:val="005E7074"/>
    <w:rsid w:val="005F2BAF"/>
    <w:rsid w:val="00600D93"/>
    <w:rsid w:val="006254CE"/>
    <w:rsid w:val="00625D4C"/>
    <w:rsid w:val="00626BEA"/>
    <w:rsid w:val="0063300C"/>
    <w:rsid w:val="00633A47"/>
    <w:rsid w:val="00651A5B"/>
    <w:rsid w:val="00655736"/>
    <w:rsid w:val="00663B8D"/>
    <w:rsid w:val="0069509C"/>
    <w:rsid w:val="00696C8D"/>
    <w:rsid w:val="006A2AC2"/>
    <w:rsid w:val="006A3617"/>
    <w:rsid w:val="006B4452"/>
    <w:rsid w:val="006E46E4"/>
    <w:rsid w:val="006E75EB"/>
    <w:rsid w:val="00704660"/>
    <w:rsid w:val="00717DA5"/>
    <w:rsid w:val="007225D7"/>
    <w:rsid w:val="007333D0"/>
    <w:rsid w:val="00733430"/>
    <w:rsid w:val="007432E7"/>
    <w:rsid w:val="00744484"/>
    <w:rsid w:val="00747566"/>
    <w:rsid w:val="00773188"/>
    <w:rsid w:val="00783782"/>
    <w:rsid w:val="00784B8C"/>
    <w:rsid w:val="007879E1"/>
    <w:rsid w:val="007A3FB5"/>
    <w:rsid w:val="007A4364"/>
    <w:rsid w:val="007A4E08"/>
    <w:rsid w:val="007B1BE5"/>
    <w:rsid w:val="007B5DC7"/>
    <w:rsid w:val="007C26A5"/>
    <w:rsid w:val="007E57AA"/>
    <w:rsid w:val="007E5A1B"/>
    <w:rsid w:val="007F111A"/>
    <w:rsid w:val="00823A11"/>
    <w:rsid w:val="00830212"/>
    <w:rsid w:val="008338D7"/>
    <w:rsid w:val="008404E7"/>
    <w:rsid w:val="0085405E"/>
    <w:rsid w:val="0085414A"/>
    <w:rsid w:val="00857EB9"/>
    <w:rsid w:val="0086269D"/>
    <w:rsid w:val="0086543A"/>
    <w:rsid w:val="008724E5"/>
    <w:rsid w:val="008765C9"/>
    <w:rsid w:val="00884A9D"/>
    <w:rsid w:val="0088512B"/>
    <w:rsid w:val="008927B5"/>
    <w:rsid w:val="008A18EC"/>
    <w:rsid w:val="008A2B2D"/>
    <w:rsid w:val="008A4E1E"/>
    <w:rsid w:val="008A6458"/>
    <w:rsid w:val="008B2450"/>
    <w:rsid w:val="008C296C"/>
    <w:rsid w:val="008D4305"/>
    <w:rsid w:val="008E1A85"/>
    <w:rsid w:val="008E344F"/>
    <w:rsid w:val="009163A7"/>
    <w:rsid w:val="0093580A"/>
    <w:rsid w:val="00937D53"/>
    <w:rsid w:val="0094439D"/>
    <w:rsid w:val="00946D0B"/>
    <w:rsid w:val="00950BF0"/>
    <w:rsid w:val="00955877"/>
    <w:rsid w:val="00962034"/>
    <w:rsid w:val="00985288"/>
    <w:rsid w:val="00996F54"/>
    <w:rsid w:val="009A18CD"/>
    <w:rsid w:val="009C725D"/>
    <w:rsid w:val="009D080E"/>
    <w:rsid w:val="009D45C4"/>
    <w:rsid w:val="009D5428"/>
    <w:rsid w:val="009D7914"/>
    <w:rsid w:val="009E4C9C"/>
    <w:rsid w:val="00A0056F"/>
    <w:rsid w:val="00A12558"/>
    <w:rsid w:val="00A13903"/>
    <w:rsid w:val="00A25937"/>
    <w:rsid w:val="00A323CD"/>
    <w:rsid w:val="00A34ED5"/>
    <w:rsid w:val="00A41B26"/>
    <w:rsid w:val="00A45DBF"/>
    <w:rsid w:val="00A47AC0"/>
    <w:rsid w:val="00A725CF"/>
    <w:rsid w:val="00A755A2"/>
    <w:rsid w:val="00A91430"/>
    <w:rsid w:val="00A95B40"/>
    <w:rsid w:val="00AA3CF3"/>
    <w:rsid w:val="00AA590D"/>
    <w:rsid w:val="00AA6660"/>
    <w:rsid w:val="00AA7A72"/>
    <w:rsid w:val="00AB2C36"/>
    <w:rsid w:val="00AB6DDE"/>
    <w:rsid w:val="00AB70B6"/>
    <w:rsid w:val="00AC18C1"/>
    <w:rsid w:val="00AD0E2F"/>
    <w:rsid w:val="00AD1A86"/>
    <w:rsid w:val="00AD5B42"/>
    <w:rsid w:val="00AD5C46"/>
    <w:rsid w:val="00AE103E"/>
    <w:rsid w:val="00AF0A07"/>
    <w:rsid w:val="00AF4AEC"/>
    <w:rsid w:val="00AF625E"/>
    <w:rsid w:val="00B130DC"/>
    <w:rsid w:val="00B139BE"/>
    <w:rsid w:val="00B2172B"/>
    <w:rsid w:val="00B313A0"/>
    <w:rsid w:val="00B34428"/>
    <w:rsid w:val="00B54F03"/>
    <w:rsid w:val="00B841D5"/>
    <w:rsid w:val="00B917D2"/>
    <w:rsid w:val="00B97EB3"/>
    <w:rsid w:val="00BA241A"/>
    <w:rsid w:val="00BA3DBB"/>
    <w:rsid w:val="00BB04AF"/>
    <w:rsid w:val="00BB6EEC"/>
    <w:rsid w:val="00BB6EF5"/>
    <w:rsid w:val="00BC1258"/>
    <w:rsid w:val="00BC67C2"/>
    <w:rsid w:val="00BD52C9"/>
    <w:rsid w:val="00BE0613"/>
    <w:rsid w:val="00BE6354"/>
    <w:rsid w:val="00C138D1"/>
    <w:rsid w:val="00C23A97"/>
    <w:rsid w:val="00C26E03"/>
    <w:rsid w:val="00C43FE2"/>
    <w:rsid w:val="00C52EBE"/>
    <w:rsid w:val="00C5776D"/>
    <w:rsid w:val="00C64855"/>
    <w:rsid w:val="00C70EA7"/>
    <w:rsid w:val="00C7433F"/>
    <w:rsid w:val="00C7516E"/>
    <w:rsid w:val="00C75770"/>
    <w:rsid w:val="00CA00B0"/>
    <w:rsid w:val="00CA56BB"/>
    <w:rsid w:val="00CA7269"/>
    <w:rsid w:val="00CB0542"/>
    <w:rsid w:val="00CB6BB9"/>
    <w:rsid w:val="00CC680D"/>
    <w:rsid w:val="00CC7DC1"/>
    <w:rsid w:val="00CD40DD"/>
    <w:rsid w:val="00CD7548"/>
    <w:rsid w:val="00CE18F7"/>
    <w:rsid w:val="00D00B2B"/>
    <w:rsid w:val="00D03C2A"/>
    <w:rsid w:val="00D163EF"/>
    <w:rsid w:val="00D1721C"/>
    <w:rsid w:val="00D22767"/>
    <w:rsid w:val="00D24877"/>
    <w:rsid w:val="00D54DD4"/>
    <w:rsid w:val="00D63318"/>
    <w:rsid w:val="00D63A17"/>
    <w:rsid w:val="00D7105A"/>
    <w:rsid w:val="00D8250F"/>
    <w:rsid w:val="00D85620"/>
    <w:rsid w:val="00D86BB3"/>
    <w:rsid w:val="00D95C4C"/>
    <w:rsid w:val="00D95F3E"/>
    <w:rsid w:val="00DA36ED"/>
    <w:rsid w:val="00DC339C"/>
    <w:rsid w:val="00DE34F1"/>
    <w:rsid w:val="00DE6160"/>
    <w:rsid w:val="00DF064D"/>
    <w:rsid w:val="00DF1F23"/>
    <w:rsid w:val="00DF4942"/>
    <w:rsid w:val="00E10FF3"/>
    <w:rsid w:val="00E14C16"/>
    <w:rsid w:val="00E2125F"/>
    <w:rsid w:val="00E21CDF"/>
    <w:rsid w:val="00E244E1"/>
    <w:rsid w:val="00E4150C"/>
    <w:rsid w:val="00E52147"/>
    <w:rsid w:val="00E627B1"/>
    <w:rsid w:val="00E70169"/>
    <w:rsid w:val="00E708B0"/>
    <w:rsid w:val="00E9376C"/>
    <w:rsid w:val="00E95AE2"/>
    <w:rsid w:val="00E9643C"/>
    <w:rsid w:val="00EA335E"/>
    <w:rsid w:val="00EA528C"/>
    <w:rsid w:val="00EA580C"/>
    <w:rsid w:val="00EA67D5"/>
    <w:rsid w:val="00EC6F8D"/>
    <w:rsid w:val="00ED39B2"/>
    <w:rsid w:val="00ED4614"/>
    <w:rsid w:val="00EE49F4"/>
    <w:rsid w:val="00EF34E2"/>
    <w:rsid w:val="00F0288B"/>
    <w:rsid w:val="00F07C22"/>
    <w:rsid w:val="00F30DC6"/>
    <w:rsid w:val="00F31F96"/>
    <w:rsid w:val="00F32C23"/>
    <w:rsid w:val="00F33FF5"/>
    <w:rsid w:val="00F53DE9"/>
    <w:rsid w:val="00F576CB"/>
    <w:rsid w:val="00F7035D"/>
    <w:rsid w:val="00F70CC5"/>
    <w:rsid w:val="00F71A02"/>
    <w:rsid w:val="00F7566A"/>
    <w:rsid w:val="00F84FC3"/>
    <w:rsid w:val="00F90032"/>
    <w:rsid w:val="00F946F3"/>
    <w:rsid w:val="00FA0D63"/>
    <w:rsid w:val="00FA6AA1"/>
    <w:rsid w:val="00FC7226"/>
    <w:rsid w:val="00FC7D1A"/>
    <w:rsid w:val="00FD1226"/>
    <w:rsid w:val="00FD4BC8"/>
    <w:rsid w:val="00FE44E0"/>
    <w:rsid w:val="00FF4830"/>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F6C37C"/>
  <w15:docId w15:val="{4C43E7EB-2479-4258-A6E0-8BFC31F61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45CB4"/>
    <w:rPr>
      <w:rFonts w:ascii="Times New Roman" w:eastAsia="Times New Roman" w:hAnsi="Times New Roman"/>
      <w:sz w:val="24"/>
      <w:szCs w:val="24"/>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COM Heading"/>
    <w:basedOn w:val="Normal"/>
    <w:next w:val="Normal"/>
    <w:link w:val="Heading4Char"/>
    <w:qFormat/>
    <w:rsid w:val="00F71A02"/>
    <w:pPr>
      <w:keepNext/>
      <w:keepLines/>
      <w:numPr>
        <w:numId w:val="12"/>
      </w:numPr>
      <w:tabs>
        <w:tab w:val="left" w:pos="567"/>
      </w:tabs>
      <w:snapToGrid w:val="0"/>
      <w:spacing w:after="240"/>
      <w:ind w:left="567" w:hanging="567"/>
      <w:outlineLvl w:val="3"/>
    </w:pPr>
    <w:rPr>
      <w:rFonts w:ascii="Arial" w:hAnsi="Arial"/>
      <w:b/>
      <w:bCs/>
      <w:snapToGrid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fr-FR"/>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fr-FR"/>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fr-FR"/>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F71A02"/>
    <w:rPr>
      <w:rFonts w:ascii="Arial" w:eastAsia="Times New Roman" w:hAnsi="Arial"/>
      <w:b/>
      <w:bCs/>
      <w:snapToGrid w:val="0"/>
      <w:sz w:val="22"/>
      <w:szCs w:val="24"/>
      <w:lang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COMPara">
    <w:name w:val="COM Para"/>
    <w:qFormat/>
    <w:rsid w:val="00345CB4"/>
    <w:pPr>
      <w:numPr>
        <w:numId w:val="9"/>
      </w:numPr>
      <w:spacing w:after="120"/>
    </w:pPr>
    <w:rPr>
      <w:rFonts w:ascii="Arial" w:eastAsia="Times New Roman" w:hAnsi="Arial" w:cs="Arial"/>
      <w:snapToGrid w:val="0"/>
      <w:sz w:val="22"/>
      <w:szCs w:val="22"/>
      <w:lang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rPr>
  </w:style>
  <w:style w:type="paragraph" w:customStyle="1" w:styleId="COMParaDecision">
    <w:name w:val="COM Para Decision"/>
    <w:basedOn w:val="Normal"/>
    <w:qFormat/>
    <w:rsid w:val="00345CB4"/>
    <w:pPr>
      <w:numPr>
        <w:numId w:val="10"/>
      </w:numPr>
      <w:autoSpaceDE w:val="0"/>
      <w:autoSpaceDN w:val="0"/>
      <w:adjustRightInd w:val="0"/>
      <w:spacing w:after="120"/>
      <w:ind w:left="1134" w:hanging="567"/>
      <w:jc w:val="both"/>
    </w:pPr>
    <w:rPr>
      <w:rFonts w:ascii="Arial" w:eastAsia="SimSun" w:hAnsi="Arial" w:cs="Arial"/>
      <w:sz w:val="22"/>
      <w:szCs w:val="22"/>
      <w:u w:val="single"/>
    </w:rPr>
  </w:style>
  <w:style w:type="table" w:customStyle="1" w:styleId="TableGrid1">
    <w:name w:val="Table Grid1"/>
    <w:basedOn w:val="TableNormal"/>
    <w:next w:val="TableGrid"/>
    <w:uiPriority w:val="59"/>
    <w:rsid w:val="00E95AE2"/>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rsid w:val="004A2875"/>
    <w:pPr>
      <w:ind w:left="720"/>
      <w:contextualSpacing/>
    </w:pPr>
  </w:style>
  <w:style w:type="paragraph" w:styleId="FootnoteText">
    <w:name w:val="footnote text"/>
    <w:basedOn w:val="Normal"/>
    <w:link w:val="FootnoteTextChar"/>
    <w:uiPriority w:val="99"/>
    <w:semiHidden/>
    <w:unhideWhenUsed/>
    <w:rsid w:val="004313C4"/>
    <w:rPr>
      <w:sz w:val="20"/>
      <w:szCs w:val="20"/>
    </w:rPr>
  </w:style>
  <w:style w:type="character" w:customStyle="1" w:styleId="FootnoteTextChar">
    <w:name w:val="Footnote Text Char"/>
    <w:basedOn w:val="DefaultParagraphFont"/>
    <w:link w:val="FootnoteText"/>
    <w:uiPriority w:val="99"/>
    <w:semiHidden/>
    <w:rsid w:val="004313C4"/>
    <w:rPr>
      <w:rFonts w:ascii="Times New Roman" w:eastAsia="Times New Roman" w:hAnsi="Times New Roman"/>
    </w:rPr>
  </w:style>
  <w:style w:type="character" w:styleId="FootnoteReference">
    <w:name w:val="footnote reference"/>
    <w:basedOn w:val="DefaultParagraphFont"/>
    <w:uiPriority w:val="99"/>
    <w:semiHidden/>
    <w:unhideWhenUsed/>
    <w:rsid w:val="004313C4"/>
    <w:rPr>
      <w:vertAlign w:val="superscript"/>
    </w:rPr>
  </w:style>
  <w:style w:type="character" w:styleId="Hyperlink">
    <w:name w:val="Hyperlink"/>
    <w:basedOn w:val="DefaultParagraphFont"/>
    <w:uiPriority w:val="99"/>
    <w:unhideWhenUsed/>
    <w:rsid w:val="00CD40DD"/>
    <w:rPr>
      <w:color w:val="0000FF" w:themeColor="hyperlink"/>
      <w:u w:val="single"/>
    </w:rPr>
  </w:style>
  <w:style w:type="character" w:styleId="UnresolvedMention">
    <w:name w:val="Unresolved Mention"/>
    <w:basedOn w:val="DefaultParagraphFont"/>
    <w:uiPriority w:val="99"/>
    <w:semiHidden/>
    <w:unhideWhenUsed/>
    <w:rsid w:val="00CD40DD"/>
    <w:rPr>
      <w:color w:val="605E5C"/>
      <w:shd w:val="clear" w:color="auto" w:fill="E1DFDD"/>
    </w:rPr>
  </w:style>
  <w:style w:type="character" w:styleId="CommentReference">
    <w:name w:val="annotation reference"/>
    <w:basedOn w:val="DefaultParagraphFont"/>
    <w:uiPriority w:val="99"/>
    <w:semiHidden/>
    <w:unhideWhenUsed/>
    <w:rsid w:val="00402BDA"/>
    <w:rPr>
      <w:sz w:val="16"/>
      <w:szCs w:val="16"/>
    </w:rPr>
  </w:style>
  <w:style w:type="paragraph" w:styleId="CommentText">
    <w:name w:val="annotation text"/>
    <w:basedOn w:val="Normal"/>
    <w:link w:val="CommentTextChar"/>
    <w:uiPriority w:val="99"/>
    <w:unhideWhenUsed/>
    <w:rsid w:val="00402BDA"/>
    <w:rPr>
      <w:sz w:val="20"/>
      <w:szCs w:val="20"/>
    </w:rPr>
  </w:style>
  <w:style w:type="character" w:customStyle="1" w:styleId="CommentTextChar">
    <w:name w:val="Comment Text Char"/>
    <w:basedOn w:val="DefaultParagraphFont"/>
    <w:link w:val="CommentText"/>
    <w:uiPriority w:val="99"/>
    <w:rsid w:val="00402BDA"/>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402BDA"/>
    <w:rPr>
      <w:b/>
      <w:bCs/>
    </w:rPr>
  </w:style>
  <w:style w:type="character" w:customStyle="1" w:styleId="CommentSubjectChar">
    <w:name w:val="Comment Subject Char"/>
    <w:basedOn w:val="CommentTextChar"/>
    <w:link w:val="CommentSubject"/>
    <w:uiPriority w:val="99"/>
    <w:semiHidden/>
    <w:rsid w:val="00402BDA"/>
    <w:rPr>
      <w:rFonts w:ascii="Times New Roman" w:eastAsia="Times New Roman" w:hAnsi="Times New Roman"/>
      <w:b/>
      <w:bCs/>
    </w:rPr>
  </w:style>
  <w:style w:type="paragraph" w:styleId="Revision">
    <w:name w:val="Revision"/>
    <w:hidden/>
    <w:uiPriority w:val="99"/>
    <w:semiHidden/>
    <w:rsid w:val="003E69D9"/>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257821"/>
    <w:rPr>
      <w:color w:val="800080" w:themeColor="followedHyperlink"/>
      <w:u w:val="single"/>
    </w:rPr>
  </w:style>
  <w:style w:type="paragraph" w:customStyle="1" w:styleId="formtext">
    <w:name w:val="formtext"/>
    <w:basedOn w:val="Normal"/>
    <w:rsid w:val="00EA67D5"/>
    <w:pPr>
      <w:spacing w:before="80" w:after="80" w:line="240" w:lineRule="exact"/>
    </w:pPr>
    <w:rPr>
      <w:rFonts w:ascii="Arial" w:eastAsia="SimSun"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fr/decisions/19.COM/8" TargetMode="External"/><Relationship Id="rId13" Type="http://schemas.openxmlformats.org/officeDocument/2006/relationships/hyperlink" Target="https://ich.unesco.org/fr/decisions/13.COM/9" TargetMode="External"/><Relationship Id="rId18" Type="http://schemas.openxmlformats.org/officeDocument/2006/relationships/hyperlink" Target="https://ich.unesco.org/fr/decisions/19.COM/7.B.20"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ich.unesco.org/fr/decisions/7.COM/15" TargetMode="External"/><Relationship Id="rId17" Type="http://schemas.openxmlformats.org/officeDocument/2006/relationships/hyperlink" Target="https://ich.unesco.org/fr/decisions/7.COM/11.1" TargetMode="External"/><Relationship Id="rId2" Type="http://schemas.openxmlformats.org/officeDocument/2006/relationships/numbering" Target="numbering.xml"/><Relationship Id="rId16" Type="http://schemas.openxmlformats.org/officeDocument/2006/relationships/hyperlink" Target="https://ich.unesco.org/fr/decisions/19.COM/7.B.20"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h.unesco.org/fr/decisions/7.COM/15" TargetMode="External"/><Relationship Id="rId5" Type="http://schemas.openxmlformats.org/officeDocument/2006/relationships/webSettings" Target="webSettings.xml"/><Relationship Id="rId15" Type="http://schemas.openxmlformats.org/officeDocument/2006/relationships/hyperlink" Target="https://ich.unesco.org/fr/decisions/7.COM/11.1" TargetMode="External"/><Relationship Id="rId23" Type="http://schemas.openxmlformats.org/officeDocument/2006/relationships/theme" Target="theme/theme1.xml"/><Relationship Id="rId10" Type="http://schemas.openxmlformats.org/officeDocument/2006/relationships/hyperlink" Target="https://ich.unesco.org/fr/decisions/7.COM/15"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ch.unesco.org/fr/decisions/13.COM/9" TargetMode="External"/><Relationship Id="rId14" Type="http://schemas.openxmlformats.org/officeDocument/2006/relationships/hyperlink" Target="https://ich.unesco.org/fr/decisions/19.COM/8"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Working%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E0471-18BB-4418-A13B-F2C5B3182210}">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10 COM_Working document_EN</Template>
  <TotalTime>231</TotalTime>
  <Pages>8</Pages>
  <Words>2604</Words>
  <Characters>14322</Characters>
  <Application>Microsoft Office Word</Application>
  <DocSecurity>0</DocSecurity>
  <Lines>119</Lines>
  <Paragraphs>33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16893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Shin, Eunkyung</dc:creator>
  <cp:keywords/>
  <dc:description/>
  <cp:lastModifiedBy>Nakata Glenat, Keiichi Julien</cp:lastModifiedBy>
  <cp:revision>15</cp:revision>
  <cp:lastPrinted>2011-08-06T10:22:00Z</cp:lastPrinted>
  <dcterms:created xsi:type="dcterms:W3CDTF">2025-11-10T11:19:00Z</dcterms:created>
  <dcterms:modified xsi:type="dcterms:W3CDTF">2025-11-10T16:32:00Z</dcterms:modified>
</cp:coreProperties>
</file>